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0DAA52B1" w:rsidR="00B60939" w:rsidRPr="005A7226" w:rsidRDefault="00B64326" w:rsidP="00DC2FD6">
      <w:pPr>
        <w:pStyle w:val="1-MainHeading"/>
      </w:pPr>
      <w:bookmarkStart w:id="0" w:name="_Toc188442551"/>
      <w:r w:rsidRPr="005A7226">
        <w:t>5.08</w:t>
      </w:r>
      <w:r w:rsidR="00163F66" w:rsidRPr="005A7226">
        <w:tab/>
      </w:r>
      <w:r w:rsidR="005927BB" w:rsidRPr="005A7226">
        <w:t>FEZOLINETANT</w:t>
      </w:r>
      <w:r w:rsidR="00163F66" w:rsidRPr="005A7226">
        <w:t>,</w:t>
      </w:r>
      <w:r w:rsidR="00163F66" w:rsidRPr="005A7226">
        <w:br/>
      </w:r>
      <w:r w:rsidR="005927BB" w:rsidRPr="005A7226">
        <w:t>Tablet 45 mg</w:t>
      </w:r>
      <w:r w:rsidR="00163F66" w:rsidRPr="005A7226">
        <w:t>,</w:t>
      </w:r>
      <w:r w:rsidR="00DC2FD6">
        <w:br/>
      </w:r>
      <w:r w:rsidR="005927BB" w:rsidRPr="005A7226">
        <w:t>Veoza®</w:t>
      </w:r>
      <w:r w:rsidR="004A6040" w:rsidRPr="005A7226">
        <w:t>,</w:t>
      </w:r>
      <w:r w:rsidR="004A6040" w:rsidRPr="005A7226">
        <w:br/>
      </w:r>
      <w:r w:rsidR="005927BB" w:rsidRPr="005A7226">
        <w:t>ASTELLAS PHARMA AUSTRALIA PTY LTD</w:t>
      </w:r>
      <w:r w:rsidR="00B60939" w:rsidRPr="005A7226">
        <w:t>.</w:t>
      </w:r>
      <w:bookmarkEnd w:id="0"/>
      <w:r w:rsidR="00F73E08" w:rsidRPr="005A7226">
        <w:t xml:space="preserve"> </w:t>
      </w:r>
    </w:p>
    <w:p w14:paraId="11C00795" w14:textId="3DFB6D23" w:rsidR="00B50DB8" w:rsidRPr="005A7226" w:rsidRDefault="00B50DB8" w:rsidP="004A6040">
      <w:pPr>
        <w:pStyle w:val="2-SectionHeading"/>
      </w:pPr>
      <w:bookmarkStart w:id="1" w:name="_Toc188442554"/>
      <w:r w:rsidRPr="005A7226">
        <w:t xml:space="preserve">Purpose of </w:t>
      </w:r>
      <w:r w:rsidR="00CD7193" w:rsidRPr="005A7226">
        <w:t>s</w:t>
      </w:r>
      <w:r w:rsidR="00BB3A45" w:rsidRPr="005A7226">
        <w:t>ubmission</w:t>
      </w:r>
      <w:bookmarkEnd w:id="1"/>
    </w:p>
    <w:p w14:paraId="1BC2DDA6" w14:textId="4ED0819C" w:rsidR="00D83D20" w:rsidRPr="005A7226" w:rsidRDefault="00D83D20" w:rsidP="00671E46">
      <w:pPr>
        <w:widowControl w:val="0"/>
        <w:numPr>
          <w:ilvl w:val="1"/>
          <w:numId w:val="1"/>
        </w:numPr>
        <w:spacing w:after="120"/>
        <w:ind w:left="720"/>
      </w:pPr>
      <w:r w:rsidRPr="005A7226">
        <w:t>The Category 1 submission requested Authority Required (Streamlined) listing for fezolinetant (Veoza®) 45 mg for the treatment of moderate to severe vasomotor symptoms (VMS) associated with menopause in patients unsuitable for menopausal hormone therapy (MHT).</w:t>
      </w:r>
    </w:p>
    <w:p w14:paraId="77095823" w14:textId="4D2B3FBD" w:rsidR="00736CD6" w:rsidRPr="005A7226" w:rsidRDefault="00E60F6E" w:rsidP="00671E46">
      <w:pPr>
        <w:widowControl w:val="0"/>
        <w:numPr>
          <w:ilvl w:val="1"/>
          <w:numId w:val="1"/>
        </w:numPr>
        <w:spacing w:after="120"/>
        <w:ind w:left="720"/>
      </w:pPr>
      <w:r w:rsidRPr="00671E46">
        <w:t xml:space="preserve">If recommended, fezolinetant will be the first non-hormonal </w:t>
      </w:r>
      <w:r w:rsidR="0040099E" w:rsidRPr="00671E46">
        <w:t>Neurokinin 3 (</w:t>
      </w:r>
      <w:r w:rsidRPr="00671E46">
        <w:t>NK3</w:t>
      </w:r>
      <w:r w:rsidR="0040099E" w:rsidRPr="00671E46">
        <w:t>)</w:t>
      </w:r>
      <w:r w:rsidRPr="00671E46">
        <w:t xml:space="preserve"> receptor antagonist treatment available on the PBS</w:t>
      </w:r>
      <w:r w:rsidRPr="005A7226">
        <w:rPr>
          <w:iCs/>
        </w:rPr>
        <w:t xml:space="preserve"> for VMS associated with menopause. </w:t>
      </w:r>
    </w:p>
    <w:p w14:paraId="1793D14E" w14:textId="046A3CBE" w:rsidR="007F31C6" w:rsidRPr="005A7226" w:rsidRDefault="3CCD1145" w:rsidP="00671E46">
      <w:pPr>
        <w:widowControl w:val="0"/>
        <w:numPr>
          <w:ilvl w:val="1"/>
          <w:numId w:val="1"/>
        </w:numPr>
        <w:spacing w:after="120"/>
        <w:ind w:left="720"/>
      </w:pPr>
      <w:r w:rsidRPr="005A7226">
        <w:t>The basis of the requested listing was</w:t>
      </w:r>
      <w:r w:rsidR="6E09D84B" w:rsidRPr="005A7226">
        <w:t xml:space="preserve"> a</w:t>
      </w:r>
      <w:r w:rsidRPr="005A7226">
        <w:t xml:space="preserve"> cost-utility analysis versus placebo (no treatment).</w:t>
      </w:r>
      <w:r w:rsidR="5E507466" w:rsidRPr="005A7226">
        <w:t xml:space="preserve"> </w:t>
      </w:r>
      <w:r w:rsidR="007F31C6" w:rsidRPr="005A7226">
        <w:fldChar w:fldCharType="begin"/>
      </w:r>
      <w:r w:rsidR="007F31C6" w:rsidRPr="005A7226">
        <w:instrText xml:space="preserve"> REF _Ref184902846 \h </w:instrText>
      </w:r>
      <w:r w:rsidR="007F31C6" w:rsidRPr="005A7226">
        <w:fldChar w:fldCharType="separate"/>
      </w:r>
      <w:r w:rsidR="00B11DA2" w:rsidRPr="005A7226">
        <w:t xml:space="preserve">Table </w:t>
      </w:r>
      <w:r w:rsidR="00B11DA2">
        <w:rPr>
          <w:noProof/>
        </w:rPr>
        <w:t>1</w:t>
      </w:r>
      <w:r w:rsidR="007F31C6" w:rsidRPr="005A7226">
        <w:fldChar w:fldCharType="end"/>
      </w:r>
      <w:r w:rsidR="5E507466" w:rsidRPr="005A7226">
        <w:t xml:space="preserve"> summarises the components of the overall clinical claim addressed by the submission.</w:t>
      </w:r>
    </w:p>
    <w:p w14:paraId="7FE710C1" w14:textId="3F741A1F" w:rsidR="007F31C6" w:rsidRPr="005A7226" w:rsidRDefault="2B547669" w:rsidP="009C7CA5">
      <w:pPr>
        <w:pStyle w:val="Caption"/>
      </w:pPr>
      <w:bookmarkStart w:id="2" w:name="_Ref184902846"/>
      <w:r w:rsidRPr="005A7226">
        <w:lastRenderedPageBreak/>
        <w:t xml:space="preserve">Table </w:t>
      </w:r>
      <w:r w:rsidRPr="005A7226">
        <w:fldChar w:fldCharType="begin"/>
      </w:r>
      <w:r w:rsidRPr="005A7226">
        <w:instrText>SEQ Table \* ARABIC</w:instrText>
      </w:r>
      <w:r w:rsidRPr="005A7226">
        <w:fldChar w:fldCharType="separate"/>
      </w:r>
      <w:r w:rsidR="00B11DA2">
        <w:rPr>
          <w:noProof/>
        </w:rPr>
        <w:t>1</w:t>
      </w:r>
      <w:r w:rsidRPr="005A7226">
        <w:fldChar w:fldCharType="end"/>
      </w:r>
      <w:bookmarkEnd w:id="2"/>
      <w:r w:rsidR="32F2B1B0" w:rsidRPr="005A7226">
        <w:t>:</w:t>
      </w:r>
      <w:r w:rsidRPr="005A7226">
        <w:t xml:space="preserve"> Key components of the clinical issue addressed by the submission</w:t>
      </w:r>
      <w:r w:rsidR="002D4D9E" w:rsidRPr="005A7226">
        <w:t xml:space="preserve"> </w:t>
      </w:r>
      <w:r w:rsidR="002D4D9E" w:rsidRPr="005A7226">
        <w:rPr>
          <w:rStyle w:val="CommentReference"/>
          <w:b/>
          <w:szCs w:val="24"/>
        </w:rPr>
        <w:t>(as stated in the submission)</w:t>
      </w:r>
    </w:p>
    <w:tbl>
      <w:tblPr>
        <w:tblStyle w:val="PBAClayout"/>
        <w:tblW w:w="8926" w:type="dxa"/>
        <w:tblLook w:val="04A0" w:firstRow="1" w:lastRow="0" w:firstColumn="1" w:lastColumn="0" w:noHBand="0" w:noVBand="1"/>
        <w:tblCaption w:val="Requested listing"/>
      </w:tblPr>
      <w:tblGrid>
        <w:gridCol w:w="1129"/>
        <w:gridCol w:w="7797"/>
      </w:tblGrid>
      <w:tr w:rsidR="007F31C6" w:rsidRPr="005A7226" w14:paraId="4EB5E92D" w14:textId="77777777" w:rsidTr="006E6588">
        <w:tc>
          <w:tcPr>
            <w:tcW w:w="1129" w:type="dxa"/>
            <w:tcBorders>
              <w:top w:val="single" w:sz="4" w:space="0" w:color="auto"/>
              <w:left w:val="single" w:sz="4" w:space="0" w:color="auto"/>
              <w:bottom w:val="single" w:sz="4" w:space="0" w:color="auto"/>
              <w:right w:val="single" w:sz="4" w:space="0" w:color="auto"/>
            </w:tcBorders>
            <w:hideMark/>
          </w:tcPr>
          <w:p w14:paraId="5E7AABFB" w14:textId="77777777" w:rsidR="007F31C6" w:rsidRPr="005A7226" w:rsidRDefault="007F31C6" w:rsidP="009C7CA5">
            <w:pPr>
              <w:pStyle w:val="In-tableHeading"/>
              <w:keepLines/>
              <w:rPr>
                <w:lang w:val="en-AU"/>
              </w:rPr>
            </w:pPr>
            <w:r w:rsidRPr="005A7226">
              <w:rPr>
                <w:lang w:val="en-AU"/>
              </w:rPr>
              <w:t>Component</w:t>
            </w:r>
          </w:p>
        </w:tc>
        <w:tc>
          <w:tcPr>
            <w:tcW w:w="7797" w:type="dxa"/>
            <w:tcBorders>
              <w:top w:val="single" w:sz="4" w:space="0" w:color="auto"/>
              <w:left w:val="single" w:sz="4" w:space="0" w:color="auto"/>
              <w:bottom w:val="single" w:sz="4" w:space="0" w:color="auto"/>
              <w:right w:val="single" w:sz="4" w:space="0" w:color="auto"/>
            </w:tcBorders>
            <w:hideMark/>
          </w:tcPr>
          <w:p w14:paraId="23249D5E" w14:textId="77777777" w:rsidR="007F31C6" w:rsidRPr="005A7226" w:rsidRDefault="007F31C6" w:rsidP="009C7CA5">
            <w:pPr>
              <w:pStyle w:val="In-tableHeading"/>
              <w:keepLines/>
              <w:rPr>
                <w:lang w:val="en-AU"/>
              </w:rPr>
            </w:pPr>
            <w:r w:rsidRPr="005A7226">
              <w:rPr>
                <w:lang w:val="en-AU"/>
              </w:rPr>
              <w:t>Description</w:t>
            </w:r>
          </w:p>
        </w:tc>
      </w:tr>
      <w:tr w:rsidR="007F31C6" w:rsidRPr="005A7226" w14:paraId="66E1A5C1" w14:textId="77777777" w:rsidTr="006E6588">
        <w:tc>
          <w:tcPr>
            <w:tcW w:w="1129" w:type="dxa"/>
            <w:tcBorders>
              <w:top w:val="single" w:sz="4" w:space="0" w:color="auto"/>
              <w:left w:val="single" w:sz="4" w:space="0" w:color="auto"/>
              <w:bottom w:val="single" w:sz="4" w:space="0" w:color="auto"/>
              <w:right w:val="single" w:sz="4" w:space="0" w:color="auto"/>
            </w:tcBorders>
            <w:hideMark/>
          </w:tcPr>
          <w:p w14:paraId="33BF4EDF" w14:textId="77777777" w:rsidR="007F31C6" w:rsidRPr="005A7226" w:rsidRDefault="007F31C6" w:rsidP="009C7CA5">
            <w:pPr>
              <w:pStyle w:val="TableText0"/>
              <w:keepLines/>
            </w:pPr>
            <w:r w:rsidRPr="005A7226">
              <w:t>Population</w:t>
            </w:r>
          </w:p>
        </w:tc>
        <w:tc>
          <w:tcPr>
            <w:tcW w:w="7797" w:type="dxa"/>
            <w:tcBorders>
              <w:top w:val="single" w:sz="4" w:space="0" w:color="auto"/>
              <w:left w:val="single" w:sz="4" w:space="0" w:color="auto"/>
              <w:bottom w:val="single" w:sz="4" w:space="0" w:color="auto"/>
              <w:right w:val="single" w:sz="4" w:space="0" w:color="auto"/>
            </w:tcBorders>
            <w:hideMark/>
          </w:tcPr>
          <w:p w14:paraId="4D418D97" w14:textId="77777777" w:rsidR="007F31C6" w:rsidRPr="005A7226" w:rsidRDefault="007F31C6" w:rsidP="009C7CA5">
            <w:pPr>
              <w:pStyle w:val="TableText0"/>
              <w:keepLines/>
            </w:pPr>
            <w:r w:rsidRPr="005A7226">
              <w:t>Patients experiencing moderate to severe VMS associated with menopause who are unsuitable for MHT</w:t>
            </w:r>
          </w:p>
        </w:tc>
      </w:tr>
      <w:tr w:rsidR="007F31C6" w:rsidRPr="005A7226" w14:paraId="3B3C8870" w14:textId="77777777" w:rsidTr="006E6588">
        <w:tc>
          <w:tcPr>
            <w:tcW w:w="1129" w:type="dxa"/>
            <w:tcBorders>
              <w:top w:val="single" w:sz="4" w:space="0" w:color="auto"/>
              <w:left w:val="single" w:sz="4" w:space="0" w:color="auto"/>
              <w:bottom w:val="single" w:sz="4" w:space="0" w:color="auto"/>
              <w:right w:val="single" w:sz="4" w:space="0" w:color="auto"/>
            </w:tcBorders>
            <w:hideMark/>
          </w:tcPr>
          <w:p w14:paraId="79A0DD63" w14:textId="77777777" w:rsidR="007F31C6" w:rsidRPr="005A7226" w:rsidRDefault="007F31C6" w:rsidP="009C7CA5">
            <w:pPr>
              <w:pStyle w:val="TableText0"/>
              <w:keepLines/>
            </w:pPr>
            <w:r w:rsidRPr="005A7226">
              <w:t>Intervention</w:t>
            </w:r>
          </w:p>
        </w:tc>
        <w:tc>
          <w:tcPr>
            <w:tcW w:w="7797" w:type="dxa"/>
            <w:tcBorders>
              <w:top w:val="single" w:sz="4" w:space="0" w:color="auto"/>
              <w:left w:val="single" w:sz="4" w:space="0" w:color="auto"/>
              <w:bottom w:val="single" w:sz="4" w:space="0" w:color="auto"/>
              <w:right w:val="single" w:sz="4" w:space="0" w:color="auto"/>
            </w:tcBorders>
            <w:hideMark/>
          </w:tcPr>
          <w:p w14:paraId="2B5A1DF8" w14:textId="77777777" w:rsidR="007F31C6" w:rsidRPr="005A7226" w:rsidRDefault="007F31C6" w:rsidP="009C7CA5">
            <w:pPr>
              <w:pStyle w:val="TableText0"/>
              <w:keepLines/>
            </w:pPr>
            <w:r w:rsidRPr="005A7226">
              <w:t>Fezolinetant 45 mg film-coated tablet administered orally</w:t>
            </w:r>
          </w:p>
        </w:tc>
      </w:tr>
      <w:tr w:rsidR="007F31C6" w:rsidRPr="005A7226" w14:paraId="6390E81A" w14:textId="77777777" w:rsidTr="006E6588">
        <w:tc>
          <w:tcPr>
            <w:tcW w:w="1129" w:type="dxa"/>
            <w:tcBorders>
              <w:top w:val="single" w:sz="4" w:space="0" w:color="auto"/>
              <w:left w:val="single" w:sz="4" w:space="0" w:color="auto"/>
              <w:bottom w:val="single" w:sz="4" w:space="0" w:color="auto"/>
              <w:right w:val="single" w:sz="4" w:space="0" w:color="auto"/>
            </w:tcBorders>
            <w:hideMark/>
          </w:tcPr>
          <w:p w14:paraId="1C4B0642" w14:textId="77777777" w:rsidR="007F31C6" w:rsidRPr="005A7226" w:rsidRDefault="007F31C6" w:rsidP="009C7CA5">
            <w:pPr>
              <w:pStyle w:val="TableText0"/>
              <w:keepLines/>
            </w:pPr>
            <w:r w:rsidRPr="005A7226">
              <w:t>Comparator</w:t>
            </w:r>
          </w:p>
        </w:tc>
        <w:tc>
          <w:tcPr>
            <w:tcW w:w="7797" w:type="dxa"/>
            <w:tcBorders>
              <w:top w:val="single" w:sz="4" w:space="0" w:color="auto"/>
              <w:left w:val="single" w:sz="4" w:space="0" w:color="auto"/>
              <w:bottom w:val="single" w:sz="4" w:space="0" w:color="auto"/>
              <w:right w:val="single" w:sz="4" w:space="0" w:color="auto"/>
            </w:tcBorders>
            <w:hideMark/>
          </w:tcPr>
          <w:p w14:paraId="053BD617" w14:textId="2D8FB3A5" w:rsidR="007F31C6" w:rsidRPr="005A7226" w:rsidRDefault="007F31C6" w:rsidP="009C7CA5">
            <w:pPr>
              <w:pStyle w:val="TableText0"/>
              <w:keepLines/>
            </w:pPr>
            <w:r w:rsidRPr="005A7226">
              <w:t>No treatment</w:t>
            </w:r>
            <w:r w:rsidR="005E52F4" w:rsidRPr="005A7226">
              <w:t>,</w:t>
            </w:r>
            <w:r w:rsidRPr="005A7226">
              <w:t xml:space="preserve"> represented by placebo in the key clinical trial as the proposed relevant comparator</w:t>
            </w:r>
          </w:p>
        </w:tc>
      </w:tr>
      <w:tr w:rsidR="007F31C6" w:rsidRPr="005A7226" w14:paraId="62ECD9C8" w14:textId="77777777" w:rsidTr="006E6588">
        <w:tc>
          <w:tcPr>
            <w:tcW w:w="1129" w:type="dxa"/>
            <w:tcBorders>
              <w:top w:val="single" w:sz="4" w:space="0" w:color="auto"/>
              <w:left w:val="single" w:sz="4" w:space="0" w:color="auto"/>
              <w:bottom w:val="single" w:sz="4" w:space="0" w:color="auto"/>
              <w:right w:val="single" w:sz="4" w:space="0" w:color="auto"/>
            </w:tcBorders>
            <w:hideMark/>
          </w:tcPr>
          <w:p w14:paraId="49250CAE" w14:textId="77777777" w:rsidR="007F31C6" w:rsidRPr="005A7226" w:rsidRDefault="007F31C6" w:rsidP="009C7CA5">
            <w:pPr>
              <w:pStyle w:val="TableText0"/>
              <w:keepLines/>
            </w:pPr>
            <w:r w:rsidRPr="005A7226">
              <w:t>Outcomes</w:t>
            </w:r>
          </w:p>
        </w:tc>
        <w:tc>
          <w:tcPr>
            <w:tcW w:w="7797" w:type="dxa"/>
            <w:tcBorders>
              <w:top w:val="single" w:sz="4" w:space="0" w:color="auto"/>
              <w:left w:val="single" w:sz="4" w:space="0" w:color="auto"/>
              <w:bottom w:val="single" w:sz="4" w:space="0" w:color="auto"/>
              <w:right w:val="single" w:sz="4" w:space="0" w:color="auto"/>
            </w:tcBorders>
            <w:hideMark/>
          </w:tcPr>
          <w:p w14:paraId="2D6443E2" w14:textId="77777777" w:rsidR="007F31C6" w:rsidRPr="005A7226" w:rsidRDefault="007F31C6" w:rsidP="009C7CA5">
            <w:pPr>
              <w:pStyle w:val="TableText0"/>
              <w:keepLines/>
            </w:pPr>
            <w:r w:rsidRPr="005A7226">
              <w:t>Key clinical outcomes:</w:t>
            </w:r>
          </w:p>
          <w:p w14:paraId="7A8CF251" w14:textId="77777777" w:rsidR="007F31C6" w:rsidRPr="005A7226" w:rsidRDefault="007F31C6" w:rsidP="001773B1">
            <w:pPr>
              <w:pStyle w:val="TableText0"/>
              <w:keepLines/>
              <w:numPr>
                <w:ilvl w:val="0"/>
                <w:numId w:val="6"/>
              </w:numPr>
              <w:ind w:left="112" w:hanging="112"/>
            </w:pPr>
            <w:r w:rsidRPr="005A7226">
              <w:t>Mean change in the frequency of moderate to severe VMS associated with menopause compared to placebo at Week 24</w:t>
            </w:r>
          </w:p>
          <w:p w14:paraId="0C38F6A1" w14:textId="77777777" w:rsidR="007F31C6" w:rsidRPr="005A7226" w:rsidRDefault="007F31C6" w:rsidP="001773B1">
            <w:pPr>
              <w:pStyle w:val="TableText0"/>
              <w:keepLines/>
              <w:numPr>
                <w:ilvl w:val="0"/>
                <w:numId w:val="6"/>
              </w:numPr>
              <w:ind w:left="112" w:hanging="112"/>
            </w:pPr>
            <w:r w:rsidRPr="005A7226">
              <w:t>Mean change in the severity of moderate to severe VMS associated with menopause compared to placebo at Week 24</w:t>
            </w:r>
          </w:p>
          <w:p w14:paraId="005A32DE" w14:textId="6F2ADB9B" w:rsidR="007F31C6" w:rsidRPr="005A7226" w:rsidRDefault="007F31C6" w:rsidP="009C7CA5">
            <w:pPr>
              <w:pStyle w:val="TableText0"/>
              <w:keepLines/>
            </w:pPr>
            <w:r w:rsidRPr="005A7226">
              <w:t>Patient</w:t>
            </w:r>
            <w:r w:rsidR="00FE04AE" w:rsidRPr="005A7226">
              <w:t>-</w:t>
            </w:r>
            <w:r w:rsidRPr="005A7226">
              <w:t>reported outcomes:</w:t>
            </w:r>
          </w:p>
          <w:p w14:paraId="1F5E20DA" w14:textId="77777777" w:rsidR="007F31C6" w:rsidRPr="005A7226" w:rsidRDefault="007F31C6" w:rsidP="001773B1">
            <w:pPr>
              <w:pStyle w:val="TableText0"/>
              <w:keepLines/>
              <w:numPr>
                <w:ilvl w:val="0"/>
                <w:numId w:val="6"/>
              </w:numPr>
              <w:ind w:left="112" w:hanging="112"/>
            </w:pPr>
            <w:r w:rsidRPr="005A7226">
              <w:t>Patient-reported Outcomes Measurement Information System Sleep Disturbance – Short Form 8b (PROMIS SD SF 8b)</w:t>
            </w:r>
          </w:p>
          <w:p w14:paraId="791F197E" w14:textId="77777777" w:rsidR="007F31C6" w:rsidRPr="005A7226" w:rsidRDefault="007F31C6" w:rsidP="001773B1">
            <w:pPr>
              <w:pStyle w:val="TableText0"/>
              <w:keepLines/>
              <w:numPr>
                <w:ilvl w:val="0"/>
                <w:numId w:val="6"/>
              </w:numPr>
              <w:ind w:left="112" w:hanging="112"/>
            </w:pPr>
            <w:r w:rsidRPr="005A7226">
              <w:t>Patient Global Impression of Severity in Sleep Disturbance (PGI-S SD)</w:t>
            </w:r>
          </w:p>
          <w:p w14:paraId="3921FE3F" w14:textId="77777777" w:rsidR="007F31C6" w:rsidRPr="005A7226" w:rsidRDefault="007F31C6" w:rsidP="001773B1">
            <w:pPr>
              <w:pStyle w:val="TableText0"/>
              <w:keepLines/>
              <w:numPr>
                <w:ilvl w:val="0"/>
                <w:numId w:val="6"/>
              </w:numPr>
              <w:ind w:left="112" w:hanging="112"/>
            </w:pPr>
            <w:r w:rsidRPr="005A7226">
              <w:t>Patient Global Impression of Change in Vasomotor Symptoms (PGI-C VMS)</w:t>
            </w:r>
          </w:p>
          <w:p w14:paraId="682379F2" w14:textId="77777777" w:rsidR="007F31C6" w:rsidRPr="005A7226" w:rsidRDefault="007F31C6" w:rsidP="001773B1">
            <w:pPr>
              <w:pStyle w:val="TableText0"/>
              <w:keepLines/>
              <w:numPr>
                <w:ilvl w:val="0"/>
                <w:numId w:val="6"/>
              </w:numPr>
              <w:ind w:left="112" w:hanging="112"/>
            </w:pPr>
            <w:r w:rsidRPr="005A7226">
              <w:t>Menopause-specific Quality of Life (MENQOL)</w:t>
            </w:r>
          </w:p>
          <w:p w14:paraId="340A288F" w14:textId="77777777" w:rsidR="007F31C6" w:rsidRPr="005A7226" w:rsidRDefault="007F31C6" w:rsidP="001773B1">
            <w:pPr>
              <w:pStyle w:val="TableText0"/>
              <w:keepLines/>
              <w:numPr>
                <w:ilvl w:val="0"/>
                <w:numId w:val="6"/>
              </w:numPr>
              <w:ind w:left="112" w:hanging="112"/>
            </w:pPr>
            <w:r w:rsidRPr="005A7226">
              <w:t>Work Productivity and Activity Impairment for Vasomotor Symptoms (WPAI-VMS) Domain Scores</w:t>
            </w:r>
          </w:p>
          <w:p w14:paraId="04C2C228" w14:textId="77777777" w:rsidR="007F31C6" w:rsidRPr="00481F0C" w:rsidRDefault="007F31C6" w:rsidP="001773B1">
            <w:pPr>
              <w:pStyle w:val="TableText0"/>
              <w:keepLines/>
              <w:numPr>
                <w:ilvl w:val="0"/>
                <w:numId w:val="6"/>
              </w:numPr>
              <w:ind w:left="112" w:hanging="112"/>
              <w:rPr>
                <w:lang w:val="it-IT"/>
              </w:rPr>
            </w:pPr>
            <w:r w:rsidRPr="00481F0C">
              <w:rPr>
                <w:lang w:val="it-IT"/>
              </w:rPr>
              <w:t>Euro-Qol-5D-5L (EQ-5D-5L)</w:t>
            </w:r>
          </w:p>
          <w:p w14:paraId="3E9F2198" w14:textId="77777777" w:rsidR="007F31C6" w:rsidRPr="005A7226" w:rsidRDefault="007F31C6" w:rsidP="001773B1">
            <w:pPr>
              <w:pStyle w:val="TableText0"/>
              <w:keepLines/>
              <w:numPr>
                <w:ilvl w:val="0"/>
                <w:numId w:val="6"/>
              </w:numPr>
              <w:ind w:left="112" w:hanging="112"/>
            </w:pPr>
            <w:r w:rsidRPr="005A7226">
              <w:t>Female Sexual Function Index (FSFI)</w:t>
            </w:r>
          </w:p>
          <w:p w14:paraId="79D88C5F" w14:textId="77777777" w:rsidR="007F31C6" w:rsidRPr="005A7226" w:rsidRDefault="007F31C6" w:rsidP="001773B1">
            <w:pPr>
              <w:pStyle w:val="TableText0"/>
              <w:keepLines/>
              <w:numPr>
                <w:ilvl w:val="0"/>
                <w:numId w:val="6"/>
              </w:numPr>
              <w:ind w:left="112" w:hanging="112"/>
            </w:pPr>
            <w:r w:rsidRPr="005A7226">
              <w:t>Patient Health Questionnaire for Anxiety and Depression (PHQ-4)</w:t>
            </w:r>
          </w:p>
          <w:p w14:paraId="038E15A5" w14:textId="77777777" w:rsidR="007F31C6" w:rsidRPr="005A7226" w:rsidRDefault="007F31C6" w:rsidP="009C7CA5">
            <w:pPr>
              <w:pStyle w:val="TableText0"/>
              <w:keepLines/>
            </w:pPr>
            <w:r w:rsidRPr="005A7226">
              <w:t>Safety outcomes:</w:t>
            </w:r>
          </w:p>
          <w:p w14:paraId="7CE11B9A" w14:textId="77777777" w:rsidR="007F31C6" w:rsidRPr="005A7226" w:rsidRDefault="007F31C6" w:rsidP="001773B1">
            <w:pPr>
              <w:pStyle w:val="TableText0"/>
              <w:keepLines/>
              <w:numPr>
                <w:ilvl w:val="0"/>
                <w:numId w:val="6"/>
              </w:numPr>
              <w:ind w:left="112" w:hanging="112"/>
            </w:pPr>
            <w:r w:rsidRPr="005A7226">
              <w:t>Treatment-emergent adverse event (TEAE)</w:t>
            </w:r>
          </w:p>
        </w:tc>
      </w:tr>
      <w:tr w:rsidR="007F31C6" w:rsidRPr="005A7226" w14:paraId="16DF05C8" w14:textId="77777777" w:rsidTr="006E6588">
        <w:tc>
          <w:tcPr>
            <w:tcW w:w="1129" w:type="dxa"/>
            <w:tcBorders>
              <w:top w:val="single" w:sz="4" w:space="0" w:color="auto"/>
              <w:left w:val="single" w:sz="4" w:space="0" w:color="auto"/>
              <w:bottom w:val="single" w:sz="4" w:space="0" w:color="auto"/>
              <w:right w:val="single" w:sz="4" w:space="0" w:color="auto"/>
            </w:tcBorders>
            <w:hideMark/>
          </w:tcPr>
          <w:p w14:paraId="336BAACB" w14:textId="77777777" w:rsidR="007F31C6" w:rsidRPr="005A7226" w:rsidRDefault="007F31C6" w:rsidP="009C7CA5">
            <w:pPr>
              <w:pStyle w:val="TableText0"/>
              <w:keepLines/>
            </w:pPr>
            <w:r w:rsidRPr="005A7226">
              <w:t>Clinical claim</w:t>
            </w:r>
          </w:p>
        </w:tc>
        <w:tc>
          <w:tcPr>
            <w:tcW w:w="7797" w:type="dxa"/>
            <w:tcBorders>
              <w:top w:val="single" w:sz="4" w:space="0" w:color="auto"/>
              <w:left w:val="single" w:sz="4" w:space="0" w:color="auto"/>
              <w:bottom w:val="single" w:sz="4" w:space="0" w:color="auto"/>
              <w:right w:val="single" w:sz="4" w:space="0" w:color="auto"/>
            </w:tcBorders>
            <w:hideMark/>
          </w:tcPr>
          <w:p w14:paraId="4483FF1E" w14:textId="3939F057" w:rsidR="007F31C6" w:rsidRPr="005A7226" w:rsidRDefault="007F31C6" w:rsidP="009C7CA5">
            <w:pPr>
              <w:pStyle w:val="TableText0"/>
              <w:keepLines/>
            </w:pPr>
            <w:r w:rsidRPr="005A7226">
              <w:t>Fezolinetant (45 mg) is superior in terms of effectiveness compared with placebo and</w:t>
            </w:r>
            <w:r w:rsidR="00254B12">
              <w:t xml:space="preserve"> has a</w:t>
            </w:r>
            <w:r w:rsidRPr="005A7226">
              <w:t xml:space="preserve"> manageable side effect profile, based on the results of the DAYLIGHT, SKYLIGHT-1, SKYLIGHT-2, and SKYLIGHT-4 trials.</w:t>
            </w:r>
          </w:p>
        </w:tc>
      </w:tr>
    </w:tbl>
    <w:p w14:paraId="04ED8202" w14:textId="77777777" w:rsidR="007F31C6" w:rsidRPr="005A7226" w:rsidRDefault="007F31C6" w:rsidP="009C7CA5">
      <w:pPr>
        <w:pStyle w:val="FooterTableFigure"/>
        <w:keepNext/>
        <w:keepLines/>
      </w:pPr>
      <w:r w:rsidRPr="005A7226">
        <w:t>Source: Table 1.1-1, pp28-29 of the submission.</w:t>
      </w:r>
    </w:p>
    <w:p w14:paraId="26A12A9E" w14:textId="77777777" w:rsidR="007F31C6" w:rsidRPr="005A7226" w:rsidRDefault="007F31C6" w:rsidP="009C7CA5">
      <w:pPr>
        <w:pStyle w:val="FooterTableFigure"/>
        <w:keepNext/>
        <w:keepLines/>
      </w:pPr>
      <w:r w:rsidRPr="005A7226">
        <w:t xml:space="preserve">MHT=menopausal hormone therapy; VMS=vasomotor symptoms; </w:t>
      </w:r>
    </w:p>
    <w:p w14:paraId="6B4AB6C2" w14:textId="7F01D731" w:rsidR="005C25FF" w:rsidRPr="005A7226" w:rsidRDefault="005C25FF" w:rsidP="004A6040">
      <w:pPr>
        <w:pStyle w:val="2-SectionHeading"/>
      </w:pPr>
      <w:bookmarkStart w:id="3" w:name="_Toc188442555"/>
      <w:r w:rsidRPr="005A7226">
        <w:t>Background</w:t>
      </w:r>
      <w:bookmarkEnd w:id="3"/>
    </w:p>
    <w:p w14:paraId="2C521D6D" w14:textId="78CF03EE" w:rsidR="005C25FF" w:rsidRPr="005A7226" w:rsidRDefault="005C25FF" w:rsidP="004A6040">
      <w:pPr>
        <w:pStyle w:val="4-SubsectionHeading"/>
      </w:pPr>
      <w:bookmarkStart w:id="4" w:name="_Toc22897638"/>
      <w:bookmarkStart w:id="5" w:name="_Toc188442556"/>
      <w:r w:rsidRPr="005A7226">
        <w:t>Registration status</w:t>
      </w:r>
      <w:bookmarkEnd w:id="4"/>
      <w:bookmarkEnd w:id="5"/>
    </w:p>
    <w:p w14:paraId="5EBB44AD" w14:textId="425976B8" w:rsidR="00736CD6" w:rsidRPr="00671E46" w:rsidRDefault="00736CD6" w:rsidP="00067014">
      <w:pPr>
        <w:widowControl w:val="0"/>
        <w:numPr>
          <w:ilvl w:val="1"/>
          <w:numId w:val="1"/>
        </w:numPr>
        <w:spacing w:before="120" w:after="120"/>
        <w:ind w:left="720"/>
      </w:pPr>
      <w:r w:rsidRPr="00671E46">
        <w:t>Fezolinetant 45 mg was registered by the TGA on 26 February 2024 for the following indication:</w:t>
      </w:r>
    </w:p>
    <w:p w14:paraId="7D2C3999" w14:textId="3D99145B" w:rsidR="00736CD6" w:rsidRPr="005A7226" w:rsidRDefault="00736CD6" w:rsidP="00067014">
      <w:pPr>
        <w:pStyle w:val="3-BodyText"/>
        <w:numPr>
          <w:ilvl w:val="0"/>
          <w:numId w:val="0"/>
        </w:numPr>
        <w:ind w:left="720"/>
      </w:pPr>
      <w:r w:rsidRPr="005A7226">
        <w:t>“VEOZA is indicated for the treatment of moderate to severe vasomotor symptoms (VMS) associated with menopause.”</w:t>
      </w:r>
    </w:p>
    <w:p w14:paraId="31485A64" w14:textId="60578489" w:rsidR="00D67B3C" w:rsidRPr="005A7226" w:rsidRDefault="00D67B3C" w:rsidP="00B33E3F">
      <w:pPr>
        <w:pStyle w:val="3-BodyText"/>
        <w:numPr>
          <w:ilvl w:val="0"/>
          <w:numId w:val="0"/>
        </w:numPr>
        <w:ind w:left="720"/>
      </w:pPr>
      <w:bookmarkStart w:id="6" w:name="_Hlk76375324"/>
      <w:r w:rsidRPr="00382842">
        <w:rPr>
          <w:i/>
          <w:iCs/>
        </w:rPr>
        <w:t>For more detail on PBAC’s view, see section 7 PBAC outcome.</w:t>
      </w:r>
      <w:bookmarkEnd w:id="6"/>
    </w:p>
    <w:p w14:paraId="76E4EF3C" w14:textId="13040F70" w:rsidR="00B60939" w:rsidRPr="005A7226" w:rsidRDefault="00B50DB8" w:rsidP="009C7CA5">
      <w:pPr>
        <w:pStyle w:val="2-SectionHeading"/>
        <w:keepLines/>
      </w:pPr>
      <w:bookmarkStart w:id="7" w:name="_Toc107902078"/>
      <w:bookmarkStart w:id="8" w:name="_Toc188442557"/>
      <w:bookmarkEnd w:id="7"/>
      <w:r w:rsidRPr="005A7226">
        <w:t>Requested listing</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86"/>
        <w:gridCol w:w="1612"/>
        <w:gridCol w:w="804"/>
        <w:gridCol w:w="803"/>
        <w:gridCol w:w="804"/>
        <w:gridCol w:w="1908"/>
      </w:tblGrid>
      <w:tr w:rsidR="00736CD6" w:rsidRPr="005A7226" w14:paraId="5892011E" w14:textId="77777777" w:rsidTr="00736CD6">
        <w:trPr>
          <w:cantSplit/>
          <w:trHeight w:val="20"/>
        </w:trPr>
        <w:tc>
          <w:tcPr>
            <w:tcW w:w="1711" w:type="pct"/>
            <w:tcBorders>
              <w:top w:val="single" w:sz="4" w:space="0" w:color="auto"/>
              <w:left w:val="single" w:sz="4" w:space="0" w:color="auto"/>
              <w:bottom w:val="single" w:sz="4" w:space="0" w:color="auto"/>
              <w:right w:val="single" w:sz="4" w:space="0" w:color="auto"/>
            </w:tcBorders>
            <w:vAlign w:val="center"/>
            <w:hideMark/>
          </w:tcPr>
          <w:p w14:paraId="1D84233A" w14:textId="77777777" w:rsidR="00736CD6" w:rsidRPr="005A7226" w:rsidRDefault="00736CD6" w:rsidP="00B33E3F">
            <w:pPr>
              <w:widowControl w:val="0"/>
              <w:rPr>
                <w:rFonts w:ascii="Arial Narrow" w:hAnsi="Arial Narrow"/>
                <w:b/>
                <w:bCs/>
                <w:sz w:val="20"/>
                <w:szCs w:val="20"/>
              </w:rPr>
            </w:pPr>
            <w:r w:rsidRPr="005A7226">
              <w:rPr>
                <w:rFonts w:ascii="Arial Narrow" w:hAnsi="Arial Narrow"/>
                <w:b/>
                <w:bCs/>
                <w:sz w:val="20"/>
                <w:szCs w:val="20"/>
              </w:rPr>
              <w:t>MEDICINAL PRODUCT</w:t>
            </w:r>
          </w:p>
          <w:p w14:paraId="71483A6A" w14:textId="77777777" w:rsidR="00736CD6" w:rsidRPr="005A7226" w:rsidRDefault="00736CD6" w:rsidP="00B33E3F">
            <w:pPr>
              <w:widowControl w:val="0"/>
              <w:rPr>
                <w:rFonts w:ascii="Arial Narrow" w:hAnsi="Arial Narrow"/>
                <w:b/>
                <w:sz w:val="20"/>
                <w:szCs w:val="20"/>
              </w:rPr>
            </w:pPr>
            <w:r w:rsidRPr="005A7226">
              <w:rPr>
                <w:rFonts w:ascii="Arial Narrow" w:hAnsi="Arial Narrow"/>
                <w:b/>
                <w:bCs/>
                <w:sz w:val="20"/>
                <w:szCs w:val="20"/>
              </w:rPr>
              <w:t>medicinal product pack</w:t>
            </w:r>
          </w:p>
        </w:tc>
        <w:tc>
          <w:tcPr>
            <w:tcW w:w="894" w:type="pct"/>
            <w:tcBorders>
              <w:top w:val="single" w:sz="4" w:space="0" w:color="auto"/>
              <w:left w:val="single" w:sz="4" w:space="0" w:color="auto"/>
              <w:bottom w:val="single" w:sz="4" w:space="0" w:color="auto"/>
              <w:right w:val="single" w:sz="4" w:space="0" w:color="auto"/>
            </w:tcBorders>
            <w:vAlign w:val="center"/>
            <w:hideMark/>
          </w:tcPr>
          <w:p w14:paraId="7AF5E63F" w14:textId="77777777" w:rsidR="00736CD6" w:rsidRPr="005A7226" w:rsidRDefault="00736CD6" w:rsidP="00B33E3F">
            <w:pPr>
              <w:pStyle w:val="TableText0"/>
              <w:keepNext w:val="0"/>
              <w:widowControl w:val="0"/>
              <w:rPr>
                <w:b/>
                <w:bCs w:val="0"/>
                <w:szCs w:val="20"/>
              </w:rPr>
            </w:pPr>
            <w:r w:rsidRPr="005A7226">
              <w:rPr>
                <w:b/>
                <w:bCs w:val="0"/>
                <w:snapToGrid w:val="0"/>
              </w:rPr>
              <w:t xml:space="preserve">Dispensed Price for Max. Qty </w:t>
            </w:r>
          </w:p>
        </w:tc>
        <w:tc>
          <w:tcPr>
            <w:tcW w:w="446" w:type="pct"/>
            <w:tcBorders>
              <w:top w:val="single" w:sz="4" w:space="0" w:color="auto"/>
              <w:left w:val="single" w:sz="4" w:space="0" w:color="auto"/>
              <w:bottom w:val="single" w:sz="4" w:space="0" w:color="auto"/>
              <w:right w:val="single" w:sz="4" w:space="0" w:color="auto"/>
            </w:tcBorders>
            <w:vAlign w:val="center"/>
            <w:hideMark/>
          </w:tcPr>
          <w:p w14:paraId="468EF4E6" w14:textId="77777777" w:rsidR="00736CD6" w:rsidRPr="005A7226" w:rsidRDefault="00736CD6" w:rsidP="00B33E3F">
            <w:pPr>
              <w:widowControl w:val="0"/>
              <w:jc w:val="center"/>
              <w:rPr>
                <w:rFonts w:ascii="Arial Narrow" w:hAnsi="Arial Narrow"/>
                <w:b/>
                <w:sz w:val="20"/>
                <w:szCs w:val="20"/>
              </w:rPr>
            </w:pPr>
            <w:r w:rsidRPr="005A7226">
              <w:rPr>
                <w:rFonts w:ascii="Arial Narrow" w:hAnsi="Arial Narrow"/>
                <w:b/>
                <w:sz w:val="20"/>
                <w:szCs w:val="20"/>
              </w:rPr>
              <w:t>Max. qty packs</w:t>
            </w:r>
          </w:p>
        </w:tc>
        <w:tc>
          <w:tcPr>
            <w:tcW w:w="445" w:type="pct"/>
            <w:tcBorders>
              <w:top w:val="single" w:sz="4" w:space="0" w:color="auto"/>
              <w:left w:val="single" w:sz="4" w:space="0" w:color="auto"/>
              <w:bottom w:val="single" w:sz="4" w:space="0" w:color="auto"/>
              <w:right w:val="single" w:sz="4" w:space="0" w:color="auto"/>
            </w:tcBorders>
            <w:vAlign w:val="center"/>
            <w:hideMark/>
          </w:tcPr>
          <w:p w14:paraId="7555F8B0" w14:textId="77777777" w:rsidR="00736CD6" w:rsidRPr="005A7226" w:rsidRDefault="00736CD6" w:rsidP="00B33E3F">
            <w:pPr>
              <w:widowControl w:val="0"/>
              <w:jc w:val="center"/>
              <w:rPr>
                <w:rFonts w:ascii="Arial Narrow" w:hAnsi="Arial Narrow"/>
                <w:b/>
                <w:sz w:val="20"/>
                <w:szCs w:val="20"/>
              </w:rPr>
            </w:pPr>
            <w:r w:rsidRPr="005A7226">
              <w:rPr>
                <w:rFonts w:ascii="Arial Narrow" w:hAnsi="Arial Narrow"/>
                <w:b/>
                <w:sz w:val="20"/>
                <w:szCs w:val="20"/>
              </w:rPr>
              <w:t>Max. qty units</w:t>
            </w:r>
          </w:p>
        </w:tc>
        <w:tc>
          <w:tcPr>
            <w:tcW w:w="446" w:type="pct"/>
            <w:tcBorders>
              <w:top w:val="single" w:sz="4" w:space="0" w:color="auto"/>
              <w:left w:val="single" w:sz="4" w:space="0" w:color="auto"/>
              <w:bottom w:val="single" w:sz="4" w:space="0" w:color="auto"/>
              <w:right w:val="single" w:sz="4" w:space="0" w:color="auto"/>
            </w:tcBorders>
            <w:vAlign w:val="center"/>
            <w:hideMark/>
          </w:tcPr>
          <w:p w14:paraId="7E326FAB" w14:textId="77777777" w:rsidR="00736CD6" w:rsidRPr="005A7226" w:rsidRDefault="00736CD6" w:rsidP="00B33E3F">
            <w:pPr>
              <w:widowControl w:val="0"/>
              <w:jc w:val="center"/>
              <w:rPr>
                <w:rFonts w:ascii="Arial Narrow" w:hAnsi="Arial Narrow"/>
                <w:b/>
                <w:sz w:val="20"/>
                <w:szCs w:val="20"/>
              </w:rPr>
            </w:pPr>
            <w:r w:rsidRPr="005A7226">
              <w:rPr>
                <w:rFonts w:ascii="Arial Narrow" w:hAnsi="Arial Narrow"/>
                <w:b/>
                <w:sz w:val="20"/>
                <w:szCs w:val="20"/>
              </w:rPr>
              <w:t>№.of</w:t>
            </w:r>
          </w:p>
          <w:p w14:paraId="6FF2FD83" w14:textId="77777777" w:rsidR="00736CD6" w:rsidRPr="005A7226" w:rsidRDefault="00736CD6" w:rsidP="00B33E3F">
            <w:pPr>
              <w:widowControl w:val="0"/>
              <w:jc w:val="center"/>
              <w:rPr>
                <w:rFonts w:ascii="Arial Narrow" w:hAnsi="Arial Narrow"/>
                <w:b/>
                <w:sz w:val="20"/>
                <w:szCs w:val="20"/>
              </w:rPr>
            </w:pPr>
            <w:proofErr w:type="spellStart"/>
            <w:r w:rsidRPr="005A7226">
              <w:rPr>
                <w:rFonts w:ascii="Arial Narrow" w:hAnsi="Arial Narrow"/>
                <w:b/>
                <w:sz w:val="20"/>
                <w:szCs w:val="20"/>
              </w:rPr>
              <w:t>Rpts</w:t>
            </w:r>
            <w:proofErr w:type="spellEnd"/>
          </w:p>
        </w:tc>
        <w:tc>
          <w:tcPr>
            <w:tcW w:w="1058" w:type="pct"/>
            <w:tcBorders>
              <w:top w:val="single" w:sz="4" w:space="0" w:color="auto"/>
              <w:left w:val="single" w:sz="4" w:space="0" w:color="auto"/>
              <w:bottom w:val="single" w:sz="4" w:space="0" w:color="auto"/>
              <w:right w:val="single" w:sz="4" w:space="0" w:color="auto"/>
            </w:tcBorders>
            <w:vAlign w:val="center"/>
            <w:hideMark/>
          </w:tcPr>
          <w:p w14:paraId="57F4774F" w14:textId="77777777" w:rsidR="00736CD6" w:rsidRPr="005A7226" w:rsidRDefault="00736CD6" w:rsidP="00B33E3F">
            <w:pPr>
              <w:widowControl w:val="0"/>
              <w:rPr>
                <w:rFonts w:ascii="Arial Narrow" w:hAnsi="Arial Narrow"/>
                <w:b/>
                <w:sz w:val="20"/>
                <w:szCs w:val="20"/>
              </w:rPr>
            </w:pPr>
            <w:r w:rsidRPr="005A7226">
              <w:rPr>
                <w:rFonts w:ascii="Arial Narrow" w:hAnsi="Arial Narrow"/>
                <w:b/>
                <w:sz w:val="20"/>
                <w:szCs w:val="20"/>
              </w:rPr>
              <w:t>Available brands</w:t>
            </w:r>
          </w:p>
        </w:tc>
      </w:tr>
      <w:tr w:rsidR="00736CD6" w:rsidRPr="005A7226" w14:paraId="18787EBD"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441B98E" w14:textId="77777777" w:rsidR="00736CD6" w:rsidRPr="005A7226" w:rsidRDefault="00736CD6" w:rsidP="00B33E3F">
            <w:pPr>
              <w:pStyle w:val="TableText0"/>
              <w:keepNext w:val="0"/>
              <w:widowControl w:val="0"/>
              <w:rPr>
                <w:rFonts w:cs="Arial"/>
                <w:szCs w:val="20"/>
              </w:rPr>
            </w:pPr>
            <w:r w:rsidRPr="005A7226">
              <w:rPr>
                <w:smallCaps/>
              </w:rPr>
              <w:t>Fezolinetant</w:t>
            </w:r>
            <w:r w:rsidRPr="005A7226">
              <w:rPr>
                <w:rFonts w:cs="Arial"/>
                <w:color w:val="0066FF"/>
                <w:szCs w:val="20"/>
              </w:rPr>
              <w:t xml:space="preserve"> </w:t>
            </w:r>
          </w:p>
        </w:tc>
      </w:tr>
      <w:tr w:rsidR="00736CD6" w:rsidRPr="005A7226" w14:paraId="64011021" w14:textId="77777777" w:rsidTr="00736CD6">
        <w:trPr>
          <w:cantSplit/>
          <w:trHeight w:val="20"/>
        </w:trPr>
        <w:tc>
          <w:tcPr>
            <w:tcW w:w="1711" w:type="pct"/>
            <w:tcBorders>
              <w:top w:val="single" w:sz="4" w:space="0" w:color="auto"/>
              <w:left w:val="single" w:sz="4" w:space="0" w:color="auto"/>
              <w:bottom w:val="single" w:sz="4" w:space="0" w:color="auto"/>
              <w:right w:val="single" w:sz="4" w:space="0" w:color="auto"/>
            </w:tcBorders>
            <w:vAlign w:val="center"/>
            <w:hideMark/>
          </w:tcPr>
          <w:p w14:paraId="61A2DFC4" w14:textId="77777777" w:rsidR="00736CD6" w:rsidRPr="005A7226" w:rsidRDefault="00736CD6" w:rsidP="00B33E3F">
            <w:pPr>
              <w:pStyle w:val="TableText0"/>
              <w:keepNext w:val="0"/>
              <w:widowControl w:val="0"/>
            </w:pPr>
            <w:r w:rsidRPr="005A7226">
              <w:t>Fezolinetant 45 mg, film-coated tablet 30</w:t>
            </w:r>
          </w:p>
        </w:tc>
        <w:tc>
          <w:tcPr>
            <w:tcW w:w="894" w:type="pct"/>
            <w:tcBorders>
              <w:top w:val="single" w:sz="4" w:space="0" w:color="auto"/>
              <w:left w:val="single" w:sz="4" w:space="0" w:color="auto"/>
              <w:bottom w:val="single" w:sz="4" w:space="0" w:color="auto"/>
              <w:right w:val="single" w:sz="4" w:space="0" w:color="auto"/>
            </w:tcBorders>
            <w:vAlign w:val="center"/>
            <w:hideMark/>
          </w:tcPr>
          <w:p w14:paraId="406F4A81" w14:textId="5B684A90" w:rsidR="00736CD6" w:rsidRPr="005A7226" w:rsidRDefault="00736CD6" w:rsidP="00B33E3F">
            <w:pPr>
              <w:pStyle w:val="TableText0"/>
              <w:keepNext w:val="0"/>
              <w:widowControl w:val="0"/>
              <w:jc w:val="center"/>
              <w:rPr>
                <w:szCs w:val="20"/>
              </w:rPr>
            </w:pPr>
            <w:r w:rsidRPr="005A7226">
              <w:t>$</w:t>
            </w:r>
            <w:r w:rsidR="00CF6E6B" w:rsidRPr="00CF6E6B">
              <w:rPr>
                <w:color w:val="000000"/>
                <w:shd w:val="solid" w:color="000000" w:fill="000000"/>
                <w14:textFill>
                  <w14:solidFill>
                    <w14:srgbClr w14:val="000000">
                      <w14:alpha w14:val="100000"/>
                    </w14:srgbClr>
                  </w14:solidFill>
                </w14:textFill>
              </w:rPr>
              <w:t>|</w:t>
            </w:r>
          </w:p>
        </w:tc>
        <w:tc>
          <w:tcPr>
            <w:tcW w:w="446" w:type="pct"/>
            <w:tcBorders>
              <w:top w:val="single" w:sz="4" w:space="0" w:color="auto"/>
              <w:left w:val="single" w:sz="4" w:space="0" w:color="auto"/>
              <w:bottom w:val="single" w:sz="4" w:space="0" w:color="auto"/>
              <w:right w:val="single" w:sz="4" w:space="0" w:color="auto"/>
            </w:tcBorders>
            <w:vAlign w:val="center"/>
            <w:hideMark/>
          </w:tcPr>
          <w:p w14:paraId="088A0AB6" w14:textId="77777777" w:rsidR="00736CD6" w:rsidRPr="005A7226" w:rsidRDefault="00736CD6" w:rsidP="00B33E3F">
            <w:pPr>
              <w:widowControl w:val="0"/>
              <w:jc w:val="center"/>
              <w:rPr>
                <w:rFonts w:ascii="Arial Narrow" w:hAnsi="Arial Narrow"/>
                <w:sz w:val="20"/>
                <w:szCs w:val="20"/>
              </w:rPr>
            </w:pPr>
            <w:r w:rsidRPr="005A7226">
              <w:rPr>
                <w:rFonts w:ascii="Arial Narrow" w:hAnsi="Arial Narrow"/>
                <w:sz w:val="20"/>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32C9A569" w14:textId="77777777" w:rsidR="00736CD6" w:rsidRPr="005A7226" w:rsidRDefault="00736CD6" w:rsidP="00B33E3F">
            <w:pPr>
              <w:widowControl w:val="0"/>
              <w:jc w:val="center"/>
              <w:rPr>
                <w:rFonts w:ascii="Arial Narrow" w:hAnsi="Arial Narrow"/>
                <w:sz w:val="20"/>
                <w:szCs w:val="20"/>
              </w:rPr>
            </w:pPr>
            <w:r w:rsidRPr="005A7226">
              <w:rPr>
                <w:rFonts w:ascii="Arial Narrow" w:hAnsi="Arial Narrow"/>
                <w:sz w:val="20"/>
              </w:rPr>
              <w:t>30</w:t>
            </w:r>
          </w:p>
        </w:tc>
        <w:tc>
          <w:tcPr>
            <w:tcW w:w="446" w:type="pct"/>
            <w:tcBorders>
              <w:top w:val="single" w:sz="4" w:space="0" w:color="auto"/>
              <w:left w:val="single" w:sz="4" w:space="0" w:color="auto"/>
              <w:bottom w:val="single" w:sz="4" w:space="0" w:color="auto"/>
              <w:right w:val="single" w:sz="4" w:space="0" w:color="auto"/>
            </w:tcBorders>
            <w:vAlign w:val="center"/>
            <w:hideMark/>
          </w:tcPr>
          <w:p w14:paraId="7CDB76F2" w14:textId="77777777" w:rsidR="00736CD6" w:rsidRPr="005A7226" w:rsidRDefault="00736CD6" w:rsidP="00B33E3F">
            <w:pPr>
              <w:widowControl w:val="0"/>
              <w:jc w:val="center"/>
              <w:rPr>
                <w:rFonts w:ascii="Arial Narrow" w:hAnsi="Arial Narrow"/>
                <w:sz w:val="20"/>
                <w:szCs w:val="20"/>
              </w:rPr>
            </w:pPr>
            <w:r w:rsidRPr="005A7226">
              <w:rPr>
                <w:rFonts w:ascii="Arial Narrow" w:hAnsi="Arial Narrow"/>
                <w:sz w:val="20"/>
                <w:szCs w:val="20"/>
              </w:rPr>
              <w:t>5</w:t>
            </w:r>
          </w:p>
        </w:tc>
        <w:tc>
          <w:tcPr>
            <w:tcW w:w="1058" w:type="pct"/>
            <w:tcBorders>
              <w:top w:val="single" w:sz="4" w:space="0" w:color="auto"/>
              <w:left w:val="single" w:sz="4" w:space="0" w:color="auto"/>
              <w:bottom w:val="single" w:sz="4" w:space="0" w:color="auto"/>
              <w:right w:val="single" w:sz="4" w:space="0" w:color="auto"/>
            </w:tcBorders>
            <w:vAlign w:val="center"/>
            <w:hideMark/>
          </w:tcPr>
          <w:p w14:paraId="0A6F1EE6" w14:textId="77777777" w:rsidR="00736CD6" w:rsidRPr="005A7226" w:rsidRDefault="00736CD6" w:rsidP="00B33E3F">
            <w:pPr>
              <w:widowControl w:val="0"/>
              <w:jc w:val="center"/>
              <w:rPr>
                <w:rFonts w:ascii="Arial Narrow" w:hAnsi="Arial Narrow"/>
                <w:color w:val="0066FF"/>
                <w:sz w:val="20"/>
                <w:szCs w:val="20"/>
              </w:rPr>
            </w:pPr>
            <w:r w:rsidRPr="005A7226">
              <w:rPr>
                <w:rFonts w:ascii="Arial Narrow" w:hAnsi="Arial Narrow"/>
                <w:sz w:val="20"/>
                <w:szCs w:val="20"/>
              </w:rPr>
              <w:t>VEOZA</w:t>
            </w:r>
          </w:p>
        </w:tc>
      </w:tr>
      <w:tr w:rsidR="00736CD6" w:rsidRPr="005A7226" w14:paraId="3A63BDD7"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hideMark/>
          </w:tcPr>
          <w:p w14:paraId="3C08D86E" w14:textId="77777777" w:rsidR="00736CD6" w:rsidRPr="005A7226" w:rsidRDefault="00736CD6" w:rsidP="00B33E3F">
            <w:pPr>
              <w:pStyle w:val="TableText0"/>
              <w:keepNext w:val="0"/>
              <w:widowControl w:val="0"/>
            </w:pPr>
            <w:r w:rsidRPr="005A7226">
              <w:rPr>
                <w:b/>
              </w:rPr>
              <w:t xml:space="preserve">Category / Program: </w:t>
            </w:r>
            <w:r w:rsidRPr="005A7226">
              <w:t>General Schedule</w:t>
            </w:r>
          </w:p>
        </w:tc>
      </w:tr>
      <w:tr w:rsidR="00736CD6" w:rsidRPr="005A7226" w14:paraId="297E611F"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hideMark/>
          </w:tcPr>
          <w:p w14:paraId="1F76BEB1" w14:textId="77777777" w:rsidR="00736CD6" w:rsidRPr="005A7226" w:rsidRDefault="00736CD6" w:rsidP="00B33E3F">
            <w:pPr>
              <w:pStyle w:val="TableText0"/>
              <w:keepNext w:val="0"/>
              <w:widowControl w:val="0"/>
              <w:rPr>
                <w:rFonts w:eastAsia="Times New Roman"/>
              </w:rPr>
            </w:pPr>
            <w:r w:rsidRPr="005A7226">
              <w:rPr>
                <w:b/>
              </w:rPr>
              <w:t xml:space="preserve">Restriction type: </w:t>
            </w:r>
            <w:r w:rsidRPr="005A7226">
              <w:rPr>
                <w:rFonts w:eastAsia="Times New Roman"/>
              </w:rPr>
              <w:fldChar w:fldCharType="begin">
                <w:ffData>
                  <w:name w:val=""/>
                  <w:enabled/>
                  <w:calcOnExit w:val="0"/>
                  <w:checkBox>
                    <w:sizeAuto/>
                    <w:default w:val="1"/>
                  </w:checkBox>
                </w:ffData>
              </w:fldChar>
            </w:r>
            <w:r w:rsidRPr="005A7226">
              <w:rPr>
                <w:rFonts w:eastAsia="Times New Roman"/>
              </w:rPr>
              <w:instrText xml:space="preserve"> FORMCHECKBOX </w:instrText>
            </w:r>
            <w:r w:rsidRPr="005A7226">
              <w:rPr>
                <w:rFonts w:eastAsia="Times New Roman"/>
              </w:rPr>
            </w:r>
            <w:r w:rsidRPr="005A7226">
              <w:rPr>
                <w:rFonts w:eastAsia="Times New Roman"/>
              </w:rPr>
              <w:fldChar w:fldCharType="separate"/>
            </w:r>
            <w:r w:rsidRPr="005A7226">
              <w:rPr>
                <w:rFonts w:eastAsia="Times New Roman"/>
              </w:rPr>
              <w:fldChar w:fldCharType="end"/>
            </w:r>
            <w:r w:rsidRPr="005A7226">
              <w:rPr>
                <w:rFonts w:eastAsia="Times New Roman"/>
              </w:rPr>
              <w:t>Authority Required (STREAMLINED)</w:t>
            </w:r>
          </w:p>
        </w:tc>
      </w:tr>
      <w:tr w:rsidR="00736CD6" w:rsidRPr="005A7226" w14:paraId="47E99C77"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060AD6A" w14:textId="77777777" w:rsidR="00736CD6" w:rsidRPr="005A7226" w:rsidRDefault="00736CD6" w:rsidP="00B33E3F">
            <w:pPr>
              <w:pStyle w:val="TableText0"/>
              <w:keepNext w:val="0"/>
              <w:widowControl w:val="0"/>
            </w:pPr>
            <w:r w:rsidRPr="005A7226">
              <w:rPr>
                <w:b/>
              </w:rPr>
              <w:t>Indication:</w:t>
            </w:r>
            <w:r w:rsidRPr="005A7226">
              <w:t xml:space="preserve"> Moderate to severe menopause-related vasomotor symptoms in patients unsuitable for menopausal hormone therapy</w:t>
            </w:r>
          </w:p>
        </w:tc>
      </w:tr>
      <w:tr w:rsidR="00736CD6" w:rsidRPr="005A7226" w14:paraId="560B901B"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68245CDE" w14:textId="77777777" w:rsidR="00736CD6" w:rsidRPr="005A7226" w:rsidRDefault="00736CD6" w:rsidP="00B33E3F">
            <w:pPr>
              <w:pStyle w:val="TableText0"/>
              <w:keepNext w:val="0"/>
              <w:widowControl w:val="0"/>
            </w:pPr>
            <w:r w:rsidRPr="005A7226">
              <w:rPr>
                <w:b/>
              </w:rPr>
              <w:t>Treatment Phase:</w:t>
            </w:r>
            <w:r w:rsidRPr="005A7226">
              <w:t xml:space="preserve"> Initial and continuing (All)</w:t>
            </w:r>
          </w:p>
        </w:tc>
      </w:tr>
      <w:tr w:rsidR="00736CD6" w:rsidRPr="005A7226" w14:paraId="7D0697D1"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14A44563" w14:textId="77777777" w:rsidR="00736CD6" w:rsidRPr="005A7226" w:rsidRDefault="00736CD6" w:rsidP="00B33E3F">
            <w:pPr>
              <w:pStyle w:val="TableText0"/>
              <w:keepNext w:val="0"/>
              <w:widowControl w:val="0"/>
            </w:pPr>
            <w:r w:rsidRPr="005A7226">
              <w:rPr>
                <w:b/>
              </w:rPr>
              <w:t>Clinical criteria:</w:t>
            </w:r>
          </w:p>
        </w:tc>
      </w:tr>
      <w:tr w:rsidR="00736CD6" w:rsidRPr="005A7226" w14:paraId="3BB7C280"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00FB1741" w14:textId="77777777" w:rsidR="00736CD6" w:rsidRPr="005A7226" w:rsidRDefault="00736CD6" w:rsidP="00B33E3F">
            <w:pPr>
              <w:pStyle w:val="TableText0"/>
              <w:keepNext w:val="0"/>
              <w:widowControl w:val="0"/>
            </w:pPr>
            <w:r w:rsidRPr="005A7226">
              <w:t>Participant must be seeking treatment or relief for vasomotor symptoms associated with menopause</w:t>
            </w:r>
          </w:p>
        </w:tc>
      </w:tr>
      <w:tr w:rsidR="00736CD6" w:rsidRPr="005A7226" w14:paraId="7FC4DF63"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13AD7096" w14:textId="77777777" w:rsidR="00736CD6" w:rsidRPr="005A7226" w:rsidRDefault="00736CD6" w:rsidP="00B33E3F">
            <w:pPr>
              <w:pStyle w:val="TableText0"/>
              <w:keepNext w:val="0"/>
              <w:widowControl w:val="0"/>
            </w:pPr>
            <w:r w:rsidRPr="005A7226">
              <w:rPr>
                <w:b/>
              </w:rPr>
              <w:t>AND</w:t>
            </w:r>
          </w:p>
        </w:tc>
      </w:tr>
      <w:tr w:rsidR="00736CD6" w:rsidRPr="005A7226" w14:paraId="2288C898"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3EBAE24F" w14:textId="77777777" w:rsidR="00736CD6" w:rsidRPr="005A7226" w:rsidRDefault="00736CD6" w:rsidP="00B33E3F">
            <w:pPr>
              <w:pStyle w:val="TableText0"/>
              <w:keepNext w:val="0"/>
              <w:widowControl w:val="0"/>
            </w:pPr>
            <w:r w:rsidRPr="005A7226">
              <w:rPr>
                <w:b/>
              </w:rPr>
              <w:t>Clinical criteria:</w:t>
            </w:r>
          </w:p>
        </w:tc>
      </w:tr>
      <w:tr w:rsidR="00736CD6" w:rsidRPr="005A7226" w14:paraId="0C92B412"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484252A" w14:textId="77777777" w:rsidR="00736CD6" w:rsidRPr="005A7226" w:rsidRDefault="00736CD6" w:rsidP="00B33E3F">
            <w:pPr>
              <w:pStyle w:val="TableText0"/>
              <w:keepNext w:val="0"/>
              <w:widowControl w:val="0"/>
            </w:pPr>
            <w:r w:rsidRPr="005A7226">
              <w:t>Patient has vasomotor symptoms and is unsuitable to receive menopausal hormone therapy due to the following:</w:t>
            </w:r>
          </w:p>
        </w:tc>
      </w:tr>
      <w:tr w:rsidR="00736CD6" w:rsidRPr="005A7226" w14:paraId="356C2FA4"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hideMark/>
          </w:tcPr>
          <w:p w14:paraId="7312DB18" w14:textId="77777777" w:rsidR="00736CD6" w:rsidRPr="005A7226" w:rsidRDefault="00736CD6" w:rsidP="00B33E3F">
            <w:pPr>
              <w:pStyle w:val="TableText0"/>
              <w:keepNext w:val="0"/>
              <w:widowControl w:val="0"/>
            </w:pPr>
            <w:r w:rsidRPr="005A7226">
              <w:t>Patient must have a condition for which menopausal hormone therapy is contraindicated (refer relevant menopausal hormone therapy Product Information for conditions for which therapy is contraindicated)</w:t>
            </w:r>
          </w:p>
        </w:tc>
      </w:tr>
      <w:tr w:rsidR="00736CD6" w:rsidRPr="005A7226" w14:paraId="64A77BA6"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126C6D3D" w14:textId="77777777" w:rsidR="00736CD6" w:rsidRPr="005A7226" w:rsidRDefault="00736CD6" w:rsidP="00B33E3F">
            <w:pPr>
              <w:pStyle w:val="TableText0"/>
              <w:keepNext w:val="0"/>
              <w:widowControl w:val="0"/>
              <w:rPr>
                <w:b/>
              </w:rPr>
            </w:pPr>
            <w:r w:rsidRPr="005A7226">
              <w:rPr>
                <w:b/>
              </w:rPr>
              <w:t>OR</w:t>
            </w:r>
          </w:p>
        </w:tc>
      </w:tr>
      <w:tr w:rsidR="00736CD6" w:rsidRPr="005A7226" w14:paraId="068021C9"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083F7BE1" w14:textId="77777777" w:rsidR="00736CD6" w:rsidRPr="005A7226" w:rsidRDefault="00736CD6" w:rsidP="00B33E3F">
            <w:pPr>
              <w:pStyle w:val="TableText0"/>
              <w:keepNext w:val="0"/>
              <w:widowControl w:val="0"/>
            </w:pPr>
            <w:r w:rsidRPr="005A7226">
              <w:t>Patients must have discontinued menopausal hormone therapy due to side effects of the medicine or through lack of efficacy</w:t>
            </w:r>
          </w:p>
        </w:tc>
      </w:tr>
      <w:tr w:rsidR="00736CD6" w:rsidRPr="005A7226" w14:paraId="27948404"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C9CD496" w14:textId="77777777" w:rsidR="00736CD6" w:rsidRPr="005A7226" w:rsidRDefault="00736CD6" w:rsidP="00B33E3F">
            <w:pPr>
              <w:pStyle w:val="TableText0"/>
              <w:keepNext w:val="0"/>
              <w:widowControl w:val="0"/>
              <w:rPr>
                <w:b/>
              </w:rPr>
            </w:pPr>
            <w:r w:rsidRPr="005A7226">
              <w:rPr>
                <w:b/>
              </w:rPr>
              <w:t>OR</w:t>
            </w:r>
          </w:p>
        </w:tc>
      </w:tr>
      <w:tr w:rsidR="00736CD6" w:rsidRPr="005A7226" w14:paraId="21508E9D"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07995B4F" w14:textId="77777777" w:rsidR="00736CD6" w:rsidRPr="005A7226" w:rsidRDefault="00736CD6" w:rsidP="00B33E3F">
            <w:pPr>
              <w:pStyle w:val="TableText0"/>
              <w:keepNext w:val="0"/>
              <w:widowControl w:val="0"/>
            </w:pPr>
            <w:r w:rsidRPr="005A7226">
              <w:t>Patient must be unwilling to take menopausal hormone therapy following education of the benefits and risks of treatment</w:t>
            </w:r>
          </w:p>
        </w:tc>
      </w:tr>
      <w:tr w:rsidR="00736CD6" w:rsidRPr="005A7226" w14:paraId="6BFDB79F" w14:textId="77777777" w:rsidTr="00736CD6">
        <w:trPr>
          <w:cantSplit/>
          <w:trHeight w:val="20"/>
        </w:trPr>
        <w:tc>
          <w:tcPr>
            <w:tcW w:w="5000" w:type="pct"/>
            <w:gridSpan w:val="6"/>
            <w:tcBorders>
              <w:top w:val="single" w:sz="4" w:space="0" w:color="auto"/>
              <w:left w:val="single" w:sz="4" w:space="0" w:color="auto"/>
              <w:bottom w:val="double" w:sz="4" w:space="0" w:color="auto"/>
              <w:right w:val="single" w:sz="4" w:space="0" w:color="auto"/>
            </w:tcBorders>
            <w:tcMar>
              <w:top w:w="15" w:type="dxa"/>
              <w:left w:w="28" w:type="dxa"/>
              <w:bottom w:w="15" w:type="dxa"/>
              <w:right w:w="28" w:type="dxa"/>
            </w:tcMar>
            <w:vAlign w:val="center"/>
            <w:hideMark/>
          </w:tcPr>
          <w:p w14:paraId="2A7BD742" w14:textId="77777777" w:rsidR="00736CD6" w:rsidRPr="005A7226" w:rsidRDefault="00736CD6" w:rsidP="00B33E3F">
            <w:pPr>
              <w:pStyle w:val="TableText0"/>
              <w:keepNext w:val="0"/>
              <w:widowControl w:val="0"/>
            </w:pPr>
            <w:r w:rsidRPr="005A7226">
              <w:rPr>
                <w:b/>
              </w:rPr>
              <w:t xml:space="preserve">Note: </w:t>
            </w:r>
            <w:r w:rsidRPr="005A7226">
              <w:t>For prescribing by nurse practitioners as continuing therapy only, where the treatment of, and prescribing of medicine for, a patient has been initiated by a medical practitioner.</w:t>
            </w:r>
          </w:p>
        </w:tc>
      </w:tr>
      <w:tr w:rsidR="00736CD6" w:rsidRPr="005A7226" w14:paraId="0E4BD87C" w14:textId="77777777" w:rsidTr="00736CD6">
        <w:trPr>
          <w:cantSplit/>
          <w:trHeight w:val="20"/>
        </w:trPr>
        <w:tc>
          <w:tcPr>
            <w:tcW w:w="5000" w:type="pct"/>
            <w:gridSpan w:val="6"/>
            <w:tcBorders>
              <w:top w:val="doub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F7A34E3" w14:textId="77777777" w:rsidR="00736CD6" w:rsidRPr="005A7226" w:rsidRDefault="00736CD6" w:rsidP="00B33E3F">
            <w:pPr>
              <w:pStyle w:val="TableText0"/>
              <w:keepNext w:val="0"/>
              <w:widowControl w:val="0"/>
              <w:rPr>
                <w:b/>
              </w:rPr>
            </w:pPr>
            <w:r w:rsidRPr="005A7226">
              <w:rPr>
                <w:b/>
              </w:rPr>
              <w:t>Treatment Phase</w:t>
            </w:r>
            <w:r w:rsidRPr="005A7226">
              <w:t>: Grandfather treatment (transition from non-PBS-subsidised treatment)</w:t>
            </w:r>
          </w:p>
        </w:tc>
      </w:tr>
      <w:tr w:rsidR="00736CD6" w:rsidRPr="005A7226" w14:paraId="7D63019F"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0EBCD5CE" w14:textId="77777777" w:rsidR="00736CD6" w:rsidRPr="005A7226" w:rsidRDefault="00736CD6" w:rsidP="00B33E3F">
            <w:pPr>
              <w:pStyle w:val="TableText0"/>
              <w:keepNext w:val="0"/>
              <w:widowControl w:val="0"/>
            </w:pPr>
            <w:r w:rsidRPr="005A7226">
              <w:rPr>
                <w:b/>
              </w:rPr>
              <w:t>Clinical criteria:</w:t>
            </w:r>
          </w:p>
        </w:tc>
      </w:tr>
      <w:tr w:rsidR="00736CD6" w:rsidRPr="005A7226" w14:paraId="3560A7E1"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5A421D08" w14:textId="77777777" w:rsidR="00736CD6" w:rsidRPr="005A7226" w:rsidRDefault="00736CD6" w:rsidP="00B33E3F">
            <w:pPr>
              <w:pStyle w:val="TableText0"/>
              <w:keepNext w:val="0"/>
              <w:widowControl w:val="0"/>
            </w:pPr>
            <w:r w:rsidRPr="005A7226">
              <w:t>Patient must have received non-PBS-subsidised treatment with this drug for this condition prior to (TBD: insert date of PBS listing)</w:t>
            </w:r>
          </w:p>
        </w:tc>
      </w:tr>
      <w:tr w:rsidR="00736CD6" w:rsidRPr="005A7226" w14:paraId="40493C61"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581532C3" w14:textId="77777777" w:rsidR="00736CD6" w:rsidRPr="005A7226" w:rsidRDefault="00736CD6" w:rsidP="00B33E3F">
            <w:pPr>
              <w:pStyle w:val="TableText0"/>
              <w:keepNext w:val="0"/>
              <w:widowControl w:val="0"/>
              <w:rPr>
                <w:b/>
              </w:rPr>
            </w:pPr>
            <w:r w:rsidRPr="005A7226">
              <w:rPr>
                <w:b/>
              </w:rPr>
              <w:t>AND</w:t>
            </w:r>
          </w:p>
        </w:tc>
      </w:tr>
      <w:tr w:rsidR="00736CD6" w:rsidRPr="005A7226" w14:paraId="53D9FFED"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549E3166" w14:textId="77777777" w:rsidR="00736CD6" w:rsidRPr="005A7226" w:rsidRDefault="00736CD6" w:rsidP="00B33E3F">
            <w:pPr>
              <w:pStyle w:val="TableText0"/>
              <w:keepNext w:val="0"/>
              <w:widowControl w:val="0"/>
              <w:rPr>
                <w:b/>
              </w:rPr>
            </w:pPr>
            <w:r w:rsidRPr="005A7226">
              <w:rPr>
                <w:b/>
              </w:rPr>
              <w:t xml:space="preserve">Clinical criteria: </w:t>
            </w:r>
          </w:p>
        </w:tc>
      </w:tr>
      <w:tr w:rsidR="00736CD6" w:rsidRPr="005A7226" w14:paraId="35C57D47"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6D3C1A2F" w14:textId="77777777" w:rsidR="00736CD6" w:rsidRPr="005A7226" w:rsidRDefault="00736CD6" w:rsidP="00B33E3F">
            <w:pPr>
              <w:pStyle w:val="TableText0"/>
              <w:keepNext w:val="0"/>
              <w:widowControl w:val="0"/>
            </w:pPr>
            <w:r w:rsidRPr="005A7226">
              <w:t>The patient must meet the clinical criteria as specified in the “Initial and continuing” treatment criteria</w:t>
            </w:r>
          </w:p>
        </w:tc>
      </w:tr>
      <w:tr w:rsidR="00736CD6" w:rsidRPr="005A7226" w14:paraId="365D347E"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7463DE89" w14:textId="77777777" w:rsidR="00736CD6" w:rsidRPr="005A7226" w:rsidRDefault="00736CD6" w:rsidP="00B33E3F">
            <w:pPr>
              <w:pStyle w:val="TableText0"/>
              <w:keepNext w:val="0"/>
              <w:widowControl w:val="0"/>
            </w:pPr>
            <w:r w:rsidRPr="005A7226">
              <w:rPr>
                <w:b/>
              </w:rPr>
              <w:t>Note:</w:t>
            </w:r>
            <w:r w:rsidRPr="005A7226">
              <w:t xml:space="preserve"> This grandfather restriction will cease to operate from 12 months after the date specified in the clinical criteria</w:t>
            </w:r>
          </w:p>
        </w:tc>
      </w:tr>
      <w:tr w:rsidR="00736CD6" w:rsidRPr="005A7226" w14:paraId="73A9369B" w14:textId="77777777" w:rsidTr="00736CD6">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hideMark/>
          </w:tcPr>
          <w:p w14:paraId="30B39007" w14:textId="77777777" w:rsidR="00736CD6" w:rsidRPr="005A7226" w:rsidRDefault="00736CD6" w:rsidP="00B33E3F">
            <w:pPr>
              <w:pStyle w:val="TableText0"/>
              <w:keepNext w:val="0"/>
              <w:widowControl w:val="0"/>
            </w:pPr>
            <w:r w:rsidRPr="005A7226">
              <w:rPr>
                <w:b/>
              </w:rPr>
              <w:t>Note:</w:t>
            </w:r>
            <w:r w:rsidRPr="005A7226">
              <w:t xml:space="preserve"> For prescribing by nurse practitioners as continuing therapy only, where the treatment of, and prescribing of medicine for, a patient has been initiated by a medical practitioner.</w:t>
            </w:r>
          </w:p>
        </w:tc>
      </w:tr>
    </w:tbl>
    <w:p w14:paraId="486124E0" w14:textId="280FAD61" w:rsidR="00736CD6" w:rsidRPr="005A7226" w:rsidRDefault="00736CD6" w:rsidP="00382842">
      <w:pPr>
        <w:pStyle w:val="TableFooter"/>
        <w:keepNext/>
        <w:keepLines/>
        <w:spacing w:after="120"/>
      </w:pPr>
      <w:r w:rsidRPr="005A7226">
        <w:t>Source: Tables 1.4-1 and 1.4-2, pp47-49 of the submission.</w:t>
      </w:r>
    </w:p>
    <w:p w14:paraId="0FCB89AE" w14:textId="3DC94F48" w:rsidR="009E33B7" w:rsidRPr="009E33B7" w:rsidRDefault="009E33B7" w:rsidP="009E33B7">
      <w:pPr>
        <w:pStyle w:val="ExecSumBodyText"/>
        <w:keepNext/>
        <w:keepLines/>
        <w:numPr>
          <w:ilvl w:val="1"/>
          <w:numId w:val="1"/>
        </w:numPr>
        <w:ind w:left="720"/>
        <w:rPr>
          <w:rFonts w:cs="Calibri"/>
          <w:bCs/>
          <w:iCs/>
        </w:rPr>
      </w:pPr>
      <w:r w:rsidRPr="009E33B7">
        <w:rPr>
          <w:rFonts w:cs="Calibri"/>
          <w:bCs/>
          <w:iCs/>
        </w:rPr>
        <w:t>Secretariat suggested wording for the restriction is below. Suggested additions are in italics and deletions are in strikethrough.</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cretariat suggested wording for the restriction "/>
      </w:tblPr>
      <w:tblGrid>
        <w:gridCol w:w="4231"/>
        <w:gridCol w:w="753"/>
        <w:gridCol w:w="762"/>
        <w:gridCol w:w="747"/>
        <w:gridCol w:w="743"/>
        <w:gridCol w:w="1775"/>
      </w:tblGrid>
      <w:tr w:rsidR="009E33B7" w:rsidRPr="009E33B7" w14:paraId="376184CE" w14:textId="77777777" w:rsidTr="00930B83">
        <w:trPr>
          <w:trHeight w:val="300"/>
        </w:trPr>
        <w:tc>
          <w:tcPr>
            <w:tcW w:w="41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6D8878" w14:textId="77777777" w:rsidR="009E33B7" w:rsidRPr="009E33B7" w:rsidRDefault="009E33B7" w:rsidP="00382842">
            <w:pPr>
              <w:widowControl w:val="0"/>
              <w:jc w:val="left"/>
              <w:textAlignment w:val="baseline"/>
              <w:rPr>
                <w:rFonts w:ascii="Arial Narrow" w:hAnsi="Arial Narrow" w:cs="Segoe UI"/>
                <w:sz w:val="18"/>
                <w:szCs w:val="18"/>
              </w:rPr>
            </w:pPr>
            <w:r w:rsidRPr="009E33B7">
              <w:rPr>
                <w:rFonts w:ascii="Arial Narrow" w:hAnsi="Arial Narrow" w:cs="Segoe UI"/>
                <w:b/>
                <w:bCs/>
                <w:sz w:val="20"/>
                <w:szCs w:val="20"/>
              </w:rPr>
              <w:t>MEDICINAL PRODUCT</w:t>
            </w:r>
            <w:r w:rsidRPr="009E33B7">
              <w:rPr>
                <w:rFonts w:ascii="Arial Narrow" w:hAnsi="Arial Narrow" w:cs="Segoe UI"/>
                <w:sz w:val="20"/>
                <w:szCs w:val="20"/>
              </w:rPr>
              <w:t> </w:t>
            </w:r>
          </w:p>
          <w:p w14:paraId="1B19162C" w14:textId="77777777" w:rsidR="009E33B7" w:rsidRPr="009E33B7" w:rsidRDefault="009E33B7" w:rsidP="00382842">
            <w:pPr>
              <w:widowControl w:val="0"/>
              <w:jc w:val="left"/>
              <w:textAlignment w:val="baseline"/>
              <w:rPr>
                <w:rFonts w:ascii="Arial Narrow" w:hAnsi="Arial Narrow" w:cs="Segoe UI"/>
                <w:sz w:val="18"/>
                <w:szCs w:val="18"/>
              </w:rPr>
            </w:pPr>
            <w:r w:rsidRPr="009E33B7">
              <w:rPr>
                <w:rFonts w:ascii="Arial Narrow" w:hAnsi="Arial Narrow" w:cs="Segoe UI"/>
                <w:b/>
                <w:bCs/>
                <w:sz w:val="20"/>
                <w:szCs w:val="20"/>
              </w:rPr>
              <w:t>medicinal product pack</w:t>
            </w:r>
            <w:r w:rsidRPr="009E33B7">
              <w:rPr>
                <w:rFonts w:ascii="Arial Narrow" w:hAnsi="Arial Narrow" w:cs="Segoe UI"/>
                <w:sz w:val="20"/>
                <w:szCs w:val="20"/>
              </w:rPr>
              <w:t> </w:t>
            </w:r>
          </w:p>
        </w:tc>
        <w:tc>
          <w:tcPr>
            <w:tcW w:w="7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7460C4"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b/>
                <w:bCs/>
                <w:sz w:val="20"/>
                <w:szCs w:val="20"/>
              </w:rPr>
              <w:t>PBS item code</w:t>
            </w:r>
            <w:r w:rsidRPr="009E33B7">
              <w:rPr>
                <w:rFonts w:ascii="Arial Narrow" w:hAnsi="Arial Narrow" w:cs="Segoe UI"/>
                <w:sz w:val="20"/>
                <w:szCs w:val="20"/>
              </w:rPr>
              <w:t>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B0FD53"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b/>
                <w:bCs/>
                <w:sz w:val="20"/>
                <w:szCs w:val="20"/>
              </w:rPr>
              <w:t>Max. qty packs</w:t>
            </w:r>
            <w:r w:rsidRPr="009E33B7">
              <w:rPr>
                <w:rFonts w:ascii="Arial Narrow" w:hAnsi="Arial Narrow" w:cs="Segoe UI"/>
                <w:sz w:val="20"/>
                <w:szCs w:val="20"/>
              </w:rPr>
              <w:t> </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F2FC85"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b/>
                <w:bCs/>
                <w:sz w:val="20"/>
                <w:szCs w:val="20"/>
              </w:rPr>
              <w:t>Max. qty units</w:t>
            </w:r>
            <w:r w:rsidRPr="009E33B7">
              <w:rPr>
                <w:rFonts w:ascii="Arial Narrow" w:hAnsi="Arial Narrow" w:cs="Segoe UI"/>
                <w:sz w:val="20"/>
                <w:szCs w:val="20"/>
              </w:rPr>
              <w:t> </w:t>
            </w:r>
          </w:p>
        </w:tc>
        <w:tc>
          <w:tcPr>
            <w:tcW w:w="7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E49F8"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b/>
                <w:bCs/>
                <w:sz w:val="20"/>
                <w:szCs w:val="20"/>
              </w:rPr>
              <w:t>№.of</w:t>
            </w:r>
            <w:r w:rsidRPr="009E33B7">
              <w:rPr>
                <w:rFonts w:ascii="Arial Narrow" w:hAnsi="Arial Narrow" w:cs="Segoe UI"/>
                <w:sz w:val="20"/>
                <w:szCs w:val="20"/>
              </w:rPr>
              <w:t> </w:t>
            </w:r>
          </w:p>
          <w:p w14:paraId="3BF865CB" w14:textId="77777777" w:rsidR="009E33B7" w:rsidRPr="009E33B7" w:rsidRDefault="009E33B7" w:rsidP="00382842">
            <w:pPr>
              <w:widowControl w:val="0"/>
              <w:jc w:val="center"/>
              <w:textAlignment w:val="baseline"/>
              <w:rPr>
                <w:rFonts w:ascii="Arial Narrow" w:hAnsi="Arial Narrow" w:cs="Segoe UI"/>
                <w:sz w:val="18"/>
                <w:szCs w:val="18"/>
              </w:rPr>
            </w:pPr>
            <w:proofErr w:type="spellStart"/>
            <w:r w:rsidRPr="009E33B7">
              <w:rPr>
                <w:rFonts w:ascii="Arial Narrow" w:hAnsi="Arial Narrow" w:cs="Segoe UI"/>
                <w:b/>
                <w:bCs/>
                <w:sz w:val="20"/>
                <w:szCs w:val="20"/>
              </w:rPr>
              <w:t>Rpts</w:t>
            </w:r>
            <w:proofErr w:type="spellEnd"/>
            <w:r w:rsidRPr="009E33B7">
              <w:rPr>
                <w:rFonts w:ascii="Arial Narrow" w:hAnsi="Arial Narrow" w:cs="Segoe UI"/>
                <w:sz w:val="20"/>
                <w:szCs w:val="20"/>
              </w:rPr>
              <w:t> </w:t>
            </w:r>
          </w:p>
        </w:tc>
        <w:tc>
          <w:tcPr>
            <w:tcW w:w="17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65E726"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b/>
                <w:bCs/>
                <w:sz w:val="20"/>
                <w:szCs w:val="20"/>
              </w:rPr>
              <w:t>Available brands</w:t>
            </w:r>
          </w:p>
        </w:tc>
      </w:tr>
      <w:tr w:rsidR="009E33B7" w:rsidRPr="009E33B7" w14:paraId="6E09B2C2"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330B12C" w14:textId="77777777" w:rsidR="009E33B7" w:rsidRPr="009E33B7" w:rsidRDefault="009E33B7" w:rsidP="00382842">
            <w:pPr>
              <w:widowControl w:val="0"/>
              <w:jc w:val="left"/>
              <w:textAlignment w:val="baseline"/>
              <w:rPr>
                <w:rFonts w:ascii="Arial Narrow" w:hAnsi="Arial Narrow" w:cs="Segoe UI"/>
                <w:sz w:val="18"/>
                <w:szCs w:val="18"/>
              </w:rPr>
            </w:pPr>
            <w:r w:rsidRPr="009E33B7">
              <w:rPr>
                <w:rFonts w:ascii="Arial Narrow" w:hAnsi="Arial Narrow" w:cs="Segoe UI"/>
                <w:sz w:val="20"/>
                <w:szCs w:val="20"/>
              </w:rPr>
              <w:t>FEZOLINETANT</w:t>
            </w:r>
            <w:r w:rsidRPr="009E33B7">
              <w:rPr>
                <w:rFonts w:ascii="Arial Narrow" w:hAnsi="Arial Narrow" w:cs="Segoe UI"/>
                <w:color w:val="FF0000"/>
                <w:sz w:val="20"/>
                <w:szCs w:val="20"/>
              </w:rPr>
              <w:t> </w:t>
            </w:r>
          </w:p>
        </w:tc>
      </w:tr>
      <w:tr w:rsidR="009E33B7" w:rsidRPr="009E33B7" w14:paraId="2AAA7401" w14:textId="77777777" w:rsidTr="00930B83">
        <w:trPr>
          <w:trHeight w:val="300"/>
        </w:trPr>
        <w:tc>
          <w:tcPr>
            <w:tcW w:w="41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1BAB26" w14:textId="77777777" w:rsidR="009E33B7" w:rsidRPr="009E33B7" w:rsidRDefault="009E33B7" w:rsidP="00382842">
            <w:pPr>
              <w:widowControl w:val="0"/>
              <w:jc w:val="left"/>
              <w:textAlignment w:val="baseline"/>
              <w:rPr>
                <w:rFonts w:ascii="Arial Narrow" w:hAnsi="Arial Narrow" w:cs="Segoe UI"/>
                <w:sz w:val="18"/>
                <w:szCs w:val="18"/>
              </w:rPr>
            </w:pPr>
            <w:r w:rsidRPr="009E33B7">
              <w:rPr>
                <w:rFonts w:ascii="Arial Narrow" w:hAnsi="Arial Narrow" w:cs="Segoe UI"/>
                <w:sz w:val="20"/>
                <w:szCs w:val="20"/>
              </w:rPr>
              <w:t xml:space="preserve">fezolinetant 45 mg tablet, 30 </w:t>
            </w:r>
          </w:p>
        </w:tc>
        <w:tc>
          <w:tcPr>
            <w:tcW w:w="7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818F39"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sz w:val="20"/>
                <w:szCs w:val="20"/>
              </w:rPr>
              <w:t>NEW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603CF3"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sz w:val="20"/>
                <w:szCs w:val="20"/>
              </w:rPr>
              <w:t>1 </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EF571"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sz w:val="20"/>
                <w:szCs w:val="20"/>
              </w:rPr>
              <w:t>30 </w:t>
            </w:r>
          </w:p>
        </w:tc>
        <w:tc>
          <w:tcPr>
            <w:tcW w:w="7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ACE9D"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sz w:val="20"/>
                <w:szCs w:val="20"/>
              </w:rPr>
              <w:t>5 </w:t>
            </w:r>
          </w:p>
        </w:tc>
        <w:tc>
          <w:tcPr>
            <w:tcW w:w="17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05195A" w14:textId="77777777" w:rsidR="009E33B7" w:rsidRPr="009E33B7" w:rsidRDefault="009E33B7" w:rsidP="00382842">
            <w:pPr>
              <w:widowControl w:val="0"/>
              <w:jc w:val="center"/>
              <w:textAlignment w:val="baseline"/>
              <w:rPr>
                <w:rFonts w:ascii="Arial Narrow" w:hAnsi="Arial Narrow" w:cs="Segoe UI"/>
                <w:sz w:val="18"/>
                <w:szCs w:val="18"/>
              </w:rPr>
            </w:pPr>
            <w:r w:rsidRPr="009E33B7">
              <w:rPr>
                <w:rFonts w:ascii="Arial Narrow" w:hAnsi="Arial Narrow" w:cs="Segoe UI"/>
                <w:sz w:val="20"/>
                <w:szCs w:val="20"/>
              </w:rPr>
              <w:t>Veoza</w:t>
            </w:r>
          </w:p>
        </w:tc>
      </w:tr>
      <w:tr w:rsidR="009E33B7" w:rsidRPr="009E33B7" w14:paraId="3C52DE16"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83109D3" w14:textId="77777777" w:rsidR="009E33B7" w:rsidRPr="009E33B7" w:rsidRDefault="009E33B7" w:rsidP="00382842">
            <w:pPr>
              <w:widowControl w:val="0"/>
              <w:jc w:val="left"/>
              <w:textAlignment w:val="baseline"/>
              <w:rPr>
                <w:rFonts w:ascii="Arial Narrow" w:hAnsi="Arial Narrow" w:cs="Segoe UI"/>
                <w:sz w:val="18"/>
                <w:szCs w:val="18"/>
              </w:rPr>
            </w:pPr>
          </w:p>
        </w:tc>
      </w:tr>
      <w:tr w:rsidR="009E33B7" w:rsidRPr="009E33B7" w14:paraId="0159493F"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21EC430" w14:textId="77777777" w:rsidR="009E33B7" w:rsidRPr="009E33B7" w:rsidRDefault="009E33B7" w:rsidP="00382842">
            <w:pPr>
              <w:widowControl w:val="0"/>
              <w:jc w:val="left"/>
              <w:textAlignment w:val="baseline"/>
              <w:rPr>
                <w:rFonts w:ascii="Arial Narrow" w:hAnsi="Arial Narrow" w:cs="Segoe UI"/>
                <w:sz w:val="18"/>
                <w:szCs w:val="18"/>
              </w:rPr>
            </w:pPr>
            <w:r w:rsidRPr="009E33B7">
              <w:rPr>
                <w:rFonts w:ascii="Arial Narrow" w:hAnsi="Arial Narrow" w:cs="Segoe UI"/>
                <w:b/>
                <w:bCs/>
                <w:sz w:val="20"/>
                <w:szCs w:val="20"/>
              </w:rPr>
              <w:t>Restriction Summary [new1A] / Treatment of Concept: [new1]</w:t>
            </w:r>
          </w:p>
        </w:tc>
      </w:tr>
      <w:tr w:rsidR="00930B83" w:rsidRPr="009E33B7" w14:paraId="4885A66B"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C2CAA15" w14:textId="77777777" w:rsidR="00930B83" w:rsidRPr="000D6200" w:rsidRDefault="00930B83" w:rsidP="00382842">
            <w:pPr>
              <w:widowControl w:val="0"/>
              <w:jc w:val="left"/>
              <w:textAlignment w:val="baseline"/>
              <w:rPr>
                <w:rFonts w:ascii="Arial Narrow" w:hAnsi="Arial Narrow" w:cs="Segoe UI"/>
                <w:sz w:val="18"/>
                <w:szCs w:val="18"/>
              </w:rPr>
            </w:pPr>
            <w:r w:rsidRPr="000D6200">
              <w:rPr>
                <w:rFonts w:ascii="Arial Narrow" w:hAnsi="Arial Narrow" w:cs="Segoe UI"/>
                <w:b/>
                <w:bCs/>
                <w:sz w:val="20"/>
                <w:szCs w:val="20"/>
              </w:rPr>
              <w:t>Category / Program:</w:t>
            </w:r>
            <w:r w:rsidRPr="000D6200">
              <w:rPr>
                <w:rFonts w:ascii="Arial Narrow" w:hAnsi="Arial Narrow" w:cs="Segoe UI"/>
                <w:color w:val="FF0000"/>
                <w:sz w:val="20"/>
                <w:szCs w:val="20"/>
              </w:rPr>
              <w:t xml:space="preserve"> </w:t>
            </w:r>
            <w:r w:rsidRPr="000D6200">
              <w:rPr>
                <w:rFonts w:ascii="Arial Narrow" w:hAnsi="Arial Narrow" w:cs="Segoe UI"/>
                <w:sz w:val="20"/>
                <w:szCs w:val="20"/>
              </w:rPr>
              <w:t>GENERAL - General Schedule (Code GE)  </w:t>
            </w:r>
          </w:p>
        </w:tc>
      </w:tr>
      <w:tr w:rsidR="00930B83" w:rsidRPr="009E33B7" w14:paraId="2F3AA9BF"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5EBB990" w14:textId="77777777" w:rsidR="00930B83" w:rsidRPr="000D6200" w:rsidRDefault="00930B83" w:rsidP="00382842">
            <w:pPr>
              <w:widowControl w:val="0"/>
              <w:textAlignment w:val="baseline"/>
              <w:rPr>
                <w:rFonts w:ascii="Arial Narrow" w:hAnsi="Arial Narrow" w:cs="Segoe UI"/>
                <w:sz w:val="18"/>
                <w:szCs w:val="18"/>
              </w:rPr>
            </w:pPr>
            <w:r w:rsidRPr="000D6200">
              <w:rPr>
                <w:rFonts w:ascii="Arial Narrow" w:hAnsi="Arial Narrow" w:cs="Segoe UI"/>
                <w:b/>
                <w:bCs/>
                <w:sz w:val="20"/>
                <w:szCs w:val="20"/>
              </w:rPr>
              <w:t xml:space="preserve">Prescriber type: </w:t>
            </w:r>
            <w:r w:rsidRPr="000D6200">
              <w:rPr>
                <w:rFonts w:ascii="Arial Narrow" w:eastAsia="Calibri" w:hAnsi="Arial Narrow"/>
                <w:sz w:val="20"/>
                <w:szCs w:val="20"/>
              </w:rPr>
              <w:fldChar w:fldCharType="begin">
                <w:ffData>
                  <w:name w:val="Check1"/>
                  <w:enabled/>
                  <w:calcOnExit w:val="0"/>
                  <w:checkBox>
                    <w:sizeAuto/>
                    <w:default w:val="1"/>
                  </w:checkBox>
                </w:ffData>
              </w:fldChar>
            </w:r>
            <w:r w:rsidRPr="000D6200">
              <w:rPr>
                <w:rFonts w:ascii="Arial Narrow" w:eastAsia="Calibri" w:hAnsi="Arial Narrow"/>
                <w:sz w:val="20"/>
                <w:szCs w:val="20"/>
              </w:rPr>
              <w:instrText xml:space="preserve"> FORMCHECKBOX </w:instrText>
            </w:r>
            <w:r w:rsidRPr="000D6200">
              <w:rPr>
                <w:rFonts w:ascii="Arial Narrow" w:eastAsia="Calibri" w:hAnsi="Arial Narrow"/>
                <w:sz w:val="20"/>
                <w:szCs w:val="20"/>
              </w:rPr>
            </w:r>
            <w:r w:rsidRPr="000D6200">
              <w:rPr>
                <w:rFonts w:ascii="Arial Narrow" w:eastAsia="Calibri" w:hAnsi="Arial Narrow"/>
                <w:sz w:val="20"/>
                <w:szCs w:val="20"/>
              </w:rPr>
              <w:fldChar w:fldCharType="separate"/>
            </w:r>
            <w:r w:rsidRPr="000D6200">
              <w:rPr>
                <w:rFonts w:ascii="Arial Narrow" w:eastAsia="Calibri" w:hAnsi="Arial Narrow"/>
                <w:sz w:val="20"/>
                <w:szCs w:val="20"/>
              </w:rPr>
              <w:fldChar w:fldCharType="end"/>
            </w:r>
            <w:r w:rsidRPr="000D6200">
              <w:rPr>
                <w:rFonts w:ascii="Arial Narrow" w:eastAsia="Calibri" w:hAnsi="Arial Narrow"/>
                <w:sz w:val="20"/>
                <w:szCs w:val="20"/>
              </w:rPr>
              <w:t xml:space="preserve">Medical Practitioners </w:t>
            </w:r>
            <w:r w:rsidRPr="000D6200">
              <w:rPr>
                <w:rFonts w:ascii="Arial Narrow" w:eastAsia="Calibri" w:hAnsi="Arial Narrow"/>
                <w:sz w:val="20"/>
                <w:szCs w:val="20"/>
              </w:rPr>
              <w:fldChar w:fldCharType="begin">
                <w:ffData>
                  <w:name w:val="Check1"/>
                  <w:enabled/>
                  <w:calcOnExit w:val="0"/>
                  <w:checkBox>
                    <w:sizeAuto/>
                    <w:default w:val="1"/>
                  </w:checkBox>
                </w:ffData>
              </w:fldChar>
            </w:r>
            <w:r w:rsidRPr="000D6200">
              <w:rPr>
                <w:rFonts w:ascii="Arial Narrow" w:eastAsia="Calibri" w:hAnsi="Arial Narrow"/>
                <w:sz w:val="20"/>
                <w:szCs w:val="20"/>
              </w:rPr>
              <w:instrText xml:space="preserve"> FORMCHECKBOX </w:instrText>
            </w:r>
            <w:r w:rsidRPr="000D6200">
              <w:rPr>
                <w:rFonts w:ascii="Arial Narrow" w:eastAsia="Calibri" w:hAnsi="Arial Narrow"/>
                <w:sz w:val="20"/>
                <w:szCs w:val="20"/>
              </w:rPr>
            </w:r>
            <w:r w:rsidRPr="000D6200">
              <w:rPr>
                <w:rFonts w:ascii="Arial Narrow" w:eastAsia="Calibri" w:hAnsi="Arial Narrow"/>
                <w:sz w:val="20"/>
                <w:szCs w:val="20"/>
              </w:rPr>
              <w:fldChar w:fldCharType="separate"/>
            </w:r>
            <w:r w:rsidRPr="000D6200">
              <w:rPr>
                <w:rFonts w:ascii="Arial Narrow" w:eastAsia="Calibri" w:hAnsi="Arial Narrow"/>
                <w:sz w:val="20"/>
                <w:szCs w:val="20"/>
              </w:rPr>
              <w:fldChar w:fldCharType="end"/>
            </w:r>
            <w:r w:rsidRPr="000D6200">
              <w:rPr>
                <w:rFonts w:ascii="Arial Narrow" w:eastAsia="Calibri" w:hAnsi="Arial Narrow"/>
                <w:sz w:val="20"/>
                <w:szCs w:val="20"/>
              </w:rPr>
              <w:t>Nurse Practitioners</w:t>
            </w:r>
          </w:p>
        </w:tc>
      </w:tr>
      <w:tr w:rsidR="00930B83" w:rsidRPr="009E33B7" w14:paraId="01297549"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398DFC0" w14:textId="77777777" w:rsidR="00930B83" w:rsidRPr="000D6200" w:rsidRDefault="00930B83" w:rsidP="00382842">
            <w:pPr>
              <w:widowControl w:val="0"/>
              <w:jc w:val="left"/>
              <w:textAlignment w:val="baseline"/>
              <w:rPr>
                <w:rFonts w:ascii="Arial Narrow" w:hAnsi="Arial Narrow" w:cs="Segoe UI"/>
                <w:b/>
                <w:bCs/>
                <w:sz w:val="20"/>
                <w:szCs w:val="20"/>
              </w:rPr>
            </w:pPr>
            <w:r w:rsidRPr="000D6200">
              <w:rPr>
                <w:rFonts w:ascii="Arial Narrow" w:hAnsi="Arial Narrow" w:cs="Segoe UI"/>
                <w:b/>
                <w:bCs/>
                <w:sz w:val="20"/>
                <w:szCs w:val="20"/>
              </w:rPr>
              <w:t xml:space="preserve">Restriction type: </w:t>
            </w:r>
          </w:p>
          <w:p w14:paraId="2E1BB765" w14:textId="17A92289" w:rsidR="00930B83" w:rsidRPr="000D6200" w:rsidRDefault="00930B83" w:rsidP="00382842">
            <w:pPr>
              <w:widowControl w:val="0"/>
              <w:jc w:val="left"/>
              <w:textAlignment w:val="baseline"/>
              <w:rPr>
                <w:rFonts w:ascii="Arial Narrow" w:hAnsi="Arial Narrow" w:cs="Segoe UI"/>
                <w:sz w:val="20"/>
                <w:szCs w:val="20"/>
              </w:rPr>
            </w:pPr>
            <w:r w:rsidRPr="000D6200">
              <w:rPr>
                <w:rFonts w:ascii="Arial Narrow" w:hAnsi="Arial Narrow" w:cs="Segoe UI"/>
                <w:i/>
                <w:iCs/>
                <w:sz w:val="20"/>
                <w:szCs w:val="20"/>
              </w:rPr>
              <w:t>Initial</w:t>
            </w:r>
            <w:r w:rsidRPr="000D6200">
              <w:rPr>
                <w:rFonts w:ascii="Arial Narrow" w:hAnsi="Arial Narrow" w:cs="Segoe UI"/>
                <w:b/>
                <w:bCs/>
                <w:sz w:val="20"/>
                <w:szCs w:val="20"/>
              </w:rPr>
              <w:t xml:space="preserve">: </w:t>
            </w:r>
            <w:r w:rsidRPr="000D6200">
              <w:rPr>
                <w:rFonts w:ascii="Arial Narrow" w:hAnsi="Arial Narrow" w:cs="Segoe UI"/>
                <w:sz w:val="20"/>
                <w:szCs w:val="20"/>
              </w:rPr>
              <w:t>Authority Required (</w:t>
            </w:r>
            <w:r w:rsidRPr="000D6200">
              <w:rPr>
                <w:rFonts w:ascii="Arial Narrow" w:hAnsi="Arial Narrow" w:cs="Segoe UI"/>
                <w:strike/>
                <w:sz w:val="20"/>
                <w:szCs w:val="20"/>
              </w:rPr>
              <w:t>Streamlined</w:t>
            </w:r>
            <w:r w:rsidRPr="000D6200">
              <w:rPr>
                <w:rFonts w:ascii="Arial Narrow" w:hAnsi="Arial Narrow" w:cs="Segoe UI"/>
                <w:sz w:val="20"/>
                <w:szCs w:val="20"/>
              </w:rPr>
              <w:t xml:space="preserve"> </w:t>
            </w:r>
            <w:r w:rsidRPr="000D6200">
              <w:rPr>
                <w:rFonts w:ascii="Arial Narrow" w:hAnsi="Arial Narrow" w:cs="Segoe UI"/>
                <w:i/>
                <w:iCs/>
                <w:sz w:val="20"/>
                <w:szCs w:val="20"/>
              </w:rPr>
              <w:t>written/telephone</w:t>
            </w:r>
            <w:r w:rsidRPr="000D6200">
              <w:rPr>
                <w:rFonts w:ascii="Arial Narrow" w:hAnsi="Arial Narrow" w:cs="Segoe UI"/>
                <w:sz w:val="20"/>
                <w:szCs w:val="20"/>
              </w:rPr>
              <w:t xml:space="preserve">) [new code] </w:t>
            </w:r>
          </w:p>
          <w:p w14:paraId="1A9FD7E0" w14:textId="3A7B7B94" w:rsidR="00930B83" w:rsidRPr="000D6200" w:rsidRDefault="00930B83" w:rsidP="00382842">
            <w:pPr>
              <w:widowControl w:val="0"/>
              <w:jc w:val="left"/>
              <w:textAlignment w:val="baseline"/>
              <w:rPr>
                <w:rFonts w:ascii="Arial Narrow" w:hAnsi="Arial Narrow" w:cs="Segoe UI"/>
                <w:i/>
                <w:iCs/>
                <w:sz w:val="18"/>
                <w:szCs w:val="18"/>
              </w:rPr>
            </w:pPr>
            <w:r w:rsidRPr="000D6200">
              <w:rPr>
                <w:rFonts w:ascii="Arial Narrow" w:hAnsi="Arial Narrow" w:cs="Segoe UI"/>
                <w:i/>
                <w:iCs/>
                <w:sz w:val="20"/>
                <w:szCs w:val="20"/>
              </w:rPr>
              <w:t>Continuing: Authority Required (Streamlined) [new code]</w:t>
            </w:r>
          </w:p>
        </w:tc>
      </w:tr>
      <w:tr w:rsidR="00930B83" w:rsidRPr="009E33B7" w14:paraId="54AF9759" w14:textId="77777777" w:rsidTr="00930B83">
        <w:trPr>
          <w:trHeight w:val="300"/>
        </w:trPr>
        <w:tc>
          <w:tcPr>
            <w:tcW w:w="8872" w:type="dxa"/>
            <w:gridSpan w:val="6"/>
            <w:tcBorders>
              <w:top w:val="single" w:sz="6" w:space="0" w:color="auto"/>
              <w:left w:val="single" w:sz="6" w:space="0" w:color="auto"/>
              <w:right w:val="single" w:sz="6" w:space="0" w:color="auto"/>
            </w:tcBorders>
            <w:shd w:val="clear" w:color="auto" w:fill="auto"/>
            <w:vAlign w:val="center"/>
            <w:hideMark/>
          </w:tcPr>
          <w:p w14:paraId="16CE105A" w14:textId="77777777" w:rsidR="00930B83" w:rsidRPr="009E33B7" w:rsidRDefault="00930B83" w:rsidP="00382842">
            <w:pPr>
              <w:widowControl w:val="0"/>
              <w:jc w:val="left"/>
              <w:rPr>
                <w:rFonts w:ascii="Arial Narrow" w:hAnsi="Arial Narrow" w:cs="Segoe UI"/>
                <w:b/>
                <w:bCs/>
                <w:i/>
                <w:iCs/>
                <w:sz w:val="20"/>
                <w:szCs w:val="20"/>
              </w:rPr>
            </w:pPr>
            <w:r w:rsidRPr="009E33B7">
              <w:rPr>
                <w:rFonts w:ascii="Arial Narrow" w:hAnsi="Arial Narrow" w:cs="Segoe UI"/>
                <w:b/>
                <w:bCs/>
                <w:i/>
                <w:iCs/>
                <w:sz w:val="20"/>
                <w:szCs w:val="20"/>
              </w:rPr>
              <w:t xml:space="preserve">Administrative Advice: </w:t>
            </w:r>
          </w:p>
          <w:p w14:paraId="7A561D51" w14:textId="77777777" w:rsidR="00930B83" w:rsidRPr="009E33B7" w:rsidRDefault="00930B83" w:rsidP="00382842">
            <w:pPr>
              <w:widowControl w:val="0"/>
              <w:jc w:val="left"/>
              <w:rPr>
                <w:rFonts w:ascii="Arial Narrow" w:hAnsi="Arial Narrow" w:cs="Segoe UI"/>
                <w:b/>
                <w:bCs/>
                <w:i/>
                <w:iCs/>
                <w:sz w:val="20"/>
                <w:szCs w:val="20"/>
              </w:rPr>
            </w:pPr>
            <w:r w:rsidRPr="009E33B7">
              <w:rPr>
                <w:rFonts w:ascii="Arial Narrow" w:hAnsi="Arial Narrow" w:cs="Segoe UI"/>
                <w:i/>
                <w:iCs/>
                <w:sz w:val="20"/>
                <w:szCs w:val="20"/>
              </w:rPr>
              <w:t>No increase in the maximum number of repeats may be authorised</w:t>
            </w:r>
          </w:p>
        </w:tc>
      </w:tr>
      <w:tr w:rsidR="00930B83" w:rsidRPr="009E33B7" w14:paraId="0EEE73C8" w14:textId="77777777" w:rsidTr="00930B83">
        <w:trPr>
          <w:trHeight w:val="432"/>
        </w:trPr>
        <w:tc>
          <w:tcPr>
            <w:tcW w:w="887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6C9D333" w14:textId="77777777" w:rsidR="00930B83" w:rsidRPr="009E33B7" w:rsidRDefault="00930B83" w:rsidP="00382842">
            <w:pPr>
              <w:widowControl w:val="0"/>
              <w:jc w:val="left"/>
              <w:textAlignment w:val="baseline"/>
              <w:rPr>
                <w:rFonts w:ascii="Arial Narrow" w:hAnsi="Arial Narrow" w:cs="Segoe UI"/>
                <w:b/>
                <w:i/>
                <w:sz w:val="20"/>
                <w:szCs w:val="20"/>
              </w:rPr>
            </w:pPr>
            <w:r w:rsidRPr="009E33B7">
              <w:rPr>
                <w:rFonts w:ascii="Arial Narrow" w:hAnsi="Arial Narrow" w:cs="Segoe UI"/>
                <w:b/>
                <w:i/>
                <w:sz w:val="20"/>
                <w:szCs w:val="20"/>
              </w:rPr>
              <w:t xml:space="preserve">Administrative Advice: </w:t>
            </w:r>
          </w:p>
          <w:p w14:paraId="17B8284B" w14:textId="77777777" w:rsidR="00930B83" w:rsidRPr="009E33B7" w:rsidDel="00224449" w:rsidRDefault="00930B83" w:rsidP="00382842">
            <w:pPr>
              <w:widowControl w:val="0"/>
              <w:jc w:val="left"/>
              <w:textAlignment w:val="baseline"/>
              <w:rPr>
                <w:rFonts w:ascii="Arial Narrow" w:hAnsi="Arial Narrow" w:cs="Segoe UI"/>
                <w:i/>
                <w:sz w:val="20"/>
                <w:szCs w:val="20"/>
              </w:rPr>
            </w:pPr>
            <w:r w:rsidRPr="009E33B7">
              <w:rPr>
                <w:rFonts w:ascii="Arial Narrow" w:hAnsi="Arial Narrow" w:cs="Segoe UI"/>
                <w:i/>
                <w:sz w:val="20"/>
                <w:szCs w:val="20"/>
              </w:rPr>
              <w:t>No increase in the maximum quantity or number of units may be authorised.</w:t>
            </w:r>
          </w:p>
        </w:tc>
      </w:tr>
      <w:tr w:rsidR="00930B83" w:rsidRPr="009E33B7" w14:paraId="41F471E8" w14:textId="77777777" w:rsidTr="00930B83">
        <w:trPr>
          <w:trHeight w:val="300"/>
        </w:trPr>
        <w:tc>
          <w:tcPr>
            <w:tcW w:w="8872" w:type="dxa"/>
            <w:gridSpan w:val="6"/>
            <w:tcBorders>
              <w:top w:val="single" w:sz="8" w:space="0" w:color="000000" w:themeColor="text1"/>
              <w:left w:val="single" w:sz="6" w:space="0" w:color="auto"/>
              <w:bottom w:val="single" w:sz="6" w:space="0" w:color="auto"/>
              <w:right w:val="single" w:sz="6" w:space="0" w:color="auto"/>
            </w:tcBorders>
            <w:shd w:val="clear" w:color="auto" w:fill="auto"/>
            <w:vAlign w:val="center"/>
            <w:hideMark/>
          </w:tcPr>
          <w:p w14:paraId="5F119E58" w14:textId="77777777" w:rsidR="00930B83" w:rsidRPr="009E33B7" w:rsidRDefault="00930B83" w:rsidP="00382842">
            <w:pPr>
              <w:widowControl w:val="0"/>
              <w:jc w:val="left"/>
              <w:textAlignment w:val="baseline"/>
              <w:rPr>
                <w:rFonts w:ascii="Arial Narrow" w:hAnsi="Arial Narrow" w:cs="Segoe UI"/>
                <w:sz w:val="20"/>
                <w:szCs w:val="20"/>
              </w:rPr>
            </w:pPr>
            <w:proofErr w:type="spellStart"/>
            <w:r w:rsidRPr="009E33B7">
              <w:rPr>
                <w:rFonts w:ascii="Arial Narrow" w:hAnsi="Arial Narrow" w:cs="Segoe UI"/>
                <w:b/>
                <w:bCs/>
                <w:sz w:val="20"/>
                <w:szCs w:val="20"/>
              </w:rPr>
              <w:t>Episodicity</w:t>
            </w:r>
            <w:proofErr w:type="spellEnd"/>
            <w:r w:rsidRPr="009E33B7">
              <w:rPr>
                <w:rFonts w:ascii="Arial Narrow" w:hAnsi="Arial Narrow" w:cs="Segoe UI"/>
                <w:b/>
                <w:bCs/>
                <w:sz w:val="20"/>
                <w:szCs w:val="20"/>
              </w:rPr>
              <w:t xml:space="preserve">: </w:t>
            </w:r>
            <w:r w:rsidRPr="009E33B7">
              <w:rPr>
                <w:rFonts w:ascii="Arial Narrow" w:hAnsi="Arial Narrow" w:cs="Segoe UI"/>
                <w:sz w:val="20"/>
                <w:szCs w:val="20"/>
              </w:rPr>
              <w:t xml:space="preserve">[blank] </w:t>
            </w:r>
          </w:p>
        </w:tc>
      </w:tr>
      <w:tr w:rsidR="00930B83" w:rsidRPr="009E33B7" w14:paraId="4F42E852"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B70BE58" w14:textId="77777777" w:rsidR="00930B83" w:rsidRPr="009E33B7" w:rsidRDefault="00930B83" w:rsidP="00382842">
            <w:pPr>
              <w:widowControl w:val="0"/>
              <w:jc w:val="left"/>
              <w:textAlignment w:val="baseline"/>
              <w:rPr>
                <w:rFonts w:ascii="Arial Narrow" w:hAnsi="Arial Narrow" w:cs="Segoe UI"/>
                <w:sz w:val="20"/>
                <w:szCs w:val="20"/>
              </w:rPr>
            </w:pPr>
            <w:r w:rsidRPr="009E33B7">
              <w:rPr>
                <w:rFonts w:ascii="Arial Narrow" w:hAnsi="Arial Narrow" w:cs="Segoe UI"/>
                <w:b/>
                <w:bCs/>
                <w:sz w:val="20"/>
                <w:szCs w:val="20"/>
              </w:rPr>
              <w:t xml:space="preserve">Severity: </w:t>
            </w:r>
            <w:r w:rsidRPr="009E33B7">
              <w:rPr>
                <w:rFonts w:ascii="Arial Narrow" w:hAnsi="Arial Narrow" w:cs="Segoe UI"/>
                <w:i/>
                <w:iCs/>
                <w:sz w:val="20"/>
                <w:szCs w:val="20"/>
              </w:rPr>
              <w:t>Moderate to severe</w:t>
            </w:r>
            <w:r w:rsidRPr="009E33B7">
              <w:rPr>
                <w:rFonts w:ascii="Arial Narrow" w:hAnsi="Arial Narrow" w:cs="Segoe UI"/>
                <w:sz w:val="20"/>
                <w:szCs w:val="20"/>
              </w:rPr>
              <w:t xml:space="preserve"> </w:t>
            </w:r>
          </w:p>
        </w:tc>
      </w:tr>
      <w:tr w:rsidR="00930B83" w:rsidRPr="009E33B7" w14:paraId="385A27C9"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7A4CD05" w14:textId="77777777" w:rsidR="00930B83" w:rsidRPr="009E33B7" w:rsidRDefault="00930B83" w:rsidP="00382842">
            <w:pPr>
              <w:widowControl w:val="0"/>
              <w:jc w:val="left"/>
              <w:textAlignment w:val="baseline"/>
              <w:rPr>
                <w:rFonts w:ascii="Arial Narrow" w:hAnsi="Arial Narrow" w:cs="Segoe UI"/>
                <w:sz w:val="20"/>
                <w:szCs w:val="20"/>
              </w:rPr>
            </w:pPr>
            <w:r w:rsidRPr="009E33B7">
              <w:rPr>
                <w:rFonts w:ascii="Arial Narrow" w:hAnsi="Arial Narrow" w:cs="Segoe UI"/>
                <w:b/>
                <w:bCs/>
                <w:sz w:val="20"/>
                <w:szCs w:val="20"/>
              </w:rPr>
              <w:t xml:space="preserve">Condition: </w:t>
            </w:r>
            <w:r w:rsidRPr="009E33B7">
              <w:rPr>
                <w:rFonts w:ascii="Arial Narrow" w:hAnsi="Arial Narrow" w:cs="Segoe UI"/>
                <w:i/>
                <w:iCs/>
                <w:sz w:val="20"/>
                <w:szCs w:val="20"/>
              </w:rPr>
              <w:t>Menopause-related vasomotor symptoms (VMS)</w:t>
            </w:r>
          </w:p>
        </w:tc>
      </w:tr>
      <w:tr w:rsidR="00930B83" w:rsidRPr="009E33B7" w14:paraId="310B3223"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13BDFF3" w14:textId="77777777" w:rsidR="00930B83" w:rsidRPr="009E33B7" w:rsidRDefault="00930B83" w:rsidP="00382842">
            <w:pPr>
              <w:widowControl w:val="0"/>
              <w:jc w:val="left"/>
              <w:textAlignment w:val="baseline"/>
              <w:rPr>
                <w:rFonts w:ascii="Arial Narrow" w:hAnsi="Arial Narrow" w:cs="Segoe UI"/>
                <w:sz w:val="20"/>
                <w:szCs w:val="20"/>
              </w:rPr>
            </w:pPr>
            <w:r w:rsidRPr="009E33B7">
              <w:rPr>
                <w:rFonts w:ascii="Arial Narrow" w:hAnsi="Arial Narrow" w:cs="Segoe UI"/>
                <w:b/>
                <w:bCs/>
                <w:sz w:val="20"/>
                <w:szCs w:val="20"/>
              </w:rPr>
              <w:t>Indication:</w:t>
            </w:r>
            <w:r w:rsidRPr="009E33B7">
              <w:rPr>
                <w:rFonts w:ascii="Arial Narrow" w:hAnsi="Arial Narrow" w:cs="Segoe UI"/>
                <w:sz w:val="20"/>
                <w:szCs w:val="20"/>
              </w:rPr>
              <w:t xml:space="preserve"> Moderate to severe menopause-related vasomotor symptoms </w:t>
            </w:r>
            <w:r w:rsidRPr="009E33B7">
              <w:rPr>
                <w:rFonts w:ascii="Arial Narrow" w:hAnsi="Arial Narrow" w:cs="Segoe UI"/>
                <w:i/>
                <w:iCs/>
                <w:sz w:val="20"/>
                <w:szCs w:val="20"/>
              </w:rPr>
              <w:t xml:space="preserve">(VMS) </w:t>
            </w:r>
            <w:r w:rsidRPr="009E33B7">
              <w:rPr>
                <w:rFonts w:ascii="Arial Narrow" w:hAnsi="Arial Narrow" w:cs="Segoe UI"/>
                <w:strike/>
                <w:sz w:val="20"/>
                <w:szCs w:val="20"/>
              </w:rPr>
              <w:t>in patients unsuitable for menopausal hormone therapy</w:t>
            </w:r>
          </w:p>
        </w:tc>
      </w:tr>
      <w:tr w:rsidR="00930B83" w:rsidRPr="009E33B7" w14:paraId="0537566A"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38EB80B" w14:textId="5A676A94" w:rsidR="00930B83" w:rsidRPr="000D6200" w:rsidRDefault="00930B83" w:rsidP="00382842">
            <w:pPr>
              <w:widowControl w:val="0"/>
              <w:jc w:val="left"/>
              <w:textAlignment w:val="baseline"/>
              <w:rPr>
                <w:rFonts w:ascii="Arial Narrow" w:hAnsi="Arial Narrow" w:cs="Segoe UI"/>
                <w:strike/>
                <w:sz w:val="20"/>
                <w:szCs w:val="20"/>
              </w:rPr>
            </w:pPr>
            <w:r w:rsidRPr="000D6200">
              <w:rPr>
                <w:rFonts w:ascii="Arial Narrow" w:hAnsi="Arial Narrow" w:cs="Segoe UI"/>
                <w:b/>
                <w:bCs/>
                <w:strike/>
                <w:color w:val="333333"/>
                <w:sz w:val="20"/>
                <w:szCs w:val="20"/>
              </w:rPr>
              <w:t>Treatment Phase</w:t>
            </w:r>
            <w:r w:rsidRPr="000D6200">
              <w:rPr>
                <w:rFonts w:ascii="Arial Narrow" w:hAnsi="Arial Narrow" w:cs="Segoe UI"/>
                <w:b/>
                <w:strike/>
                <w:sz w:val="20"/>
                <w:szCs w:val="20"/>
              </w:rPr>
              <w:t>:</w:t>
            </w:r>
            <w:r w:rsidRPr="000D6200">
              <w:rPr>
                <w:rFonts w:ascii="Arial Narrow" w:hAnsi="Arial Narrow" w:cs="Segoe UI"/>
                <w:strike/>
                <w:sz w:val="20"/>
                <w:szCs w:val="20"/>
              </w:rPr>
              <w:t xml:space="preserve"> Initial and continuing (All) </w:t>
            </w:r>
          </w:p>
        </w:tc>
      </w:tr>
      <w:tr w:rsidR="00930B83" w:rsidRPr="009E33B7" w14:paraId="5B992EED"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191A5F9" w14:textId="77777777" w:rsidR="00930B83" w:rsidRPr="009E33B7" w:rsidRDefault="00930B83" w:rsidP="00382842">
            <w:pPr>
              <w:widowControl w:val="0"/>
              <w:jc w:val="left"/>
              <w:textAlignment w:val="baseline"/>
              <w:rPr>
                <w:rFonts w:ascii="Arial Narrow" w:hAnsi="Arial Narrow" w:cs="Segoe UI"/>
                <w:strike/>
                <w:sz w:val="20"/>
                <w:szCs w:val="20"/>
              </w:rPr>
            </w:pPr>
            <w:r w:rsidRPr="009E33B7">
              <w:rPr>
                <w:rFonts w:ascii="Arial Narrow" w:hAnsi="Arial Narrow" w:cs="Segoe UI"/>
                <w:b/>
                <w:bCs/>
                <w:strike/>
                <w:color w:val="333333"/>
                <w:sz w:val="20"/>
                <w:szCs w:val="20"/>
              </w:rPr>
              <w:t xml:space="preserve">Clinical criteria: </w:t>
            </w:r>
          </w:p>
        </w:tc>
      </w:tr>
      <w:tr w:rsidR="00930B83" w:rsidRPr="009E33B7" w14:paraId="2D3C3936"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FF676E5" w14:textId="77777777" w:rsidR="00930B83" w:rsidRPr="009E33B7" w:rsidRDefault="00930B83" w:rsidP="00382842">
            <w:pPr>
              <w:widowControl w:val="0"/>
              <w:jc w:val="left"/>
              <w:textAlignment w:val="baseline"/>
              <w:rPr>
                <w:rFonts w:ascii="Arial Narrow" w:hAnsi="Arial Narrow" w:cs="Segoe UI"/>
                <w:strike/>
                <w:sz w:val="20"/>
                <w:szCs w:val="20"/>
              </w:rPr>
            </w:pPr>
            <w:r w:rsidRPr="009E33B7">
              <w:rPr>
                <w:rFonts w:ascii="Arial Narrow" w:hAnsi="Arial Narrow" w:cs="Segoe UI"/>
                <w:strike/>
                <w:sz w:val="20"/>
                <w:szCs w:val="20"/>
              </w:rPr>
              <w:t xml:space="preserve">Participant must be seeking treatment or relief for vasomotor symptoms associated with menopause </w:t>
            </w:r>
          </w:p>
        </w:tc>
      </w:tr>
      <w:tr w:rsidR="00930B83" w:rsidRPr="009E33B7" w14:paraId="1639EF12"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C7C4399" w14:textId="77777777" w:rsidR="00930B83" w:rsidRPr="009E33B7" w:rsidRDefault="00930B83" w:rsidP="00382842">
            <w:pPr>
              <w:widowControl w:val="0"/>
              <w:jc w:val="left"/>
              <w:textAlignment w:val="baseline"/>
              <w:rPr>
                <w:rFonts w:ascii="Arial Narrow" w:hAnsi="Arial Narrow" w:cs="Segoe UI"/>
                <w:strike/>
                <w:sz w:val="20"/>
                <w:szCs w:val="20"/>
              </w:rPr>
            </w:pPr>
            <w:r w:rsidRPr="009E33B7">
              <w:rPr>
                <w:rFonts w:ascii="Arial Narrow" w:hAnsi="Arial Narrow" w:cs="Segoe UI"/>
                <w:b/>
                <w:bCs/>
                <w:strike/>
                <w:color w:val="333333"/>
                <w:sz w:val="20"/>
                <w:szCs w:val="20"/>
              </w:rPr>
              <w:t>AND</w:t>
            </w:r>
            <w:r w:rsidRPr="009E33B7">
              <w:rPr>
                <w:rFonts w:ascii="Arial Narrow" w:hAnsi="Arial Narrow" w:cs="Segoe UI"/>
                <w:strike/>
                <w:color w:val="333333"/>
                <w:sz w:val="20"/>
                <w:szCs w:val="20"/>
              </w:rPr>
              <w:t> </w:t>
            </w:r>
          </w:p>
        </w:tc>
      </w:tr>
      <w:tr w:rsidR="00930B83" w:rsidRPr="009E33B7" w14:paraId="2BB23390"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2AAC0C6" w14:textId="77777777" w:rsidR="00930B83" w:rsidRPr="009E33B7" w:rsidRDefault="00930B83" w:rsidP="00382842">
            <w:pPr>
              <w:widowControl w:val="0"/>
              <w:jc w:val="left"/>
              <w:textAlignment w:val="baseline"/>
              <w:rPr>
                <w:rFonts w:ascii="Arial Narrow" w:hAnsi="Arial Narrow" w:cs="Segoe UI"/>
                <w:sz w:val="20"/>
                <w:szCs w:val="20"/>
              </w:rPr>
            </w:pPr>
            <w:r w:rsidRPr="009E33B7">
              <w:rPr>
                <w:rFonts w:ascii="Arial Narrow" w:hAnsi="Arial Narrow" w:cs="Segoe UI"/>
                <w:b/>
                <w:bCs/>
                <w:color w:val="333333"/>
                <w:sz w:val="20"/>
                <w:szCs w:val="20"/>
              </w:rPr>
              <w:t>Clinical criteria:</w:t>
            </w:r>
            <w:r w:rsidRPr="009E33B7">
              <w:rPr>
                <w:rFonts w:ascii="Arial Narrow" w:hAnsi="Arial Narrow" w:cs="Segoe UI"/>
                <w:color w:val="333333"/>
                <w:sz w:val="20"/>
                <w:szCs w:val="20"/>
              </w:rPr>
              <w:t> </w:t>
            </w:r>
          </w:p>
        </w:tc>
      </w:tr>
      <w:tr w:rsidR="00930B83" w:rsidRPr="009E33B7" w14:paraId="13195F54"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C74421D" w14:textId="77777777" w:rsidR="00930B83" w:rsidRPr="009E33B7" w:rsidRDefault="00930B83" w:rsidP="00382842">
            <w:pPr>
              <w:widowControl w:val="0"/>
              <w:jc w:val="left"/>
              <w:textAlignment w:val="baseline"/>
              <w:rPr>
                <w:rFonts w:ascii="Arial Narrow" w:hAnsi="Arial Narrow" w:cs="Segoe UI"/>
                <w:b/>
                <w:bCs/>
                <w:strike/>
                <w:color w:val="333333"/>
                <w:sz w:val="20"/>
                <w:szCs w:val="20"/>
              </w:rPr>
            </w:pPr>
            <w:r w:rsidRPr="009E33B7">
              <w:rPr>
                <w:rFonts w:ascii="Arial Narrow" w:hAnsi="Arial Narrow" w:cstheme="minorHAnsi"/>
                <w:strike/>
                <w:color w:val="333333"/>
                <w:sz w:val="20"/>
                <w:szCs w:val="20"/>
              </w:rPr>
              <w:t>Patient has vasomotor symptoms and is unsuitable to receive menopausal hormone therapy due to the following:</w:t>
            </w:r>
          </w:p>
        </w:tc>
      </w:tr>
      <w:tr w:rsidR="00930B83" w:rsidRPr="009E33B7" w14:paraId="24718D40"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10769C5" w14:textId="77777777" w:rsidR="00930B83" w:rsidRPr="009E33B7" w:rsidRDefault="00930B83" w:rsidP="00382842">
            <w:pPr>
              <w:widowControl w:val="0"/>
              <w:jc w:val="left"/>
              <w:textAlignment w:val="baseline"/>
              <w:rPr>
                <w:rFonts w:ascii="Arial Narrow" w:hAnsi="Arial Narrow" w:cs="Segoe UI"/>
                <w:b/>
                <w:bCs/>
                <w:strike/>
                <w:color w:val="333333"/>
                <w:sz w:val="20"/>
                <w:szCs w:val="20"/>
              </w:rPr>
            </w:pPr>
            <w:r w:rsidRPr="009E33B7">
              <w:rPr>
                <w:rFonts w:ascii="Arial Narrow" w:hAnsi="Arial Narrow" w:cstheme="minorHAnsi"/>
                <w:strike/>
                <w:color w:val="333333"/>
                <w:sz w:val="20"/>
                <w:szCs w:val="20"/>
              </w:rPr>
              <w:t xml:space="preserve">Patient must have a condition for which menopausal hormone therapy is contraindicated (refer relevant menopausal hormone therapy Product Information for conditions for which therapy is contraindicated) </w:t>
            </w:r>
            <w:r w:rsidRPr="009E33B7">
              <w:rPr>
                <w:rFonts w:ascii="Arial Narrow" w:hAnsi="Arial Narrow" w:cstheme="minorHAnsi"/>
                <w:b/>
                <w:bCs/>
                <w:strike/>
                <w:color w:val="333333"/>
                <w:sz w:val="20"/>
                <w:szCs w:val="20"/>
              </w:rPr>
              <w:t>OR</w:t>
            </w:r>
          </w:p>
        </w:tc>
      </w:tr>
      <w:tr w:rsidR="00930B83" w:rsidRPr="009E33B7" w14:paraId="42BB098F"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7C319A0" w14:textId="77777777" w:rsidR="00930B83" w:rsidRPr="009E33B7" w:rsidRDefault="00930B83" w:rsidP="00382842">
            <w:pPr>
              <w:widowControl w:val="0"/>
              <w:jc w:val="left"/>
              <w:textAlignment w:val="baseline"/>
              <w:rPr>
                <w:rFonts w:ascii="Arial Narrow" w:hAnsi="Arial Narrow" w:cs="Segoe UI"/>
                <w:b/>
                <w:bCs/>
                <w:strike/>
                <w:color w:val="333333"/>
                <w:sz w:val="20"/>
                <w:szCs w:val="20"/>
              </w:rPr>
            </w:pPr>
            <w:r w:rsidRPr="009E33B7">
              <w:rPr>
                <w:rFonts w:ascii="Arial Narrow" w:hAnsi="Arial Narrow" w:cstheme="minorHAnsi"/>
                <w:strike/>
                <w:color w:val="333333"/>
                <w:sz w:val="20"/>
                <w:szCs w:val="20"/>
              </w:rPr>
              <w:t xml:space="preserve">Patients must have discontinued menopausal hormone therapy due to side effects of the medicine or through lack of efficacy </w:t>
            </w:r>
            <w:r w:rsidRPr="009E33B7">
              <w:rPr>
                <w:rFonts w:ascii="Arial Narrow" w:hAnsi="Arial Narrow" w:cstheme="minorHAnsi"/>
                <w:b/>
                <w:bCs/>
                <w:strike/>
                <w:color w:val="333333"/>
                <w:sz w:val="20"/>
                <w:szCs w:val="20"/>
              </w:rPr>
              <w:t>OR</w:t>
            </w:r>
          </w:p>
        </w:tc>
      </w:tr>
      <w:tr w:rsidR="00930B83" w:rsidRPr="009E33B7" w14:paraId="5C1608A0"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D82C03F" w14:textId="77777777" w:rsidR="00930B83" w:rsidRPr="009E33B7" w:rsidRDefault="00930B83" w:rsidP="00382842">
            <w:pPr>
              <w:widowControl w:val="0"/>
              <w:jc w:val="left"/>
              <w:textAlignment w:val="baseline"/>
              <w:rPr>
                <w:rFonts w:ascii="Arial Narrow" w:hAnsi="Arial Narrow" w:cs="Segoe UI"/>
                <w:b/>
                <w:bCs/>
                <w:strike/>
                <w:color w:val="333333"/>
                <w:sz w:val="20"/>
                <w:szCs w:val="20"/>
              </w:rPr>
            </w:pPr>
            <w:r w:rsidRPr="009E33B7">
              <w:rPr>
                <w:rFonts w:ascii="Arial Narrow" w:hAnsi="Arial Narrow" w:cstheme="minorHAnsi"/>
                <w:strike/>
                <w:color w:val="333333"/>
                <w:sz w:val="20"/>
                <w:szCs w:val="20"/>
              </w:rPr>
              <w:t xml:space="preserve">Patient must be </w:t>
            </w:r>
            <w:r w:rsidRPr="009E33B7">
              <w:rPr>
                <w:rFonts w:ascii="Arial Narrow" w:eastAsia="Arial Narrow" w:hAnsi="Arial Narrow" w:cstheme="minorHAnsi"/>
                <w:strike/>
                <w:sz w:val="20"/>
                <w:szCs w:val="20"/>
              </w:rPr>
              <w:t>unwilling to take menopausal hormone therapy following education of the benefits and risks of treatment</w:t>
            </w:r>
          </w:p>
        </w:tc>
      </w:tr>
      <w:tr w:rsidR="00930B83" w:rsidRPr="009E33B7" w14:paraId="670E3015" w14:textId="77777777" w:rsidTr="00930B83">
        <w:trPr>
          <w:trHeight w:val="300"/>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C20B5F9" w14:textId="77777777" w:rsidR="00930B83" w:rsidRPr="009E33B7" w:rsidRDefault="00930B83" w:rsidP="00382842">
            <w:pPr>
              <w:widowControl w:val="0"/>
              <w:jc w:val="left"/>
              <w:textAlignment w:val="baseline"/>
              <w:rPr>
                <w:rFonts w:ascii="Arial Narrow" w:hAnsi="Arial Narrow" w:cs="Segoe UI"/>
                <w:i/>
                <w:iCs/>
                <w:sz w:val="20"/>
                <w:szCs w:val="20"/>
              </w:rPr>
            </w:pPr>
            <w:r w:rsidRPr="009E33B7">
              <w:rPr>
                <w:rFonts w:ascii="Arial Narrow" w:hAnsi="Arial Narrow" w:cs="Segoe UI"/>
                <w:i/>
                <w:iCs/>
                <w:sz w:val="20"/>
                <w:szCs w:val="20"/>
              </w:rPr>
              <w:t>Patient must be unsuitable to receive menopausal hormone therapy due to experiencing at least one of the following:</w:t>
            </w:r>
          </w:p>
          <w:p w14:paraId="0DF1FB8F" w14:textId="77777777" w:rsidR="00930B83" w:rsidRPr="009E33B7" w:rsidRDefault="00930B83" w:rsidP="00382842">
            <w:pPr>
              <w:pStyle w:val="ListParagraph"/>
              <w:widowControl w:val="0"/>
              <w:numPr>
                <w:ilvl w:val="0"/>
                <w:numId w:val="24"/>
              </w:numPr>
              <w:spacing w:after="0"/>
              <w:contextualSpacing/>
              <w:jc w:val="left"/>
              <w:textAlignment w:val="baseline"/>
              <w:rPr>
                <w:rFonts w:ascii="Arial Narrow" w:hAnsi="Arial Narrow" w:cs="Segoe UI"/>
                <w:i/>
                <w:iCs/>
                <w:sz w:val="20"/>
                <w:szCs w:val="20"/>
              </w:rPr>
            </w:pPr>
            <w:r w:rsidRPr="009E33B7">
              <w:rPr>
                <w:rFonts w:ascii="Arial Narrow" w:hAnsi="Arial Narrow" w:cs="Segoe UI"/>
                <w:i/>
                <w:iCs/>
                <w:sz w:val="20"/>
                <w:szCs w:val="20"/>
              </w:rPr>
              <w:t>has a condition for which menopausal hormone therapy is contraindicated, or</w:t>
            </w:r>
          </w:p>
          <w:p w14:paraId="174C5838" w14:textId="77777777" w:rsidR="00930B83" w:rsidRPr="009E33B7" w:rsidRDefault="00930B83" w:rsidP="00382842">
            <w:pPr>
              <w:pStyle w:val="ListParagraph"/>
              <w:widowControl w:val="0"/>
              <w:numPr>
                <w:ilvl w:val="0"/>
                <w:numId w:val="24"/>
              </w:numPr>
              <w:spacing w:after="0"/>
              <w:contextualSpacing/>
              <w:jc w:val="left"/>
              <w:textAlignment w:val="baseline"/>
              <w:rPr>
                <w:rFonts w:ascii="Arial Narrow" w:hAnsi="Arial Narrow" w:cs="Segoe UI"/>
                <w:i/>
                <w:iCs/>
                <w:color w:val="333333"/>
                <w:sz w:val="20"/>
                <w:szCs w:val="20"/>
              </w:rPr>
            </w:pPr>
            <w:r w:rsidRPr="009E33B7">
              <w:rPr>
                <w:rFonts w:ascii="Arial Narrow" w:hAnsi="Arial Narrow" w:cs="Segoe UI"/>
                <w:i/>
                <w:iCs/>
                <w:sz w:val="20"/>
                <w:szCs w:val="20"/>
              </w:rPr>
              <w:t>has discontinued menopausal hormone therapy due to side effects of the medicine or lack of efficacy</w:t>
            </w:r>
          </w:p>
          <w:p w14:paraId="66E129D1" w14:textId="77777777" w:rsidR="00930B83" w:rsidRPr="005F37EC" w:rsidRDefault="00930B83" w:rsidP="00382842">
            <w:pPr>
              <w:pStyle w:val="ListParagraph"/>
              <w:widowControl w:val="0"/>
              <w:numPr>
                <w:ilvl w:val="0"/>
                <w:numId w:val="24"/>
              </w:numPr>
              <w:spacing w:after="0"/>
              <w:contextualSpacing/>
              <w:jc w:val="left"/>
              <w:textAlignment w:val="baseline"/>
              <w:rPr>
                <w:rFonts w:ascii="Arial Narrow" w:hAnsi="Arial Narrow" w:cs="Segoe UI"/>
                <w:i/>
                <w:iCs/>
                <w:strike/>
                <w:color w:val="333333"/>
                <w:sz w:val="20"/>
                <w:szCs w:val="20"/>
              </w:rPr>
            </w:pPr>
            <w:r w:rsidRPr="000D6200">
              <w:rPr>
                <w:rFonts w:ascii="Arial Narrow" w:hAnsi="Arial Narrow" w:cs="Segoe UI"/>
                <w:i/>
                <w:iCs/>
                <w:strike/>
                <w:sz w:val="20"/>
                <w:szCs w:val="20"/>
              </w:rPr>
              <w:t>is unwilling to take menopausal hormone therapy following education of the benefits and risks of treatment</w:t>
            </w:r>
            <w:r w:rsidRPr="005F37EC">
              <w:rPr>
                <w:rFonts w:ascii="Arial Narrow" w:hAnsi="Arial Narrow" w:cs="Segoe UI"/>
                <w:strike/>
                <w:sz w:val="20"/>
                <w:szCs w:val="20"/>
              </w:rPr>
              <w:t xml:space="preserve"> </w:t>
            </w:r>
          </w:p>
        </w:tc>
      </w:tr>
      <w:tr w:rsidR="00930B83" w:rsidRPr="009E33B7" w14:paraId="7ADC636A" w14:textId="77777777" w:rsidTr="00930B83">
        <w:trPr>
          <w:trHeight w:val="304"/>
        </w:trPr>
        <w:tc>
          <w:tcPr>
            <w:tcW w:w="887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9E2A959" w14:textId="77777777" w:rsidR="00930B83" w:rsidRPr="009E33B7" w:rsidRDefault="00930B83" w:rsidP="00382842">
            <w:pPr>
              <w:widowControl w:val="0"/>
              <w:jc w:val="left"/>
              <w:textAlignment w:val="baseline"/>
              <w:rPr>
                <w:rFonts w:ascii="Arial Narrow" w:hAnsi="Arial Narrow" w:cs="Segoe UI"/>
                <w:b/>
                <w:iCs/>
                <w:sz w:val="20"/>
                <w:szCs w:val="20"/>
              </w:rPr>
            </w:pPr>
            <w:r w:rsidRPr="009E33B7">
              <w:rPr>
                <w:rFonts w:ascii="Arial Narrow" w:hAnsi="Arial Narrow" w:cs="Segoe UI"/>
                <w:b/>
                <w:iCs/>
                <w:sz w:val="20"/>
                <w:szCs w:val="20"/>
              </w:rPr>
              <w:t xml:space="preserve">Administrative Advice: </w:t>
            </w:r>
          </w:p>
          <w:p w14:paraId="0787ABF4" w14:textId="77777777" w:rsidR="00930B83" w:rsidRPr="009E33B7" w:rsidRDefault="00930B83" w:rsidP="00382842">
            <w:pPr>
              <w:widowControl w:val="0"/>
              <w:jc w:val="left"/>
              <w:textAlignment w:val="baseline"/>
              <w:rPr>
                <w:rFonts w:ascii="Arial Narrow" w:hAnsi="Arial Narrow" w:cs="Segoe UI"/>
                <w:i/>
                <w:iCs/>
                <w:strike/>
                <w:sz w:val="20"/>
                <w:szCs w:val="20"/>
              </w:rPr>
            </w:pPr>
            <w:r w:rsidRPr="009E33B7">
              <w:rPr>
                <w:rFonts w:ascii="Arial Narrow" w:hAnsi="Arial Narrow"/>
                <w:sz w:val="20"/>
                <w:szCs w:val="20"/>
              </w:rPr>
              <w:t>For prescribing by nurse practitioners as continuing therapy only, where the treatment of, and prescribing of medicine for, a patient has been initiated by a medical practitioner.</w:t>
            </w:r>
          </w:p>
        </w:tc>
      </w:tr>
    </w:tbl>
    <w:p w14:paraId="44872D24" w14:textId="77777777" w:rsidR="009E33B7" w:rsidRPr="009E33B7" w:rsidRDefault="009E33B7" w:rsidP="009E33B7"/>
    <w:tbl>
      <w:tblPr>
        <w:tblW w:w="5000" w:type="pct"/>
        <w:tblLayout w:type="fixed"/>
        <w:tblLook w:val="04A0" w:firstRow="1" w:lastRow="0" w:firstColumn="1" w:lastColumn="0" w:noHBand="0" w:noVBand="1"/>
        <w:tblCaption w:val="Secretariat suggested wording for the restriction "/>
      </w:tblPr>
      <w:tblGrid>
        <w:gridCol w:w="9007"/>
      </w:tblGrid>
      <w:tr w:rsidR="009E33B7" w:rsidRPr="009E33B7" w14:paraId="53F55D51" w14:textId="77777777" w:rsidTr="00930B83">
        <w:trPr>
          <w:trHeight w:val="465"/>
        </w:trPr>
        <w:tc>
          <w:tcPr>
            <w:tcW w:w="8990" w:type="dxa"/>
            <w:tcBorders>
              <w:top w:val="single" w:sz="8" w:space="0" w:color="auto"/>
              <w:left w:val="single" w:sz="8" w:space="0" w:color="auto"/>
              <w:bottom w:val="single" w:sz="8" w:space="0" w:color="auto"/>
              <w:right w:val="single" w:sz="8" w:space="0" w:color="auto"/>
            </w:tcBorders>
            <w:shd w:val="clear" w:color="auto" w:fill="CCCCCC"/>
            <w:tcMar>
              <w:top w:w="15" w:type="dxa"/>
              <w:left w:w="15" w:type="dxa"/>
              <w:bottom w:w="15" w:type="dxa"/>
              <w:right w:w="15" w:type="dxa"/>
            </w:tcMar>
            <w:vAlign w:val="center"/>
          </w:tcPr>
          <w:p w14:paraId="10DB9BD1" w14:textId="77777777" w:rsidR="009E33B7" w:rsidRPr="009E33B7" w:rsidRDefault="009E33B7" w:rsidP="009E33B7">
            <w:pPr>
              <w:keepNext/>
              <w:keepLines/>
              <w:rPr>
                <w:rFonts w:ascii="Arial Narrow" w:eastAsia="Calibri" w:hAnsi="Arial Narrow" w:cs="Calibri"/>
                <w:strike/>
                <w:color w:val="333333"/>
                <w:sz w:val="20"/>
                <w:szCs w:val="20"/>
              </w:rPr>
            </w:pPr>
            <w:r w:rsidRPr="009E33B7">
              <w:rPr>
                <w:rFonts w:ascii="Arial Narrow" w:eastAsia="Calibri" w:hAnsi="Arial Narrow" w:cs="Calibri"/>
                <w:strike/>
                <w:color w:val="333333"/>
                <w:sz w:val="20"/>
                <w:szCs w:val="20"/>
              </w:rPr>
              <w:t>Authority Required (STREAMLINED)</w:t>
            </w:r>
          </w:p>
        </w:tc>
      </w:tr>
      <w:tr w:rsidR="00930B83" w:rsidRPr="009E33B7" w14:paraId="1146A1BF" w14:textId="77777777" w:rsidTr="00930B83">
        <w:trPr>
          <w:trHeight w:val="435"/>
        </w:trPr>
        <w:tc>
          <w:tcPr>
            <w:tcW w:w="899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1F5815BC" w14:textId="77777777" w:rsidR="00930B83" w:rsidRPr="009E33B7" w:rsidRDefault="00930B83" w:rsidP="009E33B7">
            <w:pPr>
              <w:keepNext/>
              <w:keepLines/>
              <w:rPr>
                <w:rFonts w:ascii="Arial Narrow" w:eastAsia="Calibri" w:hAnsi="Arial Narrow" w:cs="Calibri"/>
                <w:b/>
                <w:strike/>
                <w:color w:val="333333"/>
                <w:sz w:val="20"/>
                <w:szCs w:val="20"/>
              </w:rPr>
            </w:pPr>
            <w:r w:rsidRPr="009E33B7">
              <w:rPr>
                <w:rFonts w:ascii="Arial Narrow" w:eastAsia="Calibri" w:hAnsi="Arial Narrow" w:cs="Calibri"/>
                <w:b/>
                <w:strike/>
                <w:color w:val="333333"/>
                <w:sz w:val="20"/>
                <w:szCs w:val="20"/>
              </w:rPr>
              <w:t>Indication: Moderate to severe menopause-related vasomotor symptoms in patients unsuitable for menopausal hormone therapy</w:t>
            </w:r>
          </w:p>
        </w:tc>
      </w:tr>
      <w:tr w:rsidR="00930B83" w:rsidRPr="009E33B7" w14:paraId="578448AF" w14:textId="77777777" w:rsidTr="00930B83">
        <w:trPr>
          <w:trHeight w:val="210"/>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01D639" w14:textId="77777777" w:rsidR="00930B83" w:rsidRPr="009E33B7" w:rsidRDefault="00930B83" w:rsidP="009E33B7">
            <w:pPr>
              <w:keepNext/>
              <w:keepLines/>
              <w:rPr>
                <w:rFonts w:ascii="Arial Narrow" w:eastAsia="Calibri" w:hAnsi="Arial Narrow" w:cs="Calibri"/>
                <w:strike/>
                <w:color w:val="333333"/>
                <w:sz w:val="20"/>
                <w:szCs w:val="20"/>
              </w:rPr>
            </w:pPr>
            <w:r w:rsidRPr="009E33B7">
              <w:rPr>
                <w:rFonts w:ascii="Arial Narrow" w:eastAsia="Calibri" w:hAnsi="Arial Narrow" w:cs="Calibri"/>
                <w:b/>
                <w:strike/>
                <w:color w:val="333333"/>
                <w:sz w:val="20"/>
                <w:szCs w:val="20"/>
              </w:rPr>
              <w:t>Treatment Phase</w:t>
            </w:r>
            <w:r w:rsidRPr="009E33B7">
              <w:rPr>
                <w:rFonts w:ascii="Arial Narrow" w:eastAsia="Calibri" w:hAnsi="Arial Narrow" w:cs="Calibri"/>
                <w:strike/>
                <w:color w:val="333333"/>
                <w:sz w:val="20"/>
                <w:szCs w:val="20"/>
              </w:rPr>
              <w:t>: Grandfather treatment (transition from non-PBS-subsidised treatment)</w:t>
            </w:r>
          </w:p>
        </w:tc>
      </w:tr>
      <w:tr w:rsidR="00930B83" w:rsidRPr="009E33B7" w14:paraId="5EDEBF8B" w14:textId="77777777" w:rsidTr="00930B83">
        <w:trPr>
          <w:trHeight w:val="210"/>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E899324" w14:textId="77777777" w:rsidR="00930B83" w:rsidRPr="009E33B7" w:rsidRDefault="00930B83" w:rsidP="009E33B7">
            <w:pPr>
              <w:keepNext/>
              <w:keepLines/>
              <w:rPr>
                <w:rFonts w:ascii="Arial Narrow" w:eastAsia="Calibri" w:hAnsi="Arial Narrow" w:cs="Calibri"/>
                <w:b/>
                <w:strike/>
                <w:color w:val="333333"/>
                <w:sz w:val="20"/>
                <w:szCs w:val="20"/>
              </w:rPr>
            </w:pPr>
            <w:r w:rsidRPr="009E33B7">
              <w:rPr>
                <w:rFonts w:ascii="Arial Narrow" w:eastAsia="Calibri" w:hAnsi="Arial Narrow" w:cs="Calibri"/>
                <w:b/>
                <w:strike/>
                <w:color w:val="333333"/>
                <w:sz w:val="20"/>
                <w:szCs w:val="20"/>
              </w:rPr>
              <w:t>Clinical criteria</w:t>
            </w:r>
          </w:p>
        </w:tc>
      </w:tr>
      <w:tr w:rsidR="00930B83" w:rsidRPr="009E33B7" w14:paraId="4ECA3689" w14:textId="77777777" w:rsidTr="00930B83">
        <w:trPr>
          <w:trHeight w:val="435"/>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89C7FE" w14:textId="77777777" w:rsidR="00930B83" w:rsidRPr="009E33B7" w:rsidRDefault="00930B83" w:rsidP="009E33B7">
            <w:pPr>
              <w:keepNext/>
              <w:keepLines/>
              <w:rPr>
                <w:rFonts w:ascii="Arial Narrow" w:eastAsia="Calibri" w:hAnsi="Arial Narrow" w:cs="Calibri"/>
                <w:strike/>
                <w:color w:val="333333"/>
                <w:sz w:val="20"/>
                <w:szCs w:val="20"/>
              </w:rPr>
            </w:pPr>
            <w:r w:rsidRPr="009E33B7">
              <w:rPr>
                <w:rFonts w:ascii="Arial Narrow" w:eastAsia="Calibri" w:hAnsi="Arial Narrow" w:cs="Calibri"/>
                <w:strike/>
                <w:color w:val="333333"/>
                <w:sz w:val="20"/>
                <w:szCs w:val="20"/>
              </w:rPr>
              <w:t>Patient must have received non-PBS-subsidised treatment with this drug for this condition prior to (TBD: insert date of PBS listing)</w:t>
            </w:r>
          </w:p>
        </w:tc>
      </w:tr>
      <w:tr w:rsidR="00930B83" w:rsidRPr="009E33B7" w14:paraId="3B2FE105" w14:textId="77777777" w:rsidTr="00930B83">
        <w:trPr>
          <w:trHeight w:val="210"/>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CAB8591" w14:textId="77777777" w:rsidR="00930B83" w:rsidRPr="009E33B7" w:rsidRDefault="00930B83" w:rsidP="009E33B7">
            <w:pPr>
              <w:keepNext/>
              <w:keepLines/>
              <w:rPr>
                <w:rFonts w:ascii="Arial Narrow" w:eastAsia="Calibri" w:hAnsi="Arial Narrow" w:cs="Calibri"/>
                <w:b/>
                <w:strike/>
                <w:color w:val="333333"/>
                <w:sz w:val="20"/>
                <w:szCs w:val="20"/>
              </w:rPr>
            </w:pPr>
            <w:r w:rsidRPr="009E33B7">
              <w:rPr>
                <w:rFonts w:ascii="Arial Narrow" w:eastAsia="Calibri" w:hAnsi="Arial Narrow" w:cs="Calibri"/>
                <w:b/>
                <w:strike/>
                <w:color w:val="333333"/>
                <w:sz w:val="20"/>
                <w:szCs w:val="20"/>
              </w:rPr>
              <w:t>AND</w:t>
            </w:r>
          </w:p>
        </w:tc>
      </w:tr>
      <w:tr w:rsidR="00930B83" w:rsidRPr="009E33B7" w14:paraId="7F550B02" w14:textId="77777777" w:rsidTr="00930B83">
        <w:trPr>
          <w:trHeight w:val="210"/>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3DD6414" w14:textId="77777777" w:rsidR="00930B83" w:rsidRPr="009E33B7" w:rsidRDefault="00930B83" w:rsidP="009E33B7">
            <w:pPr>
              <w:keepNext/>
              <w:keepLines/>
              <w:rPr>
                <w:rFonts w:ascii="Arial Narrow" w:eastAsia="Calibri" w:hAnsi="Arial Narrow" w:cs="Calibri"/>
                <w:b/>
                <w:strike/>
                <w:color w:val="333333"/>
                <w:sz w:val="20"/>
                <w:szCs w:val="20"/>
              </w:rPr>
            </w:pPr>
            <w:r w:rsidRPr="009E33B7">
              <w:rPr>
                <w:rFonts w:ascii="Arial Narrow" w:eastAsia="Calibri" w:hAnsi="Arial Narrow" w:cs="Calibri"/>
                <w:b/>
                <w:strike/>
                <w:color w:val="333333"/>
                <w:sz w:val="20"/>
                <w:szCs w:val="20"/>
              </w:rPr>
              <w:t>Clinical criteria</w:t>
            </w:r>
          </w:p>
        </w:tc>
      </w:tr>
      <w:tr w:rsidR="00930B83" w:rsidRPr="009E33B7" w14:paraId="72B588D0" w14:textId="77777777" w:rsidTr="00930B83">
        <w:trPr>
          <w:trHeight w:val="225"/>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00B1E5" w14:textId="77777777" w:rsidR="00930B83" w:rsidRPr="009E33B7" w:rsidRDefault="00930B83" w:rsidP="009E33B7">
            <w:pPr>
              <w:keepNext/>
              <w:keepLines/>
              <w:rPr>
                <w:rFonts w:ascii="Arial Narrow" w:eastAsia="Calibri" w:hAnsi="Arial Narrow" w:cs="Calibri"/>
                <w:strike/>
                <w:color w:val="333333"/>
                <w:sz w:val="20"/>
                <w:szCs w:val="20"/>
              </w:rPr>
            </w:pPr>
            <w:r w:rsidRPr="009E33B7">
              <w:rPr>
                <w:rFonts w:ascii="Arial Narrow" w:eastAsia="Calibri" w:hAnsi="Arial Narrow" w:cs="Calibri"/>
                <w:strike/>
                <w:color w:val="333333"/>
                <w:sz w:val="20"/>
                <w:szCs w:val="20"/>
              </w:rPr>
              <w:t>The patient must meet the clinical criteria as specified in the “Initial and continuing” treatment criteria</w:t>
            </w:r>
          </w:p>
        </w:tc>
      </w:tr>
      <w:tr w:rsidR="00930B83" w:rsidRPr="009E33B7" w14:paraId="380FCBAB" w14:textId="77777777" w:rsidTr="00930B83">
        <w:trPr>
          <w:trHeight w:val="1155"/>
        </w:trPr>
        <w:tc>
          <w:tcPr>
            <w:tcW w:w="899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825AD1" w14:textId="77777777" w:rsidR="00930B83" w:rsidRPr="009E33B7" w:rsidRDefault="00930B83" w:rsidP="009E33B7">
            <w:pPr>
              <w:keepNext/>
              <w:keepLines/>
              <w:rPr>
                <w:rFonts w:ascii="Arial Narrow" w:eastAsia="Calibri" w:hAnsi="Arial Narrow" w:cs="Calibri"/>
                <w:strike/>
                <w:color w:val="333333"/>
                <w:sz w:val="20"/>
                <w:szCs w:val="20"/>
              </w:rPr>
            </w:pPr>
            <w:r w:rsidRPr="009E33B7">
              <w:rPr>
                <w:rFonts w:ascii="Arial Narrow" w:eastAsia="Calibri" w:hAnsi="Arial Narrow" w:cs="Calibri"/>
                <w:b/>
                <w:strike/>
                <w:color w:val="333333"/>
                <w:sz w:val="20"/>
                <w:szCs w:val="20"/>
              </w:rPr>
              <w:t>Note</w:t>
            </w:r>
            <w:r w:rsidRPr="009E33B7">
              <w:rPr>
                <w:rFonts w:ascii="Arial Narrow" w:eastAsia="Calibri" w:hAnsi="Arial Narrow" w:cs="Calibri"/>
                <w:strike/>
                <w:color w:val="333333"/>
                <w:sz w:val="20"/>
                <w:szCs w:val="20"/>
              </w:rPr>
              <w:t>: This grandfather restriction will cease to operate from 12 months after the date specified in the clinical criteria</w:t>
            </w:r>
          </w:p>
          <w:p w14:paraId="0AE2C0EC" w14:textId="77777777" w:rsidR="00930B83" w:rsidRPr="009E33B7" w:rsidRDefault="00930B83" w:rsidP="009E33B7">
            <w:pPr>
              <w:keepNext/>
              <w:keepLines/>
              <w:rPr>
                <w:rFonts w:ascii="Arial Narrow" w:eastAsia="Calibri" w:hAnsi="Arial Narrow" w:cs="Calibri"/>
                <w:strike/>
                <w:color w:val="333333"/>
                <w:sz w:val="20"/>
                <w:szCs w:val="20"/>
              </w:rPr>
            </w:pPr>
            <w:r w:rsidRPr="009E33B7">
              <w:rPr>
                <w:rFonts w:ascii="Arial Narrow" w:eastAsia="Calibri" w:hAnsi="Arial Narrow" w:cs="Calibri"/>
                <w:b/>
                <w:strike/>
                <w:color w:val="333333"/>
                <w:sz w:val="20"/>
                <w:szCs w:val="20"/>
              </w:rPr>
              <w:t>Note</w:t>
            </w:r>
            <w:r w:rsidRPr="009E33B7">
              <w:rPr>
                <w:rFonts w:ascii="Arial Narrow" w:eastAsia="Calibri" w:hAnsi="Arial Narrow" w:cs="Calibri"/>
                <w:strike/>
                <w:color w:val="333333"/>
                <w:sz w:val="20"/>
                <w:szCs w:val="20"/>
              </w:rPr>
              <w:t>: For prescribing by nurse practitioners as continuing therapy only, where the treatment of, and prescribing of medicine for, a patient has been initiated by a medical practitioner.</w:t>
            </w:r>
          </w:p>
        </w:tc>
      </w:tr>
    </w:tbl>
    <w:p w14:paraId="51051FDC" w14:textId="77777777" w:rsidR="009E33B7" w:rsidRPr="009E33B7" w:rsidRDefault="009E33B7" w:rsidP="009E33B7"/>
    <w:p w14:paraId="227A8BBE" w14:textId="26F1FB58" w:rsidR="00D549CD" w:rsidRDefault="00D549CD" w:rsidP="00BA00F6">
      <w:pPr>
        <w:pStyle w:val="ExecSumBodyText"/>
        <w:numPr>
          <w:ilvl w:val="1"/>
          <w:numId w:val="1"/>
        </w:numPr>
        <w:ind w:left="720"/>
      </w:pPr>
      <w:r w:rsidRPr="00D549CD">
        <w:t xml:space="preserve">The submission requested a Section 85 (General Schedule) Authority Required (STREAMLINED) listing. DUSC </w:t>
      </w:r>
      <w:r w:rsidR="00C42532">
        <w:t>considered that</w:t>
      </w:r>
      <w:r w:rsidRPr="00D549CD">
        <w:t xml:space="preserve"> as </w:t>
      </w:r>
      <w:r w:rsidR="00C42532">
        <w:t>fezolinetant</w:t>
      </w:r>
      <w:r w:rsidRPr="00D549CD">
        <w:t xml:space="preserve"> is first in class</w:t>
      </w:r>
      <w:r w:rsidR="009D04A2">
        <w:t xml:space="preserve"> drug,</w:t>
      </w:r>
      <w:r w:rsidRPr="00D549CD">
        <w:t xml:space="preserve"> an Authority Required (Written) or Authority Required (Telephone) may be more appropriate. </w:t>
      </w:r>
    </w:p>
    <w:p w14:paraId="1DDC3E0E" w14:textId="59134122" w:rsidR="00380B52" w:rsidRPr="005A7226" w:rsidRDefault="005240BF">
      <w:pPr>
        <w:pStyle w:val="3-BodyText"/>
        <w:ind w:left="720"/>
      </w:pPr>
      <w:r w:rsidRPr="005A7226">
        <w:t xml:space="preserve">At the recommended dose of one tablet per day, the requested maximum quantity and number of repeats would provide six months of treatment for fezolinetant. In the 24-week DAYLIGHT trial, treatment compliance was high; 66.8% of patients had exposure to fezolinetant for </w:t>
      </w:r>
      <w:r w:rsidRPr="00D43AD3">
        <w:rPr>
          <w:rFonts w:cs="Calibri"/>
        </w:rPr>
        <w:t>≥</w:t>
      </w:r>
      <w:r w:rsidRPr="005A7226">
        <w:t>168 days.</w:t>
      </w:r>
      <w:r w:rsidR="00CF6E6B" w:rsidRPr="00B11DA2">
        <w:rPr>
          <w:color w:val="000000"/>
          <w:w w:val="15"/>
          <w:shd w:val="solid" w:color="000000" w:fill="000000"/>
          <w:fitText w:val="-20" w:id="-694454784"/>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84"/>
          <w14:textFill>
            <w14:solidFill>
              <w14:srgbClr w14:val="000000">
                <w14:alpha w14:val="100000"/>
              </w14:srgbClr>
            </w14:solidFill>
          </w14:textFill>
        </w:rPr>
        <w:t>|</w:t>
      </w:r>
    </w:p>
    <w:p w14:paraId="2EFD7292" w14:textId="6C16DC5B" w:rsidR="00380B52" w:rsidRPr="005A7226" w:rsidRDefault="00176BDA" w:rsidP="00BA00F6">
      <w:pPr>
        <w:pStyle w:val="ExecSumBodyText"/>
        <w:numPr>
          <w:ilvl w:val="1"/>
          <w:numId w:val="1"/>
        </w:numPr>
        <w:ind w:left="720"/>
      </w:pPr>
      <w:bookmarkStart w:id="9" w:name="_Ref195609283"/>
      <w:r w:rsidRPr="005A7226">
        <w:t>The requested dispensed price for maximum quantity (DPMQ) for fezolinetant is $</w:t>
      </w:r>
      <w:r w:rsidR="00CF6E6B" w:rsidRPr="00B11DA2">
        <w:rPr>
          <w:color w:val="000000"/>
          <w:w w:val="15"/>
          <w:shd w:val="solid" w:color="000000" w:fill="000000"/>
          <w:fitText w:val="-20" w:id="-694454783"/>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83"/>
          <w14:textFill>
            <w14:solidFill>
              <w14:srgbClr w14:val="000000">
                <w14:alpha w14:val="100000"/>
              </w14:srgbClr>
            </w14:solidFill>
          </w14:textFill>
        </w:rPr>
        <w:t>|</w:t>
      </w:r>
      <w:r w:rsidRPr="005A7226">
        <w:t xml:space="preserve"> (AEMP $</w:t>
      </w:r>
      <w:r w:rsidR="00CF6E6B" w:rsidRPr="00B11DA2">
        <w:rPr>
          <w:color w:val="000000"/>
          <w:w w:val="15"/>
          <w:shd w:val="solid" w:color="000000" w:fill="000000"/>
          <w:fitText w:val="-20" w:id="-694454782"/>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82"/>
          <w14:textFill>
            <w14:solidFill>
              <w14:srgbClr w14:val="000000">
                <w14:alpha w14:val="100000"/>
              </w14:srgbClr>
            </w14:solidFill>
          </w14:textFill>
        </w:rPr>
        <w:t>|</w:t>
      </w:r>
      <w:r w:rsidRPr="005A7226">
        <w:t xml:space="preserve">). Cost-minimisation analysis conducted during the evaluation found that the proposed DPMQ for fezolinetant was </w:t>
      </w:r>
      <w:r w:rsidR="00CF6E6B" w:rsidRPr="00B11DA2">
        <w:rPr>
          <w:color w:val="000000"/>
          <w:w w:val="15"/>
          <w:shd w:val="solid" w:color="000000" w:fill="000000"/>
          <w:fitText w:val="-20" w:id="-694454781"/>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81"/>
          <w14:textFill>
            <w14:solidFill>
              <w14:srgbClr w14:val="000000">
                <w14:alpha w14:val="100000"/>
              </w14:srgbClr>
            </w14:solidFill>
          </w14:textFill>
        </w:rPr>
        <w:t>|</w:t>
      </w:r>
      <w:r w:rsidRPr="005A7226">
        <w:t xml:space="preserve">% higher than some of the most expensive MHTs available (i.e., </w:t>
      </w:r>
      <w:r w:rsidR="00F974A7" w:rsidRPr="005A7226">
        <w:t>oestradiol</w:t>
      </w:r>
      <w:r w:rsidRPr="005A7226">
        <w:t xml:space="preserve"> 50 microgram/24 hours patch [4] (&amp;) </w:t>
      </w:r>
      <w:r w:rsidR="00F974A7" w:rsidRPr="005A7226">
        <w:t>oestradiol</w:t>
      </w:r>
      <w:r w:rsidRPr="005A7226">
        <w:t xml:space="preserve"> 50 microgram/24 hours + norethisterone acetate 250 microgram/24 hours patch [4], with a DPMQ of $43.29).</w:t>
      </w:r>
      <w:r w:rsidR="00510149">
        <w:t xml:space="preserve"> The private cost for fezolinetant is </w:t>
      </w:r>
      <w:r w:rsidR="00AD6E70">
        <w:t xml:space="preserve">approximately </w:t>
      </w:r>
      <w:r w:rsidR="007A3807">
        <w:t>$</w:t>
      </w:r>
      <w:r w:rsidR="00AD6E70">
        <w:t>70</w:t>
      </w:r>
      <w:r w:rsidR="007A3807">
        <w:rPr>
          <w:rStyle w:val="FootnoteReference"/>
        </w:rPr>
        <w:footnoteReference w:id="2"/>
      </w:r>
      <w:r w:rsidR="00FD453B">
        <w:t>.</w:t>
      </w:r>
      <w:bookmarkEnd w:id="9"/>
    </w:p>
    <w:p w14:paraId="566563A0" w14:textId="43B835EB" w:rsidR="007823D3" w:rsidRPr="002D4661" w:rsidRDefault="00404D72" w:rsidP="000968AB">
      <w:pPr>
        <w:pStyle w:val="ExecSumBodyText"/>
        <w:numPr>
          <w:ilvl w:val="1"/>
          <w:numId w:val="1"/>
        </w:numPr>
        <w:ind w:left="720"/>
      </w:pPr>
      <w:r w:rsidRPr="002D4661">
        <w:t xml:space="preserve">The </w:t>
      </w:r>
      <w:r w:rsidR="00E17BBD" w:rsidRPr="00E17BBD">
        <w:t xml:space="preserve">pre-subcommittee response </w:t>
      </w:r>
      <w:r w:rsidR="00E17BBD">
        <w:t>(</w:t>
      </w:r>
      <w:r w:rsidRPr="002D4661">
        <w:t>PSCR) agreed with the secretariat’s proposed simplification of the indication to “Moderate to severe vasomotor symptoms (VMS) associated with menopause”</w:t>
      </w:r>
      <w:r w:rsidR="007823D3" w:rsidRPr="002D4661">
        <w:t>, with restrictions limiting treatment to patients who are unsuitable for MHT included in the proposed clinical criteria</w:t>
      </w:r>
      <w:r w:rsidR="0081228C" w:rsidRPr="002D4661">
        <w:t>.</w:t>
      </w:r>
    </w:p>
    <w:p w14:paraId="11AEEB88" w14:textId="6B6928F6" w:rsidR="00404D72" w:rsidRPr="00193449" w:rsidRDefault="00404D72" w:rsidP="000968AB">
      <w:pPr>
        <w:pStyle w:val="ExecSumBodyText"/>
        <w:numPr>
          <w:ilvl w:val="1"/>
          <w:numId w:val="1"/>
        </w:numPr>
        <w:ind w:left="720"/>
      </w:pPr>
      <w:r w:rsidRPr="00193449">
        <w:t xml:space="preserve">The submission proposed a clinical criterion that ‘Participant must be seeking treatment or relief for vasomotor symptoms associated with menopause’. The Secretariat and DUSC </w:t>
      </w:r>
      <w:r w:rsidR="00DA5749" w:rsidRPr="00193449">
        <w:t>considered that</w:t>
      </w:r>
      <w:r w:rsidRPr="00193449">
        <w:t xml:space="preserve"> this wording is redundant.</w:t>
      </w:r>
    </w:p>
    <w:p w14:paraId="49AEFCD0" w14:textId="562F5821" w:rsidR="00176BDA" w:rsidRPr="005A7226" w:rsidRDefault="00176BDA" w:rsidP="00BA00F6">
      <w:pPr>
        <w:pStyle w:val="ExecSumBodyText"/>
        <w:numPr>
          <w:ilvl w:val="1"/>
          <w:numId w:val="1"/>
        </w:numPr>
        <w:ind w:left="720"/>
      </w:pPr>
      <w:r w:rsidRPr="005A7226">
        <w:t xml:space="preserve">The submission requested a grandfathering restriction for patients </w:t>
      </w:r>
      <w:r w:rsidR="00F76E74" w:rsidRPr="005A7226">
        <w:t xml:space="preserve">who </w:t>
      </w:r>
      <w:r w:rsidRPr="005A7226">
        <w:t>are treated with fezolinetant privately since it became available in the private market in April</w:t>
      </w:r>
      <w:r w:rsidR="00CC5546">
        <w:t> </w:t>
      </w:r>
      <w:r w:rsidRPr="005A7226">
        <w:t>2024. The submission expect</w:t>
      </w:r>
      <w:r w:rsidR="00F76E74" w:rsidRPr="005A7226">
        <w:t>ed</w:t>
      </w:r>
      <w:r w:rsidRPr="005A7226">
        <w:t xml:space="preserve"> </w:t>
      </w:r>
      <w:r w:rsidR="000B32E7" w:rsidRPr="000B32E7">
        <w:t>20,000 to &lt; 30,000</w:t>
      </w:r>
      <w:r w:rsidR="00CC5546">
        <w:t xml:space="preserve"> </w:t>
      </w:r>
      <w:r w:rsidRPr="005A7226">
        <w:t xml:space="preserve">grandfathered patients to be eligible for treatment on the PBS. </w:t>
      </w:r>
      <w:r w:rsidR="0040099E" w:rsidRPr="005A7226">
        <w:t xml:space="preserve">It was unclear the rationale for a separate grandfather listing given these patients would be eligible under the requested restriction. </w:t>
      </w:r>
      <w:r w:rsidR="00C71FDA" w:rsidRPr="005A7226">
        <w:t>In the financial estimates,</w:t>
      </w:r>
      <w:r w:rsidRPr="005A7226">
        <w:t xml:space="preserve"> the submission assumed grandfathered patients </w:t>
      </w:r>
      <w:r w:rsidR="00F76E74" w:rsidRPr="005A7226">
        <w:t xml:space="preserve">would </w:t>
      </w:r>
      <w:r w:rsidRPr="005A7226">
        <w:t xml:space="preserve">receive treatment for only six months in the private market before transitioning to PBS </w:t>
      </w:r>
      <w:r w:rsidR="00F76E74" w:rsidRPr="005A7226">
        <w:t>use</w:t>
      </w:r>
      <w:r w:rsidRPr="005A7226">
        <w:t xml:space="preserve">. </w:t>
      </w:r>
    </w:p>
    <w:p w14:paraId="178377AC" w14:textId="0AA11DAC" w:rsidR="001D3A43" w:rsidRPr="005A7226" w:rsidRDefault="007F2552" w:rsidP="00BA00F6">
      <w:pPr>
        <w:pStyle w:val="ExecSumBodyText"/>
        <w:numPr>
          <w:ilvl w:val="1"/>
          <w:numId w:val="1"/>
        </w:numPr>
        <w:ind w:left="720"/>
      </w:pPr>
      <w:r w:rsidRPr="005A7226">
        <w:t xml:space="preserve">The </w:t>
      </w:r>
      <w:r w:rsidR="001D3A43" w:rsidRPr="005A7226">
        <w:t>requested indication was for moderate to severe menopause-related vasomotor symptoms in patients unsuitable for menopausal hormone therapy</w:t>
      </w:r>
      <w:r w:rsidR="00DA6B23" w:rsidRPr="005A7226">
        <w:t>. T</w:t>
      </w:r>
      <w:r w:rsidR="00524017" w:rsidRPr="005A7226">
        <w:t xml:space="preserve">he </w:t>
      </w:r>
      <w:r w:rsidR="00AD62A7" w:rsidRPr="005A7226">
        <w:t>ESC noted that menopause is defined retrospectively, as the last menstrual period</w:t>
      </w:r>
      <w:r w:rsidR="00651248" w:rsidRPr="005A7226">
        <w:t xml:space="preserve">. </w:t>
      </w:r>
      <w:r w:rsidR="001D3A43" w:rsidRPr="005A7226">
        <w:t>T</w:t>
      </w:r>
      <w:r w:rsidR="00D347B0" w:rsidRPr="005A7226">
        <w:t xml:space="preserve">he ESC queried </w:t>
      </w:r>
      <w:r w:rsidR="008616B9" w:rsidRPr="005A7226">
        <w:t>whether</w:t>
      </w:r>
      <w:r w:rsidR="00D347B0" w:rsidRPr="005A7226">
        <w:t xml:space="preserve"> the </w:t>
      </w:r>
      <w:r w:rsidR="00292454" w:rsidRPr="005A7226">
        <w:t xml:space="preserve">proposed </w:t>
      </w:r>
      <w:r w:rsidR="0025143D" w:rsidRPr="005A7226">
        <w:t>restriction</w:t>
      </w:r>
      <w:r w:rsidR="00292454" w:rsidRPr="005A7226">
        <w:t xml:space="preserve"> </w:t>
      </w:r>
      <w:r w:rsidR="0029502D" w:rsidRPr="005A7226">
        <w:t xml:space="preserve">would exclude women </w:t>
      </w:r>
      <w:r w:rsidR="0025143D" w:rsidRPr="005A7226">
        <w:t xml:space="preserve">in </w:t>
      </w:r>
      <w:r w:rsidR="0029502D" w:rsidRPr="005A7226">
        <w:t>perimenopaus</w:t>
      </w:r>
      <w:r w:rsidR="0025143D" w:rsidRPr="005A7226">
        <w:t>e</w:t>
      </w:r>
      <w:r w:rsidR="00BB0FE4" w:rsidRPr="005A7226">
        <w:t xml:space="preserve">, noting that </w:t>
      </w:r>
      <w:r w:rsidR="008F7AE0" w:rsidRPr="005A7226">
        <w:t xml:space="preserve">women in the perimenopause phase also </w:t>
      </w:r>
      <w:r w:rsidR="00720ACA" w:rsidRPr="005A7226">
        <w:t xml:space="preserve">frequently </w:t>
      </w:r>
      <w:r w:rsidR="00BB0FE4" w:rsidRPr="005A7226">
        <w:t xml:space="preserve">experience </w:t>
      </w:r>
      <w:r w:rsidR="008F7AE0" w:rsidRPr="005A7226">
        <w:t>VMS</w:t>
      </w:r>
      <w:r w:rsidR="00D24579" w:rsidRPr="005A7226">
        <w:t>. However, the ESC noted that</w:t>
      </w:r>
      <w:r w:rsidR="008616B9" w:rsidRPr="005A7226">
        <w:t xml:space="preserve"> the key trials included only post-menopausal women</w:t>
      </w:r>
      <w:r w:rsidR="00096631" w:rsidRPr="005A7226">
        <w:t xml:space="preserve"> </w:t>
      </w:r>
      <w:r w:rsidR="009C157A" w:rsidRPr="005A7226">
        <w:t>(</w:t>
      </w:r>
      <w:r w:rsidR="008616B9" w:rsidRPr="005A7226">
        <w:t xml:space="preserve">excluding </w:t>
      </w:r>
      <w:r w:rsidR="00096631" w:rsidRPr="005A7226">
        <w:t xml:space="preserve">perimenopausal </w:t>
      </w:r>
      <w:r w:rsidR="008616B9" w:rsidRPr="005A7226">
        <w:t>women</w:t>
      </w:r>
      <w:r w:rsidR="009C157A" w:rsidRPr="005A7226">
        <w:t>)</w:t>
      </w:r>
      <w:r w:rsidR="00096631" w:rsidRPr="005A7226">
        <w:t xml:space="preserve"> and therefore the evidence is lacking in this group</w:t>
      </w:r>
      <w:r w:rsidR="008616B9" w:rsidRPr="005A7226">
        <w:t>.</w:t>
      </w:r>
    </w:p>
    <w:p w14:paraId="04E4CE09" w14:textId="0608C1A3" w:rsidR="00BA00F6" w:rsidRPr="005A7226" w:rsidRDefault="00176BDA">
      <w:pPr>
        <w:pStyle w:val="ExecSumBodyText"/>
        <w:numPr>
          <w:ilvl w:val="1"/>
          <w:numId w:val="1"/>
        </w:numPr>
        <w:ind w:left="720"/>
      </w:pPr>
      <w:bookmarkStart w:id="10" w:name="_Ref190846402"/>
      <w:r w:rsidRPr="005A7226">
        <w:t xml:space="preserve">The requested restriction </w:t>
      </w:r>
      <w:r w:rsidR="00D61558" w:rsidRPr="005A7226">
        <w:t xml:space="preserve">would </w:t>
      </w:r>
      <w:r w:rsidR="009A507C" w:rsidRPr="005A7226">
        <w:t>not limit treatment to patients with contraindication</w:t>
      </w:r>
      <w:r w:rsidR="00D92145" w:rsidRPr="005A7226">
        <w:t>s</w:t>
      </w:r>
      <w:r w:rsidR="009A507C" w:rsidRPr="005A7226">
        <w:t xml:space="preserve"> to MHT</w:t>
      </w:r>
      <w:r w:rsidR="001416F4" w:rsidRPr="005A7226">
        <w:t>,</w:t>
      </w:r>
      <w:r w:rsidR="009A507C" w:rsidRPr="005A7226">
        <w:t xml:space="preserve"> or for whom MHT is not effective</w:t>
      </w:r>
      <w:r w:rsidR="000A7238" w:rsidRPr="005A7226">
        <w:t xml:space="preserve">, resulting in a very </w:t>
      </w:r>
      <w:r w:rsidR="00DE5823" w:rsidRPr="005A7226">
        <w:t>br</w:t>
      </w:r>
      <w:r w:rsidR="00F02205">
        <w:t>o</w:t>
      </w:r>
      <w:r w:rsidR="00DE5823" w:rsidRPr="005A7226">
        <w:t>ad</w:t>
      </w:r>
      <w:r w:rsidR="000A7238" w:rsidRPr="005A7226">
        <w:t xml:space="preserve"> population being eligible for fezolinetant</w:t>
      </w:r>
      <w:r w:rsidR="001416F4" w:rsidRPr="005A7226">
        <w:t>.</w:t>
      </w:r>
      <w:bookmarkEnd w:id="10"/>
      <w:r w:rsidR="002A2871">
        <w:t xml:space="preserve"> </w:t>
      </w:r>
      <w:r w:rsidR="00E31044" w:rsidRPr="005A7226">
        <w:t xml:space="preserve">The requested restriction would allow patients to access fezolinetant based on an unwillingness </w:t>
      </w:r>
      <w:r w:rsidR="00064F46" w:rsidRPr="005A7226">
        <w:t xml:space="preserve">(i.e. </w:t>
      </w:r>
      <w:r w:rsidR="0058415E" w:rsidRPr="005A7226">
        <w:t>preference</w:t>
      </w:r>
      <w:r w:rsidR="00064F46" w:rsidRPr="005A7226">
        <w:t xml:space="preserve"> not) </w:t>
      </w:r>
      <w:r w:rsidR="00E31044" w:rsidRPr="005A7226">
        <w:t>to take MHT</w:t>
      </w:r>
      <w:r w:rsidR="0036408C" w:rsidRPr="005A7226">
        <w:t>.</w:t>
      </w:r>
      <w:r w:rsidR="00FB4012" w:rsidRPr="005A7226">
        <w:t xml:space="preserve"> </w:t>
      </w:r>
      <w:r w:rsidR="00E31044" w:rsidRPr="005A7226">
        <w:t xml:space="preserve">This </w:t>
      </w:r>
      <w:r w:rsidR="00FB4012" w:rsidRPr="005A7226">
        <w:t>wa</w:t>
      </w:r>
      <w:r w:rsidR="00E31044" w:rsidRPr="005A7226">
        <w:t>s consistent with</w:t>
      </w:r>
      <w:r w:rsidR="00823A2C" w:rsidRPr="005A7226">
        <w:t xml:space="preserve"> clinical</w:t>
      </w:r>
      <w:r w:rsidR="00E31044" w:rsidRPr="005A7226">
        <w:t xml:space="preserve"> treatment guidelines</w:t>
      </w:r>
      <w:r w:rsidR="009103B2" w:rsidRPr="005A7226">
        <w:rPr>
          <w:rStyle w:val="FootnoteReference"/>
        </w:rPr>
        <w:footnoteReference w:id="3"/>
      </w:r>
      <w:r w:rsidR="00DC2690" w:rsidRPr="005A7226">
        <w:t xml:space="preserve"> (which list “personal wish not to use hormones” as a </w:t>
      </w:r>
      <w:r w:rsidR="00674699" w:rsidRPr="005A7226">
        <w:t>contraindication</w:t>
      </w:r>
      <w:r w:rsidR="009864AC" w:rsidRPr="005A7226">
        <w:t>)</w:t>
      </w:r>
      <w:r w:rsidR="00E31044" w:rsidRPr="005A7226">
        <w:t xml:space="preserve">, </w:t>
      </w:r>
      <w:r w:rsidR="00260180">
        <w:t xml:space="preserve">and with </w:t>
      </w:r>
      <w:r w:rsidR="00E31044" w:rsidRPr="005A7226">
        <w:t xml:space="preserve">the clinical trial population, the economic evaluation, and financial estimates. However, the </w:t>
      </w:r>
      <w:r w:rsidR="007525E1" w:rsidRPr="005A7226">
        <w:t xml:space="preserve">evaluation and the ESC considered it uncertain whether it was appropriate that </w:t>
      </w:r>
      <w:r w:rsidR="00E31044" w:rsidRPr="005A7226">
        <w:t>restrictions allow use of fezolinetant as a first-line treatment over MHT</w:t>
      </w:r>
      <w:r w:rsidR="00823A2C" w:rsidRPr="005A7226">
        <w:t>,</w:t>
      </w:r>
      <w:r w:rsidR="00E31044" w:rsidRPr="005A7226">
        <w:t xml:space="preserve"> </w:t>
      </w:r>
      <w:r w:rsidR="007525E1" w:rsidRPr="005A7226">
        <w:t xml:space="preserve">noting that </w:t>
      </w:r>
      <w:r w:rsidR="00E31044" w:rsidRPr="005A7226">
        <w:t>the availability of an alternative treatment is likely to impact on patient preferences regarding MHT.</w:t>
      </w:r>
      <w:r w:rsidR="007525E1" w:rsidRPr="005A7226">
        <w:t xml:space="preserve"> </w:t>
      </w:r>
    </w:p>
    <w:p w14:paraId="62E363EC" w14:textId="77777777" w:rsidR="00BA00F6" w:rsidRPr="005A7226" w:rsidRDefault="00573521" w:rsidP="00BA00F6">
      <w:pPr>
        <w:pStyle w:val="ExecSumBodyText"/>
        <w:numPr>
          <w:ilvl w:val="1"/>
          <w:numId w:val="1"/>
        </w:numPr>
        <w:ind w:left="720"/>
      </w:pPr>
      <w:r w:rsidRPr="005A7226">
        <w:t xml:space="preserve">The </w:t>
      </w:r>
      <w:r w:rsidR="009F1F4A" w:rsidRPr="005A7226">
        <w:t>ESC</w:t>
      </w:r>
      <w:r w:rsidRPr="005A7226">
        <w:t xml:space="preserve"> considered that i</w:t>
      </w:r>
      <w:r w:rsidR="00A117B7" w:rsidRPr="005A7226">
        <w:t xml:space="preserve">t may be preferable for the </w:t>
      </w:r>
      <w:r w:rsidR="0CAC5E4F" w:rsidRPr="005A7226">
        <w:t xml:space="preserve">requested restriction </w:t>
      </w:r>
      <w:r w:rsidR="00A117B7" w:rsidRPr="005A7226">
        <w:t>to</w:t>
      </w:r>
      <w:r w:rsidR="0CAC5E4F" w:rsidRPr="005A7226">
        <w:t xml:space="preserve"> </w:t>
      </w:r>
      <w:r w:rsidR="00EA2F8C" w:rsidRPr="005A7226">
        <w:t xml:space="preserve">specify </w:t>
      </w:r>
      <w:r w:rsidR="52B59601" w:rsidRPr="005A7226">
        <w:t xml:space="preserve">patients </w:t>
      </w:r>
      <w:r w:rsidR="001C1A9D" w:rsidRPr="005A7226">
        <w:t xml:space="preserve">unwilling </w:t>
      </w:r>
      <w:r w:rsidR="009A06E7" w:rsidRPr="005A7226">
        <w:t>to use MHT must also have a</w:t>
      </w:r>
      <w:r w:rsidR="009F1F4A" w:rsidRPr="005A7226">
        <w:t>n</w:t>
      </w:r>
      <w:r w:rsidR="52B59601" w:rsidRPr="005A7226">
        <w:t xml:space="preserve"> MHT caution. </w:t>
      </w:r>
      <w:r w:rsidR="0CAC5E4F" w:rsidRPr="005A7226">
        <w:t xml:space="preserve">These may include </w:t>
      </w:r>
      <w:r w:rsidR="52B59601" w:rsidRPr="005A7226">
        <w:t xml:space="preserve">patients </w:t>
      </w:r>
      <w:r w:rsidR="0CAC5E4F" w:rsidRPr="005A7226">
        <w:t xml:space="preserve">who </w:t>
      </w:r>
      <w:r w:rsidR="52B59601" w:rsidRPr="005A7226">
        <w:t xml:space="preserve">have underlying medical conditions (e.g. high risk of breast cancer, high cholesterol or triglycerides, migraine, diabetes) that require assessment of </w:t>
      </w:r>
      <w:r w:rsidR="5B61FF34" w:rsidRPr="005A7226">
        <w:t xml:space="preserve">these </w:t>
      </w:r>
      <w:r w:rsidR="52B59601" w:rsidRPr="005A7226">
        <w:t>risk</w:t>
      </w:r>
      <w:r w:rsidR="5E527BCD" w:rsidRPr="005A7226">
        <w:t>s</w:t>
      </w:r>
      <w:r w:rsidR="52B59601" w:rsidRPr="005A7226">
        <w:t xml:space="preserve"> (i.e. MHT caution) for treatment of VMS. </w:t>
      </w:r>
    </w:p>
    <w:p w14:paraId="0EFA5630" w14:textId="7154D44F" w:rsidR="00496E65" w:rsidRPr="005A7226" w:rsidRDefault="005D74C8" w:rsidP="00BA00F6">
      <w:pPr>
        <w:pStyle w:val="ExecSumBodyText"/>
        <w:numPr>
          <w:ilvl w:val="1"/>
          <w:numId w:val="1"/>
        </w:numPr>
        <w:ind w:left="720"/>
      </w:pPr>
      <w:r w:rsidRPr="005A7226">
        <w:t>The PSCR presented an alternate option for the restriction wording</w:t>
      </w:r>
      <w:r w:rsidR="00C76A37" w:rsidRPr="005A7226">
        <w:t xml:space="preserve"> to better align with the </w:t>
      </w:r>
      <w:r w:rsidR="00496E65" w:rsidRPr="005A7226">
        <w:t xml:space="preserve">clinical </w:t>
      </w:r>
      <w:r w:rsidR="00C76A37" w:rsidRPr="005A7226">
        <w:t>trial</w:t>
      </w:r>
      <w:r w:rsidRPr="005A7226">
        <w:t xml:space="preserve">: </w:t>
      </w:r>
    </w:p>
    <w:p w14:paraId="240E70FB" w14:textId="58995FBA" w:rsidR="00DC755E" w:rsidRPr="005A7226" w:rsidRDefault="006631CF" w:rsidP="005921BA">
      <w:pPr>
        <w:ind w:left="993"/>
      </w:pPr>
      <w:r w:rsidRPr="005A7226">
        <w:rPr>
          <w:i/>
          <w:iCs/>
        </w:rPr>
        <w:t>“</w:t>
      </w:r>
      <w:r w:rsidR="005D74C8" w:rsidRPr="005A7226">
        <w:t xml:space="preserve">patients must be unsuitable to receive MHT due to experiencing at least one of the following: </w:t>
      </w:r>
    </w:p>
    <w:p w14:paraId="7B8B7CFF" w14:textId="77777777" w:rsidR="00DC755E" w:rsidRPr="005A7226" w:rsidRDefault="005D74C8" w:rsidP="00F61BED">
      <w:pPr>
        <w:ind w:left="1400"/>
      </w:pPr>
      <w:r w:rsidRPr="005A7226">
        <w:t xml:space="preserve">(i) has a condition for which menopausal hormone therapy is contraindicated, or </w:t>
      </w:r>
    </w:p>
    <w:p w14:paraId="323019E8" w14:textId="77777777" w:rsidR="00EB135F" w:rsidRPr="005A7226" w:rsidRDefault="005D74C8" w:rsidP="00F61BED">
      <w:pPr>
        <w:ind w:left="1400"/>
      </w:pPr>
      <w:r w:rsidRPr="005A7226">
        <w:t xml:space="preserve">(ii) has discontinued menopausal hormone therapy due to side effects of the medicine or lack of efficacy </w:t>
      </w:r>
    </w:p>
    <w:p w14:paraId="4830A48A" w14:textId="77777777" w:rsidR="00EB135F" w:rsidRPr="005A7226" w:rsidRDefault="005D74C8" w:rsidP="00F61BED">
      <w:pPr>
        <w:ind w:left="1400"/>
      </w:pPr>
      <w:r w:rsidRPr="005A7226">
        <w:t xml:space="preserve">(iii) has been cautioned of the risks of menopausal hormone therapy based on medical history by a medical practitioner </w:t>
      </w:r>
    </w:p>
    <w:p w14:paraId="3EDAA8BF" w14:textId="3AF0D63A" w:rsidR="00DC755E" w:rsidRPr="005A7226" w:rsidRDefault="005D74C8" w:rsidP="005363B5">
      <w:pPr>
        <w:spacing w:after="120"/>
        <w:ind w:left="1400"/>
      </w:pPr>
      <w:r w:rsidRPr="005A7226">
        <w:t>(iv) has made an informed choice not to use menopausal hormone therapy after discussion about the benefit and risks of menopausal hormone therapy with a medical practitioner.</w:t>
      </w:r>
      <w:r w:rsidR="006631CF" w:rsidRPr="005A7226">
        <w:t>”</w:t>
      </w:r>
      <w:r w:rsidRPr="005A7226">
        <w:t xml:space="preserve"> </w:t>
      </w:r>
    </w:p>
    <w:p w14:paraId="7BA479FB" w14:textId="4A128E62" w:rsidR="00CB7F6D" w:rsidRPr="005A7226" w:rsidRDefault="00EB135F" w:rsidP="00905342">
      <w:pPr>
        <w:pStyle w:val="ListParagraph"/>
        <w:ind w:left="1040"/>
      </w:pPr>
      <w:r w:rsidRPr="005A7226">
        <w:t xml:space="preserve">However, the ESC </w:t>
      </w:r>
      <w:r w:rsidR="00C91E64">
        <w:t xml:space="preserve">and the DUSC </w:t>
      </w:r>
      <w:r w:rsidRPr="005A7226">
        <w:t xml:space="preserve">considered </w:t>
      </w:r>
      <w:r w:rsidR="005D74C8" w:rsidRPr="005A7226">
        <w:t>that</w:t>
      </w:r>
      <w:r w:rsidR="00E51B90" w:rsidRPr="005A7226">
        <w:t xml:space="preserve"> </w:t>
      </w:r>
      <w:r w:rsidR="00C6163D" w:rsidRPr="005A7226">
        <w:t>these revisions did not address the concern</w:t>
      </w:r>
      <w:r w:rsidR="002233F7" w:rsidRPr="005A7226">
        <w:t xml:space="preserve"> </w:t>
      </w:r>
      <w:r w:rsidR="00F017AD" w:rsidRPr="005A7226">
        <w:t xml:space="preserve">that </w:t>
      </w:r>
      <w:r w:rsidR="005D74C8" w:rsidRPr="005A7226">
        <w:t xml:space="preserve">inclusion of patients who are unwilling to receive MHT may result in treatment of a very broad </w:t>
      </w:r>
      <w:r w:rsidR="00905342" w:rsidRPr="005A7226">
        <w:t xml:space="preserve">and large </w:t>
      </w:r>
      <w:r w:rsidR="005D74C8" w:rsidRPr="005A7226">
        <w:t>population, including first</w:t>
      </w:r>
      <w:r w:rsidR="00EF2C88" w:rsidRPr="005A7226">
        <w:t>-</w:t>
      </w:r>
      <w:r w:rsidR="005D74C8" w:rsidRPr="005A7226">
        <w:t>line treatment of patients who could otherwise be safely and effectively treated with MHT.</w:t>
      </w:r>
      <w:r w:rsidR="00905342" w:rsidRPr="005A7226">
        <w:t xml:space="preserve"> </w:t>
      </w:r>
      <w:r w:rsidR="00A50C98" w:rsidRPr="005A7226">
        <w:t xml:space="preserve">The ESC considered it </w:t>
      </w:r>
      <w:r w:rsidR="006C23CE" w:rsidRPr="005A7226">
        <w:t>uncertain whether</w:t>
      </w:r>
      <w:r w:rsidR="00F10A94" w:rsidRPr="005A7226">
        <w:t xml:space="preserve"> patients without a MHT </w:t>
      </w:r>
      <w:r w:rsidR="00F017AD" w:rsidRPr="005A7226">
        <w:t xml:space="preserve">caution or </w:t>
      </w:r>
      <w:r w:rsidR="00F10A94" w:rsidRPr="005A7226">
        <w:t>contraindication should be eligible for (first-line)</w:t>
      </w:r>
      <w:r w:rsidR="006C23CE" w:rsidRPr="005A7226">
        <w:t xml:space="preserve"> fezolinetant</w:t>
      </w:r>
      <w:r w:rsidR="0036176C" w:rsidRPr="005A7226">
        <w:t xml:space="preserve"> treatment</w:t>
      </w:r>
      <w:r w:rsidR="00AD1EEF" w:rsidRPr="005A7226">
        <w:t xml:space="preserve">, and that is </w:t>
      </w:r>
      <w:r w:rsidR="00A50C98" w:rsidRPr="005A7226">
        <w:t xml:space="preserve">important for the </w:t>
      </w:r>
      <w:r w:rsidR="004F2A2F" w:rsidRPr="005A7226">
        <w:t xml:space="preserve">restriction to be explicit about eligibility. </w:t>
      </w:r>
      <w:r w:rsidR="00966BF6">
        <w:t>The pre</w:t>
      </w:r>
      <w:r w:rsidR="00172896">
        <w:t>-</w:t>
      </w:r>
      <w:r w:rsidR="00966BF6">
        <w:t xml:space="preserve">PBAC response maintained that </w:t>
      </w:r>
      <w:r w:rsidR="00172896">
        <w:t>the sponsor</w:t>
      </w:r>
      <w:r w:rsidR="00642C7C">
        <w:t xml:space="preserve"> considers that all patients unsuitable for MHT (including </w:t>
      </w:r>
      <w:r w:rsidR="004056C6">
        <w:t>those with a preference not to take MHT)</w:t>
      </w:r>
      <w:r w:rsidR="004369B0">
        <w:t xml:space="preserve"> should have access to fezolinetant.</w:t>
      </w:r>
    </w:p>
    <w:p w14:paraId="15CD3517" w14:textId="6C8B10B5" w:rsidR="00000D35" w:rsidRPr="005A7226" w:rsidRDefault="52B59601" w:rsidP="00671E46">
      <w:pPr>
        <w:widowControl w:val="0"/>
        <w:numPr>
          <w:ilvl w:val="1"/>
          <w:numId w:val="1"/>
        </w:numPr>
        <w:spacing w:after="120"/>
        <w:ind w:left="720"/>
      </w:pPr>
      <w:r w:rsidRPr="005A7226">
        <w:t xml:space="preserve">The definition </w:t>
      </w:r>
      <w:r w:rsidR="7FFBB7A9" w:rsidRPr="005A7226">
        <w:t xml:space="preserve">of </w:t>
      </w:r>
      <w:r w:rsidRPr="005A7226">
        <w:t>MHT contraindicated (based on the</w:t>
      </w:r>
      <w:r w:rsidR="09418CF6" w:rsidRPr="005A7226">
        <w:t xml:space="preserve"> product information (</w:t>
      </w:r>
      <w:r w:rsidRPr="005A7226">
        <w:t>PI</w:t>
      </w:r>
      <w:r w:rsidR="09418CF6" w:rsidRPr="005A7226">
        <w:t>)</w:t>
      </w:r>
      <w:r w:rsidRPr="005A7226">
        <w:t>)</w:t>
      </w:r>
      <w:r w:rsidR="00EA2308" w:rsidRPr="005A7226">
        <w:t>,</w:t>
      </w:r>
      <w:r w:rsidRPr="005A7226">
        <w:t xml:space="preserve"> and MHT discontinued was </w:t>
      </w:r>
      <w:r w:rsidR="75FCD2D8" w:rsidRPr="005A7226">
        <w:t>in</w:t>
      </w:r>
      <w:r w:rsidRPr="005A7226">
        <w:t>consistent with the proposed clinical management algorithm and the fezolinetant trial population</w:t>
      </w:r>
      <w:r w:rsidR="75FCD2D8" w:rsidRPr="005A7226">
        <w:t>s</w:t>
      </w:r>
      <w:r w:rsidRPr="005A7226">
        <w:t xml:space="preserve">. For example, in the requested PBS criteria and </w:t>
      </w:r>
      <w:r w:rsidR="49B3C683" w:rsidRPr="005A7226">
        <w:t xml:space="preserve">the </w:t>
      </w:r>
      <w:r w:rsidRPr="005A7226">
        <w:t xml:space="preserve">DAYLIGHT </w:t>
      </w:r>
      <w:r w:rsidRPr="00671E46">
        <w:rPr>
          <w:iCs/>
        </w:rPr>
        <w:t>trial</w:t>
      </w:r>
      <w:r w:rsidR="667E4482" w:rsidRPr="005A7226">
        <w:t>,</w:t>
      </w:r>
      <w:r w:rsidRPr="005A7226">
        <w:t xml:space="preserve"> MHT contraindications included porphyria (a rare disease that results in a build-up of porphyrins in the body), whereas in </w:t>
      </w:r>
      <w:r w:rsidR="49B3C683" w:rsidRPr="005A7226">
        <w:t xml:space="preserve">the </w:t>
      </w:r>
      <w:r w:rsidRPr="005A7226">
        <w:t xml:space="preserve">SKYLIGHT 1 and SKYLIGHT 2 trials, active liver disease or liver function tests that failed to return to normal were included instead. </w:t>
      </w:r>
      <w:r w:rsidR="00CA0DE0" w:rsidRPr="005A7226">
        <w:t>The ESC</w:t>
      </w:r>
      <w:r w:rsidR="00F934AC">
        <w:t xml:space="preserve"> and the DUSC</w:t>
      </w:r>
      <w:r w:rsidR="00CA0DE0" w:rsidRPr="005A7226">
        <w:t xml:space="preserve"> considered that </w:t>
      </w:r>
      <w:r w:rsidR="00BC0F41" w:rsidRPr="005A7226">
        <w:t>contraindication</w:t>
      </w:r>
      <w:r w:rsidR="00962FAD" w:rsidRPr="005A7226">
        <w:t xml:space="preserve"> to MHT </w:t>
      </w:r>
      <w:r w:rsidR="00BC0F41" w:rsidRPr="005A7226">
        <w:t>needs to be</w:t>
      </w:r>
      <w:r w:rsidR="00962FAD" w:rsidRPr="005A7226">
        <w:t xml:space="preserve"> more</w:t>
      </w:r>
      <w:r w:rsidR="00BC0F41" w:rsidRPr="005A7226">
        <w:t xml:space="preserve"> tight</w:t>
      </w:r>
      <w:r w:rsidR="00962FAD" w:rsidRPr="005A7226">
        <w:t>ly defined</w:t>
      </w:r>
      <w:r w:rsidR="00A673FA" w:rsidRPr="005A7226">
        <w:t>, as a contraindication to one particular MHT does not necessarily mean contraindications to all MHTs.</w:t>
      </w:r>
      <w:r w:rsidR="0029738A" w:rsidRPr="005A7226">
        <w:t xml:space="preserve"> </w:t>
      </w:r>
      <w:r w:rsidR="006D21C7" w:rsidRPr="005A7226">
        <w:t>R</w:t>
      </w:r>
      <w:r w:rsidR="005D123C" w:rsidRPr="005A7226">
        <w:t xml:space="preserve">ather than stating ‘refer relevant menopausal hormone therapy Product Information for conditions for which therapy is contraindicated)’, </w:t>
      </w:r>
      <w:r w:rsidR="0029738A" w:rsidRPr="005A7226">
        <w:t xml:space="preserve">the ESC considered that it </w:t>
      </w:r>
      <w:r w:rsidR="0088114C" w:rsidRPr="005A7226">
        <w:t>may be</w:t>
      </w:r>
      <w:r w:rsidR="0029738A" w:rsidRPr="005A7226">
        <w:t xml:space="preserve"> appropriate to align wording with the </w:t>
      </w:r>
      <w:r w:rsidR="0044723A" w:rsidRPr="005A7226">
        <w:t xml:space="preserve">Australian </w:t>
      </w:r>
      <w:r w:rsidR="0029738A" w:rsidRPr="005A7226">
        <w:t>Therapeutic Guidelines (</w:t>
      </w:r>
      <w:r w:rsidR="006901FC" w:rsidRPr="005A7226">
        <w:t>20</w:t>
      </w:r>
      <w:r w:rsidR="0044723A" w:rsidRPr="005A7226">
        <w:t>2</w:t>
      </w:r>
      <w:r w:rsidR="006901FC" w:rsidRPr="005A7226">
        <w:t>4</w:t>
      </w:r>
      <w:r w:rsidR="0029738A" w:rsidRPr="005A7226">
        <w:t xml:space="preserve">) for contraindication to all </w:t>
      </w:r>
      <w:r w:rsidR="00E86BB0" w:rsidRPr="005A7226">
        <w:t>systemic</w:t>
      </w:r>
      <w:r w:rsidR="006901FC" w:rsidRPr="005A7226">
        <w:t xml:space="preserve"> </w:t>
      </w:r>
      <w:r w:rsidR="0029738A" w:rsidRPr="005A7226">
        <w:t>MHT</w:t>
      </w:r>
      <w:r w:rsidR="00000D35" w:rsidRPr="005A7226">
        <w:t>, i</w:t>
      </w:r>
      <w:r w:rsidR="00850885" w:rsidRPr="005A7226">
        <w:t>.</w:t>
      </w:r>
      <w:r w:rsidR="00000D35" w:rsidRPr="005A7226">
        <w:t>e</w:t>
      </w:r>
      <w:r w:rsidR="00850885" w:rsidRPr="005A7226">
        <w:t>.</w:t>
      </w:r>
      <w:r w:rsidR="00000D35" w:rsidRPr="005A7226">
        <w:t>:</w:t>
      </w:r>
    </w:p>
    <w:p w14:paraId="47978576" w14:textId="30F565F3" w:rsidR="009A32FF" w:rsidRPr="005A7226" w:rsidRDefault="00926CBB" w:rsidP="00BA5BA3">
      <w:pPr>
        <w:pStyle w:val="ListParagraph"/>
        <w:numPr>
          <w:ilvl w:val="0"/>
          <w:numId w:val="8"/>
        </w:numPr>
        <w:snapToGrid w:val="0"/>
        <w:ind w:left="1134" w:hanging="425"/>
      </w:pPr>
      <w:r w:rsidRPr="005A7226">
        <w:t>“</w:t>
      </w:r>
      <w:r w:rsidR="00000D35" w:rsidRPr="005A7226">
        <w:t>Age 60 years or older (note 1</w:t>
      </w:r>
      <w:r w:rsidR="009A32FF" w:rsidRPr="005A7226">
        <w:t>)</w:t>
      </w:r>
      <w:r w:rsidR="0064637C" w:rsidRPr="005A7226">
        <w:t xml:space="preserve"> </w:t>
      </w:r>
      <w:r w:rsidR="0064637C" w:rsidRPr="005A7226">
        <w:rPr>
          <w:vertAlign w:val="superscript"/>
        </w:rPr>
        <w:footnoteReference w:id="4"/>
      </w:r>
      <w:r w:rsidR="009A32FF" w:rsidRPr="005A7226">
        <w:t xml:space="preserve"> </w:t>
      </w:r>
      <w:r w:rsidR="0064637C" w:rsidRPr="005A7226">
        <w:t xml:space="preserve">Previous venous </w:t>
      </w:r>
      <w:r w:rsidR="004807DC" w:rsidRPr="005A7226">
        <w:t>thromboembolism</w:t>
      </w:r>
    </w:p>
    <w:p w14:paraId="1C027660" w14:textId="5B2B3FBE" w:rsidR="0064637C" w:rsidRPr="005A7226" w:rsidRDefault="0064637C" w:rsidP="00BA5BA3">
      <w:pPr>
        <w:pStyle w:val="ListParagraph"/>
        <w:numPr>
          <w:ilvl w:val="0"/>
          <w:numId w:val="8"/>
        </w:numPr>
        <w:snapToGrid w:val="0"/>
        <w:ind w:left="1134" w:hanging="425"/>
      </w:pPr>
      <w:r w:rsidRPr="005A7226">
        <w:t xml:space="preserve">Previous transient ischaemic attack, stroke, or acute myocardial </w:t>
      </w:r>
      <w:r w:rsidR="004807DC" w:rsidRPr="005A7226">
        <w:t>infarction</w:t>
      </w:r>
    </w:p>
    <w:p w14:paraId="00241ACE" w14:textId="7134F3BC" w:rsidR="0064637C" w:rsidRPr="005A7226" w:rsidRDefault="0064637C" w:rsidP="00BA5BA3">
      <w:pPr>
        <w:pStyle w:val="ListParagraph"/>
        <w:numPr>
          <w:ilvl w:val="0"/>
          <w:numId w:val="8"/>
        </w:numPr>
        <w:snapToGrid w:val="0"/>
        <w:ind w:left="1134" w:hanging="425"/>
      </w:pPr>
      <w:r w:rsidRPr="005A7226">
        <w:t>Uncontrolled hypertension</w:t>
      </w:r>
    </w:p>
    <w:p w14:paraId="6042DBA7" w14:textId="30FC89BC" w:rsidR="0064637C" w:rsidRPr="005A7226" w:rsidRDefault="004807DC" w:rsidP="00BA5BA3">
      <w:pPr>
        <w:pStyle w:val="ListParagraph"/>
        <w:numPr>
          <w:ilvl w:val="0"/>
          <w:numId w:val="8"/>
        </w:numPr>
        <w:snapToGrid w:val="0"/>
        <w:ind w:left="1134" w:hanging="425"/>
      </w:pPr>
      <w:r w:rsidRPr="005A7226">
        <w:t>Estrogen dependent cancer (</w:t>
      </w:r>
      <w:proofErr w:type="spellStart"/>
      <w:r w:rsidRPr="005A7226">
        <w:t>eg</w:t>
      </w:r>
      <w:proofErr w:type="spellEnd"/>
      <w:r w:rsidRPr="005A7226">
        <w:t xml:space="preserve"> endometrial or breast cancer)</w:t>
      </w:r>
    </w:p>
    <w:p w14:paraId="12970BE1" w14:textId="37047E30" w:rsidR="00F1561C" w:rsidRPr="005A7226" w:rsidRDefault="00F1561C" w:rsidP="00BA5BA3">
      <w:pPr>
        <w:pStyle w:val="ListParagraph"/>
        <w:numPr>
          <w:ilvl w:val="0"/>
          <w:numId w:val="8"/>
        </w:numPr>
        <w:snapToGrid w:val="0"/>
        <w:ind w:left="1134" w:hanging="425"/>
      </w:pPr>
      <w:r w:rsidRPr="005A7226">
        <w:t>Significant liver disease</w:t>
      </w:r>
    </w:p>
    <w:p w14:paraId="10A2B8B1" w14:textId="702DC79E" w:rsidR="004807DC" w:rsidRPr="005A7226" w:rsidRDefault="00F1561C" w:rsidP="00BA5BA3">
      <w:pPr>
        <w:pStyle w:val="ListParagraph"/>
        <w:numPr>
          <w:ilvl w:val="0"/>
          <w:numId w:val="8"/>
        </w:numPr>
        <w:snapToGrid w:val="0"/>
        <w:ind w:left="1134" w:hanging="425"/>
      </w:pPr>
      <w:r w:rsidRPr="005A7226">
        <w:t xml:space="preserve">Porphyria or SLE (may be </w:t>
      </w:r>
      <w:r w:rsidR="00926CBB" w:rsidRPr="005A7226">
        <w:t>exacerbated by estrogen)”</w:t>
      </w:r>
      <w:r w:rsidR="00086A24" w:rsidRPr="005A7226">
        <w:rPr>
          <w:rStyle w:val="FootnoteReference"/>
        </w:rPr>
        <w:footnoteReference w:id="5"/>
      </w:r>
      <w:r w:rsidR="00926CBB" w:rsidRPr="005A7226">
        <w:t xml:space="preserve">. </w:t>
      </w:r>
    </w:p>
    <w:p w14:paraId="5DEE0E27" w14:textId="4909530A" w:rsidR="0009318A" w:rsidRPr="005A7226" w:rsidRDefault="00FA24DD" w:rsidP="00850885">
      <w:pPr>
        <w:pStyle w:val="ExecSumBodyText"/>
        <w:numPr>
          <w:ilvl w:val="1"/>
          <w:numId w:val="1"/>
        </w:numPr>
        <w:ind w:left="720"/>
        <w:rPr>
          <w:iCs/>
        </w:rPr>
      </w:pPr>
      <w:r w:rsidRPr="005A7226">
        <w:rPr>
          <w:iCs/>
        </w:rPr>
        <w:fldChar w:fldCharType="begin"/>
      </w:r>
      <w:r w:rsidRPr="005A7226">
        <w:rPr>
          <w:iCs/>
        </w:rPr>
        <w:instrText xml:space="preserve"> REF _Ref184902899 \h </w:instrText>
      </w:r>
      <w:r w:rsidRPr="005A7226">
        <w:rPr>
          <w:iCs/>
        </w:rPr>
      </w:r>
      <w:r w:rsidRPr="005A7226">
        <w:rPr>
          <w:iCs/>
        </w:rPr>
        <w:fldChar w:fldCharType="separate"/>
      </w:r>
      <w:r w:rsidR="00B11DA2" w:rsidRPr="005A7226">
        <w:t xml:space="preserve">Table </w:t>
      </w:r>
      <w:r w:rsidR="00B11DA2">
        <w:rPr>
          <w:noProof/>
        </w:rPr>
        <w:t>2</w:t>
      </w:r>
      <w:r w:rsidRPr="005A7226">
        <w:rPr>
          <w:iCs/>
        </w:rPr>
        <w:fldChar w:fldCharType="end"/>
      </w:r>
      <w:r w:rsidR="0009318A" w:rsidRPr="005A7226">
        <w:rPr>
          <w:iCs/>
        </w:rPr>
        <w:t xml:space="preserve"> summarises the population defined as MHT unsuitable in the </w:t>
      </w:r>
      <w:r w:rsidR="00105ADC" w:rsidRPr="005A7226">
        <w:rPr>
          <w:iCs/>
        </w:rPr>
        <w:t>requested</w:t>
      </w:r>
      <w:r w:rsidR="0009318A" w:rsidRPr="005A7226">
        <w:rPr>
          <w:iCs/>
        </w:rPr>
        <w:t xml:space="preserve"> PBS restriction, the submission’s proposed clinical algorithm and the main trials (DAYLIGHT, SKYLIGHT 1 and SKYLIGHT 2).</w:t>
      </w:r>
    </w:p>
    <w:p w14:paraId="6B85A7E2" w14:textId="156CAE55" w:rsidR="00105ADC" w:rsidRPr="005A7226" w:rsidRDefault="00FA24DD" w:rsidP="00530CAC">
      <w:pPr>
        <w:pStyle w:val="Caption"/>
      </w:pPr>
      <w:bookmarkStart w:id="11" w:name="_Ref184902899"/>
      <w:r w:rsidRPr="005A7226">
        <w:t xml:space="preserve">Table </w:t>
      </w:r>
      <w:r w:rsidRPr="005A7226">
        <w:fldChar w:fldCharType="begin"/>
      </w:r>
      <w:r w:rsidRPr="005A7226">
        <w:instrText>SEQ Table \* ARABIC</w:instrText>
      </w:r>
      <w:r w:rsidRPr="005A7226">
        <w:fldChar w:fldCharType="separate"/>
      </w:r>
      <w:r w:rsidR="00B11DA2">
        <w:rPr>
          <w:noProof/>
        </w:rPr>
        <w:t>2</w:t>
      </w:r>
      <w:r w:rsidRPr="005A7226">
        <w:fldChar w:fldCharType="end"/>
      </w:r>
      <w:bookmarkEnd w:id="11"/>
      <w:r w:rsidRPr="005A7226">
        <w:t>. Definition of MHT unsuitable in the requested</w:t>
      </w:r>
      <w:r w:rsidR="00571525" w:rsidRPr="005A7226">
        <w:t xml:space="preserve"> fezolinetant</w:t>
      </w:r>
      <w:r w:rsidRPr="005A7226">
        <w:t xml:space="preserve"> PBS restriction, clinical algorithm and main trials (DAYLIGHT, SKYLIGHT 1 and 2):</w:t>
      </w:r>
    </w:p>
    <w:tbl>
      <w:tblPr>
        <w:tblStyle w:val="TableGrid"/>
        <w:tblW w:w="5000" w:type="pct"/>
        <w:tblCellMar>
          <w:left w:w="28" w:type="dxa"/>
          <w:right w:w="28" w:type="dxa"/>
        </w:tblCellMar>
        <w:tblLook w:val="04A0" w:firstRow="1" w:lastRow="0" w:firstColumn="1" w:lastColumn="0" w:noHBand="0" w:noVBand="1"/>
        <w:tblCaption w:val="Table 2. Definition of MHT unsuitable in the requested fezolinetant PBS restriction, clinical algorithm and main trials (DAYLIGHT, SKYLIGHT 1 and 2):"/>
      </w:tblPr>
      <w:tblGrid>
        <w:gridCol w:w="1271"/>
        <w:gridCol w:w="1843"/>
        <w:gridCol w:w="2020"/>
        <w:gridCol w:w="2038"/>
        <w:gridCol w:w="1845"/>
      </w:tblGrid>
      <w:tr w:rsidR="00105ADC" w:rsidRPr="005A7226" w14:paraId="34FE7B5F" w14:textId="77777777" w:rsidTr="00BA5BA3">
        <w:tc>
          <w:tcPr>
            <w:tcW w:w="705" w:type="pct"/>
            <w:vAlign w:val="center"/>
          </w:tcPr>
          <w:p w14:paraId="01868B42" w14:textId="49FD66DA" w:rsidR="00105ADC" w:rsidRPr="005A7226" w:rsidRDefault="00105ADC" w:rsidP="00530CAC">
            <w:pPr>
              <w:keepNext/>
              <w:keepLines/>
              <w:jc w:val="left"/>
              <w:rPr>
                <w:rFonts w:ascii="Arial Narrow" w:hAnsi="Arial Narrow"/>
                <w:b/>
                <w:iCs/>
                <w:sz w:val="20"/>
                <w:szCs w:val="20"/>
              </w:rPr>
            </w:pPr>
            <w:r w:rsidRPr="005A7226">
              <w:rPr>
                <w:rFonts w:ascii="Arial Narrow" w:hAnsi="Arial Narrow"/>
                <w:b/>
                <w:iCs/>
                <w:sz w:val="20"/>
                <w:szCs w:val="20"/>
              </w:rPr>
              <w:t>MHT unsuitable</w:t>
            </w:r>
            <w:r w:rsidR="0088191D" w:rsidRPr="005A7226">
              <w:rPr>
                <w:rFonts w:ascii="Arial Narrow" w:hAnsi="Arial Narrow"/>
                <w:b/>
                <w:iCs/>
                <w:sz w:val="20"/>
                <w:szCs w:val="20"/>
              </w:rPr>
              <w:t xml:space="preserve"> category</w:t>
            </w:r>
          </w:p>
        </w:tc>
        <w:tc>
          <w:tcPr>
            <w:tcW w:w="1022" w:type="pct"/>
            <w:vAlign w:val="center"/>
          </w:tcPr>
          <w:p w14:paraId="219903B9" w14:textId="70565742" w:rsidR="00105ADC" w:rsidRPr="005A7226" w:rsidRDefault="0088191D" w:rsidP="00530CAC">
            <w:pPr>
              <w:keepNext/>
              <w:keepLines/>
              <w:jc w:val="center"/>
              <w:rPr>
                <w:rFonts w:ascii="Arial Narrow" w:hAnsi="Arial Narrow"/>
                <w:b/>
                <w:iCs/>
                <w:sz w:val="20"/>
                <w:szCs w:val="20"/>
              </w:rPr>
            </w:pPr>
            <w:r w:rsidRPr="005A7226">
              <w:rPr>
                <w:rFonts w:ascii="Arial Narrow" w:hAnsi="Arial Narrow"/>
                <w:b/>
                <w:iCs/>
                <w:sz w:val="20"/>
                <w:szCs w:val="20"/>
              </w:rPr>
              <w:t xml:space="preserve">Proposed </w:t>
            </w:r>
            <w:r w:rsidR="00105ADC" w:rsidRPr="005A7226">
              <w:rPr>
                <w:rFonts w:ascii="Arial Narrow" w:hAnsi="Arial Narrow"/>
                <w:b/>
                <w:iCs/>
                <w:sz w:val="20"/>
                <w:szCs w:val="20"/>
              </w:rPr>
              <w:t xml:space="preserve">PBS restriction </w:t>
            </w:r>
          </w:p>
        </w:tc>
        <w:tc>
          <w:tcPr>
            <w:tcW w:w="1120" w:type="pct"/>
            <w:vAlign w:val="center"/>
          </w:tcPr>
          <w:p w14:paraId="06309226" w14:textId="77777777" w:rsidR="00105ADC" w:rsidRPr="005A7226" w:rsidRDefault="00105ADC" w:rsidP="00530CAC">
            <w:pPr>
              <w:keepNext/>
              <w:keepLines/>
              <w:jc w:val="center"/>
              <w:rPr>
                <w:rFonts w:ascii="Arial Narrow" w:hAnsi="Arial Narrow"/>
                <w:b/>
                <w:iCs/>
                <w:sz w:val="20"/>
                <w:szCs w:val="20"/>
              </w:rPr>
            </w:pPr>
            <w:r w:rsidRPr="005A7226">
              <w:rPr>
                <w:rFonts w:ascii="Arial Narrow" w:hAnsi="Arial Narrow"/>
                <w:b/>
                <w:iCs/>
                <w:sz w:val="20"/>
                <w:szCs w:val="20"/>
              </w:rPr>
              <w:t>Proposed clinical algorithm (Practitioner’s Toolkit 2023)</w:t>
            </w:r>
          </w:p>
        </w:tc>
        <w:tc>
          <w:tcPr>
            <w:tcW w:w="1130" w:type="pct"/>
            <w:vAlign w:val="center"/>
          </w:tcPr>
          <w:p w14:paraId="106374CA" w14:textId="77777777" w:rsidR="00105ADC" w:rsidRPr="005A7226" w:rsidRDefault="00105ADC" w:rsidP="00530CAC">
            <w:pPr>
              <w:keepNext/>
              <w:keepLines/>
              <w:jc w:val="center"/>
              <w:rPr>
                <w:rFonts w:ascii="Arial Narrow" w:hAnsi="Arial Narrow"/>
                <w:b/>
                <w:iCs/>
                <w:sz w:val="20"/>
                <w:szCs w:val="20"/>
              </w:rPr>
            </w:pPr>
            <w:r w:rsidRPr="005A7226">
              <w:rPr>
                <w:rFonts w:ascii="Arial Narrow" w:hAnsi="Arial Narrow"/>
                <w:b/>
                <w:iCs/>
                <w:sz w:val="20"/>
                <w:szCs w:val="20"/>
              </w:rPr>
              <w:t>DAYLIGHT trial</w:t>
            </w:r>
          </w:p>
        </w:tc>
        <w:tc>
          <w:tcPr>
            <w:tcW w:w="1023" w:type="pct"/>
            <w:vAlign w:val="center"/>
          </w:tcPr>
          <w:p w14:paraId="52843552" w14:textId="74CECD57" w:rsidR="00105ADC" w:rsidRPr="005A7226" w:rsidRDefault="00105ADC" w:rsidP="00530CAC">
            <w:pPr>
              <w:keepNext/>
              <w:keepLines/>
              <w:jc w:val="center"/>
              <w:rPr>
                <w:rFonts w:ascii="Arial Narrow" w:hAnsi="Arial Narrow"/>
                <w:b/>
                <w:iCs/>
                <w:sz w:val="20"/>
                <w:szCs w:val="20"/>
              </w:rPr>
            </w:pPr>
            <w:r w:rsidRPr="005A7226">
              <w:rPr>
                <w:rFonts w:ascii="Arial Narrow" w:hAnsi="Arial Narrow"/>
                <w:b/>
                <w:iCs/>
                <w:sz w:val="20"/>
                <w:szCs w:val="20"/>
              </w:rPr>
              <w:t xml:space="preserve">Pooled SKYLIGHT 1 &amp; 2 </w:t>
            </w:r>
            <w:r w:rsidR="00571525" w:rsidRPr="005A7226">
              <w:rPr>
                <w:rFonts w:ascii="Arial Narrow" w:hAnsi="Arial Narrow"/>
                <w:b/>
                <w:iCs/>
                <w:sz w:val="20"/>
                <w:szCs w:val="20"/>
              </w:rPr>
              <w:t xml:space="preserve">trial </w:t>
            </w:r>
            <w:r w:rsidRPr="005A7226">
              <w:rPr>
                <w:rFonts w:ascii="Arial Narrow" w:hAnsi="Arial Narrow"/>
                <w:b/>
                <w:iCs/>
                <w:sz w:val="20"/>
                <w:szCs w:val="20"/>
              </w:rPr>
              <w:t>(post-hoc</w:t>
            </w:r>
            <w:r w:rsidR="00551D88" w:rsidRPr="005A7226">
              <w:rPr>
                <w:rFonts w:ascii="Arial Narrow" w:hAnsi="Arial Narrow"/>
                <w:b/>
                <w:iCs/>
                <w:sz w:val="20"/>
                <w:szCs w:val="20"/>
              </w:rPr>
              <w:t xml:space="preserve"> subgroup</w:t>
            </w:r>
            <w:r w:rsidRPr="005A7226">
              <w:rPr>
                <w:rFonts w:ascii="Arial Narrow" w:hAnsi="Arial Narrow"/>
                <w:b/>
                <w:iCs/>
                <w:sz w:val="20"/>
                <w:szCs w:val="20"/>
              </w:rPr>
              <w:t>)</w:t>
            </w:r>
          </w:p>
        </w:tc>
      </w:tr>
      <w:tr w:rsidR="00105ADC" w:rsidRPr="005A7226" w14:paraId="63A9BCE6" w14:textId="77777777" w:rsidTr="00BA5BA3">
        <w:tc>
          <w:tcPr>
            <w:tcW w:w="705" w:type="pct"/>
            <w:vAlign w:val="center"/>
          </w:tcPr>
          <w:p w14:paraId="21CFAEF3" w14:textId="77777777" w:rsidR="00105ADC" w:rsidRPr="005A7226" w:rsidRDefault="00105ADC" w:rsidP="00530CAC">
            <w:pPr>
              <w:keepNext/>
              <w:keepLines/>
              <w:jc w:val="left"/>
              <w:rPr>
                <w:rFonts w:ascii="Arial Narrow" w:hAnsi="Arial Narrow"/>
                <w:iCs/>
                <w:sz w:val="20"/>
                <w:szCs w:val="20"/>
              </w:rPr>
            </w:pPr>
            <w:r w:rsidRPr="005A7226">
              <w:rPr>
                <w:rFonts w:ascii="Arial Narrow" w:hAnsi="Arial Narrow"/>
                <w:iCs/>
                <w:sz w:val="20"/>
                <w:szCs w:val="20"/>
              </w:rPr>
              <w:t>MHT contraindicated</w:t>
            </w:r>
          </w:p>
        </w:tc>
        <w:tc>
          <w:tcPr>
            <w:tcW w:w="1022" w:type="pct"/>
            <w:vAlign w:val="center"/>
          </w:tcPr>
          <w:p w14:paraId="37776609" w14:textId="3BC5C63C"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 xml:space="preserve">Refer to PI of </w:t>
            </w:r>
            <w:proofErr w:type="spellStart"/>
            <w:r w:rsidRPr="005A7226">
              <w:rPr>
                <w:rFonts w:ascii="Arial Narrow" w:hAnsi="Arial Narrow"/>
                <w:iCs/>
                <w:sz w:val="18"/>
                <w:szCs w:val="18"/>
              </w:rPr>
              <w:t>MHT</w:t>
            </w:r>
            <w:r w:rsidR="0053662D" w:rsidRPr="005A7226">
              <w:rPr>
                <w:rFonts w:ascii="Arial Narrow" w:hAnsi="Arial Narrow"/>
                <w:iCs/>
                <w:sz w:val="18"/>
                <w:szCs w:val="18"/>
                <w:vertAlign w:val="superscript"/>
              </w:rPr>
              <w:t>a</w:t>
            </w:r>
            <w:proofErr w:type="spellEnd"/>
            <w:r w:rsidRPr="005A7226">
              <w:rPr>
                <w:rFonts w:ascii="Arial Narrow" w:hAnsi="Arial Narrow"/>
                <w:iCs/>
                <w:sz w:val="18"/>
                <w:szCs w:val="18"/>
              </w:rPr>
              <w:t>:</w:t>
            </w:r>
          </w:p>
          <w:p w14:paraId="7A92453A"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Known, past or suspected breast cancer</w:t>
            </w:r>
          </w:p>
          <w:p w14:paraId="5876B9BB"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Known, past or suspected endometrial cancer</w:t>
            </w:r>
          </w:p>
          <w:p w14:paraId="5DC017EB"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Undiagnosed abnormal vaginal bleeding</w:t>
            </w:r>
          </w:p>
          <w:p w14:paraId="2D627C2C"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Severe hepatic impairment</w:t>
            </w:r>
          </w:p>
          <w:p w14:paraId="364269BE" w14:textId="2D52C051"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vertAlign w:val="superscript"/>
              </w:rPr>
            </w:pPr>
            <w:r w:rsidRPr="005A7226">
              <w:rPr>
                <w:rFonts w:ascii="Arial Narrow" w:hAnsi="Arial Narrow"/>
                <w:iCs/>
                <w:sz w:val="18"/>
                <w:szCs w:val="18"/>
              </w:rPr>
              <w:t xml:space="preserve">Active </w:t>
            </w:r>
            <w:proofErr w:type="spellStart"/>
            <w:r w:rsidRPr="005A7226">
              <w:rPr>
                <w:rFonts w:ascii="Arial Narrow" w:hAnsi="Arial Narrow"/>
                <w:iCs/>
                <w:sz w:val="18"/>
                <w:szCs w:val="18"/>
              </w:rPr>
              <w:t>VTE</w:t>
            </w:r>
            <w:r w:rsidR="00571525" w:rsidRPr="005A7226">
              <w:rPr>
                <w:rFonts w:ascii="Arial Narrow" w:hAnsi="Arial Narrow"/>
                <w:iCs/>
                <w:sz w:val="18"/>
                <w:szCs w:val="18"/>
                <w:vertAlign w:val="superscript"/>
              </w:rPr>
              <w:t>b</w:t>
            </w:r>
            <w:proofErr w:type="spellEnd"/>
          </w:p>
          <w:p w14:paraId="2CDF7BFC"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Known hypersensitivity to medicine</w:t>
            </w:r>
          </w:p>
          <w:p w14:paraId="28BB7612" w14:textId="3E245346"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Known or suspected pregnancy or breast feeding</w:t>
            </w:r>
          </w:p>
        </w:tc>
        <w:tc>
          <w:tcPr>
            <w:tcW w:w="1120" w:type="pct"/>
            <w:vAlign w:val="center"/>
          </w:tcPr>
          <w:p w14:paraId="3AAD5A7E"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Estrogen dependent cancer</w:t>
            </w:r>
          </w:p>
          <w:p w14:paraId="27757854"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Active VTE disease/ thrombophilia</w:t>
            </w:r>
          </w:p>
          <w:p w14:paraId="6095FF36"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Personal wish not to use hormones</w:t>
            </w:r>
          </w:p>
          <w:p w14:paraId="756CAC81"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Undiagnosed genital bleeding</w:t>
            </w:r>
          </w:p>
          <w:p w14:paraId="6522D4A9"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Severe active liver disease</w:t>
            </w:r>
          </w:p>
          <w:p w14:paraId="044544B8"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Untreated/ uncontrolled CVD</w:t>
            </w:r>
          </w:p>
        </w:tc>
        <w:tc>
          <w:tcPr>
            <w:tcW w:w="1130" w:type="pct"/>
            <w:vAlign w:val="center"/>
          </w:tcPr>
          <w:p w14:paraId="7069FAD7"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History of breast cancer or estrogen dependent tumours</w:t>
            </w:r>
          </w:p>
          <w:p w14:paraId="2CC90C8F" w14:textId="486A9133"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 xml:space="preserve">Undiagnosed vaginal </w:t>
            </w:r>
            <w:proofErr w:type="spellStart"/>
            <w:r w:rsidRPr="005A7226">
              <w:rPr>
                <w:rFonts w:ascii="Arial Narrow" w:hAnsi="Arial Narrow"/>
                <w:iCs/>
                <w:sz w:val="18"/>
                <w:szCs w:val="18"/>
              </w:rPr>
              <w:t>bleeding</w:t>
            </w:r>
            <w:r w:rsidR="00571525" w:rsidRPr="005A7226">
              <w:rPr>
                <w:rFonts w:ascii="Arial Narrow" w:hAnsi="Arial Narrow"/>
                <w:iCs/>
                <w:sz w:val="18"/>
                <w:szCs w:val="18"/>
                <w:vertAlign w:val="superscript"/>
              </w:rPr>
              <w:t>c</w:t>
            </w:r>
            <w:proofErr w:type="spellEnd"/>
          </w:p>
          <w:p w14:paraId="37F38691"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 xml:space="preserve">Arterial thromboembolic disease (e.g., angina, myocardial infarction, cerebrovascular accident, transient ischemic attack, venous </w:t>
            </w:r>
            <w:proofErr w:type="spellStart"/>
            <w:r w:rsidRPr="005A7226">
              <w:rPr>
                <w:rFonts w:ascii="Arial Narrow" w:hAnsi="Arial Narrow"/>
                <w:iCs/>
                <w:sz w:val="18"/>
                <w:szCs w:val="18"/>
              </w:rPr>
              <w:t>thrombophilic</w:t>
            </w:r>
            <w:proofErr w:type="spellEnd"/>
            <w:r w:rsidRPr="005A7226">
              <w:rPr>
                <w:rFonts w:ascii="Arial Narrow" w:hAnsi="Arial Narrow"/>
                <w:iCs/>
                <w:sz w:val="18"/>
                <w:szCs w:val="18"/>
              </w:rPr>
              <w:t xml:space="preserve"> disorder [e.g. deep vein thrombosis, pulmonary embolism])</w:t>
            </w:r>
          </w:p>
          <w:p w14:paraId="147E407F"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Hypersensitivity to estrogen and progesterone therapy or excipients</w:t>
            </w:r>
          </w:p>
          <w:p w14:paraId="4A7CF71E"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Porphyria</w:t>
            </w:r>
          </w:p>
        </w:tc>
        <w:tc>
          <w:tcPr>
            <w:tcW w:w="1023" w:type="pct"/>
            <w:vAlign w:val="center"/>
          </w:tcPr>
          <w:p w14:paraId="37210F78"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Undiagnosed abnormal genital bleeding</w:t>
            </w:r>
          </w:p>
          <w:p w14:paraId="0A5B32B5"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Known/suspected or history of breast cancer or estrogen dependent tumours</w:t>
            </w:r>
          </w:p>
          <w:p w14:paraId="67B50180"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 xml:space="preserve">Arterial/ venous thromboembolic disease or other </w:t>
            </w:r>
            <w:proofErr w:type="spellStart"/>
            <w:r w:rsidRPr="005A7226">
              <w:rPr>
                <w:rFonts w:ascii="Arial Narrow" w:hAnsi="Arial Narrow"/>
                <w:iCs/>
                <w:sz w:val="18"/>
                <w:szCs w:val="18"/>
              </w:rPr>
              <w:t>thrombophilic</w:t>
            </w:r>
            <w:proofErr w:type="spellEnd"/>
            <w:r w:rsidRPr="005A7226">
              <w:rPr>
                <w:rFonts w:ascii="Arial Narrow" w:hAnsi="Arial Narrow"/>
                <w:iCs/>
                <w:sz w:val="18"/>
                <w:szCs w:val="18"/>
              </w:rPr>
              <w:t xml:space="preserve"> disorder</w:t>
            </w:r>
          </w:p>
          <w:p w14:paraId="26076ABC"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Acute liver disease or LFTs abnormal</w:t>
            </w:r>
          </w:p>
          <w:p w14:paraId="059682F8"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Known/suspected pregnancy</w:t>
            </w:r>
          </w:p>
          <w:p w14:paraId="7A2B214F"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Hypersensitivity to estrogen or progesterone therapy</w:t>
            </w:r>
          </w:p>
        </w:tc>
      </w:tr>
      <w:tr w:rsidR="00105ADC" w:rsidRPr="005A7226" w14:paraId="3328D6C4" w14:textId="77777777" w:rsidTr="00BA5BA3">
        <w:tc>
          <w:tcPr>
            <w:tcW w:w="705" w:type="pct"/>
            <w:vAlign w:val="center"/>
          </w:tcPr>
          <w:p w14:paraId="01C09E4C" w14:textId="77777777" w:rsidR="00105ADC" w:rsidRPr="005A7226" w:rsidRDefault="00105ADC" w:rsidP="00530CAC">
            <w:pPr>
              <w:keepNext/>
              <w:keepLines/>
              <w:jc w:val="left"/>
              <w:rPr>
                <w:rFonts w:ascii="Arial Narrow" w:hAnsi="Arial Narrow"/>
                <w:iCs/>
                <w:sz w:val="20"/>
                <w:szCs w:val="20"/>
              </w:rPr>
            </w:pPr>
            <w:r w:rsidRPr="005A7226">
              <w:rPr>
                <w:rFonts w:ascii="Arial Narrow" w:hAnsi="Arial Narrow"/>
                <w:iCs/>
                <w:sz w:val="20"/>
                <w:szCs w:val="20"/>
              </w:rPr>
              <w:t>MHT stopper / ceased MHT</w:t>
            </w:r>
          </w:p>
        </w:tc>
        <w:tc>
          <w:tcPr>
            <w:tcW w:w="1022" w:type="pct"/>
            <w:vAlign w:val="center"/>
          </w:tcPr>
          <w:p w14:paraId="55857BCF"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Discontinued MHT due to side effects or lack of efficacy</w:t>
            </w:r>
          </w:p>
        </w:tc>
        <w:tc>
          <w:tcPr>
            <w:tcW w:w="1120" w:type="pct"/>
            <w:vAlign w:val="center"/>
          </w:tcPr>
          <w:p w14:paraId="7CEBA8DD"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Ceases taking MHT due to clinical reasons, excluding cessation of VMS symptoms following trial of MHT treatment options in Toolkit (Davis 2023)</w:t>
            </w:r>
          </w:p>
        </w:tc>
        <w:tc>
          <w:tcPr>
            <w:tcW w:w="1130" w:type="pct"/>
            <w:vAlign w:val="center"/>
          </w:tcPr>
          <w:p w14:paraId="77BA1002"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Discontinued MHT due to lack of efficacy, MHT-related side effects, advised by healthcare provider to stop due to length of time on MHT or due to age ≥ 60 years</w:t>
            </w:r>
          </w:p>
        </w:tc>
        <w:tc>
          <w:tcPr>
            <w:tcW w:w="1023" w:type="pct"/>
            <w:vAlign w:val="center"/>
          </w:tcPr>
          <w:p w14:paraId="380501F5"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Stopped MHT for medical concerns</w:t>
            </w:r>
          </w:p>
        </w:tc>
      </w:tr>
      <w:tr w:rsidR="00105ADC" w:rsidRPr="005A7226" w14:paraId="0AF002E5" w14:textId="77777777" w:rsidTr="00BA5BA3">
        <w:tc>
          <w:tcPr>
            <w:tcW w:w="705" w:type="pct"/>
            <w:vAlign w:val="center"/>
          </w:tcPr>
          <w:p w14:paraId="40C3F0F9" w14:textId="77777777" w:rsidR="00105ADC" w:rsidRPr="005A7226" w:rsidRDefault="00105ADC" w:rsidP="00530CAC">
            <w:pPr>
              <w:keepNext/>
              <w:keepLines/>
              <w:jc w:val="left"/>
              <w:rPr>
                <w:rFonts w:ascii="Arial Narrow" w:hAnsi="Arial Narrow"/>
                <w:iCs/>
                <w:sz w:val="20"/>
                <w:szCs w:val="20"/>
              </w:rPr>
            </w:pPr>
            <w:r w:rsidRPr="005A7226">
              <w:rPr>
                <w:rFonts w:ascii="Arial Narrow" w:hAnsi="Arial Narrow"/>
                <w:iCs/>
                <w:sz w:val="20"/>
                <w:szCs w:val="20"/>
              </w:rPr>
              <w:t>MHT caution</w:t>
            </w:r>
          </w:p>
        </w:tc>
        <w:tc>
          <w:tcPr>
            <w:tcW w:w="1022" w:type="pct"/>
            <w:vAlign w:val="center"/>
          </w:tcPr>
          <w:p w14:paraId="38005D25"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 xml:space="preserve">- </w:t>
            </w:r>
          </w:p>
        </w:tc>
        <w:tc>
          <w:tcPr>
            <w:tcW w:w="1120" w:type="pct"/>
            <w:vAlign w:val="center"/>
          </w:tcPr>
          <w:p w14:paraId="0102225F"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High breast cancer risk</w:t>
            </w:r>
          </w:p>
          <w:p w14:paraId="49ED4664"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Indications for non-oral estrogen:</w:t>
            </w:r>
          </w:p>
          <w:p w14:paraId="2EB246CB" w14:textId="77777777"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Hypertriglyceridemia</w:t>
            </w:r>
          </w:p>
          <w:p w14:paraId="08529E3C" w14:textId="77777777"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Hepatobiliary disease</w:t>
            </w:r>
          </w:p>
          <w:p w14:paraId="648D1805" w14:textId="3B513389"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 xml:space="preserve">Migraine (with </w:t>
            </w:r>
            <w:proofErr w:type="spellStart"/>
            <w:r w:rsidRPr="005A7226">
              <w:rPr>
                <w:rFonts w:ascii="Arial Narrow" w:hAnsi="Arial Narrow"/>
                <w:iCs/>
                <w:sz w:val="18"/>
                <w:szCs w:val="18"/>
              </w:rPr>
              <w:t>aura</w:t>
            </w:r>
            <w:r w:rsidR="003A6ABD" w:rsidRPr="005A7226">
              <w:rPr>
                <w:rFonts w:ascii="Arial Narrow" w:hAnsi="Arial Narrow"/>
                <w:iCs/>
                <w:sz w:val="18"/>
                <w:szCs w:val="18"/>
                <w:vertAlign w:val="superscript"/>
              </w:rPr>
              <w:t>e</w:t>
            </w:r>
            <w:proofErr w:type="spellEnd"/>
            <w:r w:rsidRPr="005A7226">
              <w:rPr>
                <w:rFonts w:ascii="Arial Narrow" w:hAnsi="Arial Narrow"/>
                <w:iCs/>
                <w:sz w:val="18"/>
                <w:szCs w:val="18"/>
              </w:rPr>
              <w:t>)</w:t>
            </w:r>
          </w:p>
          <w:p w14:paraId="13DF68D0" w14:textId="77777777"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Age &gt;65 years &amp; no prior MHT</w:t>
            </w:r>
          </w:p>
          <w:p w14:paraId="7CC4A3BD" w14:textId="77777777"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Established CVD</w:t>
            </w:r>
          </w:p>
          <w:p w14:paraId="1ECA81FF" w14:textId="77777777"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Past VTE</w:t>
            </w:r>
          </w:p>
          <w:p w14:paraId="59E9E2AF" w14:textId="77777777" w:rsidR="00105ADC" w:rsidRPr="005A7226" w:rsidRDefault="00105ADC" w:rsidP="002D2FEB">
            <w:pPr>
              <w:pStyle w:val="ListBullet"/>
              <w:keepNext/>
              <w:keepLines/>
              <w:ind w:left="117" w:hanging="117"/>
              <w:jc w:val="left"/>
              <w:rPr>
                <w:rFonts w:ascii="Arial Narrow" w:hAnsi="Arial Narrow"/>
                <w:iCs/>
                <w:sz w:val="18"/>
                <w:szCs w:val="18"/>
              </w:rPr>
            </w:pPr>
            <w:r w:rsidRPr="005A7226">
              <w:rPr>
                <w:rFonts w:ascii="Arial Narrow" w:hAnsi="Arial Narrow"/>
                <w:iCs/>
                <w:sz w:val="18"/>
                <w:szCs w:val="18"/>
              </w:rPr>
              <w:t>Diabetes</w:t>
            </w:r>
          </w:p>
        </w:tc>
        <w:tc>
          <w:tcPr>
            <w:tcW w:w="1130" w:type="pct"/>
            <w:vAlign w:val="center"/>
          </w:tcPr>
          <w:p w14:paraId="7CAA459D"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History of diabetes mellitus</w:t>
            </w:r>
          </w:p>
          <w:p w14:paraId="2B3D8369"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proofErr w:type="spellStart"/>
            <w:r w:rsidRPr="005A7226">
              <w:rPr>
                <w:rFonts w:ascii="Arial Narrow" w:hAnsi="Arial Narrow"/>
                <w:iCs/>
                <w:sz w:val="18"/>
                <w:szCs w:val="18"/>
              </w:rPr>
              <w:t>Hyperlipidemia</w:t>
            </w:r>
            <w:proofErr w:type="spellEnd"/>
          </w:p>
          <w:p w14:paraId="71E711DB"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Smoking (current)</w:t>
            </w:r>
          </w:p>
          <w:p w14:paraId="48A50009"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Migraine</w:t>
            </w:r>
          </w:p>
          <w:p w14:paraId="7CFF2E4F"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Obesity (BMI &gt; 29.9 kg/m2)</w:t>
            </w:r>
          </w:p>
          <w:p w14:paraId="64A0931E"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Systemic lupus erythematosus</w:t>
            </w:r>
          </w:p>
          <w:p w14:paraId="7F38E101"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Epilepsy</w:t>
            </w:r>
          </w:p>
          <w:p w14:paraId="441CCDE9" w14:textId="3532D8BA"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 xml:space="preserve">Family history of breast </w:t>
            </w:r>
            <w:proofErr w:type="spellStart"/>
            <w:r w:rsidRPr="005A7226">
              <w:rPr>
                <w:rFonts w:ascii="Arial Narrow" w:hAnsi="Arial Narrow"/>
                <w:iCs/>
                <w:sz w:val="18"/>
                <w:szCs w:val="18"/>
              </w:rPr>
              <w:t>cancer</w:t>
            </w:r>
            <w:r w:rsidR="00571525" w:rsidRPr="005A7226">
              <w:rPr>
                <w:rFonts w:ascii="Arial Narrow" w:hAnsi="Arial Narrow"/>
                <w:iCs/>
                <w:sz w:val="18"/>
                <w:szCs w:val="18"/>
                <w:vertAlign w:val="superscript"/>
              </w:rPr>
              <w:t>d</w:t>
            </w:r>
            <w:proofErr w:type="spellEnd"/>
          </w:p>
        </w:tc>
        <w:tc>
          <w:tcPr>
            <w:tcW w:w="1023" w:type="pct"/>
            <w:vAlign w:val="center"/>
          </w:tcPr>
          <w:p w14:paraId="201448E0"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Advised by healthcare professional not to take MHT or have medical conditions that warrants cardiovascular or breast cancer assessment</w:t>
            </w:r>
          </w:p>
          <w:p w14:paraId="453C7C10"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Diabetes mellitus</w:t>
            </w:r>
          </w:p>
          <w:p w14:paraId="3C703E9D"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proofErr w:type="spellStart"/>
            <w:r w:rsidRPr="005A7226">
              <w:rPr>
                <w:rFonts w:ascii="Arial Narrow" w:hAnsi="Arial Narrow"/>
                <w:iCs/>
                <w:sz w:val="18"/>
                <w:szCs w:val="18"/>
              </w:rPr>
              <w:t>Hyperlipidemia</w:t>
            </w:r>
            <w:proofErr w:type="spellEnd"/>
          </w:p>
          <w:p w14:paraId="391EEDD8"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Smoker</w:t>
            </w:r>
          </w:p>
          <w:p w14:paraId="72974504"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Obesity</w:t>
            </w:r>
          </w:p>
          <w:p w14:paraId="303FAA95"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Migraine</w:t>
            </w:r>
          </w:p>
          <w:p w14:paraId="157FE0FC"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Lupus</w:t>
            </w:r>
          </w:p>
          <w:p w14:paraId="65E6E8A1" w14:textId="77777777"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Epilepsy</w:t>
            </w:r>
          </w:p>
          <w:p w14:paraId="66775475" w14:textId="7AB115C2" w:rsidR="00105ADC" w:rsidRPr="005A7226" w:rsidRDefault="00105ADC" w:rsidP="001773B1">
            <w:pPr>
              <w:pStyle w:val="ListParagraph"/>
              <w:keepNext/>
              <w:keepLines/>
              <w:numPr>
                <w:ilvl w:val="0"/>
                <w:numId w:val="7"/>
              </w:numPr>
              <w:spacing w:after="0"/>
              <w:ind w:left="119" w:hanging="119"/>
              <w:jc w:val="left"/>
              <w:rPr>
                <w:rFonts w:ascii="Arial Narrow" w:hAnsi="Arial Narrow"/>
                <w:iCs/>
                <w:sz w:val="18"/>
                <w:szCs w:val="18"/>
              </w:rPr>
            </w:pPr>
            <w:r w:rsidRPr="005A7226">
              <w:rPr>
                <w:rFonts w:ascii="Arial Narrow" w:hAnsi="Arial Narrow"/>
                <w:iCs/>
                <w:sz w:val="18"/>
                <w:szCs w:val="18"/>
              </w:rPr>
              <w:t xml:space="preserve">Family history of breast </w:t>
            </w:r>
            <w:proofErr w:type="spellStart"/>
            <w:r w:rsidRPr="005A7226">
              <w:rPr>
                <w:rFonts w:ascii="Arial Narrow" w:hAnsi="Arial Narrow"/>
                <w:iCs/>
                <w:sz w:val="18"/>
                <w:szCs w:val="18"/>
              </w:rPr>
              <w:t>cancer</w:t>
            </w:r>
            <w:r w:rsidR="00571525" w:rsidRPr="005A7226">
              <w:rPr>
                <w:rFonts w:ascii="Arial Narrow" w:hAnsi="Arial Narrow"/>
                <w:iCs/>
                <w:sz w:val="18"/>
                <w:szCs w:val="18"/>
                <w:vertAlign w:val="superscript"/>
              </w:rPr>
              <w:t>d</w:t>
            </w:r>
            <w:proofErr w:type="spellEnd"/>
            <w:r w:rsidRPr="005A7226">
              <w:rPr>
                <w:rFonts w:ascii="Arial Narrow" w:hAnsi="Arial Narrow"/>
                <w:iCs/>
                <w:sz w:val="18"/>
                <w:szCs w:val="18"/>
                <w:vertAlign w:val="superscript"/>
              </w:rPr>
              <w:t xml:space="preserve"> </w:t>
            </w:r>
          </w:p>
        </w:tc>
      </w:tr>
      <w:tr w:rsidR="00105ADC" w:rsidRPr="005A7226" w14:paraId="220201B1" w14:textId="77777777" w:rsidTr="00BA5BA3">
        <w:tc>
          <w:tcPr>
            <w:tcW w:w="705" w:type="pct"/>
            <w:vAlign w:val="center"/>
          </w:tcPr>
          <w:p w14:paraId="34ABBE5E" w14:textId="77777777" w:rsidR="00105ADC" w:rsidRPr="005A7226" w:rsidRDefault="00105ADC" w:rsidP="00530CAC">
            <w:pPr>
              <w:keepNext/>
              <w:keepLines/>
              <w:jc w:val="left"/>
              <w:rPr>
                <w:rFonts w:ascii="Arial Narrow" w:hAnsi="Arial Narrow"/>
                <w:iCs/>
                <w:sz w:val="20"/>
                <w:szCs w:val="20"/>
              </w:rPr>
            </w:pPr>
            <w:r w:rsidRPr="005A7226">
              <w:rPr>
                <w:rFonts w:ascii="Arial Narrow" w:hAnsi="Arial Narrow"/>
                <w:iCs/>
                <w:sz w:val="20"/>
                <w:szCs w:val="20"/>
              </w:rPr>
              <w:t>MHT averse</w:t>
            </w:r>
          </w:p>
        </w:tc>
        <w:tc>
          <w:tcPr>
            <w:tcW w:w="1022" w:type="pct"/>
            <w:vAlign w:val="center"/>
          </w:tcPr>
          <w:p w14:paraId="3BB2F850"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Unwilling to take MHT following education of the benefits and risks of treatment</w:t>
            </w:r>
          </w:p>
        </w:tc>
        <w:tc>
          <w:tcPr>
            <w:tcW w:w="1120" w:type="pct"/>
            <w:vAlign w:val="center"/>
          </w:tcPr>
          <w:p w14:paraId="5BECD892"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Unwilling to take MHT following receipt of education about benefits and risks of MHT</w:t>
            </w:r>
          </w:p>
        </w:tc>
        <w:tc>
          <w:tcPr>
            <w:tcW w:w="1130" w:type="pct"/>
            <w:vAlign w:val="center"/>
          </w:tcPr>
          <w:p w14:paraId="283D4C21"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Choice to not take MHT after consultation about benefit risks of MHT</w:t>
            </w:r>
          </w:p>
        </w:tc>
        <w:tc>
          <w:tcPr>
            <w:tcW w:w="1023" w:type="pct"/>
            <w:vAlign w:val="center"/>
          </w:tcPr>
          <w:p w14:paraId="529E67D4" w14:textId="77777777" w:rsidR="00105ADC" w:rsidRPr="005A7226" w:rsidRDefault="00105ADC" w:rsidP="002D2FEB">
            <w:pPr>
              <w:keepNext/>
              <w:keepLines/>
              <w:jc w:val="left"/>
              <w:rPr>
                <w:rFonts w:ascii="Arial Narrow" w:hAnsi="Arial Narrow"/>
                <w:iCs/>
                <w:sz w:val="18"/>
                <w:szCs w:val="18"/>
              </w:rPr>
            </w:pPr>
            <w:r w:rsidRPr="005A7226">
              <w:rPr>
                <w:rFonts w:ascii="Arial Narrow" w:hAnsi="Arial Narrow"/>
                <w:iCs/>
                <w:sz w:val="18"/>
                <w:szCs w:val="18"/>
              </w:rPr>
              <w:t>Averse</w:t>
            </w:r>
          </w:p>
        </w:tc>
      </w:tr>
    </w:tbl>
    <w:p w14:paraId="4FF8F0C0" w14:textId="7B58E85C" w:rsidR="00105ADC" w:rsidRPr="005A7226" w:rsidRDefault="00105ADC" w:rsidP="00530CAC">
      <w:pPr>
        <w:keepNext/>
        <w:keepLines/>
        <w:rPr>
          <w:rFonts w:ascii="Arial Narrow" w:hAnsi="Arial Narrow"/>
          <w:iCs/>
          <w:sz w:val="18"/>
          <w:szCs w:val="18"/>
        </w:rPr>
      </w:pPr>
      <w:r w:rsidRPr="005A7226">
        <w:rPr>
          <w:rFonts w:ascii="Arial Narrow" w:hAnsi="Arial Narrow"/>
          <w:iCs/>
          <w:sz w:val="18"/>
          <w:szCs w:val="18"/>
        </w:rPr>
        <w:t xml:space="preserve">Source: </w:t>
      </w:r>
      <w:r w:rsidR="009F7CA5" w:rsidRPr="005A7226">
        <w:rPr>
          <w:rFonts w:ascii="Arial Narrow" w:hAnsi="Arial Narrow"/>
          <w:iCs/>
          <w:sz w:val="18"/>
          <w:szCs w:val="18"/>
        </w:rPr>
        <w:t>Compiled during the evaluation</w:t>
      </w:r>
      <w:r w:rsidR="003B15F0" w:rsidRPr="005A7226">
        <w:rPr>
          <w:rFonts w:ascii="Arial Narrow" w:hAnsi="Arial Narrow"/>
          <w:iCs/>
          <w:sz w:val="18"/>
          <w:szCs w:val="18"/>
        </w:rPr>
        <w:t xml:space="preserve"> from Table 1.4-2, p48 of the submission, Davis 2023 (Practitioner’s Toolkit for Managing Menopause), Table in Santoro 2023 (post-hoc pooled SKYLIGHT 1 and 2 trials), Table S1, </w:t>
      </w:r>
      <w:proofErr w:type="spellStart"/>
      <w:r w:rsidR="003B15F0" w:rsidRPr="005A7226">
        <w:rPr>
          <w:rFonts w:ascii="Arial Narrow" w:hAnsi="Arial Narrow"/>
          <w:iCs/>
          <w:sz w:val="18"/>
          <w:szCs w:val="18"/>
        </w:rPr>
        <w:t>Shudig</w:t>
      </w:r>
      <w:proofErr w:type="spellEnd"/>
      <w:r w:rsidR="003B15F0" w:rsidRPr="005A7226">
        <w:rPr>
          <w:rFonts w:ascii="Arial Narrow" w:hAnsi="Arial Narrow"/>
          <w:iCs/>
          <w:sz w:val="18"/>
          <w:szCs w:val="18"/>
        </w:rPr>
        <w:t xml:space="preserve"> 2024 (DAYLIGHT trial)</w:t>
      </w:r>
      <w:r w:rsidRPr="005A7226">
        <w:rPr>
          <w:rFonts w:ascii="Arial Narrow" w:hAnsi="Arial Narrow"/>
          <w:iCs/>
          <w:sz w:val="18"/>
          <w:szCs w:val="18"/>
        </w:rPr>
        <w:t>.</w:t>
      </w:r>
    </w:p>
    <w:p w14:paraId="1C38E732" w14:textId="77777777" w:rsidR="00105ADC" w:rsidRPr="005A7226" w:rsidRDefault="00105ADC" w:rsidP="00530CAC">
      <w:pPr>
        <w:keepNext/>
        <w:keepLines/>
        <w:rPr>
          <w:rFonts w:ascii="Arial Narrow" w:hAnsi="Arial Narrow"/>
          <w:iCs/>
          <w:sz w:val="18"/>
          <w:szCs w:val="18"/>
        </w:rPr>
      </w:pPr>
      <w:r w:rsidRPr="005A7226">
        <w:rPr>
          <w:rFonts w:ascii="Arial Narrow" w:hAnsi="Arial Narrow"/>
          <w:iCs/>
          <w:sz w:val="18"/>
          <w:szCs w:val="18"/>
        </w:rPr>
        <w:t>BMI=body mass index; LFT=liver function test; MHT=menopausal hormone therapy; PI=product information; VTE=venous thromboembolism;</w:t>
      </w:r>
    </w:p>
    <w:p w14:paraId="4E0A1CCA" w14:textId="310AB929" w:rsidR="00105ADC" w:rsidRPr="005A7226" w:rsidRDefault="0053662D" w:rsidP="00530CAC">
      <w:pPr>
        <w:keepNext/>
        <w:keepLines/>
        <w:rPr>
          <w:rFonts w:ascii="Arial Narrow" w:hAnsi="Arial Narrow"/>
          <w:iCs/>
          <w:sz w:val="18"/>
          <w:szCs w:val="18"/>
        </w:rPr>
      </w:pPr>
      <w:proofErr w:type="spellStart"/>
      <w:r w:rsidRPr="005A7226">
        <w:rPr>
          <w:rFonts w:ascii="Arial Narrow" w:hAnsi="Arial Narrow"/>
          <w:iCs/>
          <w:sz w:val="18"/>
          <w:szCs w:val="18"/>
        </w:rPr>
        <w:t>a</w:t>
      </w:r>
      <w:proofErr w:type="spellEnd"/>
      <w:r w:rsidR="00105ADC" w:rsidRPr="005A7226">
        <w:rPr>
          <w:rFonts w:ascii="Arial Narrow" w:hAnsi="Arial Narrow"/>
          <w:iCs/>
          <w:sz w:val="18"/>
          <w:szCs w:val="18"/>
        </w:rPr>
        <w:tab/>
      </w:r>
      <w:r w:rsidRPr="005A7226">
        <w:rPr>
          <w:rFonts w:ascii="Arial Narrow" w:hAnsi="Arial Narrow"/>
          <w:iCs/>
          <w:sz w:val="18"/>
          <w:szCs w:val="18"/>
        </w:rPr>
        <w:t>The requested restriction stated to refer to</w:t>
      </w:r>
      <w:r w:rsidR="000461EB" w:rsidRPr="005A7226">
        <w:rPr>
          <w:rFonts w:ascii="Arial Narrow" w:hAnsi="Arial Narrow"/>
          <w:iCs/>
          <w:sz w:val="18"/>
          <w:szCs w:val="18"/>
        </w:rPr>
        <w:t xml:space="preserve"> </w:t>
      </w:r>
      <w:r w:rsidR="008A4AA3" w:rsidRPr="005A7226">
        <w:rPr>
          <w:rFonts w:ascii="Arial Narrow" w:hAnsi="Arial Narrow"/>
          <w:iCs/>
          <w:sz w:val="18"/>
          <w:szCs w:val="18"/>
        </w:rPr>
        <w:t>the</w:t>
      </w:r>
      <w:r w:rsidRPr="005A7226">
        <w:rPr>
          <w:rFonts w:ascii="Arial Narrow" w:hAnsi="Arial Narrow"/>
          <w:iCs/>
          <w:sz w:val="18"/>
          <w:szCs w:val="18"/>
        </w:rPr>
        <w:t xml:space="preserve"> </w:t>
      </w:r>
      <w:r w:rsidR="008A4AA3" w:rsidRPr="005A7226">
        <w:rPr>
          <w:rFonts w:ascii="Arial Narrow" w:hAnsi="Arial Narrow"/>
          <w:iCs/>
          <w:sz w:val="18"/>
          <w:szCs w:val="18"/>
        </w:rPr>
        <w:t>PI</w:t>
      </w:r>
      <w:r w:rsidR="000461EB" w:rsidRPr="005A7226">
        <w:rPr>
          <w:rFonts w:ascii="Arial Narrow" w:hAnsi="Arial Narrow"/>
          <w:iCs/>
          <w:sz w:val="18"/>
          <w:szCs w:val="18"/>
        </w:rPr>
        <w:t xml:space="preserve"> for</w:t>
      </w:r>
      <w:r w:rsidR="008A4AA3" w:rsidRPr="005A7226">
        <w:rPr>
          <w:rFonts w:ascii="Arial Narrow" w:hAnsi="Arial Narrow"/>
          <w:iCs/>
          <w:sz w:val="18"/>
          <w:szCs w:val="18"/>
        </w:rPr>
        <w:t xml:space="preserve"> </w:t>
      </w:r>
      <w:r w:rsidRPr="005A7226">
        <w:rPr>
          <w:rFonts w:ascii="Arial Narrow" w:hAnsi="Arial Narrow"/>
          <w:iCs/>
          <w:sz w:val="18"/>
          <w:szCs w:val="18"/>
        </w:rPr>
        <w:t>relevant menopausal hormone therapy</w:t>
      </w:r>
      <w:r w:rsidR="000461EB" w:rsidRPr="005A7226">
        <w:rPr>
          <w:rFonts w:ascii="Arial Narrow" w:hAnsi="Arial Narrow"/>
          <w:iCs/>
          <w:sz w:val="18"/>
          <w:szCs w:val="18"/>
        </w:rPr>
        <w:t>(</w:t>
      </w:r>
      <w:proofErr w:type="spellStart"/>
      <w:r w:rsidR="000461EB" w:rsidRPr="005A7226">
        <w:rPr>
          <w:rFonts w:ascii="Arial Narrow" w:hAnsi="Arial Narrow"/>
          <w:iCs/>
          <w:sz w:val="18"/>
          <w:szCs w:val="18"/>
        </w:rPr>
        <w:t>ies</w:t>
      </w:r>
      <w:proofErr w:type="spellEnd"/>
      <w:r w:rsidR="000461EB" w:rsidRPr="005A7226">
        <w:rPr>
          <w:rFonts w:ascii="Arial Narrow" w:hAnsi="Arial Narrow"/>
          <w:iCs/>
          <w:sz w:val="18"/>
          <w:szCs w:val="18"/>
        </w:rPr>
        <w:t>)</w:t>
      </w:r>
      <w:r w:rsidRPr="005A7226">
        <w:rPr>
          <w:rFonts w:ascii="Arial Narrow" w:hAnsi="Arial Narrow"/>
          <w:iCs/>
          <w:sz w:val="18"/>
          <w:szCs w:val="18"/>
        </w:rPr>
        <w:t xml:space="preserve"> for conditions for which therapy is contraindicated</w:t>
      </w:r>
      <w:r w:rsidR="00571525" w:rsidRPr="005A7226">
        <w:rPr>
          <w:rFonts w:ascii="Arial Narrow" w:hAnsi="Arial Narrow"/>
          <w:iCs/>
          <w:sz w:val="18"/>
          <w:szCs w:val="18"/>
        </w:rPr>
        <w:t>.</w:t>
      </w:r>
      <w:r w:rsidRPr="005A7226" w:rsidDel="004467DC">
        <w:rPr>
          <w:rFonts w:ascii="Arial Narrow" w:hAnsi="Arial Narrow"/>
          <w:iCs/>
          <w:sz w:val="18"/>
          <w:szCs w:val="18"/>
        </w:rPr>
        <w:t xml:space="preserve"> </w:t>
      </w:r>
    </w:p>
    <w:p w14:paraId="74FF50FD" w14:textId="036E311D" w:rsidR="00105ADC" w:rsidRPr="005A7226" w:rsidRDefault="00571525" w:rsidP="00530CAC">
      <w:pPr>
        <w:keepNext/>
        <w:keepLines/>
        <w:ind w:left="165" w:hanging="165"/>
        <w:rPr>
          <w:rFonts w:ascii="Arial Narrow" w:hAnsi="Arial Narrow"/>
          <w:iCs/>
          <w:sz w:val="18"/>
          <w:szCs w:val="18"/>
        </w:rPr>
      </w:pPr>
      <w:r w:rsidRPr="005A7226">
        <w:rPr>
          <w:rFonts w:ascii="Arial Narrow" w:hAnsi="Arial Narrow"/>
          <w:iCs/>
          <w:sz w:val="18"/>
          <w:szCs w:val="18"/>
        </w:rPr>
        <w:t>b</w:t>
      </w:r>
      <w:r w:rsidR="00105ADC" w:rsidRPr="005A7226">
        <w:rPr>
          <w:rFonts w:ascii="Arial Narrow" w:hAnsi="Arial Narrow"/>
          <w:iCs/>
          <w:sz w:val="18"/>
          <w:szCs w:val="18"/>
        </w:rPr>
        <w:tab/>
        <w:t xml:space="preserve">Active VTE (e.g. deep venous thrombosis, pulmonary embolism), known </w:t>
      </w:r>
      <w:proofErr w:type="spellStart"/>
      <w:r w:rsidR="00105ADC" w:rsidRPr="005A7226">
        <w:rPr>
          <w:rFonts w:ascii="Arial Narrow" w:hAnsi="Arial Narrow"/>
          <w:iCs/>
          <w:sz w:val="18"/>
          <w:szCs w:val="18"/>
        </w:rPr>
        <w:t>thrombophilic</w:t>
      </w:r>
      <w:proofErr w:type="spellEnd"/>
      <w:r w:rsidR="00105ADC" w:rsidRPr="005A7226">
        <w:rPr>
          <w:rFonts w:ascii="Arial Narrow" w:hAnsi="Arial Narrow"/>
          <w:iCs/>
          <w:sz w:val="18"/>
          <w:szCs w:val="18"/>
        </w:rPr>
        <w:t xml:space="preserve"> or thromboembolic disorders (e.g. thrombophlebitis), arterial thromboembolic disease (e.g. coronary heart disease, stroke), or history of these conditions.</w:t>
      </w:r>
    </w:p>
    <w:p w14:paraId="01D2F16D" w14:textId="355EE97F" w:rsidR="00105ADC" w:rsidRPr="005A7226" w:rsidRDefault="00571525" w:rsidP="00530CAC">
      <w:pPr>
        <w:keepNext/>
        <w:keepLines/>
        <w:ind w:left="165" w:hanging="165"/>
        <w:rPr>
          <w:rFonts w:ascii="Arial Narrow" w:hAnsi="Arial Narrow"/>
          <w:iCs/>
          <w:sz w:val="18"/>
          <w:szCs w:val="18"/>
        </w:rPr>
      </w:pPr>
      <w:r w:rsidRPr="005A7226">
        <w:rPr>
          <w:rFonts w:ascii="Arial Narrow" w:hAnsi="Arial Narrow"/>
          <w:iCs/>
          <w:sz w:val="18"/>
          <w:szCs w:val="18"/>
        </w:rPr>
        <w:t>c</w:t>
      </w:r>
      <w:r w:rsidR="00105ADC" w:rsidRPr="005A7226">
        <w:rPr>
          <w:rFonts w:ascii="Arial Narrow" w:hAnsi="Arial Narrow"/>
          <w:iCs/>
          <w:sz w:val="18"/>
          <w:szCs w:val="18"/>
        </w:rPr>
        <w:tab/>
        <w:t>Patients with undiagnosed vaginal bleeding allowed in the study after appropriate assessment performed at the investigator’s discretion.</w:t>
      </w:r>
    </w:p>
    <w:p w14:paraId="55279B82" w14:textId="15307D50" w:rsidR="00105ADC" w:rsidRPr="005A7226" w:rsidRDefault="00571525" w:rsidP="003A6ABD">
      <w:pPr>
        <w:pStyle w:val="ExecSumBodyText"/>
        <w:spacing w:after="0"/>
        <w:ind w:left="0" w:firstLine="0"/>
        <w:rPr>
          <w:rFonts w:ascii="Arial Narrow" w:hAnsi="Arial Narrow"/>
          <w:iCs/>
          <w:sz w:val="18"/>
          <w:szCs w:val="18"/>
        </w:rPr>
      </w:pPr>
      <w:r w:rsidRPr="005A7226">
        <w:rPr>
          <w:rFonts w:ascii="Arial Narrow" w:hAnsi="Arial Narrow"/>
          <w:iCs/>
          <w:sz w:val="18"/>
          <w:szCs w:val="18"/>
        </w:rPr>
        <w:t>d</w:t>
      </w:r>
      <w:r w:rsidR="00105ADC" w:rsidRPr="005A7226">
        <w:rPr>
          <w:rFonts w:ascii="Arial Narrow" w:hAnsi="Arial Narrow"/>
          <w:iCs/>
          <w:sz w:val="18"/>
          <w:szCs w:val="18"/>
        </w:rPr>
        <w:tab/>
        <w:t>Family history of breast cancer in first degree relative or have mutation of BRCA1 and 2.</w:t>
      </w:r>
    </w:p>
    <w:p w14:paraId="729C8645" w14:textId="3BC8C10B" w:rsidR="003A6ABD" w:rsidRPr="005A7226" w:rsidRDefault="003A6ABD" w:rsidP="00105ADC">
      <w:pPr>
        <w:pStyle w:val="ExecSumBodyText"/>
        <w:ind w:left="0" w:firstLine="0"/>
        <w:rPr>
          <w:iCs/>
        </w:rPr>
      </w:pPr>
      <w:r w:rsidRPr="005A7226">
        <w:rPr>
          <w:rFonts w:ascii="Arial Narrow" w:hAnsi="Arial Narrow"/>
          <w:iCs/>
          <w:sz w:val="18"/>
          <w:szCs w:val="18"/>
        </w:rPr>
        <w:t>e</w:t>
      </w:r>
      <w:r w:rsidRPr="005A7226">
        <w:rPr>
          <w:rFonts w:ascii="Arial Narrow" w:hAnsi="Arial Narrow"/>
          <w:iCs/>
          <w:sz w:val="18"/>
          <w:szCs w:val="18"/>
        </w:rPr>
        <w:tab/>
        <w:t>Migraine with aura requires early review to ensure no increase in migraine symptoms.</w:t>
      </w:r>
    </w:p>
    <w:p w14:paraId="6335DF98" w14:textId="5E61D13C" w:rsidR="0067607D" w:rsidRPr="005A7226" w:rsidRDefault="52B59601" w:rsidP="00687D9D">
      <w:pPr>
        <w:pStyle w:val="ExecSumBodyText"/>
        <w:numPr>
          <w:ilvl w:val="1"/>
          <w:numId w:val="1"/>
        </w:numPr>
        <w:ind w:left="720"/>
      </w:pPr>
      <w:r w:rsidRPr="005A7226">
        <w:t>The submission stated that the prescribing physicians should reassess patients every six months to consider if treatment should be continued. The PI recommend</w:t>
      </w:r>
      <w:r w:rsidR="49B3C683" w:rsidRPr="005A7226">
        <w:t>s</w:t>
      </w:r>
      <w:r w:rsidRPr="005A7226">
        <w:t xml:space="preserve"> a baseline and subsequent periodic evaluation of liver function (at least once within the first three months of treatment) to inform the individual benefit-risk assessment of fezolinetant treatment. </w:t>
      </w:r>
      <w:r w:rsidR="00EC7225" w:rsidRPr="005A7226">
        <w:t xml:space="preserve">The PSCR noted that the sponsor will be updating the approved PI with a </w:t>
      </w:r>
      <w:r w:rsidR="00EC7225" w:rsidRPr="00687D9D">
        <w:t xml:space="preserve">recommendation for follow-up monitoring of liver function: “Follow-up evaluation of hepatic function is recommended monthly for the first three months of initiating VEOZA and thereafter periodically based on clinical judgement.” </w:t>
      </w:r>
      <w:r w:rsidRPr="00687D9D">
        <w:t xml:space="preserve">However, the </w:t>
      </w:r>
      <w:r w:rsidR="006E127C" w:rsidRPr="00687D9D">
        <w:t>submission proposed a single treatment phase listing, encompassing both the initial and continuing scripts, and</w:t>
      </w:r>
      <w:r w:rsidR="006E127C">
        <w:t xml:space="preserve"> </w:t>
      </w:r>
      <w:r w:rsidRPr="005A7226">
        <w:t>did not propose any continuation criteria for fezolinetant,</w:t>
      </w:r>
      <w:r w:rsidR="00EC7225" w:rsidRPr="005A7226">
        <w:t xml:space="preserve"> or cautions regarding </w:t>
      </w:r>
      <w:r w:rsidR="00316683" w:rsidRPr="005A7226">
        <w:t>monitoring of liver functioning,</w:t>
      </w:r>
      <w:r w:rsidRPr="005A7226">
        <w:t xml:space="preserve"> which </w:t>
      </w:r>
      <w:r w:rsidR="006E127C">
        <w:t xml:space="preserve">the evaluation considered </w:t>
      </w:r>
      <w:r w:rsidRPr="005A7226">
        <w:t xml:space="preserve">may not be appropriate. </w:t>
      </w:r>
      <w:r w:rsidR="49B3C683" w:rsidRPr="005A7226">
        <w:t>L</w:t>
      </w:r>
      <w:r w:rsidRPr="005A7226">
        <w:t xml:space="preserve">imited long-term follow-up data </w:t>
      </w:r>
      <w:r w:rsidR="49B3C683" w:rsidRPr="005A7226">
        <w:t>w</w:t>
      </w:r>
      <w:r w:rsidR="001879AC" w:rsidRPr="005A7226">
        <w:t>ere</w:t>
      </w:r>
      <w:r w:rsidR="49B3C683" w:rsidRPr="005A7226">
        <w:t xml:space="preserve"> </w:t>
      </w:r>
      <w:r w:rsidRPr="005A7226">
        <w:t>presented in the clinical studies to determine the long-term benefit of fezolinetant beyond 52 weeks. The Therapeutic Guidelines Australia 2023</w:t>
      </w:r>
      <w:r w:rsidR="00176BDA" w:rsidRPr="005A7226">
        <w:rPr>
          <w:rStyle w:val="FootnoteReference"/>
        </w:rPr>
        <w:footnoteReference w:id="6"/>
      </w:r>
      <w:r w:rsidRPr="005A7226">
        <w:t xml:space="preserve"> recommend a review of the use of non-hormonal drugs for VMS every 6 to 12 months.</w:t>
      </w:r>
      <w:r w:rsidR="000B506A">
        <w:t xml:space="preserve"> T</w:t>
      </w:r>
      <w:r w:rsidR="00295DF6">
        <w:t xml:space="preserve">he PBAC considered that </w:t>
      </w:r>
      <w:r w:rsidR="000B506A">
        <w:t>the required liver function tests were potentially onerous</w:t>
      </w:r>
      <w:r w:rsidR="00667FAA">
        <w:t xml:space="preserve">, but were important for </w:t>
      </w:r>
      <w:r w:rsidR="00615BD7">
        <w:t xml:space="preserve">patient safety. </w:t>
      </w:r>
      <w:r w:rsidRPr="005A7226">
        <w:t xml:space="preserve"> </w:t>
      </w:r>
    </w:p>
    <w:p w14:paraId="5FFC77A4" w14:textId="056D8EF9" w:rsidR="00D67B3C" w:rsidRPr="005A7226" w:rsidRDefault="00D67B3C" w:rsidP="00DF2417">
      <w:pPr>
        <w:pStyle w:val="ExecSumBodyText"/>
        <w:ind w:left="709" w:firstLine="0"/>
        <w:rPr>
          <w:i/>
          <w:iCs/>
        </w:rPr>
      </w:pPr>
      <w:r w:rsidRPr="005A7226">
        <w:rPr>
          <w:i/>
          <w:iCs/>
        </w:rPr>
        <w:t>For more detail on PBAC’s view, see section 7 PBAC outcome.</w:t>
      </w:r>
    </w:p>
    <w:p w14:paraId="7075B85C" w14:textId="62A47B7B" w:rsidR="00B50DB8" w:rsidRPr="005A7226" w:rsidDel="00195452" w:rsidRDefault="00203181" w:rsidP="004E18E9">
      <w:pPr>
        <w:pStyle w:val="2-SectionHeading"/>
      </w:pPr>
      <w:bookmarkStart w:id="12" w:name="_Toc188442558"/>
      <w:r w:rsidRPr="005A7226" w:rsidDel="00195452">
        <w:t xml:space="preserve">Population and </w:t>
      </w:r>
      <w:r w:rsidR="008E0D3C" w:rsidRPr="005A7226" w:rsidDel="00195452">
        <w:t>d</w:t>
      </w:r>
      <w:r w:rsidRPr="005A7226" w:rsidDel="00195452">
        <w:t>isease</w:t>
      </w:r>
      <w:bookmarkEnd w:id="12"/>
    </w:p>
    <w:p w14:paraId="6C8D955D" w14:textId="69A4D26C" w:rsidR="00B14718" w:rsidRPr="00671E46" w:rsidRDefault="52B59601" w:rsidP="00671E46">
      <w:pPr>
        <w:widowControl w:val="0"/>
        <w:numPr>
          <w:ilvl w:val="1"/>
          <w:numId w:val="1"/>
        </w:numPr>
        <w:spacing w:after="120"/>
        <w:ind w:left="720"/>
        <w:rPr>
          <w:iCs/>
        </w:rPr>
      </w:pPr>
      <w:r w:rsidRPr="005A7226">
        <w:t>Menopause occurs when ovulatory and related functions end. This natural process is associated with a decrease in reproductive hormone (</w:t>
      </w:r>
      <w:r w:rsidR="00972FAB" w:rsidRPr="005A7226">
        <w:t>e.g</w:t>
      </w:r>
      <w:r w:rsidRPr="005A7226">
        <w:t>. ovarian estrogen) production. Menopause onset is traditionally defined as the time of the last menstrual period</w:t>
      </w:r>
      <w:r w:rsidR="003B7223" w:rsidRPr="005A7226">
        <w:t>, which the ESC noted is therefore a retrospective diagnosis</w:t>
      </w:r>
      <w:r w:rsidRPr="005A7226">
        <w:t>. In Australia, the median age at which menopause occurs is 51 years</w:t>
      </w:r>
      <w:r w:rsidR="49B3C683" w:rsidRPr="005A7226">
        <w:t>,</w:t>
      </w:r>
      <w:r w:rsidRPr="005A7226">
        <w:t xml:space="preserve"> with a normal range of 45 to 55</w:t>
      </w:r>
      <w:r w:rsidR="00DF2417">
        <w:t> </w:t>
      </w:r>
      <w:r w:rsidRPr="005A7226">
        <w:t xml:space="preserve">years. The hormonal changes at menopause have systemic effects, increasing the risk of </w:t>
      </w:r>
      <w:r w:rsidR="15C754C1" w:rsidRPr="005A7226">
        <w:t>cardiovascular disease (</w:t>
      </w:r>
      <w:r w:rsidRPr="005A7226">
        <w:t>CVD</w:t>
      </w:r>
      <w:r w:rsidR="15C754C1" w:rsidRPr="005A7226">
        <w:t>)</w:t>
      </w:r>
      <w:r w:rsidRPr="005A7226">
        <w:t xml:space="preserve">, diabetes mellitus, cancers associated with central adiposity, </w:t>
      </w:r>
      <w:r w:rsidR="00BE3A58" w:rsidRPr="005A7226">
        <w:t xml:space="preserve">reduced neurological health, </w:t>
      </w:r>
      <w:r w:rsidRPr="005A7226">
        <w:t xml:space="preserve">bone loss and fragility fracture. VMS (hot flushes and night sweats) are the most common symptoms of menopause. Other symptoms may include urogenital symptoms (e.g. vaginal dryness, dyspareunia, dysuria, nocturia) or sleep disturbance, </w:t>
      </w:r>
      <w:r w:rsidR="00BE3A58" w:rsidRPr="00671E46">
        <w:rPr>
          <w:iCs/>
        </w:rPr>
        <w:t xml:space="preserve">fatigue, </w:t>
      </w:r>
      <w:r w:rsidRPr="00671E46">
        <w:rPr>
          <w:iCs/>
        </w:rPr>
        <w:t>musculoskeletal symptoms or psychological symptoms</w:t>
      </w:r>
      <w:r w:rsidR="00462F91" w:rsidRPr="00671E46">
        <w:rPr>
          <w:iCs/>
        </w:rPr>
        <w:t xml:space="preserve"> (e.g. memory/concentration problems, anxiety)</w:t>
      </w:r>
      <w:r w:rsidRPr="00671E46">
        <w:rPr>
          <w:iCs/>
        </w:rPr>
        <w:t xml:space="preserve"> (Davis 2023b</w:t>
      </w:r>
      <w:r w:rsidR="00176BDA" w:rsidRPr="00FD66E9">
        <w:rPr>
          <w:iCs/>
          <w:vertAlign w:val="superscript"/>
        </w:rPr>
        <w:footnoteReference w:id="7"/>
      </w:r>
      <w:r w:rsidRPr="00671E46">
        <w:rPr>
          <w:iCs/>
        </w:rPr>
        <w:t xml:space="preserve">). </w:t>
      </w:r>
    </w:p>
    <w:p w14:paraId="632EA933" w14:textId="114C5481" w:rsidR="00176BDA" w:rsidRPr="00671E46" w:rsidRDefault="00176BDA" w:rsidP="00671E46">
      <w:pPr>
        <w:widowControl w:val="0"/>
        <w:numPr>
          <w:ilvl w:val="1"/>
          <w:numId w:val="1"/>
        </w:numPr>
        <w:spacing w:after="120"/>
        <w:ind w:left="720"/>
        <w:rPr>
          <w:iCs/>
        </w:rPr>
      </w:pPr>
      <w:r w:rsidRPr="00671E46">
        <w:rPr>
          <w:iCs/>
        </w:rPr>
        <w:t>The pathophysiology of VMS is unclear; however, the onset of VMS is thought to be related to the narrowing of the thermoregulatory system, which maintains the core body temperature. The thermoregulatory dysfunction at the level of the hypothalamus results in rapid, exaggerated and potentially unnecessary activation of heat dissipation response, including sweating, skin reddening and increased heart rate. The onset of VMS coincides with the fluctuation and progressive decline of estrogen and progesterone during the perimenopausal period and post-menopause.</w:t>
      </w:r>
    </w:p>
    <w:p w14:paraId="6AD86312" w14:textId="01F1AB16" w:rsidR="00176BDA" w:rsidRPr="005A7226" w:rsidRDefault="00B14718" w:rsidP="00671E46">
      <w:pPr>
        <w:widowControl w:val="0"/>
        <w:numPr>
          <w:ilvl w:val="1"/>
          <w:numId w:val="1"/>
        </w:numPr>
        <w:spacing w:after="120"/>
        <w:ind w:left="720"/>
      </w:pPr>
      <w:bookmarkStart w:id="13" w:name="_Ref187755432"/>
      <w:r w:rsidRPr="00671E46">
        <w:rPr>
          <w:iCs/>
        </w:rPr>
        <w:t>The</w:t>
      </w:r>
      <w:r w:rsidR="00B150CC" w:rsidRPr="00DC3C78">
        <w:t xml:space="preserve"> ESC noted that</w:t>
      </w:r>
      <w:r w:rsidRPr="00DC3C78">
        <w:t xml:space="preserve"> Food and Drug Administration (FDA) </w:t>
      </w:r>
      <w:r w:rsidR="005D03AF" w:rsidRPr="00DC3C78">
        <w:t xml:space="preserve">and key studies </w:t>
      </w:r>
      <w:r w:rsidRPr="00DC3C78">
        <w:t>defined VMS severity based on</w:t>
      </w:r>
      <w:r w:rsidRPr="005A7226">
        <w:t xml:space="preserve"> the sensations of heat, sweating and interruption of activity (</w:t>
      </w:r>
      <w:proofErr w:type="spellStart"/>
      <w:r w:rsidRPr="005A7226">
        <w:t>Center</w:t>
      </w:r>
      <w:proofErr w:type="spellEnd"/>
      <w:r w:rsidRPr="005A7226">
        <w:t xml:space="preserve"> for Drug Evaluation and Research (CDER) 20</w:t>
      </w:r>
      <w:r w:rsidR="00951530" w:rsidRPr="005A7226">
        <w:t>0</w:t>
      </w:r>
      <w:r w:rsidRPr="005A7226">
        <w:t>3</w:t>
      </w:r>
      <w:r w:rsidRPr="005A7226">
        <w:rPr>
          <w:rStyle w:val="FootnoteReference"/>
        </w:rPr>
        <w:footnoteReference w:id="8"/>
      </w:r>
      <w:r w:rsidRPr="005A7226">
        <w:t>):</w:t>
      </w:r>
      <w:bookmarkEnd w:id="13"/>
    </w:p>
    <w:p w14:paraId="702531AD" w14:textId="77777777" w:rsidR="00B14718" w:rsidRPr="005A7226" w:rsidRDefault="00B14718" w:rsidP="00A959F3">
      <w:pPr>
        <w:pStyle w:val="ListParagraph"/>
        <w:numPr>
          <w:ilvl w:val="0"/>
          <w:numId w:val="8"/>
        </w:numPr>
        <w:snapToGrid w:val="0"/>
        <w:ind w:left="1134" w:hanging="357"/>
      </w:pPr>
      <w:r w:rsidRPr="005A7226">
        <w:t>Mild – sensation of heat without sweating</w:t>
      </w:r>
    </w:p>
    <w:p w14:paraId="5DEFA4B2" w14:textId="77777777" w:rsidR="00B14718" w:rsidRPr="005A7226" w:rsidRDefault="00B14718" w:rsidP="00A959F3">
      <w:pPr>
        <w:pStyle w:val="ListParagraph"/>
        <w:numPr>
          <w:ilvl w:val="0"/>
          <w:numId w:val="8"/>
        </w:numPr>
        <w:snapToGrid w:val="0"/>
        <w:ind w:left="1134" w:hanging="357"/>
      </w:pPr>
      <w:r w:rsidRPr="005A7226">
        <w:t>Moderate – sensation of heat with sweating, able to continue activity</w:t>
      </w:r>
    </w:p>
    <w:p w14:paraId="4D8E1B67" w14:textId="067BD08C" w:rsidR="00B14718" w:rsidRPr="005A7226" w:rsidRDefault="00B14718" w:rsidP="00A959F3">
      <w:pPr>
        <w:pStyle w:val="ListParagraph"/>
        <w:numPr>
          <w:ilvl w:val="0"/>
          <w:numId w:val="8"/>
        </w:numPr>
        <w:snapToGrid w:val="0"/>
        <w:ind w:left="1134" w:hanging="357"/>
      </w:pPr>
      <w:r w:rsidRPr="005A7226">
        <w:t>Severe – sensation of heat with sweating, causing cessation of activity</w:t>
      </w:r>
      <w:r w:rsidR="00F86568" w:rsidRPr="005A7226">
        <w:t>.</w:t>
      </w:r>
    </w:p>
    <w:p w14:paraId="435E6ED0" w14:textId="73295B17" w:rsidR="000E1851" w:rsidRPr="005A7226" w:rsidRDefault="15C754C1" w:rsidP="00671E46">
      <w:pPr>
        <w:widowControl w:val="0"/>
        <w:numPr>
          <w:ilvl w:val="1"/>
          <w:numId w:val="1"/>
        </w:numPr>
        <w:spacing w:after="120"/>
        <w:ind w:left="720"/>
      </w:pPr>
      <w:bookmarkStart w:id="14" w:name="_Ref191295942"/>
      <w:r w:rsidRPr="005A7226">
        <w:t xml:space="preserve">Symptom severity is calculated as a weighted average of </w:t>
      </w:r>
      <w:r w:rsidRPr="00671E46">
        <w:rPr>
          <w:iCs/>
        </w:rPr>
        <w:t>individual</w:t>
      </w:r>
      <w:r w:rsidRPr="005A7226">
        <w:t xml:space="preserve"> episode severities over a specified period (i.e. one week). Moderate to severe VMS are associated with impaired sleep, concentration, psychological and general wellbeing and overall quality of life. A hot flush typically lasts 3 to 5 minutes, but can be </w:t>
      </w:r>
      <w:r w:rsidR="6FEEFFF2" w:rsidRPr="005A7226">
        <w:t xml:space="preserve">longer </w:t>
      </w:r>
      <w:r w:rsidRPr="005A7226">
        <w:t>than 20 minutes in some women. The perceived intensity of the flush can also vary widely, from severely disruptive to mild (Lee 2011</w:t>
      </w:r>
      <w:r w:rsidR="00B14718" w:rsidRPr="005A7226">
        <w:rPr>
          <w:rStyle w:val="FootnoteReference"/>
        </w:rPr>
        <w:footnoteReference w:id="9"/>
      </w:r>
      <w:r w:rsidRPr="005A7226">
        <w:t>). Some women may have hot flushes 20 or more times every day, whereas others may experience only one or two per week.</w:t>
      </w:r>
      <w:r w:rsidR="000B375F" w:rsidRPr="005A7226">
        <w:t xml:space="preserve"> The median duration of menopausal VMS varied by race and ethnicity</w:t>
      </w:r>
      <w:r w:rsidR="00185E2B" w:rsidRPr="005A7226">
        <w:t>,</w:t>
      </w:r>
      <w:r w:rsidR="000B375F" w:rsidRPr="005A7226">
        <w:t xml:space="preserve"> and ranges from 6.5 to 10.1</w:t>
      </w:r>
      <w:r w:rsidR="00A959F3">
        <w:t> </w:t>
      </w:r>
      <w:r w:rsidR="000B375F" w:rsidRPr="005A7226">
        <w:t>years (Davis 2023b).</w:t>
      </w:r>
      <w:r w:rsidR="00357600" w:rsidRPr="005A7226">
        <w:t xml:space="preserve"> The ESC considered that </w:t>
      </w:r>
      <w:r w:rsidR="00453408" w:rsidRPr="005A7226">
        <w:t>it is not straightforward attempting to measure, or rank burden/</w:t>
      </w:r>
      <w:r w:rsidR="003B5523" w:rsidRPr="005A7226">
        <w:t>disutility</w:t>
      </w:r>
      <w:r w:rsidR="00453408" w:rsidRPr="005A7226">
        <w:t xml:space="preserve"> </w:t>
      </w:r>
      <w:r w:rsidR="00714AF1" w:rsidRPr="005A7226">
        <w:t>associated with</w:t>
      </w:r>
      <w:r w:rsidR="003B5523" w:rsidRPr="005A7226">
        <w:t xml:space="preserve"> VMS, </w:t>
      </w:r>
      <w:r w:rsidR="003D77B6" w:rsidRPr="005A7226">
        <w:t>as</w:t>
      </w:r>
      <w:r w:rsidR="000E1851" w:rsidRPr="005A7226">
        <w:t>:</w:t>
      </w:r>
      <w:bookmarkEnd w:id="14"/>
    </w:p>
    <w:p w14:paraId="4296DA30" w14:textId="4D5B07DA" w:rsidR="00176BDA" w:rsidRPr="005A7226" w:rsidRDefault="003D77B6" w:rsidP="00A959F3">
      <w:pPr>
        <w:pStyle w:val="ListParagraph"/>
        <w:numPr>
          <w:ilvl w:val="0"/>
          <w:numId w:val="8"/>
        </w:numPr>
        <w:snapToGrid w:val="0"/>
        <w:ind w:left="1134" w:hanging="357"/>
      </w:pPr>
      <w:r w:rsidRPr="005A7226">
        <w:t xml:space="preserve">it is difficult to compare whether ‘mild’ hot flushes </w:t>
      </w:r>
      <w:r w:rsidR="00D361A2" w:rsidRPr="005A7226">
        <w:t xml:space="preserve">lasting for 5 minutes </w:t>
      </w:r>
      <w:r w:rsidRPr="005A7226">
        <w:t>every hour</w:t>
      </w:r>
      <w:r w:rsidR="00D361A2" w:rsidRPr="005A7226">
        <w:t>, are better or worse than ‘severe’ hot flushes lasting 10 minutes, every 4 hours</w:t>
      </w:r>
      <w:r w:rsidR="009D7A2C" w:rsidRPr="005A7226">
        <w:t xml:space="preserve">; </w:t>
      </w:r>
    </w:p>
    <w:p w14:paraId="42F52789" w14:textId="186A846B" w:rsidR="009D7A2C" w:rsidRPr="005A7226" w:rsidRDefault="009D7A2C" w:rsidP="00A959F3">
      <w:pPr>
        <w:pStyle w:val="ListParagraph"/>
        <w:numPr>
          <w:ilvl w:val="0"/>
          <w:numId w:val="8"/>
        </w:numPr>
        <w:snapToGrid w:val="0"/>
        <w:ind w:left="1134" w:hanging="357"/>
      </w:pPr>
      <w:r w:rsidRPr="005A7226">
        <w:t>sweating propensity may be influenced by environmental factors (</w:t>
      </w:r>
      <w:proofErr w:type="spellStart"/>
      <w:r w:rsidRPr="005A7226">
        <w:t>eg</w:t>
      </w:r>
      <w:proofErr w:type="spellEnd"/>
      <w:r w:rsidRPr="005A7226">
        <w:t xml:space="preserve"> temperature, humidity); </w:t>
      </w:r>
    </w:p>
    <w:p w14:paraId="73F02C84" w14:textId="3072F650" w:rsidR="009D7A2C" w:rsidRPr="005A7226" w:rsidRDefault="009D7A2C" w:rsidP="00A959F3">
      <w:pPr>
        <w:pStyle w:val="ListParagraph"/>
        <w:numPr>
          <w:ilvl w:val="0"/>
          <w:numId w:val="8"/>
        </w:numPr>
        <w:snapToGrid w:val="0"/>
        <w:ind w:left="1134"/>
      </w:pPr>
      <w:r w:rsidRPr="005A7226">
        <w:t xml:space="preserve">ability to continue activity will be heavily dependent on the activity. </w:t>
      </w:r>
    </w:p>
    <w:p w14:paraId="3993CA1D" w14:textId="079E05AE" w:rsidR="007B45F9" w:rsidRPr="0034147F" w:rsidRDefault="007B45F9" w:rsidP="0034147F">
      <w:pPr>
        <w:widowControl w:val="0"/>
        <w:numPr>
          <w:ilvl w:val="1"/>
          <w:numId w:val="1"/>
        </w:numPr>
        <w:spacing w:after="120"/>
        <w:ind w:left="720"/>
        <w:rPr>
          <w:iCs/>
        </w:rPr>
      </w:pPr>
      <w:r w:rsidRPr="005A7226">
        <w:t xml:space="preserve">Fezolinetant is a non-hormonal selective NK3 receptor antagonist that blocks neurokinin B (NKB) binding on </w:t>
      </w:r>
      <w:proofErr w:type="spellStart"/>
      <w:r w:rsidRPr="005A7226">
        <w:t>KNDy</w:t>
      </w:r>
      <w:proofErr w:type="spellEnd"/>
      <w:r w:rsidRPr="005A7226">
        <w:t xml:space="preserve"> neurons to modulate neuronal activity in the thermoregulatory centre. The recommended dose of fezolinetant is 45 mg once daily at about the same time each day. The PI also recommend</w:t>
      </w:r>
      <w:r w:rsidR="0018360D" w:rsidRPr="005A7226">
        <w:t>s</w:t>
      </w:r>
      <w:r w:rsidRPr="005A7226">
        <w:t xml:space="preserve"> that in </w:t>
      </w:r>
      <w:r w:rsidR="00526D39" w:rsidRPr="005A7226">
        <w:t xml:space="preserve">the </w:t>
      </w:r>
      <w:r w:rsidRPr="005A7226">
        <w:t xml:space="preserve">case of </w:t>
      </w:r>
      <w:r w:rsidRPr="0034147F">
        <w:rPr>
          <w:iCs/>
        </w:rPr>
        <w:t>acute liver function test abnormalities, temporary or permanent discontinuation of fezolinetant may be required.</w:t>
      </w:r>
    </w:p>
    <w:p w14:paraId="1E2A4462" w14:textId="0577F8C1" w:rsidR="004B3547" w:rsidRPr="005A7226" w:rsidRDefault="004B3547" w:rsidP="0034147F">
      <w:pPr>
        <w:widowControl w:val="0"/>
        <w:numPr>
          <w:ilvl w:val="1"/>
          <w:numId w:val="1"/>
        </w:numPr>
        <w:spacing w:after="120"/>
        <w:ind w:left="720"/>
      </w:pPr>
      <w:r w:rsidRPr="0034147F">
        <w:rPr>
          <w:iCs/>
        </w:rPr>
        <w:t xml:space="preserve">DUSC </w:t>
      </w:r>
      <w:r w:rsidR="007C3A57" w:rsidRPr="0034147F">
        <w:rPr>
          <w:iCs/>
        </w:rPr>
        <w:t>considered that</w:t>
      </w:r>
      <w:r w:rsidRPr="0034147F">
        <w:rPr>
          <w:iCs/>
        </w:rPr>
        <w:t xml:space="preserve"> there is a clinical need for effective non-hormonal</w:t>
      </w:r>
      <w:r w:rsidRPr="004B3547">
        <w:t xml:space="preserve"> therapy for patients unsuitable for MHT.</w:t>
      </w:r>
    </w:p>
    <w:p w14:paraId="674E6509" w14:textId="23CA6B52" w:rsidR="00CF485A" w:rsidRPr="005A7226" w:rsidRDefault="00CF485A" w:rsidP="00B97995">
      <w:pPr>
        <w:pStyle w:val="3-BodyText"/>
        <w:numPr>
          <w:ilvl w:val="0"/>
          <w:numId w:val="0"/>
        </w:numPr>
        <w:ind w:left="510" w:firstLine="170"/>
        <w:rPr>
          <w:i/>
          <w:iCs/>
        </w:rPr>
      </w:pPr>
      <w:r w:rsidRPr="005A7226">
        <w:rPr>
          <w:i/>
          <w:iCs/>
        </w:rPr>
        <w:t>For more detail on PBAC’s view, see section 7 PBAC outcome.</w:t>
      </w:r>
    </w:p>
    <w:p w14:paraId="51E5AE96" w14:textId="14A76263" w:rsidR="00B50DB8" w:rsidRPr="005A7226" w:rsidRDefault="00B50DB8" w:rsidP="004E18E9">
      <w:pPr>
        <w:pStyle w:val="2-SectionHeading"/>
      </w:pPr>
      <w:bookmarkStart w:id="15" w:name="_Toc188442559"/>
      <w:r w:rsidRPr="005A7226">
        <w:t>Comparator</w:t>
      </w:r>
      <w:bookmarkEnd w:id="15"/>
    </w:p>
    <w:p w14:paraId="3D93B7D9" w14:textId="20AAC18D" w:rsidR="00E73825" w:rsidRPr="0034147F" w:rsidRDefault="00E73825" w:rsidP="0034147F">
      <w:pPr>
        <w:widowControl w:val="0"/>
        <w:numPr>
          <w:ilvl w:val="1"/>
          <w:numId w:val="1"/>
        </w:numPr>
        <w:spacing w:after="120"/>
        <w:ind w:left="720"/>
        <w:rPr>
          <w:iCs/>
        </w:rPr>
      </w:pPr>
      <w:r w:rsidRPr="005A7226">
        <w:t>The submission nominated no treatment (represented by placebo in the clinical trials) as the main comparator for fezo</w:t>
      </w:r>
      <w:r w:rsidRPr="0034147F">
        <w:rPr>
          <w:iCs/>
        </w:rPr>
        <w:t>linetant.</w:t>
      </w:r>
    </w:p>
    <w:p w14:paraId="64088C6E" w14:textId="77777777" w:rsidR="00D15C94" w:rsidRPr="00D15C94" w:rsidRDefault="47AD201E" w:rsidP="0034147F">
      <w:pPr>
        <w:widowControl w:val="0"/>
        <w:numPr>
          <w:ilvl w:val="1"/>
          <w:numId w:val="1"/>
        </w:numPr>
        <w:spacing w:after="120"/>
        <w:ind w:left="720"/>
      </w:pPr>
      <w:bookmarkStart w:id="16" w:name="_Ref190805199"/>
      <w:r w:rsidRPr="0034147F">
        <w:rPr>
          <w:iCs/>
        </w:rPr>
        <w:t>The</w:t>
      </w:r>
      <w:r w:rsidR="001B5919" w:rsidRPr="0034147F">
        <w:rPr>
          <w:iCs/>
        </w:rPr>
        <w:t xml:space="preserve"> evaluation and the ESC considered that the</w:t>
      </w:r>
      <w:r w:rsidRPr="0034147F">
        <w:rPr>
          <w:iCs/>
        </w:rPr>
        <w:t xml:space="preserve"> nomination of no treatment</w:t>
      </w:r>
      <w:r w:rsidRPr="001B6335">
        <w:t xml:space="preserve"> as the main comparator was appropriate for the </w:t>
      </w:r>
      <w:r w:rsidR="6EF5C3F9" w:rsidRPr="001B6335">
        <w:t xml:space="preserve">requested </w:t>
      </w:r>
      <w:r w:rsidRPr="001B6335">
        <w:t xml:space="preserve">PBS patients who are contraindicated to MHT or </w:t>
      </w:r>
      <w:r w:rsidR="00F5736A" w:rsidRPr="001B6335">
        <w:t xml:space="preserve">who </w:t>
      </w:r>
      <w:r w:rsidRPr="001B6335">
        <w:t>discontinued MHT due to lack of efficacy or adverse effects</w:t>
      </w:r>
      <w:r w:rsidR="001B6335">
        <w:t xml:space="preserve"> (AEs)</w:t>
      </w:r>
      <w:r w:rsidRPr="001B6335">
        <w:t xml:space="preserve">. </w:t>
      </w:r>
    </w:p>
    <w:p w14:paraId="1CC6B4C4" w14:textId="586E01C6" w:rsidR="00626890" w:rsidRPr="0031762F" w:rsidRDefault="00A71515" w:rsidP="0034147F">
      <w:pPr>
        <w:widowControl w:val="0"/>
        <w:numPr>
          <w:ilvl w:val="1"/>
          <w:numId w:val="1"/>
        </w:numPr>
        <w:spacing w:after="120"/>
        <w:ind w:left="720"/>
        <w:rPr>
          <w:iCs/>
        </w:rPr>
      </w:pPr>
      <w:bookmarkStart w:id="17" w:name="_Ref195109665"/>
      <w:r>
        <w:t>G</w:t>
      </w:r>
      <w:r w:rsidR="47AD201E" w:rsidRPr="001B6335">
        <w:t>uidelines generally support the use of non-hormonal drugs for patients who have contraindications to MHT</w:t>
      </w:r>
      <w:r w:rsidR="00C21542">
        <w:t>.</w:t>
      </w:r>
      <w:r w:rsidR="004E04D6">
        <w:t xml:space="preserve"> However, </w:t>
      </w:r>
      <w:r w:rsidR="00D15C94" w:rsidRPr="005A7226">
        <w:t xml:space="preserve">available non-hormonal drugs are comparable to, or less effective than MHT in treating VMS, </w:t>
      </w:r>
      <w:r w:rsidR="00C21542">
        <w:t>and</w:t>
      </w:r>
      <w:r w:rsidR="008D54F5">
        <w:t xml:space="preserve"> </w:t>
      </w:r>
      <w:r w:rsidR="00D15C94" w:rsidRPr="005A7226">
        <w:t>do not confer the other benefits associated with MHT such as bone or cardiovascular-protective benefits</w:t>
      </w:r>
      <w:r w:rsidR="00E72E07">
        <w:t xml:space="preserve">. </w:t>
      </w:r>
      <w:r>
        <w:t xml:space="preserve">The evaluation noted that </w:t>
      </w:r>
      <w:r w:rsidR="00D15C94">
        <w:t>evidence</w:t>
      </w:r>
      <w:r w:rsidR="008D54F5">
        <w:t xml:space="preserve"> regarding non-</w:t>
      </w:r>
      <w:r w:rsidR="00BF3A67">
        <w:t>hormonal treatments for VMS</w:t>
      </w:r>
      <w:r w:rsidR="00D15C94">
        <w:t xml:space="preserve"> is </w:t>
      </w:r>
      <w:r w:rsidR="00BF3A67">
        <w:t xml:space="preserve">very </w:t>
      </w:r>
      <w:r w:rsidR="00D15C94">
        <w:t>limited</w:t>
      </w:r>
      <w:r w:rsidR="00287828">
        <w:t>, as</w:t>
      </w:r>
      <w:r w:rsidR="00A05025">
        <w:t xml:space="preserve"> </w:t>
      </w:r>
      <w:r w:rsidR="003C4B27" w:rsidRPr="00F417A3">
        <w:t xml:space="preserve">comparative studies for MHT and non-hormonal treatments are </w:t>
      </w:r>
      <w:r w:rsidR="003C4B27" w:rsidRPr="0031762F">
        <w:t>lacking and evidence from indirect comparisons is mixed</w:t>
      </w:r>
      <w:r w:rsidR="000511DE" w:rsidRPr="0031762F">
        <w:rPr>
          <w:iCs/>
        </w:rPr>
        <w:t xml:space="preserve"> </w:t>
      </w:r>
      <w:r w:rsidR="00F74DA0" w:rsidRPr="0031762F">
        <w:rPr>
          <w:iCs/>
        </w:rPr>
        <w:t xml:space="preserve">and </w:t>
      </w:r>
      <w:r w:rsidR="000511DE" w:rsidRPr="0031762F">
        <w:rPr>
          <w:iCs/>
        </w:rPr>
        <w:t>evidence for non-hormonal treatments is usually limited to short-term studies</w:t>
      </w:r>
      <w:r w:rsidR="003C4B27" w:rsidRPr="0031762F">
        <w:t>. A recent network meta-analysis (Morga 2024a</w:t>
      </w:r>
      <w:r w:rsidR="00CB54EC" w:rsidRPr="0031762F">
        <w:rPr>
          <w:rStyle w:val="FootnoteReference"/>
        </w:rPr>
        <w:footnoteReference w:id="10"/>
      </w:r>
      <w:r w:rsidR="003C4B27" w:rsidRPr="0031762F">
        <w:t>) suggested that the effect of fezolinetant on VMS frequency was generally not different from the MHT regimens studied, with the exception of tibolone, which was significantly more effective than fezolinetant. The data also suggested that fezolinetant was more effective in reducing VMS frequency than other non-hormonal options (desvenlafaxine, paroxetine and gabapentin) in women with contraindications for MHT or who wish not to use MHT. Based on a naïve indirect comparison, a recent report by the independent US Institute for Clinical and Economic Review (ICER 2023</w:t>
      </w:r>
      <w:r w:rsidR="00CB54EC" w:rsidRPr="0031762F">
        <w:rPr>
          <w:rStyle w:val="FootnoteReference"/>
        </w:rPr>
        <w:footnoteReference w:id="11"/>
      </w:r>
      <w:r w:rsidR="003C4B27" w:rsidRPr="0031762F">
        <w:t>) considered fezolinetant to be less effective than MHT for treating VMS (frequency and severity), and considered MHT might provide additional benefits for sleep, vaginal dryness, and fracture prev</w:t>
      </w:r>
      <w:r w:rsidR="003C4B27" w:rsidRPr="0031762F">
        <w:rPr>
          <w:iCs/>
        </w:rPr>
        <w:t>ention</w:t>
      </w:r>
      <w:r w:rsidR="00F74DA0" w:rsidRPr="0031762F">
        <w:rPr>
          <w:iCs/>
        </w:rPr>
        <w:t>.</w:t>
      </w:r>
      <w:bookmarkEnd w:id="17"/>
      <w:r w:rsidR="00D41D4A" w:rsidRPr="0031762F">
        <w:rPr>
          <w:iCs/>
        </w:rPr>
        <w:t xml:space="preserve"> </w:t>
      </w:r>
    </w:p>
    <w:p w14:paraId="64E98898" w14:textId="315CF8FA" w:rsidR="00087501" w:rsidRPr="00F973F3" w:rsidRDefault="002D7029" w:rsidP="0034147F">
      <w:pPr>
        <w:widowControl w:val="0"/>
        <w:numPr>
          <w:ilvl w:val="1"/>
          <w:numId w:val="1"/>
        </w:numPr>
        <w:spacing w:after="120"/>
        <w:ind w:left="720"/>
        <w:rPr>
          <w:iCs/>
        </w:rPr>
      </w:pPr>
      <w:r w:rsidRPr="0034147F">
        <w:rPr>
          <w:iCs/>
          <w:snapToGrid w:val="0"/>
        </w:rPr>
        <w:t>The</w:t>
      </w:r>
      <w:r w:rsidRPr="001B6335">
        <w:t xml:space="preserve"> evaluation and the ESC considered that i</w:t>
      </w:r>
      <w:r w:rsidR="47AD201E" w:rsidRPr="001B6335">
        <w:t>f recommended, fezolinetant would likely replace various non-</w:t>
      </w:r>
      <w:r w:rsidR="47AD201E" w:rsidRPr="00F973F3">
        <w:t>hormonal treatments for VMS currently used outside of the PBS.</w:t>
      </w:r>
      <w:bookmarkEnd w:id="16"/>
      <w:r w:rsidR="006122B8" w:rsidRPr="00F973F3">
        <w:t xml:space="preserve"> </w:t>
      </w:r>
      <w:r w:rsidR="00FA6B71" w:rsidRPr="00F973F3">
        <w:rPr>
          <w:iCs/>
        </w:rPr>
        <w:t>The evaluation noted that</w:t>
      </w:r>
      <w:r w:rsidR="00087501" w:rsidRPr="00F973F3">
        <w:rPr>
          <w:iCs/>
        </w:rPr>
        <w:t>:</w:t>
      </w:r>
    </w:p>
    <w:p w14:paraId="4D10DA65" w14:textId="4B1E1AEB" w:rsidR="008716EE" w:rsidRPr="008716EE" w:rsidRDefault="00E9413C" w:rsidP="000E136C">
      <w:pPr>
        <w:pStyle w:val="ListParagraph"/>
        <w:numPr>
          <w:ilvl w:val="0"/>
          <w:numId w:val="8"/>
        </w:numPr>
        <w:snapToGrid w:val="0"/>
        <w:ind w:left="1037" w:hanging="357"/>
      </w:pPr>
      <w:r>
        <w:t>C</w:t>
      </w:r>
      <w:r w:rsidR="00F237C4" w:rsidRPr="00F973F3">
        <w:t>hoice of non-hormonal therapy</w:t>
      </w:r>
      <w:r w:rsidR="00F237C4" w:rsidRPr="008716EE">
        <w:t xml:space="preserve"> primarily depends on concurrent symptoms (e.g. </w:t>
      </w:r>
      <w:r w:rsidR="00F237C4" w:rsidRPr="00087501">
        <w:t>mood</w:t>
      </w:r>
      <w:r w:rsidR="00F237C4" w:rsidRPr="008716EE">
        <w:t xml:space="preserve"> disorder, disrupted sleep, pain, urinary symptoms) as well as the pattern of VMS, comorbidities, concurrent medications, safety profile of treatment and patient preference (Therapeutic Guidelines Australia 2023).</w:t>
      </w:r>
      <w:r w:rsidR="00FA6B71" w:rsidRPr="008716EE">
        <w:t xml:space="preserve"> </w:t>
      </w:r>
      <w:r w:rsidR="008716EE">
        <w:t xml:space="preserve"> </w:t>
      </w:r>
    </w:p>
    <w:p w14:paraId="1B046101" w14:textId="77777777" w:rsidR="009948AB" w:rsidRPr="008716EE" w:rsidRDefault="009948AB" w:rsidP="000E136C">
      <w:pPr>
        <w:pStyle w:val="ListParagraph"/>
        <w:numPr>
          <w:ilvl w:val="0"/>
          <w:numId w:val="8"/>
        </w:numPr>
        <w:snapToGrid w:val="0"/>
        <w:ind w:left="1037" w:hanging="357"/>
      </w:pPr>
      <w:r w:rsidRPr="008716EE">
        <w:t>With the exception of clonidine, non-hormonal treatments for this indication can only be accessed outside of the PBS and used “off-label” for VMS. These include selective serotonin reuptake inhibitors (SSRIs) and serotonin-norepinephrine reuptake inhibitors (SNRIs), gabapentin, pregabalin and oxybutynin. The ESC noted that some of these treatments may be available for patients who meet other indications in addition to having VMS symptoms (e.g. anti-depressants for patients with mood disorders associated with menopause).</w:t>
      </w:r>
    </w:p>
    <w:p w14:paraId="6D296B25" w14:textId="77C403C6" w:rsidR="001E56E6" w:rsidRPr="0034147F" w:rsidRDefault="00D53C64" w:rsidP="000E136C">
      <w:pPr>
        <w:pStyle w:val="ListParagraph"/>
        <w:numPr>
          <w:ilvl w:val="0"/>
          <w:numId w:val="8"/>
        </w:numPr>
        <w:snapToGrid w:val="0"/>
        <w:ind w:left="1037" w:hanging="357"/>
      </w:pPr>
      <w:r>
        <w:t>W</w:t>
      </w:r>
      <w:r w:rsidR="001E56E6" w:rsidRPr="005A7226">
        <w:t xml:space="preserve">hile clonidine is TGA indicated for treatment of hot flushes, </w:t>
      </w:r>
      <w:r>
        <w:t>the submission considered it</w:t>
      </w:r>
      <w:r w:rsidR="001E56E6" w:rsidRPr="005A7226">
        <w:t xml:space="preserve"> less effective than other non-hormonal drugs, </w:t>
      </w:r>
      <w:r w:rsidR="00F973F3">
        <w:t>noting that</w:t>
      </w:r>
      <w:r w:rsidR="00F973F3" w:rsidRPr="005A7226">
        <w:t xml:space="preserve"> </w:t>
      </w:r>
      <w:r w:rsidR="001E56E6" w:rsidRPr="005A7226">
        <w:t>guidelines do not consistently recommend the use of clonidine for VMS. Therefore</w:t>
      </w:r>
      <w:r w:rsidR="0050131B" w:rsidRPr="005A7226">
        <w:t>,</w:t>
      </w:r>
      <w:r w:rsidR="001E56E6" w:rsidRPr="005A7226">
        <w:t xml:space="preserve"> </w:t>
      </w:r>
      <w:r w:rsidR="00EA1D30">
        <w:t xml:space="preserve">the submission did not consider </w:t>
      </w:r>
      <w:r w:rsidR="001E56E6" w:rsidRPr="005A7226">
        <w:t xml:space="preserve">clonidine as a comparator. The Practitioner’s Toolkit (Davis 2023a) </w:t>
      </w:r>
      <w:r w:rsidR="001E56E6" w:rsidRPr="0034147F">
        <w:t xml:space="preserve">suggests clonidine for patients who cannot take estrogen at doses of 100-150 mcg/day. Therapeutic Guidelines Australia 2023 recommends clonidine for patients with hot flushes who require migraine prevention, noting potential adverse effects (e.g. dry mouth, difficulty urinating) with clonidine treatment. </w:t>
      </w:r>
    </w:p>
    <w:p w14:paraId="0D86217C" w14:textId="583F999D" w:rsidR="001A030C" w:rsidRPr="005A7226" w:rsidDel="002D314D" w:rsidRDefault="00F76D75" w:rsidP="00B53879">
      <w:pPr>
        <w:widowControl w:val="0"/>
        <w:numPr>
          <w:ilvl w:val="1"/>
          <w:numId w:val="1"/>
        </w:numPr>
        <w:spacing w:after="120"/>
        <w:ind w:left="720"/>
        <w:rPr>
          <w:iCs/>
        </w:rPr>
      </w:pPr>
      <w:r>
        <w:rPr>
          <w:iCs/>
        </w:rPr>
        <w:t>T</w:t>
      </w:r>
      <w:r w:rsidR="003E1FBC" w:rsidRPr="0034147F">
        <w:rPr>
          <w:iCs/>
        </w:rPr>
        <w:t xml:space="preserve">he PBAC considered that a number of the </w:t>
      </w:r>
      <w:r w:rsidR="00E50A24" w:rsidRPr="0034147F">
        <w:rPr>
          <w:iCs/>
        </w:rPr>
        <w:t xml:space="preserve">available non-hormonal therapies </w:t>
      </w:r>
      <w:r w:rsidR="006D73ED" w:rsidRPr="0034147F">
        <w:rPr>
          <w:iCs/>
        </w:rPr>
        <w:t xml:space="preserve">are currently used off-label by patients who cannot </w:t>
      </w:r>
      <w:r w:rsidR="006D73ED" w:rsidRPr="00D14E91">
        <w:rPr>
          <w:iCs/>
        </w:rPr>
        <w:t>take MHT</w:t>
      </w:r>
      <w:r w:rsidR="007E2E11">
        <w:rPr>
          <w:iCs/>
        </w:rPr>
        <w:t xml:space="preserve"> (e.g. oxybutynin is used regularly in breast cancer patients with VMS)</w:t>
      </w:r>
      <w:r w:rsidR="0038172B">
        <w:rPr>
          <w:iCs/>
        </w:rPr>
        <w:t xml:space="preserve">. </w:t>
      </w:r>
      <w:r w:rsidR="00702A01">
        <w:rPr>
          <w:iCs/>
        </w:rPr>
        <w:t>T</w:t>
      </w:r>
      <w:r w:rsidR="00D26C96">
        <w:rPr>
          <w:iCs/>
        </w:rPr>
        <w:t>he submission did not provide any comparative evidence</w:t>
      </w:r>
      <w:r w:rsidR="002D2C70">
        <w:rPr>
          <w:iCs/>
        </w:rPr>
        <w:t xml:space="preserve"> versus non-hormonal therapies</w:t>
      </w:r>
      <w:r w:rsidR="004D43FC">
        <w:rPr>
          <w:iCs/>
        </w:rPr>
        <w:t xml:space="preserve">. The PBAC considered that </w:t>
      </w:r>
      <w:r w:rsidR="004573B5" w:rsidRPr="00D14E91">
        <w:rPr>
          <w:iCs/>
        </w:rPr>
        <w:t xml:space="preserve">although </w:t>
      </w:r>
      <w:r w:rsidR="004D43FC">
        <w:rPr>
          <w:iCs/>
        </w:rPr>
        <w:t xml:space="preserve">these </w:t>
      </w:r>
      <w:r w:rsidR="009B17D2">
        <w:rPr>
          <w:iCs/>
        </w:rPr>
        <w:t>off-label therapies</w:t>
      </w:r>
      <w:r w:rsidR="004573B5" w:rsidRPr="00D14E91">
        <w:rPr>
          <w:iCs/>
        </w:rPr>
        <w:t xml:space="preserve"> are not PBS-subsidised for this indication, </w:t>
      </w:r>
      <w:r w:rsidR="00DE334E" w:rsidRPr="00D14E91">
        <w:rPr>
          <w:iCs/>
        </w:rPr>
        <w:t xml:space="preserve">they are </w:t>
      </w:r>
      <w:r w:rsidR="00556D86">
        <w:rPr>
          <w:iCs/>
        </w:rPr>
        <w:t xml:space="preserve">an alternative </w:t>
      </w:r>
      <w:r w:rsidR="0094492D">
        <w:rPr>
          <w:iCs/>
        </w:rPr>
        <w:t xml:space="preserve">treatment choice </w:t>
      </w:r>
      <w:r w:rsidR="0038172B">
        <w:rPr>
          <w:iCs/>
        </w:rPr>
        <w:t>for patients unable to receive MHT</w:t>
      </w:r>
      <w:r w:rsidR="0099500D">
        <w:rPr>
          <w:iCs/>
        </w:rPr>
        <w:t xml:space="preserve">, </w:t>
      </w:r>
      <w:r w:rsidR="0094492D">
        <w:rPr>
          <w:iCs/>
        </w:rPr>
        <w:t xml:space="preserve">and are </w:t>
      </w:r>
      <w:r w:rsidR="0099500D">
        <w:rPr>
          <w:iCs/>
        </w:rPr>
        <w:t xml:space="preserve">also </w:t>
      </w:r>
      <w:r w:rsidR="0094492D">
        <w:rPr>
          <w:iCs/>
        </w:rPr>
        <w:t>less costly than fezolinetant</w:t>
      </w:r>
      <w:r w:rsidR="00415A65" w:rsidRPr="00D14E91">
        <w:rPr>
          <w:iCs/>
        </w:rPr>
        <w:t>.</w:t>
      </w:r>
      <w:r w:rsidR="00415A65">
        <w:rPr>
          <w:iCs/>
        </w:rPr>
        <w:t xml:space="preserve"> </w:t>
      </w:r>
      <w:bookmarkStart w:id="18" w:name="_Ref190805490"/>
      <w:r w:rsidR="00CF6E6B" w:rsidRPr="00B11DA2">
        <w:rPr>
          <w:iCs/>
          <w:color w:val="000000"/>
          <w:w w:val="15"/>
          <w:shd w:val="solid" w:color="000000" w:fill="000000"/>
          <w:fitText w:val="-20" w:id="-694454780"/>
          <w14:textFill>
            <w14:solidFill>
              <w14:srgbClr w14:val="000000">
                <w14:alpha w14:val="100000"/>
              </w14:srgbClr>
            </w14:solidFill>
          </w14:textFill>
        </w:rPr>
        <w:t xml:space="preserve">|  </w:t>
      </w:r>
      <w:r w:rsidR="00CF6E6B" w:rsidRPr="00B11DA2">
        <w:rPr>
          <w:iCs/>
          <w:color w:val="000000"/>
          <w:spacing w:val="-69"/>
          <w:w w:val="15"/>
          <w:shd w:val="solid" w:color="000000" w:fill="000000"/>
          <w:fitText w:val="-20" w:id="-694454780"/>
          <w14:textFill>
            <w14:solidFill>
              <w14:srgbClr w14:val="000000">
                <w14:alpha w14:val="100000"/>
              </w14:srgbClr>
            </w14:solidFill>
          </w14:textFill>
        </w:rPr>
        <w:t>|</w:t>
      </w:r>
      <w:r w:rsidR="00F973F3">
        <w:rPr>
          <w:iCs/>
        </w:rPr>
        <w:t xml:space="preserve">The </w:t>
      </w:r>
      <w:r w:rsidR="00015417">
        <w:rPr>
          <w:iCs/>
        </w:rPr>
        <w:t xml:space="preserve">submission acknowledged that </w:t>
      </w:r>
      <w:r w:rsidR="00BD39B6" w:rsidRPr="005A7226">
        <w:rPr>
          <w:iCs/>
        </w:rPr>
        <w:t>MHT is the most effective and current mainstay treatment for VMS and other symptoms associated with menopause</w:t>
      </w:r>
      <w:r w:rsidR="00825CD4">
        <w:rPr>
          <w:iCs/>
        </w:rPr>
        <w:t xml:space="preserve">, </w:t>
      </w:r>
      <w:r w:rsidR="00825CD4" w:rsidRPr="005A7226" w:rsidDel="002D314D">
        <w:t>consistently support</w:t>
      </w:r>
      <w:r w:rsidR="00825CD4">
        <w:t>ed by g</w:t>
      </w:r>
      <w:r w:rsidR="00825CD4" w:rsidRPr="005A7226" w:rsidDel="002D314D">
        <w:t xml:space="preserve">uidelines </w:t>
      </w:r>
      <w:r w:rsidR="00825CD4" w:rsidRPr="005A7226" w:rsidDel="002D314D">
        <w:rPr>
          <w:iCs/>
        </w:rPr>
        <w:t>(Davis 2023a</w:t>
      </w:r>
      <w:r w:rsidR="000361C4">
        <w:rPr>
          <w:rStyle w:val="FootnoteReference"/>
          <w:iCs/>
        </w:rPr>
        <w:footnoteReference w:id="12"/>
      </w:r>
      <w:r w:rsidR="00825CD4" w:rsidRPr="005A7226" w:rsidDel="002D314D">
        <w:rPr>
          <w:iCs/>
        </w:rPr>
        <w:t>)</w:t>
      </w:r>
      <w:r w:rsidR="00CF664C">
        <w:rPr>
          <w:iCs/>
        </w:rPr>
        <w:t xml:space="preserve">, and </w:t>
      </w:r>
      <w:r w:rsidR="00CF664C" w:rsidRPr="005A7226">
        <w:t>“recommends that patients experiencing VMS explore MHT as the first therapeutic option”</w:t>
      </w:r>
      <w:r w:rsidR="00825CD4" w:rsidRPr="005A7226" w:rsidDel="002D314D">
        <w:rPr>
          <w:iCs/>
        </w:rPr>
        <w:t>.</w:t>
      </w:r>
      <w:r w:rsidR="001A030C" w:rsidRPr="001A030C" w:rsidDel="00825CD4">
        <w:t xml:space="preserve"> </w:t>
      </w:r>
      <w:r w:rsidR="00CD6631" w:rsidRPr="005A7226">
        <w:rPr>
          <w:iCs/>
        </w:rPr>
        <w:t xml:space="preserve">The </w:t>
      </w:r>
      <w:r w:rsidR="00701C31">
        <w:rPr>
          <w:iCs/>
        </w:rPr>
        <w:t xml:space="preserve">evaluation noted that the </w:t>
      </w:r>
      <w:r w:rsidR="00CD6631" w:rsidRPr="005A7226">
        <w:rPr>
          <w:iCs/>
        </w:rPr>
        <w:t>benefits of MHT are considered to outweigh its risks, particularly given its effects on bone loss prevention and fracture risk reduction, in most symptomatic women aged &lt;60 years (or within 10 years of menopause onset) without a medical contraindication.</w:t>
      </w:r>
      <w:r w:rsidR="00CD6631">
        <w:rPr>
          <w:iCs/>
        </w:rPr>
        <w:t xml:space="preserve"> </w:t>
      </w:r>
      <w:r w:rsidR="001A030C" w:rsidRPr="005A7226" w:rsidDel="002D314D">
        <w:rPr>
          <w:iCs/>
        </w:rPr>
        <w:t>The ESC noted that MHT is considered first-line because it is effective for menopause symptoms (not limited to VMS), is protective in terms of bone loss and preventing cardiovascular disease, and is generally safe because it replaces hormones (</w:t>
      </w:r>
      <w:proofErr w:type="spellStart"/>
      <w:r w:rsidR="001A030C" w:rsidRPr="005A7226" w:rsidDel="002D314D">
        <w:rPr>
          <w:iCs/>
        </w:rPr>
        <w:t>eg</w:t>
      </w:r>
      <w:proofErr w:type="spellEnd"/>
      <w:r w:rsidR="001A030C" w:rsidRPr="005A7226" w:rsidDel="002D314D">
        <w:rPr>
          <w:iCs/>
        </w:rPr>
        <w:t xml:space="preserve"> estrogen) lost around the time of menopause</w:t>
      </w:r>
      <w:r w:rsidR="002D4D0B">
        <w:rPr>
          <w:iCs/>
        </w:rPr>
        <w:t xml:space="preserve"> </w:t>
      </w:r>
      <w:r w:rsidR="004F546A" w:rsidRPr="005A7226" w:rsidDel="002D314D">
        <w:rPr>
          <w:iCs/>
        </w:rPr>
        <w:t>(Davis 2023a, Hickey 2024</w:t>
      </w:r>
      <w:r w:rsidR="009E4262">
        <w:rPr>
          <w:rStyle w:val="FootnoteReference"/>
          <w:iCs/>
        </w:rPr>
        <w:footnoteReference w:id="13"/>
      </w:r>
      <w:r w:rsidR="004F546A" w:rsidRPr="005A7226" w:rsidDel="002D314D">
        <w:rPr>
          <w:iCs/>
        </w:rPr>
        <w:t xml:space="preserve">, </w:t>
      </w:r>
      <w:proofErr w:type="spellStart"/>
      <w:r w:rsidR="004F546A" w:rsidRPr="005A7226" w:rsidDel="002D314D">
        <w:rPr>
          <w:iCs/>
        </w:rPr>
        <w:t>Magraith</w:t>
      </w:r>
      <w:proofErr w:type="spellEnd"/>
      <w:r w:rsidR="004F546A" w:rsidRPr="005A7226" w:rsidDel="002D314D">
        <w:rPr>
          <w:iCs/>
        </w:rPr>
        <w:t xml:space="preserve"> 2023</w:t>
      </w:r>
      <w:r w:rsidR="00717C72">
        <w:rPr>
          <w:rStyle w:val="FootnoteReference"/>
          <w:iCs/>
        </w:rPr>
        <w:footnoteReference w:id="14"/>
      </w:r>
      <w:r w:rsidR="004F546A" w:rsidRPr="005A7226" w:rsidDel="002D314D">
        <w:rPr>
          <w:iCs/>
        </w:rPr>
        <w:t>).</w:t>
      </w:r>
    </w:p>
    <w:p w14:paraId="17D5A158" w14:textId="244D7555" w:rsidR="008752E6" w:rsidRPr="00B53879" w:rsidRDefault="008752E6" w:rsidP="00B53879">
      <w:pPr>
        <w:widowControl w:val="0"/>
        <w:numPr>
          <w:ilvl w:val="1"/>
          <w:numId w:val="1"/>
        </w:numPr>
        <w:spacing w:after="120"/>
        <w:ind w:left="720"/>
      </w:pPr>
      <w:r>
        <w:rPr>
          <w:iCs/>
        </w:rPr>
        <w:t xml:space="preserve">However, </w:t>
      </w:r>
      <w:r w:rsidRPr="008752E6">
        <w:rPr>
          <w:iCs/>
        </w:rPr>
        <w:t>the proposed clinical management algorithm positioned fezolinetant as an alternative treatment to MHT, determined by patients’ suitability for MHT. The submission proposed criteria of “unsuitability” to MHT included contraindication to MHT, caution against administration of MHT, ceased MHT (MHT stopper) due to medical concerns, or unwilling to take MHT (MHT averse). The proposed algorithm indicated that patients determined as unsuitable for MHT would then be assessed for suitability for fezolinetant (based on the PI). The efficacy and safety of fezolinetant in the following patient populations is unknown: aged &gt;65 years; current or previous breast cancer or other estrogen-dependent tumours; pharmacologically induced menopause, or in peri-menopause. The ESC noted that guidelines state that MHT is safe to use for most peri- and post-menopausal individuals (younger than 60yrs /10yrs after onset of menopause ), whereas the long term safety and efficacy of fezolinetant for peri-menopausal women has not bee</w:t>
      </w:r>
      <w:r w:rsidRPr="00B53879">
        <w:t>n well-established.</w:t>
      </w:r>
    </w:p>
    <w:p w14:paraId="34BD5D24" w14:textId="36B7BF28" w:rsidR="00C71FDA" w:rsidRPr="00A977F5" w:rsidRDefault="003976F1" w:rsidP="00B53879">
      <w:pPr>
        <w:widowControl w:val="0"/>
        <w:numPr>
          <w:ilvl w:val="1"/>
          <w:numId w:val="1"/>
        </w:numPr>
        <w:spacing w:after="120"/>
        <w:ind w:left="720"/>
        <w:rPr>
          <w:iCs/>
        </w:rPr>
      </w:pPr>
      <w:r w:rsidRPr="00B53879">
        <w:t>T</w:t>
      </w:r>
      <w:r w:rsidR="00373A97" w:rsidRPr="00B53879">
        <w:t>he evaluation</w:t>
      </w:r>
      <w:r w:rsidR="00945331" w:rsidRPr="00B53879">
        <w:t xml:space="preserve">, </w:t>
      </w:r>
      <w:r w:rsidR="00373A97" w:rsidRPr="00B53879">
        <w:t xml:space="preserve">and the ESC considered that </w:t>
      </w:r>
      <w:r w:rsidR="00B527CA" w:rsidRPr="00B53879">
        <w:t>“</w:t>
      </w:r>
      <w:r w:rsidR="00373A97" w:rsidRPr="00B53879">
        <w:t>n</w:t>
      </w:r>
      <w:r w:rsidR="0050131B" w:rsidRPr="00B53879">
        <w:t xml:space="preserve">o </w:t>
      </w:r>
      <w:r w:rsidR="00F974A7" w:rsidRPr="00B53879">
        <w:t>treatment</w:t>
      </w:r>
      <w:r w:rsidR="00B527CA" w:rsidRPr="00A977F5">
        <w:rPr>
          <w:iCs/>
        </w:rPr>
        <w:t xml:space="preserve">” </w:t>
      </w:r>
      <w:r w:rsidR="0050131B" w:rsidRPr="00A977F5">
        <w:rPr>
          <w:iCs/>
        </w:rPr>
        <w:t>is not an appropriate comparator where MHT is a valid option and patients do not have medical reasons to avoid MHT</w:t>
      </w:r>
      <w:r w:rsidR="47AD201E" w:rsidRPr="00A977F5">
        <w:rPr>
          <w:iCs/>
        </w:rPr>
        <w:t xml:space="preserve">. </w:t>
      </w:r>
      <w:r w:rsidR="00D85C15" w:rsidRPr="00A977F5">
        <w:rPr>
          <w:iCs/>
        </w:rPr>
        <w:t xml:space="preserve">The PSCR reiterated the sponsor’s consideration that the nomination of no treatment was the appropriate comparator for all patients who are ‘unsuitable to receive MHT’, including those with a preference not to take MHT. </w:t>
      </w:r>
      <w:r w:rsidR="00951530" w:rsidRPr="00A977F5">
        <w:rPr>
          <w:iCs/>
        </w:rPr>
        <w:t>The ESC noted this is consistent with the Practitioner’s Toolkit (Davis 2023a) which refers to “personal wish not to use hormones” as a contraindication to systemic MHT</w:t>
      </w:r>
      <w:r w:rsidR="006E253A" w:rsidRPr="00A977F5">
        <w:rPr>
          <w:iCs/>
        </w:rPr>
        <w:t>, but consider</w:t>
      </w:r>
      <w:r w:rsidR="00A977F5" w:rsidRPr="00A977F5">
        <w:rPr>
          <w:iCs/>
        </w:rPr>
        <w:t>ed</w:t>
      </w:r>
      <w:r w:rsidR="006E253A" w:rsidRPr="00A977F5">
        <w:rPr>
          <w:iCs/>
        </w:rPr>
        <w:t xml:space="preserve"> that </w:t>
      </w:r>
      <w:r w:rsidR="00A977F5" w:rsidRPr="00A977F5">
        <w:rPr>
          <w:iCs/>
        </w:rPr>
        <w:t>MHT would be the appropriate comparator in such instances</w:t>
      </w:r>
      <w:r w:rsidR="00951530" w:rsidRPr="00A977F5">
        <w:rPr>
          <w:iCs/>
        </w:rPr>
        <w:t xml:space="preserve">. </w:t>
      </w:r>
      <w:r w:rsidR="000D28D9" w:rsidRPr="00A977F5">
        <w:rPr>
          <w:iCs/>
        </w:rPr>
        <w:t>A number of TGA-registered MHTs (estrogens and progestogens either alone or in combination) are available on the PBS and</w:t>
      </w:r>
      <w:r w:rsidR="47AD201E" w:rsidRPr="00A977F5">
        <w:rPr>
          <w:iCs/>
        </w:rPr>
        <w:t xml:space="preserve"> </w:t>
      </w:r>
      <w:r w:rsidR="52172448" w:rsidRPr="00A977F5">
        <w:rPr>
          <w:iCs/>
        </w:rPr>
        <w:t xml:space="preserve">are </w:t>
      </w:r>
      <w:r w:rsidR="47AD201E" w:rsidRPr="00A977F5">
        <w:rPr>
          <w:iCs/>
        </w:rPr>
        <w:t>less costly than fezolinetant</w:t>
      </w:r>
      <w:r w:rsidR="00F52B42" w:rsidRPr="00A977F5">
        <w:rPr>
          <w:iCs/>
        </w:rPr>
        <w:t>. S</w:t>
      </w:r>
      <w:r w:rsidR="00FA6FE4" w:rsidRPr="00A977F5">
        <w:rPr>
          <w:iCs/>
        </w:rPr>
        <w:t>ee</w:t>
      </w:r>
      <w:r w:rsidR="00476651" w:rsidRPr="00A977F5">
        <w:rPr>
          <w:iCs/>
        </w:rPr>
        <w:t xml:space="preserve"> also paragraph</w:t>
      </w:r>
      <w:r w:rsidR="00D33E58" w:rsidRPr="00A977F5">
        <w:rPr>
          <w:iCs/>
        </w:rPr>
        <w:t>s</w:t>
      </w:r>
      <w:r w:rsidR="00476651" w:rsidRPr="00A977F5">
        <w:rPr>
          <w:iCs/>
        </w:rPr>
        <w:t xml:space="preserve"> </w:t>
      </w:r>
      <w:r w:rsidR="00D33E58" w:rsidRPr="00A977F5">
        <w:rPr>
          <w:iCs/>
        </w:rPr>
        <w:t>for</w:t>
      </w:r>
      <w:r w:rsidR="00136167" w:rsidRPr="00A977F5">
        <w:rPr>
          <w:iCs/>
        </w:rPr>
        <w:t xml:space="preserve"> discussion of the</w:t>
      </w:r>
      <w:r w:rsidR="00D33E58" w:rsidRPr="00A977F5">
        <w:rPr>
          <w:iCs/>
        </w:rPr>
        <w:t xml:space="preserve"> cost-minimisation </w:t>
      </w:r>
      <w:r w:rsidR="00136167" w:rsidRPr="00A977F5">
        <w:rPr>
          <w:iCs/>
        </w:rPr>
        <w:t>approach conducted during the evaluation</w:t>
      </w:r>
      <w:r w:rsidR="47AD201E" w:rsidRPr="00A977F5">
        <w:rPr>
          <w:iCs/>
        </w:rPr>
        <w:t xml:space="preserve">. </w:t>
      </w:r>
      <w:bookmarkEnd w:id="18"/>
      <w:r w:rsidR="00CD6631" w:rsidRPr="00A977F5" w:rsidDel="002D314D">
        <w:rPr>
          <w:iCs/>
        </w:rPr>
        <w:t>Factors affecting choice of MHT include menopausal stage (perimenopause or post-menopause), contraindications, risks versus benefits of treatment, indication (e.g. hysterectomy) or preferences for specific formulations (Therapeutic guidelines Australia 2023, Davis 2023a).</w:t>
      </w:r>
      <w:r w:rsidR="00CD6631" w:rsidRPr="00A977F5">
        <w:rPr>
          <w:iCs/>
        </w:rPr>
        <w:t xml:space="preserve"> </w:t>
      </w:r>
    </w:p>
    <w:p w14:paraId="0986244B" w14:textId="3190E7B5" w:rsidR="00CF485A" w:rsidRPr="005A7226" w:rsidRDefault="00CF485A" w:rsidP="00B97995">
      <w:pPr>
        <w:pStyle w:val="3-BodyText"/>
        <w:numPr>
          <w:ilvl w:val="0"/>
          <w:numId w:val="0"/>
        </w:numPr>
        <w:spacing w:line="259" w:lineRule="auto"/>
        <w:ind w:left="510" w:firstLine="170"/>
        <w:rPr>
          <w:i/>
        </w:rPr>
      </w:pPr>
      <w:r w:rsidRPr="005A7226">
        <w:rPr>
          <w:i/>
        </w:rPr>
        <w:t>For more detail on PBAC’s view, see section 7 PBAC outcome.</w:t>
      </w:r>
    </w:p>
    <w:p w14:paraId="7F9C27C8" w14:textId="77777777" w:rsidR="00223D5A" w:rsidRPr="00B9481D" w:rsidRDefault="00223D5A" w:rsidP="00223D5A">
      <w:pPr>
        <w:pStyle w:val="2-SectionHeading"/>
        <w:numPr>
          <w:ilvl w:val="0"/>
          <w:numId w:val="1"/>
        </w:numPr>
      </w:pPr>
      <w:bookmarkStart w:id="19" w:name="_Toc188442560"/>
      <w:bookmarkStart w:id="20" w:name="_Toc22897640"/>
      <w:r w:rsidRPr="00B9481D">
        <w:t>Consideration of the evidence</w:t>
      </w:r>
      <w:bookmarkEnd w:id="19"/>
    </w:p>
    <w:p w14:paraId="4917D212" w14:textId="77777777" w:rsidR="00D62E6C" w:rsidRPr="00B9481D" w:rsidRDefault="00D62E6C" w:rsidP="00DB0303">
      <w:pPr>
        <w:pStyle w:val="4-SubsectionHeading"/>
      </w:pPr>
      <w:bookmarkStart w:id="21" w:name="_Hlk76375935"/>
      <w:bookmarkStart w:id="22" w:name="_Toc188442561"/>
      <w:r w:rsidRPr="00B9481D">
        <w:t>Sponsor hearing</w:t>
      </w:r>
    </w:p>
    <w:p w14:paraId="21005BD5" w14:textId="0C7D275F" w:rsidR="00ED14E6" w:rsidRPr="00B9481D" w:rsidRDefault="00D62E6C">
      <w:pPr>
        <w:widowControl w:val="0"/>
        <w:numPr>
          <w:ilvl w:val="1"/>
          <w:numId w:val="1"/>
        </w:numPr>
        <w:spacing w:after="120"/>
        <w:ind w:left="720"/>
        <w:rPr>
          <w:rFonts w:asciiTheme="minorHAnsi" w:hAnsiTheme="minorHAnsi"/>
          <w:bCs/>
          <w:snapToGrid w:val="0"/>
        </w:rPr>
      </w:pPr>
      <w:bookmarkStart w:id="23" w:name="_Hlk76382586"/>
      <w:r w:rsidRPr="00B9481D">
        <w:rPr>
          <w:rFonts w:asciiTheme="minorHAnsi" w:hAnsiTheme="minorHAnsi"/>
          <w:bCs/>
          <w:snapToGrid w:val="0"/>
        </w:rPr>
        <w:t xml:space="preserve">The sponsor requested a hearing for this item. The clinician </w:t>
      </w:r>
      <w:r w:rsidR="003B4F35">
        <w:rPr>
          <w:rFonts w:asciiTheme="minorHAnsi" w:hAnsiTheme="minorHAnsi"/>
          <w:bCs/>
          <w:snapToGrid w:val="0"/>
        </w:rPr>
        <w:t xml:space="preserve">provided a written statement </w:t>
      </w:r>
      <w:r w:rsidRPr="00B9481D">
        <w:rPr>
          <w:rFonts w:asciiTheme="minorHAnsi" w:hAnsiTheme="minorHAnsi"/>
          <w:bCs/>
          <w:snapToGrid w:val="0"/>
        </w:rPr>
        <w:t>discuss</w:t>
      </w:r>
      <w:r w:rsidR="003B4F35">
        <w:rPr>
          <w:rFonts w:asciiTheme="minorHAnsi" w:hAnsiTheme="minorHAnsi"/>
          <w:bCs/>
          <w:snapToGrid w:val="0"/>
        </w:rPr>
        <w:t>ing</w:t>
      </w:r>
      <w:r w:rsidRPr="00B9481D">
        <w:rPr>
          <w:rFonts w:asciiTheme="minorHAnsi" w:hAnsiTheme="minorHAnsi"/>
          <w:bCs/>
          <w:snapToGrid w:val="0"/>
        </w:rPr>
        <w:t xml:space="preserve"> the natural history of the disease,</w:t>
      </w:r>
      <w:r w:rsidR="00BE71BE" w:rsidRPr="00B9481D">
        <w:rPr>
          <w:rFonts w:asciiTheme="minorHAnsi" w:hAnsiTheme="minorHAnsi"/>
          <w:bCs/>
          <w:snapToGrid w:val="0"/>
        </w:rPr>
        <w:t xml:space="preserve"> variability in severity and persistence of VMS between communities</w:t>
      </w:r>
      <w:r w:rsidR="00C26B66" w:rsidRPr="00B9481D">
        <w:rPr>
          <w:rFonts w:asciiTheme="minorHAnsi" w:hAnsiTheme="minorHAnsi"/>
          <w:bCs/>
          <w:snapToGrid w:val="0"/>
        </w:rPr>
        <w:t xml:space="preserve"> (</w:t>
      </w:r>
      <w:proofErr w:type="spellStart"/>
      <w:r w:rsidR="00C26B66" w:rsidRPr="00B9481D">
        <w:rPr>
          <w:rFonts w:asciiTheme="minorHAnsi" w:hAnsiTheme="minorHAnsi"/>
          <w:bCs/>
          <w:snapToGrid w:val="0"/>
        </w:rPr>
        <w:t>eg</w:t>
      </w:r>
      <w:proofErr w:type="spellEnd"/>
      <w:r w:rsidR="00C26B66" w:rsidRPr="00B9481D">
        <w:rPr>
          <w:rFonts w:asciiTheme="minorHAnsi" w:hAnsiTheme="minorHAnsi"/>
          <w:bCs/>
          <w:snapToGrid w:val="0"/>
        </w:rPr>
        <w:t xml:space="preserve"> 4-5 year duration in Japanese and Chinese </w:t>
      </w:r>
      <w:r w:rsidR="00A40DCD" w:rsidRPr="00B9481D">
        <w:rPr>
          <w:rFonts w:asciiTheme="minorHAnsi" w:hAnsiTheme="minorHAnsi"/>
          <w:bCs/>
          <w:snapToGrid w:val="0"/>
        </w:rPr>
        <w:t>patients, and 10+ years in African Americans)</w:t>
      </w:r>
      <w:r w:rsidR="00BE71BE" w:rsidRPr="00B9481D">
        <w:rPr>
          <w:rFonts w:asciiTheme="minorHAnsi" w:hAnsiTheme="minorHAnsi"/>
          <w:bCs/>
          <w:snapToGrid w:val="0"/>
        </w:rPr>
        <w:t>,</w:t>
      </w:r>
      <w:r w:rsidRPr="00B9481D">
        <w:rPr>
          <w:rFonts w:asciiTheme="minorHAnsi" w:hAnsiTheme="minorHAnsi"/>
          <w:bCs/>
          <w:snapToGrid w:val="0"/>
        </w:rPr>
        <w:t xml:space="preserve"> </w:t>
      </w:r>
      <w:r w:rsidR="00AF1F5E" w:rsidRPr="00B9481D">
        <w:rPr>
          <w:rFonts w:asciiTheme="minorHAnsi" w:hAnsiTheme="minorHAnsi"/>
          <w:bCs/>
          <w:snapToGrid w:val="0"/>
        </w:rPr>
        <w:t>current treatments</w:t>
      </w:r>
      <w:r w:rsidR="00F738A8" w:rsidRPr="00B9481D">
        <w:rPr>
          <w:rFonts w:asciiTheme="minorHAnsi" w:hAnsiTheme="minorHAnsi"/>
          <w:bCs/>
          <w:snapToGrid w:val="0"/>
        </w:rPr>
        <w:t>, clinical trial evidence,</w:t>
      </w:r>
      <w:r w:rsidR="00A40DCD" w:rsidRPr="00B9481D">
        <w:rPr>
          <w:rFonts w:asciiTheme="minorHAnsi" w:hAnsiTheme="minorHAnsi"/>
          <w:bCs/>
          <w:snapToGrid w:val="0"/>
        </w:rPr>
        <w:t xml:space="preserve"> and</w:t>
      </w:r>
      <w:r w:rsidR="00AF1F5E" w:rsidRPr="00B9481D">
        <w:rPr>
          <w:rFonts w:asciiTheme="minorHAnsi" w:hAnsiTheme="minorHAnsi"/>
          <w:bCs/>
          <w:snapToGrid w:val="0"/>
        </w:rPr>
        <w:t xml:space="preserve"> </w:t>
      </w:r>
      <w:r w:rsidRPr="00B9481D">
        <w:rPr>
          <w:rFonts w:asciiTheme="minorHAnsi" w:hAnsiTheme="minorHAnsi"/>
          <w:bCs/>
          <w:snapToGrid w:val="0"/>
        </w:rPr>
        <w:t xml:space="preserve">how </w:t>
      </w:r>
      <w:r w:rsidR="00A40DCD" w:rsidRPr="00B9481D">
        <w:rPr>
          <w:rFonts w:asciiTheme="minorHAnsi" w:hAnsiTheme="minorHAnsi"/>
          <w:bCs/>
          <w:snapToGrid w:val="0"/>
        </w:rPr>
        <w:t xml:space="preserve">fezolinetant </w:t>
      </w:r>
      <w:r w:rsidRPr="00B9481D">
        <w:rPr>
          <w:rFonts w:asciiTheme="minorHAnsi" w:hAnsiTheme="minorHAnsi"/>
          <w:bCs/>
          <w:snapToGrid w:val="0"/>
        </w:rPr>
        <w:t xml:space="preserve">would be used in practice. </w:t>
      </w:r>
      <w:r w:rsidR="00033993" w:rsidRPr="00B9481D">
        <w:rPr>
          <w:rFonts w:asciiTheme="minorHAnsi" w:hAnsiTheme="minorHAnsi"/>
          <w:bCs/>
          <w:snapToGrid w:val="0"/>
        </w:rPr>
        <w:t xml:space="preserve">The clinician </w:t>
      </w:r>
      <w:r w:rsidR="00DC253A">
        <w:rPr>
          <w:rFonts w:asciiTheme="minorHAnsi" w:hAnsiTheme="minorHAnsi"/>
          <w:bCs/>
          <w:snapToGrid w:val="0"/>
        </w:rPr>
        <w:t>stated</w:t>
      </w:r>
      <w:r w:rsidR="008B2E0F" w:rsidRPr="00B9481D">
        <w:rPr>
          <w:rFonts w:asciiTheme="minorHAnsi" w:hAnsiTheme="minorHAnsi"/>
          <w:bCs/>
          <w:snapToGrid w:val="0"/>
        </w:rPr>
        <w:t xml:space="preserve"> that </w:t>
      </w:r>
      <w:r w:rsidR="00033993" w:rsidRPr="00B9481D">
        <w:rPr>
          <w:rFonts w:asciiTheme="minorHAnsi" w:hAnsiTheme="minorHAnsi"/>
          <w:bCs/>
          <w:snapToGrid w:val="0"/>
        </w:rPr>
        <w:t>the most effective treatment for menopausal vasomotor symptoms is MHT</w:t>
      </w:r>
      <w:r w:rsidR="00157133" w:rsidRPr="00B9481D">
        <w:rPr>
          <w:rFonts w:asciiTheme="minorHAnsi" w:hAnsiTheme="minorHAnsi"/>
          <w:bCs/>
          <w:snapToGrid w:val="0"/>
        </w:rPr>
        <w:t xml:space="preserve">, but </w:t>
      </w:r>
      <w:r w:rsidR="00033993" w:rsidRPr="00B9481D">
        <w:rPr>
          <w:rFonts w:asciiTheme="minorHAnsi" w:hAnsiTheme="minorHAnsi"/>
          <w:bCs/>
          <w:snapToGrid w:val="0"/>
        </w:rPr>
        <w:t>despite the best efforts of clinicians, many women remain anxious regarding the risks they perceive are associated with MHT.</w:t>
      </w:r>
      <w:r w:rsidR="009568D2" w:rsidRPr="00B9481D">
        <w:rPr>
          <w:rFonts w:asciiTheme="minorHAnsi" w:hAnsiTheme="minorHAnsi"/>
          <w:bCs/>
          <w:snapToGrid w:val="0"/>
        </w:rPr>
        <w:t xml:space="preserve"> </w:t>
      </w:r>
      <w:r w:rsidR="00ED14E6" w:rsidRPr="00B9481D">
        <w:rPr>
          <w:rFonts w:asciiTheme="minorHAnsi" w:hAnsiTheme="minorHAnsi"/>
          <w:bCs/>
          <w:snapToGrid w:val="0"/>
        </w:rPr>
        <w:t xml:space="preserve">The clinician noted that </w:t>
      </w:r>
      <w:r w:rsidR="001B1DDF" w:rsidRPr="00B9481D">
        <w:rPr>
          <w:rFonts w:asciiTheme="minorHAnsi" w:hAnsiTheme="minorHAnsi"/>
          <w:bCs/>
          <w:snapToGrid w:val="0"/>
        </w:rPr>
        <w:t>current alternatives to</w:t>
      </w:r>
      <w:r w:rsidR="004D70EA" w:rsidRPr="00B9481D">
        <w:rPr>
          <w:rFonts w:asciiTheme="minorHAnsi" w:hAnsiTheme="minorHAnsi"/>
          <w:bCs/>
          <w:snapToGrid w:val="0"/>
        </w:rPr>
        <w:t xml:space="preserve"> MHT</w:t>
      </w:r>
      <w:r w:rsidR="007C08B0" w:rsidRPr="00B9481D">
        <w:rPr>
          <w:rFonts w:asciiTheme="minorHAnsi" w:hAnsiTheme="minorHAnsi"/>
          <w:bCs/>
          <w:snapToGrid w:val="0"/>
        </w:rPr>
        <w:t xml:space="preserve"> </w:t>
      </w:r>
      <w:r w:rsidR="001B1DDF" w:rsidRPr="00B9481D">
        <w:rPr>
          <w:rFonts w:asciiTheme="minorHAnsi" w:hAnsiTheme="minorHAnsi"/>
          <w:bCs/>
          <w:snapToGrid w:val="0"/>
        </w:rPr>
        <w:t xml:space="preserve">include </w:t>
      </w:r>
      <w:r w:rsidR="00ED14E6" w:rsidRPr="00B9481D">
        <w:rPr>
          <w:rFonts w:asciiTheme="minorHAnsi" w:hAnsiTheme="minorHAnsi"/>
          <w:bCs/>
          <w:snapToGrid w:val="0"/>
        </w:rPr>
        <w:t xml:space="preserve">selective serotonin reuptake inhibitors, </w:t>
      </w:r>
      <w:r w:rsidR="00DC253A">
        <w:rPr>
          <w:rFonts w:asciiTheme="minorHAnsi" w:hAnsiTheme="minorHAnsi"/>
          <w:bCs/>
          <w:snapToGrid w:val="0"/>
        </w:rPr>
        <w:t>g</w:t>
      </w:r>
      <w:r w:rsidR="00ED14E6" w:rsidRPr="00B9481D">
        <w:rPr>
          <w:rFonts w:asciiTheme="minorHAnsi" w:hAnsiTheme="minorHAnsi"/>
          <w:bCs/>
          <w:snapToGrid w:val="0"/>
        </w:rPr>
        <w:t xml:space="preserve">abapentin, </w:t>
      </w:r>
      <w:r w:rsidR="00DC253A">
        <w:rPr>
          <w:rFonts w:asciiTheme="minorHAnsi" w:hAnsiTheme="minorHAnsi"/>
          <w:bCs/>
          <w:snapToGrid w:val="0"/>
        </w:rPr>
        <w:t>c</w:t>
      </w:r>
      <w:r w:rsidR="00ED14E6" w:rsidRPr="00B9481D">
        <w:rPr>
          <w:rFonts w:asciiTheme="minorHAnsi" w:hAnsiTheme="minorHAnsi"/>
          <w:bCs/>
          <w:snapToGrid w:val="0"/>
        </w:rPr>
        <w:t xml:space="preserve">lonidine and </w:t>
      </w:r>
      <w:r w:rsidR="00DC253A">
        <w:rPr>
          <w:rFonts w:asciiTheme="minorHAnsi" w:hAnsiTheme="minorHAnsi"/>
          <w:bCs/>
          <w:snapToGrid w:val="0"/>
        </w:rPr>
        <w:t>o</w:t>
      </w:r>
      <w:r w:rsidR="00ED14E6" w:rsidRPr="00B9481D">
        <w:rPr>
          <w:rFonts w:asciiTheme="minorHAnsi" w:hAnsiTheme="minorHAnsi"/>
          <w:bCs/>
          <w:snapToGrid w:val="0"/>
        </w:rPr>
        <w:t>xybutynin</w:t>
      </w:r>
      <w:r w:rsidR="00ED4009" w:rsidRPr="00B9481D">
        <w:rPr>
          <w:rFonts w:asciiTheme="minorHAnsi" w:hAnsiTheme="minorHAnsi"/>
          <w:bCs/>
          <w:snapToGrid w:val="0"/>
        </w:rPr>
        <w:t>, but considered that n</w:t>
      </w:r>
      <w:r w:rsidR="00ED14E6" w:rsidRPr="00B9481D">
        <w:rPr>
          <w:rFonts w:asciiTheme="minorHAnsi" w:hAnsiTheme="minorHAnsi"/>
          <w:bCs/>
          <w:snapToGrid w:val="0"/>
        </w:rPr>
        <w:t>one are as effective as MHT and, apart from paroxetine, are prescribed ‘off label’ to treat VMS</w:t>
      </w:r>
      <w:r w:rsidR="00ED4009" w:rsidRPr="00B9481D">
        <w:rPr>
          <w:rFonts w:asciiTheme="minorHAnsi" w:hAnsiTheme="minorHAnsi"/>
          <w:bCs/>
          <w:snapToGrid w:val="0"/>
        </w:rPr>
        <w:t>.</w:t>
      </w:r>
      <w:r w:rsidR="00097FE0">
        <w:rPr>
          <w:rFonts w:asciiTheme="minorHAnsi" w:hAnsiTheme="minorHAnsi"/>
          <w:bCs/>
          <w:snapToGrid w:val="0"/>
        </w:rPr>
        <w:t xml:space="preserve"> In addition, many women </w:t>
      </w:r>
      <w:r w:rsidR="00632BA6">
        <w:rPr>
          <w:rFonts w:asciiTheme="minorHAnsi" w:hAnsiTheme="minorHAnsi"/>
          <w:bCs/>
          <w:snapToGrid w:val="0"/>
        </w:rPr>
        <w:t xml:space="preserve">try complimentary medicines for which there is a lack of evidence for efficacy. </w:t>
      </w:r>
      <w:r w:rsidR="007870CC">
        <w:rPr>
          <w:rFonts w:asciiTheme="minorHAnsi" w:hAnsiTheme="minorHAnsi"/>
          <w:bCs/>
          <w:snapToGrid w:val="0"/>
        </w:rPr>
        <w:t xml:space="preserve">The clinician </w:t>
      </w:r>
      <w:r w:rsidR="005E4E29">
        <w:rPr>
          <w:rFonts w:asciiTheme="minorHAnsi" w:hAnsiTheme="minorHAnsi"/>
          <w:bCs/>
          <w:snapToGrid w:val="0"/>
        </w:rPr>
        <w:t xml:space="preserve">considered it would be reasonable to include </w:t>
      </w:r>
      <w:r w:rsidR="00504B2D">
        <w:rPr>
          <w:rFonts w:asciiTheme="minorHAnsi" w:hAnsiTheme="minorHAnsi"/>
          <w:bCs/>
          <w:snapToGrid w:val="0"/>
        </w:rPr>
        <w:t>allow fezolinetant to be used in women</w:t>
      </w:r>
      <w:r w:rsidR="005E4E29">
        <w:rPr>
          <w:rFonts w:asciiTheme="minorHAnsi" w:hAnsiTheme="minorHAnsi"/>
          <w:bCs/>
          <w:snapToGrid w:val="0"/>
        </w:rPr>
        <w:t xml:space="preserve"> who, after due consideration, choose not to take MHT</w:t>
      </w:r>
      <w:r w:rsidR="00504B2D">
        <w:rPr>
          <w:rFonts w:asciiTheme="minorHAnsi" w:hAnsiTheme="minorHAnsi"/>
          <w:bCs/>
          <w:snapToGrid w:val="0"/>
        </w:rPr>
        <w:t xml:space="preserve">, given the lack of alternative PBS-listed </w:t>
      </w:r>
      <w:r w:rsidR="008B0889">
        <w:rPr>
          <w:rFonts w:asciiTheme="minorHAnsi" w:hAnsiTheme="minorHAnsi"/>
          <w:bCs/>
          <w:snapToGrid w:val="0"/>
        </w:rPr>
        <w:t>non-MHT options.</w:t>
      </w:r>
    </w:p>
    <w:bookmarkEnd w:id="23"/>
    <w:p w14:paraId="4AD76354" w14:textId="38F8B09D" w:rsidR="00D62E6C" w:rsidRPr="00B9481D" w:rsidRDefault="00D62E6C" w:rsidP="00DB0303">
      <w:pPr>
        <w:pStyle w:val="4-SubsectionHeading"/>
      </w:pPr>
      <w:r w:rsidRPr="00B9481D">
        <w:t>Consumer comments</w:t>
      </w:r>
    </w:p>
    <w:p w14:paraId="7A80DD45" w14:textId="5D7738C4" w:rsidR="00C71EAB" w:rsidRPr="003B4EBB" w:rsidRDefault="00D62E6C" w:rsidP="00D62E6C">
      <w:pPr>
        <w:widowControl w:val="0"/>
        <w:numPr>
          <w:ilvl w:val="1"/>
          <w:numId w:val="1"/>
        </w:numPr>
        <w:spacing w:after="120"/>
        <w:ind w:left="720"/>
        <w:rPr>
          <w:rFonts w:asciiTheme="minorHAnsi" w:hAnsiTheme="minorHAnsi"/>
          <w:bCs/>
          <w:snapToGrid w:val="0"/>
        </w:rPr>
      </w:pPr>
      <w:bookmarkStart w:id="24" w:name="_Hlk76382618"/>
      <w:r w:rsidRPr="003B4EBB">
        <w:rPr>
          <w:rFonts w:asciiTheme="minorHAnsi" w:hAnsiTheme="minorHAnsi"/>
          <w:bCs/>
          <w:snapToGrid w:val="0"/>
        </w:rPr>
        <w:t>The PBAC noted and welcomed the input from individuals (</w:t>
      </w:r>
      <w:r w:rsidR="00112B4C" w:rsidRPr="003B4EBB">
        <w:rPr>
          <w:rFonts w:asciiTheme="minorHAnsi" w:hAnsiTheme="minorHAnsi"/>
          <w:bCs/>
          <w:snapToGrid w:val="0"/>
        </w:rPr>
        <w:t>5</w:t>
      </w:r>
      <w:r w:rsidRPr="003B4EBB">
        <w:rPr>
          <w:rFonts w:asciiTheme="minorHAnsi" w:hAnsiTheme="minorHAnsi"/>
          <w:bCs/>
          <w:snapToGrid w:val="0"/>
        </w:rPr>
        <w:t xml:space="preserve">), health care </w:t>
      </w:r>
      <w:r w:rsidRPr="008B0889">
        <w:rPr>
          <w:rFonts w:asciiTheme="minorHAnsi" w:hAnsiTheme="minorHAnsi"/>
          <w:bCs/>
          <w:snapToGrid w:val="0"/>
        </w:rPr>
        <w:t>professionals (</w:t>
      </w:r>
      <w:r w:rsidR="00112B4C" w:rsidRPr="008B0889">
        <w:rPr>
          <w:rFonts w:asciiTheme="minorHAnsi" w:hAnsiTheme="minorHAnsi"/>
          <w:bCs/>
          <w:snapToGrid w:val="0"/>
        </w:rPr>
        <w:t>1</w:t>
      </w:r>
      <w:r w:rsidR="004C6D8F">
        <w:rPr>
          <w:rFonts w:asciiTheme="minorHAnsi" w:hAnsiTheme="minorHAnsi"/>
          <w:bCs/>
          <w:snapToGrid w:val="0"/>
        </w:rPr>
        <w:t>9</w:t>
      </w:r>
      <w:r w:rsidRPr="008B0889">
        <w:rPr>
          <w:rFonts w:asciiTheme="minorHAnsi" w:hAnsiTheme="minorHAnsi"/>
          <w:bCs/>
          <w:snapToGrid w:val="0"/>
        </w:rPr>
        <w:t>) and organisations (</w:t>
      </w:r>
      <w:r w:rsidR="004C6D8F">
        <w:rPr>
          <w:rFonts w:asciiTheme="minorHAnsi" w:hAnsiTheme="minorHAnsi"/>
          <w:bCs/>
          <w:snapToGrid w:val="0"/>
        </w:rPr>
        <w:t>4</w:t>
      </w:r>
      <w:r w:rsidRPr="008B0889">
        <w:rPr>
          <w:rFonts w:asciiTheme="minorHAnsi" w:hAnsiTheme="minorHAnsi"/>
          <w:bCs/>
          <w:snapToGrid w:val="0"/>
        </w:rPr>
        <w:t>) via</w:t>
      </w:r>
      <w:r w:rsidRPr="003B4EBB">
        <w:rPr>
          <w:rFonts w:asciiTheme="minorHAnsi" w:hAnsiTheme="minorHAnsi"/>
          <w:bCs/>
          <w:snapToGrid w:val="0"/>
        </w:rPr>
        <w:t xml:space="preserve"> the Consumer Comments facility on the PBS website. The comments described </w:t>
      </w:r>
      <w:r w:rsidR="00202937">
        <w:rPr>
          <w:rFonts w:asciiTheme="minorHAnsi" w:hAnsiTheme="minorHAnsi"/>
          <w:bCs/>
          <w:snapToGrid w:val="0"/>
        </w:rPr>
        <w:t xml:space="preserve">the debilitating effects of VMS in some women, and </w:t>
      </w:r>
      <w:r w:rsidR="00B17C52">
        <w:rPr>
          <w:rFonts w:asciiTheme="minorHAnsi" w:hAnsiTheme="minorHAnsi"/>
          <w:bCs/>
          <w:snapToGrid w:val="0"/>
        </w:rPr>
        <w:t xml:space="preserve">noted </w:t>
      </w:r>
      <w:r w:rsidRPr="003B4EBB">
        <w:rPr>
          <w:rFonts w:asciiTheme="minorHAnsi" w:hAnsiTheme="minorHAnsi"/>
          <w:bCs/>
          <w:snapToGrid w:val="0"/>
        </w:rPr>
        <w:t xml:space="preserve">a range of benefits of treatment with </w:t>
      </w:r>
      <w:r w:rsidR="00C71EAB" w:rsidRPr="003B4EBB">
        <w:rPr>
          <w:rFonts w:asciiTheme="minorHAnsi" w:hAnsiTheme="minorHAnsi"/>
          <w:bCs/>
          <w:snapToGrid w:val="0"/>
        </w:rPr>
        <w:t xml:space="preserve">fezolinetant </w:t>
      </w:r>
      <w:r w:rsidRPr="003B4EBB">
        <w:rPr>
          <w:rFonts w:asciiTheme="minorHAnsi" w:hAnsiTheme="minorHAnsi"/>
          <w:bCs/>
          <w:snapToGrid w:val="0"/>
        </w:rPr>
        <w:t xml:space="preserve">including </w:t>
      </w:r>
      <w:r w:rsidR="00DB44A0" w:rsidRPr="003B4EBB">
        <w:rPr>
          <w:rFonts w:asciiTheme="minorHAnsi" w:hAnsiTheme="minorHAnsi"/>
          <w:bCs/>
          <w:snapToGrid w:val="0"/>
        </w:rPr>
        <w:t>suitability for use in cancer patients</w:t>
      </w:r>
      <w:r w:rsidR="0038593C" w:rsidRPr="003B4EBB">
        <w:rPr>
          <w:rFonts w:asciiTheme="minorHAnsi" w:hAnsiTheme="minorHAnsi"/>
          <w:bCs/>
          <w:snapToGrid w:val="0"/>
        </w:rPr>
        <w:t>, women with complex medical conditions, older women</w:t>
      </w:r>
      <w:r w:rsidR="00154AA9">
        <w:rPr>
          <w:rFonts w:asciiTheme="minorHAnsi" w:hAnsiTheme="minorHAnsi"/>
          <w:bCs/>
          <w:snapToGrid w:val="0"/>
        </w:rPr>
        <w:t>,</w:t>
      </w:r>
      <w:r w:rsidR="0038593C" w:rsidRPr="003B4EBB">
        <w:rPr>
          <w:rFonts w:asciiTheme="minorHAnsi" w:hAnsiTheme="minorHAnsi"/>
          <w:bCs/>
          <w:snapToGrid w:val="0"/>
        </w:rPr>
        <w:t xml:space="preserve"> and women who chose not to take MHT</w:t>
      </w:r>
      <w:r w:rsidR="00B250B1">
        <w:rPr>
          <w:rFonts w:asciiTheme="minorHAnsi" w:hAnsiTheme="minorHAnsi"/>
          <w:bCs/>
          <w:snapToGrid w:val="0"/>
        </w:rPr>
        <w:t>. Comments considered that fezolinetant had</w:t>
      </w:r>
      <w:r w:rsidR="0038593C" w:rsidRPr="003B4EBB">
        <w:rPr>
          <w:rFonts w:asciiTheme="minorHAnsi" w:hAnsiTheme="minorHAnsi"/>
          <w:bCs/>
          <w:snapToGrid w:val="0"/>
        </w:rPr>
        <w:t xml:space="preserve"> </w:t>
      </w:r>
      <w:r w:rsidR="008B5DB6" w:rsidRPr="003B4EBB">
        <w:rPr>
          <w:rFonts w:asciiTheme="minorHAnsi" w:hAnsiTheme="minorHAnsi"/>
          <w:bCs/>
          <w:snapToGrid w:val="0"/>
        </w:rPr>
        <w:t xml:space="preserve">good tolerability by the majority of users, fast onset of benefits (usually </w:t>
      </w:r>
      <w:r w:rsidR="00746DBB" w:rsidRPr="003B4EBB">
        <w:rPr>
          <w:rFonts w:asciiTheme="minorHAnsi" w:hAnsiTheme="minorHAnsi" w:cstheme="minorHAnsi"/>
          <w:bCs/>
          <w:snapToGrid w:val="0"/>
        </w:rPr>
        <w:t>≤</w:t>
      </w:r>
      <w:r w:rsidR="008B5DB6" w:rsidRPr="003B4EBB">
        <w:rPr>
          <w:rFonts w:asciiTheme="minorHAnsi" w:hAnsiTheme="minorHAnsi"/>
          <w:bCs/>
          <w:snapToGrid w:val="0"/>
        </w:rPr>
        <w:t xml:space="preserve"> 2 weeks), </w:t>
      </w:r>
      <w:r w:rsidR="00154AA9">
        <w:rPr>
          <w:rFonts w:asciiTheme="minorHAnsi" w:hAnsiTheme="minorHAnsi"/>
          <w:bCs/>
          <w:snapToGrid w:val="0"/>
        </w:rPr>
        <w:t xml:space="preserve">and </w:t>
      </w:r>
      <w:r w:rsidR="00E06703">
        <w:rPr>
          <w:rFonts w:asciiTheme="minorHAnsi" w:hAnsiTheme="minorHAnsi"/>
          <w:bCs/>
          <w:snapToGrid w:val="0"/>
        </w:rPr>
        <w:t>reduced</w:t>
      </w:r>
      <w:r w:rsidR="00C44A17">
        <w:rPr>
          <w:rFonts w:asciiTheme="minorHAnsi" w:hAnsiTheme="minorHAnsi"/>
          <w:bCs/>
          <w:snapToGrid w:val="0"/>
        </w:rPr>
        <w:t xml:space="preserve"> </w:t>
      </w:r>
      <w:r w:rsidR="005B0805">
        <w:rPr>
          <w:rFonts w:asciiTheme="minorHAnsi" w:hAnsiTheme="minorHAnsi"/>
          <w:bCs/>
          <w:snapToGrid w:val="0"/>
        </w:rPr>
        <w:t>absences from work and other VMS impacts on quality of life (including</w:t>
      </w:r>
      <w:r w:rsidR="00AA3D3E">
        <w:rPr>
          <w:rFonts w:asciiTheme="minorHAnsi" w:hAnsiTheme="minorHAnsi"/>
          <w:bCs/>
          <w:snapToGrid w:val="0"/>
        </w:rPr>
        <w:t xml:space="preserve"> </w:t>
      </w:r>
      <w:r w:rsidR="00434746" w:rsidRPr="00434746">
        <w:rPr>
          <w:rFonts w:asciiTheme="minorHAnsi" w:hAnsiTheme="minorHAnsi"/>
          <w:bCs/>
          <w:snapToGrid w:val="0"/>
        </w:rPr>
        <w:t xml:space="preserve">cognition, sleep, </w:t>
      </w:r>
      <w:r w:rsidR="00AA3D3E">
        <w:rPr>
          <w:rFonts w:asciiTheme="minorHAnsi" w:hAnsiTheme="minorHAnsi"/>
          <w:bCs/>
          <w:snapToGrid w:val="0"/>
        </w:rPr>
        <w:t xml:space="preserve">anxiety, </w:t>
      </w:r>
      <w:r w:rsidR="00434746" w:rsidRPr="00434746">
        <w:rPr>
          <w:rFonts w:asciiTheme="minorHAnsi" w:hAnsiTheme="minorHAnsi"/>
          <w:bCs/>
          <w:snapToGrid w:val="0"/>
        </w:rPr>
        <w:t>and interpersonal relationships</w:t>
      </w:r>
      <w:r w:rsidR="00AA3D3E">
        <w:rPr>
          <w:rFonts w:asciiTheme="minorHAnsi" w:hAnsiTheme="minorHAnsi"/>
          <w:bCs/>
          <w:snapToGrid w:val="0"/>
        </w:rPr>
        <w:t>)</w:t>
      </w:r>
      <w:r w:rsidR="00434746">
        <w:rPr>
          <w:rFonts w:asciiTheme="minorHAnsi" w:hAnsiTheme="minorHAnsi"/>
          <w:bCs/>
          <w:snapToGrid w:val="0"/>
        </w:rPr>
        <w:t>.</w:t>
      </w:r>
      <w:r w:rsidR="00A75D88">
        <w:rPr>
          <w:rFonts w:asciiTheme="minorHAnsi" w:hAnsiTheme="minorHAnsi"/>
          <w:bCs/>
          <w:snapToGrid w:val="0"/>
        </w:rPr>
        <w:t xml:space="preserve"> Health professionals noted the benefits in having a </w:t>
      </w:r>
      <w:r w:rsidR="00AE63E1">
        <w:rPr>
          <w:rFonts w:asciiTheme="minorHAnsi" w:hAnsiTheme="minorHAnsi"/>
          <w:bCs/>
          <w:snapToGrid w:val="0"/>
        </w:rPr>
        <w:t xml:space="preserve">PBS-listed therapy available for women who </w:t>
      </w:r>
      <w:r w:rsidR="00AB15EE">
        <w:rPr>
          <w:rFonts w:asciiTheme="minorHAnsi" w:hAnsiTheme="minorHAnsi"/>
          <w:bCs/>
          <w:snapToGrid w:val="0"/>
        </w:rPr>
        <w:t>cannot</w:t>
      </w:r>
      <w:r w:rsidR="00AE63E1">
        <w:rPr>
          <w:rFonts w:asciiTheme="minorHAnsi" w:hAnsiTheme="minorHAnsi"/>
          <w:bCs/>
          <w:snapToGrid w:val="0"/>
        </w:rPr>
        <w:t xml:space="preserve"> use MHT</w:t>
      </w:r>
      <w:r w:rsidR="00697221">
        <w:rPr>
          <w:rFonts w:asciiTheme="minorHAnsi" w:hAnsiTheme="minorHAnsi"/>
          <w:bCs/>
          <w:snapToGrid w:val="0"/>
        </w:rPr>
        <w:t xml:space="preserve">, as well as those who choose not to take MHT. </w:t>
      </w:r>
      <w:r w:rsidR="00643BFD">
        <w:rPr>
          <w:rFonts w:asciiTheme="minorHAnsi" w:hAnsiTheme="minorHAnsi"/>
          <w:bCs/>
          <w:snapToGrid w:val="0"/>
        </w:rPr>
        <w:t xml:space="preserve">Health professionals noted that </w:t>
      </w:r>
      <w:r w:rsidR="003F5AE4">
        <w:rPr>
          <w:rFonts w:asciiTheme="minorHAnsi" w:hAnsiTheme="minorHAnsi"/>
          <w:bCs/>
          <w:snapToGrid w:val="0"/>
        </w:rPr>
        <w:t xml:space="preserve">the side effect profile is generally </w:t>
      </w:r>
      <w:r w:rsidR="00B250B1">
        <w:rPr>
          <w:rFonts w:asciiTheme="minorHAnsi" w:hAnsiTheme="minorHAnsi"/>
          <w:bCs/>
          <w:snapToGrid w:val="0"/>
        </w:rPr>
        <w:t>manageable</w:t>
      </w:r>
      <w:r w:rsidR="003F5AE4">
        <w:rPr>
          <w:rFonts w:asciiTheme="minorHAnsi" w:hAnsiTheme="minorHAnsi"/>
          <w:bCs/>
          <w:snapToGrid w:val="0"/>
        </w:rPr>
        <w:t xml:space="preserve">, and </w:t>
      </w:r>
      <w:r w:rsidR="00962FFB" w:rsidRPr="00962FFB">
        <w:rPr>
          <w:rFonts w:asciiTheme="minorHAnsi" w:hAnsiTheme="minorHAnsi"/>
          <w:bCs/>
          <w:snapToGrid w:val="0"/>
        </w:rPr>
        <w:t xml:space="preserve">studies are underway to assess the safety of </w:t>
      </w:r>
      <w:r w:rsidR="00962FFB">
        <w:rPr>
          <w:rFonts w:asciiTheme="minorHAnsi" w:hAnsiTheme="minorHAnsi"/>
          <w:bCs/>
          <w:snapToGrid w:val="0"/>
        </w:rPr>
        <w:t>fezolinetant for VMS</w:t>
      </w:r>
      <w:r w:rsidR="00962FFB" w:rsidRPr="00962FFB">
        <w:rPr>
          <w:rFonts w:asciiTheme="minorHAnsi" w:hAnsiTheme="minorHAnsi"/>
          <w:bCs/>
          <w:snapToGrid w:val="0"/>
        </w:rPr>
        <w:t xml:space="preserve"> in </w:t>
      </w:r>
      <w:r w:rsidR="003570D0">
        <w:rPr>
          <w:rFonts w:asciiTheme="minorHAnsi" w:hAnsiTheme="minorHAnsi"/>
          <w:bCs/>
          <w:snapToGrid w:val="0"/>
        </w:rPr>
        <w:t>patients</w:t>
      </w:r>
      <w:r w:rsidR="00962FFB" w:rsidRPr="00962FFB">
        <w:rPr>
          <w:rFonts w:asciiTheme="minorHAnsi" w:hAnsiTheme="minorHAnsi"/>
          <w:bCs/>
          <w:snapToGrid w:val="0"/>
        </w:rPr>
        <w:t xml:space="preserve"> with previous</w:t>
      </w:r>
      <w:r w:rsidR="003570D0">
        <w:rPr>
          <w:rFonts w:asciiTheme="minorHAnsi" w:hAnsiTheme="minorHAnsi"/>
          <w:bCs/>
          <w:snapToGrid w:val="0"/>
        </w:rPr>
        <w:t xml:space="preserve"> or </w:t>
      </w:r>
      <w:r w:rsidR="00962FFB" w:rsidRPr="00962FFB">
        <w:rPr>
          <w:rFonts w:asciiTheme="minorHAnsi" w:hAnsiTheme="minorHAnsi"/>
          <w:bCs/>
          <w:snapToGrid w:val="0"/>
        </w:rPr>
        <w:t>current breast cancer</w:t>
      </w:r>
      <w:r w:rsidR="003570D0">
        <w:rPr>
          <w:rFonts w:asciiTheme="minorHAnsi" w:hAnsiTheme="minorHAnsi"/>
          <w:bCs/>
          <w:snapToGrid w:val="0"/>
        </w:rPr>
        <w:t xml:space="preserve"> </w:t>
      </w:r>
      <w:r w:rsidR="00B250B1">
        <w:rPr>
          <w:rFonts w:asciiTheme="minorHAnsi" w:hAnsiTheme="minorHAnsi"/>
          <w:bCs/>
          <w:snapToGrid w:val="0"/>
        </w:rPr>
        <w:t>who</w:t>
      </w:r>
      <w:r w:rsidR="003570D0">
        <w:rPr>
          <w:rFonts w:asciiTheme="minorHAnsi" w:hAnsiTheme="minorHAnsi"/>
          <w:bCs/>
          <w:snapToGrid w:val="0"/>
        </w:rPr>
        <w:t xml:space="preserve"> are contraindicate</w:t>
      </w:r>
      <w:r w:rsidR="00B250B1">
        <w:rPr>
          <w:rFonts w:asciiTheme="minorHAnsi" w:hAnsiTheme="minorHAnsi"/>
          <w:bCs/>
          <w:snapToGrid w:val="0"/>
        </w:rPr>
        <w:t>d</w:t>
      </w:r>
      <w:r w:rsidR="003570D0">
        <w:rPr>
          <w:rFonts w:asciiTheme="minorHAnsi" w:hAnsiTheme="minorHAnsi"/>
          <w:bCs/>
          <w:snapToGrid w:val="0"/>
        </w:rPr>
        <w:t xml:space="preserve"> to MHT. </w:t>
      </w:r>
      <w:r w:rsidR="003F5AE4">
        <w:rPr>
          <w:rFonts w:asciiTheme="minorHAnsi" w:hAnsiTheme="minorHAnsi"/>
          <w:bCs/>
          <w:snapToGrid w:val="0"/>
        </w:rPr>
        <w:t xml:space="preserve">Many </w:t>
      </w:r>
      <w:r w:rsidR="00274364">
        <w:rPr>
          <w:rFonts w:asciiTheme="minorHAnsi" w:hAnsiTheme="minorHAnsi"/>
          <w:bCs/>
          <w:snapToGrid w:val="0"/>
        </w:rPr>
        <w:t>respondents</w:t>
      </w:r>
      <w:r w:rsidR="00C805C4">
        <w:rPr>
          <w:rFonts w:asciiTheme="minorHAnsi" w:hAnsiTheme="minorHAnsi"/>
          <w:bCs/>
          <w:snapToGrid w:val="0"/>
        </w:rPr>
        <w:t xml:space="preserve"> commented that </w:t>
      </w:r>
      <w:r w:rsidR="00274364">
        <w:rPr>
          <w:rFonts w:asciiTheme="minorHAnsi" w:hAnsiTheme="minorHAnsi"/>
          <w:bCs/>
          <w:snapToGrid w:val="0"/>
        </w:rPr>
        <w:t>fezolinetant</w:t>
      </w:r>
      <w:r w:rsidR="00C805C4">
        <w:rPr>
          <w:rFonts w:asciiTheme="minorHAnsi" w:hAnsiTheme="minorHAnsi"/>
          <w:bCs/>
          <w:snapToGrid w:val="0"/>
        </w:rPr>
        <w:t xml:space="preserve"> is a much needed </w:t>
      </w:r>
      <w:r w:rsidR="00274364">
        <w:rPr>
          <w:rFonts w:asciiTheme="minorHAnsi" w:hAnsiTheme="minorHAnsi"/>
          <w:bCs/>
          <w:snapToGrid w:val="0"/>
        </w:rPr>
        <w:t>non</w:t>
      </w:r>
      <w:r w:rsidR="00291BD8">
        <w:rPr>
          <w:rFonts w:asciiTheme="minorHAnsi" w:hAnsiTheme="minorHAnsi"/>
          <w:bCs/>
          <w:snapToGrid w:val="0"/>
        </w:rPr>
        <w:t>-</w:t>
      </w:r>
      <w:r w:rsidR="00274364">
        <w:rPr>
          <w:rFonts w:asciiTheme="minorHAnsi" w:hAnsiTheme="minorHAnsi"/>
          <w:bCs/>
          <w:snapToGrid w:val="0"/>
        </w:rPr>
        <w:t xml:space="preserve">hormonal </w:t>
      </w:r>
      <w:r w:rsidR="00C805C4">
        <w:rPr>
          <w:rFonts w:asciiTheme="minorHAnsi" w:hAnsiTheme="minorHAnsi"/>
          <w:bCs/>
          <w:snapToGrid w:val="0"/>
        </w:rPr>
        <w:t>alternative to treat VMS</w:t>
      </w:r>
      <w:r w:rsidR="00274364">
        <w:rPr>
          <w:rFonts w:asciiTheme="minorHAnsi" w:hAnsiTheme="minorHAnsi"/>
          <w:bCs/>
          <w:snapToGrid w:val="0"/>
        </w:rPr>
        <w:t xml:space="preserve">. </w:t>
      </w:r>
    </w:p>
    <w:p w14:paraId="5F7390FC" w14:textId="3944F5F8" w:rsidR="00D62E6C" w:rsidRPr="00DC252D" w:rsidRDefault="00D62E6C">
      <w:pPr>
        <w:widowControl w:val="0"/>
        <w:numPr>
          <w:ilvl w:val="1"/>
          <w:numId w:val="1"/>
        </w:numPr>
        <w:spacing w:after="120"/>
        <w:ind w:left="720"/>
        <w:rPr>
          <w:rFonts w:asciiTheme="minorHAnsi" w:hAnsiTheme="minorHAnsi"/>
          <w:bCs/>
          <w:snapToGrid w:val="0"/>
        </w:rPr>
      </w:pPr>
      <w:r w:rsidRPr="00DC252D">
        <w:rPr>
          <w:rFonts w:asciiTheme="minorHAnsi" w:hAnsiTheme="minorHAnsi"/>
          <w:bCs/>
          <w:snapToGrid w:val="0"/>
        </w:rPr>
        <w:t xml:space="preserve">The PBAC noted the advice received from </w:t>
      </w:r>
      <w:r w:rsidR="00B900C6" w:rsidRPr="00DC252D">
        <w:rPr>
          <w:rFonts w:asciiTheme="minorHAnsi" w:hAnsiTheme="minorHAnsi"/>
          <w:bCs/>
          <w:snapToGrid w:val="0"/>
        </w:rPr>
        <w:t xml:space="preserve">the Endocrine Society of Australia, </w:t>
      </w:r>
      <w:r w:rsidR="00521B8C" w:rsidRPr="00DC252D">
        <w:rPr>
          <w:rFonts w:asciiTheme="minorHAnsi" w:hAnsiTheme="minorHAnsi"/>
          <w:bCs/>
          <w:snapToGrid w:val="0"/>
        </w:rPr>
        <w:t xml:space="preserve">Inherited Cancers Australia, Breast Cancer Network Australia (BCNA), and </w:t>
      </w:r>
      <w:r w:rsidR="00C24871" w:rsidRPr="00DC252D">
        <w:rPr>
          <w:rFonts w:asciiTheme="minorHAnsi" w:hAnsiTheme="minorHAnsi"/>
          <w:bCs/>
          <w:snapToGrid w:val="0"/>
        </w:rPr>
        <w:t>Jean Hailes for Women's Health</w:t>
      </w:r>
      <w:r w:rsidRPr="00DC252D">
        <w:rPr>
          <w:rFonts w:asciiTheme="minorHAnsi" w:hAnsiTheme="minorHAnsi"/>
          <w:bCs/>
          <w:snapToGrid w:val="0"/>
        </w:rPr>
        <w:t xml:space="preserve"> clarifying the likely use of </w:t>
      </w:r>
      <w:r w:rsidR="00DD1862" w:rsidRPr="00DC252D">
        <w:rPr>
          <w:rFonts w:asciiTheme="minorHAnsi" w:hAnsiTheme="minorHAnsi"/>
          <w:bCs/>
          <w:snapToGrid w:val="0"/>
        </w:rPr>
        <w:t>fezolinetant</w:t>
      </w:r>
      <w:r w:rsidRPr="00DC252D">
        <w:rPr>
          <w:rFonts w:asciiTheme="minorHAnsi" w:hAnsiTheme="minorHAnsi"/>
          <w:bCs/>
          <w:snapToGrid w:val="0"/>
        </w:rPr>
        <w:t xml:space="preserve"> in clinical practice. The PBAC specifically noted the advice that the use of </w:t>
      </w:r>
      <w:r w:rsidR="00E367AB" w:rsidRPr="00DC252D">
        <w:rPr>
          <w:rFonts w:asciiTheme="minorHAnsi" w:hAnsiTheme="minorHAnsi"/>
          <w:bCs/>
          <w:snapToGrid w:val="0"/>
        </w:rPr>
        <w:t>fezolinetant</w:t>
      </w:r>
      <w:r w:rsidRPr="00DC252D">
        <w:rPr>
          <w:rFonts w:asciiTheme="minorHAnsi" w:hAnsiTheme="minorHAnsi"/>
          <w:bCs/>
          <w:snapToGrid w:val="0"/>
        </w:rPr>
        <w:t xml:space="preserve"> may </w:t>
      </w:r>
      <w:r w:rsidR="00A74BDE" w:rsidRPr="00DC252D">
        <w:rPr>
          <w:rFonts w:asciiTheme="minorHAnsi" w:hAnsiTheme="minorHAnsi"/>
          <w:bCs/>
          <w:snapToGrid w:val="0"/>
        </w:rPr>
        <w:t>provide a</w:t>
      </w:r>
      <w:r w:rsidR="00FC7E6C" w:rsidRPr="00DC252D">
        <w:rPr>
          <w:rFonts w:asciiTheme="minorHAnsi" w:hAnsiTheme="minorHAnsi"/>
          <w:bCs/>
          <w:snapToGrid w:val="0"/>
        </w:rPr>
        <w:t xml:space="preserve"> </w:t>
      </w:r>
      <w:r w:rsidR="00A74BDE" w:rsidRPr="00DC252D">
        <w:rPr>
          <w:rFonts w:asciiTheme="minorHAnsi" w:hAnsiTheme="minorHAnsi"/>
          <w:bCs/>
          <w:snapToGrid w:val="0"/>
        </w:rPr>
        <w:t xml:space="preserve">treatment option for patients who are contraindicated to MHT </w:t>
      </w:r>
      <w:r w:rsidR="00EC634E" w:rsidRPr="00DC252D">
        <w:rPr>
          <w:rFonts w:asciiTheme="minorHAnsi" w:hAnsiTheme="minorHAnsi"/>
          <w:bCs/>
          <w:snapToGrid w:val="0"/>
        </w:rPr>
        <w:t xml:space="preserve">(particularly those with breast or ovarian cancer, </w:t>
      </w:r>
      <w:r w:rsidR="006C767D" w:rsidRPr="00DC252D">
        <w:rPr>
          <w:rFonts w:asciiTheme="minorHAnsi" w:hAnsiTheme="minorHAnsi"/>
          <w:bCs/>
          <w:snapToGrid w:val="0"/>
        </w:rPr>
        <w:t xml:space="preserve">or patients </w:t>
      </w:r>
      <w:r w:rsidR="00E85089" w:rsidRPr="00DC252D">
        <w:rPr>
          <w:rFonts w:asciiTheme="minorHAnsi" w:hAnsiTheme="minorHAnsi"/>
          <w:bCs/>
          <w:snapToGrid w:val="0"/>
        </w:rPr>
        <w:t>at high risk of ovarian cancer who undergo risk-reducing surgeries</w:t>
      </w:r>
      <w:r w:rsidR="00D704A2" w:rsidRPr="00DC252D">
        <w:rPr>
          <w:rFonts w:asciiTheme="minorHAnsi" w:hAnsiTheme="minorHAnsi"/>
          <w:bCs/>
          <w:snapToGrid w:val="0"/>
        </w:rPr>
        <w:t xml:space="preserve"> who are impacted by treatment-induced menopause</w:t>
      </w:r>
      <w:r w:rsidR="00FC7E6C" w:rsidRPr="00DC252D">
        <w:rPr>
          <w:rFonts w:asciiTheme="minorHAnsi" w:hAnsiTheme="minorHAnsi"/>
          <w:bCs/>
          <w:snapToGrid w:val="0"/>
        </w:rPr>
        <w:t>)</w:t>
      </w:r>
      <w:r w:rsidRPr="00DC252D">
        <w:rPr>
          <w:rFonts w:asciiTheme="minorHAnsi" w:hAnsiTheme="minorHAnsi"/>
          <w:bCs/>
          <w:snapToGrid w:val="0"/>
        </w:rPr>
        <w:t xml:space="preserve">. </w:t>
      </w:r>
      <w:r w:rsidR="00E1337C" w:rsidRPr="00DC252D">
        <w:rPr>
          <w:rFonts w:asciiTheme="minorHAnsi" w:hAnsiTheme="minorHAnsi"/>
          <w:bCs/>
          <w:snapToGrid w:val="0"/>
        </w:rPr>
        <w:t xml:space="preserve">Jean Hailes for Women’s Health also stated that </w:t>
      </w:r>
      <w:r w:rsidR="00DC252D" w:rsidRPr="00DC252D">
        <w:rPr>
          <w:rFonts w:asciiTheme="minorHAnsi" w:hAnsiTheme="minorHAnsi"/>
          <w:bCs/>
          <w:snapToGrid w:val="0"/>
        </w:rPr>
        <w:t>“many of the patients who will not take MHT are making their decision based on misinformation; nevertheless, they need and</w:t>
      </w:r>
      <w:r w:rsidR="00DC252D">
        <w:rPr>
          <w:rFonts w:asciiTheme="minorHAnsi" w:hAnsiTheme="minorHAnsi"/>
          <w:bCs/>
          <w:snapToGrid w:val="0"/>
        </w:rPr>
        <w:t xml:space="preserve"> </w:t>
      </w:r>
      <w:r w:rsidR="00DC252D" w:rsidRPr="00DC252D">
        <w:rPr>
          <w:rFonts w:asciiTheme="minorHAnsi" w:hAnsiTheme="minorHAnsi"/>
          <w:bCs/>
          <w:snapToGrid w:val="0"/>
        </w:rPr>
        <w:t>deserve a treatment option that is palatable to them</w:t>
      </w:r>
      <w:r w:rsidR="00DC252D">
        <w:rPr>
          <w:rFonts w:asciiTheme="minorHAnsi" w:hAnsiTheme="minorHAnsi"/>
          <w:bCs/>
          <w:snapToGrid w:val="0"/>
        </w:rPr>
        <w:t xml:space="preserve">”. </w:t>
      </w:r>
      <w:r w:rsidR="003104DE" w:rsidRPr="00DC252D">
        <w:rPr>
          <w:rFonts w:asciiTheme="minorHAnsi" w:hAnsiTheme="minorHAnsi"/>
          <w:bCs/>
          <w:snapToGrid w:val="0"/>
        </w:rPr>
        <w:t>Comments noted a lack of other PBS-listed non-hormonal treatments.</w:t>
      </w:r>
    </w:p>
    <w:bookmarkEnd w:id="21"/>
    <w:bookmarkEnd w:id="24"/>
    <w:p w14:paraId="609C0765" w14:textId="4A7C3D40" w:rsidR="00B60939" w:rsidRPr="005A7226" w:rsidRDefault="00B60939" w:rsidP="002E4F02">
      <w:pPr>
        <w:pStyle w:val="4-SubsectionHeading"/>
      </w:pPr>
      <w:r w:rsidRPr="005A7226">
        <w:t xml:space="preserve">Clinical </w:t>
      </w:r>
      <w:r w:rsidR="00C71FDA" w:rsidRPr="005A7226">
        <w:t>t</w:t>
      </w:r>
      <w:r w:rsidRPr="005A7226">
        <w:t>rials</w:t>
      </w:r>
      <w:bookmarkEnd w:id="20"/>
      <w:bookmarkEnd w:id="22"/>
    </w:p>
    <w:p w14:paraId="7AE14FB3" w14:textId="5ADBA889" w:rsidR="00C71FDA" w:rsidRPr="005A7226" w:rsidRDefault="00C71FDA" w:rsidP="00B53879">
      <w:pPr>
        <w:widowControl w:val="0"/>
        <w:numPr>
          <w:ilvl w:val="1"/>
          <w:numId w:val="1"/>
        </w:numPr>
        <w:spacing w:after="120"/>
        <w:ind w:left="720"/>
      </w:pPr>
      <w:r w:rsidRPr="005A7226">
        <w:t xml:space="preserve">The submission was based on four randomised controlled trials (RCTs) comparing fezolinetant versus placebo (DAYLIGHT, SKYLIGHT 1, SKYLIGHT 2 and SKYLIGHT 4) for treatment of moderate to severe VMS. Details of the trials presented in the submission are provided in </w:t>
      </w:r>
      <w:r w:rsidR="00FA24DD" w:rsidRPr="005A7226">
        <w:fldChar w:fldCharType="begin"/>
      </w:r>
      <w:r w:rsidR="00FA24DD" w:rsidRPr="005A7226">
        <w:instrText xml:space="preserve"> REF _Ref184902935 \h </w:instrText>
      </w:r>
      <w:r w:rsidR="00FA24DD" w:rsidRPr="005A7226">
        <w:fldChar w:fldCharType="separate"/>
      </w:r>
      <w:r w:rsidR="00B11DA2" w:rsidRPr="005A7226">
        <w:t xml:space="preserve">Table </w:t>
      </w:r>
      <w:r w:rsidR="00B11DA2">
        <w:rPr>
          <w:noProof/>
        </w:rPr>
        <w:t>3</w:t>
      </w:r>
      <w:r w:rsidR="00FA24DD" w:rsidRPr="005A7226">
        <w:fldChar w:fldCharType="end"/>
      </w:r>
      <w:r w:rsidRPr="005A7226">
        <w:t xml:space="preserve"> below.</w:t>
      </w:r>
    </w:p>
    <w:p w14:paraId="492F4D1A" w14:textId="133A790B" w:rsidR="00C71FDA" w:rsidRPr="005A7226" w:rsidRDefault="2B547669" w:rsidP="009C7CA5">
      <w:pPr>
        <w:pStyle w:val="Caption"/>
        <w:jc w:val="left"/>
      </w:pPr>
      <w:bookmarkStart w:id="25" w:name="_Ref184902935"/>
      <w:r w:rsidRPr="005A7226">
        <w:t xml:space="preserve">Table </w:t>
      </w:r>
      <w:r w:rsidRPr="005A7226">
        <w:fldChar w:fldCharType="begin"/>
      </w:r>
      <w:r w:rsidRPr="005A7226">
        <w:instrText>SEQ Table \* ARABIC</w:instrText>
      </w:r>
      <w:r w:rsidRPr="005A7226">
        <w:fldChar w:fldCharType="separate"/>
      </w:r>
      <w:r w:rsidR="00B11DA2">
        <w:rPr>
          <w:noProof/>
        </w:rPr>
        <w:t>3</w:t>
      </w:r>
      <w:r w:rsidRPr="005A7226">
        <w:fldChar w:fldCharType="end"/>
      </w:r>
      <w:bookmarkEnd w:id="25"/>
      <w:r w:rsidR="080C138D" w:rsidRPr="005A7226">
        <w:t>:</w:t>
      </w:r>
      <w:r w:rsidRPr="005A7226">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14"/>
        <w:gridCol w:w="5953"/>
        <w:gridCol w:w="1650"/>
      </w:tblGrid>
      <w:tr w:rsidR="00C71FDA" w:rsidRPr="005A7226" w14:paraId="40490A5F" w14:textId="77777777" w:rsidTr="00C71FDA">
        <w:trPr>
          <w:tblHeader/>
        </w:trPr>
        <w:tc>
          <w:tcPr>
            <w:tcW w:w="784" w:type="pct"/>
            <w:vAlign w:val="center"/>
          </w:tcPr>
          <w:p w14:paraId="36ADB164" w14:textId="77777777" w:rsidR="00C71FDA" w:rsidRPr="005A7226" w:rsidRDefault="00C71FDA" w:rsidP="009C7CA5">
            <w:pPr>
              <w:pStyle w:val="In-tableHeading"/>
              <w:keepLines/>
              <w:rPr>
                <w:lang w:val="en-AU"/>
              </w:rPr>
            </w:pPr>
            <w:r w:rsidRPr="005A7226">
              <w:rPr>
                <w:lang w:val="en-AU"/>
              </w:rPr>
              <w:t>Trial ID</w:t>
            </w:r>
          </w:p>
        </w:tc>
        <w:tc>
          <w:tcPr>
            <w:tcW w:w="3301" w:type="pct"/>
            <w:vAlign w:val="center"/>
          </w:tcPr>
          <w:p w14:paraId="407B2617" w14:textId="77777777" w:rsidR="00C71FDA" w:rsidRPr="005A7226" w:rsidRDefault="00C71FDA" w:rsidP="009C7CA5">
            <w:pPr>
              <w:pStyle w:val="In-tableHeading"/>
              <w:keepLines/>
              <w:rPr>
                <w:lang w:val="en-AU"/>
              </w:rPr>
            </w:pPr>
            <w:r w:rsidRPr="005A7226">
              <w:rPr>
                <w:lang w:val="en-AU"/>
              </w:rPr>
              <w:t>Protocol title/ Publication title</w:t>
            </w:r>
          </w:p>
        </w:tc>
        <w:tc>
          <w:tcPr>
            <w:tcW w:w="915" w:type="pct"/>
            <w:vAlign w:val="center"/>
          </w:tcPr>
          <w:p w14:paraId="4F711540" w14:textId="77777777" w:rsidR="00C71FDA" w:rsidRPr="005A7226" w:rsidRDefault="00C71FDA" w:rsidP="009C7CA5">
            <w:pPr>
              <w:pStyle w:val="In-tableHeading"/>
              <w:keepLines/>
              <w:rPr>
                <w:lang w:val="en-AU"/>
              </w:rPr>
            </w:pPr>
            <w:r w:rsidRPr="005A7226">
              <w:rPr>
                <w:lang w:val="en-AU"/>
              </w:rPr>
              <w:t>Publication citation</w:t>
            </w:r>
          </w:p>
        </w:tc>
      </w:tr>
      <w:tr w:rsidR="00C71FDA" w:rsidRPr="005A7226" w14:paraId="0BC7ACF0" w14:textId="77777777" w:rsidTr="00C71FDA">
        <w:tc>
          <w:tcPr>
            <w:tcW w:w="784" w:type="pct"/>
            <w:vMerge w:val="restart"/>
            <w:vAlign w:val="center"/>
          </w:tcPr>
          <w:p w14:paraId="4D1FBB59" w14:textId="77777777" w:rsidR="00C71FDA" w:rsidRPr="005A7226" w:rsidRDefault="00C71FDA" w:rsidP="009C7CA5">
            <w:pPr>
              <w:pStyle w:val="TableText0"/>
              <w:keepLines/>
            </w:pPr>
            <w:r w:rsidRPr="005A7226">
              <w:t>DAYLIGHT</w:t>
            </w:r>
          </w:p>
          <w:p w14:paraId="55632131" w14:textId="77777777" w:rsidR="00C71FDA" w:rsidRPr="005A7226" w:rsidRDefault="00C71FDA" w:rsidP="009C7CA5">
            <w:pPr>
              <w:pStyle w:val="TableText0"/>
              <w:keepLines/>
            </w:pPr>
            <w:r w:rsidRPr="005A7226">
              <w:t>(NCT05033886)</w:t>
            </w:r>
          </w:p>
        </w:tc>
        <w:tc>
          <w:tcPr>
            <w:tcW w:w="3301" w:type="pct"/>
            <w:tcBorders>
              <w:bottom w:val="nil"/>
            </w:tcBorders>
            <w:vAlign w:val="center"/>
          </w:tcPr>
          <w:p w14:paraId="56FD492A" w14:textId="77777777" w:rsidR="00C71FDA" w:rsidRPr="005A7226" w:rsidRDefault="00C71FDA" w:rsidP="009C7CA5">
            <w:pPr>
              <w:pStyle w:val="TableText0"/>
              <w:keepLines/>
              <w:rPr>
                <w:szCs w:val="18"/>
              </w:rPr>
            </w:pPr>
            <w:r w:rsidRPr="005A7226">
              <w:rPr>
                <w:szCs w:val="18"/>
              </w:rPr>
              <w:t>A Phase 3b, Randomised, Double-blind, Placebo-controlled, 24-week Study to Assess the Efficacy and Safety of Fezolinetant in Menopausal Women Suffering from Moderate to Severe Vasomotor Symptoms (Hot Flashes) and Considered Unsuitable for Hormone Replacement Therapy.</w:t>
            </w:r>
          </w:p>
        </w:tc>
        <w:tc>
          <w:tcPr>
            <w:tcW w:w="915" w:type="pct"/>
            <w:tcBorders>
              <w:bottom w:val="nil"/>
            </w:tcBorders>
            <w:vAlign w:val="center"/>
          </w:tcPr>
          <w:p w14:paraId="4DECAD78" w14:textId="77777777" w:rsidR="00C71FDA" w:rsidRPr="005A7226" w:rsidRDefault="00C71FDA" w:rsidP="009C7CA5">
            <w:pPr>
              <w:pStyle w:val="TableText0"/>
              <w:keepLines/>
            </w:pPr>
            <w:r w:rsidRPr="005A7226">
              <w:t>27 Jun 2024</w:t>
            </w:r>
          </w:p>
        </w:tc>
      </w:tr>
      <w:tr w:rsidR="00C71FDA" w:rsidRPr="005A7226" w14:paraId="7E578CEF" w14:textId="77777777" w:rsidTr="00C71FDA">
        <w:tc>
          <w:tcPr>
            <w:tcW w:w="784" w:type="pct"/>
            <w:vMerge/>
            <w:vAlign w:val="center"/>
          </w:tcPr>
          <w:p w14:paraId="06422C96" w14:textId="77777777" w:rsidR="00C71FDA" w:rsidRPr="005A7226" w:rsidRDefault="00C71FDA" w:rsidP="009C7CA5">
            <w:pPr>
              <w:pStyle w:val="TableText0"/>
              <w:keepLines/>
            </w:pPr>
          </w:p>
        </w:tc>
        <w:tc>
          <w:tcPr>
            <w:tcW w:w="3301" w:type="pct"/>
            <w:tcBorders>
              <w:top w:val="nil"/>
              <w:bottom w:val="nil"/>
            </w:tcBorders>
            <w:vAlign w:val="center"/>
          </w:tcPr>
          <w:p w14:paraId="33B52F37" w14:textId="77777777" w:rsidR="00C71FDA" w:rsidRPr="005A7226" w:rsidRDefault="00C71FDA" w:rsidP="009C7CA5">
            <w:pPr>
              <w:pStyle w:val="TableText0"/>
              <w:keepLines/>
              <w:rPr>
                <w:iCs/>
                <w:szCs w:val="18"/>
              </w:rPr>
            </w:pPr>
            <w:proofErr w:type="spellStart"/>
            <w:r w:rsidRPr="005A7226">
              <w:rPr>
                <w:iCs/>
                <w:szCs w:val="18"/>
              </w:rPr>
              <w:t>Schaudig</w:t>
            </w:r>
            <w:proofErr w:type="spellEnd"/>
            <w:r w:rsidRPr="005A7226">
              <w:rPr>
                <w:iCs/>
                <w:szCs w:val="18"/>
              </w:rPr>
              <w:t xml:space="preserve"> K, Wang X, Bouchard C, Hirschberg AL, </w:t>
            </w:r>
            <w:proofErr w:type="spellStart"/>
            <w:r w:rsidRPr="005A7226">
              <w:rPr>
                <w:iCs/>
                <w:szCs w:val="18"/>
              </w:rPr>
              <w:t>Cano</w:t>
            </w:r>
            <w:proofErr w:type="spellEnd"/>
            <w:r w:rsidRPr="005A7226">
              <w:rPr>
                <w:iCs/>
                <w:szCs w:val="18"/>
              </w:rPr>
              <w:t xml:space="preserve"> A, Shapiro CMM, Stute P, Wu X, </w:t>
            </w:r>
            <w:proofErr w:type="spellStart"/>
            <w:r w:rsidRPr="005A7226">
              <w:rPr>
                <w:iCs/>
                <w:szCs w:val="18"/>
              </w:rPr>
              <w:t>Miyazki</w:t>
            </w:r>
            <w:proofErr w:type="spellEnd"/>
            <w:r w:rsidRPr="005A7226">
              <w:rPr>
                <w:iCs/>
                <w:szCs w:val="18"/>
              </w:rPr>
              <w:t xml:space="preserve"> K, </w:t>
            </w:r>
            <w:proofErr w:type="spellStart"/>
            <w:r w:rsidRPr="005A7226">
              <w:rPr>
                <w:iCs/>
                <w:szCs w:val="18"/>
              </w:rPr>
              <w:t>Scrine</w:t>
            </w:r>
            <w:proofErr w:type="spellEnd"/>
            <w:r w:rsidRPr="005A7226">
              <w:rPr>
                <w:iCs/>
                <w:szCs w:val="18"/>
              </w:rPr>
              <w:t xml:space="preserve"> L, Nappi RE. Efficacy and safety of fezolinetant for moderate-severe vasomotor symptoms associated with menopause in individuals unsuitable for hormone therapy: phase 3b randomised controlled trial </w:t>
            </w:r>
          </w:p>
        </w:tc>
        <w:tc>
          <w:tcPr>
            <w:tcW w:w="915" w:type="pct"/>
            <w:tcBorders>
              <w:top w:val="nil"/>
              <w:bottom w:val="nil"/>
            </w:tcBorders>
            <w:vAlign w:val="center"/>
          </w:tcPr>
          <w:p w14:paraId="48E117B6" w14:textId="77777777" w:rsidR="00C71FDA" w:rsidRPr="005A7226" w:rsidRDefault="00C71FDA" w:rsidP="009C7CA5">
            <w:pPr>
              <w:pStyle w:val="TableText0"/>
              <w:keepLines/>
              <w:rPr>
                <w:i/>
                <w:szCs w:val="18"/>
              </w:rPr>
            </w:pPr>
            <w:r w:rsidRPr="005A7226">
              <w:rPr>
                <w:i/>
                <w:szCs w:val="18"/>
              </w:rPr>
              <w:t>BMJ 2024; 387:e079525</w:t>
            </w:r>
          </w:p>
        </w:tc>
      </w:tr>
      <w:tr w:rsidR="00C71FDA" w:rsidRPr="005A7226" w14:paraId="2EE879AA" w14:textId="77777777" w:rsidTr="00C71FDA">
        <w:tc>
          <w:tcPr>
            <w:tcW w:w="784" w:type="pct"/>
            <w:vMerge w:val="restart"/>
            <w:vAlign w:val="center"/>
          </w:tcPr>
          <w:p w14:paraId="7FC6BBA2" w14:textId="77777777" w:rsidR="00C71FDA" w:rsidRPr="005A7226" w:rsidRDefault="00C71FDA" w:rsidP="009C7CA5">
            <w:pPr>
              <w:pStyle w:val="TableText0"/>
              <w:keepLines/>
            </w:pPr>
            <w:r w:rsidRPr="005A7226">
              <w:t>SKYLIGHT 1</w:t>
            </w:r>
          </w:p>
          <w:p w14:paraId="06193E26" w14:textId="77777777" w:rsidR="00C71FDA" w:rsidRPr="005A7226" w:rsidRDefault="00C71FDA" w:rsidP="009C7CA5">
            <w:pPr>
              <w:pStyle w:val="TableText0"/>
              <w:keepLines/>
            </w:pPr>
            <w:r w:rsidRPr="005A7226">
              <w:t>(NCT04003155)</w:t>
            </w:r>
          </w:p>
        </w:tc>
        <w:tc>
          <w:tcPr>
            <w:tcW w:w="3301" w:type="pct"/>
            <w:tcBorders>
              <w:bottom w:val="nil"/>
            </w:tcBorders>
            <w:vAlign w:val="center"/>
          </w:tcPr>
          <w:p w14:paraId="1171FADE" w14:textId="77777777" w:rsidR="00C71FDA" w:rsidRPr="005A7226" w:rsidRDefault="00C71FDA" w:rsidP="009C7CA5">
            <w:pPr>
              <w:pStyle w:val="TableText0"/>
              <w:keepLines/>
            </w:pPr>
            <w:r w:rsidRPr="005A7226">
              <w:t>A Phase 3, Randomised, Placebo-controlled, 12-week Double-blind Study, followed by a Non-Controlled Extension Treatment Period, to Assess the Efficacy and Safety of Fezolinetant in Women Suffering from Moderate to Severe Vasomotor Symptoms (Hot Flashes) Associated with Menopause.</w:t>
            </w:r>
          </w:p>
        </w:tc>
        <w:tc>
          <w:tcPr>
            <w:tcW w:w="915" w:type="pct"/>
            <w:tcBorders>
              <w:bottom w:val="nil"/>
            </w:tcBorders>
            <w:vAlign w:val="center"/>
          </w:tcPr>
          <w:p w14:paraId="5CB1DFED" w14:textId="77777777" w:rsidR="00C71FDA" w:rsidRPr="005A7226" w:rsidRDefault="00C71FDA" w:rsidP="009C7CA5">
            <w:pPr>
              <w:pStyle w:val="TableText0"/>
              <w:keepLines/>
            </w:pPr>
            <w:r w:rsidRPr="005A7226">
              <w:t>24 Feb 2022</w:t>
            </w:r>
          </w:p>
        </w:tc>
      </w:tr>
      <w:tr w:rsidR="00C71FDA" w:rsidRPr="005A7226" w14:paraId="0C61A268" w14:textId="77777777" w:rsidTr="00C71FDA">
        <w:tc>
          <w:tcPr>
            <w:tcW w:w="784" w:type="pct"/>
            <w:vMerge/>
            <w:vAlign w:val="center"/>
          </w:tcPr>
          <w:p w14:paraId="27903E2F" w14:textId="77777777" w:rsidR="00C71FDA" w:rsidRPr="005A7226" w:rsidRDefault="00C71FDA" w:rsidP="009C7CA5">
            <w:pPr>
              <w:pStyle w:val="TableText0"/>
              <w:keepLines/>
            </w:pPr>
          </w:p>
        </w:tc>
        <w:tc>
          <w:tcPr>
            <w:tcW w:w="3301" w:type="pct"/>
            <w:tcBorders>
              <w:top w:val="nil"/>
              <w:bottom w:val="nil"/>
            </w:tcBorders>
            <w:vAlign w:val="center"/>
          </w:tcPr>
          <w:p w14:paraId="63AE593A" w14:textId="77777777" w:rsidR="00C71FDA" w:rsidRPr="005A7226" w:rsidRDefault="00C71FDA" w:rsidP="009C7CA5">
            <w:pPr>
              <w:pStyle w:val="TableText0"/>
              <w:keepLines/>
              <w:rPr>
                <w:szCs w:val="18"/>
              </w:rPr>
            </w:pPr>
            <w:r w:rsidRPr="005A7226">
              <w:rPr>
                <w:szCs w:val="18"/>
              </w:rPr>
              <w:t xml:space="preserve">Lederman S, Ottery FD, </w:t>
            </w:r>
            <w:proofErr w:type="spellStart"/>
            <w:r w:rsidRPr="005A7226">
              <w:rPr>
                <w:szCs w:val="18"/>
              </w:rPr>
              <w:t>Cano</w:t>
            </w:r>
            <w:proofErr w:type="spellEnd"/>
            <w:r w:rsidRPr="005A7226">
              <w:rPr>
                <w:szCs w:val="18"/>
              </w:rPr>
              <w:t xml:space="preserve"> A, Santoro N, Shapiro M, Stute P, Thurston RC, English M, Franklin C, Lee M, Neal-Perry G. Fezolinetant for treatment of moderate-to-severe vasomotor symptoms associated with menopause (SKYLIGHT 1): a phase 3 randomised controlled study.</w:t>
            </w:r>
          </w:p>
        </w:tc>
        <w:tc>
          <w:tcPr>
            <w:tcW w:w="915" w:type="pct"/>
            <w:tcBorders>
              <w:top w:val="nil"/>
              <w:bottom w:val="single" w:sz="4" w:space="0" w:color="auto"/>
            </w:tcBorders>
            <w:vAlign w:val="center"/>
          </w:tcPr>
          <w:p w14:paraId="32A20334" w14:textId="77777777" w:rsidR="00C71FDA" w:rsidRPr="005A7226" w:rsidRDefault="00C71FDA" w:rsidP="009C7CA5">
            <w:pPr>
              <w:pStyle w:val="TableText0"/>
              <w:keepLines/>
              <w:rPr>
                <w:i/>
              </w:rPr>
            </w:pPr>
            <w:r w:rsidRPr="005A7226">
              <w:rPr>
                <w:szCs w:val="18"/>
              </w:rPr>
              <w:t>Lancet. 2023; 401(10382):1091-1102</w:t>
            </w:r>
          </w:p>
        </w:tc>
      </w:tr>
      <w:tr w:rsidR="00C71FDA" w:rsidRPr="005A7226" w14:paraId="16C9BEC0" w14:textId="77777777" w:rsidTr="00C71FDA">
        <w:tc>
          <w:tcPr>
            <w:tcW w:w="784" w:type="pct"/>
            <w:vMerge w:val="restart"/>
            <w:vAlign w:val="center"/>
          </w:tcPr>
          <w:p w14:paraId="18A03252" w14:textId="77777777" w:rsidR="00C71FDA" w:rsidRPr="005A7226" w:rsidRDefault="00C71FDA" w:rsidP="009C7CA5">
            <w:pPr>
              <w:pStyle w:val="TableText0"/>
              <w:keepLines/>
            </w:pPr>
            <w:r w:rsidRPr="005A7226">
              <w:t>SKYLIGHT 2</w:t>
            </w:r>
          </w:p>
          <w:p w14:paraId="54B732A7" w14:textId="77777777" w:rsidR="00C71FDA" w:rsidRPr="005A7226" w:rsidRDefault="00C71FDA" w:rsidP="009C7CA5">
            <w:pPr>
              <w:pStyle w:val="TableText0"/>
              <w:keepLines/>
            </w:pPr>
            <w:r w:rsidRPr="005A7226">
              <w:t>(NCT04003142)</w:t>
            </w:r>
          </w:p>
        </w:tc>
        <w:tc>
          <w:tcPr>
            <w:tcW w:w="3301" w:type="pct"/>
            <w:tcBorders>
              <w:bottom w:val="nil"/>
            </w:tcBorders>
            <w:vAlign w:val="center"/>
          </w:tcPr>
          <w:p w14:paraId="131F19B8" w14:textId="77777777" w:rsidR="00C71FDA" w:rsidRPr="005A7226" w:rsidRDefault="00C71FDA" w:rsidP="009C7CA5">
            <w:pPr>
              <w:pStyle w:val="TableText0"/>
              <w:keepLines/>
              <w:rPr>
                <w:szCs w:val="18"/>
              </w:rPr>
            </w:pPr>
            <w:r w:rsidRPr="005A7226">
              <w:rPr>
                <w:szCs w:val="18"/>
              </w:rPr>
              <w:t>A Phase 3, Randomised, Placebo-controlled, 12-week Double-blind Study, followed by a Non-Controlled Extension Treatment Period, to Assess the Efficacy and Safety of Fezolinetant in Women Suffering from Moderate to Severe Vasomotor Symptoms (Hot Flashes) Associated with Menopause.</w:t>
            </w:r>
          </w:p>
        </w:tc>
        <w:tc>
          <w:tcPr>
            <w:tcW w:w="915" w:type="pct"/>
            <w:tcBorders>
              <w:bottom w:val="nil"/>
            </w:tcBorders>
            <w:vAlign w:val="center"/>
          </w:tcPr>
          <w:p w14:paraId="2B2A74A6" w14:textId="77777777" w:rsidR="00C71FDA" w:rsidRPr="005A7226" w:rsidRDefault="00C71FDA" w:rsidP="009C7CA5">
            <w:pPr>
              <w:pStyle w:val="TableText0"/>
              <w:keepLines/>
            </w:pPr>
            <w:r w:rsidRPr="005A7226">
              <w:t>23 Feb 2022</w:t>
            </w:r>
          </w:p>
        </w:tc>
      </w:tr>
      <w:tr w:rsidR="00C71FDA" w:rsidRPr="005A7226" w14:paraId="69630E4B" w14:textId="77777777" w:rsidTr="00C71FDA">
        <w:tc>
          <w:tcPr>
            <w:tcW w:w="784" w:type="pct"/>
            <w:vMerge/>
            <w:tcBorders>
              <w:bottom w:val="nil"/>
            </w:tcBorders>
            <w:vAlign w:val="center"/>
          </w:tcPr>
          <w:p w14:paraId="54A7994D" w14:textId="77777777" w:rsidR="00C71FDA" w:rsidRPr="005A7226" w:rsidRDefault="00C71FDA" w:rsidP="009C7CA5">
            <w:pPr>
              <w:pStyle w:val="TableText0"/>
              <w:keepLines/>
            </w:pPr>
          </w:p>
        </w:tc>
        <w:tc>
          <w:tcPr>
            <w:tcW w:w="3301" w:type="pct"/>
            <w:tcBorders>
              <w:top w:val="nil"/>
              <w:bottom w:val="nil"/>
            </w:tcBorders>
            <w:vAlign w:val="center"/>
          </w:tcPr>
          <w:p w14:paraId="3CB0F8BD" w14:textId="77777777" w:rsidR="00C71FDA" w:rsidRPr="005A7226" w:rsidRDefault="00C71FDA" w:rsidP="009C7CA5">
            <w:pPr>
              <w:pStyle w:val="TableText0"/>
              <w:keepLines/>
              <w:rPr>
                <w:szCs w:val="18"/>
              </w:rPr>
            </w:pPr>
            <w:r w:rsidRPr="005A7226">
              <w:rPr>
                <w:szCs w:val="18"/>
              </w:rPr>
              <w:t>Johnson KA, Martin N, Nappi RE, Neal-Perry G, Shapiro M, Stute P, Thurston RC, Wolfman W, English M, Franklin C, Lee M, Santoro N. Efficacy and Safety of Fezolinetant in Moderate to Severe Vasomotor Symptoms Associated With Menopause: A Phase 3 RCT.</w:t>
            </w:r>
          </w:p>
        </w:tc>
        <w:tc>
          <w:tcPr>
            <w:tcW w:w="915" w:type="pct"/>
            <w:tcBorders>
              <w:top w:val="nil"/>
              <w:bottom w:val="nil"/>
            </w:tcBorders>
            <w:vAlign w:val="center"/>
          </w:tcPr>
          <w:p w14:paraId="6C43355C" w14:textId="77777777" w:rsidR="00C71FDA" w:rsidRPr="005A7226" w:rsidRDefault="00C71FDA" w:rsidP="009C7CA5">
            <w:pPr>
              <w:pStyle w:val="TableText0"/>
              <w:keepLines/>
            </w:pPr>
            <w:r w:rsidRPr="005A7226">
              <w:rPr>
                <w:szCs w:val="18"/>
              </w:rPr>
              <w:t>J Clin Endocrinol Metab. 2023; 108(8):1981-1997</w:t>
            </w:r>
          </w:p>
        </w:tc>
      </w:tr>
      <w:tr w:rsidR="00C71FDA" w:rsidRPr="005A7226" w14:paraId="5E2D198B" w14:textId="77777777" w:rsidTr="00C71FDA">
        <w:tc>
          <w:tcPr>
            <w:tcW w:w="784" w:type="pct"/>
            <w:vMerge w:val="restart"/>
            <w:vAlign w:val="center"/>
          </w:tcPr>
          <w:p w14:paraId="18284776" w14:textId="77777777" w:rsidR="00C71FDA" w:rsidRPr="005A7226" w:rsidRDefault="00C71FDA" w:rsidP="009C7CA5">
            <w:pPr>
              <w:pStyle w:val="TableText0"/>
              <w:keepLines/>
            </w:pPr>
            <w:r w:rsidRPr="005A7226">
              <w:t>SKYLIGHT 4</w:t>
            </w:r>
          </w:p>
          <w:p w14:paraId="5C4A4924" w14:textId="77777777" w:rsidR="00C71FDA" w:rsidRPr="005A7226" w:rsidRDefault="00C71FDA" w:rsidP="009C7CA5">
            <w:pPr>
              <w:pStyle w:val="TableText0"/>
              <w:keepLines/>
            </w:pPr>
            <w:r w:rsidRPr="005A7226">
              <w:t>(NCT04003389)</w:t>
            </w:r>
          </w:p>
        </w:tc>
        <w:tc>
          <w:tcPr>
            <w:tcW w:w="3301" w:type="pct"/>
            <w:tcBorders>
              <w:bottom w:val="nil"/>
            </w:tcBorders>
            <w:vAlign w:val="center"/>
          </w:tcPr>
          <w:p w14:paraId="28E4CAAA" w14:textId="77777777" w:rsidR="00C71FDA" w:rsidRPr="005A7226" w:rsidRDefault="00C71FDA" w:rsidP="009C7CA5">
            <w:pPr>
              <w:pStyle w:val="TableText0"/>
              <w:keepLines/>
            </w:pPr>
            <w:r w:rsidRPr="005A7226">
              <w:t>A Randomised, Placebo-Controlled, Double-Blind Phase 3 Clinical Study to Investigate the Long-Term Safety of Fezolinetant in Women Suffering From Vasomotor Symptoms (Hot Flashes) Associated with Menopause.</w:t>
            </w:r>
          </w:p>
        </w:tc>
        <w:tc>
          <w:tcPr>
            <w:tcW w:w="915" w:type="pct"/>
            <w:tcBorders>
              <w:bottom w:val="nil"/>
            </w:tcBorders>
            <w:vAlign w:val="center"/>
          </w:tcPr>
          <w:p w14:paraId="6C3F9467" w14:textId="77777777" w:rsidR="00C71FDA" w:rsidRPr="005A7226" w:rsidRDefault="00C71FDA" w:rsidP="009C7CA5">
            <w:pPr>
              <w:pStyle w:val="TableText0"/>
              <w:keepLines/>
            </w:pPr>
            <w:r w:rsidRPr="005A7226">
              <w:t>16 May 2022</w:t>
            </w:r>
          </w:p>
        </w:tc>
      </w:tr>
      <w:tr w:rsidR="00C71FDA" w:rsidRPr="005A7226" w14:paraId="5F080F4D" w14:textId="77777777" w:rsidTr="00C71FDA">
        <w:tc>
          <w:tcPr>
            <w:tcW w:w="784" w:type="pct"/>
            <w:vMerge/>
            <w:tcBorders>
              <w:bottom w:val="single" w:sz="4" w:space="0" w:color="auto"/>
            </w:tcBorders>
            <w:vAlign w:val="center"/>
          </w:tcPr>
          <w:p w14:paraId="0339D985" w14:textId="77777777" w:rsidR="00C71FDA" w:rsidRPr="005A7226" w:rsidRDefault="00C71FDA" w:rsidP="009C7CA5">
            <w:pPr>
              <w:pStyle w:val="TableText0"/>
              <w:keepLines/>
            </w:pPr>
          </w:p>
        </w:tc>
        <w:tc>
          <w:tcPr>
            <w:tcW w:w="3301" w:type="pct"/>
            <w:tcBorders>
              <w:top w:val="nil"/>
              <w:bottom w:val="single" w:sz="4" w:space="0" w:color="auto"/>
            </w:tcBorders>
            <w:vAlign w:val="center"/>
          </w:tcPr>
          <w:p w14:paraId="5D5A65A2" w14:textId="77777777" w:rsidR="00C71FDA" w:rsidRPr="005A7226" w:rsidRDefault="00C71FDA" w:rsidP="009C7CA5">
            <w:pPr>
              <w:pStyle w:val="TableText0"/>
              <w:keepLines/>
              <w:rPr>
                <w:szCs w:val="18"/>
              </w:rPr>
            </w:pPr>
            <w:r w:rsidRPr="005A7226">
              <w:rPr>
                <w:szCs w:val="18"/>
              </w:rPr>
              <w:t xml:space="preserve">Neal-Perry G, </w:t>
            </w:r>
            <w:proofErr w:type="spellStart"/>
            <w:r w:rsidRPr="005A7226">
              <w:rPr>
                <w:szCs w:val="18"/>
              </w:rPr>
              <w:t>Cano</w:t>
            </w:r>
            <w:proofErr w:type="spellEnd"/>
            <w:r w:rsidRPr="005A7226">
              <w:rPr>
                <w:szCs w:val="18"/>
              </w:rPr>
              <w:t xml:space="preserve"> A, Lederman S, Nappi RE, Santoro N, Wolfman W, English M, Franklin C, Valluri U, Ottery FD. Safety of fezolinetant for vasomotor symptoms associated with menopause: a randomised controlled trial. </w:t>
            </w:r>
          </w:p>
        </w:tc>
        <w:tc>
          <w:tcPr>
            <w:tcW w:w="915" w:type="pct"/>
            <w:tcBorders>
              <w:top w:val="nil"/>
              <w:bottom w:val="single" w:sz="4" w:space="0" w:color="auto"/>
            </w:tcBorders>
            <w:vAlign w:val="center"/>
          </w:tcPr>
          <w:p w14:paraId="6FF9D909" w14:textId="77777777" w:rsidR="00C71FDA" w:rsidRPr="005A7226" w:rsidRDefault="00C71FDA" w:rsidP="009C7CA5">
            <w:pPr>
              <w:pStyle w:val="TableText0"/>
              <w:keepLines/>
            </w:pPr>
            <w:r w:rsidRPr="005A7226">
              <w:rPr>
                <w:szCs w:val="18"/>
              </w:rPr>
              <w:t xml:space="preserve">Obstetrics &amp; </w:t>
            </w:r>
            <w:proofErr w:type="spellStart"/>
            <w:r w:rsidRPr="005A7226">
              <w:rPr>
                <w:szCs w:val="18"/>
              </w:rPr>
              <w:t>Gynecology</w:t>
            </w:r>
            <w:proofErr w:type="spellEnd"/>
            <w:r w:rsidRPr="005A7226">
              <w:rPr>
                <w:szCs w:val="18"/>
              </w:rPr>
              <w:t>. 2023; 141(4):737-747</w:t>
            </w:r>
          </w:p>
        </w:tc>
      </w:tr>
    </w:tbl>
    <w:p w14:paraId="533FDF81" w14:textId="77777777" w:rsidR="00C71FDA" w:rsidRPr="005A7226" w:rsidRDefault="00C71FDA" w:rsidP="009C7CA5">
      <w:pPr>
        <w:pStyle w:val="FooterTableFigure"/>
        <w:keepNext/>
        <w:keepLines/>
        <w:rPr>
          <w:sz w:val="20"/>
        </w:rPr>
      </w:pPr>
      <w:r w:rsidRPr="005A7226">
        <w:t>Source: Table 2.2-1, pp56-58 of the submission.</w:t>
      </w:r>
    </w:p>
    <w:p w14:paraId="3AE6F18E" w14:textId="72190706" w:rsidR="00C71FDA" w:rsidRPr="005A7226" w:rsidRDefault="32477D56" w:rsidP="00B53879">
      <w:pPr>
        <w:widowControl w:val="0"/>
        <w:numPr>
          <w:ilvl w:val="1"/>
          <w:numId w:val="1"/>
        </w:numPr>
        <w:spacing w:after="120"/>
        <w:ind w:left="720"/>
      </w:pPr>
      <w:r w:rsidRPr="005A7226">
        <w:t xml:space="preserve">The key features of the included trials are summarised in </w:t>
      </w:r>
      <w:r w:rsidR="00C71FDA" w:rsidRPr="005A7226">
        <w:fldChar w:fldCharType="begin"/>
      </w:r>
      <w:r w:rsidR="00C71FDA" w:rsidRPr="005A7226">
        <w:instrText xml:space="preserve"> REF _Ref184903030 \h </w:instrText>
      </w:r>
      <w:r w:rsidR="00C71FDA" w:rsidRPr="005A7226">
        <w:fldChar w:fldCharType="separate"/>
      </w:r>
      <w:r w:rsidR="00B11DA2" w:rsidRPr="005A7226">
        <w:t xml:space="preserve">Table </w:t>
      </w:r>
      <w:r w:rsidR="00B11DA2">
        <w:rPr>
          <w:noProof/>
        </w:rPr>
        <w:t>4</w:t>
      </w:r>
      <w:r w:rsidR="00C71FDA" w:rsidRPr="005A7226">
        <w:fldChar w:fldCharType="end"/>
      </w:r>
      <w:r w:rsidRPr="005A7226">
        <w:t>.</w:t>
      </w:r>
    </w:p>
    <w:p w14:paraId="1A4037C6" w14:textId="0D871A78" w:rsidR="00E26680" w:rsidRPr="005A7226" w:rsidRDefault="2B547669" w:rsidP="009C7CA5">
      <w:pPr>
        <w:pStyle w:val="Caption"/>
      </w:pPr>
      <w:bookmarkStart w:id="26" w:name="_Ref184903030"/>
      <w:r w:rsidRPr="005A7226">
        <w:t xml:space="preserve">Table </w:t>
      </w:r>
      <w:r w:rsidRPr="005A7226">
        <w:fldChar w:fldCharType="begin"/>
      </w:r>
      <w:r w:rsidRPr="005A7226">
        <w:instrText>SEQ Table \* ARABIC</w:instrText>
      </w:r>
      <w:r w:rsidRPr="005A7226">
        <w:fldChar w:fldCharType="separate"/>
      </w:r>
      <w:r w:rsidR="00B11DA2">
        <w:rPr>
          <w:noProof/>
        </w:rPr>
        <w:t>4</w:t>
      </w:r>
      <w:r w:rsidRPr="005A7226">
        <w:fldChar w:fldCharType="end"/>
      </w:r>
      <w:bookmarkEnd w:id="26"/>
      <w:r w:rsidR="1A6681DA" w:rsidRPr="005A7226">
        <w:t>:</w:t>
      </w:r>
      <w:r w:rsidRPr="005A7226">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119"/>
        <w:gridCol w:w="436"/>
        <w:gridCol w:w="1702"/>
        <w:gridCol w:w="424"/>
        <w:gridCol w:w="1582"/>
        <w:gridCol w:w="1839"/>
        <w:gridCol w:w="1553"/>
        <w:gridCol w:w="362"/>
      </w:tblGrid>
      <w:tr w:rsidR="00E26680" w:rsidRPr="005A7226" w14:paraId="1DA56694" w14:textId="77777777" w:rsidTr="00325998">
        <w:trPr>
          <w:cantSplit/>
          <w:tblHeader/>
        </w:trPr>
        <w:tc>
          <w:tcPr>
            <w:tcW w:w="620" w:type="pct"/>
            <w:shd w:val="clear" w:color="auto" w:fill="auto"/>
            <w:vAlign w:val="center"/>
          </w:tcPr>
          <w:p w14:paraId="2CA856FF" w14:textId="77777777" w:rsidR="00E26680" w:rsidRPr="005A7226" w:rsidRDefault="00E26680" w:rsidP="009C7CA5">
            <w:pPr>
              <w:pStyle w:val="In-tableHeading"/>
              <w:keepLines/>
              <w:rPr>
                <w:lang w:val="en-AU"/>
              </w:rPr>
            </w:pPr>
            <w:r w:rsidRPr="005A7226">
              <w:rPr>
                <w:lang w:val="en-AU"/>
              </w:rPr>
              <w:t>Trial</w:t>
            </w:r>
          </w:p>
        </w:tc>
        <w:tc>
          <w:tcPr>
            <w:tcW w:w="242" w:type="pct"/>
            <w:shd w:val="clear" w:color="auto" w:fill="auto"/>
            <w:vAlign w:val="center"/>
          </w:tcPr>
          <w:p w14:paraId="511E4F56" w14:textId="77777777" w:rsidR="00E26680" w:rsidRPr="005A7226" w:rsidRDefault="00E26680" w:rsidP="009C7CA5">
            <w:pPr>
              <w:pStyle w:val="In-tableHeading"/>
              <w:keepLines/>
              <w:jc w:val="center"/>
              <w:rPr>
                <w:lang w:val="en-AU"/>
              </w:rPr>
            </w:pPr>
            <w:r w:rsidRPr="005A7226">
              <w:rPr>
                <w:lang w:val="en-AU"/>
              </w:rPr>
              <w:t>N</w:t>
            </w:r>
          </w:p>
        </w:tc>
        <w:tc>
          <w:tcPr>
            <w:tcW w:w="944" w:type="pct"/>
            <w:shd w:val="clear" w:color="auto" w:fill="auto"/>
            <w:vAlign w:val="center"/>
          </w:tcPr>
          <w:p w14:paraId="12D67E82" w14:textId="77777777" w:rsidR="00E26680" w:rsidRPr="005A7226" w:rsidRDefault="00E26680" w:rsidP="009C7CA5">
            <w:pPr>
              <w:pStyle w:val="In-tableHeading"/>
              <w:keepLines/>
              <w:jc w:val="center"/>
              <w:rPr>
                <w:lang w:val="en-AU"/>
              </w:rPr>
            </w:pPr>
            <w:r w:rsidRPr="005A7226">
              <w:rPr>
                <w:lang w:val="en-AU"/>
              </w:rPr>
              <w:t>Design/ duration</w:t>
            </w:r>
          </w:p>
        </w:tc>
        <w:tc>
          <w:tcPr>
            <w:tcW w:w="235" w:type="pct"/>
            <w:shd w:val="clear" w:color="auto" w:fill="auto"/>
            <w:vAlign w:val="center"/>
          </w:tcPr>
          <w:p w14:paraId="49BFFE5E" w14:textId="77777777" w:rsidR="00E26680" w:rsidRPr="005A7226" w:rsidRDefault="00E26680" w:rsidP="009C7CA5">
            <w:pPr>
              <w:pStyle w:val="In-tableHeading"/>
              <w:keepLines/>
              <w:jc w:val="center"/>
              <w:rPr>
                <w:lang w:val="en-AU"/>
              </w:rPr>
            </w:pPr>
            <w:r w:rsidRPr="005A7226">
              <w:rPr>
                <w:lang w:val="en-AU"/>
              </w:rPr>
              <w:t>Bias</w:t>
            </w:r>
          </w:p>
        </w:tc>
        <w:tc>
          <w:tcPr>
            <w:tcW w:w="877" w:type="pct"/>
            <w:shd w:val="clear" w:color="auto" w:fill="auto"/>
            <w:vAlign w:val="center"/>
          </w:tcPr>
          <w:p w14:paraId="658E3E61" w14:textId="77777777" w:rsidR="00E26680" w:rsidRPr="005A7226" w:rsidRDefault="00E26680" w:rsidP="009C7CA5">
            <w:pPr>
              <w:pStyle w:val="In-tableHeading"/>
              <w:keepLines/>
              <w:jc w:val="center"/>
              <w:rPr>
                <w:lang w:val="en-AU"/>
              </w:rPr>
            </w:pPr>
            <w:r w:rsidRPr="005A7226">
              <w:rPr>
                <w:lang w:val="en-AU"/>
              </w:rPr>
              <w:t>Treatment</w:t>
            </w:r>
          </w:p>
        </w:tc>
        <w:tc>
          <w:tcPr>
            <w:tcW w:w="1020" w:type="pct"/>
            <w:vAlign w:val="center"/>
          </w:tcPr>
          <w:p w14:paraId="1CFBEE1A" w14:textId="77777777" w:rsidR="00E26680" w:rsidRPr="005A7226" w:rsidRDefault="00E26680" w:rsidP="009C7CA5">
            <w:pPr>
              <w:pStyle w:val="In-tableHeading"/>
              <w:keepLines/>
              <w:jc w:val="center"/>
              <w:rPr>
                <w:lang w:val="en-AU"/>
              </w:rPr>
            </w:pPr>
            <w:r w:rsidRPr="005A7226">
              <w:rPr>
                <w:lang w:val="en-AU"/>
              </w:rPr>
              <w:t>Population</w:t>
            </w:r>
          </w:p>
        </w:tc>
        <w:tc>
          <w:tcPr>
            <w:tcW w:w="861" w:type="pct"/>
            <w:shd w:val="clear" w:color="auto" w:fill="auto"/>
            <w:vAlign w:val="center"/>
          </w:tcPr>
          <w:p w14:paraId="07EA0D47" w14:textId="77777777" w:rsidR="00E26680" w:rsidRPr="005A7226" w:rsidRDefault="00E26680" w:rsidP="009C7CA5">
            <w:pPr>
              <w:pStyle w:val="In-tableHeading"/>
              <w:keepLines/>
              <w:jc w:val="center"/>
              <w:rPr>
                <w:lang w:val="en-AU"/>
              </w:rPr>
            </w:pPr>
            <w:r w:rsidRPr="005A7226">
              <w:rPr>
                <w:lang w:val="en-AU"/>
              </w:rPr>
              <w:t>Outcome(s)</w:t>
            </w:r>
          </w:p>
        </w:tc>
        <w:tc>
          <w:tcPr>
            <w:tcW w:w="201" w:type="pct"/>
            <w:shd w:val="clear" w:color="auto" w:fill="auto"/>
            <w:vAlign w:val="center"/>
          </w:tcPr>
          <w:p w14:paraId="390C0841" w14:textId="77777777" w:rsidR="00E26680" w:rsidRPr="005A7226" w:rsidRDefault="00E26680" w:rsidP="009C7CA5">
            <w:pPr>
              <w:pStyle w:val="In-tableHeading"/>
              <w:keepLines/>
              <w:jc w:val="center"/>
              <w:rPr>
                <w:lang w:val="en-AU"/>
              </w:rPr>
            </w:pPr>
            <w:r w:rsidRPr="005A7226">
              <w:rPr>
                <w:lang w:val="en-AU"/>
              </w:rPr>
              <w:t>S3</w:t>
            </w:r>
          </w:p>
        </w:tc>
      </w:tr>
      <w:tr w:rsidR="00E26680" w:rsidRPr="005A7226" w14:paraId="2418EF41" w14:textId="77777777" w:rsidTr="00325998">
        <w:trPr>
          <w:cantSplit/>
        </w:trPr>
        <w:tc>
          <w:tcPr>
            <w:tcW w:w="5000" w:type="pct"/>
            <w:gridSpan w:val="8"/>
            <w:vAlign w:val="center"/>
          </w:tcPr>
          <w:p w14:paraId="6D5D01BF" w14:textId="77777777" w:rsidR="00E26680" w:rsidRPr="005A7226" w:rsidRDefault="00E26680" w:rsidP="009C7CA5">
            <w:pPr>
              <w:pStyle w:val="In-tableHeading"/>
              <w:keepLines/>
              <w:rPr>
                <w:lang w:val="en-AU"/>
              </w:rPr>
            </w:pPr>
            <w:r w:rsidRPr="005A7226">
              <w:rPr>
                <w:lang w:val="en-AU"/>
              </w:rPr>
              <w:t>Fezolinetant vs PBO</w:t>
            </w:r>
          </w:p>
        </w:tc>
      </w:tr>
      <w:tr w:rsidR="00E26680" w:rsidRPr="005A7226" w14:paraId="2A5030C8" w14:textId="77777777" w:rsidTr="00325998">
        <w:trPr>
          <w:cantSplit/>
        </w:trPr>
        <w:tc>
          <w:tcPr>
            <w:tcW w:w="620" w:type="pct"/>
            <w:shd w:val="clear" w:color="auto" w:fill="auto"/>
            <w:vAlign w:val="center"/>
          </w:tcPr>
          <w:p w14:paraId="6B9F559F" w14:textId="77777777" w:rsidR="00E26680" w:rsidRPr="005A7226" w:rsidRDefault="00E26680" w:rsidP="009C7CA5">
            <w:pPr>
              <w:pStyle w:val="TableText0"/>
              <w:keepLines/>
            </w:pPr>
            <w:r w:rsidRPr="005A7226">
              <w:t>DAYLIGHT</w:t>
            </w:r>
          </w:p>
        </w:tc>
        <w:tc>
          <w:tcPr>
            <w:tcW w:w="242" w:type="pct"/>
            <w:shd w:val="clear" w:color="auto" w:fill="auto"/>
            <w:vAlign w:val="center"/>
          </w:tcPr>
          <w:p w14:paraId="5AA499C4" w14:textId="77777777" w:rsidR="00E26680" w:rsidRPr="005A7226" w:rsidRDefault="00E26680" w:rsidP="009C7CA5">
            <w:pPr>
              <w:pStyle w:val="TableText0"/>
              <w:keepLines/>
              <w:jc w:val="center"/>
            </w:pPr>
            <w:r w:rsidRPr="005A7226">
              <w:t>452</w:t>
            </w:r>
          </w:p>
        </w:tc>
        <w:tc>
          <w:tcPr>
            <w:tcW w:w="944" w:type="pct"/>
            <w:shd w:val="clear" w:color="auto" w:fill="auto"/>
            <w:vAlign w:val="center"/>
          </w:tcPr>
          <w:p w14:paraId="77ABC858" w14:textId="77777777" w:rsidR="00E26680" w:rsidRPr="005A7226" w:rsidRDefault="00E26680" w:rsidP="009C7CA5">
            <w:pPr>
              <w:pStyle w:val="TableText0"/>
              <w:keepLines/>
              <w:jc w:val="center"/>
            </w:pPr>
            <w:r w:rsidRPr="005A7226">
              <w:t>P3, MC, R, DB, PC,</w:t>
            </w:r>
          </w:p>
          <w:p w14:paraId="1431D780" w14:textId="77777777" w:rsidR="00E26680" w:rsidRPr="005A7226" w:rsidRDefault="00E26680" w:rsidP="009C7CA5">
            <w:pPr>
              <w:pStyle w:val="TableText0"/>
              <w:keepLines/>
              <w:jc w:val="center"/>
            </w:pPr>
            <w:r w:rsidRPr="005A7226">
              <w:t xml:space="preserve">24 </w:t>
            </w:r>
            <w:proofErr w:type="spellStart"/>
            <w:r w:rsidRPr="005A7226">
              <w:t>wks</w:t>
            </w:r>
            <w:proofErr w:type="spellEnd"/>
          </w:p>
        </w:tc>
        <w:tc>
          <w:tcPr>
            <w:tcW w:w="235" w:type="pct"/>
            <w:shd w:val="clear" w:color="auto" w:fill="auto"/>
            <w:vAlign w:val="center"/>
          </w:tcPr>
          <w:p w14:paraId="572502F8" w14:textId="77777777" w:rsidR="00E26680" w:rsidRPr="00DE2BC4" w:rsidRDefault="00E26680" w:rsidP="009C7CA5">
            <w:pPr>
              <w:pStyle w:val="TableText0"/>
              <w:keepLines/>
              <w:jc w:val="center"/>
              <w:rPr>
                <w:iCs/>
              </w:rPr>
            </w:pPr>
            <w:r w:rsidRPr="00DE2BC4">
              <w:rPr>
                <w:iCs/>
              </w:rPr>
              <w:t>Low</w:t>
            </w:r>
          </w:p>
        </w:tc>
        <w:tc>
          <w:tcPr>
            <w:tcW w:w="877" w:type="pct"/>
            <w:shd w:val="clear" w:color="auto" w:fill="auto"/>
            <w:vAlign w:val="center"/>
          </w:tcPr>
          <w:p w14:paraId="41EFCA25" w14:textId="6973075D" w:rsidR="00E26680" w:rsidRPr="005A7226" w:rsidRDefault="00E26680" w:rsidP="009C7CA5">
            <w:pPr>
              <w:pStyle w:val="TableText0"/>
              <w:keepLines/>
              <w:jc w:val="center"/>
            </w:pPr>
            <w:r w:rsidRPr="005A7226">
              <w:t xml:space="preserve">Fezolinetant 45 </w:t>
            </w:r>
            <w:proofErr w:type="spellStart"/>
            <w:r w:rsidRPr="005A7226">
              <w:t>mg</w:t>
            </w:r>
            <w:r w:rsidR="00465F22" w:rsidRPr="005A7226">
              <w:rPr>
                <w:vertAlign w:val="superscript"/>
              </w:rPr>
              <w:t>c</w:t>
            </w:r>
            <w:proofErr w:type="spellEnd"/>
          </w:p>
          <w:p w14:paraId="272AD66B" w14:textId="77777777" w:rsidR="00E26680" w:rsidRPr="005A7226" w:rsidRDefault="00E26680" w:rsidP="009C7CA5">
            <w:pPr>
              <w:pStyle w:val="TableText0"/>
              <w:keepLines/>
              <w:jc w:val="center"/>
            </w:pPr>
            <w:r w:rsidRPr="005A7226">
              <w:t>PBO</w:t>
            </w:r>
          </w:p>
        </w:tc>
        <w:tc>
          <w:tcPr>
            <w:tcW w:w="1020" w:type="pct"/>
            <w:vAlign w:val="center"/>
          </w:tcPr>
          <w:p w14:paraId="31708CB5" w14:textId="77777777" w:rsidR="00E26680" w:rsidRPr="005A7226" w:rsidRDefault="00E26680" w:rsidP="009C7CA5">
            <w:pPr>
              <w:pStyle w:val="TableText0"/>
              <w:keepLines/>
              <w:jc w:val="center"/>
            </w:pPr>
            <w:r w:rsidRPr="005A7226">
              <w:t>Aged 40-65,</w:t>
            </w:r>
          </w:p>
          <w:p w14:paraId="45D2BA52" w14:textId="77777777" w:rsidR="00E26680" w:rsidRPr="005A7226" w:rsidRDefault="00E26680" w:rsidP="009C7CA5">
            <w:pPr>
              <w:pStyle w:val="TableText0"/>
              <w:keepLines/>
              <w:jc w:val="center"/>
            </w:pPr>
            <w:r w:rsidRPr="005A7226">
              <w:t>Moderate-severe VMS,</w:t>
            </w:r>
          </w:p>
          <w:p w14:paraId="4042A8F7" w14:textId="77777777" w:rsidR="00E26680" w:rsidRPr="005A7226" w:rsidRDefault="00E26680" w:rsidP="009C7CA5">
            <w:pPr>
              <w:pStyle w:val="TableText0"/>
              <w:keepLines/>
              <w:jc w:val="center"/>
            </w:pPr>
            <w:r w:rsidRPr="005A7226">
              <w:t xml:space="preserve">MHT </w:t>
            </w:r>
            <w:proofErr w:type="spellStart"/>
            <w:r w:rsidRPr="005A7226">
              <w:t>unsuitable</w:t>
            </w:r>
            <w:r w:rsidRPr="005A7226">
              <w:rPr>
                <w:vertAlign w:val="superscript"/>
              </w:rPr>
              <w:t>a</w:t>
            </w:r>
            <w:proofErr w:type="spellEnd"/>
          </w:p>
        </w:tc>
        <w:tc>
          <w:tcPr>
            <w:tcW w:w="861" w:type="pct"/>
            <w:shd w:val="clear" w:color="auto" w:fill="auto"/>
            <w:vAlign w:val="center"/>
          </w:tcPr>
          <w:p w14:paraId="5858E904" w14:textId="77777777" w:rsidR="00E26680" w:rsidRPr="005A7226" w:rsidRDefault="00E26680" w:rsidP="009C7CA5">
            <w:pPr>
              <w:pStyle w:val="TableText0"/>
              <w:keepLines/>
              <w:jc w:val="center"/>
            </w:pPr>
            <w:r w:rsidRPr="005A7226">
              <w:t>1°: VMS frequency</w:t>
            </w:r>
          </w:p>
          <w:p w14:paraId="65F01DC3" w14:textId="77777777" w:rsidR="00E26680" w:rsidRPr="005A7226" w:rsidRDefault="00E26680" w:rsidP="009C7CA5">
            <w:pPr>
              <w:pStyle w:val="TableText0"/>
              <w:keepLines/>
              <w:jc w:val="center"/>
            </w:pPr>
            <w:r w:rsidRPr="005A7226">
              <w:t>2°: VMS severity, sleep disturbance</w:t>
            </w:r>
          </w:p>
        </w:tc>
        <w:tc>
          <w:tcPr>
            <w:tcW w:w="201" w:type="pct"/>
            <w:shd w:val="clear" w:color="auto" w:fill="auto"/>
            <w:vAlign w:val="center"/>
          </w:tcPr>
          <w:p w14:paraId="47B29D7A" w14:textId="77777777" w:rsidR="00E26680" w:rsidRPr="005A7226" w:rsidRDefault="00E26680" w:rsidP="009C7CA5">
            <w:pPr>
              <w:pStyle w:val="TableText0"/>
              <w:keepLines/>
              <w:jc w:val="center"/>
            </w:pPr>
            <w:r w:rsidRPr="005A7226">
              <w:rPr>
                <w:rFonts w:ascii="Wingdings" w:eastAsia="Wingdings" w:hAnsi="Wingdings" w:cs="Wingdings"/>
              </w:rPr>
              <w:t></w:t>
            </w:r>
          </w:p>
        </w:tc>
      </w:tr>
      <w:tr w:rsidR="00E26680" w:rsidRPr="005A7226" w14:paraId="69620BC6" w14:textId="77777777" w:rsidTr="00325998">
        <w:trPr>
          <w:cantSplit/>
        </w:trPr>
        <w:tc>
          <w:tcPr>
            <w:tcW w:w="620" w:type="pct"/>
            <w:shd w:val="clear" w:color="auto" w:fill="auto"/>
            <w:vAlign w:val="center"/>
          </w:tcPr>
          <w:p w14:paraId="616C2BDD" w14:textId="77777777" w:rsidR="00E26680" w:rsidRPr="005A7226" w:rsidRDefault="00E26680" w:rsidP="009C7CA5">
            <w:pPr>
              <w:pStyle w:val="TableText0"/>
              <w:keepLines/>
            </w:pPr>
            <w:r w:rsidRPr="005A7226">
              <w:t>SKYLIGHT 1</w:t>
            </w:r>
          </w:p>
        </w:tc>
        <w:tc>
          <w:tcPr>
            <w:tcW w:w="242" w:type="pct"/>
            <w:shd w:val="clear" w:color="auto" w:fill="auto"/>
            <w:vAlign w:val="center"/>
          </w:tcPr>
          <w:p w14:paraId="0DDBBADE" w14:textId="77777777" w:rsidR="00E26680" w:rsidRPr="005A7226" w:rsidRDefault="00E26680" w:rsidP="009C7CA5">
            <w:pPr>
              <w:pStyle w:val="TableText0"/>
              <w:keepLines/>
              <w:jc w:val="center"/>
            </w:pPr>
            <w:r w:rsidRPr="005A7226">
              <w:t>522</w:t>
            </w:r>
          </w:p>
        </w:tc>
        <w:tc>
          <w:tcPr>
            <w:tcW w:w="944" w:type="pct"/>
            <w:shd w:val="clear" w:color="auto" w:fill="auto"/>
            <w:vAlign w:val="center"/>
          </w:tcPr>
          <w:p w14:paraId="419C9A9C" w14:textId="77777777" w:rsidR="00E26680" w:rsidRPr="005A7226" w:rsidRDefault="00E26680" w:rsidP="009C7CA5">
            <w:pPr>
              <w:pStyle w:val="TableText0"/>
              <w:keepLines/>
              <w:jc w:val="center"/>
            </w:pPr>
            <w:r w:rsidRPr="005A7226">
              <w:t>P3, MC, R, DB, PC,</w:t>
            </w:r>
          </w:p>
          <w:p w14:paraId="2FE422D9" w14:textId="77777777" w:rsidR="00E26680" w:rsidRPr="005A7226" w:rsidRDefault="00E26680" w:rsidP="009C7CA5">
            <w:pPr>
              <w:pStyle w:val="TableText0"/>
              <w:keepLines/>
              <w:jc w:val="center"/>
            </w:pPr>
            <w:r w:rsidRPr="005A7226">
              <w:t xml:space="preserve">12 </w:t>
            </w:r>
            <w:proofErr w:type="spellStart"/>
            <w:r w:rsidRPr="005A7226">
              <w:t>wks</w:t>
            </w:r>
            <w:proofErr w:type="spellEnd"/>
            <w:r w:rsidRPr="005A7226">
              <w:t xml:space="preserve"> / 40 </w:t>
            </w:r>
            <w:proofErr w:type="spellStart"/>
            <w:r w:rsidRPr="005A7226">
              <w:t>wks</w:t>
            </w:r>
            <w:proofErr w:type="spellEnd"/>
            <w:r w:rsidRPr="005A7226">
              <w:t xml:space="preserve"> active </w:t>
            </w:r>
            <w:proofErr w:type="spellStart"/>
            <w:r w:rsidRPr="005A7226">
              <w:t>extension</w:t>
            </w:r>
            <w:r w:rsidRPr="005A7226">
              <w:rPr>
                <w:vertAlign w:val="superscript"/>
              </w:rPr>
              <w:t>b</w:t>
            </w:r>
            <w:proofErr w:type="spellEnd"/>
          </w:p>
        </w:tc>
        <w:tc>
          <w:tcPr>
            <w:tcW w:w="235" w:type="pct"/>
            <w:shd w:val="clear" w:color="auto" w:fill="auto"/>
            <w:vAlign w:val="center"/>
          </w:tcPr>
          <w:p w14:paraId="5E199FF1" w14:textId="77777777" w:rsidR="00E26680" w:rsidRPr="00DE2BC4" w:rsidRDefault="00E26680" w:rsidP="009C7CA5">
            <w:pPr>
              <w:pStyle w:val="TableText0"/>
              <w:keepLines/>
              <w:jc w:val="center"/>
              <w:rPr>
                <w:iCs/>
              </w:rPr>
            </w:pPr>
            <w:r w:rsidRPr="00DE2BC4">
              <w:rPr>
                <w:iCs/>
              </w:rPr>
              <w:t>Low</w:t>
            </w:r>
          </w:p>
        </w:tc>
        <w:tc>
          <w:tcPr>
            <w:tcW w:w="877" w:type="pct"/>
            <w:shd w:val="clear" w:color="auto" w:fill="auto"/>
            <w:vAlign w:val="center"/>
          </w:tcPr>
          <w:p w14:paraId="1819DAD6" w14:textId="77777777" w:rsidR="00E26680" w:rsidRPr="005A7226" w:rsidRDefault="00E26680" w:rsidP="009C7CA5">
            <w:pPr>
              <w:pStyle w:val="TableText0"/>
              <w:keepLines/>
              <w:jc w:val="center"/>
            </w:pPr>
            <w:r w:rsidRPr="005A7226">
              <w:t>Fezolinetant 30 mg</w:t>
            </w:r>
          </w:p>
          <w:p w14:paraId="32ED0801" w14:textId="7CEE7D4F" w:rsidR="00E26680" w:rsidRPr="005A7226" w:rsidRDefault="00E26680" w:rsidP="009C7CA5">
            <w:pPr>
              <w:pStyle w:val="TableText0"/>
              <w:keepLines/>
              <w:jc w:val="center"/>
            </w:pPr>
            <w:r w:rsidRPr="005A7226">
              <w:t xml:space="preserve">Fezolinetant 45 </w:t>
            </w:r>
            <w:proofErr w:type="spellStart"/>
            <w:r w:rsidRPr="005A7226">
              <w:t>mg</w:t>
            </w:r>
            <w:r w:rsidR="00465F22" w:rsidRPr="005A7226">
              <w:rPr>
                <w:vertAlign w:val="superscript"/>
              </w:rPr>
              <w:t>c</w:t>
            </w:r>
            <w:proofErr w:type="spellEnd"/>
          </w:p>
          <w:p w14:paraId="4A58D40C" w14:textId="77777777" w:rsidR="00E26680" w:rsidRPr="005A7226" w:rsidRDefault="00E26680" w:rsidP="009C7CA5">
            <w:pPr>
              <w:pStyle w:val="TableText0"/>
              <w:keepLines/>
              <w:jc w:val="center"/>
            </w:pPr>
            <w:r w:rsidRPr="005A7226">
              <w:t>PBO</w:t>
            </w:r>
          </w:p>
        </w:tc>
        <w:tc>
          <w:tcPr>
            <w:tcW w:w="1020" w:type="pct"/>
            <w:vAlign w:val="center"/>
          </w:tcPr>
          <w:p w14:paraId="4CCBA75A" w14:textId="77777777" w:rsidR="00E26680" w:rsidRPr="005A7226" w:rsidRDefault="00E26680" w:rsidP="009C7CA5">
            <w:pPr>
              <w:pStyle w:val="TableText0"/>
              <w:keepLines/>
              <w:jc w:val="center"/>
            </w:pPr>
            <w:r w:rsidRPr="005A7226">
              <w:t>Aged 40-65,</w:t>
            </w:r>
          </w:p>
          <w:p w14:paraId="3BDFFD1D" w14:textId="77777777" w:rsidR="00E26680" w:rsidRPr="005A7226" w:rsidRDefault="00E26680" w:rsidP="009C7CA5">
            <w:pPr>
              <w:pStyle w:val="TableText0"/>
              <w:keepLines/>
              <w:jc w:val="center"/>
            </w:pPr>
            <w:r w:rsidRPr="005A7226">
              <w:t>Moderate-severe VMS</w:t>
            </w:r>
          </w:p>
        </w:tc>
        <w:tc>
          <w:tcPr>
            <w:tcW w:w="861" w:type="pct"/>
            <w:shd w:val="clear" w:color="auto" w:fill="auto"/>
            <w:vAlign w:val="center"/>
          </w:tcPr>
          <w:p w14:paraId="1AFE1E13" w14:textId="77777777" w:rsidR="00E26680" w:rsidRPr="005A7226" w:rsidRDefault="00E26680" w:rsidP="009C7CA5">
            <w:pPr>
              <w:pStyle w:val="TableText0"/>
              <w:keepLines/>
              <w:jc w:val="center"/>
            </w:pPr>
            <w:r w:rsidRPr="005A7226">
              <w:t>1°: VMS frequency, VMS severity</w:t>
            </w:r>
          </w:p>
          <w:p w14:paraId="21D47EE5" w14:textId="77777777" w:rsidR="00E26680" w:rsidRPr="005A7226" w:rsidRDefault="00E26680" w:rsidP="009C7CA5">
            <w:pPr>
              <w:pStyle w:val="TableText0"/>
              <w:keepLines/>
              <w:jc w:val="center"/>
            </w:pPr>
            <w:r w:rsidRPr="005A7226">
              <w:t>2°: sleep disturbance</w:t>
            </w:r>
          </w:p>
        </w:tc>
        <w:tc>
          <w:tcPr>
            <w:tcW w:w="201" w:type="pct"/>
            <w:shd w:val="clear" w:color="auto" w:fill="auto"/>
            <w:vAlign w:val="center"/>
          </w:tcPr>
          <w:p w14:paraId="7014CF4F" w14:textId="77777777" w:rsidR="00E26680" w:rsidRPr="005A7226" w:rsidRDefault="00E26680" w:rsidP="009C7CA5">
            <w:pPr>
              <w:pStyle w:val="TableText0"/>
              <w:keepLines/>
              <w:jc w:val="center"/>
            </w:pPr>
            <w:r w:rsidRPr="005A7226">
              <w:t>-</w:t>
            </w:r>
          </w:p>
        </w:tc>
      </w:tr>
      <w:tr w:rsidR="00E26680" w:rsidRPr="005A7226" w14:paraId="4AE7745E" w14:textId="77777777" w:rsidTr="00325998">
        <w:trPr>
          <w:cantSplit/>
        </w:trPr>
        <w:tc>
          <w:tcPr>
            <w:tcW w:w="620" w:type="pct"/>
            <w:shd w:val="clear" w:color="auto" w:fill="auto"/>
            <w:vAlign w:val="center"/>
          </w:tcPr>
          <w:p w14:paraId="716A915B" w14:textId="77777777" w:rsidR="00E26680" w:rsidRPr="005A7226" w:rsidRDefault="00E26680" w:rsidP="009C7CA5">
            <w:pPr>
              <w:pStyle w:val="TableText0"/>
              <w:keepLines/>
            </w:pPr>
            <w:r w:rsidRPr="005A7226">
              <w:t>SKYLIGHT 2</w:t>
            </w:r>
          </w:p>
        </w:tc>
        <w:tc>
          <w:tcPr>
            <w:tcW w:w="242" w:type="pct"/>
            <w:shd w:val="clear" w:color="auto" w:fill="auto"/>
            <w:vAlign w:val="center"/>
          </w:tcPr>
          <w:p w14:paraId="20573584" w14:textId="77777777" w:rsidR="00E26680" w:rsidRPr="005A7226" w:rsidRDefault="00E26680" w:rsidP="009C7CA5">
            <w:pPr>
              <w:pStyle w:val="TableText0"/>
              <w:keepLines/>
              <w:jc w:val="center"/>
            </w:pPr>
            <w:r w:rsidRPr="005A7226">
              <w:t>500</w:t>
            </w:r>
          </w:p>
        </w:tc>
        <w:tc>
          <w:tcPr>
            <w:tcW w:w="944" w:type="pct"/>
            <w:shd w:val="clear" w:color="auto" w:fill="auto"/>
            <w:vAlign w:val="center"/>
          </w:tcPr>
          <w:p w14:paraId="4CACBA55" w14:textId="77777777" w:rsidR="00E26680" w:rsidRPr="005A7226" w:rsidRDefault="00E26680" w:rsidP="009C7CA5">
            <w:pPr>
              <w:pStyle w:val="TableText0"/>
              <w:keepLines/>
              <w:jc w:val="center"/>
            </w:pPr>
            <w:r w:rsidRPr="005A7226">
              <w:t>P3, MC, R, DB, PC,</w:t>
            </w:r>
          </w:p>
          <w:p w14:paraId="19751D42" w14:textId="77777777" w:rsidR="00E26680" w:rsidRPr="005A7226" w:rsidRDefault="00E26680" w:rsidP="009C7CA5">
            <w:pPr>
              <w:pStyle w:val="TableText0"/>
              <w:keepLines/>
              <w:jc w:val="center"/>
            </w:pPr>
            <w:r w:rsidRPr="005A7226">
              <w:t xml:space="preserve">12 </w:t>
            </w:r>
            <w:proofErr w:type="spellStart"/>
            <w:r w:rsidRPr="005A7226">
              <w:t>wks</w:t>
            </w:r>
            <w:proofErr w:type="spellEnd"/>
            <w:r w:rsidRPr="005A7226">
              <w:t xml:space="preserve"> / 40 </w:t>
            </w:r>
            <w:proofErr w:type="spellStart"/>
            <w:r w:rsidRPr="005A7226">
              <w:t>wks</w:t>
            </w:r>
            <w:proofErr w:type="spellEnd"/>
            <w:r w:rsidRPr="005A7226">
              <w:t xml:space="preserve"> active </w:t>
            </w:r>
            <w:proofErr w:type="spellStart"/>
            <w:r w:rsidRPr="005A7226">
              <w:t>extension</w:t>
            </w:r>
            <w:r w:rsidRPr="005A7226">
              <w:rPr>
                <w:vertAlign w:val="superscript"/>
              </w:rPr>
              <w:t>b</w:t>
            </w:r>
            <w:proofErr w:type="spellEnd"/>
          </w:p>
        </w:tc>
        <w:tc>
          <w:tcPr>
            <w:tcW w:w="235" w:type="pct"/>
            <w:shd w:val="clear" w:color="auto" w:fill="auto"/>
            <w:vAlign w:val="center"/>
          </w:tcPr>
          <w:p w14:paraId="3CF0204E" w14:textId="77777777" w:rsidR="00E26680" w:rsidRPr="00DE2BC4" w:rsidRDefault="00E26680" w:rsidP="009C7CA5">
            <w:pPr>
              <w:pStyle w:val="TableText0"/>
              <w:keepLines/>
              <w:jc w:val="center"/>
              <w:rPr>
                <w:iCs/>
              </w:rPr>
            </w:pPr>
            <w:r w:rsidRPr="00DE2BC4">
              <w:rPr>
                <w:iCs/>
              </w:rPr>
              <w:t>Low</w:t>
            </w:r>
          </w:p>
        </w:tc>
        <w:tc>
          <w:tcPr>
            <w:tcW w:w="877" w:type="pct"/>
            <w:shd w:val="clear" w:color="auto" w:fill="auto"/>
            <w:vAlign w:val="center"/>
          </w:tcPr>
          <w:p w14:paraId="63141412" w14:textId="77777777" w:rsidR="00E26680" w:rsidRPr="005A7226" w:rsidRDefault="00E26680" w:rsidP="009C7CA5">
            <w:pPr>
              <w:pStyle w:val="TableText0"/>
              <w:keepLines/>
              <w:jc w:val="center"/>
            </w:pPr>
            <w:r w:rsidRPr="005A7226">
              <w:t>Fezolinetant 30 mg</w:t>
            </w:r>
          </w:p>
          <w:p w14:paraId="1452D82C" w14:textId="644A2992" w:rsidR="00E26680" w:rsidRPr="005A7226" w:rsidRDefault="00E26680" w:rsidP="009C7CA5">
            <w:pPr>
              <w:pStyle w:val="TableText0"/>
              <w:keepLines/>
              <w:jc w:val="center"/>
            </w:pPr>
            <w:r w:rsidRPr="005A7226">
              <w:t xml:space="preserve">Fezolinetant 45 </w:t>
            </w:r>
            <w:proofErr w:type="spellStart"/>
            <w:r w:rsidRPr="005A7226">
              <w:t>mg</w:t>
            </w:r>
            <w:r w:rsidR="00465F22" w:rsidRPr="005A7226">
              <w:rPr>
                <w:vertAlign w:val="superscript"/>
              </w:rPr>
              <w:t>c</w:t>
            </w:r>
            <w:proofErr w:type="spellEnd"/>
          </w:p>
          <w:p w14:paraId="493BDD76" w14:textId="77777777" w:rsidR="00E26680" w:rsidRPr="005A7226" w:rsidRDefault="00E26680" w:rsidP="009C7CA5">
            <w:pPr>
              <w:pStyle w:val="TableText0"/>
              <w:keepLines/>
              <w:jc w:val="center"/>
            </w:pPr>
            <w:r w:rsidRPr="005A7226">
              <w:t>PBO</w:t>
            </w:r>
          </w:p>
        </w:tc>
        <w:tc>
          <w:tcPr>
            <w:tcW w:w="1020" w:type="pct"/>
            <w:vAlign w:val="center"/>
          </w:tcPr>
          <w:p w14:paraId="18ABCAAA" w14:textId="77777777" w:rsidR="00E26680" w:rsidRPr="005A7226" w:rsidRDefault="00E26680" w:rsidP="009C7CA5">
            <w:pPr>
              <w:pStyle w:val="TableText0"/>
              <w:keepLines/>
              <w:jc w:val="center"/>
            </w:pPr>
            <w:r w:rsidRPr="005A7226">
              <w:t>Aged 40-65,</w:t>
            </w:r>
          </w:p>
          <w:p w14:paraId="118AAA96" w14:textId="77777777" w:rsidR="00E26680" w:rsidRPr="005A7226" w:rsidRDefault="00E26680" w:rsidP="009C7CA5">
            <w:pPr>
              <w:pStyle w:val="TableText0"/>
              <w:keepLines/>
              <w:jc w:val="center"/>
            </w:pPr>
            <w:r w:rsidRPr="005A7226">
              <w:t>Moderate-severe VMS</w:t>
            </w:r>
          </w:p>
        </w:tc>
        <w:tc>
          <w:tcPr>
            <w:tcW w:w="861" w:type="pct"/>
            <w:shd w:val="clear" w:color="auto" w:fill="auto"/>
            <w:vAlign w:val="center"/>
          </w:tcPr>
          <w:p w14:paraId="0FBEF345" w14:textId="77777777" w:rsidR="00E26680" w:rsidRPr="005A7226" w:rsidRDefault="00E26680" w:rsidP="009C7CA5">
            <w:pPr>
              <w:pStyle w:val="TableText0"/>
              <w:keepLines/>
              <w:jc w:val="center"/>
            </w:pPr>
            <w:r w:rsidRPr="005A7226">
              <w:t>1°: VMS frequency, VMS severity</w:t>
            </w:r>
          </w:p>
          <w:p w14:paraId="2B874914" w14:textId="77777777" w:rsidR="00E26680" w:rsidRPr="005A7226" w:rsidRDefault="00E26680" w:rsidP="009C7CA5">
            <w:pPr>
              <w:pStyle w:val="TableText0"/>
              <w:keepLines/>
              <w:jc w:val="center"/>
            </w:pPr>
            <w:r w:rsidRPr="005A7226">
              <w:t>2°: sleep disturbance</w:t>
            </w:r>
          </w:p>
        </w:tc>
        <w:tc>
          <w:tcPr>
            <w:tcW w:w="201" w:type="pct"/>
            <w:shd w:val="clear" w:color="auto" w:fill="auto"/>
            <w:vAlign w:val="center"/>
          </w:tcPr>
          <w:p w14:paraId="000B41C9" w14:textId="77777777" w:rsidR="00E26680" w:rsidRPr="005A7226" w:rsidRDefault="00E26680" w:rsidP="009C7CA5">
            <w:pPr>
              <w:pStyle w:val="TableText0"/>
              <w:keepLines/>
              <w:jc w:val="center"/>
            </w:pPr>
            <w:r w:rsidRPr="005A7226">
              <w:t>-</w:t>
            </w:r>
          </w:p>
        </w:tc>
      </w:tr>
      <w:tr w:rsidR="00E26680" w:rsidRPr="005A7226" w14:paraId="0BE0F797" w14:textId="77777777" w:rsidTr="00325998">
        <w:trPr>
          <w:cantSplit/>
        </w:trPr>
        <w:tc>
          <w:tcPr>
            <w:tcW w:w="620" w:type="pct"/>
            <w:shd w:val="clear" w:color="auto" w:fill="auto"/>
            <w:vAlign w:val="center"/>
          </w:tcPr>
          <w:p w14:paraId="2C680468" w14:textId="77777777" w:rsidR="00E26680" w:rsidRPr="005A7226" w:rsidRDefault="00E26680" w:rsidP="009C7CA5">
            <w:pPr>
              <w:pStyle w:val="TableText0"/>
              <w:keepLines/>
            </w:pPr>
            <w:r w:rsidRPr="005A7226">
              <w:t>SKYLIGHT 4</w:t>
            </w:r>
          </w:p>
        </w:tc>
        <w:tc>
          <w:tcPr>
            <w:tcW w:w="242" w:type="pct"/>
            <w:shd w:val="clear" w:color="auto" w:fill="auto"/>
            <w:vAlign w:val="center"/>
          </w:tcPr>
          <w:p w14:paraId="2D7DCB1F" w14:textId="77777777" w:rsidR="00E26680" w:rsidRPr="005A7226" w:rsidRDefault="00E26680" w:rsidP="009C7CA5">
            <w:pPr>
              <w:pStyle w:val="TableText0"/>
              <w:keepLines/>
              <w:jc w:val="center"/>
            </w:pPr>
            <w:r w:rsidRPr="005A7226">
              <w:t>1830</w:t>
            </w:r>
          </w:p>
        </w:tc>
        <w:tc>
          <w:tcPr>
            <w:tcW w:w="944" w:type="pct"/>
            <w:shd w:val="clear" w:color="auto" w:fill="auto"/>
            <w:vAlign w:val="center"/>
          </w:tcPr>
          <w:p w14:paraId="4DE626B9" w14:textId="77777777" w:rsidR="00E26680" w:rsidRPr="005A7226" w:rsidRDefault="00E26680" w:rsidP="009C7CA5">
            <w:pPr>
              <w:pStyle w:val="TableText0"/>
              <w:keepLines/>
              <w:jc w:val="center"/>
            </w:pPr>
            <w:r w:rsidRPr="005A7226">
              <w:t>P3, MC, R, DB, PC,</w:t>
            </w:r>
          </w:p>
          <w:p w14:paraId="11686578" w14:textId="77777777" w:rsidR="00E26680" w:rsidRPr="005A7226" w:rsidRDefault="00E26680" w:rsidP="009C7CA5">
            <w:pPr>
              <w:pStyle w:val="TableText0"/>
              <w:keepLines/>
              <w:jc w:val="center"/>
            </w:pPr>
            <w:r w:rsidRPr="005A7226">
              <w:t xml:space="preserve">52 </w:t>
            </w:r>
            <w:proofErr w:type="spellStart"/>
            <w:r w:rsidRPr="005A7226">
              <w:t>wks</w:t>
            </w:r>
            <w:proofErr w:type="spellEnd"/>
          </w:p>
        </w:tc>
        <w:tc>
          <w:tcPr>
            <w:tcW w:w="235" w:type="pct"/>
            <w:shd w:val="clear" w:color="auto" w:fill="auto"/>
            <w:vAlign w:val="center"/>
          </w:tcPr>
          <w:p w14:paraId="6D097366" w14:textId="77777777" w:rsidR="00E26680" w:rsidRPr="00DE2BC4" w:rsidRDefault="00E26680" w:rsidP="009C7CA5">
            <w:pPr>
              <w:pStyle w:val="TableText0"/>
              <w:keepLines/>
              <w:jc w:val="center"/>
              <w:rPr>
                <w:iCs/>
              </w:rPr>
            </w:pPr>
            <w:r w:rsidRPr="00DE2BC4">
              <w:rPr>
                <w:iCs/>
              </w:rPr>
              <w:t>Low</w:t>
            </w:r>
          </w:p>
        </w:tc>
        <w:tc>
          <w:tcPr>
            <w:tcW w:w="877" w:type="pct"/>
            <w:shd w:val="clear" w:color="auto" w:fill="auto"/>
            <w:vAlign w:val="center"/>
          </w:tcPr>
          <w:p w14:paraId="1E9D02D9" w14:textId="77777777" w:rsidR="00E26680" w:rsidRPr="005A7226" w:rsidRDefault="00E26680" w:rsidP="009C7CA5">
            <w:pPr>
              <w:pStyle w:val="TableText0"/>
              <w:keepLines/>
              <w:jc w:val="center"/>
            </w:pPr>
            <w:r w:rsidRPr="005A7226">
              <w:t>Fezolinetant 30 mg</w:t>
            </w:r>
          </w:p>
          <w:p w14:paraId="0882FCCD" w14:textId="0C29B935" w:rsidR="00E26680" w:rsidRPr="005A7226" w:rsidRDefault="00E26680" w:rsidP="009C7CA5">
            <w:pPr>
              <w:pStyle w:val="TableText0"/>
              <w:keepLines/>
              <w:jc w:val="center"/>
            </w:pPr>
            <w:r w:rsidRPr="005A7226">
              <w:t xml:space="preserve">Fezolinetant 45 </w:t>
            </w:r>
            <w:proofErr w:type="spellStart"/>
            <w:r w:rsidRPr="005A7226">
              <w:t>mg</w:t>
            </w:r>
            <w:r w:rsidR="00465F22" w:rsidRPr="005A7226">
              <w:rPr>
                <w:vertAlign w:val="superscript"/>
              </w:rPr>
              <w:t>c</w:t>
            </w:r>
            <w:proofErr w:type="spellEnd"/>
          </w:p>
          <w:p w14:paraId="24290044" w14:textId="77777777" w:rsidR="00E26680" w:rsidRPr="005A7226" w:rsidRDefault="00E26680" w:rsidP="009C7CA5">
            <w:pPr>
              <w:pStyle w:val="TableText0"/>
              <w:keepLines/>
              <w:jc w:val="center"/>
            </w:pPr>
            <w:r w:rsidRPr="005A7226">
              <w:t>PBO</w:t>
            </w:r>
          </w:p>
        </w:tc>
        <w:tc>
          <w:tcPr>
            <w:tcW w:w="1020" w:type="pct"/>
            <w:vAlign w:val="center"/>
          </w:tcPr>
          <w:p w14:paraId="53FC0898" w14:textId="77777777" w:rsidR="00E26680" w:rsidRPr="005A7226" w:rsidRDefault="00E26680" w:rsidP="009C7CA5">
            <w:pPr>
              <w:pStyle w:val="TableText0"/>
              <w:keepLines/>
              <w:jc w:val="center"/>
            </w:pPr>
            <w:r w:rsidRPr="005A7226">
              <w:t>Aged 40-65,</w:t>
            </w:r>
          </w:p>
          <w:p w14:paraId="06E28B89" w14:textId="77777777" w:rsidR="00E26680" w:rsidRPr="005A7226" w:rsidRDefault="00E26680" w:rsidP="009C7CA5">
            <w:pPr>
              <w:pStyle w:val="TableText0"/>
              <w:keepLines/>
              <w:jc w:val="center"/>
            </w:pPr>
            <w:r w:rsidRPr="005A7226">
              <w:t>Menopausal VMS</w:t>
            </w:r>
          </w:p>
        </w:tc>
        <w:tc>
          <w:tcPr>
            <w:tcW w:w="861" w:type="pct"/>
            <w:shd w:val="clear" w:color="auto" w:fill="auto"/>
            <w:vAlign w:val="center"/>
          </w:tcPr>
          <w:p w14:paraId="3C0FB1DB" w14:textId="77777777" w:rsidR="00E26680" w:rsidRPr="005A7226" w:rsidRDefault="00E26680" w:rsidP="009C7CA5">
            <w:pPr>
              <w:pStyle w:val="TableText0"/>
              <w:keepLines/>
              <w:jc w:val="center"/>
            </w:pPr>
            <w:r w:rsidRPr="005A7226">
              <w:t>1°: safety</w:t>
            </w:r>
          </w:p>
        </w:tc>
        <w:tc>
          <w:tcPr>
            <w:tcW w:w="201" w:type="pct"/>
            <w:shd w:val="clear" w:color="auto" w:fill="auto"/>
            <w:vAlign w:val="center"/>
          </w:tcPr>
          <w:p w14:paraId="4126E30B" w14:textId="77777777" w:rsidR="00E26680" w:rsidRPr="005A7226" w:rsidRDefault="00E26680" w:rsidP="009C7CA5">
            <w:pPr>
              <w:pStyle w:val="TableText0"/>
              <w:keepLines/>
              <w:jc w:val="center"/>
            </w:pPr>
            <w:r w:rsidRPr="005A7226">
              <w:t>-</w:t>
            </w:r>
          </w:p>
        </w:tc>
      </w:tr>
    </w:tbl>
    <w:p w14:paraId="5087001F" w14:textId="77777777" w:rsidR="00E26680" w:rsidRPr="005A7226" w:rsidRDefault="00E26680" w:rsidP="009C7CA5">
      <w:pPr>
        <w:pStyle w:val="TableFigureFooter"/>
        <w:keepNext/>
        <w:keepLines/>
      </w:pPr>
      <w:r w:rsidRPr="005A7226">
        <w:t>Source: Table 2.4-1, p63 of the submission.</w:t>
      </w:r>
    </w:p>
    <w:p w14:paraId="661C7BCD" w14:textId="74D96492" w:rsidR="00E26680" w:rsidRPr="005A7226" w:rsidRDefault="00E26680" w:rsidP="009C7CA5">
      <w:pPr>
        <w:pStyle w:val="TableFigureFooter"/>
        <w:keepNext/>
        <w:keepLines/>
      </w:pPr>
      <w:r w:rsidRPr="005A7226">
        <w:t>DB=double blind; MC=multi-centre; MHT=menopausal hormone therapy; OL=open label; PBO=placebo; PC=placebo controlled; P3=Phase 3</w:t>
      </w:r>
      <w:r w:rsidR="001928F2" w:rsidRPr="005A7226">
        <w:t xml:space="preserve">; </w:t>
      </w:r>
      <w:r w:rsidRPr="005A7226">
        <w:t>R = randomised</w:t>
      </w:r>
      <w:r w:rsidR="003F3E4F" w:rsidRPr="005A7226">
        <w:t>; S</w:t>
      </w:r>
      <w:r w:rsidR="00281732" w:rsidRPr="005A7226">
        <w:t>3</w:t>
      </w:r>
      <w:r w:rsidR="003F3E4F" w:rsidRPr="005A7226">
        <w:t>=Section</w:t>
      </w:r>
      <w:r w:rsidR="00281732" w:rsidRPr="005A7226">
        <w:t xml:space="preserve"> 3 (Economic Evaluation)</w:t>
      </w:r>
      <w:r w:rsidR="00913D62" w:rsidRPr="005A7226">
        <w:t xml:space="preserve">; </w:t>
      </w:r>
      <w:proofErr w:type="spellStart"/>
      <w:r w:rsidR="00913D62" w:rsidRPr="005A7226">
        <w:t>wks</w:t>
      </w:r>
      <w:proofErr w:type="spellEnd"/>
      <w:r w:rsidR="00913D62" w:rsidRPr="005A7226">
        <w:t xml:space="preserve"> = weeks</w:t>
      </w:r>
      <w:r w:rsidRPr="005A7226">
        <w:t>.</w:t>
      </w:r>
    </w:p>
    <w:p w14:paraId="6E565719" w14:textId="77777777" w:rsidR="00E26680" w:rsidRPr="005A7226" w:rsidRDefault="00E26680" w:rsidP="009C7CA5">
      <w:pPr>
        <w:pStyle w:val="TableFigureFooter"/>
        <w:keepNext/>
        <w:keepLines/>
        <w:ind w:left="165" w:hanging="165"/>
        <w:rPr>
          <w:szCs w:val="18"/>
        </w:rPr>
      </w:pPr>
      <w:r w:rsidRPr="005A7226">
        <w:rPr>
          <w:szCs w:val="18"/>
        </w:rPr>
        <w:t>a</w:t>
      </w:r>
      <w:r w:rsidRPr="005A7226">
        <w:rPr>
          <w:szCs w:val="18"/>
        </w:rPr>
        <w:tab/>
        <w:t>Categories for MHT unsuitability defined based on contraindicated; caution (based on medical history); stoppers (previous discontinuation of hormone therapy owing to lack of efficacy, side effects, or medical advice); or averse (informed choice not to use hormone therapy after discussion with a clinician).</w:t>
      </w:r>
    </w:p>
    <w:p w14:paraId="01583E44" w14:textId="220AAF2C" w:rsidR="00E26680" w:rsidRPr="005A7226" w:rsidRDefault="00E26680" w:rsidP="009C7CA5">
      <w:pPr>
        <w:pStyle w:val="TableFigureFooter"/>
        <w:keepNext/>
        <w:keepLines/>
        <w:ind w:left="165" w:hanging="165"/>
        <w:rPr>
          <w:szCs w:val="18"/>
        </w:rPr>
      </w:pPr>
      <w:r w:rsidRPr="005A7226">
        <w:rPr>
          <w:szCs w:val="18"/>
        </w:rPr>
        <w:t>b</w:t>
      </w:r>
      <w:r w:rsidRPr="005A7226">
        <w:rPr>
          <w:szCs w:val="18"/>
        </w:rPr>
        <w:tab/>
        <w:t>After completing 12 weeks of treatment, patients in placebo were re-randomised to fezolinetant 30 mg or 45 mg in the active treatment extension period (without placebo control) through end of study. Patients already on an active treatment continued their assigned dose for the remaining 40 weeks of treatment.</w:t>
      </w:r>
      <w:r w:rsidRPr="005A7226">
        <w:t xml:space="preserve"> </w:t>
      </w:r>
      <w:r w:rsidRPr="005A7226">
        <w:rPr>
          <w:szCs w:val="18"/>
        </w:rPr>
        <w:t>The extension period remained blinded to the site personnel and patients.</w:t>
      </w:r>
    </w:p>
    <w:p w14:paraId="0EEEDD6A" w14:textId="73B96123" w:rsidR="00281732" w:rsidRPr="005A7226" w:rsidRDefault="00281732" w:rsidP="009C7CA5">
      <w:pPr>
        <w:pStyle w:val="TableFigureFooter"/>
        <w:keepNext/>
        <w:keepLines/>
        <w:rPr>
          <w:szCs w:val="18"/>
        </w:rPr>
      </w:pPr>
      <w:r w:rsidRPr="005A7226">
        <w:t>c</w:t>
      </w:r>
      <w:r w:rsidRPr="005A7226">
        <w:rPr>
          <w:vertAlign w:val="superscript"/>
        </w:rPr>
        <w:tab/>
      </w:r>
      <w:r w:rsidRPr="005A7226">
        <w:t>Fezolinetant 45mg comprised of one 30 mg and one 15 mg tablet.</w:t>
      </w:r>
    </w:p>
    <w:p w14:paraId="3A2A16EE" w14:textId="7C50CA66" w:rsidR="00C71FDA" w:rsidRPr="005A7226" w:rsidRDefault="59C5DFB2" w:rsidP="00B53879">
      <w:pPr>
        <w:widowControl w:val="0"/>
        <w:numPr>
          <w:ilvl w:val="1"/>
          <w:numId w:val="1"/>
        </w:numPr>
        <w:spacing w:after="120"/>
        <w:ind w:left="720"/>
      </w:pPr>
      <w:r w:rsidRPr="005A7226">
        <w:t>DAYLIGHT, SKYLIGHT 1, SKYLIGHT 2 and SKYLIGHT 4 were all RCT</w:t>
      </w:r>
      <w:r w:rsidR="00182A46" w:rsidRPr="005A7226">
        <w:t>s</w:t>
      </w:r>
      <w:r w:rsidRPr="005A7226">
        <w:t xml:space="preserve"> that were multicentre (none in Australia), double-blind</w:t>
      </w:r>
      <w:r w:rsidR="00FA0CFE" w:rsidRPr="005A7226">
        <w:t xml:space="preserve"> and</w:t>
      </w:r>
      <w:r w:rsidRPr="005A7226">
        <w:t xml:space="preserve"> placebo-controlled</w:t>
      </w:r>
      <w:r w:rsidR="00FA0CFE" w:rsidRPr="005A7226">
        <w:t>,</w:t>
      </w:r>
      <w:r w:rsidR="001E050B" w:rsidRPr="005A7226">
        <w:t xml:space="preserve"> </w:t>
      </w:r>
      <w:r w:rsidRPr="005A7226">
        <w:t>where patients received either fezolinetant or placebo for treatment of VMS. DAYLIGHT randomised eligible patients to fezolinetant 45 mg or placebo for 24 weeks. In SKYLIGHT 1 and SKYLIGHT 2, patients were randomised to fezolinetant 45 mg, fezolinetant 30 mg</w:t>
      </w:r>
      <w:r w:rsidR="00875A0A" w:rsidRPr="005A7226">
        <w:t>,</w:t>
      </w:r>
      <w:r w:rsidRPr="005A7226">
        <w:t xml:space="preserve"> or placebo for the first 12-week double-blind period. After completing 12-weeks of treatment, patients in</w:t>
      </w:r>
      <w:r w:rsidR="00BD0ADC" w:rsidRPr="005A7226">
        <w:t xml:space="preserve"> the</w:t>
      </w:r>
      <w:r w:rsidRPr="005A7226">
        <w:t xml:space="preserve"> placebo </w:t>
      </w:r>
      <w:r w:rsidR="00BD0ADC" w:rsidRPr="005A7226">
        <w:t xml:space="preserve">arm </w:t>
      </w:r>
      <w:r w:rsidRPr="005A7226">
        <w:t xml:space="preserve">were re-randomised to fezolinetant 45 mg or 30 mg for a further 40-week double-blind extension (i.e. 52 </w:t>
      </w:r>
      <w:r w:rsidR="00C26667" w:rsidRPr="005A7226">
        <w:t>week t</w:t>
      </w:r>
      <w:r w:rsidRPr="005A7226">
        <w:t>otal treatment period). Patients treated with fezolinetant in the 12-week double-blind period continued to receive their randomised dose during the 40-week extension period. SKYLIGHT 4 was a long-term safety study in which patients received either fezolinetant 45 mg, fezolinetant 30 mg or placebo for 52 weeks.</w:t>
      </w:r>
      <w:r w:rsidRPr="005A7226">
        <w:rPr>
          <w:i/>
          <w:iCs/>
        </w:rPr>
        <w:t xml:space="preserve"> </w:t>
      </w:r>
      <w:r w:rsidRPr="005A7226">
        <w:t>The submission is seeking PBS listing for fezolinetant 45 mg, which is the dosage registered with the TGA for treatment of VMS</w:t>
      </w:r>
      <w:r w:rsidR="5CF6A7B1" w:rsidRPr="005A7226">
        <w:t>.</w:t>
      </w:r>
      <w:r w:rsidRPr="005A7226">
        <w:t xml:space="preserve"> </w:t>
      </w:r>
      <w:r w:rsidR="5CF6A7B1" w:rsidRPr="005A7226">
        <w:t>T</w:t>
      </w:r>
      <w:r w:rsidRPr="005A7226">
        <w:t xml:space="preserve">herefore only results for fezolinetant 45 mg treatment arm </w:t>
      </w:r>
      <w:r w:rsidR="002D2EF4" w:rsidRPr="005A7226">
        <w:t>are</w:t>
      </w:r>
      <w:r w:rsidR="00EA41E0" w:rsidRPr="005A7226">
        <w:t xml:space="preserve"> </w:t>
      </w:r>
      <w:r w:rsidRPr="005A7226">
        <w:t>presented.</w:t>
      </w:r>
    </w:p>
    <w:p w14:paraId="54F8C865" w14:textId="08BA71C6" w:rsidR="00C71FDA" w:rsidRPr="005A7226" w:rsidRDefault="00E26680" w:rsidP="00B53879">
      <w:pPr>
        <w:widowControl w:val="0"/>
        <w:numPr>
          <w:ilvl w:val="1"/>
          <w:numId w:val="1"/>
        </w:numPr>
        <w:spacing w:after="120"/>
        <w:ind w:left="720"/>
      </w:pPr>
      <w:r w:rsidRPr="005A7226">
        <w:t xml:space="preserve">With the exception of SKYLIGHT 4, patients in the included trials were all menopausal women aged 40-65 years who experienced moderate to severe VMS associated with menopause. SKYLIGHT 4, enrolled menopausal patients aged 40-65 years who were seeking treatment for VMS associated with </w:t>
      </w:r>
      <w:r w:rsidR="006F23C6" w:rsidRPr="005A7226">
        <w:t>menopause</w:t>
      </w:r>
      <w:r w:rsidR="00DE42D0" w:rsidRPr="005A7226">
        <w:t xml:space="preserve"> (unspecified severity)</w:t>
      </w:r>
      <w:r w:rsidRPr="005A7226">
        <w:t>.</w:t>
      </w:r>
    </w:p>
    <w:p w14:paraId="069D6B59" w14:textId="4C795121" w:rsidR="00E26680" w:rsidRPr="005A7226" w:rsidRDefault="59C5DFB2" w:rsidP="00B53879">
      <w:pPr>
        <w:widowControl w:val="0"/>
        <w:numPr>
          <w:ilvl w:val="1"/>
          <w:numId w:val="1"/>
        </w:numPr>
        <w:spacing w:after="120"/>
        <w:ind w:left="720"/>
      </w:pPr>
      <w:r w:rsidRPr="005A7226">
        <w:t>Overall the</w:t>
      </w:r>
      <w:r w:rsidR="000839C7" w:rsidRPr="005A7226">
        <w:t xml:space="preserve"> evaluation considered the</w:t>
      </w:r>
      <w:r w:rsidRPr="005A7226">
        <w:t xml:space="preserve"> risk of bias was low for</w:t>
      </w:r>
      <w:r w:rsidR="00A57000" w:rsidRPr="005A7226">
        <w:t xml:space="preserve"> all </w:t>
      </w:r>
      <w:r w:rsidR="00DE42D0" w:rsidRPr="005A7226">
        <w:t>four</w:t>
      </w:r>
      <w:r w:rsidRPr="005A7226">
        <w:t xml:space="preserve"> RCTs during double</w:t>
      </w:r>
      <w:r w:rsidR="5CF6A7B1" w:rsidRPr="005A7226">
        <w:t>-</w:t>
      </w:r>
      <w:r w:rsidRPr="005A7226">
        <w:t xml:space="preserve">blind period. The rate of discontinuation varied between trials, however generally there was higher </w:t>
      </w:r>
      <w:r w:rsidR="00E4443D">
        <w:t xml:space="preserve">rate of </w:t>
      </w:r>
      <w:r w:rsidRPr="005A7226">
        <w:t xml:space="preserve">discontinuation in the placebo group (9.6%-32.8%) compared to fezolinetant 45 mg (7.2%-27.1%) and fezolinetant 30 mg (8.4%-26.2%). </w:t>
      </w:r>
      <w:r w:rsidR="00E4443D">
        <w:t>A higher rate of</w:t>
      </w:r>
      <w:r w:rsidRPr="005A7226">
        <w:t xml:space="preserve"> discontinuation w</w:t>
      </w:r>
      <w:r w:rsidR="00E4443D">
        <w:t>ere</w:t>
      </w:r>
      <w:r w:rsidRPr="005A7226">
        <w:t xml:space="preserve"> observed in the long-term SKYLIGHT 4 trial. The most common reason for discontinuation was “withdrawal by subject”.</w:t>
      </w:r>
    </w:p>
    <w:p w14:paraId="0358D9C3" w14:textId="0A1045E3" w:rsidR="00E26680" w:rsidRPr="005A7226" w:rsidRDefault="008C5B57" w:rsidP="00B53879">
      <w:pPr>
        <w:widowControl w:val="0"/>
        <w:numPr>
          <w:ilvl w:val="1"/>
          <w:numId w:val="1"/>
        </w:numPr>
        <w:spacing w:after="120"/>
        <w:ind w:left="720"/>
      </w:pPr>
      <w:r w:rsidRPr="005A7226">
        <w:t xml:space="preserve">Baseline characteristics were generally balanced between treatment arms in the included trials, except for i) in DAYLIGHT, more patients in the fezolinetant arm had prior hysterectomy compared to placebo (18.6% vs 9.7%) and ii) across the four trials, fewer patients </w:t>
      </w:r>
      <w:r w:rsidR="00E90C59" w:rsidRPr="005A7226">
        <w:t xml:space="preserve">who had previously been treated with MHT </w:t>
      </w:r>
      <w:r w:rsidRPr="005A7226">
        <w:t xml:space="preserve">in </w:t>
      </w:r>
      <w:r w:rsidR="001B2102" w:rsidRPr="005A7226">
        <w:t xml:space="preserve">the </w:t>
      </w:r>
      <w:r w:rsidRPr="005A7226">
        <w:t>fezolinetant 45 mg arm</w:t>
      </w:r>
      <w:r w:rsidR="00E90C59" w:rsidRPr="005A7226">
        <w:t>,</w:t>
      </w:r>
      <w:r w:rsidRPr="005A7226">
        <w:t xml:space="preserve"> </w:t>
      </w:r>
      <w:r w:rsidR="00BB76F1">
        <w:t xml:space="preserve">or </w:t>
      </w:r>
      <w:r w:rsidRPr="005A7226">
        <w:t>stopped previous MHT treatment due to lack of efficacy (19.8-30%) compared to placebo (32.3-39.4%).</w:t>
      </w:r>
    </w:p>
    <w:p w14:paraId="75A3689E" w14:textId="4B034E7E" w:rsidR="00E26680" w:rsidRPr="005A7226" w:rsidRDefault="008C5B57" w:rsidP="00B53879">
      <w:pPr>
        <w:widowControl w:val="0"/>
        <w:numPr>
          <w:ilvl w:val="1"/>
          <w:numId w:val="1"/>
        </w:numPr>
        <w:spacing w:after="120"/>
        <w:ind w:left="720"/>
      </w:pPr>
      <w:r w:rsidRPr="005A7226">
        <w:t>Across the trials, while patients</w:t>
      </w:r>
      <w:r w:rsidR="00C4088E" w:rsidRPr="005A7226">
        <w:t>’</w:t>
      </w:r>
      <w:r w:rsidRPr="005A7226">
        <w:t xml:space="preserve"> </w:t>
      </w:r>
      <w:r w:rsidR="00B42DF5" w:rsidRPr="005A7226">
        <w:t>baseline</w:t>
      </w:r>
      <w:r w:rsidRPr="005A7226">
        <w:t xml:space="preserve"> characteristics were broadly similar, some differences were noted</w:t>
      </w:r>
      <w:r w:rsidR="00351EA8" w:rsidRPr="005A7226">
        <w:t xml:space="preserve"> by the evaluation</w:t>
      </w:r>
      <w:r w:rsidR="00C4088E" w:rsidRPr="005A7226">
        <w:t>,</w:t>
      </w:r>
      <w:r w:rsidRPr="005A7226">
        <w:t xml:space="preserve"> including:</w:t>
      </w:r>
    </w:p>
    <w:p w14:paraId="2440FEE5" w14:textId="7760E531" w:rsidR="008C5B57" w:rsidRPr="005A7226" w:rsidRDefault="008C5B57" w:rsidP="001773B1">
      <w:pPr>
        <w:pStyle w:val="ListParagraph"/>
        <w:numPr>
          <w:ilvl w:val="0"/>
          <w:numId w:val="8"/>
        </w:numPr>
        <w:snapToGrid w:val="0"/>
        <w:spacing w:after="0"/>
        <w:ind w:left="1037" w:hanging="357"/>
      </w:pPr>
      <w:r w:rsidRPr="005A7226">
        <w:t xml:space="preserve">Race: more Caucasian </w:t>
      </w:r>
      <w:r w:rsidR="00437CD6" w:rsidRPr="005A7226">
        <w:t xml:space="preserve">patients </w:t>
      </w:r>
      <w:r w:rsidRPr="005A7226">
        <w:t>in DAYLIGHT (96.0-97.3%) compared to other trials (78.8-85.5%)</w:t>
      </w:r>
    </w:p>
    <w:p w14:paraId="6C7F5E98" w14:textId="6B2FAF10" w:rsidR="008C5B57" w:rsidRPr="005A7226" w:rsidRDefault="008C5B57" w:rsidP="001773B1">
      <w:pPr>
        <w:pStyle w:val="ListParagraph"/>
        <w:numPr>
          <w:ilvl w:val="0"/>
          <w:numId w:val="8"/>
        </w:numPr>
        <w:snapToGrid w:val="0"/>
        <w:spacing w:after="0"/>
        <w:ind w:left="1037" w:hanging="357"/>
      </w:pPr>
      <w:r w:rsidRPr="005A7226">
        <w:t>VMS (hot flush) onset: shorter time since VMS onset in DAYLIGHT (62.4-64.4 months) compared to other trials (71.9-81.9 months)</w:t>
      </w:r>
    </w:p>
    <w:p w14:paraId="6D5CF164" w14:textId="77777777" w:rsidR="008C5B57" w:rsidRPr="005A7226" w:rsidRDefault="008C5B57" w:rsidP="001773B1">
      <w:pPr>
        <w:pStyle w:val="ListParagraph"/>
        <w:numPr>
          <w:ilvl w:val="0"/>
          <w:numId w:val="8"/>
        </w:numPr>
        <w:snapToGrid w:val="0"/>
        <w:spacing w:after="0"/>
        <w:ind w:left="1037" w:hanging="357"/>
      </w:pPr>
      <w:r w:rsidRPr="005A7226">
        <w:t>Medical history of hysterectomy and oophorectomy: more patients in SKYLIGHT 1 and SKYLIGHT2 had previous hysterectomy (29.1-35.1%) and oophorectomy (20.5-22.8%) compared to DAYLIGHT (9.7-18.6% hysterectomy, 8.4-10.2% oophorectomy) and SKYLIGHT 4 (16.4-20.8% hysterectomy, 12.3-14.1% oophorectomy)</w:t>
      </w:r>
    </w:p>
    <w:p w14:paraId="21A5730E" w14:textId="32A1F50A" w:rsidR="008C5B57" w:rsidRPr="005A7226" w:rsidRDefault="008C5B57" w:rsidP="001773B1">
      <w:pPr>
        <w:pStyle w:val="ListParagraph"/>
        <w:numPr>
          <w:ilvl w:val="0"/>
          <w:numId w:val="8"/>
        </w:numPr>
        <w:snapToGrid w:val="0"/>
        <w:spacing w:after="0"/>
        <w:ind w:left="1037" w:hanging="357"/>
      </w:pPr>
      <w:r w:rsidRPr="005A7226">
        <w:t>Prior MHT for VMS: more patients in DAYLIGHT (26.5-28.8%) compared to other trials (15.3-23.3%)</w:t>
      </w:r>
    </w:p>
    <w:p w14:paraId="7996AB92" w14:textId="37185DAB" w:rsidR="008C5B57" w:rsidRPr="005A7226" w:rsidRDefault="008C5B57" w:rsidP="001773B1">
      <w:pPr>
        <w:pStyle w:val="ListParagraph"/>
        <w:numPr>
          <w:ilvl w:val="0"/>
          <w:numId w:val="8"/>
        </w:numPr>
        <w:snapToGrid w:val="0"/>
      </w:pPr>
      <w:r w:rsidRPr="005A7226">
        <w:t>Naïve to MHT and willing to take MHT</w:t>
      </w:r>
      <w:r w:rsidR="00325998" w:rsidRPr="005A7226">
        <w:t xml:space="preserve"> for VMS</w:t>
      </w:r>
      <w:r w:rsidRPr="005A7226">
        <w:t>: fewer patients in DAYLIGHT (3-6.8%) compared to other trials (32.3-52.5%)</w:t>
      </w:r>
    </w:p>
    <w:p w14:paraId="2734C1E6" w14:textId="455CD190" w:rsidR="008C5B57" w:rsidRPr="005A7226" w:rsidRDefault="32BE69A7" w:rsidP="00B53879">
      <w:pPr>
        <w:widowControl w:val="0"/>
        <w:numPr>
          <w:ilvl w:val="1"/>
          <w:numId w:val="1"/>
        </w:numPr>
        <w:spacing w:after="120"/>
        <w:ind w:left="720"/>
      </w:pPr>
      <w:bookmarkStart w:id="27" w:name="_Ref187759198"/>
      <w:r w:rsidRPr="005A7226">
        <w:t>The submission presented post-hoc analys</w:t>
      </w:r>
      <w:r w:rsidR="00DE42D0" w:rsidRPr="005A7226">
        <w:t>e</w:t>
      </w:r>
      <w:r w:rsidRPr="005A7226">
        <w:t xml:space="preserve">s </w:t>
      </w:r>
      <w:r w:rsidR="5CF6A7B1" w:rsidRPr="005A7226">
        <w:t>of</w:t>
      </w:r>
      <w:r w:rsidRPr="005A7226">
        <w:t xml:space="preserve"> the pooled population who were MHT unsuitable </w:t>
      </w:r>
      <w:r w:rsidR="00801CD9" w:rsidRPr="005A7226">
        <w:t>from</w:t>
      </w:r>
      <w:r w:rsidRPr="005A7226">
        <w:t xml:space="preserve"> SKYLIGHT 1</w:t>
      </w:r>
      <w:r w:rsidR="003408C2" w:rsidRPr="005A7226">
        <w:t>,</w:t>
      </w:r>
      <w:r w:rsidRPr="005A7226">
        <w:t xml:space="preserve"> SKYLIGHT 2</w:t>
      </w:r>
      <w:r w:rsidR="003408C2" w:rsidRPr="005A7226">
        <w:t xml:space="preserve">, </w:t>
      </w:r>
      <w:r w:rsidRPr="005A7226">
        <w:t xml:space="preserve">and </w:t>
      </w:r>
      <w:r w:rsidR="00801CD9" w:rsidRPr="005A7226">
        <w:t>from</w:t>
      </w:r>
      <w:r w:rsidRPr="005A7226">
        <w:t xml:space="preserve"> DAYLIGHT. In the post-hoc pooled analysis </w:t>
      </w:r>
      <w:r w:rsidR="00BB76F1">
        <w:t xml:space="preserve">of </w:t>
      </w:r>
      <w:r w:rsidRPr="005A7226">
        <w:t>SKYLIGHT 1 and SKYLIGHT 2 (Santoro 2023), MHT history subgroups were mutually exclusive and categori</w:t>
      </w:r>
      <w:r w:rsidR="6E956B97" w:rsidRPr="005A7226">
        <w:t>s</w:t>
      </w:r>
      <w:r w:rsidRPr="005A7226">
        <w:t>ed using the following hierarchy: contraindicated; caution; stopped for medical concerns; averse; naïve/willing. While the total DAYLIGHT trial population were MHT unsuitable</w:t>
      </w:r>
      <w:r w:rsidR="00B40904" w:rsidRPr="005A7226">
        <w:t xml:space="preserve"> (including </w:t>
      </w:r>
      <w:r w:rsidR="00281732" w:rsidRPr="005A7226">
        <w:t xml:space="preserve">contraindicated, caution, stoppers or </w:t>
      </w:r>
      <w:r w:rsidR="00B40904" w:rsidRPr="005A7226">
        <w:t>averse)</w:t>
      </w:r>
      <w:r w:rsidRPr="005A7226">
        <w:t xml:space="preserve">, the post-hoc pooled population of SKYLIGHT 1 and SKYLIGHT 2 identified 86% of patients as MHT unsuitable and a small proportion (11.5%) as MHT naïve/willing. Approximately 3% of the pooled population could not be accounted for by the five mutually exclusive MHT subgroups. There were differences between DAYLIGHT and the post-hoc analysis of SKYLIGHT 1 and SKYLIGHT 2 in the proportion and definition of the </w:t>
      </w:r>
      <w:r w:rsidR="33011EE4" w:rsidRPr="005A7226">
        <w:t>MHT subgroups included as MHT unsuitable</w:t>
      </w:r>
      <w:r w:rsidRPr="005A7226">
        <w:t>. For example, in DAYLIGHT, the MHT stopper subgroup was broadly defined as patients who discontinued MHT due to lack of efficacy, MHT-related side effects, advised by healthcare provider</w:t>
      </w:r>
      <w:r w:rsidR="5CF6A7B1" w:rsidRPr="005A7226">
        <w:t>s</w:t>
      </w:r>
      <w:r w:rsidRPr="005A7226">
        <w:t xml:space="preserve"> to stop due to length of time on MHT or due to age ≥ 60 years. In the post-hoc analysis of SKYLIGHT 1 and SKYLIGHT 2, the MHT unsuitable patients only include</w:t>
      </w:r>
      <w:r w:rsidR="5824945B" w:rsidRPr="005A7226">
        <w:t>d</w:t>
      </w:r>
      <w:r w:rsidRPr="005A7226">
        <w:t xml:space="preserve"> those who stopped MHT due to medical concerns (undefined; without contraindication/caution). In DAYLIGHT, MHT unsuitable patients comprised</w:t>
      </w:r>
      <w:r w:rsidR="00E51D08" w:rsidRPr="005A7226">
        <w:t>:</w:t>
      </w:r>
      <w:r w:rsidRPr="005A7226">
        <w:t xml:space="preserve"> 10.2-11.9% contraindicated, 32.7-40.3% caution, 14.2-16.4% stopper and 33.2-41.2% averse. </w:t>
      </w:r>
      <w:r w:rsidR="5824945B" w:rsidRPr="005A7226">
        <w:t>I</w:t>
      </w:r>
      <w:r w:rsidRPr="005A7226">
        <w:t>n SKYLIGHT 1 and SKYLIGHT 2, MHT unsuitable comprised</w:t>
      </w:r>
      <w:r w:rsidR="00BF303E" w:rsidRPr="005A7226">
        <w:t>:</w:t>
      </w:r>
      <w:r w:rsidRPr="005A7226">
        <w:t xml:space="preserve"> 15.8-16.7% contraindicated, 45.5-47.8% caution, 3.5-4.7% stopped for medical concerns and 17.3-19.9% averse.</w:t>
      </w:r>
      <w:bookmarkEnd w:id="27"/>
    </w:p>
    <w:p w14:paraId="7F4FF833" w14:textId="06C26083" w:rsidR="008C5B57" w:rsidRPr="005A7226" w:rsidRDefault="6E956B97" w:rsidP="00B53879">
      <w:pPr>
        <w:widowControl w:val="0"/>
        <w:numPr>
          <w:ilvl w:val="1"/>
          <w:numId w:val="1"/>
        </w:numPr>
        <w:spacing w:after="120"/>
        <w:ind w:left="720"/>
      </w:pPr>
      <w:r w:rsidRPr="005A7226">
        <w:t>The b</w:t>
      </w:r>
      <w:r w:rsidR="33011EE4" w:rsidRPr="005A7226">
        <w:t xml:space="preserve">aseline demographic and disease characteristics of the </w:t>
      </w:r>
      <w:r w:rsidR="38353BF7" w:rsidRPr="005A7226">
        <w:t xml:space="preserve">pooled </w:t>
      </w:r>
      <w:r w:rsidR="33011EE4" w:rsidRPr="005A7226">
        <w:t xml:space="preserve">post-hoc SKYLIGHT 1 and SKYLIGHT 2 MHT unsuitable subgroup </w:t>
      </w:r>
      <w:r w:rsidRPr="005A7226">
        <w:t>were</w:t>
      </w:r>
      <w:r w:rsidR="33011EE4" w:rsidRPr="005A7226">
        <w:t xml:space="preserve"> broadly similar to </w:t>
      </w:r>
      <w:r w:rsidR="5824945B" w:rsidRPr="005A7226">
        <w:t xml:space="preserve">those of </w:t>
      </w:r>
      <w:r w:rsidR="33011EE4" w:rsidRPr="005A7226">
        <w:t xml:space="preserve">the </w:t>
      </w:r>
      <w:r w:rsidR="6DBE7028" w:rsidRPr="005A7226">
        <w:t>pooled</w:t>
      </w:r>
      <w:r w:rsidR="33011EE4" w:rsidRPr="005A7226">
        <w:t xml:space="preserve"> SKYLIGHT 1 and SKYLIGHT 2 </w:t>
      </w:r>
      <w:r w:rsidR="6DBE7028" w:rsidRPr="005A7226">
        <w:t xml:space="preserve">overall </w:t>
      </w:r>
      <w:r w:rsidR="33011EE4" w:rsidRPr="005A7226">
        <w:t xml:space="preserve">population, in terms of age, medical history and time since </w:t>
      </w:r>
      <w:r w:rsidR="5824945B" w:rsidRPr="005A7226">
        <w:t xml:space="preserve">the </w:t>
      </w:r>
      <w:r w:rsidR="33011EE4" w:rsidRPr="005A7226">
        <w:t>onset of VMS (hot flushes).</w:t>
      </w:r>
    </w:p>
    <w:p w14:paraId="0AFC0E3D" w14:textId="65E16A9D" w:rsidR="003C46C3" w:rsidRPr="005A7226" w:rsidRDefault="003C46C3" w:rsidP="00B53879">
      <w:pPr>
        <w:widowControl w:val="0"/>
        <w:numPr>
          <w:ilvl w:val="1"/>
          <w:numId w:val="1"/>
        </w:numPr>
        <w:spacing w:after="120"/>
        <w:ind w:left="720"/>
      </w:pPr>
      <w:r w:rsidRPr="005A7226">
        <w:t xml:space="preserve">The ESC noted that the populations included in the </w:t>
      </w:r>
      <w:r w:rsidR="002E31C5" w:rsidRPr="005A7226">
        <w:t xml:space="preserve">trials included </w:t>
      </w:r>
      <w:r w:rsidR="00896C20" w:rsidRPr="005A7226">
        <w:t xml:space="preserve">a substantial proportion of MHT “averse” patients (17%-41%). The ESC also noted that the populations included in the trials </w:t>
      </w:r>
      <w:r w:rsidR="0013111F" w:rsidRPr="005A7226">
        <w:t xml:space="preserve">were potentially older than those </w:t>
      </w:r>
      <w:r w:rsidR="00074623" w:rsidRPr="005A7226">
        <w:t xml:space="preserve">who may be treated in clinical practice, as they were required to be menopausal (not peri-menopausal) and </w:t>
      </w:r>
      <w:r w:rsidR="002C3D5A" w:rsidRPr="005A7226">
        <w:t xml:space="preserve">the time since VMS onset was long </w:t>
      </w:r>
      <w:r w:rsidR="00CA71F5" w:rsidRPr="005A7226">
        <w:t xml:space="preserve">given that patients typically experience symptoms for </w:t>
      </w:r>
      <w:r w:rsidR="009E2CB9" w:rsidRPr="005A7226">
        <w:t xml:space="preserve">5-10 years </w:t>
      </w:r>
      <w:r w:rsidR="002C3D5A" w:rsidRPr="005A7226">
        <w:t>(</w:t>
      </w:r>
      <w:r w:rsidR="00FD7766" w:rsidRPr="005A7226">
        <w:t>62-82 months – i.e.</w:t>
      </w:r>
      <w:r w:rsidR="00194D26" w:rsidRPr="005A7226">
        <w:t xml:space="preserve"> approximately 5-</w:t>
      </w:r>
      <w:r w:rsidR="00CA71F5" w:rsidRPr="005A7226">
        <w:t>7</w:t>
      </w:r>
      <w:r w:rsidR="00194D26" w:rsidRPr="005A7226">
        <w:t xml:space="preserve"> years).</w:t>
      </w:r>
    </w:p>
    <w:p w14:paraId="4A4FE085" w14:textId="1C5613CC" w:rsidR="00B60939" w:rsidRPr="00B9050B" w:rsidRDefault="00B60939" w:rsidP="00EC5836">
      <w:pPr>
        <w:pStyle w:val="4-SubsectionHeading"/>
      </w:pPr>
      <w:bookmarkStart w:id="28" w:name="_Toc22897641"/>
      <w:bookmarkStart w:id="29" w:name="_Toc188442562"/>
      <w:r w:rsidRPr="00B9050B">
        <w:t>Comparative effectiveness</w:t>
      </w:r>
      <w:bookmarkEnd w:id="28"/>
      <w:bookmarkEnd w:id="29"/>
    </w:p>
    <w:p w14:paraId="45ADC1A3" w14:textId="394E5248" w:rsidR="00044745" w:rsidRPr="005A7226" w:rsidRDefault="33011EE4" w:rsidP="00B53879">
      <w:pPr>
        <w:widowControl w:val="0"/>
        <w:numPr>
          <w:ilvl w:val="1"/>
          <w:numId w:val="1"/>
        </w:numPr>
        <w:spacing w:after="120"/>
        <w:ind w:left="720"/>
      </w:pPr>
      <w:r w:rsidRPr="005A7226">
        <w:t>With the exception of SKYLIGHT 4, all trials presented change</w:t>
      </w:r>
      <w:r w:rsidR="5824945B" w:rsidRPr="005A7226">
        <w:t>s</w:t>
      </w:r>
      <w:r w:rsidRPr="005A7226">
        <w:t xml:space="preserve"> in frequency and severity of moderate to severe VMS (based on the definition in the FDA draft guidance 2023) as the primary or secondary outcome after 12/24 weeks of treatment. The primary outcome of SKYLIGHT 4 was </w:t>
      </w:r>
      <w:r w:rsidR="5824945B" w:rsidRPr="005A7226">
        <w:t xml:space="preserve">the </w:t>
      </w:r>
      <w:r w:rsidRPr="005A7226">
        <w:t>long-term safety of fezolinetant to Week 52.</w:t>
      </w:r>
      <w:r w:rsidR="00E90C59" w:rsidRPr="005A7226">
        <w:t xml:space="preserve"> </w:t>
      </w:r>
    </w:p>
    <w:p w14:paraId="7A443351" w14:textId="5E4B0D1D" w:rsidR="00044745" w:rsidRPr="005A7226" w:rsidRDefault="33011EE4" w:rsidP="00B53879">
      <w:pPr>
        <w:widowControl w:val="0"/>
        <w:numPr>
          <w:ilvl w:val="1"/>
          <w:numId w:val="1"/>
        </w:numPr>
        <w:spacing w:after="120"/>
        <w:ind w:left="720"/>
      </w:pPr>
      <w:r w:rsidRPr="005A7226">
        <w:t xml:space="preserve">The submission presented a Discrete Choice Experiment (DCE) study of patient preferences for the attributes of treatment for moderate to severe VMS. The attributes used were: frequency of VMS (reduced by at least half); severity of VMS (number of days reduced with severe and interrupting hot flushes); sleep disturbance (no longer have poor sleep); and the adverse effects of treatment (chance of mild side effect e.g. fatigue, headache or insomnia). These attributes were informed from the clinical outcomes in the </w:t>
      </w:r>
      <w:r w:rsidR="6DBE7028" w:rsidRPr="005A7226">
        <w:t xml:space="preserve">pooled </w:t>
      </w:r>
      <w:r w:rsidRPr="005A7226">
        <w:t xml:space="preserve">DAYLIGHT, SKYLIGHT 1 and SKYLIGHT 2 MHT unsuitable population over 12 weeks. The DCE target population sample </w:t>
      </w:r>
      <w:r w:rsidR="5824945B" w:rsidRPr="005A7226">
        <w:t xml:space="preserve">was </w:t>
      </w:r>
      <w:r w:rsidRPr="005A7226">
        <w:t>Australian women</w:t>
      </w:r>
      <w:r w:rsidR="004537B8" w:rsidRPr="005A7226">
        <w:t xml:space="preserve"> (N=120)</w:t>
      </w:r>
      <w:r w:rsidRPr="005A7226">
        <w:t xml:space="preserve"> aged 40-65 years with menopause and current or previous episodes of moderate to severe VMS (</w:t>
      </w:r>
      <w:r w:rsidRPr="00B53879">
        <w:t>≥</w:t>
      </w:r>
      <w:r w:rsidRPr="005A7226">
        <w:t>7 hot flushes, sensations of heat with sweating over a 24-hour period).</w:t>
      </w:r>
    </w:p>
    <w:p w14:paraId="1308599E" w14:textId="4E21BCE6" w:rsidR="00A03320" w:rsidRPr="005A7226" w:rsidRDefault="00A03320" w:rsidP="00B53879">
      <w:pPr>
        <w:widowControl w:val="0"/>
        <w:numPr>
          <w:ilvl w:val="1"/>
          <w:numId w:val="1"/>
        </w:numPr>
        <w:spacing w:after="120"/>
        <w:ind w:left="720"/>
      </w:pPr>
      <w:bookmarkStart w:id="30" w:name="_Ref187879675"/>
      <w:r w:rsidRPr="005A7226">
        <w:t>The DCE found that improvements in the symptoms/attributes studied were associated with significantly increased odds of choosing a therapy as follows:</w:t>
      </w:r>
      <w:bookmarkEnd w:id="30"/>
    </w:p>
    <w:p w14:paraId="4262B1FA" w14:textId="49EDC693" w:rsidR="00A03320" w:rsidRPr="005A7226" w:rsidRDefault="00A03320" w:rsidP="001773B1">
      <w:pPr>
        <w:pStyle w:val="ListParagraph"/>
        <w:numPr>
          <w:ilvl w:val="0"/>
          <w:numId w:val="8"/>
        </w:numPr>
        <w:snapToGrid w:val="0"/>
        <w:ind w:left="1134"/>
      </w:pPr>
      <w:r w:rsidRPr="005A7226">
        <w:t>The improvement in moderate to severe VMS frequency is the most important factor for preference</w:t>
      </w:r>
      <w:r w:rsidR="004537B8" w:rsidRPr="005A7226">
        <w:t>,</w:t>
      </w:r>
      <w:r w:rsidRPr="005A7226">
        <w:t xml:space="preserve"> </w:t>
      </w:r>
      <w:r w:rsidR="004537B8" w:rsidRPr="005A7226">
        <w:t>with odds ratio (OR): 2.82 to 4.25 for 40% to 80% VMS response rates, respectively.</w:t>
      </w:r>
    </w:p>
    <w:p w14:paraId="5F52AAC5" w14:textId="41E7D011" w:rsidR="00A03320" w:rsidRPr="005A7226" w:rsidRDefault="00A03320" w:rsidP="001773B1">
      <w:pPr>
        <w:pStyle w:val="ListParagraph"/>
        <w:numPr>
          <w:ilvl w:val="0"/>
          <w:numId w:val="8"/>
        </w:numPr>
        <w:snapToGrid w:val="0"/>
        <w:ind w:left="1134"/>
      </w:pPr>
      <w:r w:rsidRPr="005A7226">
        <w:t>VMS severity improvement was less important for preference</w:t>
      </w:r>
      <w:r w:rsidR="004537B8" w:rsidRPr="005A7226">
        <w:t>, OR: 1.54 to 2.47 for 44% to 70% of days without severe VMS, respectively.</w:t>
      </w:r>
    </w:p>
    <w:p w14:paraId="016E3770" w14:textId="7525EDC5" w:rsidR="00A03320" w:rsidRPr="005A7226" w:rsidRDefault="00A03320" w:rsidP="001773B1">
      <w:pPr>
        <w:pStyle w:val="ListParagraph"/>
        <w:numPr>
          <w:ilvl w:val="0"/>
          <w:numId w:val="8"/>
        </w:numPr>
        <w:snapToGrid w:val="0"/>
        <w:ind w:left="1134"/>
      </w:pPr>
      <w:r w:rsidRPr="005A7226">
        <w:t>Sleep disturbance improvement was similar in importance to VMS severity</w:t>
      </w:r>
      <w:r w:rsidR="004537B8" w:rsidRPr="005A7226">
        <w:t>, OR: 1.54 to 2.17 for 60% to 80% with sleep improvement, respectively.</w:t>
      </w:r>
      <w:r w:rsidRPr="005A7226">
        <w:t xml:space="preserve"> </w:t>
      </w:r>
    </w:p>
    <w:p w14:paraId="15104FC9" w14:textId="47E86546" w:rsidR="00044745" w:rsidRPr="005A7226" w:rsidRDefault="00A03320" w:rsidP="001773B1">
      <w:pPr>
        <w:pStyle w:val="ListParagraph"/>
        <w:numPr>
          <w:ilvl w:val="0"/>
          <w:numId w:val="8"/>
        </w:numPr>
        <w:snapToGrid w:val="0"/>
        <w:ind w:left="1134"/>
      </w:pPr>
      <w:r w:rsidRPr="005A7226">
        <w:t>The risk of side effects appeared to be the least important factor for preference</w:t>
      </w:r>
      <w:r w:rsidR="004537B8" w:rsidRPr="005A7226">
        <w:t>, with OR: 1.56 for the 11% risk level</w:t>
      </w:r>
      <w:r w:rsidRPr="005A7226">
        <w:t>.</w:t>
      </w:r>
    </w:p>
    <w:p w14:paraId="5D62239F" w14:textId="3A0957D3" w:rsidR="00044745" w:rsidRPr="005A7226" w:rsidRDefault="7829816F" w:rsidP="00B53879">
      <w:pPr>
        <w:widowControl w:val="0"/>
        <w:numPr>
          <w:ilvl w:val="1"/>
          <w:numId w:val="1"/>
        </w:numPr>
        <w:spacing w:after="120"/>
        <w:ind w:left="720"/>
      </w:pPr>
      <w:r w:rsidRPr="005A7226">
        <w:t>While the attributes were informed from the pooled trial population from DAYLIGHT, SKYLIGHT 1 and SKYLIGHT 2 who were MHT unsuitable, the DCE study did not sample women based on the criteria for MHT unsuitable. Further, the submission claimed that</w:t>
      </w:r>
      <w:r w:rsidR="00C131BC" w:rsidRPr="005A7226">
        <w:t xml:space="preserve"> in the trial</w:t>
      </w:r>
      <w:r w:rsidR="00B00B0A" w:rsidRPr="005A7226">
        <w:t>,</w:t>
      </w:r>
      <w:r w:rsidRPr="005A7226">
        <w:t xml:space="preserve"> the attribute to describe VMS severity was an improvement (reduction) in the number of days with severe and interrupting hot flushes. However, this </w:t>
      </w:r>
      <w:r w:rsidR="000F4CA6" w:rsidRPr="005A7226">
        <w:t xml:space="preserve">attribute </w:t>
      </w:r>
      <w:r w:rsidR="00C131BC" w:rsidRPr="005A7226">
        <w:t xml:space="preserve">(improvement in number of days with VMS) </w:t>
      </w:r>
      <w:r w:rsidR="000F4CA6" w:rsidRPr="005A7226">
        <w:t>also relates to the change in VMS frequency</w:t>
      </w:r>
      <w:r w:rsidR="00B00B0A" w:rsidRPr="005A7226">
        <w:t>,</w:t>
      </w:r>
      <w:r w:rsidR="000F4CA6" w:rsidRPr="005A7226">
        <w:t xml:space="preserve"> and so </w:t>
      </w:r>
      <w:r w:rsidRPr="005A7226">
        <w:t xml:space="preserve">was inconsistent with the trial definition for change in VMS severity. In the trials, VMS frequency </w:t>
      </w:r>
      <w:r w:rsidR="5824945B" w:rsidRPr="005A7226">
        <w:t>wa</w:t>
      </w:r>
      <w:r w:rsidRPr="005A7226">
        <w:t>s defined as the change from baseline in the average daily number of moderate or severe VMS</w:t>
      </w:r>
      <w:r w:rsidR="000F4CA6" w:rsidRPr="005A7226">
        <w:t xml:space="preserve">, and </w:t>
      </w:r>
      <w:r w:rsidRPr="005A7226">
        <w:t xml:space="preserve">VMS severity </w:t>
      </w:r>
      <w:r w:rsidR="5824945B" w:rsidRPr="005A7226">
        <w:t>wa</w:t>
      </w:r>
      <w:r w:rsidRPr="005A7226">
        <w:t xml:space="preserve">s defined as the weighted average of the daily number </w:t>
      </w:r>
      <w:r w:rsidR="00B00B0A" w:rsidRPr="005A7226">
        <w:t xml:space="preserve">of </w:t>
      </w:r>
      <w:r w:rsidRPr="005A7226">
        <w:t xml:space="preserve">VMS by severity (mild, moderate and severe) over </w:t>
      </w:r>
      <w:r w:rsidR="5824945B" w:rsidRPr="005A7226">
        <w:t xml:space="preserve">a </w:t>
      </w:r>
      <w:r w:rsidRPr="005A7226">
        <w:t>total daily number of VMS.</w:t>
      </w:r>
    </w:p>
    <w:p w14:paraId="771534EC" w14:textId="2DF2AB2B" w:rsidR="00A03320" w:rsidRPr="005A7226" w:rsidRDefault="00A03320" w:rsidP="00B53879">
      <w:pPr>
        <w:widowControl w:val="0"/>
        <w:numPr>
          <w:ilvl w:val="1"/>
          <w:numId w:val="1"/>
        </w:numPr>
        <w:spacing w:after="120"/>
        <w:ind w:left="720"/>
        <w:rPr>
          <w:iCs/>
        </w:rPr>
      </w:pPr>
      <w:r w:rsidRPr="005A7226">
        <w:t xml:space="preserve">The submission </w:t>
      </w:r>
      <w:r w:rsidR="00D92C36" w:rsidRPr="005A7226">
        <w:t xml:space="preserve">did </w:t>
      </w:r>
      <w:r w:rsidRPr="005A7226">
        <w:t xml:space="preserve">not nominate a minimally clinically important difference (MCID). </w:t>
      </w:r>
      <w:r w:rsidRPr="005A7226">
        <w:rPr>
          <w:iCs/>
        </w:rPr>
        <w:t>In previous studies of MHT using an anchor-based approach, the MCID for reduction of moderate to severe VMS frequency was defined as &gt;25 VMS weekly (or &gt;3.57 episodes per day) (Constantine 2019</w:t>
      </w:r>
      <w:r w:rsidRPr="005A7226">
        <w:rPr>
          <w:iCs/>
          <w:vertAlign w:val="superscript"/>
        </w:rPr>
        <w:footnoteReference w:id="15"/>
      </w:r>
      <w:r w:rsidRPr="005A7226">
        <w:rPr>
          <w:iCs/>
        </w:rPr>
        <w:t>). The MCID for reduction in VMS severity was &gt;0.225 points at Week 12 on a three-point scale from 1 (mild) to 3 (severe) (Constantine 2020</w:t>
      </w:r>
      <w:r w:rsidRPr="005A7226">
        <w:rPr>
          <w:iCs/>
          <w:vertAlign w:val="superscript"/>
        </w:rPr>
        <w:footnoteReference w:id="16"/>
      </w:r>
      <w:r w:rsidRPr="005A7226">
        <w:rPr>
          <w:iCs/>
        </w:rPr>
        <w:t>).</w:t>
      </w:r>
      <w:r w:rsidR="00CF3273">
        <w:rPr>
          <w:iCs/>
        </w:rPr>
        <w:t xml:space="preserve"> The pre-PBAC response </w:t>
      </w:r>
      <w:r w:rsidR="00D87F10">
        <w:rPr>
          <w:iCs/>
        </w:rPr>
        <w:t xml:space="preserve">noted that </w:t>
      </w:r>
      <w:r w:rsidR="002A2B20">
        <w:rPr>
          <w:iCs/>
        </w:rPr>
        <w:t>other</w:t>
      </w:r>
      <w:r w:rsidR="006D0D18">
        <w:rPr>
          <w:iCs/>
        </w:rPr>
        <w:t xml:space="preserve"> regulatory agencies </w:t>
      </w:r>
      <w:r w:rsidR="005556A5">
        <w:rPr>
          <w:iCs/>
        </w:rPr>
        <w:t>have applied different MCIDs; the FDA</w:t>
      </w:r>
      <w:r w:rsidR="00693807">
        <w:rPr>
          <w:iCs/>
        </w:rPr>
        <w:t xml:space="preserve"> </w:t>
      </w:r>
      <w:r w:rsidR="00E47DA9">
        <w:rPr>
          <w:iCs/>
        </w:rPr>
        <w:t xml:space="preserve">and EMA </w:t>
      </w:r>
      <w:r w:rsidR="00693807">
        <w:rPr>
          <w:iCs/>
        </w:rPr>
        <w:t xml:space="preserve">identified a clinically meaningful reduction as a difference of 2 VMS episodes </w:t>
      </w:r>
      <w:r w:rsidR="00E47DA9">
        <w:rPr>
          <w:iCs/>
        </w:rPr>
        <w:t>per day</w:t>
      </w:r>
      <w:r w:rsidR="00C4167D">
        <w:rPr>
          <w:iCs/>
        </w:rPr>
        <w:t>.</w:t>
      </w:r>
    </w:p>
    <w:p w14:paraId="7F6E4216" w14:textId="77777777" w:rsidR="00A03320" w:rsidRPr="005A7226" w:rsidRDefault="00A03320" w:rsidP="00A03320">
      <w:pPr>
        <w:pStyle w:val="5-SubsectionSubheading"/>
        <w:rPr>
          <w:bCs/>
        </w:rPr>
      </w:pPr>
      <w:bookmarkStart w:id="31" w:name="_Toc135142376"/>
      <w:bookmarkStart w:id="32" w:name="_Toc155642574"/>
      <w:bookmarkStart w:id="33" w:name="_Toc155769095"/>
      <w:bookmarkStart w:id="34" w:name="_Toc188442563"/>
      <w:r w:rsidRPr="005A7226">
        <w:t>Trial results</w:t>
      </w:r>
      <w:bookmarkEnd w:id="31"/>
      <w:bookmarkEnd w:id="32"/>
      <w:bookmarkEnd w:id="33"/>
      <w:bookmarkEnd w:id="34"/>
    </w:p>
    <w:p w14:paraId="63260EBC" w14:textId="2F6AA906" w:rsidR="00D92C36" w:rsidRPr="005A7226" w:rsidRDefault="00563EC5" w:rsidP="00B53879">
      <w:pPr>
        <w:widowControl w:val="0"/>
        <w:numPr>
          <w:ilvl w:val="1"/>
          <w:numId w:val="1"/>
        </w:numPr>
        <w:spacing w:after="120"/>
        <w:ind w:left="720"/>
      </w:pPr>
      <w:r w:rsidRPr="005A7226">
        <w:fldChar w:fldCharType="begin"/>
      </w:r>
      <w:r w:rsidRPr="005A7226">
        <w:instrText xml:space="preserve"> REF _Ref184903064 \h </w:instrText>
      </w:r>
      <w:r w:rsidRPr="005A7226">
        <w:fldChar w:fldCharType="separate"/>
      </w:r>
      <w:r w:rsidR="00B11DA2" w:rsidRPr="005A7226">
        <w:t xml:space="preserve">Table </w:t>
      </w:r>
      <w:r w:rsidR="00B11DA2">
        <w:rPr>
          <w:noProof/>
        </w:rPr>
        <w:t>5</w:t>
      </w:r>
      <w:r w:rsidRPr="005A7226">
        <w:fldChar w:fldCharType="end"/>
      </w:r>
      <w:r w:rsidR="00A03320" w:rsidRPr="005A7226">
        <w:t xml:space="preserve"> and </w:t>
      </w:r>
      <w:r w:rsidRPr="005A7226">
        <w:fldChar w:fldCharType="begin"/>
      </w:r>
      <w:r w:rsidRPr="005A7226">
        <w:instrText xml:space="preserve"> REF _Ref184903095 \h </w:instrText>
      </w:r>
      <w:r w:rsidRPr="005A7226">
        <w:fldChar w:fldCharType="separate"/>
      </w:r>
      <w:r w:rsidR="00B11DA2" w:rsidRPr="005A7226">
        <w:t xml:space="preserve">Figure </w:t>
      </w:r>
      <w:r w:rsidR="00B11DA2">
        <w:rPr>
          <w:noProof/>
        </w:rPr>
        <w:t>1</w:t>
      </w:r>
      <w:r w:rsidRPr="005A7226">
        <w:fldChar w:fldCharType="end"/>
      </w:r>
      <w:r w:rsidR="00A03320" w:rsidRPr="005A7226">
        <w:t xml:space="preserve"> present the change from baseline in VMS (frequency and severity) at Week 12/24 (double-blind) to Week 52 (active extension) in the fezolinetant trials</w:t>
      </w:r>
      <w:r w:rsidR="00273F1D" w:rsidRPr="005A7226">
        <w:t xml:space="preserve"> f</w:t>
      </w:r>
      <w:r w:rsidR="00A03320" w:rsidRPr="005A7226">
        <w:rPr>
          <w:iCs/>
        </w:rPr>
        <w:t>or the fezolinetant 45 mg and placebo arms.</w:t>
      </w:r>
      <w:r w:rsidR="00194B08" w:rsidRPr="005A7226">
        <w:rPr>
          <w:iCs/>
        </w:rPr>
        <w:t xml:space="preserve"> </w:t>
      </w:r>
    </w:p>
    <w:p w14:paraId="5C452D6A" w14:textId="4229458A" w:rsidR="00A03320" w:rsidRPr="005A7226" w:rsidRDefault="53F95D70" w:rsidP="009C7CA5">
      <w:pPr>
        <w:pStyle w:val="Caption"/>
      </w:pPr>
      <w:bookmarkStart w:id="35" w:name="_Ref184903064"/>
      <w:r w:rsidRPr="005A7226">
        <w:t xml:space="preserve">Table </w:t>
      </w:r>
      <w:r w:rsidRPr="005A7226">
        <w:fldChar w:fldCharType="begin"/>
      </w:r>
      <w:r w:rsidRPr="005A7226">
        <w:instrText>SEQ Table \* ARABIC</w:instrText>
      </w:r>
      <w:r w:rsidRPr="005A7226">
        <w:fldChar w:fldCharType="separate"/>
      </w:r>
      <w:r w:rsidR="00B11DA2">
        <w:rPr>
          <w:noProof/>
        </w:rPr>
        <w:t>5</w:t>
      </w:r>
      <w:r w:rsidRPr="005A7226">
        <w:fldChar w:fldCharType="end"/>
      </w:r>
      <w:bookmarkEnd w:id="35"/>
      <w:r w:rsidR="22974BD5" w:rsidRPr="005A7226">
        <w:t>:</w:t>
      </w:r>
      <w:r w:rsidRPr="005A7226">
        <w:t xml:space="preserve"> </w:t>
      </w:r>
      <w:r w:rsidR="006D7D3F" w:rsidRPr="005A7226">
        <w:t>C</w:t>
      </w:r>
      <w:r w:rsidRPr="005A7226">
        <w:t>hange from baseline in moderate to severe VMS (frequency and severity) at Week 12/24 in the included fezolinetant trials (double-blind period)</w:t>
      </w:r>
    </w:p>
    <w:tbl>
      <w:tblPr>
        <w:tblStyle w:val="TableGrid"/>
        <w:tblW w:w="5000" w:type="pct"/>
        <w:tblCellMar>
          <w:left w:w="28" w:type="dxa"/>
          <w:right w:w="28" w:type="dxa"/>
        </w:tblCellMar>
        <w:tblLook w:val="04A0" w:firstRow="1" w:lastRow="0" w:firstColumn="1" w:lastColumn="0" w:noHBand="0" w:noVBand="1"/>
        <w:tblCaption w:val="Table 5: Change from baseline in moderate to severe VMS (frequency and severity) at Week 12/24 in the included fezolinetant trials (double-blind period)"/>
      </w:tblPr>
      <w:tblGrid>
        <w:gridCol w:w="4808"/>
        <w:gridCol w:w="1165"/>
        <w:gridCol w:w="1277"/>
        <w:gridCol w:w="1767"/>
      </w:tblGrid>
      <w:tr w:rsidR="00A03320" w:rsidRPr="005A7226" w14:paraId="0936A8C4" w14:textId="77777777" w:rsidTr="00D92C36">
        <w:tc>
          <w:tcPr>
            <w:tcW w:w="2666" w:type="pct"/>
          </w:tcPr>
          <w:p w14:paraId="64EC27B4" w14:textId="77777777" w:rsidR="00A03320" w:rsidRPr="005A7226" w:rsidRDefault="00A03320" w:rsidP="009C7CA5">
            <w:pPr>
              <w:keepNext/>
              <w:keepLines/>
              <w:rPr>
                <w:rFonts w:ascii="Arial Narrow" w:hAnsi="Arial Narrow"/>
                <w:b/>
                <w:sz w:val="20"/>
                <w:szCs w:val="20"/>
              </w:rPr>
            </w:pPr>
            <w:r w:rsidRPr="005A7226">
              <w:rPr>
                <w:rFonts w:ascii="Arial Narrow" w:hAnsi="Arial Narrow"/>
                <w:b/>
                <w:sz w:val="20"/>
                <w:szCs w:val="20"/>
              </w:rPr>
              <w:t>Outcome</w:t>
            </w:r>
          </w:p>
        </w:tc>
        <w:tc>
          <w:tcPr>
            <w:tcW w:w="646" w:type="pct"/>
            <w:vAlign w:val="center"/>
          </w:tcPr>
          <w:p w14:paraId="52BC0951" w14:textId="62D18962"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FEZ 45</w:t>
            </w:r>
            <w:r w:rsidR="00A226E8" w:rsidRPr="005A7226">
              <w:rPr>
                <w:rFonts w:ascii="Arial Narrow" w:hAnsi="Arial Narrow"/>
                <w:b/>
                <w:sz w:val="20"/>
                <w:szCs w:val="20"/>
              </w:rPr>
              <w:t xml:space="preserve"> mg</w:t>
            </w:r>
          </w:p>
        </w:tc>
        <w:tc>
          <w:tcPr>
            <w:tcW w:w="708" w:type="pct"/>
            <w:vAlign w:val="center"/>
          </w:tcPr>
          <w:p w14:paraId="12BE5BF8"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PBO</w:t>
            </w:r>
          </w:p>
        </w:tc>
        <w:tc>
          <w:tcPr>
            <w:tcW w:w="980" w:type="pct"/>
            <w:vAlign w:val="center"/>
          </w:tcPr>
          <w:p w14:paraId="2BDAF005" w14:textId="522F92D6"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Difference (95%CI)</w:t>
            </w:r>
            <w:r w:rsidR="000C35B6" w:rsidRPr="005A7226">
              <w:rPr>
                <w:rFonts w:ascii="Arial Narrow" w:hAnsi="Arial Narrow"/>
                <w:b/>
                <w:sz w:val="20"/>
                <w:szCs w:val="20"/>
              </w:rPr>
              <w:t xml:space="preserve"> </w:t>
            </w:r>
            <w:r w:rsidR="000C35B6" w:rsidRPr="005A7226">
              <w:rPr>
                <w:rFonts w:ascii="Arial Narrow" w:hAnsi="Arial Narrow"/>
                <w:sz w:val="20"/>
                <w:szCs w:val="20"/>
                <w:vertAlign w:val="superscript"/>
              </w:rPr>
              <w:t>j</w:t>
            </w:r>
          </w:p>
        </w:tc>
      </w:tr>
      <w:tr w:rsidR="00A03320" w:rsidRPr="005A7226" w14:paraId="265253C8" w14:textId="77777777" w:rsidTr="00D92C36">
        <w:tc>
          <w:tcPr>
            <w:tcW w:w="5000" w:type="pct"/>
            <w:gridSpan w:val="4"/>
            <w:vAlign w:val="center"/>
          </w:tcPr>
          <w:p w14:paraId="10F51C7B" w14:textId="345ACCE1" w:rsidR="00A03320" w:rsidRPr="005A7226" w:rsidRDefault="00A03320" w:rsidP="009C7CA5">
            <w:pPr>
              <w:keepNext/>
              <w:keepLines/>
              <w:jc w:val="left"/>
              <w:rPr>
                <w:rFonts w:ascii="Arial Narrow" w:hAnsi="Arial Narrow"/>
                <w:b/>
                <w:sz w:val="20"/>
                <w:szCs w:val="20"/>
              </w:rPr>
            </w:pPr>
            <w:r w:rsidRPr="005A7226">
              <w:rPr>
                <w:rFonts w:ascii="Arial Narrow" w:hAnsi="Arial Narrow"/>
                <w:b/>
                <w:sz w:val="20"/>
                <w:szCs w:val="20"/>
              </w:rPr>
              <w:t>LS mean (SE) change from baseline in mean frequency of moderate-severe VMS per 24h</w:t>
            </w:r>
            <w:r w:rsidR="00865826" w:rsidRPr="005A7226">
              <w:rPr>
                <w:rFonts w:ascii="Arial Narrow" w:hAnsi="Arial Narrow"/>
                <w:b/>
                <w:sz w:val="20"/>
                <w:szCs w:val="20"/>
                <w:vertAlign w:val="superscript"/>
              </w:rPr>
              <w:t>h</w:t>
            </w:r>
          </w:p>
        </w:tc>
      </w:tr>
      <w:tr w:rsidR="00A03320" w:rsidRPr="005A7226" w14:paraId="07C806F3" w14:textId="77777777" w:rsidTr="00D92C36">
        <w:tc>
          <w:tcPr>
            <w:tcW w:w="2666" w:type="pct"/>
          </w:tcPr>
          <w:p w14:paraId="3F64E2DE" w14:textId="3DEBB7B4"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1,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865826" w:rsidRPr="005A7226">
              <w:rPr>
                <w:rFonts w:ascii="Arial Narrow" w:hAnsi="Arial Narrow"/>
                <w:sz w:val="20"/>
                <w:szCs w:val="20"/>
                <w:vertAlign w:val="superscript"/>
              </w:rPr>
              <w:t>g</w:t>
            </w:r>
          </w:p>
        </w:tc>
        <w:tc>
          <w:tcPr>
            <w:tcW w:w="646" w:type="pct"/>
            <w:vAlign w:val="center"/>
          </w:tcPr>
          <w:p w14:paraId="1C6035DE"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-6.44 (0.31)</w:t>
            </w:r>
          </w:p>
        </w:tc>
        <w:tc>
          <w:tcPr>
            <w:tcW w:w="708" w:type="pct"/>
            <w:vAlign w:val="center"/>
          </w:tcPr>
          <w:p w14:paraId="31FF499C"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-3.90 (0.31)</w:t>
            </w:r>
          </w:p>
        </w:tc>
        <w:tc>
          <w:tcPr>
            <w:tcW w:w="980" w:type="pct"/>
            <w:vAlign w:val="center"/>
          </w:tcPr>
          <w:p w14:paraId="29B7B5D9"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-2.55 (-3.40, -1.70)</w:t>
            </w:r>
          </w:p>
        </w:tc>
      </w:tr>
      <w:tr w:rsidR="00A03320" w:rsidRPr="005A7226" w14:paraId="67F9581D" w14:textId="77777777" w:rsidTr="00D92C36">
        <w:tc>
          <w:tcPr>
            <w:tcW w:w="2666" w:type="pct"/>
          </w:tcPr>
          <w:p w14:paraId="1FBF45D6" w14:textId="0F23FE13"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2,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865826" w:rsidRPr="005A7226">
              <w:rPr>
                <w:rFonts w:ascii="Arial Narrow" w:hAnsi="Arial Narrow"/>
                <w:sz w:val="20"/>
                <w:szCs w:val="20"/>
                <w:vertAlign w:val="superscript"/>
              </w:rPr>
              <w:t>g</w:t>
            </w:r>
          </w:p>
        </w:tc>
        <w:tc>
          <w:tcPr>
            <w:tcW w:w="646" w:type="pct"/>
            <w:vAlign w:val="center"/>
          </w:tcPr>
          <w:p w14:paraId="07E6E701"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-7.50 (0.39)</w:t>
            </w:r>
          </w:p>
        </w:tc>
        <w:tc>
          <w:tcPr>
            <w:tcW w:w="708" w:type="pct"/>
            <w:vAlign w:val="center"/>
          </w:tcPr>
          <w:p w14:paraId="4038D70C"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-4.97 (0.39)</w:t>
            </w:r>
          </w:p>
        </w:tc>
        <w:tc>
          <w:tcPr>
            <w:tcW w:w="980" w:type="pct"/>
            <w:vAlign w:val="center"/>
          </w:tcPr>
          <w:p w14:paraId="5F9EBE59"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-2.53 (-3.60, -1.46)</w:t>
            </w:r>
          </w:p>
        </w:tc>
      </w:tr>
      <w:tr w:rsidR="00A03320" w:rsidRPr="005A7226" w14:paraId="3DB7D05B" w14:textId="77777777" w:rsidTr="00D92C36">
        <w:tc>
          <w:tcPr>
            <w:tcW w:w="2666" w:type="pct"/>
          </w:tcPr>
          <w:p w14:paraId="63B62D12" w14:textId="2F3795EA"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1 &amp; 2 pooled,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EC3867" w:rsidRPr="005A7226">
              <w:rPr>
                <w:rFonts w:ascii="Arial Narrow" w:hAnsi="Arial Narrow"/>
                <w:sz w:val="20"/>
                <w:szCs w:val="20"/>
                <w:vertAlign w:val="superscript"/>
              </w:rPr>
              <w:t xml:space="preserve"> j</w:t>
            </w:r>
          </w:p>
        </w:tc>
        <w:tc>
          <w:tcPr>
            <w:tcW w:w="646" w:type="pct"/>
            <w:vAlign w:val="center"/>
          </w:tcPr>
          <w:p w14:paraId="5EEBF1E4"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NR</w:t>
            </w:r>
          </w:p>
        </w:tc>
        <w:tc>
          <w:tcPr>
            <w:tcW w:w="708" w:type="pct"/>
            <w:vAlign w:val="center"/>
          </w:tcPr>
          <w:p w14:paraId="1CAB9651"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NR</w:t>
            </w:r>
          </w:p>
        </w:tc>
        <w:tc>
          <w:tcPr>
            <w:tcW w:w="980" w:type="pct"/>
            <w:vAlign w:val="center"/>
          </w:tcPr>
          <w:p w14:paraId="7DB256C5"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-2.51 (-3.20, -1.82)</w:t>
            </w:r>
          </w:p>
        </w:tc>
      </w:tr>
      <w:tr w:rsidR="00A03320" w:rsidRPr="005A7226" w14:paraId="12E39E0A" w14:textId="77777777" w:rsidTr="00D92C36">
        <w:tc>
          <w:tcPr>
            <w:tcW w:w="2666" w:type="pct"/>
          </w:tcPr>
          <w:p w14:paraId="4FC11896" w14:textId="1919A698"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DAYLIGHT, FEZ 45 v PBO,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EC3867" w:rsidRPr="005A7226">
              <w:rPr>
                <w:rFonts w:ascii="Arial Narrow" w:hAnsi="Arial Narrow"/>
                <w:sz w:val="20"/>
                <w:szCs w:val="20"/>
                <w:vertAlign w:val="superscript"/>
              </w:rPr>
              <w:t xml:space="preserve"> j</w:t>
            </w:r>
          </w:p>
        </w:tc>
        <w:tc>
          <w:tcPr>
            <w:tcW w:w="646" w:type="pct"/>
            <w:vAlign w:val="center"/>
          </w:tcPr>
          <w:p w14:paraId="3DD9110D"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-7.65 (0.25)</w:t>
            </w:r>
          </w:p>
        </w:tc>
        <w:tc>
          <w:tcPr>
            <w:tcW w:w="708" w:type="pct"/>
            <w:vAlign w:val="center"/>
          </w:tcPr>
          <w:p w14:paraId="4B700267"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-5.69 (0.25)</w:t>
            </w:r>
          </w:p>
        </w:tc>
        <w:tc>
          <w:tcPr>
            <w:tcW w:w="980" w:type="pct"/>
            <w:vAlign w:val="center"/>
          </w:tcPr>
          <w:p w14:paraId="23190BBA"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-1.96 (0.35)</w:t>
            </w:r>
            <w:r w:rsidRPr="005A7226">
              <w:rPr>
                <w:rFonts w:ascii="Arial Narrow" w:hAnsi="Arial Narrow"/>
                <w:b/>
                <w:sz w:val="20"/>
                <w:szCs w:val="20"/>
                <w:vertAlign w:val="superscript"/>
              </w:rPr>
              <w:t>d</w:t>
            </w:r>
          </w:p>
        </w:tc>
      </w:tr>
      <w:tr w:rsidR="00A03320" w:rsidRPr="005A7226" w14:paraId="095CCB39" w14:textId="77777777" w:rsidTr="00D92C36">
        <w:tc>
          <w:tcPr>
            <w:tcW w:w="2666" w:type="pct"/>
          </w:tcPr>
          <w:p w14:paraId="41329357" w14:textId="370F5C60"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24</w:t>
            </w:r>
            <w:r w:rsidR="00865826" w:rsidRPr="005A7226">
              <w:rPr>
                <w:rFonts w:ascii="Arial Narrow" w:hAnsi="Arial Narrow"/>
                <w:sz w:val="20"/>
                <w:szCs w:val="20"/>
                <w:vertAlign w:val="superscript"/>
              </w:rPr>
              <w:t>g</w:t>
            </w:r>
          </w:p>
        </w:tc>
        <w:tc>
          <w:tcPr>
            <w:tcW w:w="646" w:type="pct"/>
            <w:vAlign w:val="center"/>
          </w:tcPr>
          <w:p w14:paraId="4C4B42CD"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-6.20 (0.26)</w:t>
            </w:r>
          </w:p>
        </w:tc>
        <w:tc>
          <w:tcPr>
            <w:tcW w:w="708" w:type="pct"/>
            <w:vAlign w:val="center"/>
          </w:tcPr>
          <w:p w14:paraId="7E4E9646"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-8.13 (0.25)</w:t>
            </w:r>
          </w:p>
        </w:tc>
        <w:tc>
          <w:tcPr>
            <w:tcW w:w="980" w:type="pct"/>
            <w:vAlign w:val="center"/>
          </w:tcPr>
          <w:p w14:paraId="27E7F989"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-1.93 (0.36)</w:t>
            </w:r>
            <w:r w:rsidRPr="005A7226">
              <w:rPr>
                <w:rFonts w:ascii="Arial Narrow" w:hAnsi="Arial Narrow"/>
                <w:b/>
                <w:sz w:val="20"/>
                <w:szCs w:val="20"/>
                <w:vertAlign w:val="superscript"/>
              </w:rPr>
              <w:t>d</w:t>
            </w:r>
          </w:p>
        </w:tc>
      </w:tr>
      <w:tr w:rsidR="00A03320" w:rsidRPr="005A7226" w14:paraId="333979A6" w14:textId="77777777" w:rsidTr="00D92C36">
        <w:tc>
          <w:tcPr>
            <w:tcW w:w="2666" w:type="pct"/>
          </w:tcPr>
          <w:p w14:paraId="47ED0400" w14:textId="77777777"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1 &amp; 2 pooled,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c</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646" w:type="pct"/>
            <w:vAlign w:val="center"/>
          </w:tcPr>
          <w:p w14:paraId="6ABF59FA"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-6.97 (0.27)</w:t>
            </w:r>
          </w:p>
        </w:tc>
        <w:tc>
          <w:tcPr>
            <w:tcW w:w="708" w:type="pct"/>
            <w:vAlign w:val="center"/>
          </w:tcPr>
          <w:p w14:paraId="49EBADD4"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-4.42 (0.27)</w:t>
            </w:r>
          </w:p>
        </w:tc>
        <w:tc>
          <w:tcPr>
            <w:tcW w:w="980" w:type="pct"/>
            <w:vAlign w:val="center"/>
          </w:tcPr>
          <w:p w14:paraId="717867F8"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-2.55 (-3.29, -1.80)</w:t>
            </w:r>
          </w:p>
        </w:tc>
      </w:tr>
      <w:tr w:rsidR="00A03320" w:rsidRPr="005A7226" w14:paraId="0AD51A80" w14:textId="77777777" w:rsidTr="00D92C36">
        <w:tc>
          <w:tcPr>
            <w:tcW w:w="2666" w:type="pct"/>
          </w:tcPr>
          <w:p w14:paraId="3EFCA627" w14:textId="77777777"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DAYLIGHT, SKYLIGHT 1 &amp; 2 pooled, MHT unsuitable,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646" w:type="pct"/>
            <w:vAlign w:val="center"/>
          </w:tcPr>
          <w:p w14:paraId="7D7EFFA1"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-7.16 (4.56)</w:t>
            </w:r>
            <w:r w:rsidRPr="005A7226">
              <w:rPr>
                <w:rFonts w:ascii="Arial Narrow" w:hAnsi="Arial Narrow"/>
                <w:sz w:val="20"/>
                <w:szCs w:val="20"/>
                <w:vertAlign w:val="superscript"/>
              </w:rPr>
              <w:t>e</w:t>
            </w:r>
          </w:p>
        </w:tc>
        <w:tc>
          <w:tcPr>
            <w:tcW w:w="708" w:type="pct"/>
            <w:vAlign w:val="center"/>
          </w:tcPr>
          <w:p w14:paraId="0C21BF0C"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-4.89 (4.39)</w:t>
            </w:r>
            <w:r w:rsidRPr="005A7226">
              <w:rPr>
                <w:rFonts w:ascii="Arial Narrow" w:hAnsi="Arial Narrow"/>
                <w:sz w:val="20"/>
                <w:szCs w:val="20"/>
                <w:vertAlign w:val="superscript"/>
              </w:rPr>
              <w:t>e</w:t>
            </w:r>
          </w:p>
        </w:tc>
        <w:tc>
          <w:tcPr>
            <w:tcW w:w="980" w:type="pct"/>
            <w:vAlign w:val="center"/>
          </w:tcPr>
          <w:p w14:paraId="05AAF712"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-2.27 (-2.82, -1.72)</w:t>
            </w:r>
            <w:r w:rsidRPr="005A7226">
              <w:rPr>
                <w:rFonts w:ascii="Arial Narrow" w:hAnsi="Arial Narrow"/>
                <w:b/>
                <w:sz w:val="20"/>
                <w:szCs w:val="20"/>
                <w:vertAlign w:val="superscript"/>
              </w:rPr>
              <w:t>f</w:t>
            </w:r>
          </w:p>
        </w:tc>
      </w:tr>
      <w:tr w:rsidR="00A03320" w:rsidRPr="005A7226" w14:paraId="6C997086" w14:textId="77777777" w:rsidTr="00D92C36">
        <w:tc>
          <w:tcPr>
            <w:tcW w:w="5000" w:type="pct"/>
            <w:gridSpan w:val="4"/>
            <w:vAlign w:val="center"/>
          </w:tcPr>
          <w:p w14:paraId="2C665361" w14:textId="6394195D" w:rsidR="00A03320" w:rsidRPr="005A7226" w:rsidRDefault="00A03320" w:rsidP="009C7CA5">
            <w:pPr>
              <w:keepNext/>
              <w:keepLines/>
              <w:jc w:val="left"/>
              <w:rPr>
                <w:rFonts w:ascii="Arial Narrow" w:hAnsi="Arial Narrow"/>
                <w:b/>
                <w:sz w:val="20"/>
                <w:szCs w:val="20"/>
              </w:rPr>
            </w:pPr>
            <w:r w:rsidRPr="005A7226">
              <w:rPr>
                <w:rFonts w:ascii="Arial Narrow" w:hAnsi="Arial Narrow"/>
                <w:b/>
                <w:sz w:val="20"/>
                <w:szCs w:val="20"/>
              </w:rPr>
              <w:t xml:space="preserve">LS mean (SE) change from baseline in mean severity of moderate-severe </w:t>
            </w:r>
            <w:proofErr w:type="spellStart"/>
            <w:r w:rsidRPr="005A7226">
              <w:rPr>
                <w:rFonts w:ascii="Arial Narrow" w:hAnsi="Arial Narrow"/>
                <w:b/>
                <w:sz w:val="20"/>
                <w:szCs w:val="20"/>
              </w:rPr>
              <w:t>VMS</w:t>
            </w:r>
            <w:r w:rsidR="00A226E8" w:rsidRPr="005A7226">
              <w:rPr>
                <w:rFonts w:ascii="Arial Narrow" w:hAnsi="Arial Narrow"/>
                <w:b/>
                <w:sz w:val="20"/>
                <w:szCs w:val="20"/>
                <w:vertAlign w:val="superscript"/>
              </w:rPr>
              <w:t>i</w:t>
            </w:r>
            <w:proofErr w:type="spellEnd"/>
            <w:r w:rsidRPr="005A7226">
              <w:rPr>
                <w:rFonts w:ascii="Arial Narrow" w:hAnsi="Arial Narrow"/>
                <w:b/>
                <w:sz w:val="20"/>
                <w:szCs w:val="20"/>
              </w:rPr>
              <w:t xml:space="preserve"> per 24h</w:t>
            </w:r>
            <w:r w:rsidR="00865826" w:rsidRPr="005A7226">
              <w:rPr>
                <w:rFonts w:ascii="Arial Narrow" w:hAnsi="Arial Narrow"/>
                <w:b/>
                <w:sz w:val="20"/>
                <w:szCs w:val="20"/>
                <w:vertAlign w:val="superscript"/>
              </w:rPr>
              <w:t>h</w:t>
            </w:r>
          </w:p>
        </w:tc>
      </w:tr>
      <w:tr w:rsidR="00A03320" w:rsidRPr="005A7226" w14:paraId="2994AAA1" w14:textId="77777777" w:rsidTr="00D92C36">
        <w:tc>
          <w:tcPr>
            <w:tcW w:w="2666" w:type="pct"/>
          </w:tcPr>
          <w:p w14:paraId="557EBF09" w14:textId="5AEB400A"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1,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865826" w:rsidRPr="005A7226">
              <w:rPr>
                <w:rFonts w:ascii="Arial Narrow" w:hAnsi="Arial Narrow"/>
                <w:sz w:val="20"/>
                <w:szCs w:val="20"/>
                <w:vertAlign w:val="superscript"/>
              </w:rPr>
              <w:t>g</w:t>
            </w:r>
            <w:r w:rsidR="000C35B6" w:rsidRPr="005A7226">
              <w:rPr>
                <w:rFonts w:ascii="Arial Narrow" w:hAnsi="Arial Narrow"/>
                <w:sz w:val="20"/>
                <w:szCs w:val="20"/>
                <w:vertAlign w:val="superscript"/>
              </w:rPr>
              <w:t xml:space="preserve"> j</w:t>
            </w:r>
          </w:p>
        </w:tc>
        <w:tc>
          <w:tcPr>
            <w:tcW w:w="646" w:type="pct"/>
            <w:vAlign w:val="center"/>
          </w:tcPr>
          <w:p w14:paraId="7A73ADEF"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-0.57 (0.05)</w:t>
            </w:r>
          </w:p>
        </w:tc>
        <w:tc>
          <w:tcPr>
            <w:tcW w:w="708" w:type="pct"/>
            <w:vAlign w:val="center"/>
          </w:tcPr>
          <w:p w14:paraId="42E498B8"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-0.37 (0.05)</w:t>
            </w:r>
          </w:p>
        </w:tc>
        <w:tc>
          <w:tcPr>
            <w:tcW w:w="980" w:type="pct"/>
            <w:vAlign w:val="center"/>
          </w:tcPr>
          <w:p w14:paraId="56C39E17"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-0.20 (-0.35, -0.06)</w:t>
            </w:r>
          </w:p>
        </w:tc>
      </w:tr>
      <w:tr w:rsidR="00A03320" w:rsidRPr="005A7226" w14:paraId="4E853FBE" w14:textId="77777777" w:rsidTr="00D92C36">
        <w:tc>
          <w:tcPr>
            <w:tcW w:w="2666" w:type="pct"/>
          </w:tcPr>
          <w:p w14:paraId="4762A6E6" w14:textId="6B5B825B"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2,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865826" w:rsidRPr="005A7226">
              <w:rPr>
                <w:rFonts w:ascii="Arial Narrow" w:hAnsi="Arial Narrow"/>
                <w:sz w:val="20"/>
                <w:szCs w:val="20"/>
                <w:vertAlign w:val="superscript"/>
              </w:rPr>
              <w:t>g</w:t>
            </w:r>
            <w:r w:rsidR="000C35B6" w:rsidRPr="005A7226">
              <w:rPr>
                <w:rFonts w:ascii="Arial Narrow" w:hAnsi="Arial Narrow"/>
                <w:sz w:val="20"/>
                <w:szCs w:val="20"/>
                <w:vertAlign w:val="superscript"/>
              </w:rPr>
              <w:t xml:space="preserve"> j</w:t>
            </w:r>
          </w:p>
        </w:tc>
        <w:tc>
          <w:tcPr>
            <w:tcW w:w="646" w:type="pct"/>
            <w:vAlign w:val="center"/>
          </w:tcPr>
          <w:p w14:paraId="2EA9992D"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-0.77 (0.06)</w:t>
            </w:r>
          </w:p>
        </w:tc>
        <w:tc>
          <w:tcPr>
            <w:tcW w:w="708" w:type="pct"/>
            <w:vAlign w:val="center"/>
          </w:tcPr>
          <w:p w14:paraId="3B662219"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-0.48 (0.06)</w:t>
            </w:r>
          </w:p>
        </w:tc>
        <w:tc>
          <w:tcPr>
            <w:tcW w:w="980" w:type="pct"/>
            <w:vAlign w:val="center"/>
          </w:tcPr>
          <w:p w14:paraId="5836EF40"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-0.29 (-0.45, -0.13)</w:t>
            </w:r>
          </w:p>
        </w:tc>
      </w:tr>
      <w:tr w:rsidR="00A03320" w:rsidRPr="005A7226" w14:paraId="2433B9CD" w14:textId="77777777" w:rsidTr="00D92C36">
        <w:tc>
          <w:tcPr>
            <w:tcW w:w="2666" w:type="pct"/>
          </w:tcPr>
          <w:p w14:paraId="68EB3F87" w14:textId="5BD9A2C4"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1 &amp; 2 pooled,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0C35B6" w:rsidRPr="005A7226">
              <w:rPr>
                <w:rFonts w:ascii="Arial Narrow" w:hAnsi="Arial Narrow"/>
                <w:sz w:val="20"/>
                <w:szCs w:val="20"/>
              </w:rPr>
              <w:t xml:space="preserve"> </w:t>
            </w:r>
            <w:r w:rsidR="000C35B6" w:rsidRPr="005A7226">
              <w:rPr>
                <w:rFonts w:ascii="Arial Narrow" w:hAnsi="Arial Narrow"/>
                <w:sz w:val="20"/>
                <w:szCs w:val="20"/>
                <w:vertAlign w:val="superscript"/>
              </w:rPr>
              <w:t>j</w:t>
            </w:r>
          </w:p>
        </w:tc>
        <w:tc>
          <w:tcPr>
            <w:tcW w:w="646" w:type="pct"/>
            <w:vAlign w:val="center"/>
          </w:tcPr>
          <w:p w14:paraId="23F10047"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NR</w:t>
            </w:r>
          </w:p>
        </w:tc>
        <w:tc>
          <w:tcPr>
            <w:tcW w:w="708" w:type="pct"/>
            <w:vAlign w:val="center"/>
          </w:tcPr>
          <w:p w14:paraId="6FA45C49"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NR</w:t>
            </w:r>
          </w:p>
        </w:tc>
        <w:tc>
          <w:tcPr>
            <w:tcW w:w="980" w:type="pct"/>
            <w:vAlign w:val="center"/>
          </w:tcPr>
          <w:p w14:paraId="0F755B14"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-0.24 (-0.35, -0.13)</w:t>
            </w:r>
          </w:p>
        </w:tc>
      </w:tr>
      <w:tr w:rsidR="00A03320" w:rsidRPr="005A7226" w14:paraId="44A08FB6" w14:textId="77777777" w:rsidTr="00D92C36">
        <w:tc>
          <w:tcPr>
            <w:tcW w:w="2666" w:type="pct"/>
          </w:tcPr>
          <w:p w14:paraId="6F6BB567" w14:textId="20346461"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0C35B6" w:rsidRPr="005A7226">
              <w:rPr>
                <w:rFonts w:ascii="Arial Narrow" w:hAnsi="Arial Narrow"/>
                <w:sz w:val="20"/>
                <w:szCs w:val="20"/>
              </w:rPr>
              <w:t xml:space="preserve"> </w:t>
            </w:r>
            <w:r w:rsidR="000C35B6" w:rsidRPr="005A7226">
              <w:rPr>
                <w:rFonts w:ascii="Arial Narrow" w:hAnsi="Arial Narrow"/>
                <w:sz w:val="20"/>
                <w:szCs w:val="20"/>
                <w:vertAlign w:val="superscript"/>
              </w:rPr>
              <w:t>j</w:t>
            </w:r>
          </w:p>
        </w:tc>
        <w:tc>
          <w:tcPr>
            <w:tcW w:w="646" w:type="pct"/>
            <w:vAlign w:val="center"/>
          </w:tcPr>
          <w:p w14:paraId="121B18A5"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-0.87 (0.05)</w:t>
            </w:r>
          </w:p>
        </w:tc>
        <w:tc>
          <w:tcPr>
            <w:tcW w:w="708" w:type="pct"/>
            <w:vAlign w:val="center"/>
          </w:tcPr>
          <w:p w14:paraId="348D3EE5"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-0.57 (0.06)</w:t>
            </w:r>
          </w:p>
        </w:tc>
        <w:tc>
          <w:tcPr>
            <w:tcW w:w="980" w:type="pct"/>
            <w:vAlign w:val="center"/>
          </w:tcPr>
          <w:p w14:paraId="29B29F93"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-0.30 (0.08)</w:t>
            </w:r>
            <w:r w:rsidRPr="005A7226">
              <w:rPr>
                <w:rFonts w:ascii="Arial Narrow" w:hAnsi="Arial Narrow"/>
                <w:b/>
                <w:sz w:val="20"/>
                <w:szCs w:val="20"/>
                <w:vertAlign w:val="superscript"/>
              </w:rPr>
              <w:t>d</w:t>
            </w:r>
          </w:p>
        </w:tc>
      </w:tr>
      <w:tr w:rsidR="00A03320" w:rsidRPr="005A7226" w14:paraId="4161EE1D" w14:textId="77777777" w:rsidTr="00D92C36">
        <w:tc>
          <w:tcPr>
            <w:tcW w:w="2666" w:type="pct"/>
          </w:tcPr>
          <w:p w14:paraId="5EB613A1" w14:textId="77777777"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24</w:t>
            </w:r>
          </w:p>
        </w:tc>
        <w:tc>
          <w:tcPr>
            <w:tcW w:w="646" w:type="pct"/>
            <w:vAlign w:val="center"/>
          </w:tcPr>
          <w:p w14:paraId="0A1BF184"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-1.01 (0.06)</w:t>
            </w:r>
          </w:p>
        </w:tc>
        <w:tc>
          <w:tcPr>
            <w:tcW w:w="708" w:type="pct"/>
            <w:vAlign w:val="center"/>
          </w:tcPr>
          <w:p w14:paraId="6D0D0940"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-0.62 (0.06)</w:t>
            </w:r>
          </w:p>
        </w:tc>
        <w:tc>
          <w:tcPr>
            <w:tcW w:w="980" w:type="pct"/>
            <w:vAlign w:val="center"/>
          </w:tcPr>
          <w:p w14:paraId="2828D436"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-0.39 (0.09)</w:t>
            </w:r>
            <w:r w:rsidRPr="005A7226">
              <w:rPr>
                <w:rFonts w:ascii="Arial Narrow" w:hAnsi="Arial Narrow"/>
                <w:b/>
                <w:sz w:val="20"/>
                <w:szCs w:val="20"/>
                <w:vertAlign w:val="superscript"/>
              </w:rPr>
              <w:t>d</w:t>
            </w:r>
          </w:p>
        </w:tc>
      </w:tr>
      <w:tr w:rsidR="00A03320" w:rsidRPr="005A7226" w14:paraId="28AE817E" w14:textId="77777777" w:rsidTr="00D92C36">
        <w:tc>
          <w:tcPr>
            <w:tcW w:w="2666" w:type="pct"/>
          </w:tcPr>
          <w:p w14:paraId="64F8A7D9" w14:textId="77777777" w:rsidR="00A03320" w:rsidRPr="005A7226" w:rsidRDefault="00A03320" w:rsidP="009C7CA5">
            <w:pPr>
              <w:keepNext/>
              <w:keepLines/>
              <w:rPr>
                <w:rFonts w:ascii="Arial Narrow" w:hAnsi="Arial Narrow"/>
                <w:sz w:val="20"/>
                <w:szCs w:val="20"/>
              </w:rPr>
            </w:pPr>
            <w:r w:rsidRPr="005A7226">
              <w:rPr>
                <w:rFonts w:ascii="Arial Narrow" w:hAnsi="Arial Narrow"/>
                <w:sz w:val="20"/>
                <w:szCs w:val="20"/>
              </w:rPr>
              <w:t xml:space="preserve">SKYLIGHT 1 &amp; 2 pooled,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c</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646" w:type="pct"/>
            <w:vAlign w:val="center"/>
          </w:tcPr>
          <w:p w14:paraId="324C1D74"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-0.71 (0.04)</w:t>
            </w:r>
          </w:p>
        </w:tc>
        <w:tc>
          <w:tcPr>
            <w:tcW w:w="708" w:type="pct"/>
            <w:vAlign w:val="center"/>
          </w:tcPr>
          <w:p w14:paraId="2D12BB04" w14:textId="77777777" w:rsidR="00A03320" w:rsidRPr="005A7226" w:rsidRDefault="00A03320" w:rsidP="009C7CA5">
            <w:pPr>
              <w:keepNext/>
              <w:keepLines/>
              <w:jc w:val="center"/>
              <w:rPr>
                <w:rFonts w:ascii="Arial Narrow" w:hAnsi="Arial Narrow"/>
                <w:sz w:val="20"/>
                <w:szCs w:val="20"/>
              </w:rPr>
            </w:pPr>
            <w:r w:rsidRPr="005A7226">
              <w:rPr>
                <w:rFonts w:ascii="Arial Narrow" w:hAnsi="Arial Narrow"/>
                <w:sz w:val="20"/>
                <w:szCs w:val="20"/>
              </w:rPr>
              <w:t>-0.43 (0.04)</w:t>
            </w:r>
          </w:p>
        </w:tc>
        <w:tc>
          <w:tcPr>
            <w:tcW w:w="980" w:type="pct"/>
            <w:vAlign w:val="center"/>
          </w:tcPr>
          <w:p w14:paraId="429D540E" w14:textId="77777777" w:rsidR="00A03320" w:rsidRPr="005A7226" w:rsidRDefault="00A03320" w:rsidP="009C7CA5">
            <w:pPr>
              <w:keepNext/>
              <w:keepLines/>
              <w:jc w:val="center"/>
              <w:rPr>
                <w:rFonts w:ascii="Arial Narrow" w:hAnsi="Arial Narrow"/>
                <w:b/>
                <w:sz w:val="20"/>
                <w:szCs w:val="20"/>
              </w:rPr>
            </w:pPr>
            <w:r w:rsidRPr="005A7226">
              <w:rPr>
                <w:rFonts w:ascii="Arial Narrow" w:hAnsi="Arial Narrow"/>
                <w:b/>
                <w:sz w:val="20"/>
                <w:szCs w:val="20"/>
              </w:rPr>
              <w:t>-0.27 (-0.39, -0.15)</w:t>
            </w:r>
          </w:p>
        </w:tc>
      </w:tr>
      <w:tr w:rsidR="00FD780F" w:rsidRPr="005A7226" w14:paraId="089EF43A" w14:textId="77777777" w:rsidTr="00D92C36">
        <w:tc>
          <w:tcPr>
            <w:tcW w:w="2666" w:type="pct"/>
          </w:tcPr>
          <w:p w14:paraId="49AA8189" w14:textId="77777777" w:rsidR="00FD780F" w:rsidRPr="005A7226" w:rsidRDefault="00FD780F" w:rsidP="009C7CA5">
            <w:pPr>
              <w:keepNext/>
              <w:keepLines/>
              <w:rPr>
                <w:rFonts w:ascii="Arial Narrow" w:hAnsi="Arial Narrow"/>
                <w:sz w:val="20"/>
                <w:szCs w:val="20"/>
              </w:rPr>
            </w:pPr>
            <w:r w:rsidRPr="005A7226">
              <w:rPr>
                <w:rFonts w:ascii="Arial Narrow" w:hAnsi="Arial Narrow"/>
                <w:sz w:val="20"/>
                <w:szCs w:val="20"/>
              </w:rPr>
              <w:t xml:space="preserve">DAYLIGHT, SKYLIGHT 1 &amp; 2 pooled, MHT unsuitable,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646" w:type="pct"/>
            <w:vAlign w:val="center"/>
          </w:tcPr>
          <w:p w14:paraId="2D38388A" w14:textId="77777777" w:rsidR="00FD780F" w:rsidRPr="005A7226" w:rsidRDefault="00FD780F" w:rsidP="009C7CA5">
            <w:pPr>
              <w:keepNext/>
              <w:keepLines/>
              <w:jc w:val="center"/>
              <w:rPr>
                <w:rFonts w:ascii="Arial Narrow" w:hAnsi="Arial Narrow"/>
                <w:sz w:val="20"/>
                <w:szCs w:val="20"/>
              </w:rPr>
            </w:pPr>
            <w:r w:rsidRPr="005A7226">
              <w:rPr>
                <w:rFonts w:ascii="Arial Narrow" w:hAnsi="Arial Narrow"/>
                <w:sz w:val="20"/>
                <w:szCs w:val="20"/>
              </w:rPr>
              <w:t>-0.81 (0.93)</w:t>
            </w:r>
            <w:r w:rsidRPr="005A7226">
              <w:rPr>
                <w:rFonts w:ascii="Arial Narrow" w:hAnsi="Arial Narrow"/>
                <w:sz w:val="20"/>
                <w:szCs w:val="20"/>
                <w:vertAlign w:val="superscript"/>
              </w:rPr>
              <w:t>e</w:t>
            </w:r>
          </w:p>
        </w:tc>
        <w:tc>
          <w:tcPr>
            <w:tcW w:w="708" w:type="pct"/>
            <w:vAlign w:val="center"/>
          </w:tcPr>
          <w:p w14:paraId="60DDE2D1" w14:textId="77777777" w:rsidR="00FD780F" w:rsidRPr="005A7226" w:rsidRDefault="00FD780F" w:rsidP="009C7CA5">
            <w:pPr>
              <w:keepNext/>
              <w:keepLines/>
              <w:jc w:val="center"/>
              <w:rPr>
                <w:rFonts w:ascii="Arial Narrow" w:hAnsi="Arial Narrow"/>
                <w:sz w:val="20"/>
                <w:szCs w:val="20"/>
              </w:rPr>
            </w:pPr>
            <w:r w:rsidRPr="005A7226">
              <w:rPr>
                <w:rFonts w:ascii="Arial Narrow" w:hAnsi="Arial Narrow"/>
                <w:sz w:val="20"/>
                <w:szCs w:val="20"/>
              </w:rPr>
              <w:t>-0.46 (0.79)</w:t>
            </w:r>
            <w:r w:rsidRPr="005A7226">
              <w:rPr>
                <w:rFonts w:ascii="Arial Narrow" w:hAnsi="Arial Narrow"/>
                <w:sz w:val="20"/>
                <w:szCs w:val="20"/>
                <w:vertAlign w:val="superscript"/>
              </w:rPr>
              <w:t>e</w:t>
            </w:r>
          </w:p>
        </w:tc>
        <w:tc>
          <w:tcPr>
            <w:tcW w:w="980" w:type="pct"/>
            <w:vAlign w:val="center"/>
          </w:tcPr>
          <w:p w14:paraId="3B536037" w14:textId="4CFAED1A" w:rsidR="00FD780F" w:rsidRPr="005A7226" w:rsidRDefault="00FD780F" w:rsidP="009C7CA5">
            <w:pPr>
              <w:keepNext/>
              <w:keepLines/>
              <w:jc w:val="center"/>
              <w:rPr>
                <w:rFonts w:ascii="Arial Narrow" w:hAnsi="Arial Narrow"/>
                <w:sz w:val="20"/>
                <w:szCs w:val="20"/>
              </w:rPr>
            </w:pPr>
            <w:r w:rsidRPr="005A7226">
              <w:rPr>
                <w:rFonts w:ascii="Arial Narrow" w:hAnsi="Arial Narrow"/>
                <w:b/>
                <w:sz w:val="20"/>
                <w:szCs w:val="20"/>
              </w:rPr>
              <w:t>-0.35 (-0.47, -0.23)</w:t>
            </w:r>
            <w:r w:rsidRPr="005A7226">
              <w:rPr>
                <w:rFonts w:ascii="Arial Narrow" w:hAnsi="Arial Narrow"/>
                <w:b/>
                <w:sz w:val="20"/>
                <w:szCs w:val="20"/>
                <w:vertAlign w:val="superscript"/>
              </w:rPr>
              <w:t>f</w:t>
            </w:r>
          </w:p>
        </w:tc>
      </w:tr>
    </w:tbl>
    <w:p w14:paraId="5F7B24BC" w14:textId="1F911B81" w:rsidR="00146B38" w:rsidRPr="005A7226" w:rsidRDefault="00146B38" w:rsidP="009C7CA5">
      <w:pPr>
        <w:keepNext/>
        <w:keepLines/>
        <w:rPr>
          <w:rFonts w:ascii="Arial Narrow" w:hAnsi="Arial Narrow"/>
          <w:sz w:val="18"/>
          <w:szCs w:val="18"/>
        </w:rPr>
      </w:pPr>
      <w:r w:rsidRPr="005A7226">
        <w:rPr>
          <w:rFonts w:ascii="Arial Narrow" w:hAnsi="Arial Narrow"/>
          <w:b/>
          <w:bCs/>
          <w:sz w:val="18"/>
          <w:szCs w:val="18"/>
        </w:rPr>
        <w:t>Bold</w:t>
      </w:r>
      <w:r w:rsidRPr="005A7226">
        <w:rPr>
          <w:rFonts w:ascii="Arial Narrow" w:hAnsi="Arial Narrow"/>
          <w:sz w:val="18"/>
          <w:szCs w:val="18"/>
        </w:rPr>
        <w:t xml:space="preserve"> indicates statistically significant results.</w:t>
      </w:r>
      <w:r w:rsidRPr="005A7226">
        <w:rPr>
          <w:rFonts w:ascii="Arial Narrow" w:hAnsi="Arial Narrow"/>
          <w:i/>
          <w:iCs/>
          <w:sz w:val="18"/>
          <w:szCs w:val="18"/>
        </w:rPr>
        <w:t xml:space="preserve"> </w:t>
      </w:r>
      <w:r w:rsidRPr="005A7226">
        <w:rPr>
          <w:rFonts w:ascii="Arial Narrow" w:hAnsi="Arial Narrow"/>
          <w:sz w:val="18"/>
          <w:szCs w:val="18"/>
        </w:rPr>
        <w:t>.</w:t>
      </w:r>
    </w:p>
    <w:p w14:paraId="550C0B2B" w14:textId="77777777" w:rsidR="00A03320" w:rsidRPr="005A7226" w:rsidRDefault="00A03320" w:rsidP="009C7CA5">
      <w:pPr>
        <w:keepNext/>
        <w:keepLines/>
        <w:rPr>
          <w:rFonts w:ascii="Arial Narrow" w:hAnsi="Arial Narrow"/>
          <w:sz w:val="18"/>
          <w:szCs w:val="18"/>
        </w:rPr>
      </w:pPr>
      <w:r w:rsidRPr="005A7226">
        <w:rPr>
          <w:rFonts w:ascii="Arial Narrow" w:hAnsi="Arial Narrow"/>
          <w:sz w:val="18"/>
          <w:szCs w:val="18"/>
        </w:rPr>
        <w:t>Source: Table 2.5-1, p89, Table 2.5-2, pp90-91, Table 2.5-11, p102, Table 2.5-13, p104, Table 2.6-1, pp121-122, Table 2.6-3, pp122-123 of the submission, Attachment 05 – VEOZA Pooled Analysis, SKYLIGHT 1 and 2 Pooled analysis.pdf, Fig 1 and Supplemental Fig 1 of Santoro 2024 (SKYLIGHT 1 and SKYLIGHT 2 pooled).</w:t>
      </w:r>
    </w:p>
    <w:p w14:paraId="4A155001" w14:textId="44351E28" w:rsidR="00A03320" w:rsidRPr="005A7226" w:rsidRDefault="00A226E8" w:rsidP="009C7CA5">
      <w:pPr>
        <w:keepNext/>
        <w:keepLines/>
        <w:rPr>
          <w:rFonts w:ascii="Arial Narrow" w:hAnsi="Arial Narrow"/>
          <w:sz w:val="18"/>
          <w:szCs w:val="18"/>
        </w:rPr>
      </w:pPr>
      <w:r w:rsidRPr="005A7226">
        <w:rPr>
          <w:rFonts w:ascii="Arial Narrow" w:hAnsi="Arial Narrow"/>
          <w:sz w:val="18"/>
          <w:szCs w:val="18"/>
        </w:rPr>
        <w:t xml:space="preserve">CI=confidence interval; </w:t>
      </w:r>
      <w:r w:rsidR="00A03320" w:rsidRPr="005A7226">
        <w:rPr>
          <w:rFonts w:ascii="Arial Narrow" w:hAnsi="Arial Narrow"/>
          <w:sz w:val="18"/>
          <w:szCs w:val="18"/>
        </w:rPr>
        <w:t xml:space="preserve">FEZ=fezolinetant; LS=least squares; MHT=menopausal hormone therapy; NR=not reported; PBO=placebo; </w:t>
      </w:r>
      <w:r w:rsidRPr="005A7226">
        <w:rPr>
          <w:rFonts w:ascii="Arial Narrow" w:hAnsi="Arial Narrow"/>
          <w:sz w:val="18"/>
          <w:szCs w:val="18"/>
        </w:rPr>
        <w:t xml:space="preserve">SE=standard error; </w:t>
      </w:r>
      <w:r w:rsidR="00A03320" w:rsidRPr="005A7226">
        <w:rPr>
          <w:rFonts w:ascii="Arial Narrow" w:hAnsi="Arial Narrow"/>
          <w:sz w:val="18"/>
          <w:szCs w:val="18"/>
        </w:rPr>
        <w:t xml:space="preserve">VMS=vasomotor symptoms; </w:t>
      </w:r>
      <w:proofErr w:type="spellStart"/>
      <w:r w:rsidR="00E173C7" w:rsidRPr="005A7226">
        <w:rPr>
          <w:rFonts w:ascii="Arial Narrow" w:hAnsi="Arial Narrow"/>
          <w:sz w:val="18"/>
          <w:szCs w:val="18"/>
        </w:rPr>
        <w:t>W</w:t>
      </w:r>
      <w:r w:rsidR="00A03320" w:rsidRPr="005A7226">
        <w:rPr>
          <w:rFonts w:ascii="Arial Narrow" w:hAnsi="Arial Narrow"/>
          <w:sz w:val="18"/>
          <w:szCs w:val="18"/>
        </w:rPr>
        <w:t>k</w:t>
      </w:r>
      <w:proofErr w:type="spellEnd"/>
      <w:r w:rsidR="00A03320" w:rsidRPr="005A7226">
        <w:rPr>
          <w:rFonts w:ascii="Arial Narrow" w:hAnsi="Arial Narrow"/>
          <w:sz w:val="18"/>
          <w:szCs w:val="18"/>
        </w:rPr>
        <w:t>=week;</w:t>
      </w:r>
    </w:p>
    <w:p w14:paraId="46150EE9" w14:textId="77777777" w:rsidR="00A03320" w:rsidRPr="005A7226" w:rsidRDefault="00A03320" w:rsidP="009C7CA5">
      <w:pPr>
        <w:keepNext/>
        <w:keepLines/>
        <w:ind w:left="165" w:hanging="165"/>
        <w:rPr>
          <w:rFonts w:ascii="Arial Narrow" w:hAnsi="Arial Narrow"/>
          <w:sz w:val="18"/>
          <w:szCs w:val="18"/>
        </w:rPr>
      </w:pPr>
      <w:proofErr w:type="spellStart"/>
      <w:r w:rsidRPr="005A7226">
        <w:rPr>
          <w:rFonts w:ascii="Arial Narrow" w:hAnsi="Arial Narrow"/>
          <w:sz w:val="18"/>
          <w:szCs w:val="18"/>
        </w:rPr>
        <w:t>a</w:t>
      </w:r>
      <w:proofErr w:type="spellEnd"/>
      <w:r w:rsidRPr="005A7226">
        <w:rPr>
          <w:rFonts w:ascii="Arial Narrow" w:hAnsi="Arial Narrow"/>
          <w:sz w:val="18"/>
          <w:szCs w:val="18"/>
        </w:rPr>
        <w:tab/>
        <w:t xml:space="preserve">In SKYLIGHT 1 and SKYLIGHT 2 patients were not enrolled based on criteria for suitability/unsuitability to receive MHT. Eligible patients had moderate to severe VMS associated with menopause seeking treatment for VMS. </w:t>
      </w:r>
    </w:p>
    <w:p w14:paraId="30E9D47E" w14:textId="0279EA9B" w:rsidR="00A03320" w:rsidRPr="005A7226" w:rsidRDefault="00A03320" w:rsidP="009C7CA5">
      <w:pPr>
        <w:keepNext/>
        <w:keepLines/>
        <w:ind w:left="165" w:hanging="165"/>
        <w:rPr>
          <w:rFonts w:ascii="Arial Narrow" w:hAnsi="Arial Narrow"/>
          <w:sz w:val="18"/>
          <w:szCs w:val="18"/>
        </w:rPr>
      </w:pPr>
      <w:r w:rsidRPr="005A7226">
        <w:rPr>
          <w:rFonts w:ascii="Arial Narrow" w:hAnsi="Arial Narrow"/>
          <w:sz w:val="18"/>
          <w:szCs w:val="18"/>
        </w:rPr>
        <w:t>b</w:t>
      </w:r>
      <w:r w:rsidRPr="005A7226">
        <w:rPr>
          <w:rFonts w:ascii="Arial Narrow" w:hAnsi="Arial Narrow"/>
          <w:sz w:val="18"/>
          <w:szCs w:val="18"/>
        </w:rPr>
        <w:tab/>
        <w:t xml:space="preserve">In DAYLIGHT, enrolled patients were MHT unsuitable defined </w:t>
      </w:r>
      <w:r w:rsidR="00325998" w:rsidRPr="005A7226">
        <w:rPr>
          <w:rFonts w:ascii="Arial Narrow" w:hAnsi="Arial Narrow"/>
          <w:sz w:val="18"/>
          <w:szCs w:val="18"/>
        </w:rPr>
        <w:t>as</w:t>
      </w:r>
      <w:r w:rsidRPr="005A7226">
        <w:rPr>
          <w:rFonts w:ascii="Arial Narrow" w:hAnsi="Arial Narrow"/>
          <w:sz w:val="18"/>
          <w:szCs w:val="18"/>
        </w:rPr>
        <w:t xml:space="preserve"> contraindicated; caution (based on medical history); stoppers (previous discontinuation due to lack of efficacy, side effects or medical advice); or averse (choice not to use MHT after discussion with clinician).</w:t>
      </w:r>
    </w:p>
    <w:p w14:paraId="1589A311" w14:textId="77777777" w:rsidR="00A03320" w:rsidRPr="005A7226" w:rsidRDefault="00A03320" w:rsidP="009C7CA5">
      <w:pPr>
        <w:keepNext/>
        <w:keepLines/>
        <w:ind w:left="165" w:hanging="165"/>
        <w:rPr>
          <w:rFonts w:ascii="Arial Narrow" w:hAnsi="Arial Narrow"/>
          <w:sz w:val="18"/>
          <w:szCs w:val="18"/>
        </w:rPr>
      </w:pPr>
      <w:r w:rsidRPr="005A7226">
        <w:rPr>
          <w:rFonts w:ascii="Arial Narrow" w:hAnsi="Arial Narrow"/>
          <w:sz w:val="18"/>
          <w:szCs w:val="18"/>
        </w:rPr>
        <w:t>c</w:t>
      </w:r>
      <w:r w:rsidRPr="005A7226">
        <w:rPr>
          <w:rFonts w:ascii="Arial Narrow" w:hAnsi="Arial Narrow"/>
          <w:sz w:val="18"/>
          <w:szCs w:val="18"/>
        </w:rPr>
        <w:tab/>
        <w:t>In the post-hoc analysis of SKYLIGHT 1 and SKYLIGHT 2, MHT history subgroups were mutually exclusive and categorized with the following hierarchy: contraindicated; caution; stopped for medical concerns; averse; naïve/willing. MHT unsuitable group comprised of the following subgroups: contraindicated, caution, stopped for medical concerns or averse.</w:t>
      </w:r>
    </w:p>
    <w:p w14:paraId="5C418CFB" w14:textId="77777777" w:rsidR="00A03320" w:rsidRPr="005A7226" w:rsidRDefault="00A03320" w:rsidP="009C7CA5">
      <w:pPr>
        <w:keepNext/>
        <w:keepLines/>
        <w:ind w:left="165" w:hanging="165"/>
        <w:rPr>
          <w:rFonts w:ascii="Arial Narrow" w:hAnsi="Arial Narrow"/>
          <w:sz w:val="18"/>
          <w:szCs w:val="18"/>
        </w:rPr>
      </w:pPr>
      <w:r w:rsidRPr="005A7226">
        <w:rPr>
          <w:rFonts w:ascii="Arial Narrow" w:hAnsi="Arial Narrow"/>
          <w:sz w:val="18"/>
          <w:szCs w:val="18"/>
        </w:rPr>
        <w:t>d</w:t>
      </w:r>
      <w:r w:rsidRPr="005A7226">
        <w:rPr>
          <w:rFonts w:ascii="Arial Narrow" w:hAnsi="Arial Narrow"/>
          <w:sz w:val="18"/>
          <w:szCs w:val="18"/>
        </w:rPr>
        <w:tab/>
        <w:t>Reported as LS mean (SE) change from baseline.</w:t>
      </w:r>
    </w:p>
    <w:p w14:paraId="59CA4FCD" w14:textId="77777777" w:rsidR="00A03320" w:rsidRPr="005A7226" w:rsidRDefault="00A03320" w:rsidP="009C7CA5">
      <w:pPr>
        <w:keepNext/>
        <w:keepLines/>
        <w:rPr>
          <w:rFonts w:ascii="Arial Narrow" w:hAnsi="Arial Narrow"/>
          <w:sz w:val="18"/>
          <w:szCs w:val="18"/>
        </w:rPr>
      </w:pPr>
      <w:r w:rsidRPr="005A7226">
        <w:rPr>
          <w:rFonts w:ascii="Arial Narrow" w:hAnsi="Arial Narrow"/>
          <w:sz w:val="18"/>
          <w:szCs w:val="18"/>
        </w:rPr>
        <w:t>e</w:t>
      </w:r>
      <w:r w:rsidRPr="005A7226">
        <w:rPr>
          <w:rFonts w:ascii="Arial Narrow" w:hAnsi="Arial Narrow"/>
          <w:sz w:val="18"/>
          <w:szCs w:val="18"/>
        </w:rPr>
        <w:tab/>
        <w:t>Reported as mean (SD) change from baseline.</w:t>
      </w:r>
    </w:p>
    <w:p w14:paraId="4164446A" w14:textId="0FF21A57" w:rsidR="00A03320" w:rsidRPr="005A7226" w:rsidRDefault="00A03320" w:rsidP="009C7CA5">
      <w:pPr>
        <w:keepNext/>
        <w:keepLines/>
        <w:ind w:left="170" w:hanging="170"/>
        <w:rPr>
          <w:rFonts w:ascii="Arial Narrow" w:hAnsi="Arial Narrow"/>
          <w:sz w:val="18"/>
          <w:szCs w:val="18"/>
        </w:rPr>
      </w:pPr>
      <w:r w:rsidRPr="005A7226">
        <w:rPr>
          <w:rFonts w:ascii="Arial Narrow" w:hAnsi="Arial Narrow"/>
          <w:sz w:val="18"/>
          <w:szCs w:val="18"/>
        </w:rPr>
        <w:t>f</w:t>
      </w:r>
      <w:r w:rsidRPr="005A7226">
        <w:rPr>
          <w:rFonts w:ascii="Arial Narrow" w:hAnsi="Arial Narrow"/>
          <w:sz w:val="18"/>
          <w:szCs w:val="18"/>
        </w:rPr>
        <w:tab/>
        <w:t xml:space="preserve">Mean difference calculated during the evaluation using </w:t>
      </w:r>
      <w:proofErr w:type="spellStart"/>
      <w:r w:rsidRPr="005A7226">
        <w:rPr>
          <w:rFonts w:ascii="Arial Narrow" w:hAnsi="Arial Narrow"/>
          <w:sz w:val="18"/>
          <w:szCs w:val="18"/>
        </w:rPr>
        <w:t>RevMan</w:t>
      </w:r>
      <w:proofErr w:type="spellEnd"/>
      <w:r w:rsidRPr="005A7226">
        <w:rPr>
          <w:rFonts w:ascii="Arial Narrow" w:hAnsi="Arial Narrow"/>
          <w:sz w:val="18"/>
          <w:szCs w:val="18"/>
        </w:rPr>
        <w:t xml:space="preserve"> v5.3. LS mean difference was not reported in the submission. </w:t>
      </w:r>
    </w:p>
    <w:p w14:paraId="79BE80F5" w14:textId="64005F5C" w:rsidR="00A226E8" w:rsidRPr="005A7226" w:rsidRDefault="00A226E8" w:rsidP="009C7CA5">
      <w:pPr>
        <w:keepNext/>
        <w:keepLines/>
        <w:rPr>
          <w:rFonts w:ascii="Arial Narrow" w:hAnsi="Arial Narrow"/>
          <w:sz w:val="18"/>
          <w:szCs w:val="18"/>
        </w:rPr>
      </w:pPr>
      <w:r w:rsidRPr="005A7226">
        <w:rPr>
          <w:rFonts w:ascii="Arial Narrow" w:hAnsi="Arial Narrow"/>
          <w:sz w:val="18"/>
          <w:szCs w:val="18"/>
        </w:rPr>
        <w:t>g</w:t>
      </w:r>
      <w:r w:rsidRPr="005A7226">
        <w:rPr>
          <w:rFonts w:ascii="Arial Narrow" w:hAnsi="Arial Narrow"/>
          <w:sz w:val="18"/>
          <w:szCs w:val="18"/>
        </w:rPr>
        <w:tab/>
        <w:t>Primary outcome</w:t>
      </w:r>
    </w:p>
    <w:p w14:paraId="3A8ED2A7" w14:textId="0705BDEA" w:rsidR="00A226E8" w:rsidRPr="005A7226" w:rsidRDefault="00A226E8" w:rsidP="009C7CA5">
      <w:pPr>
        <w:keepNext/>
        <w:keepLines/>
        <w:rPr>
          <w:rFonts w:ascii="Arial Narrow" w:hAnsi="Arial Narrow"/>
          <w:sz w:val="18"/>
          <w:szCs w:val="18"/>
        </w:rPr>
      </w:pPr>
      <w:r w:rsidRPr="005A7226">
        <w:rPr>
          <w:rFonts w:ascii="Arial Narrow" w:hAnsi="Arial Narrow"/>
          <w:sz w:val="18"/>
          <w:szCs w:val="18"/>
        </w:rPr>
        <w:t>h</w:t>
      </w:r>
      <w:r w:rsidRPr="005A7226">
        <w:rPr>
          <w:rFonts w:ascii="Arial Narrow" w:hAnsi="Arial Narrow"/>
          <w:sz w:val="18"/>
          <w:szCs w:val="18"/>
        </w:rPr>
        <w:tab/>
        <w:t>A negative change indicates a reduction/improvement from baseline.</w:t>
      </w:r>
    </w:p>
    <w:p w14:paraId="24A27D82" w14:textId="77777777" w:rsidR="00EC3867" w:rsidRPr="005A7226" w:rsidRDefault="00865826" w:rsidP="009C7CA5">
      <w:pPr>
        <w:keepNext/>
        <w:keepLines/>
        <w:rPr>
          <w:rFonts w:ascii="Arial Narrow" w:hAnsi="Arial Narrow"/>
          <w:sz w:val="18"/>
          <w:szCs w:val="18"/>
        </w:rPr>
      </w:pPr>
      <w:r w:rsidRPr="005A7226">
        <w:rPr>
          <w:rFonts w:ascii="Arial Narrow" w:hAnsi="Arial Narrow"/>
          <w:sz w:val="18"/>
          <w:szCs w:val="18"/>
        </w:rPr>
        <w:t>i</w:t>
      </w:r>
      <w:r w:rsidRPr="005A7226">
        <w:rPr>
          <w:rFonts w:ascii="Arial Narrow" w:hAnsi="Arial Narrow"/>
          <w:sz w:val="18"/>
          <w:szCs w:val="18"/>
        </w:rPr>
        <w:tab/>
        <w:t>FDA defined VMS severity: Mild – sensation of heat without sweating; Moderate – sensation of heat with sweating, able to continue activity; and Severe – sensation of heat with sweating, causing cessation of activity</w:t>
      </w:r>
    </w:p>
    <w:p w14:paraId="02537B46" w14:textId="3AEF1D8A" w:rsidR="00865826" w:rsidRPr="005A7226" w:rsidRDefault="00EC3867" w:rsidP="009C7CA5">
      <w:pPr>
        <w:keepNext/>
        <w:keepLines/>
        <w:rPr>
          <w:rFonts w:ascii="Arial Narrow" w:hAnsi="Arial Narrow"/>
          <w:sz w:val="18"/>
          <w:szCs w:val="18"/>
        </w:rPr>
      </w:pPr>
      <w:r w:rsidRPr="005A7226">
        <w:rPr>
          <w:rFonts w:ascii="Arial Narrow" w:hAnsi="Arial Narrow"/>
          <w:sz w:val="18"/>
          <w:szCs w:val="18"/>
        </w:rPr>
        <w:t xml:space="preserve">j </w:t>
      </w:r>
      <w:r w:rsidR="00185AA5" w:rsidRPr="005A7226">
        <w:rPr>
          <w:rFonts w:ascii="Arial Narrow" w:hAnsi="Arial Narrow"/>
          <w:sz w:val="18"/>
          <w:szCs w:val="18"/>
        </w:rPr>
        <w:t>.</w:t>
      </w:r>
      <w:r w:rsidRPr="005A7226">
        <w:rPr>
          <w:rFonts w:ascii="Arial Narrow" w:hAnsi="Arial Narrow"/>
          <w:sz w:val="18"/>
          <w:szCs w:val="18"/>
        </w:rPr>
        <w:t>results extracted during the evaluation.</w:t>
      </w:r>
    </w:p>
    <w:p w14:paraId="55E9421D" w14:textId="30B74973" w:rsidR="00A226E8" w:rsidRPr="005A7226" w:rsidRDefault="00A226E8" w:rsidP="00A03320">
      <w:pPr>
        <w:ind w:left="170" w:hanging="170"/>
        <w:rPr>
          <w:rFonts w:ascii="Arial Narrow" w:hAnsi="Arial Narrow"/>
          <w:sz w:val="18"/>
          <w:szCs w:val="18"/>
        </w:rPr>
      </w:pPr>
    </w:p>
    <w:p w14:paraId="729D60C8" w14:textId="7BD28389" w:rsidR="00A03320" w:rsidRPr="005A7226" w:rsidRDefault="00A03320" w:rsidP="00A03320">
      <w:pPr>
        <w:pStyle w:val="3-BodyText"/>
        <w:numPr>
          <w:ilvl w:val="0"/>
          <w:numId w:val="0"/>
        </w:numPr>
        <w:ind w:left="720" w:hanging="720"/>
      </w:pPr>
    </w:p>
    <w:p w14:paraId="4F7E52CF" w14:textId="2CF57B36" w:rsidR="00A03320" w:rsidRPr="005A7226" w:rsidRDefault="53F95D70" w:rsidP="00563EC5">
      <w:pPr>
        <w:pStyle w:val="Caption"/>
      </w:pPr>
      <w:bookmarkStart w:id="36" w:name="_Ref184903095"/>
      <w:r w:rsidRPr="005A7226">
        <w:t xml:space="preserve">Figure </w:t>
      </w:r>
      <w:r w:rsidRPr="005A7226">
        <w:fldChar w:fldCharType="begin"/>
      </w:r>
      <w:r w:rsidRPr="005A7226">
        <w:instrText>SEQ Figure \* ARABIC</w:instrText>
      </w:r>
      <w:r w:rsidRPr="005A7226">
        <w:fldChar w:fldCharType="separate"/>
      </w:r>
      <w:r w:rsidR="00B11DA2">
        <w:rPr>
          <w:noProof/>
        </w:rPr>
        <w:t>1</w:t>
      </w:r>
      <w:r w:rsidRPr="005A7226">
        <w:fldChar w:fldCharType="end"/>
      </w:r>
      <w:bookmarkEnd w:id="36"/>
      <w:r w:rsidR="13334CC8" w:rsidRPr="005A7226">
        <w:t>:</w:t>
      </w:r>
      <w:r w:rsidRPr="005A7226">
        <w:t xml:space="preserve"> </w:t>
      </w:r>
      <w:r w:rsidR="0007051B" w:rsidRPr="005A7226">
        <w:t>C</w:t>
      </w:r>
      <w:r w:rsidRPr="005A7226">
        <w:t>hange from baseline in moderate to severe VMS (frequency and severity) to Week 12/24 (double-blind) to Week 52 (active extension) in the included fezolinetant trials</w:t>
      </w:r>
    </w:p>
    <w:tbl>
      <w:tblPr>
        <w:tblStyle w:val="TableGrid"/>
        <w:tblW w:w="0" w:type="auto"/>
        <w:tblCellMar>
          <w:left w:w="28" w:type="dxa"/>
          <w:right w:w="28" w:type="dxa"/>
        </w:tblCellMar>
        <w:tblLook w:val="04A0" w:firstRow="1" w:lastRow="0" w:firstColumn="1" w:lastColumn="0" w:noHBand="0" w:noVBand="1"/>
      </w:tblPr>
      <w:tblGrid>
        <w:gridCol w:w="4483"/>
        <w:gridCol w:w="4534"/>
      </w:tblGrid>
      <w:tr w:rsidR="00AE2859" w:rsidRPr="00372097" w14:paraId="3FE81AEE" w14:textId="77777777" w:rsidTr="00325998">
        <w:tc>
          <w:tcPr>
            <w:tcW w:w="4508" w:type="dxa"/>
          </w:tcPr>
          <w:p w14:paraId="3C3BA837" w14:textId="1CD8E893" w:rsidR="00A03320" w:rsidRPr="00372097" w:rsidRDefault="00A03320" w:rsidP="00325998">
            <w:pPr>
              <w:keepNext/>
              <w:keepLines/>
              <w:rPr>
                <w:rFonts w:ascii="Arial Narrow" w:hAnsi="Arial Narrow"/>
                <w:b/>
                <w:sz w:val="20"/>
                <w:szCs w:val="20"/>
              </w:rPr>
            </w:pPr>
            <w:r w:rsidRPr="00372097">
              <w:rPr>
                <w:rFonts w:ascii="Arial Narrow" w:hAnsi="Arial Narrow"/>
                <w:b/>
                <w:sz w:val="20"/>
                <w:szCs w:val="20"/>
              </w:rPr>
              <w:t xml:space="preserve">A. DAYLIGHT: VMS frequency to </w:t>
            </w:r>
            <w:proofErr w:type="spellStart"/>
            <w:r w:rsidRPr="00372097">
              <w:rPr>
                <w:rFonts w:ascii="Arial Narrow" w:hAnsi="Arial Narrow"/>
                <w:b/>
                <w:sz w:val="20"/>
                <w:szCs w:val="20"/>
              </w:rPr>
              <w:t>Wk</w:t>
            </w:r>
            <w:proofErr w:type="spellEnd"/>
            <w:r w:rsidRPr="00372097">
              <w:rPr>
                <w:rFonts w:ascii="Arial Narrow" w:hAnsi="Arial Narrow"/>
                <w:b/>
                <w:sz w:val="20"/>
                <w:szCs w:val="20"/>
              </w:rPr>
              <w:t xml:space="preserve"> 24</w:t>
            </w:r>
          </w:p>
        </w:tc>
        <w:tc>
          <w:tcPr>
            <w:tcW w:w="4509" w:type="dxa"/>
          </w:tcPr>
          <w:p w14:paraId="57B117BA" w14:textId="485F1888" w:rsidR="00A03320" w:rsidRPr="00372097" w:rsidRDefault="00A03320" w:rsidP="00325998">
            <w:pPr>
              <w:keepNext/>
              <w:keepLines/>
              <w:rPr>
                <w:rFonts w:ascii="Arial Narrow" w:hAnsi="Arial Narrow"/>
                <w:b/>
                <w:sz w:val="20"/>
                <w:szCs w:val="20"/>
              </w:rPr>
            </w:pPr>
            <w:r w:rsidRPr="00372097">
              <w:rPr>
                <w:rFonts w:ascii="Arial Narrow" w:hAnsi="Arial Narrow"/>
                <w:b/>
                <w:sz w:val="20"/>
                <w:szCs w:val="20"/>
              </w:rPr>
              <w:t xml:space="preserve">B. DAYLIGHT: VMS severity to </w:t>
            </w:r>
            <w:proofErr w:type="spellStart"/>
            <w:r w:rsidRPr="00372097">
              <w:rPr>
                <w:rFonts w:ascii="Arial Narrow" w:hAnsi="Arial Narrow"/>
                <w:b/>
                <w:sz w:val="20"/>
                <w:szCs w:val="20"/>
              </w:rPr>
              <w:t>Wk</w:t>
            </w:r>
            <w:proofErr w:type="spellEnd"/>
            <w:r w:rsidRPr="00372097">
              <w:rPr>
                <w:rFonts w:ascii="Arial Narrow" w:hAnsi="Arial Narrow"/>
                <w:b/>
                <w:sz w:val="20"/>
                <w:szCs w:val="20"/>
              </w:rPr>
              <w:t xml:space="preserve"> 24</w:t>
            </w:r>
          </w:p>
        </w:tc>
      </w:tr>
      <w:tr w:rsidR="00AE2859" w:rsidRPr="005A7226" w14:paraId="4321EB4B" w14:textId="77777777" w:rsidTr="00325998">
        <w:tc>
          <w:tcPr>
            <w:tcW w:w="4508" w:type="dxa"/>
          </w:tcPr>
          <w:p w14:paraId="465DE691" w14:textId="3F12F002" w:rsidR="00A03320" w:rsidRPr="005A7226" w:rsidRDefault="00E055F8" w:rsidP="00325998">
            <w:pPr>
              <w:keepNext/>
              <w:keepLines/>
              <w:rPr>
                <w:rFonts w:ascii="Arial Narrow" w:hAnsi="Arial Narrow"/>
                <w:sz w:val="20"/>
                <w:szCs w:val="20"/>
              </w:rPr>
            </w:pPr>
            <w:r w:rsidRPr="005A7226">
              <w:rPr>
                <w:rFonts w:ascii="Arial Narrow" w:hAnsi="Arial Narrow"/>
                <w:noProof/>
                <w:sz w:val="20"/>
                <w:szCs w:val="20"/>
              </w:rPr>
              <w:drawing>
                <wp:inline distT="0" distB="0" distL="0" distR="0" wp14:anchorId="520BDB54" wp14:editId="3D1A28FD">
                  <wp:extent cx="2785788" cy="1443660"/>
                  <wp:effectExtent l="0" t="0" r="0" b="4445"/>
                  <wp:docPr id="918651593" name="Picture 2" descr="Figure 1: Change from baseline in moderate to severe VMS (frequency and severity) to Week 12/24 (double-blind) to Week 52 (active extension) in the included fezolinetant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51593" name="Picture 2" descr="Figure 1: Change from baseline in moderate to severe VMS (frequency and severity) to Week 12/24 (double-blind) to Week 52 (active extension) in the included fezolinetant tria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0042" cy="1471776"/>
                          </a:xfrm>
                          <a:prstGeom prst="rect">
                            <a:avLst/>
                          </a:prstGeom>
                          <a:noFill/>
                          <a:ln>
                            <a:noFill/>
                          </a:ln>
                        </pic:spPr>
                      </pic:pic>
                    </a:graphicData>
                  </a:graphic>
                </wp:inline>
              </w:drawing>
            </w:r>
            <w:r w:rsidRPr="005A7226" w:rsidDel="00E055F8">
              <w:rPr>
                <w:rFonts w:ascii="Arial Narrow" w:hAnsi="Arial Narrow"/>
                <w:sz w:val="20"/>
                <w:szCs w:val="20"/>
              </w:rPr>
              <w:t xml:space="preserve"> </w:t>
            </w:r>
          </w:p>
        </w:tc>
        <w:tc>
          <w:tcPr>
            <w:tcW w:w="4509" w:type="dxa"/>
          </w:tcPr>
          <w:p w14:paraId="1B6314CE" w14:textId="19806614" w:rsidR="00A03320" w:rsidRPr="005A7226" w:rsidRDefault="00AE2859" w:rsidP="00325998">
            <w:pPr>
              <w:keepNext/>
              <w:keepLines/>
              <w:rPr>
                <w:rFonts w:ascii="Arial Narrow" w:hAnsi="Arial Narrow"/>
                <w:sz w:val="20"/>
                <w:szCs w:val="20"/>
              </w:rPr>
            </w:pPr>
            <w:r w:rsidRPr="005A7226">
              <w:rPr>
                <w:rFonts w:ascii="Arial Narrow" w:hAnsi="Arial Narrow"/>
                <w:noProof/>
                <w:sz w:val="20"/>
                <w:szCs w:val="20"/>
              </w:rPr>
              <w:drawing>
                <wp:inline distT="0" distB="0" distL="0" distR="0" wp14:anchorId="1A11FF3A" wp14:editId="4583A60F">
                  <wp:extent cx="2857825" cy="1480991"/>
                  <wp:effectExtent l="0" t="0" r="0" b="5080"/>
                  <wp:docPr id="1212847256" name="Picture 4" descr="Figure 1: Change from baseline in moderate to severe VMS (frequency and severity) to Week 12/24 (double-blind) to Week 52 (active extension) in the included fezolinetant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47256" name="Picture 4" descr="Figure 1: Change from baseline in moderate to severe VMS (frequency and severity) to Week 12/24 (double-blind) to Week 52 (active extension) in the included fezolinetant tria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4039" cy="1499758"/>
                          </a:xfrm>
                          <a:prstGeom prst="rect">
                            <a:avLst/>
                          </a:prstGeom>
                          <a:noFill/>
                          <a:ln>
                            <a:noFill/>
                          </a:ln>
                        </pic:spPr>
                      </pic:pic>
                    </a:graphicData>
                  </a:graphic>
                </wp:inline>
              </w:drawing>
            </w:r>
            <w:r w:rsidRPr="005A7226" w:rsidDel="00E055F8">
              <w:rPr>
                <w:rFonts w:ascii="Arial Narrow" w:hAnsi="Arial Narrow"/>
                <w:sz w:val="20"/>
                <w:szCs w:val="20"/>
              </w:rPr>
              <w:t xml:space="preserve"> </w:t>
            </w:r>
          </w:p>
        </w:tc>
      </w:tr>
      <w:tr w:rsidR="00AE2859" w:rsidRPr="005A7226" w14:paraId="14ACA3F1" w14:textId="77777777" w:rsidTr="00325998">
        <w:tc>
          <w:tcPr>
            <w:tcW w:w="4508" w:type="dxa"/>
          </w:tcPr>
          <w:p w14:paraId="074C6887" w14:textId="651CE3E3" w:rsidR="00A03320" w:rsidRPr="005A7226" w:rsidRDefault="00A03320" w:rsidP="00325998">
            <w:pPr>
              <w:keepNext/>
              <w:keepLines/>
              <w:rPr>
                <w:rFonts w:ascii="Arial Narrow" w:hAnsi="Arial Narrow"/>
                <w:b/>
                <w:sz w:val="20"/>
                <w:szCs w:val="20"/>
              </w:rPr>
            </w:pPr>
            <w:r w:rsidRPr="005A7226">
              <w:rPr>
                <w:rFonts w:ascii="Arial Narrow" w:hAnsi="Arial Narrow"/>
                <w:b/>
                <w:sz w:val="20"/>
                <w:szCs w:val="20"/>
              </w:rPr>
              <w:t xml:space="preserve">C. SKYLIGHT 1: VMS frequency to </w:t>
            </w:r>
            <w:proofErr w:type="spellStart"/>
            <w:r w:rsidRPr="005A7226">
              <w:rPr>
                <w:rFonts w:ascii="Arial Narrow" w:hAnsi="Arial Narrow"/>
                <w:b/>
                <w:sz w:val="20"/>
                <w:szCs w:val="20"/>
              </w:rPr>
              <w:t>Wk</w:t>
            </w:r>
            <w:proofErr w:type="spellEnd"/>
            <w:r w:rsidRPr="005A7226">
              <w:rPr>
                <w:rFonts w:ascii="Arial Narrow" w:hAnsi="Arial Narrow"/>
                <w:b/>
                <w:sz w:val="20"/>
                <w:szCs w:val="20"/>
              </w:rPr>
              <w:t xml:space="preserve"> 52</w:t>
            </w:r>
          </w:p>
        </w:tc>
        <w:tc>
          <w:tcPr>
            <w:tcW w:w="4509" w:type="dxa"/>
          </w:tcPr>
          <w:p w14:paraId="1952B313" w14:textId="089CB1DE" w:rsidR="00A03320" w:rsidRPr="005A7226" w:rsidRDefault="00C20CCC" w:rsidP="00325998">
            <w:pPr>
              <w:keepNext/>
              <w:keepLines/>
              <w:rPr>
                <w:rFonts w:ascii="Arial Narrow" w:hAnsi="Arial Narrow"/>
                <w:b/>
                <w:sz w:val="20"/>
                <w:szCs w:val="20"/>
              </w:rPr>
            </w:pPr>
            <w:r w:rsidRPr="005A7226">
              <w:rPr>
                <w:rFonts w:ascii="Arial Narrow" w:hAnsi="Arial Narrow"/>
                <w:b/>
                <w:sz w:val="20"/>
                <w:szCs w:val="20"/>
              </w:rPr>
              <w:t>D</w:t>
            </w:r>
            <w:r w:rsidR="00A03320" w:rsidRPr="005A7226">
              <w:rPr>
                <w:rFonts w:ascii="Arial Narrow" w:hAnsi="Arial Narrow"/>
                <w:b/>
                <w:sz w:val="20"/>
                <w:szCs w:val="20"/>
              </w:rPr>
              <w:t xml:space="preserve">. SKYLIGHT 1: VMS severity to </w:t>
            </w:r>
            <w:proofErr w:type="spellStart"/>
            <w:r w:rsidR="00A03320" w:rsidRPr="005A7226">
              <w:rPr>
                <w:rFonts w:ascii="Arial Narrow" w:hAnsi="Arial Narrow"/>
                <w:b/>
                <w:sz w:val="20"/>
                <w:szCs w:val="20"/>
              </w:rPr>
              <w:t>Wk</w:t>
            </w:r>
            <w:proofErr w:type="spellEnd"/>
            <w:r w:rsidR="00A03320" w:rsidRPr="005A7226">
              <w:rPr>
                <w:rFonts w:ascii="Arial Narrow" w:hAnsi="Arial Narrow"/>
                <w:b/>
                <w:sz w:val="20"/>
                <w:szCs w:val="20"/>
              </w:rPr>
              <w:t xml:space="preserve"> 52</w:t>
            </w:r>
          </w:p>
        </w:tc>
      </w:tr>
      <w:tr w:rsidR="00AE2859" w:rsidRPr="005A7226" w14:paraId="6E84214E" w14:textId="77777777" w:rsidTr="00325998">
        <w:tc>
          <w:tcPr>
            <w:tcW w:w="4508" w:type="dxa"/>
          </w:tcPr>
          <w:p w14:paraId="3E1A0554" w14:textId="77777777" w:rsidR="00A03320" w:rsidRPr="005A7226" w:rsidRDefault="00A03320" w:rsidP="00325998">
            <w:pPr>
              <w:keepNext/>
              <w:keepLines/>
              <w:rPr>
                <w:rFonts w:ascii="Arial Narrow" w:hAnsi="Arial Narrow"/>
                <w:sz w:val="20"/>
                <w:szCs w:val="20"/>
              </w:rPr>
            </w:pPr>
            <w:r w:rsidRPr="005A7226">
              <w:rPr>
                <w:rFonts w:ascii="Arial Narrow" w:hAnsi="Arial Narrow"/>
                <w:noProof/>
                <w:sz w:val="20"/>
                <w:szCs w:val="20"/>
              </w:rPr>
              <w:drawing>
                <wp:inline distT="0" distB="0" distL="0" distR="0" wp14:anchorId="32DE0FB6" wp14:editId="7D660516">
                  <wp:extent cx="2822575" cy="1883455"/>
                  <wp:effectExtent l="0" t="0" r="0" b="2540"/>
                  <wp:docPr id="9" name="Picture 9" descr="Figure 1: Change from baseline in moderate to severe VMS (frequency and severity) to Week 12/24 (double-blind) to Week 52 (active extension) in the included fezolinetant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Change from baseline in moderate to severe VMS (frequency and severity) to Week 12/24 (double-blind) to Week 52 (active extension) in the included fezolinetant trial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2575" cy="1883455"/>
                          </a:xfrm>
                          <a:prstGeom prst="rect">
                            <a:avLst/>
                          </a:prstGeom>
                          <a:noFill/>
                        </pic:spPr>
                      </pic:pic>
                    </a:graphicData>
                  </a:graphic>
                </wp:inline>
              </w:drawing>
            </w:r>
          </w:p>
        </w:tc>
        <w:tc>
          <w:tcPr>
            <w:tcW w:w="4509" w:type="dxa"/>
          </w:tcPr>
          <w:p w14:paraId="074B4AE0" w14:textId="77777777" w:rsidR="00A03320" w:rsidRPr="005A7226" w:rsidRDefault="00A03320" w:rsidP="00325998">
            <w:pPr>
              <w:keepNext/>
              <w:keepLines/>
              <w:rPr>
                <w:rFonts w:ascii="Arial Narrow" w:hAnsi="Arial Narrow"/>
                <w:sz w:val="20"/>
                <w:szCs w:val="20"/>
              </w:rPr>
            </w:pPr>
            <w:r w:rsidRPr="005A7226">
              <w:rPr>
                <w:noProof/>
              </w:rPr>
              <w:drawing>
                <wp:inline distT="0" distB="0" distL="0" distR="0" wp14:anchorId="7E2225D0" wp14:editId="22EB5A62">
                  <wp:extent cx="2858770" cy="1899196"/>
                  <wp:effectExtent l="0" t="0" r="0" b="6350"/>
                  <wp:docPr id="10" name="Picture 10" descr="Figure 1: Change from baseline in moderate to severe VMS (frequency and severity) to Week 12/24 (double-blind) to Week 52 (active extension) in the included fezolinetant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 Change from baseline in moderate to severe VMS (frequency and severity) to Week 12/24 (double-blind) to Week 52 (active extension) in the included fezolinetant trials"/>
                          <pic:cNvPicPr/>
                        </pic:nvPicPr>
                        <pic:blipFill>
                          <a:blip r:embed="rId14"/>
                          <a:stretch>
                            <a:fillRect/>
                          </a:stretch>
                        </pic:blipFill>
                        <pic:spPr>
                          <a:xfrm>
                            <a:off x="0" y="0"/>
                            <a:ext cx="2923030" cy="1941886"/>
                          </a:xfrm>
                          <a:prstGeom prst="rect">
                            <a:avLst/>
                          </a:prstGeom>
                        </pic:spPr>
                      </pic:pic>
                    </a:graphicData>
                  </a:graphic>
                </wp:inline>
              </w:drawing>
            </w:r>
          </w:p>
        </w:tc>
      </w:tr>
      <w:tr w:rsidR="00AE2859" w:rsidRPr="005A7226" w14:paraId="06BB1EDB" w14:textId="77777777" w:rsidTr="00325998">
        <w:tc>
          <w:tcPr>
            <w:tcW w:w="4508" w:type="dxa"/>
          </w:tcPr>
          <w:p w14:paraId="5DFE9470" w14:textId="4F3FE32D" w:rsidR="00A03320" w:rsidRPr="005A7226" w:rsidRDefault="00C20CCC" w:rsidP="00325998">
            <w:pPr>
              <w:keepNext/>
              <w:keepLines/>
              <w:rPr>
                <w:rFonts w:ascii="Arial Narrow" w:hAnsi="Arial Narrow"/>
                <w:b/>
                <w:sz w:val="20"/>
                <w:szCs w:val="20"/>
              </w:rPr>
            </w:pPr>
            <w:r w:rsidRPr="005A7226">
              <w:rPr>
                <w:rFonts w:ascii="Arial Narrow" w:hAnsi="Arial Narrow"/>
                <w:b/>
                <w:sz w:val="20"/>
                <w:szCs w:val="20"/>
              </w:rPr>
              <w:t>E</w:t>
            </w:r>
            <w:r w:rsidR="00A03320" w:rsidRPr="005A7226">
              <w:rPr>
                <w:rFonts w:ascii="Arial Narrow" w:hAnsi="Arial Narrow"/>
                <w:b/>
                <w:sz w:val="20"/>
                <w:szCs w:val="20"/>
              </w:rPr>
              <w:t xml:space="preserve">. SKYLIGHT 2: VMS severity to </w:t>
            </w:r>
            <w:proofErr w:type="spellStart"/>
            <w:r w:rsidR="00A03320" w:rsidRPr="005A7226">
              <w:rPr>
                <w:rFonts w:ascii="Arial Narrow" w:hAnsi="Arial Narrow"/>
                <w:b/>
                <w:sz w:val="20"/>
                <w:szCs w:val="20"/>
              </w:rPr>
              <w:t>Wk</w:t>
            </w:r>
            <w:proofErr w:type="spellEnd"/>
            <w:r w:rsidR="00A03320" w:rsidRPr="005A7226">
              <w:rPr>
                <w:rFonts w:ascii="Arial Narrow" w:hAnsi="Arial Narrow"/>
                <w:b/>
                <w:sz w:val="20"/>
                <w:szCs w:val="20"/>
              </w:rPr>
              <w:t xml:space="preserve"> 52</w:t>
            </w:r>
          </w:p>
        </w:tc>
        <w:tc>
          <w:tcPr>
            <w:tcW w:w="4509" w:type="dxa"/>
          </w:tcPr>
          <w:p w14:paraId="0A916422" w14:textId="191286AA" w:rsidR="00A03320" w:rsidRPr="005A7226" w:rsidRDefault="00C20CCC" w:rsidP="00325998">
            <w:pPr>
              <w:keepNext/>
              <w:keepLines/>
              <w:rPr>
                <w:rFonts w:ascii="Arial Narrow" w:hAnsi="Arial Narrow"/>
                <w:b/>
                <w:sz w:val="20"/>
                <w:szCs w:val="20"/>
              </w:rPr>
            </w:pPr>
            <w:r w:rsidRPr="005A7226">
              <w:rPr>
                <w:rFonts w:ascii="Arial Narrow" w:hAnsi="Arial Narrow"/>
                <w:b/>
                <w:sz w:val="20"/>
                <w:szCs w:val="20"/>
              </w:rPr>
              <w:t>F</w:t>
            </w:r>
            <w:r w:rsidR="00A03320" w:rsidRPr="005A7226">
              <w:rPr>
                <w:rFonts w:ascii="Arial Narrow" w:hAnsi="Arial Narrow"/>
                <w:b/>
                <w:sz w:val="20"/>
                <w:szCs w:val="20"/>
              </w:rPr>
              <w:t xml:space="preserve">. SKYLIGHT 2: VMS severity to </w:t>
            </w:r>
            <w:proofErr w:type="spellStart"/>
            <w:r w:rsidR="00A03320" w:rsidRPr="005A7226">
              <w:rPr>
                <w:rFonts w:ascii="Arial Narrow" w:hAnsi="Arial Narrow"/>
                <w:b/>
                <w:sz w:val="20"/>
                <w:szCs w:val="20"/>
              </w:rPr>
              <w:t>Wk</w:t>
            </w:r>
            <w:proofErr w:type="spellEnd"/>
            <w:r w:rsidR="00A03320" w:rsidRPr="005A7226">
              <w:rPr>
                <w:rFonts w:ascii="Arial Narrow" w:hAnsi="Arial Narrow"/>
                <w:b/>
                <w:sz w:val="20"/>
                <w:szCs w:val="20"/>
              </w:rPr>
              <w:t xml:space="preserve"> 52</w:t>
            </w:r>
          </w:p>
        </w:tc>
      </w:tr>
      <w:tr w:rsidR="00AE2859" w:rsidRPr="005A7226" w14:paraId="298E681B" w14:textId="77777777" w:rsidTr="00325998">
        <w:tc>
          <w:tcPr>
            <w:tcW w:w="4508" w:type="dxa"/>
          </w:tcPr>
          <w:p w14:paraId="539B7B5E" w14:textId="77777777" w:rsidR="00A03320" w:rsidRPr="005A7226" w:rsidRDefault="00A03320" w:rsidP="00325998">
            <w:pPr>
              <w:keepNext/>
              <w:keepLines/>
              <w:rPr>
                <w:rFonts w:ascii="Arial Narrow" w:hAnsi="Arial Narrow"/>
                <w:sz w:val="20"/>
                <w:szCs w:val="20"/>
              </w:rPr>
            </w:pPr>
            <w:r w:rsidRPr="005A7226">
              <w:rPr>
                <w:noProof/>
              </w:rPr>
              <w:drawing>
                <wp:inline distT="0" distB="0" distL="0" distR="0" wp14:anchorId="61112473" wp14:editId="6AD251E5">
                  <wp:extent cx="2816860" cy="1809115"/>
                  <wp:effectExtent l="0" t="0" r="8890" b="0"/>
                  <wp:docPr id="11" name="Picture 11" descr="Figure 1: Change from baseline in moderate to severe VMS (frequency and severity) to Week 12/24 (double-blind) to Week 52 (active extension) in the included fezolinetant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 Change from baseline in moderate to severe VMS (frequency and severity) to Week 12/24 (double-blind) to Week 52 (active extension) in the included fezolinetant trials"/>
                          <pic:cNvPicPr/>
                        </pic:nvPicPr>
                        <pic:blipFill>
                          <a:blip r:embed="rId15"/>
                          <a:stretch>
                            <a:fillRect/>
                          </a:stretch>
                        </pic:blipFill>
                        <pic:spPr>
                          <a:xfrm>
                            <a:off x="0" y="0"/>
                            <a:ext cx="2816860" cy="1809115"/>
                          </a:xfrm>
                          <a:prstGeom prst="rect">
                            <a:avLst/>
                          </a:prstGeom>
                        </pic:spPr>
                      </pic:pic>
                    </a:graphicData>
                  </a:graphic>
                </wp:inline>
              </w:drawing>
            </w:r>
          </w:p>
        </w:tc>
        <w:tc>
          <w:tcPr>
            <w:tcW w:w="4509" w:type="dxa"/>
          </w:tcPr>
          <w:p w14:paraId="0ED8ADC0" w14:textId="77777777" w:rsidR="00A03320" w:rsidRPr="005A7226" w:rsidRDefault="00A03320" w:rsidP="00325998">
            <w:pPr>
              <w:keepNext/>
              <w:keepLines/>
              <w:rPr>
                <w:rFonts w:ascii="Arial Narrow" w:hAnsi="Arial Narrow"/>
                <w:sz w:val="20"/>
                <w:szCs w:val="20"/>
              </w:rPr>
            </w:pPr>
            <w:r w:rsidRPr="005A7226">
              <w:rPr>
                <w:noProof/>
              </w:rPr>
              <w:drawing>
                <wp:inline distT="0" distB="0" distL="0" distR="0" wp14:anchorId="2889896E" wp14:editId="4A1433AE">
                  <wp:extent cx="2838090" cy="1820545"/>
                  <wp:effectExtent l="0" t="0" r="635" b="8255"/>
                  <wp:docPr id="13" name="Picture 13" descr="Figure 1: Change from baseline in moderate to severe VMS (frequency and severity) to Week 12/24 (double-blind) to Week 52 (active extension) in the included fezolinetant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Change from baseline in moderate to severe VMS (frequency and severity) to Week 12/24 (double-blind) to Week 52 (active extension) in the included fezolinetant trials"/>
                          <pic:cNvPicPr/>
                        </pic:nvPicPr>
                        <pic:blipFill>
                          <a:blip r:embed="rId16"/>
                          <a:stretch>
                            <a:fillRect/>
                          </a:stretch>
                        </pic:blipFill>
                        <pic:spPr>
                          <a:xfrm>
                            <a:off x="0" y="0"/>
                            <a:ext cx="2860565" cy="1834962"/>
                          </a:xfrm>
                          <a:prstGeom prst="rect">
                            <a:avLst/>
                          </a:prstGeom>
                        </pic:spPr>
                      </pic:pic>
                    </a:graphicData>
                  </a:graphic>
                </wp:inline>
              </w:drawing>
            </w:r>
          </w:p>
        </w:tc>
      </w:tr>
    </w:tbl>
    <w:p w14:paraId="573CA6FA" w14:textId="7DFC55A7" w:rsidR="00A03320" w:rsidRPr="005A7226" w:rsidRDefault="00A03320" w:rsidP="00A03320">
      <w:pPr>
        <w:keepNext/>
        <w:keepLines/>
        <w:rPr>
          <w:rFonts w:ascii="Arial Narrow" w:hAnsi="Arial Narrow"/>
          <w:sz w:val="18"/>
          <w:szCs w:val="18"/>
        </w:rPr>
      </w:pPr>
      <w:r w:rsidRPr="005A7226">
        <w:rPr>
          <w:rFonts w:ascii="Arial Narrow" w:hAnsi="Arial Narrow"/>
          <w:sz w:val="18"/>
          <w:szCs w:val="18"/>
        </w:rPr>
        <w:t>Source:</w:t>
      </w:r>
      <w:r w:rsidR="0018211B" w:rsidRPr="005A7226">
        <w:rPr>
          <w:rFonts w:ascii="Arial Narrow" w:hAnsi="Arial Narrow"/>
          <w:sz w:val="18"/>
          <w:szCs w:val="18"/>
        </w:rPr>
        <w:t xml:space="preserve"> Figures 2 and 3 </w:t>
      </w:r>
      <w:proofErr w:type="spellStart"/>
      <w:r w:rsidR="0018211B" w:rsidRPr="005A7226">
        <w:rPr>
          <w:rFonts w:ascii="Arial Narrow" w:hAnsi="Arial Narrow"/>
          <w:sz w:val="18"/>
          <w:szCs w:val="18"/>
        </w:rPr>
        <w:t>Schaudig</w:t>
      </w:r>
      <w:proofErr w:type="spellEnd"/>
      <w:r w:rsidR="0018211B" w:rsidRPr="005A7226">
        <w:rPr>
          <w:rFonts w:ascii="Arial Narrow" w:hAnsi="Arial Narrow"/>
          <w:sz w:val="18"/>
          <w:szCs w:val="18"/>
        </w:rPr>
        <w:t xml:space="preserve"> et al (2024)</w:t>
      </w:r>
      <w:r w:rsidRPr="005A7226">
        <w:rPr>
          <w:rFonts w:ascii="Arial Narrow" w:hAnsi="Arial Narrow"/>
          <w:sz w:val="18"/>
          <w:szCs w:val="18"/>
        </w:rPr>
        <w:t>, Figure 7, p66 and Figure 8, p67 of SKYLIGHT 1 CSR.pdf, Figure 7, p66 and Figure 8, p67 of SKYLIGHT 2 CSR.</w:t>
      </w:r>
    </w:p>
    <w:p w14:paraId="4CDEB67C" w14:textId="546ED07E" w:rsidR="00A03320" w:rsidRPr="005A7226" w:rsidRDefault="00A03320" w:rsidP="00A03320">
      <w:pPr>
        <w:keepNext/>
        <w:keepLines/>
        <w:rPr>
          <w:rFonts w:ascii="Arial Narrow" w:hAnsi="Arial Narrow"/>
          <w:sz w:val="18"/>
          <w:szCs w:val="18"/>
        </w:rPr>
      </w:pPr>
      <w:r w:rsidRPr="005A7226">
        <w:rPr>
          <w:rFonts w:ascii="Arial Narrow" w:hAnsi="Arial Narrow"/>
          <w:sz w:val="18"/>
          <w:szCs w:val="18"/>
        </w:rPr>
        <w:t xml:space="preserve">VMS=vasomotor symptoms; </w:t>
      </w:r>
      <w:proofErr w:type="spellStart"/>
      <w:r w:rsidRPr="005A7226">
        <w:rPr>
          <w:rFonts w:ascii="Arial Narrow" w:hAnsi="Arial Narrow"/>
          <w:sz w:val="18"/>
          <w:szCs w:val="18"/>
        </w:rPr>
        <w:t>wk</w:t>
      </w:r>
      <w:proofErr w:type="spellEnd"/>
      <w:r w:rsidRPr="005A7226">
        <w:rPr>
          <w:rFonts w:ascii="Arial Narrow" w:hAnsi="Arial Narrow"/>
          <w:sz w:val="18"/>
          <w:szCs w:val="18"/>
        </w:rPr>
        <w:t>=week</w:t>
      </w:r>
    </w:p>
    <w:p w14:paraId="5ECEB99C" w14:textId="515E4FAF" w:rsidR="00A84DE5" w:rsidRPr="005A7226" w:rsidRDefault="00A84DE5" w:rsidP="00A84DE5">
      <w:pPr>
        <w:pStyle w:val="TableFigureFooter"/>
      </w:pPr>
      <w:r w:rsidRPr="005A7226">
        <w:t xml:space="preserve">Note the figures for DAYLIGHT provided in the submission showed the change from baseline on the y axis whereas those for SKYLIGHT show the mean frequency on the y axis. Figures from DAYLIGHT have been sourced from the publication </w:t>
      </w:r>
      <w:r w:rsidR="00B272F0" w:rsidRPr="005A7226">
        <w:t>(</w:t>
      </w:r>
      <w:proofErr w:type="spellStart"/>
      <w:r w:rsidR="00B272F0" w:rsidRPr="005A7226">
        <w:t>Schaudig</w:t>
      </w:r>
      <w:proofErr w:type="spellEnd"/>
      <w:r w:rsidR="00B272F0" w:rsidRPr="005A7226">
        <w:t xml:space="preserve"> et al 2024) for consistency.</w:t>
      </w:r>
    </w:p>
    <w:p w14:paraId="3B47807B" w14:textId="77777777" w:rsidR="00A84DE5" w:rsidRPr="005A7226" w:rsidRDefault="00A84DE5" w:rsidP="00A03320">
      <w:pPr>
        <w:keepNext/>
        <w:keepLines/>
        <w:rPr>
          <w:rFonts w:ascii="Arial Narrow" w:hAnsi="Arial Narrow"/>
          <w:sz w:val="18"/>
          <w:szCs w:val="18"/>
        </w:rPr>
      </w:pPr>
    </w:p>
    <w:p w14:paraId="44573F8F" w14:textId="3CA10708" w:rsidR="00250D4C" w:rsidRPr="005A7226" w:rsidRDefault="00563EC5" w:rsidP="00B53879">
      <w:pPr>
        <w:widowControl w:val="0"/>
        <w:numPr>
          <w:ilvl w:val="1"/>
          <w:numId w:val="1"/>
        </w:numPr>
        <w:spacing w:after="120"/>
        <w:ind w:left="720"/>
      </w:pPr>
      <w:r w:rsidRPr="005A7226">
        <w:fldChar w:fldCharType="begin"/>
      </w:r>
      <w:r w:rsidRPr="005A7226">
        <w:instrText xml:space="preserve"> REF _Ref184903133 \h </w:instrText>
      </w:r>
      <w:r w:rsidRPr="005A7226">
        <w:fldChar w:fldCharType="separate"/>
      </w:r>
      <w:r w:rsidR="00B11DA2" w:rsidRPr="005A7226">
        <w:t xml:space="preserve">Table </w:t>
      </w:r>
      <w:r w:rsidR="00B11DA2">
        <w:rPr>
          <w:noProof/>
        </w:rPr>
        <w:t>6</w:t>
      </w:r>
      <w:r w:rsidRPr="005A7226">
        <w:fldChar w:fldCharType="end"/>
      </w:r>
      <w:r w:rsidR="00250D4C" w:rsidRPr="005A7226">
        <w:t xml:space="preserve"> presents the responder analysis of change from baseline in moderate to severe VMS frequency to Week 12/24 in the fezolinetant trials.</w:t>
      </w:r>
    </w:p>
    <w:p w14:paraId="2F91F4DF" w14:textId="4F7BCA51" w:rsidR="00250D4C" w:rsidRPr="005A7226" w:rsidRDefault="53F95D70" w:rsidP="004E22C4">
      <w:pPr>
        <w:pStyle w:val="Caption"/>
      </w:pPr>
      <w:bookmarkStart w:id="37" w:name="_Ref184903133"/>
      <w:r w:rsidRPr="005A7226">
        <w:t xml:space="preserve">Table </w:t>
      </w:r>
      <w:r w:rsidRPr="005A7226">
        <w:fldChar w:fldCharType="begin"/>
      </w:r>
      <w:r w:rsidRPr="005A7226">
        <w:instrText>SEQ Table \* ARABIC</w:instrText>
      </w:r>
      <w:r w:rsidRPr="005A7226">
        <w:fldChar w:fldCharType="separate"/>
      </w:r>
      <w:r w:rsidR="00B11DA2">
        <w:rPr>
          <w:noProof/>
        </w:rPr>
        <w:t>6</w:t>
      </w:r>
      <w:r w:rsidRPr="005A7226">
        <w:fldChar w:fldCharType="end"/>
      </w:r>
      <w:bookmarkEnd w:id="37"/>
      <w:r w:rsidR="6EA18949" w:rsidRPr="005A7226">
        <w:t>:</w:t>
      </w:r>
      <w:r w:rsidRPr="005A7226">
        <w:t xml:space="preserve"> VMS frequency response at Week 12/24 in the included fezolinetant trials (double-blind period)</w:t>
      </w:r>
    </w:p>
    <w:tbl>
      <w:tblPr>
        <w:tblStyle w:val="TableGrid"/>
        <w:tblW w:w="5000" w:type="pct"/>
        <w:tblCellMar>
          <w:left w:w="28" w:type="dxa"/>
          <w:right w:w="28" w:type="dxa"/>
        </w:tblCellMar>
        <w:tblLook w:val="04A0" w:firstRow="1" w:lastRow="0" w:firstColumn="1" w:lastColumn="0" w:noHBand="0" w:noVBand="1"/>
        <w:tblCaption w:val="Table 6: VMS frequency response at Week 12/24 in the included fezolinetant trials (double-blind period)"/>
      </w:tblPr>
      <w:tblGrid>
        <w:gridCol w:w="4534"/>
        <w:gridCol w:w="1297"/>
        <w:gridCol w:w="1298"/>
        <w:gridCol w:w="1888"/>
      </w:tblGrid>
      <w:tr w:rsidR="00250D4C" w:rsidRPr="005A7226" w14:paraId="2BA38BE4" w14:textId="77777777" w:rsidTr="00D92C36">
        <w:trPr>
          <w:tblHeader/>
        </w:trPr>
        <w:tc>
          <w:tcPr>
            <w:tcW w:w="2514" w:type="pct"/>
          </w:tcPr>
          <w:p w14:paraId="0D6BD812" w14:textId="77777777" w:rsidR="00250D4C" w:rsidRPr="005A7226" w:rsidRDefault="00250D4C" w:rsidP="004E22C4">
            <w:pPr>
              <w:keepNext/>
              <w:keepLines/>
              <w:rPr>
                <w:rFonts w:ascii="Arial Narrow" w:hAnsi="Arial Narrow"/>
                <w:b/>
                <w:sz w:val="20"/>
                <w:szCs w:val="20"/>
              </w:rPr>
            </w:pPr>
            <w:r w:rsidRPr="005A7226">
              <w:rPr>
                <w:rFonts w:ascii="Arial Narrow" w:hAnsi="Arial Narrow"/>
                <w:b/>
                <w:sz w:val="20"/>
                <w:szCs w:val="20"/>
              </w:rPr>
              <w:t>Outcome</w:t>
            </w:r>
          </w:p>
        </w:tc>
        <w:tc>
          <w:tcPr>
            <w:tcW w:w="719" w:type="pct"/>
            <w:vAlign w:val="center"/>
          </w:tcPr>
          <w:p w14:paraId="7D4CE1D5" w14:textId="3AE14341"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FEZ 45</w:t>
            </w:r>
            <w:r w:rsidR="00B00B0A" w:rsidRPr="005A7226">
              <w:rPr>
                <w:rFonts w:ascii="Arial Narrow" w:hAnsi="Arial Narrow"/>
                <w:b/>
                <w:sz w:val="20"/>
                <w:szCs w:val="20"/>
              </w:rPr>
              <w:t>mg</w:t>
            </w:r>
          </w:p>
        </w:tc>
        <w:tc>
          <w:tcPr>
            <w:tcW w:w="720" w:type="pct"/>
            <w:vAlign w:val="center"/>
          </w:tcPr>
          <w:p w14:paraId="0980AA88"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PBO</w:t>
            </w:r>
          </w:p>
        </w:tc>
        <w:tc>
          <w:tcPr>
            <w:tcW w:w="1047" w:type="pct"/>
            <w:vAlign w:val="center"/>
          </w:tcPr>
          <w:p w14:paraId="281AEA84"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OR (95%CI)</w:t>
            </w:r>
          </w:p>
        </w:tc>
      </w:tr>
      <w:tr w:rsidR="00250D4C" w:rsidRPr="005A7226" w14:paraId="2AF41324" w14:textId="77777777" w:rsidTr="006E529D">
        <w:tc>
          <w:tcPr>
            <w:tcW w:w="5000" w:type="pct"/>
            <w:gridSpan w:val="4"/>
            <w:vAlign w:val="center"/>
          </w:tcPr>
          <w:p w14:paraId="3C3A7DAC" w14:textId="77777777" w:rsidR="00250D4C" w:rsidRPr="005A7226" w:rsidRDefault="00250D4C" w:rsidP="004E22C4">
            <w:pPr>
              <w:keepNext/>
              <w:keepLines/>
              <w:jc w:val="left"/>
              <w:rPr>
                <w:rFonts w:ascii="Arial Narrow" w:hAnsi="Arial Narrow"/>
                <w:b/>
                <w:sz w:val="20"/>
                <w:szCs w:val="20"/>
              </w:rPr>
            </w:pPr>
            <w:r w:rsidRPr="005A7226">
              <w:rPr>
                <w:rFonts w:ascii="Arial Narrow" w:hAnsi="Arial Narrow"/>
                <w:b/>
                <w:sz w:val="20"/>
                <w:szCs w:val="20"/>
              </w:rPr>
              <w:t>Responders of ≥50% reduction from baseline in mean frequency of moderate-severe VMS per 24h</w:t>
            </w:r>
          </w:p>
        </w:tc>
      </w:tr>
      <w:tr w:rsidR="00250D4C" w:rsidRPr="005A7226" w14:paraId="4DDFC796" w14:textId="77777777" w:rsidTr="006E529D">
        <w:tc>
          <w:tcPr>
            <w:tcW w:w="2514" w:type="pct"/>
          </w:tcPr>
          <w:p w14:paraId="708F15E1" w14:textId="6780E771"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3C4755B8"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99/174 (56.9)</w:t>
            </w:r>
          </w:p>
        </w:tc>
        <w:tc>
          <w:tcPr>
            <w:tcW w:w="720" w:type="pct"/>
            <w:vAlign w:val="center"/>
          </w:tcPr>
          <w:p w14:paraId="17B04CC9"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52/175 (29.7)</w:t>
            </w:r>
          </w:p>
        </w:tc>
        <w:tc>
          <w:tcPr>
            <w:tcW w:w="1047" w:type="pct"/>
            <w:vAlign w:val="center"/>
          </w:tcPr>
          <w:p w14:paraId="617E85CC"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3.156 (2.035, 4.944)</w:t>
            </w:r>
          </w:p>
        </w:tc>
      </w:tr>
      <w:tr w:rsidR="00250D4C" w:rsidRPr="005A7226" w14:paraId="0D2372B0" w14:textId="77777777" w:rsidTr="006E529D">
        <w:tc>
          <w:tcPr>
            <w:tcW w:w="2514" w:type="pct"/>
          </w:tcPr>
          <w:p w14:paraId="1CF8B596" w14:textId="7D06B6D3"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2,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0C5B0B25"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101/167 (60.5)</w:t>
            </w:r>
          </w:p>
        </w:tc>
        <w:tc>
          <w:tcPr>
            <w:tcW w:w="720" w:type="pct"/>
            <w:vAlign w:val="center"/>
          </w:tcPr>
          <w:p w14:paraId="1BC74124"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71/167 (42.5)</w:t>
            </w:r>
          </w:p>
        </w:tc>
        <w:tc>
          <w:tcPr>
            <w:tcW w:w="1047" w:type="pct"/>
            <w:vAlign w:val="center"/>
          </w:tcPr>
          <w:p w14:paraId="461ACC7B"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2.090 (1.351, 3.252)</w:t>
            </w:r>
          </w:p>
        </w:tc>
      </w:tr>
      <w:tr w:rsidR="00250D4C" w:rsidRPr="005A7226" w14:paraId="5185D260" w14:textId="77777777" w:rsidTr="006E529D">
        <w:tc>
          <w:tcPr>
            <w:tcW w:w="2514" w:type="pct"/>
          </w:tcPr>
          <w:p w14:paraId="23F381E9" w14:textId="3E3C2D3D"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&amp; 2 pooled,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4FCB956B"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200/341 (58.7)</w:t>
            </w:r>
          </w:p>
        </w:tc>
        <w:tc>
          <w:tcPr>
            <w:tcW w:w="720" w:type="pct"/>
            <w:vAlign w:val="center"/>
          </w:tcPr>
          <w:p w14:paraId="5030188A"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123/342 (36.0)</w:t>
            </w:r>
          </w:p>
        </w:tc>
        <w:tc>
          <w:tcPr>
            <w:tcW w:w="1047" w:type="pct"/>
            <w:vAlign w:val="center"/>
          </w:tcPr>
          <w:p w14:paraId="602A4AD6"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2.542 (1.868, 3.472)</w:t>
            </w:r>
          </w:p>
        </w:tc>
      </w:tr>
      <w:tr w:rsidR="00250D4C" w:rsidRPr="005A7226" w14:paraId="430B6DF5" w14:textId="77777777" w:rsidTr="006E529D">
        <w:tc>
          <w:tcPr>
            <w:tcW w:w="2514" w:type="pct"/>
          </w:tcPr>
          <w:p w14:paraId="15E49687" w14:textId="20FE8449"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7D6F70D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154/226 (68.1)</w:t>
            </w:r>
          </w:p>
        </w:tc>
        <w:tc>
          <w:tcPr>
            <w:tcW w:w="720" w:type="pct"/>
            <w:vAlign w:val="center"/>
          </w:tcPr>
          <w:p w14:paraId="3749B47D"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106/226 (46.9)</w:t>
            </w:r>
          </w:p>
        </w:tc>
        <w:tc>
          <w:tcPr>
            <w:tcW w:w="1047" w:type="pct"/>
            <w:vAlign w:val="center"/>
          </w:tcPr>
          <w:p w14:paraId="219DEFF6"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2.422 (1.649, 3.556)</w:t>
            </w:r>
          </w:p>
        </w:tc>
      </w:tr>
      <w:tr w:rsidR="00250D4C" w:rsidRPr="005A7226" w14:paraId="2EF74C58" w14:textId="77777777" w:rsidTr="006E529D">
        <w:tc>
          <w:tcPr>
            <w:tcW w:w="2514" w:type="pct"/>
          </w:tcPr>
          <w:p w14:paraId="288635AF"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24</w:t>
            </w:r>
          </w:p>
        </w:tc>
        <w:tc>
          <w:tcPr>
            <w:tcW w:w="719" w:type="pct"/>
            <w:vAlign w:val="center"/>
          </w:tcPr>
          <w:p w14:paraId="3FC640B5"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137/226 (60.6)</w:t>
            </w:r>
          </w:p>
        </w:tc>
        <w:tc>
          <w:tcPr>
            <w:tcW w:w="720" w:type="pct"/>
            <w:vAlign w:val="center"/>
          </w:tcPr>
          <w:p w14:paraId="33AD3A32"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104/226 (46.0)</w:t>
            </w:r>
          </w:p>
        </w:tc>
        <w:tc>
          <w:tcPr>
            <w:tcW w:w="1047" w:type="pct"/>
            <w:vAlign w:val="center"/>
          </w:tcPr>
          <w:p w14:paraId="179E4CDC"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1.815 (1.249, 2.647)</w:t>
            </w:r>
          </w:p>
        </w:tc>
      </w:tr>
      <w:tr w:rsidR="00250D4C" w:rsidRPr="005A7226" w14:paraId="086EF614" w14:textId="77777777" w:rsidTr="006E529D">
        <w:tc>
          <w:tcPr>
            <w:tcW w:w="2514" w:type="pct"/>
          </w:tcPr>
          <w:p w14:paraId="60389D30"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&amp; 2 pooled,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c</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719" w:type="pct"/>
            <w:vAlign w:val="center"/>
          </w:tcPr>
          <w:p w14:paraId="76F336BE"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174/287 (60.6)</w:t>
            </w:r>
          </w:p>
        </w:tc>
        <w:tc>
          <w:tcPr>
            <w:tcW w:w="720" w:type="pct"/>
            <w:vAlign w:val="center"/>
          </w:tcPr>
          <w:p w14:paraId="6B87FDF9"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106/297 (35.7)</w:t>
            </w:r>
          </w:p>
        </w:tc>
        <w:tc>
          <w:tcPr>
            <w:tcW w:w="1047" w:type="pct"/>
            <w:vAlign w:val="center"/>
          </w:tcPr>
          <w:p w14:paraId="5B272979"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2.781 (1.991, 3.904)</w:t>
            </w:r>
          </w:p>
        </w:tc>
      </w:tr>
      <w:tr w:rsidR="00250D4C" w:rsidRPr="005A7226" w14:paraId="01321B4C" w14:textId="77777777" w:rsidTr="006E529D">
        <w:tc>
          <w:tcPr>
            <w:tcW w:w="2514" w:type="pct"/>
          </w:tcPr>
          <w:p w14:paraId="23E31F0E"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SKYLIGHT 1 &amp; 2 pooled, MHT unsuitable,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719" w:type="pct"/>
            <w:vAlign w:val="center"/>
          </w:tcPr>
          <w:p w14:paraId="5B2B21FE"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328/513 (63.9)</w:t>
            </w:r>
          </w:p>
        </w:tc>
        <w:tc>
          <w:tcPr>
            <w:tcW w:w="720" w:type="pct"/>
            <w:vAlign w:val="center"/>
          </w:tcPr>
          <w:p w14:paraId="20C3F92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212/523 (40.5)</w:t>
            </w:r>
          </w:p>
        </w:tc>
        <w:tc>
          <w:tcPr>
            <w:tcW w:w="1047" w:type="pct"/>
            <w:vAlign w:val="center"/>
          </w:tcPr>
          <w:p w14:paraId="193AD60B"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2.623 (2.034, 3.384)</w:t>
            </w:r>
          </w:p>
        </w:tc>
      </w:tr>
      <w:tr w:rsidR="00250D4C" w:rsidRPr="005A7226" w14:paraId="19CB684E" w14:textId="77777777" w:rsidTr="006E529D">
        <w:tc>
          <w:tcPr>
            <w:tcW w:w="5000" w:type="pct"/>
            <w:gridSpan w:val="4"/>
            <w:vAlign w:val="center"/>
          </w:tcPr>
          <w:p w14:paraId="7A4DE808" w14:textId="77777777" w:rsidR="00250D4C" w:rsidRPr="005A7226" w:rsidRDefault="00250D4C" w:rsidP="004E22C4">
            <w:pPr>
              <w:keepNext/>
              <w:keepLines/>
              <w:jc w:val="left"/>
              <w:rPr>
                <w:rFonts w:ascii="Arial Narrow" w:hAnsi="Arial Narrow"/>
                <w:sz w:val="20"/>
                <w:szCs w:val="20"/>
              </w:rPr>
            </w:pPr>
            <w:r w:rsidRPr="005A7226">
              <w:rPr>
                <w:rFonts w:ascii="Arial Narrow" w:hAnsi="Arial Narrow"/>
                <w:b/>
                <w:sz w:val="20"/>
                <w:szCs w:val="20"/>
              </w:rPr>
              <w:t>Responders of ≥75% reduction from baseline in mean frequency of moderate-severe VMS per 24h</w:t>
            </w:r>
          </w:p>
        </w:tc>
      </w:tr>
      <w:tr w:rsidR="00250D4C" w:rsidRPr="005A7226" w14:paraId="76AB733B" w14:textId="77777777" w:rsidTr="006E529D">
        <w:tc>
          <w:tcPr>
            <w:tcW w:w="2514" w:type="pct"/>
          </w:tcPr>
          <w:p w14:paraId="2B6D3ED8" w14:textId="319F2D13"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1910BB63"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60/174 (34.5)</w:t>
            </w:r>
          </w:p>
        </w:tc>
        <w:tc>
          <w:tcPr>
            <w:tcW w:w="720" w:type="pct"/>
            <w:vAlign w:val="center"/>
          </w:tcPr>
          <w:p w14:paraId="31F1936A"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23/175 (13.1)</w:t>
            </w:r>
          </w:p>
        </w:tc>
        <w:tc>
          <w:tcPr>
            <w:tcW w:w="1047" w:type="pct"/>
            <w:vAlign w:val="center"/>
          </w:tcPr>
          <w:p w14:paraId="1BB12A2B"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3.477 (2.054, 6.055)</w:t>
            </w:r>
          </w:p>
        </w:tc>
      </w:tr>
      <w:tr w:rsidR="00250D4C" w:rsidRPr="005A7226" w14:paraId="567519FE" w14:textId="77777777" w:rsidTr="006E529D">
        <w:tc>
          <w:tcPr>
            <w:tcW w:w="2514" w:type="pct"/>
          </w:tcPr>
          <w:p w14:paraId="2A70A6CE" w14:textId="35A248F0"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2,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vertAlign w:val="superscript"/>
              </w:rPr>
              <w:t xml:space="preserve"> d</w:t>
            </w:r>
          </w:p>
        </w:tc>
        <w:tc>
          <w:tcPr>
            <w:tcW w:w="719" w:type="pct"/>
            <w:vAlign w:val="center"/>
          </w:tcPr>
          <w:p w14:paraId="3EBBF6CA"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66/167 (39.5)</w:t>
            </w:r>
          </w:p>
        </w:tc>
        <w:tc>
          <w:tcPr>
            <w:tcW w:w="720" w:type="pct"/>
            <w:vAlign w:val="center"/>
          </w:tcPr>
          <w:p w14:paraId="4BF787F0"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35/167 (21.0)</w:t>
            </w:r>
          </w:p>
        </w:tc>
        <w:tc>
          <w:tcPr>
            <w:tcW w:w="1047" w:type="pct"/>
            <w:vAlign w:val="center"/>
          </w:tcPr>
          <w:p w14:paraId="7226D2E2"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2.482 (1.527, 4.089)</w:t>
            </w:r>
          </w:p>
        </w:tc>
      </w:tr>
      <w:tr w:rsidR="00250D4C" w:rsidRPr="005A7226" w14:paraId="2023A216" w14:textId="77777777" w:rsidTr="006E529D">
        <w:tc>
          <w:tcPr>
            <w:tcW w:w="2514" w:type="pct"/>
          </w:tcPr>
          <w:p w14:paraId="657302B5"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&amp; 2 pooled,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p>
        </w:tc>
        <w:tc>
          <w:tcPr>
            <w:tcW w:w="719" w:type="pct"/>
            <w:vAlign w:val="center"/>
          </w:tcPr>
          <w:p w14:paraId="083BC701"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126/341 (37.0)</w:t>
            </w:r>
          </w:p>
        </w:tc>
        <w:tc>
          <w:tcPr>
            <w:tcW w:w="720" w:type="pct"/>
            <w:vAlign w:val="center"/>
          </w:tcPr>
          <w:p w14:paraId="784E1E64"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58/342 (17.0)</w:t>
            </w:r>
          </w:p>
        </w:tc>
        <w:tc>
          <w:tcPr>
            <w:tcW w:w="1047" w:type="pct"/>
            <w:vAlign w:val="center"/>
          </w:tcPr>
          <w:p w14:paraId="67F0E8E6"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2.892 (2.026, 4.167)</w:t>
            </w:r>
          </w:p>
        </w:tc>
      </w:tr>
      <w:tr w:rsidR="00250D4C" w:rsidRPr="005A7226" w14:paraId="78F374BA" w14:textId="77777777" w:rsidTr="006E529D">
        <w:tc>
          <w:tcPr>
            <w:tcW w:w="2514" w:type="pct"/>
          </w:tcPr>
          <w:p w14:paraId="120DFA5D"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p>
        </w:tc>
        <w:tc>
          <w:tcPr>
            <w:tcW w:w="719" w:type="pct"/>
            <w:vAlign w:val="center"/>
          </w:tcPr>
          <w:p w14:paraId="3D4A897E"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110/226 (48.7)</w:t>
            </w:r>
          </w:p>
        </w:tc>
        <w:tc>
          <w:tcPr>
            <w:tcW w:w="720" w:type="pct"/>
            <w:vAlign w:val="center"/>
          </w:tcPr>
          <w:p w14:paraId="6F897A17"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66/226 (29.2)</w:t>
            </w:r>
          </w:p>
        </w:tc>
        <w:tc>
          <w:tcPr>
            <w:tcW w:w="1047" w:type="pct"/>
            <w:vAlign w:val="center"/>
          </w:tcPr>
          <w:p w14:paraId="081DC3F6"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2.298 (1.559, 3.389)</w:t>
            </w:r>
          </w:p>
        </w:tc>
      </w:tr>
      <w:tr w:rsidR="00250D4C" w:rsidRPr="005A7226" w14:paraId="2F134C4A" w14:textId="77777777" w:rsidTr="006E529D">
        <w:tc>
          <w:tcPr>
            <w:tcW w:w="2514" w:type="pct"/>
          </w:tcPr>
          <w:p w14:paraId="2ED204E6"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24</w:t>
            </w:r>
          </w:p>
        </w:tc>
        <w:tc>
          <w:tcPr>
            <w:tcW w:w="719" w:type="pct"/>
            <w:vAlign w:val="center"/>
          </w:tcPr>
          <w:p w14:paraId="4A12B2D0"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106/226 (46.9)</w:t>
            </w:r>
          </w:p>
        </w:tc>
        <w:tc>
          <w:tcPr>
            <w:tcW w:w="720" w:type="pct"/>
            <w:vAlign w:val="center"/>
          </w:tcPr>
          <w:p w14:paraId="4A62A570"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67/226 (29.6)</w:t>
            </w:r>
          </w:p>
        </w:tc>
        <w:tc>
          <w:tcPr>
            <w:tcW w:w="1047" w:type="pct"/>
            <w:vAlign w:val="center"/>
          </w:tcPr>
          <w:p w14:paraId="4571854A"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2.099 (1.427, 3.103)</w:t>
            </w:r>
          </w:p>
        </w:tc>
      </w:tr>
      <w:tr w:rsidR="00250D4C" w:rsidRPr="005A7226" w14:paraId="1B848316" w14:textId="77777777" w:rsidTr="006E529D">
        <w:tc>
          <w:tcPr>
            <w:tcW w:w="2514" w:type="pct"/>
          </w:tcPr>
          <w:p w14:paraId="126275A6"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&amp; 2 pooled,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c</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719" w:type="pct"/>
            <w:vAlign w:val="center"/>
          </w:tcPr>
          <w:p w14:paraId="66480EB6"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113/287 (39.4)</w:t>
            </w:r>
          </w:p>
        </w:tc>
        <w:tc>
          <w:tcPr>
            <w:tcW w:w="720" w:type="pct"/>
            <w:vAlign w:val="center"/>
          </w:tcPr>
          <w:p w14:paraId="756938CD"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53/297 (17.8)</w:t>
            </w:r>
          </w:p>
        </w:tc>
        <w:tc>
          <w:tcPr>
            <w:tcW w:w="1047" w:type="pct"/>
            <w:vAlign w:val="center"/>
          </w:tcPr>
          <w:p w14:paraId="60B504C2"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2.984 (2.046, 4.397)</w:t>
            </w:r>
          </w:p>
        </w:tc>
      </w:tr>
      <w:tr w:rsidR="00250D4C" w:rsidRPr="005A7226" w14:paraId="4F0BE0A8" w14:textId="77777777" w:rsidTr="006E529D">
        <w:tc>
          <w:tcPr>
            <w:tcW w:w="2514" w:type="pct"/>
          </w:tcPr>
          <w:p w14:paraId="45A59917"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SKYLIGHT 1 &amp; 2 pooled, MHT unsuitable,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719" w:type="pct"/>
            <w:vAlign w:val="center"/>
          </w:tcPr>
          <w:p w14:paraId="7CEEE6B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223/513 (43.5)</w:t>
            </w:r>
          </w:p>
        </w:tc>
        <w:tc>
          <w:tcPr>
            <w:tcW w:w="720" w:type="pct"/>
            <w:vAlign w:val="center"/>
          </w:tcPr>
          <w:p w14:paraId="7416C343"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119/523 (22.8)</w:t>
            </w:r>
          </w:p>
        </w:tc>
        <w:tc>
          <w:tcPr>
            <w:tcW w:w="1047" w:type="pct"/>
            <w:vAlign w:val="center"/>
          </w:tcPr>
          <w:p w14:paraId="284DE30B"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2.618 (1.988, 3.447)</w:t>
            </w:r>
          </w:p>
        </w:tc>
      </w:tr>
      <w:tr w:rsidR="00250D4C" w:rsidRPr="005A7226" w14:paraId="11B4E944" w14:textId="77777777" w:rsidTr="006E529D">
        <w:tc>
          <w:tcPr>
            <w:tcW w:w="5000" w:type="pct"/>
            <w:gridSpan w:val="4"/>
            <w:vAlign w:val="center"/>
          </w:tcPr>
          <w:p w14:paraId="15B667B3" w14:textId="61287FC7" w:rsidR="00250D4C" w:rsidRPr="005A7226" w:rsidRDefault="00250D4C" w:rsidP="004E22C4">
            <w:pPr>
              <w:keepNext/>
              <w:keepLines/>
              <w:jc w:val="left"/>
              <w:rPr>
                <w:rFonts w:ascii="Arial Narrow" w:hAnsi="Arial Narrow"/>
                <w:sz w:val="20"/>
                <w:szCs w:val="20"/>
              </w:rPr>
            </w:pPr>
            <w:r w:rsidRPr="005A7226">
              <w:rPr>
                <w:rFonts w:ascii="Arial Narrow" w:hAnsi="Arial Narrow"/>
                <w:b/>
                <w:sz w:val="20"/>
                <w:szCs w:val="20"/>
              </w:rPr>
              <w:t>Responders of 100% reduction from baseline in mean frequency of moderate-severe VMS per 24h</w:t>
            </w:r>
          </w:p>
        </w:tc>
      </w:tr>
      <w:tr w:rsidR="00250D4C" w:rsidRPr="005A7226" w14:paraId="6DF785B8" w14:textId="77777777" w:rsidTr="006E529D">
        <w:tc>
          <w:tcPr>
            <w:tcW w:w="2514" w:type="pct"/>
          </w:tcPr>
          <w:p w14:paraId="646581C2" w14:textId="06CC0922"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252FE830"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18/174 (10.3)</w:t>
            </w:r>
          </w:p>
        </w:tc>
        <w:tc>
          <w:tcPr>
            <w:tcW w:w="720" w:type="pct"/>
            <w:vAlign w:val="center"/>
          </w:tcPr>
          <w:p w14:paraId="39EB44D1"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6/175 (3.4)</w:t>
            </w:r>
          </w:p>
        </w:tc>
        <w:tc>
          <w:tcPr>
            <w:tcW w:w="1047" w:type="pct"/>
            <w:vAlign w:val="center"/>
          </w:tcPr>
          <w:p w14:paraId="11BBD56E"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3.262 (1.329, 9.194)</w:t>
            </w:r>
          </w:p>
        </w:tc>
      </w:tr>
      <w:tr w:rsidR="00250D4C" w:rsidRPr="005A7226" w14:paraId="27EBDD47" w14:textId="77777777" w:rsidTr="006E529D">
        <w:tc>
          <w:tcPr>
            <w:tcW w:w="2514" w:type="pct"/>
          </w:tcPr>
          <w:p w14:paraId="4BD1DCDA" w14:textId="06670029" w:rsidR="00250D4C" w:rsidRPr="005A7226" w:rsidRDefault="00250D4C" w:rsidP="004E22C4">
            <w:pPr>
              <w:keepNext/>
              <w:keepLines/>
              <w:rPr>
                <w:rFonts w:ascii="Arial Narrow" w:hAnsi="Arial Narrow"/>
                <w:b/>
                <w:bCs/>
                <w:sz w:val="20"/>
                <w:szCs w:val="20"/>
              </w:rPr>
            </w:pPr>
            <w:r w:rsidRPr="005A7226">
              <w:rPr>
                <w:rFonts w:ascii="Arial Narrow" w:hAnsi="Arial Narrow"/>
                <w:sz w:val="20"/>
                <w:szCs w:val="20"/>
              </w:rPr>
              <w:t xml:space="preserve">SKYLIGHT 2,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vertAlign w:val="superscript"/>
              </w:rPr>
              <w:t xml:space="preserve"> d</w:t>
            </w:r>
          </w:p>
        </w:tc>
        <w:tc>
          <w:tcPr>
            <w:tcW w:w="719" w:type="pct"/>
            <w:vAlign w:val="center"/>
          </w:tcPr>
          <w:p w14:paraId="4D127E85"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25/167 (15.0)</w:t>
            </w:r>
          </w:p>
        </w:tc>
        <w:tc>
          <w:tcPr>
            <w:tcW w:w="720" w:type="pct"/>
            <w:vAlign w:val="center"/>
          </w:tcPr>
          <w:p w14:paraId="598CA0A9"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9/167 (5.4)</w:t>
            </w:r>
          </w:p>
        </w:tc>
        <w:tc>
          <w:tcPr>
            <w:tcW w:w="1047" w:type="pct"/>
            <w:vAlign w:val="center"/>
          </w:tcPr>
          <w:p w14:paraId="02FC6643"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3.049 (1.420, 7.125)</w:t>
            </w:r>
          </w:p>
        </w:tc>
      </w:tr>
      <w:tr w:rsidR="00250D4C" w:rsidRPr="005A7226" w14:paraId="6EFA34F1" w14:textId="77777777" w:rsidTr="006E529D">
        <w:tc>
          <w:tcPr>
            <w:tcW w:w="2514" w:type="pct"/>
          </w:tcPr>
          <w:p w14:paraId="1E94A478" w14:textId="171B2A3E"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&amp; 2 pooled, </w:t>
            </w:r>
            <w:proofErr w:type="spellStart"/>
            <w:r w:rsidRPr="005A7226">
              <w:rPr>
                <w:rFonts w:ascii="Arial Narrow" w:hAnsi="Arial Narrow"/>
                <w:sz w:val="20"/>
                <w:szCs w:val="20"/>
              </w:rPr>
              <w:t>ITT</w:t>
            </w:r>
            <w:r w:rsidRPr="005A7226">
              <w:rPr>
                <w:rFonts w:ascii="Arial Narrow" w:hAnsi="Arial Narrow"/>
                <w:sz w:val="20"/>
                <w:szCs w:val="20"/>
                <w:vertAlign w:val="superscript"/>
              </w:rPr>
              <w:t>a</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47765880"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42/341 (12.6)</w:t>
            </w:r>
          </w:p>
        </w:tc>
        <w:tc>
          <w:tcPr>
            <w:tcW w:w="720" w:type="pct"/>
            <w:vAlign w:val="center"/>
          </w:tcPr>
          <w:p w14:paraId="222DF63A"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15/342 (4.4)</w:t>
            </w:r>
          </w:p>
        </w:tc>
        <w:tc>
          <w:tcPr>
            <w:tcW w:w="1047" w:type="pct"/>
            <w:vAlign w:val="center"/>
          </w:tcPr>
          <w:p w14:paraId="584BCCBC"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3.138 (1.742, 5.953)</w:t>
            </w:r>
          </w:p>
        </w:tc>
      </w:tr>
      <w:tr w:rsidR="00250D4C" w:rsidRPr="005A7226" w14:paraId="62592D33" w14:textId="77777777" w:rsidTr="006E529D">
        <w:tc>
          <w:tcPr>
            <w:tcW w:w="2514" w:type="pct"/>
          </w:tcPr>
          <w:p w14:paraId="0FCDE9EE" w14:textId="1EAE7313"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w:t>
            </w:r>
            <w:r w:rsidR="00AD4092" w:rsidRPr="005A7226">
              <w:rPr>
                <w:rFonts w:ascii="Arial Narrow" w:hAnsi="Arial Narrow"/>
                <w:sz w:val="20"/>
                <w:szCs w:val="20"/>
              </w:rPr>
              <w:t xml:space="preserve"> </w:t>
            </w:r>
            <w:r w:rsidR="00AD4092" w:rsidRPr="005A7226">
              <w:rPr>
                <w:rFonts w:ascii="Arial Narrow" w:hAnsi="Arial Narrow"/>
                <w:sz w:val="20"/>
                <w:szCs w:val="20"/>
                <w:vertAlign w:val="superscript"/>
              </w:rPr>
              <w:t>d</w:t>
            </w:r>
          </w:p>
        </w:tc>
        <w:tc>
          <w:tcPr>
            <w:tcW w:w="719" w:type="pct"/>
            <w:vAlign w:val="center"/>
          </w:tcPr>
          <w:p w14:paraId="699403F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49/226 (21.7)</w:t>
            </w:r>
          </w:p>
        </w:tc>
        <w:tc>
          <w:tcPr>
            <w:tcW w:w="720" w:type="pct"/>
            <w:vAlign w:val="center"/>
          </w:tcPr>
          <w:p w14:paraId="6E69C10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22/226 (9.7)</w:t>
            </w:r>
          </w:p>
        </w:tc>
        <w:tc>
          <w:tcPr>
            <w:tcW w:w="1047" w:type="pct"/>
            <w:vAlign w:val="center"/>
          </w:tcPr>
          <w:p w14:paraId="6A1FD5C7"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2.562 (1.488, 4.412)</w:t>
            </w:r>
          </w:p>
        </w:tc>
      </w:tr>
      <w:tr w:rsidR="00250D4C" w:rsidRPr="005A7226" w14:paraId="6985F170" w14:textId="77777777" w:rsidTr="006E529D">
        <w:tc>
          <w:tcPr>
            <w:tcW w:w="2514" w:type="pct"/>
          </w:tcPr>
          <w:p w14:paraId="1227EBAD"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b</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24</w:t>
            </w:r>
          </w:p>
        </w:tc>
        <w:tc>
          <w:tcPr>
            <w:tcW w:w="719" w:type="pct"/>
            <w:vAlign w:val="center"/>
          </w:tcPr>
          <w:p w14:paraId="2088FFC6"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50/226 (22.1)</w:t>
            </w:r>
          </w:p>
        </w:tc>
        <w:tc>
          <w:tcPr>
            <w:tcW w:w="720" w:type="pct"/>
            <w:vAlign w:val="center"/>
          </w:tcPr>
          <w:p w14:paraId="42C9240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24/226 (10.6)</w:t>
            </w:r>
          </w:p>
        </w:tc>
        <w:tc>
          <w:tcPr>
            <w:tcW w:w="1047" w:type="pct"/>
            <w:vAlign w:val="center"/>
          </w:tcPr>
          <w:p w14:paraId="3978C763"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2.385 (1.422, 4.098)</w:t>
            </w:r>
          </w:p>
        </w:tc>
      </w:tr>
      <w:tr w:rsidR="00250D4C" w:rsidRPr="005A7226" w14:paraId="5EA9C269" w14:textId="77777777" w:rsidTr="006E529D">
        <w:tc>
          <w:tcPr>
            <w:tcW w:w="2514" w:type="pct"/>
          </w:tcPr>
          <w:p w14:paraId="528C32AC"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SKYLIGHT 1 &amp; 2 pooled, MHT </w:t>
            </w:r>
            <w:proofErr w:type="spellStart"/>
            <w:r w:rsidRPr="005A7226">
              <w:rPr>
                <w:rFonts w:ascii="Arial Narrow" w:hAnsi="Arial Narrow"/>
                <w:sz w:val="20"/>
                <w:szCs w:val="20"/>
              </w:rPr>
              <w:t>unsuitable</w:t>
            </w:r>
            <w:r w:rsidRPr="005A7226">
              <w:rPr>
                <w:rFonts w:ascii="Arial Narrow" w:hAnsi="Arial Narrow"/>
                <w:sz w:val="20"/>
                <w:szCs w:val="20"/>
                <w:vertAlign w:val="superscript"/>
              </w:rPr>
              <w:t>c</w:t>
            </w:r>
            <w:proofErr w:type="spellEnd"/>
            <w:r w:rsidRPr="005A7226">
              <w:rPr>
                <w:rFonts w:ascii="Arial Narrow" w:hAnsi="Arial Narrow"/>
                <w:sz w:val="20"/>
                <w:szCs w:val="20"/>
              </w:rPr>
              <w:t xml:space="preserv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719" w:type="pct"/>
            <w:vAlign w:val="center"/>
          </w:tcPr>
          <w:p w14:paraId="6780DA48"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37/287 (12.9)</w:t>
            </w:r>
          </w:p>
        </w:tc>
        <w:tc>
          <w:tcPr>
            <w:tcW w:w="720" w:type="pct"/>
            <w:vAlign w:val="center"/>
          </w:tcPr>
          <w:p w14:paraId="5542E847"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14/297 (4.7)</w:t>
            </w:r>
          </w:p>
        </w:tc>
        <w:tc>
          <w:tcPr>
            <w:tcW w:w="1047" w:type="pct"/>
            <w:vAlign w:val="center"/>
          </w:tcPr>
          <w:p w14:paraId="02D5C9C2"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2.962 (1.596, 5.795)</w:t>
            </w:r>
          </w:p>
        </w:tc>
      </w:tr>
      <w:tr w:rsidR="00250D4C" w:rsidRPr="005A7226" w14:paraId="4E6A6BCF" w14:textId="77777777" w:rsidTr="006E529D">
        <w:tc>
          <w:tcPr>
            <w:tcW w:w="2514" w:type="pct"/>
          </w:tcPr>
          <w:p w14:paraId="3194130F" w14:textId="77777777" w:rsidR="00250D4C" w:rsidRPr="005A7226" w:rsidRDefault="00250D4C" w:rsidP="004E22C4">
            <w:pPr>
              <w:keepNext/>
              <w:keepLines/>
              <w:rPr>
                <w:rFonts w:ascii="Arial Narrow" w:hAnsi="Arial Narrow"/>
                <w:sz w:val="20"/>
                <w:szCs w:val="20"/>
              </w:rPr>
            </w:pPr>
            <w:r w:rsidRPr="005A7226">
              <w:rPr>
                <w:rFonts w:ascii="Arial Narrow" w:hAnsi="Arial Narrow"/>
                <w:sz w:val="20"/>
                <w:szCs w:val="20"/>
              </w:rPr>
              <w:t xml:space="preserve">DAYLIGHT, SKYLIGHT 1 &amp; 2 pooled, MHT unsuitable, </w:t>
            </w:r>
            <w:proofErr w:type="spellStart"/>
            <w:r w:rsidRPr="005A7226">
              <w:rPr>
                <w:rFonts w:ascii="Arial Narrow" w:hAnsi="Arial Narrow"/>
                <w:sz w:val="20"/>
                <w:szCs w:val="20"/>
              </w:rPr>
              <w:t>Wk</w:t>
            </w:r>
            <w:proofErr w:type="spellEnd"/>
            <w:r w:rsidRPr="005A7226">
              <w:rPr>
                <w:rFonts w:ascii="Arial Narrow" w:hAnsi="Arial Narrow"/>
                <w:sz w:val="20"/>
                <w:szCs w:val="20"/>
              </w:rPr>
              <w:t xml:space="preserve"> 12 (post-hoc)</w:t>
            </w:r>
          </w:p>
        </w:tc>
        <w:tc>
          <w:tcPr>
            <w:tcW w:w="719" w:type="pct"/>
            <w:vAlign w:val="center"/>
          </w:tcPr>
          <w:p w14:paraId="18ABF9EC"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86/513 (16.8)</w:t>
            </w:r>
          </w:p>
        </w:tc>
        <w:tc>
          <w:tcPr>
            <w:tcW w:w="720" w:type="pct"/>
            <w:vAlign w:val="center"/>
          </w:tcPr>
          <w:p w14:paraId="189F938D" w14:textId="77777777" w:rsidR="00250D4C" w:rsidRPr="005A7226" w:rsidRDefault="00250D4C" w:rsidP="004E22C4">
            <w:pPr>
              <w:keepNext/>
              <w:keepLines/>
              <w:jc w:val="center"/>
              <w:rPr>
                <w:rFonts w:ascii="Arial Narrow" w:hAnsi="Arial Narrow"/>
                <w:sz w:val="20"/>
                <w:szCs w:val="20"/>
              </w:rPr>
            </w:pPr>
            <w:r w:rsidRPr="005A7226">
              <w:rPr>
                <w:rFonts w:ascii="Arial Narrow" w:hAnsi="Arial Narrow"/>
                <w:sz w:val="20"/>
                <w:szCs w:val="20"/>
              </w:rPr>
              <w:t>36/523 (6.9)</w:t>
            </w:r>
          </w:p>
        </w:tc>
        <w:tc>
          <w:tcPr>
            <w:tcW w:w="1047" w:type="pct"/>
            <w:vAlign w:val="center"/>
          </w:tcPr>
          <w:p w14:paraId="3CEC4045" w14:textId="77777777" w:rsidR="00250D4C" w:rsidRPr="005A7226" w:rsidRDefault="00250D4C" w:rsidP="004E22C4">
            <w:pPr>
              <w:keepNext/>
              <w:keepLines/>
              <w:jc w:val="center"/>
              <w:rPr>
                <w:rFonts w:ascii="Arial Narrow" w:hAnsi="Arial Narrow"/>
                <w:b/>
                <w:sz w:val="20"/>
                <w:szCs w:val="20"/>
              </w:rPr>
            </w:pPr>
            <w:r w:rsidRPr="005A7226">
              <w:rPr>
                <w:rFonts w:ascii="Arial Narrow" w:hAnsi="Arial Narrow"/>
                <w:b/>
                <w:sz w:val="20"/>
                <w:szCs w:val="20"/>
              </w:rPr>
              <w:t>2.710 (1.788, 4.107)</w:t>
            </w:r>
          </w:p>
        </w:tc>
      </w:tr>
    </w:tbl>
    <w:p w14:paraId="38365DBB" w14:textId="76AB0FF2" w:rsidR="00146B38" w:rsidRPr="005A7226" w:rsidRDefault="00146B38" w:rsidP="00146B38">
      <w:pPr>
        <w:rPr>
          <w:rFonts w:ascii="Arial Narrow" w:hAnsi="Arial Narrow"/>
          <w:sz w:val="18"/>
          <w:szCs w:val="18"/>
        </w:rPr>
      </w:pPr>
      <w:r w:rsidRPr="005A7226">
        <w:rPr>
          <w:rFonts w:ascii="Arial Narrow" w:hAnsi="Arial Narrow"/>
          <w:b/>
          <w:bCs/>
          <w:sz w:val="18"/>
          <w:szCs w:val="18"/>
        </w:rPr>
        <w:t>Bold</w:t>
      </w:r>
      <w:r w:rsidRPr="005A7226">
        <w:rPr>
          <w:rFonts w:ascii="Arial Narrow" w:hAnsi="Arial Narrow"/>
          <w:sz w:val="18"/>
          <w:szCs w:val="18"/>
        </w:rPr>
        <w:t xml:space="preserve"> indicates statistically significant results.</w:t>
      </w:r>
      <w:r w:rsidRPr="005A7226">
        <w:rPr>
          <w:rFonts w:ascii="Arial Narrow" w:hAnsi="Arial Narrow"/>
          <w:i/>
          <w:iCs/>
          <w:sz w:val="18"/>
          <w:szCs w:val="18"/>
        </w:rPr>
        <w:t xml:space="preserve"> </w:t>
      </w:r>
      <w:r w:rsidRPr="005A7226">
        <w:rPr>
          <w:rFonts w:ascii="Arial Narrow" w:hAnsi="Arial Narrow"/>
          <w:sz w:val="18"/>
          <w:szCs w:val="18"/>
        </w:rPr>
        <w:t>.</w:t>
      </w:r>
    </w:p>
    <w:p w14:paraId="63B6CEBF" w14:textId="77777777" w:rsidR="00250D4C" w:rsidRPr="005A7226" w:rsidRDefault="00250D4C" w:rsidP="004E22C4">
      <w:pPr>
        <w:keepNext/>
        <w:keepLines/>
        <w:rPr>
          <w:rFonts w:ascii="Arial Narrow" w:hAnsi="Arial Narrow"/>
          <w:sz w:val="18"/>
          <w:szCs w:val="18"/>
        </w:rPr>
      </w:pPr>
      <w:r w:rsidRPr="005A7226">
        <w:rPr>
          <w:rFonts w:ascii="Arial Narrow" w:hAnsi="Arial Narrow"/>
          <w:sz w:val="18"/>
          <w:szCs w:val="18"/>
        </w:rPr>
        <w:t>Source: Table 2.5-12, p103 of the submission, Table 26, pp56-58 of DAYLIGHT CSR.pdf, Table 18, pp55-56 of SKYLIGHT 1 CSR.pdf, Fig 1 of Nappi 2024 (pooled SKYLIGHT 1 and SKYLIGHT 2)</w:t>
      </w:r>
    </w:p>
    <w:p w14:paraId="77265A76" w14:textId="77777777" w:rsidR="00250D4C" w:rsidRPr="005A7226" w:rsidRDefault="00250D4C" w:rsidP="004E22C4">
      <w:pPr>
        <w:keepNext/>
        <w:keepLines/>
        <w:rPr>
          <w:rFonts w:ascii="Arial Narrow" w:hAnsi="Arial Narrow"/>
          <w:sz w:val="18"/>
          <w:szCs w:val="18"/>
        </w:rPr>
      </w:pPr>
      <w:r w:rsidRPr="005A7226">
        <w:rPr>
          <w:rFonts w:ascii="Arial Narrow" w:hAnsi="Arial Narrow"/>
          <w:sz w:val="18"/>
          <w:szCs w:val="18"/>
        </w:rPr>
        <w:t xml:space="preserve">FEZ=fezolinetant; MHT=menopausal hormone therapy; NR=not reported; OR=odds ratio; PBO=placebo; VMS=vasomotor symptoms; </w:t>
      </w:r>
      <w:proofErr w:type="spellStart"/>
      <w:r w:rsidRPr="005A7226">
        <w:rPr>
          <w:rFonts w:ascii="Arial Narrow" w:hAnsi="Arial Narrow"/>
          <w:sz w:val="18"/>
          <w:szCs w:val="18"/>
        </w:rPr>
        <w:t>wk</w:t>
      </w:r>
      <w:proofErr w:type="spellEnd"/>
      <w:r w:rsidRPr="005A7226">
        <w:rPr>
          <w:rFonts w:ascii="Arial Narrow" w:hAnsi="Arial Narrow"/>
          <w:sz w:val="18"/>
          <w:szCs w:val="18"/>
        </w:rPr>
        <w:t>=week;</w:t>
      </w:r>
    </w:p>
    <w:p w14:paraId="15696259" w14:textId="77777777" w:rsidR="00250D4C" w:rsidRPr="005A7226" w:rsidRDefault="00250D4C" w:rsidP="004E22C4">
      <w:pPr>
        <w:keepNext/>
        <w:keepLines/>
        <w:ind w:left="170" w:hanging="170"/>
        <w:rPr>
          <w:rFonts w:ascii="Arial Narrow" w:hAnsi="Arial Narrow"/>
          <w:sz w:val="18"/>
          <w:szCs w:val="18"/>
        </w:rPr>
      </w:pPr>
      <w:proofErr w:type="spellStart"/>
      <w:r w:rsidRPr="005A7226">
        <w:rPr>
          <w:rFonts w:ascii="Arial Narrow" w:hAnsi="Arial Narrow"/>
          <w:sz w:val="18"/>
          <w:szCs w:val="18"/>
        </w:rPr>
        <w:t>a</w:t>
      </w:r>
      <w:proofErr w:type="spellEnd"/>
      <w:r w:rsidRPr="005A7226">
        <w:rPr>
          <w:rFonts w:ascii="Arial Narrow" w:hAnsi="Arial Narrow"/>
          <w:sz w:val="18"/>
          <w:szCs w:val="18"/>
        </w:rPr>
        <w:tab/>
        <w:t>In SKYLIGHT 1 and SKYLIGHT 2 patients were not enrolled based on criteria for suitability/unsuitability to receive MHT. Eligible patients had moderate to severe VMS associated with menopause seeking treatment for VMS.</w:t>
      </w:r>
    </w:p>
    <w:p w14:paraId="06EE9F04" w14:textId="77777777" w:rsidR="00250D4C" w:rsidRPr="005A7226" w:rsidRDefault="00250D4C" w:rsidP="004E22C4">
      <w:pPr>
        <w:keepNext/>
        <w:keepLines/>
        <w:ind w:left="170" w:hanging="170"/>
        <w:rPr>
          <w:rFonts w:ascii="Arial Narrow" w:hAnsi="Arial Narrow"/>
          <w:sz w:val="18"/>
          <w:szCs w:val="18"/>
        </w:rPr>
      </w:pPr>
      <w:r w:rsidRPr="005A7226">
        <w:rPr>
          <w:rFonts w:ascii="Arial Narrow" w:hAnsi="Arial Narrow"/>
          <w:sz w:val="18"/>
          <w:szCs w:val="18"/>
        </w:rPr>
        <w:t>b</w:t>
      </w:r>
      <w:r w:rsidRPr="005A7226">
        <w:rPr>
          <w:rFonts w:ascii="Arial Narrow" w:hAnsi="Arial Narrow"/>
          <w:sz w:val="18"/>
          <w:szCs w:val="18"/>
        </w:rPr>
        <w:tab/>
        <w:t>In DAYLIGHT, enrolled patients were MHT unsuitable defined based on contraindicated; caution (based on medical history); stoppers (previous discontinuation of MHT due to lack of efficacy, side effects or medical advice); or averse (choice not to use MHT after discussion with clinician).</w:t>
      </w:r>
    </w:p>
    <w:p w14:paraId="0B571627" w14:textId="77777777" w:rsidR="00250D4C" w:rsidRPr="005A7226" w:rsidRDefault="00250D4C" w:rsidP="004E22C4">
      <w:pPr>
        <w:keepNext/>
        <w:keepLines/>
        <w:ind w:left="170" w:hanging="170"/>
        <w:rPr>
          <w:rFonts w:ascii="Arial Narrow" w:hAnsi="Arial Narrow"/>
          <w:sz w:val="18"/>
          <w:szCs w:val="18"/>
        </w:rPr>
      </w:pPr>
      <w:r w:rsidRPr="005A7226">
        <w:rPr>
          <w:rFonts w:ascii="Arial Narrow" w:hAnsi="Arial Narrow"/>
          <w:sz w:val="18"/>
          <w:szCs w:val="18"/>
        </w:rPr>
        <w:t>c</w:t>
      </w:r>
      <w:r w:rsidRPr="005A7226">
        <w:rPr>
          <w:rFonts w:ascii="Arial Narrow" w:hAnsi="Arial Narrow"/>
          <w:sz w:val="18"/>
          <w:szCs w:val="18"/>
        </w:rPr>
        <w:tab/>
        <w:t>In the post-hoc analysis of SKYLIGHT 1 and SKYLIGHT 2, MHT history subgroups were mutually exclusive and categorized with the following hierarchy: contraindicated; caution; stopped for medical concerns; averse; naïve/willing. MHT unsuitable group comprised of the following subgroups: contraindicated, caution, stopped for medical concerns or averse.</w:t>
      </w:r>
    </w:p>
    <w:p w14:paraId="536C0FBF" w14:textId="2845EC34" w:rsidR="00AD4092" w:rsidRDefault="00AD4092" w:rsidP="004E22C4">
      <w:pPr>
        <w:keepNext/>
        <w:keepLines/>
        <w:ind w:left="170" w:hanging="170"/>
        <w:rPr>
          <w:rFonts w:ascii="Arial Narrow" w:hAnsi="Arial Narrow"/>
          <w:sz w:val="18"/>
          <w:szCs w:val="18"/>
        </w:rPr>
      </w:pPr>
      <w:r w:rsidRPr="005A7226">
        <w:rPr>
          <w:rFonts w:ascii="Arial Narrow" w:hAnsi="Arial Narrow"/>
          <w:sz w:val="18"/>
          <w:szCs w:val="18"/>
        </w:rPr>
        <w:t>d results extracted during the evaluation</w:t>
      </w:r>
    </w:p>
    <w:p w14:paraId="2AAEC430" w14:textId="77777777" w:rsidR="00E668B3" w:rsidRPr="005A7226" w:rsidRDefault="00E668B3" w:rsidP="004E22C4">
      <w:pPr>
        <w:keepNext/>
        <w:keepLines/>
        <w:ind w:left="170" w:hanging="170"/>
        <w:rPr>
          <w:rFonts w:ascii="Arial Narrow" w:hAnsi="Arial Narrow"/>
          <w:sz w:val="18"/>
          <w:szCs w:val="18"/>
        </w:rPr>
      </w:pPr>
    </w:p>
    <w:p w14:paraId="24474CEB" w14:textId="1118B5A2" w:rsidR="00A03320" w:rsidRPr="005A7226" w:rsidRDefault="00A03320" w:rsidP="00B53879">
      <w:pPr>
        <w:widowControl w:val="0"/>
        <w:numPr>
          <w:ilvl w:val="1"/>
          <w:numId w:val="1"/>
        </w:numPr>
        <w:spacing w:after="120"/>
        <w:ind w:left="720"/>
      </w:pPr>
      <w:bookmarkStart w:id="38" w:name="_Ref190812570"/>
      <w:r w:rsidRPr="005A7226">
        <w:t>The results demonstrated that:</w:t>
      </w:r>
      <w:bookmarkEnd w:id="38"/>
    </w:p>
    <w:p w14:paraId="168AF83F" w14:textId="00FDD674" w:rsidR="00A03320" w:rsidRPr="005A7226" w:rsidRDefault="7829816F" w:rsidP="001773B1">
      <w:pPr>
        <w:pStyle w:val="ListParagraph"/>
        <w:numPr>
          <w:ilvl w:val="0"/>
          <w:numId w:val="8"/>
        </w:numPr>
        <w:snapToGrid w:val="0"/>
      </w:pPr>
      <w:r w:rsidRPr="005A7226">
        <w:t>In DAYLIGHT, SKYLIGHT 1 and SKYLIGHT 2, there was</w:t>
      </w:r>
      <w:r w:rsidR="6E956B97" w:rsidRPr="005A7226">
        <w:t xml:space="preserve"> an</w:t>
      </w:r>
      <w:r w:rsidRPr="005A7226">
        <w:t xml:space="preserve"> improvement (reduction) from baseline in the frequency and severity of moderate to severe VMS at Week 12 and Week 24, across treatment arms. The improvement (reduction) in VMS frequency and severity was maintained to Week 52 in SKYLIGHT 1 and SKYLIGHT 2 active extension period</w:t>
      </w:r>
      <w:r w:rsidR="00A86083" w:rsidRPr="005A7226">
        <w:t>, for both arms</w:t>
      </w:r>
      <w:r w:rsidRPr="005A7226">
        <w:t xml:space="preserve">. </w:t>
      </w:r>
      <w:r w:rsidR="008D29D7" w:rsidRPr="005A7226">
        <w:t xml:space="preserve">The evaluation and the ESC </w:t>
      </w:r>
      <w:r w:rsidRPr="005A7226">
        <w:t>note</w:t>
      </w:r>
      <w:r w:rsidR="008D29D7" w:rsidRPr="005A7226">
        <w:t xml:space="preserve">d that </w:t>
      </w:r>
      <w:r w:rsidR="6E956B97" w:rsidRPr="005A7226">
        <w:t>the</w:t>
      </w:r>
      <w:r w:rsidRPr="005A7226">
        <w:t xml:space="preserve"> treatment effect in the placebo arm was high in all trials. This may be due to the natural progression of menopause or regression to the mean</w:t>
      </w:r>
      <w:r w:rsidR="3007F9A3" w:rsidRPr="005A7226">
        <w:t>,</w:t>
      </w:r>
      <w:r w:rsidRPr="005A7226">
        <w:t xml:space="preserve"> given the cyclical nature of</w:t>
      </w:r>
      <w:r w:rsidR="6E956B97" w:rsidRPr="005A7226">
        <w:t xml:space="preserve"> menopausal symptoms</w:t>
      </w:r>
      <w:r w:rsidRPr="005A7226">
        <w:t xml:space="preserve">, </w:t>
      </w:r>
      <w:r w:rsidR="00DE55CF" w:rsidRPr="005A7226">
        <w:t xml:space="preserve">and time since symptom onset, </w:t>
      </w:r>
      <w:r w:rsidRPr="005A7226">
        <w:t>which would have affected both treatment arms.</w:t>
      </w:r>
      <w:r w:rsidR="00F46F07" w:rsidRPr="005A7226">
        <w:t xml:space="preserve"> </w:t>
      </w:r>
    </w:p>
    <w:p w14:paraId="6C624F2B" w14:textId="5214E0E9" w:rsidR="00A03320" w:rsidRPr="005A7226" w:rsidRDefault="00A03320" w:rsidP="001773B1">
      <w:pPr>
        <w:pStyle w:val="ListParagraph"/>
        <w:numPr>
          <w:ilvl w:val="0"/>
          <w:numId w:val="8"/>
        </w:numPr>
        <w:snapToGrid w:val="0"/>
      </w:pPr>
      <w:r w:rsidRPr="005A7226">
        <w:t xml:space="preserve">In DAYLIGHT, SKYLIGHT 1 and SKYLIGHT 2, the least squares (LS) mean change from baseline in moderate to severe VMS frequency and severity was statistically significantly greater </w:t>
      </w:r>
      <w:r w:rsidR="002A2B20">
        <w:t>for</w:t>
      </w:r>
      <w:r w:rsidRPr="005A7226">
        <w:t xml:space="preserve"> </w:t>
      </w:r>
      <w:r w:rsidR="00564102">
        <w:t xml:space="preserve">patients treated with </w:t>
      </w:r>
      <w:r w:rsidRPr="005A7226">
        <w:t xml:space="preserve">fezolinetant 45 mg than placebo. In SKYLIGHT 1 and SKYLIGHT 2, </w:t>
      </w:r>
      <w:r w:rsidR="00564102">
        <w:t xml:space="preserve">the </w:t>
      </w:r>
      <w:r w:rsidRPr="005A7226">
        <w:t xml:space="preserve">treatment effect in the fezolinetant 30 mg </w:t>
      </w:r>
      <w:r w:rsidR="005654A0" w:rsidRPr="005A7226">
        <w:t xml:space="preserve">arm </w:t>
      </w:r>
      <w:r w:rsidRPr="005A7226">
        <w:t xml:space="preserve">was similar but numerically smaller than </w:t>
      </w:r>
      <w:r w:rsidR="00F302DC" w:rsidRPr="005A7226">
        <w:t xml:space="preserve">for </w:t>
      </w:r>
      <w:r w:rsidRPr="005A7226">
        <w:t>fezolinetant 45 mg.</w:t>
      </w:r>
      <w:r w:rsidR="00232126" w:rsidRPr="005A7226">
        <w:t xml:space="preserve"> T</w:t>
      </w:r>
      <w:r w:rsidR="00E155B3" w:rsidRPr="005A7226">
        <w:t>h</w:t>
      </w:r>
      <w:r w:rsidR="00232126" w:rsidRPr="005A7226">
        <w:t xml:space="preserve">e ESC noted that there were no comparative </w:t>
      </w:r>
      <w:r w:rsidR="0029304F" w:rsidRPr="005A7226">
        <w:t xml:space="preserve">efficacy </w:t>
      </w:r>
      <w:r w:rsidR="00232126" w:rsidRPr="005A7226">
        <w:t>data beyond 24 weeks (</w:t>
      </w:r>
      <w:r w:rsidR="00096CDA" w:rsidRPr="005A7226">
        <w:t xml:space="preserve">from </w:t>
      </w:r>
      <w:r w:rsidR="00232126" w:rsidRPr="005A7226">
        <w:t xml:space="preserve">DAYLIGHT) as patients randomised to placebo in the SKYLIGHT trials were switched to </w:t>
      </w:r>
      <w:r w:rsidR="00E155B3" w:rsidRPr="005A7226">
        <w:t>fezolinetant after 12 weeks.</w:t>
      </w:r>
      <w:r w:rsidR="00704E4A" w:rsidRPr="005A7226">
        <w:t xml:space="preserve"> </w:t>
      </w:r>
    </w:p>
    <w:p w14:paraId="12840D00" w14:textId="424EBF76" w:rsidR="00A03320" w:rsidRPr="005A7226" w:rsidRDefault="7829816F" w:rsidP="001773B1">
      <w:pPr>
        <w:pStyle w:val="ListParagraph"/>
        <w:numPr>
          <w:ilvl w:val="0"/>
          <w:numId w:val="8"/>
        </w:numPr>
        <w:snapToGrid w:val="0"/>
      </w:pPr>
      <w:r w:rsidRPr="005A7226">
        <w:t>In DAYLIGHT, pre-specified analys</w:t>
      </w:r>
      <w:r w:rsidR="00A64046" w:rsidRPr="005A7226">
        <w:t>e</w:t>
      </w:r>
      <w:r w:rsidRPr="005A7226">
        <w:t xml:space="preserve">s in the overall </w:t>
      </w:r>
      <w:r w:rsidR="00CF1A75" w:rsidRPr="005A7226">
        <w:t xml:space="preserve">MHT unsuitable </w:t>
      </w:r>
      <w:r w:rsidRPr="005A7226">
        <w:t xml:space="preserve">population showed </w:t>
      </w:r>
      <w:r w:rsidR="00564102">
        <w:t xml:space="preserve">a </w:t>
      </w:r>
      <w:r w:rsidRPr="005A7226">
        <w:t>numerically smaller LS mean difference between fezolinetant 45 mg and placebo in the reduction of moderate to severe VMS frequency</w:t>
      </w:r>
      <w:r w:rsidR="00803978" w:rsidRPr="005A7226">
        <w:t>,</w:t>
      </w:r>
      <w:r w:rsidRPr="005A7226">
        <w:t xml:space="preserve"> but numerically larger LS mean difference for the reduction in VMS severity at Week 12 and Week 24 compared to the post-hoc analysis in the pooled SKYLIGHT 1 and SKYLIGHT 2 subgroup categorised as MHT unsuitable at Week 12. </w:t>
      </w:r>
      <w:r w:rsidR="00A35AFA" w:rsidRPr="005A7226">
        <w:t>The evaluation considered t</w:t>
      </w:r>
      <w:r w:rsidRPr="005A7226">
        <w:t xml:space="preserve">his could potentially be due to </w:t>
      </w:r>
      <w:r w:rsidR="3007F9A3" w:rsidRPr="005A7226">
        <w:t xml:space="preserve">the </w:t>
      </w:r>
      <w:r w:rsidRPr="005A7226">
        <w:t>greater placebo response observed in DAYLIGHT. However, the post-hoc analys</w:t>
      </w:r>
      <w:r w:rsidR="002E0A6F" w:rsidRPr="005A7226">
        <w:t>e</w:t>
      </w:r>
      <w:r w:rsidRPr="005A7226">
        <w:t xml:space="preserve">s in the pooled DAYLIGHT, SKYLIGHT 1 and SKYLIGHT 2 (MHT unsuitable) and pooled SKYLIGHT 1 and SKYLIGHT 2 (MHT unsuitable) </w:t>
      </w:r>
      <w:r w:rsidR="002E0A6F" w:rsidRPr="005A7226">
        <w:t xml:space="preserve">subgroups </w:t>
      </w:r>
      <w:r w:rsidRPr="005A7226">
        <w:t>were generally consistent with result</w:t>
      </w:r>
      <w:r w:rsidR="00E52114" w:rsidRPr="005A7226">
        <w:t>s</w:t>
      </w:r>
      <w:r w:rsidRPr="005A7226">
        <w:t xml:space="preserve"> in the overall population in SKYLIGHT 1 and SKYLIGHT 2 at Week 12.</w:t>
      </w:r>
    </w:p>
    <w:p w14:paraId="7CB32E04" w14:textId="0D55C22C" w:rsidR="00A03320" w:rsidRPr="005A7226" w:rsidRDefault="7829816F" w:rsidP="001773B1">
      <w:pPr>
        <w:pStyle w:val="ListParagraph"/>
        <w:numPr>
          <w:ilvl w:val="0"/>
          <w:numId w:val="8"/>
        </w:numPr>
        <w:snapToGrid w:val="0"/>
      </w:pPr>
      <w:r w:rsidRPr="005A7226">
        <w:t xml:space="preserve">The proportion of responders </w:t>
      </w:r>
      <w:r w:rsidR="00564102">
        <w:t>in terms of</w:t>
      </w:r>
      <w:r w:rsidRPr="005A7226">
        <w:t xml:space="preserve"> VMS frequency (≥50%, ≥75% and ≥100% reduction from baseline in VMS frequency) was significantly higher in the fezolinetant treatment arm compared to placebo to Week 12 (DAYLIGHT, SKYLIGHT 1 and SKYLIGHT 2) and Week 24 (DAYLIGHT). In DAYLIGHT, the time to achieve response (≥ 50%, ≥75% and ≥100% reduction) was shorter in the fezolinetant 45 mg arm (</w:t>
      </w:r>
      <w:r w:rsidR="00D91F51" w:rsidRPr="005A7226">
        <w:t xml:space="preserve">median (95%CI): </w:t>
      </w:r>
      <w:r w:rsidRPr="005A7226">
        <w:t xml:space="preserve">6 (5, 8) days, 18 (14, 25) days, and 131 (80, 165) days, respectively) compared to placebo (17 (13, 21) days, 56 (42, 79) days, and not estimable, respectively). Across the trials, few patients achieved </w:t>
      </w:r>
      <w:r w:rsidR="3007F9A3" w:rsidRPr="005A7226">
        <w:t xml:space="preserve">a </w:t>
      </w:r>
      <w:r w:rsidRPr="005A7226">
        <w:t>response of 100% reduction in VMS frequency. Odds ratios (ORs) for all response levels favoured fezolinetant treatment over placebo. In SKYLIGHT 1 and SKYLIGHT 2, the proportion of responders was numerically higher with the fezolinetant 45 mg dose than fezolinetant 30 mg.</w:t>
      </w:r>
    </w:p>
    <w:p w14:paraId="368D9B9A" w14:textId="77777777" w:rsidR="00C4656E" w:rsidRPr="005A7226" w:rsidRDefault="00A03320" w:rsidP="00B53879">
      <w:pPr>
        <w:widowControl w:val="0"/>
        <w:numPr>
          <w:ilvl w:val="1"/>
          <w:numId w:val="1"/>
        </w:numPr>
        <w:spacing w:after="120"/>
        <w:ind w:left="720"/>
      </w:pPr>
      <w:bookmarkStart w:id="39" w:name="_Ref190856639"/>
      <w:r w:rsidRPr="005A7226">
        <w:t>Although patients treated with fezolinetant</w:t>
      </w:r>
      <w:r w:rsidR="00D91F51" w:rsidRPr="005A7226">
        <w:t xml:space="preserve"> 45 mg</w:t>
      </w:r>
      <w:r w:rsidRPr="005A7226">
        <w:t xml:space="preserve"> showed significantly greater reduction from baseline in VMS frequency compared to placebo at Week 12 and Week 24, the </w:t>
      </w:r>
      <w:r w:rsidR="008223D6" w:rsidRPr="005A7226">
        <w:t xml:space="preserve">evaluation considered </w:t>
      </w:r>
      <w:r w:rsidR="00FF6C9A" w:rsidRPr="005A7226">
        <w:t xml:space="preserve">that the </w:t>
      </w:r>
      <w:r w:rsidRPr="005A7226">
        <w:t>difference may not be clinically meaningful</w:t>
      </w:r>
      <w:r w:rsidR="00786A36" w:rsidRPr="005A7226">
        <w:t>,</w:t>
      </w:r>
      <w:r w:rsidRPr="005A7226">
        <w:t xml:space="preserve"> given the point estimates for the overall population (including MHT unsuitable and MHT suitable</w:t>
      </w:r>
      <w:r w:rsidR="00841F18" w:rsidRPr="005A7226">
        <w:t xml:space="preserve"> patients</w:t>
      </w:r>
      <w:r w:rsidRPr="005A7226">
        <w:t>) and the MHT unsuitable subgroup (-1.93 to -2.55) did not meet the MCID for reduction in frequency (&gt;3.57 VMS per day). However,</w:t>
      </w:r>
      <w:bookmarkEnd w:id="39"/>
      <w:r w:rsidRPr="005A7226">
        <w:t xml:space="preserve"> </w:t>
      </w:r>
    </w:p>
    <w:p w14:paraId="29F798E2" w14:textId="060630DF" w:rsidR="00ED792E" w:rsidRPr="005A7226" w:rsidRDefault="00A03320" w:rsidP="001773B1">
      <w:pPr>
        <w:pStyle w:val="ListParagraph"/>
        <w:numPr>
          <w:ilvl w:val="0"/>
          <w:numId w:val="8"/>
        </w:numPr>
        <w:snapToGrid w:val="0"/>
      </w:pPr>
      <w:r w:rsidRPr="005A7226">
        <w:t>for patients treated with fezolinetant 45 mg, the mean difference versus placebo in the reduction of VMS severity for the overall population (-0.24 to -0.29) and MHT unsuitable patients (-0.27 to -0.39) exceeded the MCID for reduction in severity (&gt;0.225 points at Week 12).</w:t>
      </w:r>
      <w:r w:rsidR="00ED792E" w:rsidRPr="005A7226">
        <w:t xml:space="preserve"> </w:t>
      </w:r>
    </w:p>
    <w:p w14:paraId="2A529A88" w14:textId="40F7580B" w:rsidR="00566E7E" w:rsidRPr="005A7226" w:rsidRDefault="00ED792E" w:rsidP="001773B1">
      <w:pPr>
        <w:pStyle w:val="ListParagraph"/>
        <w:numPr>
          <w:ilvl w:val="0"/>
          <w:numId w:val="8"/>
        </w:numPr>
        <w:snapToGrid w:val="0"/>
      </w:pPr>
      <w:r w:rsidRPr="005A7226">
        <w:t xml:space="preserve">The PSCR </w:t>
      </w:r>
      <w:r w:rsidR="00BC4AE9">
        <w:t xml:space="preserve">and pre-PBAC response </w:t>
      </w:r>
      <w:r w:rsidRPr="005A7226">
        <w:t>stated that within-patient MCID thresholds to assess individual patients achieving meaningful change from baseline</w:t>
      </w:r>
      <w:r w:rsidR="00A51131" w:rsidRPr="005A7226">
        <w:t xml:space="preserve"> were met</w:t>
      </w:r>
      <w:r w:rsidR="00640AC1" w:rsidRPr="005A7226">
        <w:t xml:space="preserve"> based on responder analyses</w:t>
      </w:r>
      <w:r w:rsidR="001B34F7" w:rsidRPr="005A7226">
        <w:t xml:space="preserve"> (as per </w:t>
      </w:r>
      <w:r w:rsidR="001B34F7" w:rsidRPr="005A7226">
        <w:fldChar w:fldCharType="begin"/>
      </w:r>
      <w:r w:rsidR="001B34F7" w:rsidRPr="005A7226">
        <w:instrText xml:space="preserve"> REF _Ref184903133 \h  \* MERGEFORMAT </w:instrText>
      </w:r>
      <w:r w:rsidR="001B34F7" w:rsidRPr="005A7226">
        <w:fldChar w:fldCharType="separate"/>
      </w:r>
      <w:r w:rsidR="00B11DA2" w:rsidRPr="005A7226">
        <w:t xml:space="preserve">Table </w:t>
      </w:r>
      <w:r w:rsidR="00B11DA2">
        <w:t>6</w:t>
      </w:r>
      <w:r w:rsidR="001B34F7" w:rsidRPr="005A7226">
        <w:fldChar w:fldCharType="end"/>
      </w:r>
      <w:r w:rsidR="001B34F7" w:rsidRPr="005A7226">
        <w:t xml:space="preserve"> above</w:t>
      </w:r>
      <w:r w:rsidR="006D1882" w:rsidRPr="005A7226">
        <w:t>)</w:t>
      </w:r>
      <w:r w:rsidR="00566E7E" w:rsidRPr="005A7226">
        <w:t xml:space="preserve">. </w:t>
      </w:r>
    </w:p>
    <w:p w14:paraId="425CC088" w14:textId="7EB61398" w:rsidR="00F57960" w:rsidRPr="005A7226" w:rsidRDefault="00505049" w:rsidP="001773B1">
      <w:pPr>
        <w:pStyle w:val="ListParagraph"/>
        <w:numPr>
          <w:ilvl w:val="0"/>
          <w:numId w:val="8"/>
        </w:numPr>
        <w:snapToGrid w:val="0"/>
      </w:pPr>
      <w:r w:rsidRPr="005A7226">
        <w:t xml:space="preserve">The PSCR </w:t>
      </w:r>
      <w:r w:rsidR="00833884">
        <w:t xml:space="preserve">and pre-PBAC response </w:t>
      </w:r>
      <w:r w:rsidRPr="005A7226">
        <w:t xml:space="preserve">noted that </w:t>
      </w:r>
      <w:r w:rsidR="002E573C" w:rsidRPr="005A7226">
        <w:t>t</w:t>
      </w:r>
      <w:r w:rsidR="00ED792E" w:rsidRPr="005A7226">
        <w:t>he results also met the clinically meaningful reduction as identified by the FDA guidance of 2 hot flushes per day versus placebo</w:t>
      </w:r>
      <w:r w:rsidR="002E573C" w:rsidRPr="005A7226">
        <w:t>,</w:t>
      </w:r>
      <w:r w:rsidR="00ED792E" w:rsidRPr="005A7226">
        <w:t xml:space="preserve"> and the EMA guidance of ≥2 VMS episodes over 24 hours. </w:t>
      </w:r>
    </w:p>
    <w:p w14:paraId="12A82683" w14:textId="5C631652" w:rsidR="00ED792E" w:rsidRPr="005A7226" w:rsidRDefault="00360A80" w:rsidP="006F257E">
      <w:pPr>
        <w:snapToGrid w:val="0"/>
        <w:spacing w:after="120"/>
        <w:ind w:left="720"/>
      </w:pPr>
      <w:r w:rsidRPr="005A7226">
        <w:t>As discussed in paragraph</w:t>
      </w:r>
      <w:r w:rsidR="00B30FD9" w:rsidRPr="005A7226">
        <w:t xml:space="preserve"> </w:t>
      </w:r>
      <w:r w:rsidR="007521AF" w:rsidRPr="005A7226">
        <w:fldChar w:fldCharType="begin"/>
      </w:r>
      <w:r w:rsidR="007521AF" w:rsidRPr="005A7226">
        <w:instrText xml:space="preserve"> REF _Ref191295942 \r \h </w:instrText>
      </w:r>
      <w:r w:rsidR="00695014" w:rsidRPr="005A7226">
        <w:instrText xml:space="preserve"> \* MERGEFORMAT </w:instrText>
      </w:r>
      <w:r w:rsidR="007521AF" w:rsidRPr="005A7226">
        <w:fldChar w:fldCharType="separate"/>
      </w:r>
      <w:r w:rsidR="00B11DA2">
        <w:t>4.4</w:t>
      </w:r>
      <w:r w:rsidR="007521AF" w:rsidRPr="005A7226">
        <w:fldChar w:fldCharType="end"/>
      </w:r>
      <w:r w:rsidRPr="005A7226">
        <w:t xml:space="preserve">, the ESC considered that clinical meaningfulness for VMS severity and frequency is not straightforward, </w:t>
      </w:r>
      <w:r w:rsidR="00186434" w:rsidRPr="005A7226">
        <w:t xml:space="preserve">as </w:t>
      </w:r>
      <w:r w:rsidR="00C23F49" w:rsidRPr="005A7226">
        <w:t>the mean reduction</w:t>
      </w:r>
      <w:r w:rsidR="00186434" w:rsidRPr="005A7226">
        <w:t xml:space="preserve"> does not take into account</w:t>
      </w:r>
      <w:r w:rsidRPr="005A7226">
        <w:t xml:space="preserve"> the impact of VMS severity and frequency on an individual’s quality of life, which will be dependent on the individual, environmental factors, and the activity being undertaken.</w:t>
      </w:r>
    </w:p>
    <w:p w14:paraId="600AF55B" w14:textId="2F4FFE50" w:rsidR="00A03320" w:rsidRPr="005A7226" w:rsidRDefault="00D3093B" w:rsidP="00B53879">
      <w:pPr>
        <w:widowControl w:val="0"/>
        <w:numPr>
          <w:ilvl w:val="1"/>
          <w:numId w:val="1"/>
        </w:numPr>
        <w:spacing w:after="120"/>
        <w:ind w:left="720"/>
      </w:pPr>
      <w:r w:rsidRPr="005A7226">
        <w:t>Additional post-hoc subgroup analys</w:t>
      </w:r>
      <w:r w:rsidR="007457D3" w:rsidRPr="005A7226">
        <w:t>e</w:t>
      </w:r>
      <w:r w:rsidRPr="005A7226">
        <w:t>s of the pooled SKYLIGHT 1 and SKYLIGHT 2 population by MHT history</w:t>
      </w:r>
      <w:r w:rsidR="008B3E6B" w:rsidRPr="005A7226">
        <w:t>,</w:t>
      </w:r>
      <w:r w:rsidRPr="005A7226">
        <w:t xml:space="preserve"> categorised as contraindicated, caution, stopped for medical reasons, averse and naïve/willing</w:t>
      </w:r>
      <w:r w:rsidR="008B3E6B" w:rsidRPr="005A7226">
        <w:t>,</w:t>
      </w:r>
      <w:r w:rsidRPr="005A7226">
        <w:t xml:space="preserve"> indicated that there was greater improvement (reduction) from baseline in the frequency of moderate-to-severe VMS for patients treated with fezolinetant compared to placebo across all MHT subgroups at Week 12. The results were broadly consistent with the MHT unsuitable subgroup (contraindicated, caution, stopped for medical reasons and averse) and the overall population. There was also greater improvement from baseline in the severity of VMS in the fezolinetant group compared to placebo at Week 12 in some MHT subgroups (caution, stopper or stopped for medical concerns) but not for others (contraindicated, averse and naïve/willing). Given these were not a priori defined subgroups, </w:t>
      </w:r>
      <w:r w:rsidR="00DB22F1" w:rsidRPr="005A7226">
        <w:t xml:space="preserve">the evaluation considered </w:t>
      </w:r>
      <w:r w:rsidRPr="005A7226">
        <w:t>all statistically significant differences are exploratory</w:t>
      </w:r>
      <w:r w:rsidR="00DB22F1" w:rsidRPr="005A7226">
        <w:t>,</w:t>
      </w:r>
      <w:r w:rsidRPr="005A7226">
        <w:t xml:space="preserve"> and should be interpreted with caution.</w:t>
      </w:r>
      <w:r w:rsidR="00D91F51" w:rsidRPr="005A7226">
        <w:t xml:space="preserve"> </w:t>
      </w:r>
    </w:p>
    <w:p w14:paraId="45FABB05" w14:textId="120F45F2" w:rsidR="00A03320" w:rsidRPr="005A7226" w:rsidRDefault="275CEF96" w:rsidP="00B53879">
      <w:pPr>
        <w:widowControl w:val="0"/>
        <w:numPr>
          <w:ilvl w:val="1"/>
          <w:numId w:val="1"/>
        </w:numPr>
        <w:spacing w:after="120"/>
        <w:ind w:left="720"/>
      </w:pPr>
      <w:r w:rsidRPr="005A7226">
        <w:t>The submission presented results of other patient-reported outcomes from DAYLIGHT, SKYLIGHT 1 and SKYLIGHT 2. In DAYLIGHT, MHT unsuitable patients treated with fezolinetant 45 mg showed improvement from baseline in measures assessing sleep disturbance, VMS and menopausal quality of life (PROMIS SD SF 8b, PGI, MENQOL) compared to placebo at Week 24. There was also greater improvement in the fezolinetant 45 mg group in VMS-related work productivity (WPAI-VAM all domain, except for absenteeism domain) compared to placebo at Week 24. However, there were no difference</w:t>
      </w:r>
      <w:r w:rsidR="3007F9A3" w:rsidRPr="005A7226">
        <w:t>s</w:t>
      </w:r>
      <w:r w:rsidRPr="005A7226">
        <w:t xml:space="preserve"> between groups in terms of general quality of life (EQ-5D-5L), sexual functioning (FSFI) or mental health (PHQ-4). Similar results were observed in the pooled SKYLIGHT 1 and SKYLIGHT 2 overall population and </w:t>
      </w:r>
      <w:r w:rsidRPr="005A7226">
        <w:rPr>
          <w:i/>
          <w:iCs/>
        </w:rPr>
        <w:t>post-hoc</w:t>
      </w:r>
      <w:r w:rsidRPr="005A7226">
        <w:t xml:space="preserve"> MHT unsuitable subgroup as well as the pooled DAYLIGHT, SKYLIGHT 1 and SKYLIGHT 2 </w:t>
      </w:r>
      <w:r w:rsidRPr="005A7226">
        <w:rPr>
          <w:i/>
          <w:iCs/>
        </w:rPr>
        <w:t>post-hoc</w:t>
      </w:r>
      <w:r w:rsidRPr="005A7226">
        <w:t xml:space="preserve"> MHT unsuitable subgroup.</w:t>
      </w:r>
    </w:p>
    <w:p w14:paraId="1452C351" w14:textId="0D19F1B0" w:rsidR="00B60939" w:rsidRPr="005A7226" w:rsidRDefault="00B60939" w:rsidP="00D86231">
      <w:pPr>
        <w:pStyle w:val="4-SubsectionHeading"/>
      </w:pPr>
      <w:bookmarkStart w:id="40" w:name="_Toc22897642"/>
      <w:bookmarkStart w:id="41" w:name="_Toc188442564"/>
      <w:r w:rsidRPr="005A7226">
        <w:t>Comparative harms</w:t>
      </w:r>
      <w:bookmarkEnd w:id="40"/>
      <w:bookmarkEnd w:id="41"/>
    </w:p>
    <w:p w14:paraId="61E72E4D" w14:textId="4C3F6DC9" w:rsidR="00D3093B" w:rsidRPr="005A7226" w:rsidRDefault="00563EC5" w:rsidP="00B53879">
      <w:pPr>
        <w:widowControl w:val="0"/>
        <w:numPr>
          <w:ilvl w:val="1"/>
          <w:numId w:val="1"/>
        </w:numPr>
        <w:spacing w:after="120"/>
        <w:ind w:left="720"/>
      </w:pPr>
      <w:r w:rsidRPr="005A7226">
        <w:fldChar w:fldCharType="begin"/>
      </w:r>
      <w:r w:rsidRPr="005A7226">
        <w:instrText xml:space="preserve"> REF _Ref184903165 \h </w:instrText>
      </w:r>
      <w:r w:rsidRPr="005A7226">
        <w:fldChar w:fldCharType="separate"/>
      </w:r>
      <w:r w:rsidR="00B11DA2" w:rsidRPr="005A7226">
        <w:t xml:space="preserve">Table </w:t>
      </w:r>
      <w:r w:rsidR="00B11DA2">
        <w:rPr>
          <w:noProof/>
        </w:rPr>
        <w:t>7</w:t>
      </w:r>
      <w:r w:rsidRPr="005A7226">
        <w:fldChar w:fldCharType="end"/>
      </w:r>
      <w:r w:rsidR="00D3093B" w:rsidRPr="005A7226">
        <w:t xml:space="preserve"> summarises the </w:t>
      </w:r>
      <w:r w:rsidR="00A6705E" w:rsidRPr="005A7226">
        <w:t>adverse events (AEs)</w:t>
      </w:r>
      <w:r w:rsidR="00D3093B" w:rsidRPr="005A7226">
        <w:t xml:space="preserve"> from the included trials.</w:t>
      </w:r>
    </w:p>
    <w:p w14:paraId="332DF40E" w14:textId="4F742077" w:rsidR="00D3093B" w:rsidRPr="005A7226" w:rsidRDefault="53F95D70" w:rsidP="00FD60CD">
      <w:pPr>
        <w:pStyle w:val="Caption"/>
      </w:pPr>
      <w:bookmarkStart w:id="42" w:name="_Ref184903165"/>
      <w:r w:rsidRPr="005A7226">
        <w:t xml:space="preserve">Table </w:t>
      </w:r>
      <w:r w:rsidRPr="005A7226">
        <w:fldChar w:fldCharType="begin"/>
      </w:r>
      <w:r w:rsidRPr="005A7226">
        <w:instrText>SEQ Table \* ARABIC</w:instrText>
      </w:r>
      <w:r w:rsidRPr="005A7226">
        <w:fldChar w:fldCharType="separate"/>
      </w:r>
      <w:r w:rsidR="00B11DA2">
        <w:rPr>
          <w:noProof/>
        </w:rPr>
        <w:t>7</w:t>
      </w:r>
      <w:r w:rsidRPr="005A7226">
        <w:fldChar w:fldCharType="end"/>
      </w:r>
      <w:bookmarkEnd w:id="42"/>
      <w:r w:rsidR="5D0ABC92" w:rsidRPr="005A7226">
        <w:t>:</w:t>
      </w:r>
      <w:r w:rsidRPr="005A7226">
        <w:t xml:space="preserve"> Summary adverse events in the included trials (double-blind)</w:t>
      </w:r>
    </w:p>
    <w:tbl>
      <w:tblPr>
        <w:tblStyle w:val="TableGrid"/>
        <w:tblW w:w="5000" w:type="pct"/>
        <w:tblCellMar>
          <w:left w:w="28" w:type="dxa"/>
          <w:right w:w="28" w:type="dxa"/>
        </w:tblCellMar>
        <w:tblLook w:val="04A0" w:firstRow="1" w:lastRow="0" w:firstColumn="1" w:lastColumn="0" w:noHBand="0" w:noVBand="1"/>
        <w:tblCaption w:val="Table 7: Summary adverse events in the included trials (double-blind)"/>
      </w:tblPr>
      <w:tblGrid>
        <w:gridCol w:w="1840"/>
        <w:gridCol w:w="897"/>
        <w:gridCol w:w="898"/>
        <w:gridCol w:w="896"/>
        <w:gridCol w:w="898"/>
        <w:gridCol w:w="896"/>
        <w:gridCol w:w="898"/>
        <w:gridCol w:w="896"/>
        <w:gridCol w:w="898"/>
      </w:tblGrid>
      <w:tr w:rsidR="00D3093B" w:rsidRPr="005A7226" w14:paraId="04F1E0D8" w14:textId="77777777" w:rsidTr="000A7553">
        <w:trPr>
          <w:tblHeader/>
        </w:trPr>
        <w:tc>
          <w:tcPr>
            <w:tcW w:w="1020" w:type="pct"/>
            <w:vMerge w:val="restart"/>
            <w:vAlign w:val="center"/>
          </w:tcPr>
          <w:p w14:paraId="04F885C5" w14:textId="1B666D62" w:rsidR="00D3093B" w:rsidRPr="005A7226" w:rsidRDefault="00D3093B" w:rsidP="00FD60CD">
            <w:pPr>
              <w:keepNext/>
              <w:keepLines/>
              <w:jc w:val="left"/>
              <w:rPr>
                <w:rFonts w:ascii="Arial Narrow" w:hAnsi="Arial Narrow"/>
                <w:b/>
                <w:sz w:val="20"/>
                <w:szCs w:val="20"/>
              </w:rPr>
            </w:pPr>
            <w:r w:rsidRPr="005A7226">
              <w:rPr>
                <w:rFonts w:ascii="Arial Narrow" w:hAnsi="Arial Narrow"/>
                <w:b/>
                <w:sz w:val="20"/>
                <w:szCs w:val="20"/>
              </w:rPr>
              <w:t>AEs</w:t>
            </w:r>
            <w:r w:rsidR="00146B38" w:rsidRPr="005A7226">
              <w:rPr>
                <w:rFonts w:ascii="Arial Narrow" w:hAnsi="Arial Narrow"/>
                <w:b/>
                <w:sz w:val="20"/>
                <w:szCs w:val="20"/>
              </w:rPr>
              <w:t>, n(%)</w:t>
            </w:r>
          </w:p>
        </w:tc>
        <w:tc>
          <w:tcPr>
            <w:tcW w:w="995" w:type="pct"/>
            <w:gridSpan w:val="2"/>
            <w:vAlign w:val="center"/>
          </w:tcPr>
          <w:p w14:paraId="4D309162" w14:textId="77777777" w:rsidR="00D3093B" w:rsidRPr="005A7226" w:rsidRDefault="00D3093B" w:rsidP="00FD60CD">
            <w:pPr>
              <w:pStyle w:val="In-tableHeading"/>
              <w:keepLines/>
              <w:jc w:val="center"/>
              <w:rPr>
                <w:szCs w:val="20"/>
                <w:lang w:val="en-AU"/>
              </w:rPr>
            </w:pPr>
            <w:r w:rsidRPr="005A7226">
              <w:rPr>
                <w:szCs w:val="20"/>
                <w:lang w:val="en-AU"/>
              </w:rPr>
              <w:t>DAYLIGHT (24w)</w:t>
            </w:r>
            <w:r w:rsidRPr="005A7226">
              <w:rPr>
                <w:szCs w:val="20"/>
                <w:vertAlign w:val="superscript"/>
                <w:lang w:val="en-AU"/>
              </w:rPr>
              <w:t>c</w:t>
            </w:r>
          </w:p>
        </w:tc>
        <w:tc>
          <w:tcPr>
            <w:tcW w:w="995" w:type="pct"/>
            <w:gridSpan w:val="2"/>
            <w:vAlign w:val="center"/>
          </w:tcPr>
          <w:p w14:paraId="5B464CFE" w14:textId="77777777" w:rsidR="00D3093B" w:rsidRPr="005A7226" w:rsidRDefault="00D3093B" w:rsidP="00FD60CD">
            <w:pPr>
              <w:pStyle w:val="In-tableHeading"/>
              <w:keepLines/>
              <w:jc w:val="center"/>
              <w:rPr>
                <w:szCs w:val="20"/>
                <w:lang w:val="en-AU"/>
              </w:rPr>
            </w:pPr>
            <w:r w:rsidRPr="005A7226">
              <w:rPr>
                <w:szCs w:val="20"/>
                <w:lang w:val="en-AU"/>
              </w:rPr>
              <w:t>SKYLIGHT 1 (12w)</w:t>
            </w:r>
            <w:r w:rsidRPr="005A7226">
              <w:rPr>
                <w:szCs w:val="20"/>
                <w:vertAlign w:val="superscript"/>
                <w:lang w:val="en-AU"/>
              </w:rPr>
              <w:t>d</w:t>
            </w:r>
          </w:p>
        </w:tc>
        <w:tc>
          <w:tcPr>
            <w:tcW w:w="995" w:type="pct"/>
            <w:gridSpan w:val="2"/>
            <w:vAlign w:val="center"/>
          </w:tcPr>
          <w:p w14:paraId="330497CC" w14:textId="77777777" w:rsidR="00D3093B" w:rsidRPr="005A7226" w:rsidRDefault="00D3093B" w:rsidP="00FD60CD">
            <w:pPr>
              <w:pStyle w:val="In-tableHeading"/>
              <w:keepLines/>
              <w:jc w:val="center"/>
              <w:rPr>
                <w:szCs w:val="20"/>
                <w:lang w:val="en-AU"/>
              </w:rPr>
            </w:pPr>
            <w:r w:rsidRPr="005A7226">
              <w:rPr>
                <w:szCs w:val="20"/>
                <w:lang w:val="en-AU"/>
              </w:rPr>
              <w:t>SKYLIGHT 2 (12w)</w:t>
            </w:r>
            <w:r w:rsidRPr="005A7226">
              <w:rPr>
                <w:szCs w:val="20"/>
                <w:vertAlign w:val="superscript"/>
                <w:lang w:val="en-AU"/>
              </w:rPr>
              <w:t>d</w:t>
            </w:r>
          </w:p>
        </w:tc>
        <w:tc>
          <w:tcPr>
            <w:tcW w:w="995" w:type="pct"/>
            <w:gridSpan w:val="2"/>
            <w:vAlign w:val="center"/>
          </w:tcPr>
          <w:p w14:paraId="524039AF" w14:textId="77777777" w:rsidR="00D3093B" w:rsidRPr="005A7226" w:rsidRDefault="00D3093B" w:rsidP="00FD60CD">
            <w:pPr>
              <w:pStyle w:val="In-tableHeading"/>
              <w:keepLines/>
              <w:jc w:val="center"/>
              <w:rPr>
                <w:szCs w:val="20"/>
                <w:lang w:val="en-AU"/>
              </w:rPr>
            </w:pPr>
            <w:r w:rsidRPr="005A7226">
              <w:rPr>
                <w:szCs w:val="20"/>
                <w:lang w:val="en-AU"/>
              </w:rPr>
              <w:t>SKYLIGHT 4 (52w)</w:t>
            </w:r>
            <w:r w:rsidRPr="005A7226">
              <w:rPr>
                <w:szCs w:val="20"/>
                <w:vertAlign w:val="superscript"/>
                <w:lang w:val="en-AU"/>
              </w:rPr>
              <w:t>e</w:t>
            </w:r>
          </w:p>
        </w:tc>
      </w:tr>
      <w:tr w:rsidR="00D3093B" w:rsidRPr="005A7226" w14:paraId="63B2F074" w14:textId="77777777" w:rsidTr="000A7553">
        <w:trPr>
          <w:tblHeader/>
        </w:trPr>
        <w:tc>
          <w:tcPr>
            <w:tcW w:w="1020" w:type="pct"/>
            <w:vMerge/>
            <w:vAlign w:val="center"/>
          </w:tcPr>
          <w:p w14:paraId="4E4B7205" w14:textId="77777777" w:rsidR="00D3093B" w:rsidRPr="005A7226" w:rsidRDefault="00D3093B" w:rsidP="00FD60CD">
            <w:pPr>
              <w:keepNext/>
              <w:keepLines/>
              <w:jc w:val="left"/>
              <w:rPr>
                <w:rFonts w:ascii="Arial Narrow" w:hAnsi="Arial Narrow"/>
                <w:sz w:val="20"/>
                <w:szCs w:val="20"/>
              </w:rPr>
            </w:pPr>
          </w:p>
        </w:tc>
        <w:tc>
          <w:tcPr>
            <w:tcW w:w="497" w:type="pct"/>
            <w:vAlign w:val="center"/>
          </w:tcPr>
          <w:p w14:paraId="3F620275" w14:textId="2F5E9EF4" w:rsidR="00D3093B" w:rsidRPr="005A7226" w:rsidRDefault="00D3093B" w:rsidP="00FD60CD">
            <w:pPr>
              <w:pStyle w:val="In-tableHeading"/>
              <w:keepLines/>
              <w:jc w:val="center"/>
              <w:rPr>
                <w:szCs w:val="20"/>
                <w:lang w:val="en-AU"/>
              </w:rPr>
            </w:pPr>
            <w:r w:rsidRPr="005A7226">
              <w:rPr>
                <w:szCs w:val="20"/>
                <w:lang w:val="en-AU"/>
              </w:rPr>
              <w:t>FEZ 45</w:t>
            </w:r>
            <w:r w:rsidR="00B00B0A" w:rsidRPr="005A7226">
              <w:rPr>
                <w:szCs w:val="20"/>
                <w:lang w:val="en-AU"/>
              </w:rPr>
              <w:t>mg</w:t>
            </w:r>
          </w:p>
          <w:p w14:paraId="2E0517C6"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N=226</w:t>
            </w:r>
          </w:p>
        </w:tc>
        <w:tc>
          <w:tcPr>
            <w:tcW w:w="498" w:type="pct"/>
            <w:vAlign w:val="center"/>
          </w:tcPr>
          <w:p w14:paraId="146DD588" w14:textId="77777777" w:rsidR="00D3093B" w:rsidRPr="005A7226" w:rsidRDefault="00D3093B" w:rsidP="00FD60CD">
            <w:pPr>
              <w:pStyle w:val="In-tableHeading"/>
              <w:keepLines/>
              <w:jc w:val="center"/>
              <w:rPr>
                <w:szCs w:val="20"/>
                <w:lang w:val="en-AU"/>
              </w:rPr>
            </w:pPr>
            <w:r w:rsidRPr="005A7226">
              <w:rPr>
                <w:szCs w:val="20"/>
                <w:lang w:val="en-AU"/>
              </w:rPr>
              <w:t>PBO</w:t>
            </w:r>
          </w:p>
          <w:p w14:paraId="54A58AA3"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N=226</w:t>
            </w:r>
          </w:p>
        </w:tc>
        <w:tc>
          <w:tcPr>
            <w:tcW w:w="497" w:type="pct"/>
            <w:vAlign w:val="center"/>
          </w:tcPr>
          <w:p w14:paraId="6DC46CF3" w14:textId="3B1BA5C5" w:rsidR="00D3093B" w:rsidRPr="005A7226" w:rsidRDefault="00D3093B" w:rsidP="00FD60CD">
            <w:pPr>
              <w:pStyle w:val="In-tableHeading"/>
              <w:keepLines/>
              <w:jc w:val="center"/>
              <w:rPr>
                <w:szCs w:val="20"/>
                <w:lang w:val="en-AU"/>
              </w:rPr>
            </w:pPr>
            <w:r w:rsidRPr="005A7226">
              <w:rPr>
                <w:szCs w:val="20"/>
                <w:lang w:val="en-AU"/>
              </w:rPr>
              <w:t>FEZ 45</w:t>
            </w:r>
            <w:r w:rsidR="00B00B0A" w:rsidRPr="005A7226">
              <w:rPr>
                <w:szCs w:val="20"/>
                <w:lang w:val="en-AU"/>
              </w:rPr>
              <w:t>mg</w:t>
            </w:r>
          </w:p>
          <w:p w14:paraId="23948909"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N=173</w:t>
            </w:r>
          </w:p>
        </w:tc>
        <w:tc>
          <w:tcPr>
            <w:tcW w:w="498" w:type="pct"/>
            <w:vAlign w:val="center"/>
          </w:tcPr>
          <w:p w14:paraId="1459E155" w14:textId="77777777" w:rsidR="00D3093B" w:rsidRPr="005A7226" w:rsidRDefault="00D3093B" w:rsidP="00FD60CD">
            <w:pPr>
              <w:pStyle w:val="In-tableHeading"/>
              <w:keepLines/>
              <w:jc w:val="center"/>
              <w:rPr>
                <w:szCs w:val="20"/>
                <w:lang w:val="en-AU"/>
              </w:rPr>
            </w:pPr>
            <w:r w:rsidRPr="005A7226">
              <w:rPr>
                <w:szCs w:val="20"/>
                <w:lang w:val="en-AU"/>
              </w:rPr>
              <w:t>PBO</w:t>
            </w:r>
          </w:p>
          <w:p w14:paraId="57264328"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N=175</w:t>
            </w:r>
          </w:p>
        </w:tc>
        <w:tc>
          <w:tcPr>
            <w:tcW w:w="497" w:type="pct"/>
            <w:vAlign w:val="center"/>
          </w:tcPr>
          <w:p w14:paraId="71EB4818" w14:textId="2C690243" w:rsidR="00D3093B" w:rsidRPr="005A7226" w:rsidRDefault="00D3093B" w:rsidP="00FD60CD">
            <w:pPr>
              <w:pStyle w:val="In-tableHeading"/>
              <w:keepLines/>
              <w:jc w:val="center"/>
              <w:rPr>
                <w:szCs w:val="20"/>
                <w:lang w:val="en-AU"/>
              </w:rPr>
            </w:pPr>
            <w:r w:rsidRPr="005A7226">
              <w:rPr>
                <w:szCs w:val="20"/>
                <w:lang w:val="en-AU"/>
              </w:rPr>
              <w:t>FEZ 45</w:t>
            </w:r>
            <w:r w:rsidR="00B00B0A" w:rsidRPr="005A7226">
              <w:rPr>
                <w:szCs w:val="20"/>
                <w:lang w:val="en-AU"/>
              </w:rPr>
              <w:t>mg</w:t>
            </w:r>
          </w:p>
          <w:p w14:paraId="6A39B681"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N=167</w:t>
            </w:r>
          </w:p>
        </w:tc>
        <w:tc>
          <w:tcPr>
            <w:tcW w:w="498" w:type="pct"/>
            <w:vAlign w:val="center"/>
          </w:tcPr>
          <w:p w14:paraId="431B6162" w14:textId="77777777" w:rsidR="00D3093B" w:rsidRPr="005A7226" w:rsidRDefault="00D3093B" w:rsidP="00FD60CD">
            <w:pPr>
              <w:pStyle w:val="In-tableHeading"/>
              <w:keepLines/>
              <w:jc w:val="center"/>
              <w:rPr>
                <w:szCs w:val="20"/>
                <w:lang w:val="en-AU"/>
              </w:rPr>
            </w:pPr>
            <w:r w:rsidRPr="005A7226">
              <w:rPr>
                <w:szCs w:val="20"/>
                <w:lang w:val="en-AU"/>
              </w:rPr>
              <w:t>PBO</w:t>
            </w:r>
          </w:p>
          <w:p w14:paraId="0C73C35F"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N=167</w:t>
            </w:r>
          </w:p>
        </w:tc>
        <w:tc>
          <w:tcPr>
            <w:tcW w:w="497" w:type="pct"/>
            <w:vAlign w:val="center"/>
          </w:tcPr>
          <w:p w14:paraId="501AD406" w14:textId="388B5A84" w:rsidR="00D3093B" w:rsidRPr="005A7226" w:rsidRDefault="00D3093B" w:rsidP="00FD60CD">
            <w:pPr>
              <w:pStyle w:val="In-tableHeading"/>
              <w:keepLines/>
              <w:jc w:val="center"/>
              <w:rPr>
                <w:szCs w:val="20"/>
                <w:lang w:val="en-AU"/>
              </w:rPr>
            </w:pPr>
            <w:r w:rsidRPr="005A7226">
              <w:rPr>
                <w:szCs w:val="20"/>
                <w:lang w:val="en-AU"/>
              </w:rPr>
              <w:t>FEZ 45</w:t>
            </w:r>
            <w:r w:rsidR="00B00B0A" w:rsidRPr="005A7226">
              <w:rPr>
                <w:szCs w:val="20"/>
                <w:lang w:val="en-AU"/>
              </w:rPr>
              <w:t>mg</w:t>
            </w:r>
          </w:p>
          <w:p w14:paraId="3044D315"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N=609</w:t>
            </w:r>
          </w:p>
        </w:tc>
        <w:tc>
          <w:tcPr>
            <w:tcW w:w="498" w:type="pct"/>
            <w:vAlign w:val="center"/>
          </w:tcPr>
          <w:p w14:paraId="5B628B7E" w14:textId="77777777" w:rsidR="00D3093B" w:rsidRPr="005A7226" w:rsidRDefault="00D3093B" w:rsidP="00FD60CD">
            <w:pPr>
              <w:pStyle w:val="In-tableHeading"/>
              <w:keepLines/>
              <w:jc w:val="center"/>
              <w:rPr>
                <w:szCs w:val="20"/>
                <w:lang w:val="en-AU"/>
              </w:rPr>
            </w:pPr>
            <w:r w:rsidRPr="005A7226">
              <w:rPr>
                <w:szCs w:val="20"/>
                <w:lang w:val="en-AU"/>
              </w:rPr>
              <w:t>PBO</w:t>
            </w:r>
          </w:p>
          <w:p w14:paraId="6E8E49D2" w14:textId="77777777" w:rsidR="00D3093B" w:rsidRPr="005A7226" w:rsidRDefault="00D3093B" w:rsidP="00FD60CD">
            <w:pPr>
              <w:keepNext/>
              <w:keepLines/>
              <w:jc w:val="center"/>
              <w:rPr>
                <w:rFonts w:ascii="Arial Narrow" w:hAnsi="Arial Narrow"/>
                <w:b/>
                <w:sz w:val="20"/>
                <w:szCs w:val="20"/>
              </w:rPr>
            </w:pPr>
            <w:r w:rsidRPr="005A7226">
              <w:rPr>
                <w:rFonts w:ascii="Arial Narrow" w:hAnsi="Arial Narrow"/>
                <w:b/>
                <w:sz w:val="20"/>
                <w:szCs w:val="20"/>
              </w:rPr>
              <w:t>N=610</w:t>
            </w:r>
          </w:p>
        </w:tc>
      </w:tr>
      <w:tr w:rsidR="00D3093B" w:rsidRPr="005A7226" w14:paraId="3B712AEC" w14:textId="77777777" w:rsidTr="00325998">
        <w:tc>
          <w:tcPr>
            <w:tcW w:w="1020" w:type="pct"/>
            <w:vAlign w:val="center"/>
          </w:tcPr>
          <w:p w14:paraId="62BF7305"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Any TEAE</w:t>
            </w:r>
          </w:p>
        </w:tc>
        <w:tc>
          <w:tcPr>
            <w:tcW w:w="497" w:type="pct"/>
            <w:vAlign w:val="center"/>
          </w:tcPr>
          <w:p w14:paraId="65AC81B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147 (65.0)</w:t>
            </w:r>
          </w:p>
        </w:tc>
        <w:tc>
          <w:tcPr>
            <w:tcW w:w="498" w:type="pct"/>
            <w:vAlign w:val="center"/>
          </w:tcPr>
          <w:p w14:paraId="25F885A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138 (61.1)</w:t>
            </w:r>
          </w:p>
        </w:tc>
        <w:tc>
          <w:tcPr>
            <w:tcW w:w="497" w:type="pct"/>
            <w:vAlign w:val="center"/>
          </w:tcPr>
          <w:p w14:paraId="4A2CE29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75 (43.4)</w:t>
            </w:r>
          </w:p>
        </w:tc>
        <w:tc>
          <w:tcPr>
            <w:tcW w:w="498" w:type="pct"/>
            <w:vAlign w:val="center"/>
          </w:tcPr>
          <w:p w14:paraId="36FC884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78 (44.6)</w:t>
            </w:r>
          </w:p>
        </w:tc>
        <w:tc>
          <w:tcPr>
            <w:tcW w:w="497" w:type="pct"/>
            <w:vAlign w:val="center"/>
          </w:tcPr>
          <w:p w14:paraId="1105D19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60 (35.9)</w:t>
            </w:r>
          </w:p>
        </w:tc>
        <w:tc>
          <w:tcPr>
            <w:tcW w:w="498" w:type="pct"/>
            <w:vAlign w:val="center"/>
          </w:tcPr>
          <w:p w14:paraId="2746124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54 (32.3)</w:t>
            </w:r>
          </w:p>
        </w:tc>
        <w:tc>
          <w:tcPr>
            <w:tcW w:w="497" w:type="pct"/>
            <w:vAlign w:val="center"/>
          </w:tcPr>
          <w:p w14:paraId="4637FCC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389 (63.9)</w:t>
            </w:r>
          </w:p>
        </w:tc>
        <w:tc>
          <w:tcPr>
            <w:tcW w:w="498" w:type="pct"/>
            <w:vAlign w:val="center"/>
          </w:tcPr>
          <w:p w14:paraId="6CE8D64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391 (64.1)</w:t>
            </w:r>
          </w:p>
        </w:tc>
      </w:tr>
      <w:tr w:rsidR="00D3093B" w:rsidRPr="005A7226" w14:paraId="1EB55432" w14:textId="77777777" w:rsidTr="00325998">
        <w:tc>
          <w:tcPr>
            <w:tcW w:w="1020" w:type="pct"/>
            <w:vAlign w:val="center"/>
          </w:tcPr>
          <w:p w14:paraId="7F88845C" w14:textId="575240D1"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Drug</w:t>
            </w:r>
            <w:r w:rsidR="00F74763" w:rsidRPr="005A7226">
              <w:rPr>
                <w:rFonts w:ascii="Arial Narrow" w:hAnsi="Arial Narrow"/>
                <w:sz w:val="20"/>
                <w:szCs w:val="20"/>
              </w:rPr>
              <w:t>-</w:t>
            </w:r>
            <w:r w:rsidRPr="005A7226">
              <w:rPr>
                <w:rFonts w:ascii="Arial Narrow" w:hAnsi="Arial Narrow"/>
                <w:sz w:val="20"/>
                <w:szCs w:val="20"/>
              </w:rPr>
              <w:t xml:space="preserve">related </w:t>
            </w:r>
            <w:proofErr w:type="spellStart"/>
            <w:r w:rsidRPr="005A7226">
              <w:rPr>
                <w:rFonts w:ascii="Arial Narrow" w:hAnsi="Arial Narrow"/>
                <w:sz w:val="20"/>
                <w:szCs w:val="20"/>
              </w:rPr>
              <w:t>TEAE</w:t>
            </w:r>
            <w:r w:rsidRPr="005A7226">
              <w:rPr>
                <w:rFonts w:ascii="Arial Narrow" w:hAnsi="Arial Narrow"/>
                <w:sz w:val="20"/>
                <w:szCs w:val="20"/>
                <w:vertAlign w:val="superscript"/>
              </w:rPr>
              <w:t>a</w:t>
            </w:r>
            <w:proofErr w:type="spellEnd"/>
          </w:p>
        </w:tc>
        <w:tc>
          <w:tcPr>
            <w:tcW w:w="497" w:type="pct"/>
            <w:vAlign w:val="center"/>
          </w:tcPr>
          <w:p w14:paraId="334ABB7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39 (17.3)</w:t>
            </w:r>
          </w:p>
        </w:tc>
        <w:tc>
          <w:tcPr>
            <w:tcW w:w="498" w:type="pct"/>
            <w:vAlign w:val="center"/>
          </w:tcPr>
          <w:p w14:paraId="550618B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25 (11.1)</w:t>
            </w:r>
          </w:p>
        </w:tc>
        <w:tc>
          <w:tcPr>
            <w:tcW w:w="497" w:type="pct"/>
            <w:vAlign w:val="center"/>
          </w:tcPr>
          <w:p w14:paraId="65EE506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13 (7.5)</w:t>
            </w:r>
          </w:p>
        </w:tc>
        <w:tc>
          <w:tcPr>
            <w:tcW w:w="498" w:type="pct"/>
            <w:vAlign w:val="center"/>
          </w:tcPr>
          <w:p w14:paraId="028FADA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22 (12.6)</w:t>
            </w:r>
          </w:p>
        </w:tc>
        <w:tc>
          <w:tcPr>
            <w:tcW w:w="497" w:type="pct"/>
            <w:vAlign w:val="center"/>
          </w:tcPr>
          <w:p w14:paraId="5D04B90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25 (15.0)</w:t>
            </w:r>
          </w:p>
        </w:tc>
        <w:tc>
          <w:tcPr>
            <w:tcW w:w="498" w:type="pct"/>
            <w:vAlign w:val="center"/>
          </w:tcPr>
          <w:p w14:paraId="193B1C9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(6.6)</w:t>
            </w:r>
          </w:p>
        </w:tc>
        <w:tc>
          <w:tcPr>
            <w:tcW w:w="497" w:type="pct"/>
            <w:vAlign w:val="center"/>
          </w:tcPr>
          <w:p w14:paraId="0BC4653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110 (18.1)</w:t>
            </w:r>
          </w:p>
        </w:tc>
        <w:tc>
          <w:tcPr>
            <w:tcW w:w="498" w:type="pct"/>
            <w:vAlign w:val="center"/>
          </w:tcPr>
          <w:p w14:paraId="086B7D5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106 (17.4)</w:t>
            </w:r>
          </w:p>
        </w:tc>
      </w:tr>
      <w:tr w:rsidR="00D3093B" w:rsidRPr="005A7226" w14:paraId="45450B1F" w14:textId="77777777" w:rsidTr="00325998">
        <w:tc>
          <w:tcPr>
            <w:tcW w:w="1020" w:type="pct"/>
            <w:vAlign w:val="center"/>
          </w:tcPr>
          <w:p w14:paraId="2D6BBBDC"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Serious TEAE</w:t>
            </w:r>
          </w:p>
        </w:tc>
        <w:tc>
          <w:tcPr>
            <w:tcW w:w="497" w:type="pct"/>
            <w:vAlign w:val="center"/>
          </w:tcPr>
          <w:p w14:paraId="1912BB8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10 (4.4)</w:t>
            </w:r>
          </w:p>
        </w:tc>
        <w:tc>
          <w:tcPr>
            <w:tcW w:w="498" w:type="pct"/>
            <w:vAlign w:val="center"/>
          </w:tcPr>
          <w:p w14:paraId="7EB0939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8 (3.5)</w:t>
            </w:r>
          </w:p>
        </w:tc>
        <w:tc>
          <w:tcPr>
            <w:tcW w:w="497" w:type="pct"/>
            <w:vAlign w:val="center"/>
          </w:tcPr>
          <w:p w14:paraId="5719E8A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17FE694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7" w:type="pct"/>
            <w:vAlign w:val="center"/>
          </w:tcPr>
          <w:p w14:paraId="161A1EF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0321BBFA"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403510A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23 (3.8)</w:t>
            </w:r>
          </w:p>
        </w:tc>
        <w:tc>
          <w:tcPr>
            <w:tcW w:w="498" w:type="pct"/>
            <w:vAlign w:val="center"/>
          </w:tcPr>
          <w:p w14:paraId="4ECDB92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14 (2.3)</w:t>
            </w:r>
          </w:p>
        </w:tc>
      </w:tr>
      <w:tr w:rsidR="00FC5646" w:rsidRPr="005A7226" w14:paraId="5B9F1098" w14:textId="77777777" w:rsidTr="00325998">
        <w:tc>
          <w:tcPr>
            <w:tcW w:w="1020" w:type="pct"/>
            <w:vAlign w:val="center"/>
          </w:tcPr>
          <w:p w14:paraId="5F16439E" w14:textId="2679FB86" w:rsidR="00FC5646" w:rsidRPr="005A7226" w:rsidRDefault="00FC5646" w:rsidP="00FD60CD">
            <w:pPr>
              <w:keepNext/>
              <w:keepLines/>
              <w:jc w:val="left"/>
              <w:rPr>
                <w:rFonts w:ascii="Arial Narrow" w:hAnsi="Arial Narrow"/>
                <w:sz w:val="20"/>
                <w:szCs w:val="20"/>
              </w:rPr>
            </w:pPr>
            <w:r w:rsidRPr="005A7226">
              <w:rPr>
                <w:rFonts w:ascii="Arial Narrow" w:hAnsi="Arial Narrow"/>
                <w:sz w:val="20"/>
                <w:szCs w:val="20"/>
              </w:rPr>
              <w:t>Drug-related serious TEAE</w:t>
            </w:r>
          </w:p>
        </w:tc>
        <w:tc>
          <w:tcPr>
            <w:tcW w:w="497" w:type="pct"/>
            <w:vAlign w:val="center"/>
          </w:tcPr>
          <w:p w14:paraId="742CFAA2" w14:textId="30B3052B"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8" w:type="pct"/>
            <w:vAlign w:val="center"/>
          </w:tcPr>
          <w:p w14:paraId="7C980AD0" w14:textId="5EDA1305"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6FE3D867" w14:textId="6F187CD5"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12F1D797" w14:textId="1979E54D"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62E86C2F" w14:textId="745E806E"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098B26FC" w14:textId="6871E469"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3A635834" w14:textId="74547213"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3 (0.5)</w:t>
            </w:r>
          </w:p>
        </w:tc>
        <w:tc>
          <w:tcPr>
            <w:tcW w:w="498" w:type="pct"/>
            <w:vAlign w:val="center"/>
          </w:tcPr>
          <w:p w14:paraId="103BA7BF" w14:textId="66A92C40" w:rsidR="00FC5646" w:rsidRPr="005A7226" w:rsidRDefault="00FC5646" w:rsidP="00FD60CD">
            <w:pPr>
              <w:keepNext/>
              <w:keepLines/>
              <w:jc w:val="center"/>
              <w:rPr>
                <w:rFonts w:ascii="Arial Narrow" w:hAnsi="Arial Narrow"/>
                <w:sz w:val="20"/>
                <w:szCs w:val="20"/>
              </w:rPr>
            </w:pPr>
            <w:r w:rsidRPr="005A7226">
              <w:rPr>
                <w:rFonts w:ascii="Arial Narrow" w:hAnsi="Arial Narrow"/>
                <w:sz w:val="20"/>
                <w:szCs w:val="20"/>
              </w:rPr>
              <w:t>1 (0.2)</w:t>
            </w:r>
          </w:p>
        </w:tc>
      </w:tr>
      <w:tr w:rsidR="00D3093B" w:rsidRPr="005A7226" w14:paraId="165C9590" w14:textId="77777777" w:rsidTr="00325998">
        <w:tc>
          <w:tcPr>
            <w:tcW w:w="1020" w:type="pct"/>
            <w:vAlign w:val="center"/>
          </w:tcPr>
          <w:p w14:paraId="04C88B11"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TEAE leading to discontinuation</w:t>
            </w:r>
          </w:p>
        </w:tc>
        <w:tc>
          <w:tcPr>
            <w:tcW w:w="497" w:type="pct"/>
            <w:vAlign w:val="center"/>
          </w:tcPr>
          <w:p w14:paraId="1C8BC6B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(4.9)</w:t>
            </w:r>
          </w:p>
        </w:tc>
        <w:tc>
          <w:tcPr>
            <w:tcW w:w="498" w:type="pct"/>
            <w:vAlign w:val="center"/>
          </w:tcPr>
          <w:p w14:paraId="3954506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14 (6.2)</w:t>
            </w:r>
          </w:p>
        </w:tc>
        <w:tc>
          <w:tcPr>
            <w:tcW w:w="497" w:type="pct"/>
            <w:vAlign w:val="center"/>
          </w:tcPr>
          <w:p w14:paraId="729C352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(2.3)</w:t>
            </w:r>
          </w:p>
        </w:tc>
        <w:tc>
          <w:tcPr>
            <w:tcW w:w="498" w:type="pct"/>
            <w:vAlign w:val="center"/>
          </w:tcPr>
          <w:p w14:paraId="6DB142C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9 (5.1)</w:t>
            </w:r>
          </w:p>
        </w:tc>
        <w:tc>
          <w:tcPr>
            <w:tcW w:w="497" w:type="pct"/>
            <w:vAlign w:val="center"/>
          </w:tcPr>
          <w:p w14:paraId="445B01E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 (3.0)</w:t>
            </w:r>
          </w:p>
        </w:tc>
        <w:tc>
          <w:tcPr>
            <w:tcW w:w="498" w:type="pct"/>
            <w:vAlign w:val="center"/>
          </w:tcPr>
          <w:p w14:paraId="7264539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7" w:type="pct"/>
            <w:vAlign w:val="center"/>
          </w:tcPr>
          <w:p w14:paraId="0DE7471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28 (4.6)</w:t>
            </w:r>
          </w:p>
        </w:tc>
        <w:tc>
          <w:tcPr>
            <w:tcW w:w="498" w:type="pct"/>
            <w:vAlign w:val="center"/>
          </w:tcPr>
          <w:p w14:paraId="7C9FB7D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26 (4.3)</w:t>
            </w:r>
          </w:p>
        </w:tc>
      </w:tr>
      <w:tr w:rsidR="00D3093B" w:rsidRPr="005A7226" w14:paraId="1C808090" w14:textId="77777777" w:rsidTr="00325998">
        <w:tc>
          <w:tcPr>
            <w:tcW w:w="1020" w:type="pct"/>
            <w:tcBorders>
              <w:bottom w:val="double" w:sz="4" w:space="0" w:color="auto"/>
            </w:tcBorders>
            <w:vAlign w:val="center"/>
          </w:tcPr>
          <w:p w14:paraId="78E282DC" w14:textId="77777777" w:rsidR="00D3093B" w:rsidRPr="005A7226" w:rsidRDefault="00D3093B" w:rsidP="00FD60CD">
            <w:pPr>
              <w:keepNext/>
              <w:keepLines/>
              <w:jc w:val="left"/>
              <w:rPr>
                <w:rFonts w:ascii="Arial Narrow" w:hAnsi="Arial Narrow"/>
                <w:sz w:val="20"/>
                <w:szCs w:val="20"/>
              </w:rPr>
            </w:pPr>
            <w:proofErr w:type="spellStart"/>
            <w:r w:rsidRPr="005A7226">
              <w:rPr>
                <w:rFonts w:ascii="Arial Narrow" w:hAnsi="Arial Narrow"/>
                <w:sz w:val="20"/>
                <w:szCs w:val="20"/>
              </w:rPr>
              <w:t>Death</w:t>
            </w:r>
            <w:r w:rsidRPr="005A7226">
              <w:rPr>
                <w:rFonts w:ascii="Arial Narrow" w:hAnsi="Arial Narrow"/>
                <w:sz w:val="20"/>
                <w:szCs w:val="20"/>
                <w:vertAlign w:val="superscript"/>
              </w:rPr>
              <w:t>b</w:t>
            </w:r>
            <w:proofErr w:type="spellEnd"/>
          </w:p>
        </w:tc>
        <w:tc>
          <w:tcPr>
            <w:tcW w:w="497" w:type="pct"/>
            <w:tcBorders>
              <w:bottom w:val="double" w:sz="4" w:space="0" w:color="auto"/>
            </w:tcBorders>
            <w:vAlign w:val="center"/>
          </w:tcPr>
          <w:p w14:paraId="24C3320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tcBorders>
              <w:bottom w:val="double" w:sz="4" w:space="0" w:color="auto"/>
            </w:tcBorders>
            <w:vAlign w:val="center"/>
          </w:tcPr>
          <w:p w14:paraId="6F63E79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tcBorders>
              <w:bottom w:val="double" w:sz="4" w:space="0" w:color="auto"/>
            </w:tcBorders>
            <w:vAlign w:val="center"/>
          </w:tcPr>
          <w:p w14:paraId="66B7DDD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tcBorders>
              <w:bottom w:val="double" w:sz="4" w:space="0" w:color="auto"/>
            </w:tcBorders>
            <w:vAlign w:val="center"/>
          </w:tcPr>
          <w:p w14:paraId="36C6B9F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tcBorders>
              <w:bottom w:val="double" w:sz="4" w:space="0" w:color="auto"/>
            </w:tcBorders>
            <w:vAlign w:val="center"/>
          </w:tcPr>
          <w:p w14:paraId="00D8A39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tcBorders>
              <w:bottom w:val="double" w:sz="4" w:space="0" w:color="auto"/>
            </w:tcBorders>
            <w:vAlign w:val="center"/>
          </w:tcPr>
          <w:p w14:paraId="12091C3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tcBorders>
              <w:bottom w:val="double" w:sz="4" w:space="0" w:color="auto"/>
            </w:tcBorders>
            <w:vAlign w:val="center"/>
          </w:tcPr>
          <w:p w14:paraId="028D537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tcBorders>
              <w:bottom w:val="double" w:sz="4" w:space="0" w:color="auto"/>
            </w:tcBorders>
            <w:vAlign w:val="center"/>
          </w:tcPr>
          <w:p w14:paraId="02C6B7A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r>
      <w:tr w:rsidR="00D3093B" w:rsidRPr="005A7226" w14:paraId="344154B4" w14:textId="77777777" w:rsidTr="00325998">
        <w:tc>
          <w:tcPr>
            <w:tcW w:w="1020" w:type="pct"/>
            <w:tcBorders>
              <w:top w:val="double" w:sz="4" w:space="0" w:color="auto"/>
            </w:tcBorders>
            <w:vAlign w:val="center"/>
          </w:tcPr>
          <w:p w14:paraId="08D0E2F3" w14:textId="77777777" w:rsidR="00D3093B" w:rsidRPr="005A7226" w:rsidRDefault="00D3093B" w:rsidP="00FD60CD">
            <w:pPr>
              <w:keepNext/>
              <w:keepLines/>
              <w:jc w:val="left"/>
              <w:rPr>
                <w:rFonts w:ascii="Arial Narrow" w:hAnsi="Arial Narrow"/>
                <w:sz w:val="20"/>
                <w:szCs w:val="20"/>
                <w:u w:val="single"/>
              </w:rPr>
            </w:pPr>
            <w:r w:rsidRPr="005A7226">
              <w:rPr>
                <w:rFonts w:ascii="Arial Narrow" w:hAnsi="Arial Narrow"/>
                <w:sz w:val="20"/>
                <w:szCs w:val="20"/>
                <w:u w:val="single"/>
              </w:rPr>
              <w:t>Common TEAEs</w:t>
            </w:r>
          </w:p>
        </w:tc>
        <w:tc>
          <w:tcPr>
            <w:tcW w:w="497" w:type="pct"/>
            <w:tcBorders>
              <w:top w:val="double" w:sz="4" w:space="0" w:color="auto"/>
            </w:tcBorders>
            <w:vAlign w:val="center"/>
          </w:tcPr>
          <w:p w14:paraId="509F352B" w14:textId="77777777" w:rsidR="00D3093B" w:rsidRPr="005A7226" w:rsidRDefault="00D3093B" w:rsidP="00FD60CD">
            <w:pPr>
              <w:keepNext/>
              <w:keepLines/>
              <w:jc w:val="center"/>
              <w:rPr>
                <w:rFonts w:ascii="Arial Narrow" w:hAnsi="Arial Narrow"/>
                <w:sz w:val="20"/>
                <w:szCs w:val="20"/>
              </w:rPr>
            </w:pPr>
          </w:p>
        </w:tc>
        <w:tc>
          <w:tcPr>
            <w:tcW w:w="498" w:type="pct"/>
            <w:tcBorders>
              <w:top w:val="double" w:sz="4" w:space="0" w:color="auto"/>
            </w:tcBorders>
            <w:vAlign w:val="center"/>
          </w:tcPr>
          <w:p w14:paraId="06C78D40" w14:textId="77777777" w:rsidR="00D3093B" w:rsidRPr="005A7226" w:rsidRDefault="00D3093B" w:rsidP="00FD60CD">
            <w:pPr>
              <w:keepNext/>
              <w:keepLines/>
              <w:jc w:val="center"/>
              <w:rPr>
                <w:rFonts w:ascii="Arial Narrow" w:hAnsi="Arial Narrow"/>
                <w:sz w:val="20"/>
                <w:szCs w:val="20"/>
              </w:rPr>
            </w:pPr>
          </w:p>
        </w:tc>
        <w:tc>
          <w:tcPr>
            <w:tcW w:w="497" w:type="pct"/>
            <w:tcBorders>
              <w:top w:val="double" w:sz="4" w:space="0" w:color="auto"/>
            </w:tcBorders>
            <w:vAlign w:val="center"/>
          </w:tcPr>
          <w:p w14:paraId="30828B25" w14:textId="77777777" w:rsidR="00D3093B" w:rsidRPr="005A7226" w:rsidRDefault="00D3093B" w:rsidP="00FD60CD">
            <w:pPr>
              <w:keepNext/>
              <w:keepLines/>
              <w:jc w:val="center"/>
              <w:rPr>
                <w:rFonts w:ascii="Arial Narrow" w:hAnsi="Arial Narrow"/>
                <w:sz w:val="20"/>
                <w:szCs w:val="20"/>
              </w:rPr>
            </w:pPr>
          </w:p>
        </w:tc>
        <w:tc>
          <w:tcPr>
            <w:tcW w:w="498" w:type="pct"/>
            <w:tcBorders>
              <w:top w:val="double" w:sz="4" w:space="0" w:color="auto"/>
            </w:tcBorders>
            <w:vAlign w:val="center"/>
          </w:tcPr>
          <w:p w14:paraId="1B20DB71" w14:textId="77777777" w:rsidR="00D3093B" w:rsidRPr="005A7226" w:rsidRDefault="00D3093B" w:rsidP="00FD60CD">
            <w:pPr>
              <w:keepNext/>
              <w:keepLines/>
              <w:jc w:val="center"/>
              <w:rPr>
                <w:rFonts w:ascii="Arial Narrow" w:hAnsi="Arial Narrow"/>
                <w:sz w:val="20"/>
                <w:szCs w:val="20"/>
              </w:rPr>
            </w:pPr>
          </w:p>
        </w:tc>
        <w:tc>
          <w:tcPr>
            <w:tcW w:w="497" w:type="pct"/>
            <w:tcBorders>
              <w:top w:val="double" w:sz="4" w:space="0" w:color="auto"/>
            </w:tcBorders>
            <w:vAlign w:val="center"/>
          </w:tcPr>
          <w:p w14:paraId="568F3F16" w14:textId="77777777" w:rsidR="00D3093B" w:rsidRPr="005A7226" w:rsidRDefault="00D3093B" w:rsidP="00FD60CD">
            <w:pPr>
              <w:keepNext/>
              <w:keepLines/>
              <w:jc w:val="center"/>
              <w:rPr>
                <w:rFonts w:ascii="Arial Narrow" w:hAnsi="Arial Narrow"/>
                <w:sz w:val="20"/>
                <w:szCs w:val="20"/>
              </w:rPr>
            </w:pPr>
          </w:p>
        </w:tc>
        <w:tc>
          <w:tcPr>
            <w:tcW w:w="498" w:type="pct"/>
            <w:tcBorders>
              <w:top w:val="double" w:sz="4" w:space="0" w:color="auto"/>
            </w:tcBorders>
            <w:vAlign w:val="center"/>
          </w:tcPr>
          <w:p w14:paraId="5074224E" w14:textId="77777777" w:rsidR="00D3093B" w:rsidRPr="005A7226" w:rsidRDefault="00D3093B" w:rsidP="00FD60CD">
            <w:pPr>
              <w:keepNext/>
              <w:keepLines/>
              <w:jc w:val="center"/>
              <w:rPr>
                <w:rFonts w:ascii="Arial Narrow" w:hAnsi="Arial Narrow"/>
                <w:sz w:val="20"/>
                <w:szCs w:val="20"/>
              </w:rPr>
            </w:pPr>
          </w:p>
        </w:tc>
        <w:tc>
          <w:tcPr>
            <w:tcW w:w="497" w:type="pct"/>
            <w:tcBorders>
              <w:top w:val="double" w:sz="4" w:space="0" w:color="auto"/>
            </w:tcBorders>
            <w:vAlign w:val="center"/>
          </w:tcPr>
          <w:p w14:paraId="1254F915" w14:textId="77777777" w:rsidR="00D3093B" w:rsidRPr="005A7226" w:rsidRDefault="00D3093B" w:rsidP="00FD60CD">
            <w:pPr>
              <w:keepNext/>
              <w:keepLines/>
              <w:jc w:val="center"/>
              <w:rPr>
                <w:rFonts w:ascii="Arial Narrow" w:hAnsi="Arial Narrow"/>
                <w:sz w:val="20"/>
                <w:szCs w:val="20"/>
              </w:rPr>
            </w:pPr>
          </w:p>
        </w:tc>
        <w:tc>
          <w:tcPr>
            <w:tcW w:w="498" w:type="pct"/>
            <w:tcBorders>
              <w:top w:val="double" w:sz="4" w:space="0" w:color="auto"/>
            </w:tcBorders>
            <w:vAlign w:val="center"/>
          </w:tcPr>
          <w:p w14:paraId="60E45FF0" w14:textId="77777777" w:rsidR="00D3093B" w:rsidRPr="005A7226" w:rsidRDefault="00D3093B" w:rsidP="00FD60CD">
            <w:pPr>
              <w:keepNext/>
              <w:keepLines/>
              <w:jc w:val="center"/>
              <w:rPr>
                <w:rFonts w:ascii="Arial Narrow" w:hAnsi="Arial Narrow"/>
                <w:sz w:val="20"/>
                <w:szCs w:val="20"/>
              </w:rPr>
            </w:pPr>
          </w:p>
        </w:tc>
      </w:tr>
      <w:tr w:rsidR="00D3093B" w:rsidRPr="005A7226" w14:paraId="1AC85F22" w14:textId="77777777" w:rsidTr="00325998">
        <w:tc>
          <w:tcPr>
            <w:tcW w:w="1020" w:type="pct"/>
            <w:vAlign w:val="center"/>
          </w:tcPr>
          <w:p w14:paraId="495B410D"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COVID-19</w:t>
            </w:r>
          </w:p>
        </w:tc>
        <w:tc>
          <w:tcPr>
            <w:tcW w:w="497" w:type="pct"/>
            <w:vAlign w:val="center"/>
          </w:tcPr>
          <w:p w14:paraId="4CDB6A6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30 (13.3)</w:t>
            </w:r>
          </w:p>
        </w:tc>
        <w:tc>
          <w:tcPr>
            <w:tcW w:w="498" w:type="pct"/>
            <w:vAlign w:val="center"/>
          </w:tcPr>
          <w:p w14:paraId="188D299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29 (12.8)</w:t>
            </w:r>
          </w:p>
        </w:tc>
        <w:tc>
          <w:tcPr>
            <w:tcW w:w="497" w:type="pct"/>
            <w:vAlign w:val="center"/>
          </w:tcPr>
          <w:p w14:paraId="7A804BB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26E63DA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69D7AE6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124A2F2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430002E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32 (5.3)</w:t>
            </w:r>
          </w:p>
        </w:tc>
        <w:tc>
          <w:tcPr>
            <w:tcW w:w="498" w:type="pct"/>
            <w:vAlign w:val="center"/>
          </w:tcPr>
          <w:p w14:paraId="727C049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38 (6.2)</w:t>
            </w:r>
          </w:p>
        </w:tc>
      </w:tr>
      <w:tr w:rsidR="00D3093B" w:rsidRPr="005A7226" w14:paraId="227F607E" w14:textId="77777777" w:rsidTr="00325998">
        <w:tc>
          <w:tcPr>
            <w:tcW w:w="1020" w:type="pct"/>
            <w:vAlign w:val="center"/>
          </w:tcPr>
          <w:p w14:paraId="13F66C34"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Headache</w:t>
            </w:r>
          </w:p>
        </w:tc>
        <w:tc>
          <w:tcPr>
            <w:tcW w:w="497" w:type="pct"/>
            <w:vAlign w:val="center"/>
          </w:tcPr>
          <w:p w14:paraId="6FA1B9F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20 (8.8)</w:t>
            </w:r>
          </w:p>
        </w:tc>
        <w:tc>
          <w:tcPr>
            <w:tcW w:w="498" w:type="pct"/>
            <w:vAlign w:val="center"/>
          </w:tcPr>
          <w:p w14:paraId="2A691A7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21 (9.3)</w:t>
            </w:r>
          </w:p>
        </w:tc>
        <w:tc>
          <w:tcPr>
            <w:tcW w:w="497" w:type="pct"/>
            <w:vAlign w:val="center"/>
          </w:tcPr>
          <w:p w14:paraId="1D29354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(6.4)</w:t>
            </w:r>
          </w:p>
        </w:tc>
        <w:tc>
          <w:tcPr>
            <w:tcW w:w="498" w:type="pct"/>
            <w:vAlign w:val="center"/>
          </w:tcPr>
          <w:p w14:paraId="50EE9E4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13 (7.4)</w:t>
            </w:r>
          </w:p>
        </w:tc>
        <w:tc>
          <w:tcPr>
            <w:tcW w:w="497" w:type="pct"/>
            <w:vAlign w:val="center"/>
          </w:tcPr>
          <w:p w14:paraId="6D3B7C7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(3.6)</w:t>
            </w:r>
          </w:p>
        </w:tc>
        <w:tc>
          <w:tcPr>
            <w:tcW w:w="498" w:type="pct"/>
            <w:vAlign w:val="center"/>
          </w:tcPr>
          <w:p w14:paraId="1E2387B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(2.4)</w:t>
            </w:r>
          </w:p>
        </w:tc>
        <w:tc>
          <w:tcPr>
            <w:tcW w:w="497" w:type="pct"/>
            <w:vAlign w:val="center"/>
          </w:tcPr>
          <w:p w14:paraId="5419B22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55 (9.0)</w:t>
            </w:r>
          </w:p>
        </w:tc>
        <w:tc>
          <w:tcPr>
            <w:tcW w:w="498" w:type="pct"/>
            <w:vAlign w:val="center"/>
          </w:tcPr>
          <w:p w14:paraId="78D51B2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56 (9.2)</w:t>
            </w:r>
          </w:p>
        </w:tc>
      </w:tr>
      <w:tr w:rsidR="00D3093B" w:rsidRPr="005A7226" w14:paraId="40630278" w14:textId="77777777" w:rsidTr="00325998">
        <w:tc>
          <w:tcPr>
            <w:tcW w:w="1020" w:type="pct"/>
            <w:vAlign w:val="center"/>
          </w:tcPr>
          <w:p w14:paraId="0BA5739B"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Fatigue</w:t>
            </w:r>
          </w:p>
        </w:tc>
        <w:tc>
          <w:tcPr>
            <w:tcW w:w="497" w:type="pct"/>
            <w:vAlign w:val="center"/>
          </w:tcPr>
          <w:p w14:paraId="6550ACC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13 (5.8)</w:t>
            </w:r>
          </w:p>
        </w:tc>
        <w:tc>
          <w:tcPr>
            <w:tcW w:w="498" w:type="pct"/>
            <w:vAlign w:val="center"/>
          </w:tcPr>
          <w:p w14:paraId="6300C28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7" w:type="pct"/>
            <w:vAlign w:val="center"/>
          </w:tcPr>
          <w:p w14:paraId="2F33A16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(1.7)</w:t>
            </w:r>
          </w:p>
        </w:tc>
        <w:tc>
          <w:tcPr>
            <w:tcW w:w="498" w:type="pct"/>
            <w:vAlign w:val="center"/>
          </w:tcPr>
          <w:p w14:paraId="6AC345D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(1.7)</w:t>
            </w:r>
          </w:p>
        </w:tc>
        <w:tc>
          <w:tcPr>
            <w:tcW w:w="497" w:type="pct"/>
            <w:vAlign w:val="center"/>
          </w:tcPr>
          <w:p w14:paraId="605AC15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14B6F81A"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7" w:type="pct"/>
            <w:vAlign w:val="center"/>
          </w:tcPr>
          <w:p w14:paraId="4A58AF59" w14:textId="5BF7F5C3"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16 (2.6)</w:t>
            </w:r>
          </w:p>
        </w:tc>
        <w:tc>
          <w:tcPr>
            <w:tcW w:w="498" w:type="pct"/>
            <w:vAlign w:val="center"/>
          </w:tcPr>
          <w:p w14:paraId="474BC21F" w14:textId="78AC0AD5"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17 (2.8)</w:t>
            </w:r>
          </w:p>
        </w:tc>
      </w:tr>
      <w:tr w:rsidR="00D3093B" w:rsidRPr="005A7226" w14:paraId="5FCA3AAC" w14:textId="77777777" w:rsidTr="00325998">
        <w:tc>
          <w:tcPr>
            <w:tcW w:w="1020" w:type="pct"/>
            <w:vAlign w:val="center"/>
          </w:tcPr>
          <w:p w14:paraId="31627BF4"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Nasopharyngitis</w:t>
            </w:r>
          </w:p>
        </w:tc>
        <w:tc>
          <w:tcPr>
            <w:tcW w:w="497" w:type="pct"/>
            <w:vAlign w:val="center"/>
          </w:tcPr>
          <w:p w14:paraId="2A3A089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9 (4.0)</w:t>
            </w:r>
          </w:p>
        </w:tc>
        <w:tc>
          <w:tcPr>
            <w:tcW w:w="498" w:type="pct"/>
            <w:vAlign w:val="center"/>
          </w:tcPr>
          <w:p w14:paraId="0F69927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(4.9)</w:t>
            </w:r>
          </w:p>
        </w:tc>
        <w:tc>
          <w:tcPr>
            <w:tcW w:w="497" w:type="pct"/>
            <w:vAlign w:val="center"/>
          </w:tcPr>
          <w:p w14:paraId="60244C0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6B86556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(1.1)</w:t>
            </w:r>
          </w:p>
        </w:tc>
        <w:tc>
          <w:tcPr>
            <w:tcW w:w="497" w:type="pct"/>
            <w:vAlign w:val="center"/>
          </w:tcPr>
          <w:p w14:paraId="1B864F1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0A95121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(2.4)</w:t>
            </w:r>
          </w:p>
        </w:tc>
        <w:tc>
          <w:tcPr>
            <w:tcW w:w="497" w:type="pct"/>
            <w:vAlign w:val="center"/>
          </w:tcPr>
          <w:p w14:paraId="13E35240" w14:textId="529C1866"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15 (2.5)</w:t>
            </w:r>
          </w:p>
        </w:tc>
        <w:tc>
          <w:tcPr>
            <w:tcW w:w="498" w:type="pct"/>
            <w:vAlign w:val="center"/>
          </w:tcPr>
          <w:p w14:paraId="12D71195" w14:textId="7B28821D"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18 (3.0)</w:t>
            </w:r>
          </w:p>
        </w:tc>
      </w:tr>
      <w:tr w:rsidR="00D3093B" w:rsidRPr="005A7226" w14:paraId="1B49931D" w14:textId="77777777" w:rsidTr="00325998">
        <w:tc>
          <w:tcPr>
            <w:tcW w:w="1020" w:type="pct"/>
            <w:vAlign w:val="center"/>
          </w:tcPr>
          <w:p w14:paraId="6C39C581"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Nausea</w:t>
            </w:r>
          </w:p>
        </w:tc>
        <w:tc>
          <w:tcPr>
            <w:tcW w:w="497" w:type="pct"/>
            <w:vAlign w:val="center"/>
          </w:tcPr>
          <w:p w14:paraId="7F5ACAB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8" w:type="pct"/>
            <w:vAlign w:val="center"/>
          </w:tcPr>
          <w:p w14:paraId="591FBB3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(1.8)</w:t>
            </w:r>
          </w:p>
        </w:tc>
        <w:tc>
          <w:tcPr>
            <w:tcW w:w="497" w:type="pct"/>
            <w:vAlign w:val="center"/>
          </w:tcPr>
          <w:p w14:paraId="315D82F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6B755B9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(2.2)</w:t>
            </w:r>
          </w:p>
        </w:tc>
        <w:tc>
          <w:tcPr>
            <w:tcW w:w="497" w:type="pct"/>
            <w:vAlign w:val="center"/>
          </w:tcPr>
          <w:p w14:paraId="1046F23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(2.4)</w:t>
            </w:r>
          </w:p>
        </w:tc>
        <w:tc>
          <w:tcPr>
            <w:tcW w:w="498" w:type="pct"/>
            <w:vAlign w:val="center"/>
          </w:tcPr>
          <w:p w14:paraId="0CC608E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24509495" w14:textId="4960E3BC"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19 (3.1)</w:t>
            </w:r>
          </w:p>
        </w:tc>
        <w:tc>
          <w:tcPr>
            <w:tcW w:w="498" w:type="pct"/>
            <w:vAlign w:val="center"/>
          </w:tcPr>
          <w:p w14:paraId="4260EBF9" w14:textId="5C1492BC"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15 (2.5)</w:t>
            </w:r>
          </w:p>
        </w:tc>
      </w:tr>
      <w:tr w:rsidR="00D3093B" w:rsidRPr="005A7226" w14:paraId="31CCB4B4" w14:textId="77777777" w:rsidTr="00325998">
        <w:tc>
          <w:tcPr>
            <w:tcW w:w="1020" w:type="pct"/>
            <w:vAlign w:val="center"/>
          </w:tcPr>
          <w:p w14:paraId="709D8956"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Diarrhoea</w:t>
            </w:r>
          </w:p>
        </w:tc>
        <w:tc>
          <w:tcPr>
            <w:tcW w:w="497" w:type="pct"/>
            <w:vAlign w:val="center"/>
          </w:tcPr>
          <w:p w14:paraId="66AAA53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8" w:type="pct"/>
            <w:vAlign w:val="center"/>
          </w:tcPr>
          <w:p w14:paraId="3B9154A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(1.3)</w:t>
            </w:r>
          </w:p>
        </w:tc>
        <w:tc>
          <w:tcPr>
            <w:tcW w:w="497" w:type="pct"/>
            <w:vAlign w:val="center"/>
          </w:tcPr>
          <w:p w14:paraId="51692F1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4B401D1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75A984E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035C619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(2.4)</w:t>
            </w:r>
          </w:p>
        </w:tc>
        <w:tc>
          <w:tcPr>
            <w:tcW w:w="497" w:type="pct"/>
            <w:vAlign w:val="center"/>
          </w:tcPr>
          <w:p w14:paraId="0A17D4D1" w14:textId="250D859B"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24 (3.9)</w:t>
            </w:r>
          </w:p>
        </w:tc>
        <w:tc>
          <w:tcPr>
            <w:tcW w:w="498" w:type="pct"/>
            <w:vAlign w:val="center"/>
          </w:tcPr>
          <w:p w14:paraId="4F4C00EF" w14:textId="1C4E2E69"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16 (2.6)</w:t>
            </w:r>
          </w:p>
        </w:tc>
      </w:tr>
      <w:tr w:rsidR="00D3093B" w:rsidRPr="005A7226" w14:paraId="6F681F41" w14:textId="77777777" w:rsidTr="00325998">
        <w:tc>
          <w:tcPr>
            <w:tcW w:w="1020" w:type="pct"/>
            <w:vAlign w:val="center"/>
          </w:tcPr>
          <w:p w14:paraId="153D3C1A"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Upper respiratory tract infection</w:t>
            </w:r>
          </w:p>
        </w:tc>
        <w:tc>
          <w:tcPr>
            <w:tcW w:w="497" w:type="pct"/>
            <w:vAlign w:val="center"/>
          </w:tcPr>
          <w:p w14:paraId="69377BB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8" w:type="pct"/>
            <w:vAlign w:val="center"/>
          </w:tcPr>
          <w:p w14:paraId="10915C1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(1.8)</w:t>
            </w:r>
          </w:p>
        </w:tc>
        <w:tc>
          <w:tcPr>
            <w:tcW w:w="497" w:type="pct"/>
            <w:vAlign w:val="center"/>
          </w:tcPr>
          <w:p w14:paraId="3386C4E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543DD1D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(1.7)</w:t>
            </w:r>
          </w:p>
        </w:tc>
        <w:tc>
          <w:tcPr>
            <w:tcW w:w="497" w:type="pct"/>
            <w:vAlign w:val="center"/>
          </w:tcPr>
          <w:p w14:paraId="62A8678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 (3.0)</w:t>
            </w:r>
          </w:p>
        </w:tc>
        <w:tc>
          <w:tcPr>
            <w:tcW w:w="498" w:type="pct"/>
            <w:vAlign w:val="center"/>
          </w:tcPr>
          <w:p w14:paraId="7199270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7 (4.2)</w:t>
            </w:r>
          </w:p>
        </w:tc>
        <w:tc>
          <w:tcPr>
            <w:tcW w:w="497" w:type="pct"/>
            <w:vAlign w:val="center"/>
          </w:tcPr>
          <w:p w14:paraId="1B7BD240" w14:textId="12CB4AC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18 (3.0)</w:t>
            </w:r>
          </w:p>
        </w:tc>
        <w:tc>
          <w:tcPr>
            <w:tcW w:w="498" w:type="pct"/>
            <w:vAlign w:val="center"/>
          </w:tcPr>
          <w:p w14:paraId="783DA176" w14:textId="7E572C23"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20 (3.3)</w:t>
            </w:r>
          </w:p>
        </w:tc>
      </w:tr>
      <w:tr w:rsidR="00D3093B" w:rsidRPr="005A7226" w14:paraId="61F2E5F7" w14:textId="77777777" w:rsidTr="00325998">
        <w:tc>
          <w:tcPr>
            <w:tcW w:w="1020" w:type="pct"/>
            <w:vAlign w:val="center"/>
          </w:tcPr>
          <w:p w14:paraId="0883F654"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Insomnia</w:t>
            </w:r>
          </w:p>
        </w:tc>
        <w:tc>
          <w:tcPr>
            <w:tcW w:w="497" w:type="pct"/>
            <w:vAlign w:val="center"/>
          </w:tcPr>
          <w:p w14:paraId="498DB5C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8" w:type="pct"/>
            <w:vAlign w:val="center"/>
          </w:tcPr>
          <w:p w14:paraId="5C83752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7" w:type="pct"/>
            <w:vAlign w:val="center"/>
          </w:tcPr>
          <w:p w14:paraId="3A32153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2E6398D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3DEC72F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330319F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1906EC79" w14:textId="1C006200"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(1.8)</w:t>
            </w:r>
          </w:p>
        </w:tc>
        <w:tc>
          <w:tcPr>
            <w:tcW w:w="498" w:type="pct"/>
            <w:vAlign w:val="center"/>
          </w:tcPr>
          <w:p w14:paraId="39AAA118" w14:textId="71452B2E"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24 (3.9)</w:t>
            </w:r>
          </w:p>
        </w:tc>
      </w:tr>
      <w:tr w:rsidR="00D3093B" w:rsidRPr="005A7226" w14:paraId="7EE7D43D" w14:textId="77777777" w:rsidTr="00325998">
        <w:tc>
          <w:tcPr>
            <w:tcW w:w="1020" w:type="pct"/>
            <w:vAlign w:val="center"/>
          </w:tcPr>
          <w:p w14:paraId="3E6D232D"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Anxiety</w:t>
            </w:r>
          </w:p>
        </w:tc>
        <w:tc>
          <w:tcPr>
            <w:tcW w:w="497" w:type="pct"/>
            <w:vAlign w:val="center"/>
          </w:tcPr>
          <w:p w14:paraId="7BEB452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8" w:type="pct"/>
            <w:vAlign w:val="center"/>
          </w:tcPr>
          <w:p w14:paraId="0BC8877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(0.9)</w:t>
            </w:r>
          </w:p>
        </w:tc>
        <w:tc>
          <w:tcPr>
            <w:tcW w:w="497" w:type="pct"/>
            <w:vAlign w:val="center"/>
          </w:tcPr>
          <w:p w14:paraId="2700BC3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62414C5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7E1B897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01747EF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6D382F3C" w14:textId="55BC6C32"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8 (1.3)</w:t>
            </w:r>
          </w:p>
        </w:tc>
        <w:tc>
          <w:tcPr>
            <w:tcW w:w="498" w:type="pct"/>
            <w:vAlign w:val="center"/>
          </w:tcPr>
          <w:p w14:paraId="1F78F8A7" w14:textId="05967648"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(1.8)</w:t>
            </w:r>
          </w:p>
        </w:tc>
      </w:tr>
      <w:tr w:rsidR="00D3093B" w:rsidRPr="005A7226" w14:paraId="298122C8" w14:textId="77777777" w:rsidTr="00325998">
        <w:tc>
          <w:tcPr>
            <w:tcW w:w="1020" w:type="pct"/>
            <w:vAlign w:val="center"/>
          </w:tcPr>
          <w:p w14:paraId="1EC6237F"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Weight increase</w:t>
            </w:r>
          </w:p>
        </w:tc>
        <w:tc>
          <w:tcPr>
            <w:tcW w:w="497" w:type="pct"/>
            <w:vAlign w:val="center"/>
          </w:tcPr>
          <w:p w14:paraId="324C720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 (2.2)</w:t>
            </w:r>
          </w:p>
        </w:tc>
        <w:tc>
          <w:tcPr>
            <w:tcW w:w="498" w:type="pct"/>
            <w:vAlign w:val="center"/>
          </w:tcPr>
          <w:p w14:paraId="39BEC3B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7" w:type="pct"/>
            <w:vAlign w:val="center"/>
          </w:tcPr>
          <w:p w14:paraId="6668240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443A9F0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17F450E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12D1451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7" w:type="pct"/>
            <w:vAlign w:val="center"/>
          </w:tcPr>
          <w:p w14:paraId="0154C85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2C969FE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r>
      <w:tr w:rsidR="00D3093B" w:rsidRPr="005A7226" w14:paraId="443E39E1" w14:textId="77777777" w:rsidTr="00325998">
        <w:tc>
          <w:tcPr>
            <w:tcW w:w="1020" w:type="pct"/>
            <w:tcBorders>
              <w:bottom w:val="double" w:sz="4" w:space="0" w:color="auto"/>
            </w:tcBorders>
            <w:vAlign w:val="center"/>
          </w:tcPr>
          <w:p w14:paraId="5A202B08"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Back pain</w:t>
            </w:r>
          </w:p>
        </w:tc>
        <w:tc>
          <w:tcPr>
            <w:tcW w:w="497" w:type="pct"/>
            <w:tcBorders>
              <w:bottom w:val="double" w:sz="4" w:space="0" w:color="auto"/>
            </w:tcBorders>
            <w:vAlign w:val="center"/>
          </w:tcPr>
          <w:p w14:paraId="1F1FC85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tcBorders>
              <w:bottom w:val="double" w:sz="4" w:space="0" w:color="auto"/>
            </w:tcBorders>
            <w:vAlign w:val="center"/>
          </w:tcPr>
          <w:p w14:paraId="21552EC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tcBorders>
              <w:bottom w:val="double" w:sz="4" w:space="0" w:color="auto"/>
            </w:tcBorders>
            <w:vAlign w:val="center"/>
          </w:tcPr>
          <w:p w14:paraId="5BEFA61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tcBorders>
              <w:bottom w:val="double" w:sz="4" w:space="0" w:color="auto"/>
            </w:tcBorders>
            <w:vAlign w:val="center"/>
          </w:tcPr>
          <w:p w14:paraId="13C288A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tcBorders>
              <w:bottom w:val="double" w:sz="4" w:space="0" w:color="auto"/>
            </w:tcBorders>
            <w:vAlign w:val="center"/>
          </w:tcPr>
          <w:p w14:paraId="29007A0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tcBorders>
              <w:bottom w:val="double" w:sz="4" w:space="0" w:color="auto"/>
            </w:tcBorders>
            <w:vAlign w:val="center"/>
          </w:tcPr>
          <w:p w14:paraId="1255595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tcBorders>
              <w:bottom w:val="double" w:sz="4" w:space="0" w:color="auto"/>
            </w:tcBorders>
            <w:vAlign w:val="center"/>
          </w:tcPr>
          <w:p w14:paraId="6F507A46" w14:textId="388F9DF8"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18 (3.0)</w:t>
            </w:r>
          </w:p>
        </w:tc>
        <w:tc>
          <w:tcPr>
            <w:tcW w:w="498" w:type="pct"/>
            <w:tcBorders>
              <w:bottom w:val="double" w:sz="4" w:space="0" w:color="auto"/>
            </w:tcBorders>
            <w:vAlign w:val="center"/>
          </w:tcPr>
          <w:p w14:paraId="7D6FC750" w14:textId="4562B43A"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13 (2.1)</w:t>
            </w:r>
          </w:p>
        </w:tc>
      </w:tr>
      <w:tr w:rsidR="00D3093B" w:rsidRPr="005A7226" w14:paraId="7004F320" w14:textId="77777777" w:rsidTr="00325998">
        <w:tc>
          <w:tcPr>
            <w:tcW w:w="5000" w:type="pct"/>
            <w:gridSpan w:val="9"/>
            <w:tcBorders>
              <w:top w:val="double" w:sz="4" w:space="0" w:color="auto"/>
            </w:tcBorders>
            <w:vAlign w:val="center"/>
          </w:tcPr>
          <w:p w14:paraId="223F4348" w14:textId="77777777" w:rsidR="00D3093B" w:rsidRPr="005A7226" w:rsidRDefault="00D3093B" w:rsidP="00FD60CD">
            <w:pPr>
              <w:keepNext/>
              <w:keepLines/>
              <w:jc w:val="left"/>
              <w:rPr>
                <w:rFonts w:ascii="Arial Narrow" w:hAnsi="Arial Narrow"/>
                <w:sz w:val="20"/>
                <w:szCs w:val="20"/>
                <w:u w:val="single"/>
              </w:rPr>
            </w:pPr>
            <w:r w:rsidRPr="005A7226">
              <w:rPr>
                <w:rFonts w:ascii="Arial Narrow" w:hAnsi="Arial Narrow"/>
                <w:sz w:val="20"/>
                <w:szCs w:val="20"/>
                <w:u w:val="single"/>
              </w:rPr>
              <w:t>TEAEs of special interest</w:t>
            </w:r>
          </w:p>
        </w:tc>
      </w:tr>
      <w:tr w:rsidR="00D3093B" w:rsidRPr="005A7226" w14:paraId="5DA3AE94" w14:textId="77777777" w:rsidTr="00325998">
        <w:tc>
          <w:tcPr>
            <w:tcW w:w="1020" w:type="pct"/>
            <w:vAlign w:val="center"/>
          </w:tcPr>
          <w:p w14:paraId="08F007E4" w14:textId="52A982D7" w:rsidR="00D3093B" w:rsidRPr="005A7226" w:rsidRDefault="00762A9A" w:rsidP="00FD60CD">
            <w:pPr>
              <w:keepNext/>
              <w:keepLines/>
              <w:jc w:val="left"/>
              <w:rPr>
                <w:rFonts w:ascii="Arial Narrow" w:hAnsi="Arial Narrow"/>
                <w:sz w:val="20"/>
                <w:szCs w:val="20"/>
              </w:rPr>
            </w:pPr>
            <w:r w:rsidRPr="005A7226">
              <w:rPr>
                <w:rFonts w:ascii="Arial Narrow" w:hAnsi="Arial Narrow"/>
                <w:sz w:val="20"/>
                <w:szCs w:val="20"/>
              </w:rPr>
              <w:t>Abnormal l</w:t>
            </w:r>
            <w:r w:rsidR="00D3093B" w:rsidRPr="005A7226">
              <w:rPr>
                <w:rFonts w:ascii="Arial Narrow" w:hAnsi="Arial Narrow"/>
                <w:sz w:val="20"/>
                <w:szCs w:val="20"/>
              </w:rPr>
              <w:t>iver test</w:t>
            </w:r>
          </w:p>
        </w:tc>
        <w:tc>
          <w:tcPr>
            <w:tcW w:w="497" w:type="pct"/>
            <w:vAlign w:val="center"/>
          </w:tcPr>
          <w:p w14:paraId="7B6B73A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10 (4.4)</w:t>
            </w:r>
          </w:p>
        </w:tc>
        <w:tc>
          <w:tcPr>
            <w:tcW w:w="498" w:type="pct"/>
            <w:vAlign w:val="center"/>
          </w:tcPr>
          <w:p w14:paraId="6440552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7" w:type="pct"/>
            <w:vAlign w:val="center"/>
          </w:tcPr>
          <w:p w14:paraId="130FE60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7 (4.0)</w:t>
            </w:r>
          </w:p>
        </w:tc>
        <w:tc>
          <w:tcPr>
            <w:tcW w:w="498" w:type="pct"/>
            <w:vAlign w:val="center"/>
          </w:tcPr>
          <w:p w14:paraId="63F8761A"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 (2.9)</w:t>
            </w:r>
          </w:p>
        </w:tc>
        <w:tc>
          <w:tcPr>
            <w:tcW w:w="497" w:type="pct"/>
            <w:vAlign w:val="center"/>
          </w:tcPr>
          <w:p w14:paraId="4DD7C24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(1.8)</w:t>
            </w:r>
          </w:p>
        </w:tc>
        <w:tc>
          <w:tcPr>
            <w:tcW w:w="498" w:type="pct"/>
            <w:vAlign w:val="center"/>
          </w:tcPr>
          <w:p w14:paraId="6945CB4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3595462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32 (5.3)</w:t>
            </w:r>
          </w:p>
        </w:tc>
        <w:tc>
          <w:tcPr>
            <w:tcW w:w="498" w:type="pct"/>
            <w:vAlign w:val="center"/>
          </w:tcPr>
          <w:p w14:paraId="3AB21A3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30 (4.9)</w:t>
            </w:r>
          </w:p>
        </w:tc>
      </w:tr>
      <w:tr w:rsidR="00D3093B" w:rsidRPr="005A7226" w14:paraId="359B0ABC" w14:textId="77777777" w:rsidTr="00325998">
        <w:tc>
          <w:tcPr>
            <w:tcW w:w="1020" w:type="pct"/>
            <w:vAlign w:val="center"/>
          </w:tcPr>
          <w:p w14:paraId="6B6D495E" w14:textId="77777777" w:rsidR="00D3093B" w:rsidRPr="005A7226" w:rsidRDefault="00D3093B" w:rsidP="00FD60CD">
            <w:pPr>
              <w:keepNext/>
              <w:keepLines/>
              <w:ind w:left="104"/>
              <w:jc w:val="left"/>
              <w:rPr>
                <w:rFonts w:ascii="Arial Narrow" w:hAnsi="Arial Narrow"/>
                <w:sz w:val="20"/>
                <w:szCs w:val="20"/>
              </w:rPr>
            </w:pPr>
            <w:r w:rsidRPr="005A7226">
              <w:rPr>
                <w:rFonts w:ascii="Arial Narrow" w:hAnsi="Arial Narrow"/>
                <w:sz w:val="20"/>
                <w:szCs w:val="20"/>
              </w:rPr>
              <w:t>ALT increased</w:t>
            </w:r>
          </w:p>
        </w:tc>
        <w:tc>
          <w:tcPr>
            <w:tcW w:w="497" w:type="pct"/>
            <w:vAlign w:val="center"/>
          </w:tcPr>
          <w:p w14:paraId="5AA480A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(1.8)</w:t>
            </w:r>
          </w:p>
        </w:tc>
        <w:tc>
          <w:tcPr>
            <w:tcW w:w="498" w:type="pct"/>
            <w:vAlign w:val="center"/>
          </w:tcPr>
          <w:p w14:paraId="73E94B7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7" w:type="pct"/>
            <w:vAlign w:val="center"/>
          </w:tcPr>
          <w:p w14:paraId="5801975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(1.7)</w:t>
            </w:r>
          </w:p>
        </w:tc>
        <w:tc>
          <w:tcPr>
            <w:tcW w:w="498" w:type="pct"/>
            <w:vAlign w:val="center"/>
          </w:tcPr>
          <w:p w14:paraId="5017763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(2.2)</w:t>
            </w:r>
          </w:p>
        </w:tc>
        <w:tc>
          <w:tcPr>
            <w:tcW w:w="497" w:type="pct"/>
            <w:vAlign w:val="center"/>
          </w:tcPr>
          <w:p w14:paraId="2F1EE9C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(1.8)</w:t>
            </w:r>
          </w:p>
        </w:tc>
        <w:tc>
          <w:tcPr>
            <w:tcW w:w="498" w:type="pct"/>
            <w:vAlign w:val="center"/>
          </w:tcPr>
          <w:p w14:paraId="4FFA7FC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5805005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12 (2.0)</w:t>
            </w:r>
          </w:p>
        </w:tc>
        <w:tc>
          <w:tcPr>
            <w:tcW w:w="498" w:type="pct"/>
            <w:vAlign w:val="center"/>
          </w:tcPr>
          <w:p w14:paraId="52EBA80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5 (0.8)</w:t>
            </w:r>
          </w:p>
        </w:tc>
      </w:tr>
      <w:tr w:rsidR="00D3093B" w:rsidRPr="005A7226" w14:paraId="1AB3F362" w14:textId="77777777" w:rsidTr="00325998">
        <w:tc>
          <w:tcPr>
            <w:tcW w:w="1020" w:type="pct"/>
            <w:vAlign w:val="center"/>
          </w:tcPr>
          <w:p w14:paraId="17F7AC7C" w14:textId="77777777" w:rsidR="00D3093B" w:rsidRPr="005A7226" w:rsidRDefault="00D3093B" w:rsidP="00FD60CD">
            <w:pPr>
              <w:keepNext/>
              <w:keepLines/>
              <w:ind w:left="104"/>
              <w:jc w:val="left"/>
              <w:rPr>
                <w:rFonts w:ascii="Arial Narrow" w:hAnsi="Arial Narrow"/>
                <w:sz w:val="20"/>
                <w:szCs w:val="20"/>
              </w:rPr>
            </w:pPr>
            <w:r w:rsidRPr="005A7226">
              <w:rPr>
                <w:rFonts w:ascii="Arial Narrow" w:hAnsi="Arial Narrow"/>
                <w:sz w:val="20"/>
                <w:szCs w:val="20"/>
              </w:rPr>
              <w:t>γ-</w:t>
            </w:r>
            <w:proofErr w:type="spellStart"/>
            <w:r w:rsidRPr="005A7226">
              <w:rPr>
                <w:rFonts w:ascii="Arial Narrow" w:hAnsi="Arial Narrow"/>
                <w:sz w:val="20"/>
                <w:szCs w:val="20"/>
              </w:rPr>
              <w:t>glutamyltransferase</w:t>
            </w:r>
            <w:proofErr w:type="spellEnd"/>
            <w:r w:rsidRPr="005A7226">
              <w:rPr>
                <w:rFonts w:ascii="Arial Narrow" w:hAnsi="Arial Narrow"/>
                <w:sz w:val="20"/>
                <w:szCs w:val="20"/>
              </w:rPr>
              <w:t xml:space="preserve"> increased</w:t>
            </w:r>
          </w:p>
        </w:tc>
        <w:tc>
          <w:tcPr>
            <w:tcW w:w="497" w:type="pct"/>
            <w:vAlign w:val="center"/>
          </w:tcPr>
          <w:p w14:paraId="13A0D0E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(1.3)</w:t>
            </w:r>
          </w:p>
        </w:tc>
        <w:tc>
          <w:tcPr>
            <w:tcW w:w="498" w:type="pct"/>
            <w:vAlign w:val="center"/>
          </w:tcPr>
          <w:p w14:paraId="1B7A650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(1.8)</w:t>
            </w:r>
          </w:p>
        </w:tc>
        <w:tc>
          <w:tcPr>
            <w:tcW w:w="497" w:type="pct"/>
            <w:vAlign w:val="center"/>
          </w:tcPr>
          <w:p w14:paraId="4182080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347B73A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(2.2)</w:t>
            </w:r>
          </w:p>
        </w:tc>
        <w:tc>
          <w:tcPr>
            <w:tcW w:w="497" w:type="pct"/>
            <w:vAlign w:val="center"/>
          </w:tcPr>
          <w:p w14:paraId="7F1179FA"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5C816C9F"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6C30F2E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8 (1.3)</w:t>
            </w:r>
          </w:p>
        </w:tc>
        <w:tc>
          <w:tcPr>
            <w:tcW w:w="498" w:type="pct"/>
            <w:vAlign w:val="center"/>
          </w:tcPr>
          <w:p w14:paraId="2CE2FA9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8 (1.3)</w:t>
            </w:r>
          </w:p>
        </w:tc>
      </w:tr>
      <w:tr w:rsidR="00D3093B" w:rsidRPr="005A7226" w14:paraId="7E63896D" w14:textId="77777777" w:rsidTr="00325998">
        <w:tc>
          <w:tcPr>
            <w:tcW w:w="1020" w:type="pct"/>
            <w:vAlign w:val="center"/>
          </w:tcPr>
          <w:p w14:paraId="048CB47F"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Uterine bleeding</w:t>
            </w:r>
          </w:p>
        </w:tc>
        <w:tc>
          <w:tcPr>
            <w:tcW w:w="497" w:type="pct"/>
            <w:vAlign w:val="center"/>
          </w:tcPr>
          <w:p w14:paraId="24F520F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8" w:type="pct"/>
            <w:vAlign w:val="center"/>
          </w:tcPr>
          <w:p w14:paraId="6AFE596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10 (4.4)</w:t>
            </w:r>
          </w:p>
        </w:tc>
        <w:tc>
          <w:tcPr>
            <w:tcW w:w="497" w:type="pct"/>
            <w:vAlign w:val="center"/>
          </w:tcPr>
          <w:p w14:paraId="3AB7BA2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(1.2)</w:t>
            </w:r>
          </w:p>
        </w:tc>
        <w:tc>
          <w:tcPr>
            <w:tcW w:w="498" w:type="pct"/>
            <w:vAlign w:val="center"/>
          </w:tcPr>
          <w:p w14:paraId="356E256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(1.1)</w:t>
            </w:r>
          </w:p>
        </w:tc>
        <w:tc>
          <w:tcPr>
            <w:tcW w:w="497" w:type="pct"/>
            <w:vAlign w:val="center"/>
          </w:tcPr>
          <w:p w14:paraId="5D9D4D62"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76AEA38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7" w:type="pct"/>
            <w:vAlign w:val="center"/>
          </w:tcPr>
          <w:p w14:paraId="24C5819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19 (3.1)</w:t>
            </w:r>
          </w:p>
        </w:tc>
        <w:tc>
          <w:tcPr>
            <w:tcW w:w="498" w:type="pct"/>
            <w:vAlign w:val="center"/>
          </w:tcPr>
          <w:p w14:paraId="4808384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30 (4.9)</w:t>
            </w:r>
          </w:p>
        </w:tc>
      </w:tr>
      <w:tr w:rsidR="00D3093B" w:rsidRPr="005A7226" w14:paraId="7E3B4F08" w14:textId="77777777" w:rsidTr="00325998">
        <w:tc>
          <w:tcPr>
            <w:tcW w:w="1020" w:type="pct"/>
            <w:vAlign w:val="center"/>
          </w:tcPr>
          <w:p w14:paraId="4B9C1D0C" w14:textId="77777777" w:rsidR="00D3093B" w:rsidRPr="005A7226" w:rsidRDefault="00D3093B" w:rsidP="00FD60CD">
            <w:pPr>
              <w:keepNext/>
              <w:keepLines/>
              <w:ind w:left="104"/>
              <w:jc w:val="left"/>
              <w:rPr>
                <w:rFonts w:ascii="Arial Narrow" w:hAnsi="Arial Narrow"/>
                <w:sz w:val="20"/>
                <w:szCs w:val="20"/>
              </w:rPr>
            </w:pPr>
            <w:r w:rsidRPr="005A7226">
              <w:rPr>
                <w:rFonts w:ascii="Arial Narrow" w:hAnsi="Arial Narrow"/>
                <w:sz w:val="20"/>
                <w:szCs w:val="20"/>
              </w:rPr>
              <w:t>Vaginal haemorrhage</w:t>
            </w:r>
          </w:p>
        </w:tc>
        <w:tc>
          <w:tcPr>
            <w:tcW w:w="497" w:type="pct"/>
            <w:vAlign w:val="center"/>
          </w:tcPr>
          <w:p w14:paraId="3F13385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(1.8)</w:t>
            </w:r>
          </w:p>
        </w:tc>
        <w:tc>
          <w:tcPr>
            <w:tcW w:w="498" w:type="pct"/>
            <w:vAlign w:val="center"/>
          </w:tcPr>
          <w:p w14:paraId="5F65396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(2.7)</w:t>
            </w:r>
          </w:p>
        </w:tc>
        <w:tc>
          <w:tcPr>
            <w:tcW w:w="497" w:type="pct"/>
            <w:vAlign w:val="center"/>
          </w:tcPr>
          <w:p w14:paraId="4958B99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6BD4385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4781FF5A"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612DFDE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3C7186F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6A529C1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r>
      <w:tr w:rsidR="00D3093B" w:rsidRPr="005A7226" w14:paraId="49EF6943" w14:textId="77777777" w:rsidTr="00325998">
        <w:tc>
          <w:tcPr>
            <w:tcW w:w="1020" w:type="pct"/>
            <w:vAlign w:val="center"/>
          </w:tcPr>
          <w:p w14:paraId="4453F1F3"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Endometrial hyperplasia, cancer, or disordered proliferative endometrium</w:t>
            </w:r>
          </w:p>
        </w:tc>
        <w:tc>
          <w:tcPr>
            <w:tcW w:w="497" w:type="pct"/>
            <w:vAlign w:val="center"/>
          </w:tcPr>
          <w:p w14:paraId="6375BD7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8" w:type="pct"/>
            <w:vAlign w:val="center"/>
          </w:tcPr>
          <w:p w14:paraId="36F31F7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(0.9)</w:t>
            </w:r>
          </w:p>
        </w:tc>
        <w:tc>
          <w:tcPr>
            <w:tcW w:w="497" w:type="pct"/>
            <w:vAlign w:val="center"/>
          </w:tcPr>
          <w:p w14:paraId="280A841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3679AC1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74CAAF8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1EBC1C4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31962BB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6 (1.0)</w:t>
            </w:r>
          </w:p>
        </w:tc>
        <w:tc>
          <w:tcPr>
            <w:tcW w:w="498" w:type="pct"/>
            <w:vAlign w:val="center"/>
          </w:tcPr>
          <w:p w14:paraId="69179D0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(0.3)</w:t>
            </w:r>
          </w:p>
        </w:tc>
      </w:tr>
      <w:tr w:rsidR="00D3093B" w:rsidRPr="005A7226" w14:paraId="1F2E4D83" w14:textId="77777777" w:rsidTr="00325998">
        <w:tc>
          <w:tcPr>
            <w:tcW w:w="1020" w:type="pct"/>
            <w:vAlign w:val="center"/>
          </w:tcPr>
          <w:p w14:paraId="00A5FBC5"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Bone fractures</w:t>
            </w:r>
          </w:p>
        </w:tc>
        <w:tc>
          <w:tcPr>
            <w:tcW w:w="497" w:type="pct"/>
            <w:vAlign w:val="center"/>
          </w:tcPr>
          <w:p w14:paraId="7AB8728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110EAD91"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7B2550B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6197644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07EF27A7"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7CD0F10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7" w:type="pct"/>
            <w:vAlign w:val="center"/>
          </w:tcPr>
          <w:p w14:paraId="76BC998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10 (1.6)</w:t>
            </w:r>
          </w:p>
        </w:tc>
        <w:tc>
          <w:tcPr>
            <w:tcW w:w="498" w:type="pct"/>
            <w:vAlign w:val="center"/>
          </w:tcPr>
          <w:p w14:paraId="3C5B8C9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10 (1.6)</w:t>
            </w:r>
          </w:p>
        </w:tc>
      </w:tr>
      <w:tr w:rsidR="00D3093B" w:rsidRPr="005A7226" w14:paraId="4DEA1213" w14:textId="77777777" w:rsidTr="00325998">
        <w:tc>
          <w:tcPr>
            <w:tcW w:w="1020" w:type="pct"/>
            <w:vAlign w:val="center"/>
          </w:tcPr>
          <w:p w14:paraId="4E605256"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Thrombocytopenia</w:t>
            </w:r>
          </w:p>
        </w:tc>
        <w:tc>
          <w:tcPr>
            <w:tcW w:w="497" w:type="pct"/>
            <w:vAlign w:val="center"/>
          </w:tcPr>
          <w:p w14:paraId="60438C7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(0.4)</w:t>
            </w:r>
          </w:p>
        </w:tc>
        <w:tc>
          <w:tcPr>
            <w:tcW w:w="498" w:type="pct"/>
            <w:vAlign w:val="center"/>
          </w:tcPr>
          <w:p w14:paraId="1A70F8FE"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7B0CE57D"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38CCD59C"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7" w:type="pct"/>
            <w:vAlign w:val="center"/>
          </w:tcPr>
          <w:p w14:paraId="252B9C69"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8" w:type="pct"/>
            <w:vAlign w:val="center"/>
          </w:tcPr>
          <w:p w14:paraId="151C40B6"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0</w:t>
            </w:r>
          </w:p>
        </w:tc>
        <w:tc>
          <w:tcPr>
            <w:tcW w:w="497" w:type="pct"/>
            <w:vAlign w:val="center"/>
          </w:tcPr>
          <w:p w14:paraId="77EB546A"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(0.2)</w:t>
            </w:r>
          </w:p>
        </w:tc>
        <w:tc>
          <w:tcPr>
            <w:tcW w:w="498" w:type="pct"/>
            <w:vAlign w:val="center"/>
          </w:tcPr>
          <w:p w14:paraId="1A125F9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(0.2)</w:t>
            </w:r>
          </w:p>
        </w:tc>
      </w:tr>
      <w:tr w:rsidR="00D3093B" w:rsidRPr="005A7226" w14:paraId="73AAE0A9" w14:textId="77777777" w:rsidTr="00325998">
        <w:tc>
          <w:tcPr>
            <w:tcW w:w="1020" w:type="pct"/>
            <w:vAlign w:val="center"/>
          </w:tcPr>
          <w:p w14:paraId="27C44429" w14:textId="77777777" w:rsidR="00D3093B" w:rsidRPr="005A7226" w:rsidRDefault="00D3093B" w:rsidP="00FD60CD">
            <w:pPr>
              <w:keepNext/>
              <w:keepLines/>
              <w:jc w:val="left"/>
              <w:rPr>
                <w:rFonts w:ascii="Arial Narrow" w:hAnsi="Arial Narrow"/>
                <w:sz w:val="20"/>
                <w:szCs w:val="20"/>
              </w:rPr>
            </w:pPr>
            <w:r w:rsidRPr="005A7226">
              <w:rPr>
                <w:rFonts w:ascii="Arial Narrow" w:hAnsi="Arial Narrow"/>
                <w:sz w:val="20"/>
                <w:szCs w:val="20"/>
              </w:rPr>
              <w:t>Depression</w:t>
            </w:r>
          </w:p>
        </w:tc>
        <w:tc>
          <w:tcPr>
            <w:tcW w:w="497" w:type="pct"/>
            <w:vAlign w:val="center"/>
          </w:tcPr>
          <w:p w14:paraId="2F77A9E5"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8" w:type="pct"/>
            <w:vAlign w:val="center"/>
          </w:tcPr>
          <w:p w14:paraId="1CBD773B"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w:t>
            </w:r>
          </w:p>
        </w:tc>
        <w:tc>
          <w:tcPr>
            <w:tcW w:w="497" w:type="pct"/>
            <w:vAlign w:val="center"/>
          </w:tcPr>
          <w:p w14:paraId="2B93DF63"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3 (1.7)</w:t>
            </w:r>
          </w:p>
        </w:tc>
        <w:tc>
          <w:tcPr>
            <w:tcW w:w="498" w:type="pct"/>
            <w:vAlign w:val="center"/>
          </w:tcPr>
          <w:p w14:paraId="62EDA15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2 (1.1)</w:t>
            </w:r>
          </w:p>
        </w:tc>
        <w:tc>
          <w:tcPr>
            <w:tcW w:w="497" w:type="pct"/>
            <w:vAlign w:val="center"/>
          </w:tcPr>
          <w:p w14:paraId="515398A4"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 (0.6)</w:t>
            </w:r>
          </w:p>
        </w:tc>
        <w:tc>
          <w:tcPr>
            <w:tcW w:w="498" w:type="pct"/>
            <w:vAlign w:val="center"/>
          </w:tcPr>
          <w:p w14:paraId="0F13A61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4 (2.4)</w:t>
            </w:r>
          </w:p>
        </w:tc>
        <w:tc>
          <w:tcPr>
            <w:tcW w:w="497" w:type="pct"/>
            <w:vAlign w:val="center"/>
          </w:tcPr>
          <w:p w14:paraId="7FD7AA60"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11 (1.8)</w:t>
            </w:r>
          </w:p>
        </w:tc>
        <w:tc>
          <w:tcPr>
            <w:tcW w:w="498" w:type="pct"/>
            <w:vAlign w:val="center"/>
          </w:tcPr>
          <w:p w14:paraId="0FB025E8" w14:textId="77777777" w:rsidR="00D3093B" w:rsidRPr="005A7226" w:rsidRDefault="00D3093B" w:rsidP="00FD60CD">
            <w:pPr>
              <w:keepNext/>
              <w:keepLines/>
              <w:jc w:val="center"/>
              <w:rPr>
                <w:rFonts w:ascii="Arial Narrow" w:hAnsi="Arial Narrow"/>
                <w:sz w:val="20"/>
                <w:szCs w:val="20"/>
              </w:rPr>
            </w:pPr>
            <w:r w:rsidRPr="005A7226">
              <w:rPr>
                <w:rFonts w:ascii="Arial Narrow" w:hAnsi="Arial Narrow"/>
                <w:sz w:val="20"/>
                <w:szCs w:val="20"/>
              </w:rPr>
              <w:t>13 (2.1)</w:t>
            </w:r>
          </w:p>
        </w:tc>
      </w:tr>
    </w:tbl>
    <w:p w14:paraId="7D79BA1D" w14:textId="77777777" w:rsidR="00D3093B" w:rsidRPr="005A7226" w:rsidRDefault="00D3093B" w:rsidP="00FD60CD">
      <w:pPr>
        <w:keepNext/>
        <w:keepLines/>
        <w:rPr>
          <w:rFonts w:ascii="Arial Narrow" w:hAnsi="Arial Narrow"/>
          <w:sz w:val="18"/>
          <w:szCs w:val="18"/>
        </w:rPr>
      </w:pPr>
      <w:r w:rsidRPr="005A7226">
        <w:rPr>
          <w:rFonts w:ascii="Arial Narrow" w:hAnsi="Arial Narrow"/>
          <w:sz w:val="18"/>
          <w:szCs w:val="18"/>
        </w:rPr>
        <w:t>Source: Tables 2.5-23 and 2.5-24, pp112-113, Tables 2.5-27 and 2.5-28, pp114-115, Tables 2.5-29 and 2.5-30, p116, Tables 2.5-32 and 2.5-33, pp117-118 of the submission.</w:t>
      </w:r>
    </w:p>
    <w:p w14:paraId="41E5DB27" w14:textId="77777777" w:rsidR="00D3093B" w:rsidRPr="005A7226" w:rsidRDefault="00D3093B" w:rsidP="00FD60CD">
      <w:pPr>
        <w:keepNext/>
        <w:keepLines/>
        <w:rPr>
          <w:rFonts w:ascii="Arial Narrow" w:hAnsi="Arial Narrow"/>
          <w:sz w:val="18"/>
          <w:szCs w:val="18"/>
        </w:rPr>
      </w:pPr>
      <w:r w:rsidRPr="005A7226">
        <w:rPr>
          <w:rFonts w:ascii="Arial Narrow" w:hAnsi="Arial Narrow"/>
          <w:sz w:val="18"/>
          <w:szCs w:val="18"/>
        </w:rPr>
        <w:t>AE=adverse event; ALT=alanine aminotransferase; FEZ=fezolinetant; PBO=placebo; TEAE=treatment emergent AE;</w:t>
      </w:r>
    </w:p>
    <w:p w14:paraId="2A15414F" w14:textId="77777777" w:rsidR="00D3093B" w:rsidRPr="005A7226" w:rsidRDefault="00D3093B" w:rsidP="00FD60CD">
      <w:pPr>
        <w:keepNext/>
        <w:keepLines/>
        <w:rPr>
          <w:rFonts w:ascii="Arial Narrow" w:hAnsi="Arial Narrow"/>
          <w:sz w:val="18"/>
          <w:szCs w:val="18"/>
        </w:rPr>
      </w:pPr>
      <w:proofErr w:type="spellStart"/>
      <w:r w:rsidRPr="005A7226">
        <w:rPr>
          <w:rFonts w:ascii="Arial Narrow" w:hAnsi="Arial Narrow"/>
          <w:sz w:val="18"/>
          <w:szCs w:val="18"/>
        </w:rPr>
        <w:t>a</w:t>
      </w:r>
      <w:proofErr w:type="spellEnd"/>
      <w:r w:rsidRPr="005A7226">
        <w:rPr>
          <w:rFonts w:ascii="Arial Narrow" w:hAnsi="Arial Narrow"/>
          <w:sz w:val="18"/>
          <w:szCs w:val="18"/>
        </w:rPr>
        <w:tab/>
        <w:t>Any TEAE with causal relationship assessed by the investigator. If relationship was missing, then it was considered drug-related.</w:t>
      </w:r>
    </w:p>
    <w:p w14:paraId="0C773AE2" w14:textId="77777777" w:rsidR="00D3093B" w:rsidRPr="005A7226" w:rsidRDefault="00D3093B" w:rsidP="00FD60CD">
      <w:pPr>
        <w:keepNext/>
        <w:keepLines/>
        <w:rPr>
          <w:rFonts w:ascii="Arial Narrow" w:hAnsi="Arial Narrow"/>
          <w:sz w:val="18"/>
          <w:szCs w:val="18"/>
        </w:rPr>
      </w:pPr>
      <w:r w:rsidRPr="005A7226">
        <w:rPr>
          <w:rFonts w:ascii="Arial Narrow" w:hAnsi="Arial Narrow"/>
          <w:sz w:val="18"/>
          <w:szCs w:val="18"/>
        </w:rPr>
        <w:t>b</w:t>
      </w:r>
      <w:r w:rsidRPr="005A7226">
        <w:rPr>
          <w:rFonts w:ascii="Arial Narrow" w:hAnsi="Arial Narrow"/>
          <w:sz w:val="18"/>
          <w:szCs w:val="18"/>
        </w:rPr>
        <w:tab/>
        <w:t>All reported deaths after the first study intervention administration.</w:t>
      </w:r>
    </w:p>
    <w:p w14:paraId="551AB901" w14:textId="33D9D15A" w:rsidR="00D3093B" w:rsidRPr="005A7226" w:rsidRDefault="00D3093B" w:rsidP="00FD60CD">
      <w:pPr>
        <w:keepNext/>
        <w:keepLines/>
        <w:ind w:left="170" w:hanging="170"/>
        <w:rPr>
          <w:rFonts w:ascii="Arial Narrow" w:hAnsi="Arial Narrow"/>
          <w:sz w:val="18"/>
          <w:szCs w:val="18"/>
        </w:rPr>
      </w:pPr>
      <w:r w:rsidRPr="005A7226">
        <w:rPr>
          <w:rFonts w:ascii="Arial Narrow" w:hAnsi="Arial Narrow"/>
          <w:sz w:val="18"/>
          <w:szCs w:val="18"/>
        </w:rPr>
        <w:t>c</w:t>
      </w:r>
      <w:r w:rsidRPr="005A7226">
        <w:rPr>
          <w:rFonts w:ascii="Arial Narrow" w:hAnsi="Arial Narrow"/>
          <w:sz w:val="18"/>
          <w:szCs w:val="18"/>
        </w:rPr>
        <w:tab/>
        <w:t xml:space="preserve">In DAYLIGHT, enrolled patients were MHT unsuitable defined </w:t>
      </w:r>
      <w:r w:rsidR="003653B0" w:rsidRPr="005A7226">
        <w:rPr>
          <w:rFonts w:ascii="Arial Narrow" w:hAnsi="Arial Narrow"/>
          <w:sz w:val="18"/>
          <w:szCs w:val="18"/>
        </w:rPr>
        <w:t>as</w:t>
      </w:r>
      <w:r w:rsidRPr="005A7226">
        <w:rPr>
          <w:rFonts w:ascii="Arial Narrow" w:hAnsi="Arial Narrow"/>
          <w:sz w:val="18"/>
          <w:szCs w:val="18"/>
        </w:rPr>
        <w:t xml:space="preserve"> contraindicated; caution (based on medical history); stoppers (previous discontinuation due to lack of efficacy, side effects or medical advice); or averse (choice not to use MHT after discussion with clinician).</w:t>
      </w:r>
    </w:p>
    <w:p w14:paraId="7D385172" w14:textId="77777777" w:rsidR="00D3093B" w:rsidRPr="005A7226" w:rsidRDefault="00D3093B" w:rsidP="00FD60CD">
      <w:pPr>
        <w:keepNext/>
        <w:keepLines/>
        <w:ind w:left="170" w:hanging="170"/>
        <w:rPr>
          <w:rFonts w:ascii="Arial Narrow" w:hAnsi="Arial Narrow"/>
          <w:sz w:val="18"/>
          <w:szCs w:val="18"/>
        </w:rPr>
      </w:pPr>
      <w:r w:rsidRPr="005A7226">
        <w:rPr>
          <w:rFonts w:ascii="Arial Narrow" w:hAnsi="Arial Narrow"/>
          <w:sz w:val="18"/>
          <w:szCs w:val="18"/>
        </w:rPr>
        <w:t>d</w:t>
      </w:r>
      <w:r w:rsidRPr="005A7226">
        <w:rPr>
          <w:rFonts w:ascii="Arial Narrow" w:hAnsi="Arial Narrow"/>
          <w:sz w:val="18"/>
          <w:szCs w:val="18"/>
        </w:rPr>
        <w:tab/>
        <w:t>In SKYLIGHT 1 and SKYLIGHT 2 patients were not enrolled based on criteria for suitability/unsuitability to receive MHT. Eligible patients had moderate to severe VMS associated with menopause seeking treatment for VMS.</w:t>
      </w:r>
    </w:p>
    <w:p w14:paraId="74998CCE" w14:textId="77777777" w:rsidR="00D3093B" w:rsidRPr="005A7226" w:rsidRDefault="00D3093B" w:rsidP="00D3093B">
      <w:pPr>
        <w:ind w:left="170" w:hanging="170"/>
        <w:rPr>
          <w:rFonts w:ascii="Arial Narrow" w:hAnsi="Arial Narrow"/>
          <w:sz w:val="18"/>
          <w:szCs w:val="18"/>
        </w:rPr>
      </w:pPr>
      <w:r w:rsidRPr="005A7226">
        <w:rPr>
          <w:rFonts w:ascii="Arial Narrow" w:hAnsi="Arial Narrow"/>
          <w:sz w:val="18"/>
          <w:szCs w:val="18"/>
        </w:rPr>
        <w:t>e</w:t>
      </w:r>
      <w:r w:rsidRPr="005A7226">
        <w:rPr>
          <w:rFonts w:ascii="Arial Narrow" w:hAnsi="Arial Narrow"/>
          <w:sz w:val="18"/>
          <w:szCs w:val="18"/>
        </w:rPr>
        <w:tab/>
        <w:t>In DAYLIGHT 4, patients were enrolled with VMS associated with menopause.</w:t>
      </w:r>
    </w:p>
    <w:p w14:paraId="730A2601" w14:textId="0E62374F" w:rsidR="00D3093B" w:rsidRPr="00B53879" w:rsidRDefault="275CEF96" w:rsidP="00B53879">
      <w:pPr>
        <w:widowControl w:val="0"/>
        <w:numPr>
          <w:ilvl w:val="1"/>
          <w:numId w:val="1"/>
        </w:numPr>
        <w:spacing w:after="120"/>
        <w:ind w:left="720"/>
      </w:pPr>
      <w:bookmarkStart w:id="43" w:name="_Ref190851526"/>
      <w:r w:rsidRPr="005A7226">
        <w:t xml:space="preserve">The incidence of any AEs, drug-related AEs, serious AEs and AEs leading to discontinuation were similar between fezolinetant and placebo treatment arms in SKYLIGHT 1 and SKYLIGHT 2 overall population with moderate to severe VMS to Week 12, DAYLIGHT MHT unsuitable population with moderate to severe VMS to Week 24 and SKYLIGHT 4 patients with VMS to Week 52. The most common AEs reported included </w:t>
      </w:r>
      <w:r w:rsidR="009E4215" w:rsidRPr="005A7226">
        <w:t>Covid-19</w:t>
      </w:r>
      <w:r w:rsidRPr="005A7226">
        <w:t>, headaches and fatigue. AEs of special interest include</w:t>
      </w:r>
      <w:r w:rsidR="00362954" w:rsidRPr="005A7226">
        <w:t>d</w:t>
      </w:r>
      <w:r w:rsidRPr="005A7226">
        <w:t xml:space="preserve"> increases in abnormal liver function test</w:t>
      </w:r>
      <w:r w:rsidR="3007F9A3" w:rsidRPr="005A7226">
        <w:t>s</w:t>
      </w:r>
      <w:r w:rsidRPr="005A7226">
        <w:t>, uterine bleeding, endometrial hyperplasia, cancer, disordered proliferative endometrium, bone fractures, thrombocytopenia and depression. There was generally no difference between groups in the incidence of common AEs and AEs of special interest. In SKYLIGHT 1 and SKYLIGHT 2</w:t>
      </w:r>
      <w:r w:rsidR="3007F9A3" w:rsidRPr="005A7226">
        <w:t>,</w:t>
      </w:r>
      <w:r w:rsidRPr="005A7226">
        <w:t xml:space="preserve"> the incidence</w:t>
      </w:r>
      <w:r w:rsidR="3007F9A3" w:rsidRPr="005A7226">
        <w:t>s</w:t>
      </w:r>
      <w:r w:rsidRPr="005A7226">
        <w:t xml:space="preserve"> of AEs during the active extension period to Week 52 were consistent with the double-blind period. Across the trials, there were no treatment related deaths.</w:t>
      </w:r>
      <w:r w:rsidR="000D28B8" w:rsidRPr="005A7226">
        <w:t xml:space="preserve"> </w:t>
      </w:r>
      <w:bookmarkEnd w:id="43"/>
    </w:p>
    <w:p w14:paraId="19DC08F7" w14:textId="2F10D0BE" w:rsidR="00054720" w:rsidRPr="005A7226" w:rsidRDefault="00D3093B" w:rsidP="00B53879">
      <w:pPr>
        <w:widowControl w:val="0"/>
        <w:numPr>
          <w:ilvl w:val="1"/>
          <w:numId w:val="1"/>
        </w:numPr>
        <w:spacing w:after="120"/>
        <w:ind w:left="720"/>
      </w:pPr>
      <w:r w:rsidRPr="005A7226">
        <w:t>In SKYLIGHT 4, assessment of bone health showed no difference between groups in the change from baseline in BMD and a low incidence of bone fractures was reported to Week 52.</w:t>
      </w:r>
    </w:p>
    <w:p w14:paraId="3324E004" w14:textId="2A1AA31C" w:rsidR="00D963FC" w:rsidRPr="005A7226" w:rsidRDefault="00ED320E" w:rsidP="00B53879">
      <w:pPr>
        <w:widowControl w:val="0"/>
        <w:numPr>
          <w:ilvl w:val="1"/>
          <w:numId w:val="1"/>
        </w:numPr>
        <w:spacing w:after="120"/>
        <w:ind w:left="720"/>
      </w:pPr>
      <w:bookmarkStart w:id="44" w:name="_Ref191461491"/>
      <w:r w:rsidRPr="005A7226">
        <w:t xml:space="preserve">The </w:t>
      </w:r>
      <w:r w:rsidR="00D963FC" w:rsidRPr="005A7226">
        <w:t>Periodic Safety Update Report (July 2024) noted that fezolinetant was associated with symptomatic hepatotoxicity i.e.</w:t>
      </w:r>
      <w:r w:rsidR="008D28BB" w:rsidRPr="005A7226">
        <w:t>,</w:t>
      </w:r>
      <w:r w:rsidR="00D963FC" w:rsidRPr="005A7226">
        <w:t xml:space="preserve"> alanine aminotransferase (AST) increased was considered as an adverse drug reaction (ADR).</w:t>
      </w:r>
      <w:r w:rsidR="00E93A31" w:rsidRPr="005A7226">
        <w:t xml:space="preserve"> </w:t>
      </w:r>
      <w:r w:rsidR="00A43B02" w:rsidRPr="005A7226">
        <w:t xml:space="preserve">The PSCR noted that the sponsor will be updating the approved PI with a recommendation for follow-up monitoring of liver function, </w:t>
      </w:r>
      <w:proofErr w:type="spellStart"/>
      <w:r w:rsidR="00A43B02" w:rsidRPr="005A7226">
        <w:t>ie</w:t>
      </w:r>
      <w:proofErr w:type="spellEnd"/>
      <w:r w:rsidR="00A43B02" w:rsidRPr="005A7226">
        <w:t xml:space="preserve"> “Follow-up evaluation of hepatic function is recommended monthly for the first three months of initiating VEOZA and thereafter periodically based on clinical judgement.” The ESC considered that regular LFT monitoring should be undertaken for patients taking fezolinetant. The ESC considered the risk of symptomatic hepatotoxicity for patients on fezolinetant was of concern, particularly as safety data are limited to 52 weeks and treatment is likely to be ongoing for many patients.</w:t>
      </w:r>
      <w:bookmarkEnd w:id="44"/>
      <w:r w:rsidR="00A43B02" w:rsidRPr="005A7226">
        <w:t xml:space="preserve"> </w:t>
      </w:r>
    </w:p>
    <w:p w14:paraId="04908C7F" w14:textId="1373BE30" w:rsidR="007F1017" w:rsidRPr="005A7226" w:rsidRDefault="007F1017" w:rsidP="00D86231">
      <w:pPr>
        <w:pStyle w:val="4-SubsectionHeading"/>
        <w:rPr>
          <w:i w:val="0"/>
        </w:rPr>
      </w:pPr>
      <w:bookmarkStart w:id="45" w:name="_Toc22897643"/>
      <w:bookmarkStart w:id="46" w:name="_Toc188442565"/>
      <w:r w:rsidRPr="005A7226">
        <w:rPr>
          <w:i w:val="0"/>
        </w:rPr>
        <w:t>Benefits/harms</w:t>
      </w:r>
      <w:bookmarkEnd w:id="45"/>
      <w:bookmarkEnd w:id="46"/>
    </w:p>
    <w:p w14:paraId="1B5B3656" w14:textId="6EB61FDE" w:rsidR="00D3093B" w:rsidRPr="005A7226" w:rsidRDefault="275CEF96" w:rsidP="00B53879">
      <w:pPr>
        <w:widowControl w:val="0"/>
        <w:numPr>
          <w:ilvl w:val="1"/>
          <w:numId w:val="1"/>
        </w:numPr>
        <w:spacing w:after="120"/>
        <w:ind w:left="720"/>
      </w:pPr>
      <w:r w:rsidRPr="005A7226">
        <w:t xml:space="preserve">A summary of the comparative benefits and harms </w:t>
      </w:r>
      <w:r w:rsidR="3007F9A3" w:rsidRPr="005A7226">
        <w:t xml:space="preserve">of </w:t>
      </w:r>
      <w:r w:rsidRPr="005A7226">
        <w:t xml:space="preserve">fezolinetant versus placebo is presented in </w:t>
      </w:r>
      <w:r w:rsidR="00D3093B" w:rsidRPr="005A7226">
        <w:fldChar w:fldCharType="begin"/>
      </w:r>
      <w:r w:rsidR="00D3093B" w:rsidRPr="005A7226">
        <w:instrText xml:space="preserve"> REF _Ref184903194 \h </w:instrText>
      </w:r>
      <w:r w:rsidR="00695014" w:rsidRPr="005A7226">
        <w:instrText xml:space="preserve"> \* MERGEFORMAT </w:instrText>
      </w:r>
      <w:r w:rsidR="00D3093B" w:rsidRPr="005A7226">
        <w:fldChar w:fldCharType="separate"/>
      </w:r>
      <w:r w:rsidR="00B11DA2" w:rsidRPr="005A7226">
        <w:t xml:space="preserve">Table </w:t>
      </w:r>
      <w:r w:rsidR="00B11DA2">
        <w:t>8</w:t>
      </w:r>
      <w:r w:rsidR="00D3093B" w:rsidRPr="005A7226">
        <w:fldChar w:fldCharType="end"/>
      </w:r>
      <w:r w:rsidRPr="005A7226">
        <w:t xml:space="preserve"> below.</w:t>
      </w:r>
    </w:p>
    <w:p w14:paraId="0C37C5D0" w14:textId="53AF36FD" w:rsidR="004B6919" w:rsidRPr="005A7226" w:rsidRDefault="53F95D70" w:rsidP="00563EC5">
      <w:pPr>
        <w:pStyle w:val="Caption"/>
      </w:pPr>
      <w:bookmarkStart w:id="47" w:name="_Ref184903194"/>
      <w:r w:rsidRPr="005A7226">
        <w:t xml:space="preserve">Table </w:t>
      </w:r>
      <w:r w:rsidRPr="005A7226">
        <w:fldChar w:fldCharType="begin"/>
      </w:r>
      <w:r w:rsidRPr="005A7226">
        <w:instrText>SEQ Table \* ARABIC</w:instrText>
      </w:r>
      <w:r w:rsidRPr="005A7226">
        <w:fldChar w:fldCharType="separate"/>
      </w:r>
      <w:r w:rsidR="00B11DA2">
        <w:rPr>
          <w:noProof/>
        </w:rPr>
        <w:t>8</w:t>
      </w:r>
      <w:r w:rsidRPr="005A7226">
        <w:fldChar w:fldCharType="end"/>
      </w:r>
      <w:bookmarkEnd w:id="47"/>
      <w:r w:rsidR="486BE3C3" w:rsidRPr="005A7226">
        <w:t>:</w:t>
      </w:r>
      <w:r w:rsidRPr="005A7226">
        <w:t xml:space="preserve"> Summary of comparative benefits and harms </w:t>
      </w:r>
      <w:r w:rsidR="3007F9A3" w:rsidRPr="005A7226">
        <w:t>of</w:t>
      </w:r>
      <w:r w:rsidRPr="005A7226">
        <w:t xml:space="preserve"> fezolinetant and placebo (MHT unsuitable)</w:t>
      </w:r>
    </w:p>
    <w:tbl>
      <w:tblPr>
        <w:tblW w:w="5028" w:type="pct"/>
        <w:tblLayout w:type="fixed"/>
        <w:tblCellMar>
          <w:left w:w="28" w:type="dxa"/>
          <w:right w:w="28" w:type="dxa"/>
        </w:tblCellMar>
        <w:tblLook w:val="04A0" w:firstRow="1" w:lastRow="0" w:firstColumn="1" w:lastColumn="0" w:noHBand="0" w:noVBand="1"/>
        <w:tblCaption w:val="Table 8: Summary of comparative benefits and harms of fezolinetant and placebo (MHT unsuitable)"/>
      </w:tblPr>
      <w:tblGrid>
        <w:gridCol w:w="2689"/>
        <w:gridCol w:w="1133"/>
        <w:gridCol w:w="426"/>
        <w:gridCol w:w="424"/>
        <w:gridCol w:w="426"/>
        <w:gridCol w:w="568"/>
        <w:gridCol w:w="430"/>
        <w:gridCol w:w="707"/>
        <w:gridCol w:w="136"/>
        <w:gridCol w:w="568"/>
        <w:gridCol w:w="149"/>
        <w:gridCol w:w="1411"/>
      </w:tblGrid>
      <w:tr w:rsidR="004B6919" w:rsidRPr="005A7226" w14:paraId="3EA60689" w14:textId="77777777" w:rsidTr="00325998">
        <w:trPr>
          <w:cantSplit/>
        </w:trPr>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14:paraId="52AC7F8C" w14:textId="77777777" w:rsidR="004B6919" w:rsidRPr="005A7226" w:rsidRDefault="004B6919" w:rsidP="00325998">
            <w:pPr>
              <w:pStyle w:val="In-tableHeading"/>
              <w:rPr>
                <w:lang w:val="en-AU"/>
              </w:rPr>
            </w:pPr>
            <w:r w:rsidRPr="005A7226">
              <w:rPr>
                <w:lang w:val="en-AU"/>
              </w:rPr>
              <w:t>Benefits</w:t>
            </w:r>
          </w:p>
        </w:tc>
      </w:tr>
      <w:tr w:rsidR="004B6919" w:rsidRPr="005A7226" w14:paraId="260615C5" w14:textId="77777777" w:rsidTr="00325998">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02558619" w14:textId="05C8D3E0" w:rsidR="004B6919" w:rsidRPr="005A7226" w:rsidRDefault="004B6919" w:rsidP="00325998">
            <w:pPr>
              <w:pStyle w:val="In-tableHeading"/>
              <w:rPr>
                <w:lang w:val="en-AU"/>
              </w:rPr>
            </w:pPr>
            <w:r w:rsidRPr="005A7226">
              <w:rPr>
                <w:lang w:val="en-AU"/>
              </w:rPr>
              <w:t xml:space="preserve">LS mean change from baseline in </w:t>
            </w:r>
            <w:r w:rsidR="00B93A6C" w:rsidRPr="005A7226">
              <w:rPr>
                <w:lang w:val="en-AU"/>
              </w:rPr>
              <w:t>VMS frequency and severity</w:t>
            </w:r>
          </w:p>
        </w:tc>
      </w:tr>
      <w:tr w:rsidR="007A0B83" w:rsidRPr="005A7226" w14:paraId="3C21A91D" w14:textId="77777777" w:rsidTr="000A7553">
        <w:trPr>
          <w:cantSplit/>
          <w:trHeight w:val="225"/>
        </w:trPr>
        <w:tc>
          <w:tcPr>
            <w:tcW w:w="21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7DF23F" w14:textId="79DABF00" w:rsidR="004B6919" w:rsidRPr="005A7226" w:rsidRDefault="004B6919" w:rsidP="00325998">
            <w:pPr>
              <w:pStyle w:val="TableText0"/>
            </w:pP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44C336E6" w14:textId="5B83C022" w:rsidR="004B6919" w:rsidRPr="005A7226" w:rsidRDefault="00B93A6C" w:rsidP="00325998">
            <w:pPr>
              <w:pStyle w:val="In-tableHeading"/>
              <w:jc w:val="center"/>
              <w:rPr>
                <w:lang w:val="en-AU"/>
              </w:rPr>
            </w:pPr>
            <w:r w:rsidRPr="005A7226">
              <w:rPr>
                <w:lang w:val="en-AU"/>
              </w:rPr>
              <w:t>F</w:t>
            </w:r>
            <w:r w:rsidR="007A0B83" w:rsidRPr="005A7226">
              <w:rPr>
                <w:lang w:val="en-AU"/>
              </w:rPr>
              <w:t>EZ</w:t>
            </w:r>
            <w:r w:rsidRPr="005A7226">
              <w:rPr>
                <w:lang w:val="en-AU"/>
              </w:rPr>
              <w:t xml:space="preserve"> 45</w:t>
            </w:r>
            <w:r w:rsidR="00C7206C" w:rsidRPr="005A7226">
              <w:rPr>
                <w:lang w:val="en-AU"/>
              </w:rPr>
              <w:t xml:space="preserve"> mg</w:t>
            </w:r>
          </w:p>
        </w:tc>
        <w:tc>
          <w:tcPr>
            <w:tcW w:w="1015" w:type="pct"/>
            <w:gridSpan w:val="4"/>
            <w:tcBorders>
              <w:top w:val="single" w:sz="4" w:space="0" w:color="auto"/>
              <w:left w:val="single" w:sz="4" w:space="0" w:color="auto"/>
              <w:bottom w:val="single" w:sz="4" w:space="0" w:color="auto"/>
              <w:right w:val="single" w:sz="4" w:space="0" w:color="auto"/>
            </w:tcBorders>
            <w:vAlign w:val="center"/>
          </w:tcPr>
          <w:p w14:paraId="101DF17F" w14:textId="4A57AE36" w:rsidR="004B6919" w:rsidRPr="005A7226" w:rsidRDefault="00B93A6C" w:rsidP="00325998">
            <w:pPr>
              <w:pStyle w:val="In-tableHeading"/>
              <w:jc w:val="center"/>
              <w:rPr>
                <w:lang w:val="en-AU"/>
              </w:rPr>
            </w:pPr>
            <w:r w:rsidRPr="005A7226">
              <w:rPr>
                <w:lang w:val="en-AU"/>
              </w:rPr>
              <w:t>P</w:t>
            </w:r>
            <w:r w:rsidR="007A0B83" w:rsidRPr="005A7226">
              <w:rPr>
                <w:lang w:val="en-AU"/>
              </w:rPr>
              <w:t>BO</w:t>
            </w:r>
          </w:p>
        </w:tc>
        <w:tc>
          <w:tcPr>
            <w:tcW w:w="860" w:type="pct"/>
            <w:gridSpan w:val="2"/>
            <w:vMerge w:val="restart"/>
            <w:tcBorders>
              <w:top w:val="single" w:sz="4" w:space="0" w:color="auto"/>
              <w:left w:val="single" w:sz="4" w:space="0" w:color="auto"/>
              <w:bottom w:val="single" w:sz="4" w:space="0" w:color="auto"/>
              <w:right w:val="single" w:sz="4" w:space="0" w:color="auto"/>
            </w:tcBorders>
            <w:vAlign w:val="center"/>
          </w:tcPr>
          <w:p w14:paraId="67C643BD" w14:textId="77777777" w:rsidR="004B6919" w:rsidRPr="005A7226" w:rsidRDefault="004B6919" w:rsidP="00325998">
            <w:pPr>
              <w:pStyle w:val="In-tableHeading"/>
              <w:jc w:val="center"/>
              <w:rPr>
                <w:lang w:val="en-AU"/>
              </w:rPr>
            </w:pPr>
            <w:r w:rsidRPr="005A7226">
              <w:rPr>
                <w:lang w:val="en-AU"/>
              </w:rPr>
              <w:t>Mean difference</w:t>
            </w:r>
            <w:r w:rsidRPr="005A7226">
              <w:rPr>
                <w:szCs w:val="18"/>
                <w:lang w:val="en-AU"/>
              </w:rPr>
              <w:t xml:space="preserve"> </w:t>
            </w:r>
            <w:r w:rsidRPr="005A7226">
              <w:rPr>
                <w:szCs w:val="18"/>
                <w:lang w:val="en-AU"/>
              </w:rPr>
              <w:br/>
              <w:t>(95% CI)</w:t>
            </w:r>
          </w:p>
        </w:tc>
      </w:tr>
      <w:tr w:rsidR="007A0B83" w:rsidRPr="005A7226" w14:paraId="032A20DC" w14:textId="77777777" w:rsidTr="00762A9A">
        <w:trPr>
          <w:cantSplit/>
          <w:trHeight w:val="225"/>
        </w:trPr>
        <w:tc>
          <w:tcPr>
            <w:tcW w:w="210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261963F" w14:textId="77777777" w:rsidR="004B6919" w:rsidRPr="005A7226" w:rsidRDefault="004B6919" w:rsidP="00325998">
            <w:pPr>
              <w:keepNext/>
              <w:keepLines/>
              <w:rPr>
                <w:rFonts w:ascii="Arial Narrow" w:hAnsi="Arial Narrow"/>
                <w:color w:val="000000"/>
                <w:sz w:val="20"/>
                <w:szCs w:val="18"/>
              </w:rPr>
            </w:pPr>
          </w:p>
        </w:tc>
        <w:tc>
          <w:tcPr>
            <w:tcW w:w="235" w:type="pct"/>
            <w:tcBorders>
              <w:top w:val="single" w:sz="4" w:space="0" w:color="auto"/>
              <w:left w:val="single" w:sz="4" w:space="0" w:color="auto"/>
              <w:bottom w:val="single" w:sz="4" w:space="0" w:color="auto"/>
              <w:right w:val="single" w:sz="4" w:space="0" w:color="auto"/>
            </w:tcBorders>
            <w:vAlign w:val="center"/>
          </w:tcPr>
          <w:p w14:paraId="24CDF17D" w14:textId="77777777" w:rsidR="004B6919" w:rsidRPr="005A7226" w:rsidRDefault="004B6919" w:rsidP="00325998">
            <w:pPr>
              <w:pStyle w:val="In-tableHeading"/>
              <w:jc w:val="center"/>
              <w:rPr>
                <w:lang w:val="en-AU"/>
              </w:rPr>
            </w:pPr>
            <w:r w:rsidRPr="005A7226">
              <w:rPr>
                <w:lang w:val="en-AU"/>
              </w:rPr>
              <w:t>N</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0BB612F8" w14:textId="77777777" w:rsidR="004B6919" w:rsidRPr="005A7226" w:rsidRDefault="004B6919" w:rsidP="00325998">
            <w:pPr>
              <w:pStyle w:val="In-tableHeading"/>
              <w:jc w:val="center"/>
              <w:rPr>
                <w:lang w:val="en-AU"/>
              </w:rPr>
            </w:pPr>
            <w:r w:rsidRPr="005A7226">
              <w:rPr>
                <w:lang w:val="en-AU"/>
              </w:rPr>
              <w:t>Mean ∆ baseline</w:t>
            </w:r>
          </w:p>
        </w:tc>
        <w:tc>
          <w:tcPr>
            <w:tcW w:w="313" w:type="pct"/>
            <w:tcBorders>
              <w:top w:val="single" w:sz="4" w:space="0" w:color="auto"/>
              <w:left w:val="single" w:sz="4" w:space="0" w:color="auto"/>
              <w:bottom w:val="single" w:sz="4" w:space="0" w:color="auto"/>
              <w:right w:val="single" w:sz="4" w:space="0" w:color="auto"/>
            </w:tcBorders>
            <w:vAlign w:val="center"/>
          </w:tcPr>
          <w:p w14:paraId="63025D4D" w14:textId="77777777" w:rsidR="004B6919" w:rsidRPr="005A7226" w:rsidRDefault="004B6919" w:rsidP="00325998">
            <w:pPr>
              <w:pStyle w:val="In-tableHeading"/>
              <w:jc w:val="center"/>
              <w:rPr>
                <w:lang w:val="en-AU"/>
              </w:rPr>
            </w:pPr>
            <w:r w:rsidRPr="005A7226">
              <w:rPr>
                <w:lang w:val="en-AU"/>
              </w:rPr>
              <w:t>SE</w:t>
            </w:r>
          </w:p>
        </w:tc>
        <w:tc>
          <w:tcPr>
            <w:tcW w:w="237" w:type="pct"/>
            <w:tcBorders>
              <w:top w:val="single" w:sz="4" w:space="0" w:color="auto"/>
              <w:left w:val="single" w:sz="4" w:space="0" w:color="auto"/>
              <w:bottom w:val="single" w:sz="4" w:space="0" w:color="auto"/>
              <w:right w:val="single" w:sz="4" w:space="0" w:color="auto"/>
            </w:tcBorders>
            <w:vAlign w:val="center"/>
          </w:tcPr>
          <w:p w14:paraId="6CC24F6D" w14:textId="77777777" w:rsidR="004B6919" w:rsidRPr="005A7226" w:rsidRDefault="004B6919" w:rsidP="00325998">
            <w:pPr>
              <w:pStyle w:val="In-tableHeading"/>
              <w:jc w:val="center"/>
              <w:rPr>
                <w:lang w:val="en-AU"/>
              </w:rPr>
            </w:pPr>
            <w:r w:rsidRPr="005A7226">
              <w:rPr>
                <w:lang w:val="en-AU"/>
              </w:rPr>
              <w:t>N</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756DFD7C" w14:textId="77777777" w:rsidR="004B6919" w:rsidRPr="005A7226" w:rsidRDefault="004B6919" w:rsidP="00325998">
            <w:pPr>
              <w:pStyle w:val="In-tableHeading"/>
              <w:jc w:val="center"/>
              <w:rPr>
                <w:lang w:val="en-AU"/>
              </w:rPr>
            </w:pPr>
            <w:r w:rsidRPr="005A7226">
              <w:rPr>
                <w:lang w:val="en-AU"/>
              </w:rPr>
              <w:t>Mean ∆ baseline</w:t>
            </w:r>
          </w:p>
        </w:tc>
        <w:tc>
          <w:tcPr>
            <w:tcW w:w="313" w:type="pct"/>
            <w:tcBorders>
              <w:top w:val="single" w:sz="4" w:space="0" w:color="auto"/>
              <w:left w:val="single" w:sz="4" w:space="0" w:color="auto"/>
              <w:bottom w:val="single" w:sz="4" w:space="0" w:color="auto"/>
              <w:right w:val="single" w:sz="4" w:space="0" w:color="auto"/>
            </w:tcBorders>
            <w:vAlign w:val="center"/>
          </w:tcPr>
          <w:p w14:paraId="17A265AD" w14:textId="77777777" w:rsidR="004B6919" w:rsidRPr="005A7226" w:rsidRDefault="004B6919" w:rsidP="00325998">
            <w:pPr>
              <w:pStyle w:val="In-tableHeading"/>
              <w:jc w:val="center"/>
              <w:rPr>
                <w:lang w:val="en-AU"/>
              </w:rPr>
            </w:pPr>
            <w:r w:rsidRPr="005A7226">
              <w:rPr>
                <w:lang w:val="en-AU"/>
              </w:rPr>
              <w:t>SE</w:t>
            </w:r>
          </w:p>
        </w:tc>
        <w:tc>
          <w:tcPr>
            <w:tcW w:w="860" w:type="pct"/>
            <w:gridSpan w:val="2"/>
            <w:vMerge/>
            <w:tcBorders>
              <w:top w:val="single" w:sz="4" w:space="0" w:color="auto"/>
              <w:left w:val="single" w:sz="4" w:space="0" w:color="auto"/>
              <w:bottom w:val="single" w:sz="4" w:space="0" w:color="auto"/>
              <w:right w:val="single" w:sz="4" w:space="0" w:color="auto"/>
            </w:tcBorders>
            <w:vAlign w:val="center"/>
          </w:tcPr>
          <w:p w14:paraId="4C23596A" w14:textId="77777777" w:rsidR="004B6919" w:rsidRPr="005A7226" w:rsidRDefault="004B6919" w:rsidP="00325998">
            <w:pPr>
              <w:keepNext/>
              <w:keepLines/>
              <w:jc w:val="center"/>
              <w:rPr>
                <w:rFonts w:ascii="Arial Narrow" w:hAnsi="Arial Narrow"/>
                <w:b/>
                <w:sz w:val="20"/>
                <w:szCs w:val="18"/>
              </w:rPr>
            </w:pPr>
          </w:p>
        </w:tc>
      </w:tr>
      <w:tr w:rsidR="007A0B83" w:rsidRPr="005A7226" w14:paraId="39E0F268" w14:textId="77777777" w:rsidTr="007A0B83">
        <w:trPr>
          <w:cantSplit/>
          <w:trHeight w:val="22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90F4543" w14:textId="70D7E567" w:rsidR="007A0B83" w:rsidRPr="005A7226" w:rsidRDefault="007A0B83" w:rsidP="007A0B83">
            <w:pPr>
              <w:keepNext/>
              <w:keepLines/>
              <w:jc w:val="left"/>
              <w:rPr>
                <w:rFonts w:ascii="Arial Narrow" w:hAnsi="Arial Narrow"/>
                <w:sz w:val="20"/>
                <w:szCs w:val="18"/>
              </w:rPr>
            </w:pPr>
            <w:r w:rsidRPr="005A7226">
              <w:rPr>
                <w:rFonts w:ascii="Arial Narrow" w:hAnsi="Arial Narrow"/>
                <w:b/>
                <w:color w:val="000000"/>
                <w:sz w:val="20"/>
                <w:szCs w:val="18"/>
              </w:rPr>
              <w:t>Moderate to severe VMS frequency</w:t>
            </w:r>
            <w:r w:rsidR="00FD780F" w:rsidRPr="005A7226">
              <w:rPr>
                <w:rFonts w:ascii="Arial Narrow" w:hAnsi="Arial Narrow"/>
                <w:b/>
                <w:color w:val="000000"/>
                <w:sz w:val="20"/>
                <w:szCs w:val="18"/>
              </w:rPr>
              <w:t xml:space="preserve"> per 24h</w:t>
            </w:r>
            <w:r w:rsidR="00FD780F" w:rsidRPr="005A7226">
              <w:rPr>
                <w:rFonts w:ascii="Arial Narrow" w:hAnsi="Arial Narrow"/>
                <w:b/>
                <w:color w:val="000000"/>
                <w:sz w:val="20"/>
                <w:szCs w:val="18"/>
                <w:vertAlign w:val="superscript"/>
              </w:rPr>
              <w:t>a</w:t>
            </w:r>
          </w:p>
        </w:tc>
      </w:tr>
      <w:tr w:rsidR="007A0B83" w:rsidRPr="005A7226" w14:paraId="7FEE916F"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650118" w14:textId="205E7181" w:rsidR="004B6919" w:rsidRPr="005A7226" w:rsidRDefault="00B93A6C" w:rsidP="00325998">
            <w:pPr>
              <w:pStyle w:val="TableText0"/>
            </w:pPr>
            <w:r w:rsidRPr="005A7226">
              <w:rPr>
                <w:szCs w:val="20"/>
              </w:rPr>
              <w:t xml:space="preserve">DAYLIGHT, FEZ 45 v PBO, MHT unsuitable, </w:t>
            </w:r>
            <w:proofErr w:type="spellStart"/>
            <w:r w:rsidRPr="005A7226">
              <w:rPr>
                <w:szCs w:val="20"/>
              </w:rPr>
              <w:t>Wk</w:t>
            </w:r>
            <w:proofErr w:type="spellEnd"/>
            <w:r w:rsidRPr="005A7226">
              <w:rPr>
                <w:szCs w:val="20"/>
              </w:rPr>
              <w:t xml:space="preserve"> 12</w:t>
            </w:r>
            <w:r w:rsidR="006E53D1" w:rsidRPr="005A7226">
              <w:rPr>
                <w:szCs w:val="20"/>
              </w:rPr>
              <w:t xml:space="preserve"> </w:t>
            </w:r>
            <w:r w:rsidR="006E53D1" w:rsidRPr="005A7226">
              <w:rPr>
                <w:vertAlign w:val="superscript"/>
              </w:rPr>
              <w:t>e</w:t>
            </w:r>
          </w:p>
        </w:tc>
        <w:tc>
          <w:tcPr>
            <w:tcW w:w="235" w:type="pct"/>
            <w:tcBorders>
              <w:top w:val="single" w:sz="4" w:space="0" w:color="auto"/>
              <w:left w:val="single" w:sz="4" w:space="0" w:color="auto"/>
              <w:bottom w:val="single" w:sz="4" w:space="0" w:color="auto"/>
              <w:right w:val="single" w:sz="4" w:space="0" w:color="auto"/>
            </w:tcBorders>
            <w:vAlign w:val="center"/>
          </w:tcPr>
          <w:p w14:paraId="14E7BDBA" w14:textId="423230F5" w:rsidR="004B6919" w:rsidRPr="005A7226" w:rsidRDefault="007A0B83" w:rsidP="00325998">
            <w:pPr>
              <w:pStyle w:val="TableText0"/>
              <w:jc w:val="center"/>
            </w:pPr>
            <w:r w:rsidRPr="005A7226">
              <w:t>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19665167" w14:textId="42847906" w:rsidR="004B6919" w:rsidRPr="005A7226" w:rsidRDefault="00B93A6C" w:rsidP="00325998">
            <w:pPr>
              <w:pStyle w:val="TableText0"/>
              <w:jc w:val="center"/>
            </w:pPr>
            <w:r w:rsidRPr="005A7226">
              <w:rPr>
                <w:szCs w:val="20"/>
              </w:rPr>
              <w:t xml:space="preserve">-7.65 </w:t>
            </w:r>
            <w:r w:rsidR="006E53D1" w:rsidRPr="005A7226">
              <w:rPr>
                <w:vertAlign w:val="superscript"/>
              </w:rPr>
              <w:t>e</w:t>
            </w:r>
          </w:p>
        </w:tc>
        <w:tc>
          <w:tcPr>
            <w:tcW w:w="313" w:type="pct"/>
            <w:tcBorders>
              <w:top w:val="single" w:sz="4" w:space="0" w:color="auto"/>
              <w:left w:val="single" w:sz="4" w:space="0" w:color="auto"/>
              <w:bottom w:val="single" w:sz="4" w:space="0" w:color="auto"/>
              <w:right w:val="single" w:sz="4" w:space="0" w:color="auto"/>
            </w:tcBorders>
            <w:vAlign w:val="center"/>
          </w:tcPr>
          <w:p w14:paraId="054DA52D" w14:textId="3A793AEE" w:rsidR="004B6919" w:rsidRPr="005A7226" w:rsidRDefault="00B93A6C" w:rsidP="00325998">
            <w:pPr>
              <w:pStyle w:val="TableText0"/>
              <w:jc w:val="center"/>
            </w:pPr>
            <w:r w:rsidRPr="005A7226">
              <w:rPr>
                <w:szCs w:val="20"/>
              </w:rPr>
              <w:t>0.25</w:t>
            </w:r>
          </w:p>
        </w:tc>
        <w:tc>
          <w:tcPr>
            <w:tcW w:w="237" w:type="pct"/>
            <w:tcBorders>
              <w:top w:val="single" w:sz="4" w:space="0" w:color="auto"/>
              <w:left w:val="single" w:sz="4" w:space="0" w:color="auto"/>
              <w:bottom w:val="single" w:sz="4" w:space="0" w:color="auto"/>
              <w:right w:val="single" w:sz="4" w:space="0" w:color="auto"/>
            </w:tcBorders>
            <w:vAlign w:val="center"/>
          </w:tcPr>
          <w:p w14:paraId="0EC67123" w14:textId="37AAAE1F" w:rsidR="004B6919" w:rsidRPr="005A7226" w:rsidRDefault="007A0B83" w:rsidP="00325998">
            <w:pPr>
              <w:pStyle w:val="TableText0"/>
              <w:jc w:val="center"/>
            </w:pPr>
            <w:r w:rsidRPr="005A7226">
              <w:t>226</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6DEF119F" w14:textId="47F4EDAE" w:rsidR="004B6919" w:rsidRPr="005A7226" w:rsidRDefault="00B93A6C" w:rsidP="00325998">
            <w:pPr>
              <w:pStyle w:val="TableText0"/>
              <w:jc w:val="center"/>
            </w:pPr>
            <w:r w:rsidRPr="005A7226">
              <w:rPr>
                <w:szCs w:val="20"/>
              </w:rPr>
              <w:t xml:space="preserve">-5.69 </w:t>
            </w:r>
          </w:p>
        </w:tc>
        <w:tc>
          <w:tcPr>
            <w:tcW w:w="313" w:type="pct"/>
            <w:tcBorders>
              <w:top w:val="single" w:sz="4" w:space="0" w:color="auto"/>
              <w:left w:val="single" w:sz="4" w:space="0" w:color="auto"/>
              <w:bottom w:val="single" w:sz="4" w:space="0" w:color="auto"/>
              <w:right w:val="single" w:sz="4" w:space="0" w:color="auto"/>
            </w:tcBorders>
            <w:vAlign w:val="center"/>
          </w:tcPr>
          <w:p w14:paraId="0783ECAA" w14:textId="277A3FA3" w:rsidR="004B6919" w:rsidRPr="005A7226" w:rsidRDefault="00B93A6C" w:rsidP="00325998">
            <w:pPr>
              <w:pStyle w:val="TableText0"/>
              <w:jc w:val="center"/>
            </w:pPr>
            <w:r w:rsidRPr="005A7226">
              <w:rPr>
                <w:szCs w:val="20"/>
              </w:rPr>
              <w:t>0.25</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6B1AD873" w14:textId="37341C6E" w:rsidR="004B6919" w:rsidRPr="005A7226" w:rsidRDefault="00B93A6C" w:rsidP="00325998">
            <w:pPr>
              <w:pStyle w:val="TableText0"/>
              <w:jc w:val="center"/>
              <w:rPr>
                <w:b/>
              </w:rPr>
            </w:pPr>
            <w:r w:rsidRPr="005A7226">
              <w:rPr>
                <w:b/>
                <w:szCs w:val="20"/>
              </w:rPr>
              <w:t>-1.96 (0.35)</w:t>
            </w:r>
            <w:r w:rsidR="00762A9A" w:rsidRPr="005A7226">
              <w:rPr>
                <w:b/>
                <w:szCs w:val="20"/>
                <w:vertAlign w:val="superscript"/>
              </w:rPr>
              <w:t>b</w:t>
            </w:r>
          </w:p>
        </w:tc>
      </w:tr>
      <w:tr w:rsidR="007A0B83" w:rsidRPr="005A7226" w14:paraId="5FA13FBE"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tcPr>
          <w:p w14:paraId="7E4E519F" w14:textId="1984C66E" w:rsidR="00B93A6C" w:rsidRPr="005A7226" w:rsidRDefault="00B93A6C" w:rsidP="00B93A6C">
            <w:pPr>
              <w:pStyle w:val="TableText0"/>
            </w:pPr>
            <w:r w:rsidRPr="005A7226">
              <w:rPr>
                <w:szCs w:val="20"/>
              </w:rPr>
              <w:t xml:space="preserve">DAYLIGHT, MHT unsuitable, </w:t>
            </w:r>
            <w:proofErr w:type="spellStart"/>
            <w:r w:rsidRPr="005A7226">
              <w:rPr>
                <w:szCs w:val="20"/>
              </w:rPr>
              <w:t>Wk</w:t>
            </w:r>
            <w:proofErr w:type="spellEnd"/>
            <w:r w:rsidRPr="005A7226">
              <w:rPr>
                <w:szCs w:val="20"/>
              </w:rPr>
              <w:t xml:space="preserve"> 24</w:t>
            </w:r>
          </w:p>
        </w:tc>
        <w:tc>
          <w:tcPr>
            <w:tcW w:w="235" w:type="pct"/>
            <w:tcBorders>
              <w:top w:val="single" w:sz="4" w:space="0" w:color="auto"/>
              <w:left w:val="single" w:sz="4" w:space="0" w:color="auto"/>
              <w:bottom w:val="single" w:sz="4" w:space="0" w:color="auto"/>
              <w:right w:val="single" w:sz="4" w:space="0" w:color="auto"/>
            </w:tcBorders>
            <w:vAlign w:val="center"/>
          </w:tcPr>
          <w:p w14:paraId="1D9E3C2C" w14:textId="1939A9CA" w:rsidR="00B93A6C" w:rsidRPr="005A7226" w:rsidRDefault="007A0B83" w:rsidP="00B93A6C">
            <w:pPr>
              <w:pStyle w:val="TableText0"/>
              <w:jc w:val="center"/>
            </w:pPr>
            <w:r w:rsidRPr="005A7226">
              <w:t>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5A771DC1" w14:textId="6CAF3CC6" w:rsidR="00B93A6C" w:rsidRPr="005A7226" w:rsidRDefault="00B93A6C" w:rsidP="00B93A6C">
            <w:pPr>
              <w:pStyle w:val="TableText0"/>
              <w:jc w:val="center"/>
            </w:pPr>
            <w:r w:rsidRPr="005A7226">
              <w:rPr>
                <w:szCs w:val="20"/>
              </w:rPr>
              <w:t xml:space="preserve">-6.20 </w:t>
            </w:r>
          </w:p>
        </w:tc>
        <w:tc>
          <w:tcPr>
            <w:tcW w:w="313" w:type="pct"/>
            <w:tcBorders>
              <w:top w:val="single" w:sz="4" w:space="0" w:color="auto"/>
              <w:left w:val="single" w:sz="4" w:space="0" w:color="auto"/>
              <w:bottom w:val="single" w:sz="4" w:space="0" w:color="auto"/>
              <w:right w:val="single" w:sz="4" w:space="0" w:color="auto"/>
            </w:tcBorders>
            <w:vAlign w:val="center"/>
          </w:tcPr>
          <w:p w14:paraId="26BD50AD" w14:textId="74E90E57" w:rsidR="00B93A6C" w:rsidRPr="005A7226" w:rsidRDefault="00B93A6C" w:rsidP="00B93A6C">
            <w:pPr>
              <w:pStyle w:val="TableText0"/>
              <w:jc w:val="center"/>
            </w:pPr>
            <w:r w:rsidRPr="005A7226">
              <w:rPr>
                <w:szCs w:val="20"/>
              </w:rPr>
              <w:t>0.26</w:t>
            </w:r>
          </w:p>
        </w:tc>
        <w:tc>
          <w:tcPr>
            <w:tcW w:w="237" w:type="pct"/>
            <w:tcBorders>
              <w:top w:val="single" w:sz="4" w:space="0" w:color="auto"/>
              <w:left w:val="single" w:sz="4" w:space="0" w:color="auto"/>
              <w:bottom w:val="single" w:sz="4" w:space="0" w:color="auto"/>
              <w:right w:val="single" w:sz="4" w:space="0" w:color="auto"/>
            </w:tcBorders>
            <w:vAlign w:val="center"/>
          </w:tcPr>
          <w:p w14:paraId="47CCD556" w14:textId="43CA0025" w:rsidR="00B93A6C" w:rsidRPr="005A7226" w:rsidRDefault="007A0B83" w:rsidP="00B93A6C">
            <w:pPr>
              <w:pStyle w:val="TableText0"/>
              <w:jc w:val="center"/>
            </w:pPr>
            <w:r w:rsidRPr="005A7226">
              <w:t>226</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182131F1" w14:textId="279A60E2" w:rsidR="00B93A6C" w:rsidRPr="005A7226" w:rsidRDefault="00B93A6C" w:rsidP="00B93A6C">
            <w:pPr>
              <w:pStyle w:val="TableText0"/>
              <w:jc w:val="center"/>
            </w:pPr>
            <w:r w:rsidRPr="005A7226">
              <w:rPr>
                <w:szCs w:val="20"/>
              </w:rPr>
              <w:t xml:space="preserve">-8.13 </w:t>
            </w:r>
          </w:p>
        </w:tc>
        <w:tc>
          <w:tcPr>
            <w:tcW w:w="313" w:type="pct"/>
            <w:tcBorders>
              <w:top w:val="single" w:sz="4" w:space="0" w:color="auto"/>
              <w:left w:val="single" w:sz="4" w:space="0" w:color="auto"/>
              <w:bottom w:val="single" w:sz="4" w:space="0" w:color="auto"/>
              <w:right w:val="single" w:sz="4" w:space="0" w:color="auto"/>
            </w:tcBorders>
            <w:vAlign w:val="center"/>
          </w:tcPr>
          <w:p w14:paraId="4C859B07" w14:textId="22CA59F9" w:rsidR="00B93A6C" w:rsidRPr="005A7226" w:rsidRDefault="00B93A6C" w:rsidP="00B93A6C">
            <w:pPr>
              <w:pStyle w:val="TableText0"/>
              <w:jc w:val="center"/>
            </w:pPr>
            <w:r w:rsidRPr="005A7226">
              <w:rPr>
                <w:szCs w:val="20"/>
              </w:rPr>
              <w:t>0.25</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3C994963" w14:textId="15BD3651" w:rsidR="00B93A6C" w:rsidRPr="005A7226" w:rsidRDefault="00B93A6C" w:rsidP="00B93A6C">
            <w:pPr>
              <w:pStyle w:val="TableText0"/>
              <w:jc w:val="center"/>
            </w:pPr>
            <w:r w:rsidRPr="005A7226">
              <w:rPr>
                <w:b/>
                <w:szCs w:val="20"/>
              </w:rPr>
              <w:t>-1.93 (0.36)</w:t>
            </w:r>
            <w:r w:rsidR="00762A9A" w:rsidRPr="005A7226">
              <w:rPr>
                <w:b/>
                <w:szCs w:val="20"/>
                <w:vertAlign w:val="superscript"/>
              </w:rPr>
              <w:t>b</w:t>
            </w:r>
          </w:p>
        </w:tc>
      </w:tr>
      <w:tr w:rsidR="007A0B83" w:rsidRPr="005A7226" w14:paraId="47E40AAC"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tcPr>
          <w:p w14:paraId="481741A0" w14:textId="16D9786D" w:rsidR="00B93A6C" w:rsidRPr="005A7226" w:rsidRDefault="00B93A6C" w:rsidP="00B93A6C">
            <w:pPr>
              <w:pStyle w:val="TableText0"/>
            </w:pPr>
            <w:r w:rsidRPr="005A7226">
              <w:rPr>
                <w:szCs w:val="20"/>
              </w:rPr>
              <w:t xml:space="preserve">SKYLIGHT 1 &amp; 2 pooled, MHT unsuitable, </w:t>
            </w:r>
            <w:proofErr w:type="spellStart"/>
            <w:r w:rsidRPr="005A7226">
              <w:rPr>
                <w:szCs w:val="20"/>
              </w:rPr>
              <w:t>Wk</w:t>
            </w:r>
            <w:proofErr w:type="spellEnd"/>
            <w:r w:rsidRPr="005A7226">
              <w:rPr>
                <w:szCs w:val="20"/>
              </w:rPr>
              <w:t xml:space="preserve"> 12 (post-hoc)</w:t>
            </w:r>
          </w:p>
        </w:tc>
        <w:tc>
          <w:tcPr>
            <w:tcW w:w="235" w:type="pct"/>
            <w:tcBorders>
              <w:top w:val="single" w:sz="4" w:space="0" w:color="auto"/>
              <w:left w:val="single" w:sz="4" w:space="0" w:color="auto"/>
              <w:bottom w:val="single" w:sz="4" w:space="0" w:color="auto"/>
              <w:right w:val="single" w:sz="4" w:space="0" w:color="auto"/>
            </w:tcBorders>
            <w:vAlign w:val="center"/>
          </w:tcPr>
          <w:p w14:paraId="3F3D7CA7" w14:textId="53F95E89" w:rsidR="00B93A6C" w:rsidRPr="005A7226" w:rsidRDefault="007A0B83" w:rsidP="00B93A6C">
            <w:pPr>
              <w:pStyle w:val="TableText0"/>
              <w:jc w:val="center"/>
            </w:pPr>
            <w:r w:rsidRPr="005A7226">
              <w:t>287</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34E3F13A" w14:textId="4344F30C" w:rsidR="00B93A6C" w:rsidRPr="005A7226" w:rsidRDefault="00B93A6C" w:rsidP="00B93A6C">
            <w:pPr>
              <w:pStyle w:val="TableText0"/>
              <w:jc w:val="center"/>
              <w:rPr>
                <w:szCs w:val="20"/>
              </w:rPr>
            </w:pPr>
            <w:r w:rsidRPr="005A7226">
              <w:rPr>
                <w:szCs w:val="20"/>
              </w:rPr>
              <w:t xml:space="preserve">-6.97 </w:t>
            </w:r>
          </w:p>
        </w:tc>
        <w:tc>
          <w:tcPr>
            <w:tcW w:w="313" w:type="pct"/>
            <w:tcBorders>
              <w:top w:val="single" w:sz="4" w:space="0" w:color="auto"/>
              <w:left w:val="single" w:sz="4" w:space="0" w:color="auto"/>
              <w:bottom w:val="single" w:sz="4" w:space="0" w:color="auto"/>
              <w:right w:val="single" w:sz="4" w:space="0" w:color="auto"/>
            </w:tcBorders>
            <w:vAlign w:val="center"/>
          </w:tcPr>
          <w:p w14:paraId="27AA20C1" w14:textId="1073333F" w:rsidR="00B93A6C" w:rsidRPr="005A7226" w:rsidRDefault="00B93A6C" w:rsidP="00B93A6C">
            <w:pPr>
              <w:pStyle w:val="TableText0"/>
              <w:jc w:val="center"/>
              <w:rPr>
                <w:szCs w:val="20"/>
              </w:rPr>
            </w:pPr>
            <w:r w:rsidRPr="005A7226">
              <w:rPr>
                <w:szCs w:val="20"/>
              </w:rPr>
              <w:t>0.27</w:t>
            </w:r>
          </w:p>
        </w:tc>
        <w:tc>
          <w:tcPr>
            <w:tcW w:w="237" w:type="pct"/>
            <w:tcBorders>
              <w:top w:val="single" w:sz="4" w:space="0" w:color="auto"/>
              <w:left w:val="single" w:sz="4" w:space="0" w:color="auto"/>
              <w:bottom w:val="single" w:sz="4" w:space="0" w:color="auto"/>
              <w:right w:val="single" w:sz="4" w:space="0" w:color="auto"/>
            </w:tcBorders>
            <w:vAlign w:val="center"/>
          </w:tcPr>
          <w:p w14:paraId="44B7480E" w14:textId="35F62206" w:rsidR="00B93A6C" w:rsidRPr="005A7226" w:rsidRDefault="007A0B83" w:rsidP="00B93A6C">
            <w:pPr>
              <w:pStyle w:val="TableText0"/>
              <w:jc w:val="center"/>
            </w:pPr>
            <w:r w:rsidRPr="005A7226">
              <w:t>297</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465426EA" w14:textId="65C60EFE" w:rsidR="00B93A6C" w:rsidRPr="005A7226" w:rsidRDefault="00B93A6C" w:rsidP="00B93A6C">
            <w:pPr>
              <w:pStyle w:val="TableText0"/>
              <w:jc w:val="center"/>
              <w:rPr>
                <w:szCs w:val="20"/>
              </w:rPr>
            </w:pPr>
            <w:r w:rsidRPr="005A7226">
              <w:rPr>
                <w:szCs w:val="20"/>
              </w:rPr>
              <w:t xml:space="preserve">-4.42 </w:t>
            </w:r>
          </w:p>
        </w:tc>
        <w:tc>
          <w:tcPr>
            <w:tcW w:w="313" w:type="pct"/>
            <w:tcBorders>
              <w:top w:val="single" w:sz="4" w:space="0" w:color="auto"/>
              <w:left w:val="single" w:sz="4" w:space="0" w:color="auto"/>
              <w:bottom w:val="single" w:sz="4" w:space="0" w:color="auto"/>
              <w:right w:val="single" w:sz="4" w:space="0" w:color="auto"/>
            </w:tcBorders>
            <w:vAlign w:val="center"/>
          </w:tcPr>
          <w:p w14:paraId="2565B314" w14:textId="6133FA1D" w:rsidR="00B93A6C" w:rsidRPr="005A7226" w:rsidRDefault="00B93A6C" w:rsidP="00B93A6C">
            <w:pPr>
              <w:pStyle w:val="TableText0"/>
              <w:jc w:val="center"/>
              <w:rPr>
                <w:szCs w:val="20"/>
              </w:rPr>
            </w:pPr>
            <w:r w:rsidRPr="005A7226">
              <w:rPr>
                <w:szCs w:val="20"/>
              </w:rPr>
              <w:t>0.27</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4993D876" w14:textId="44ED48E8" w:rsidR="00B93A6C" w:rsidRPr="005A7226" w:rsidRDefault="00B93A6C" w:rsidP="00B93A6C">
            <w:pPr>
              <w:pStyle w:val="TableText0"/>
              <w:jc w:val="center"/>
              <w:rPr>
                <w:b/>
                <w:szCs w:val="20"/>
              </w:rPr>
            </w:pPr>
            <w:r w:rsidRPr="005A7226">
              <w:rPr>
                <w:b/>
                <w:szCs w:val="20"/>
              </w:rPr>
              <w:t>-2.55 (-3.29, -1.80)</w:t>
            </w:r>
          </w:p>
        </w:tc>
      </w:tr>
      <w:tr w:rsidR="007A0B83" w:rsidRPr="005A7226" w14:paraId="6F026301"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tcPr>
          <w:p w14:paraId="127A403A" w14:textId="40743700" w:rsidR="00B93A6C" w:rsidRPr="005A7226" w:rsidRDefault="00B93A6C" w:rsidP="00B93A6C">
            <w:pPr>
              <w:pStyle w:val="TableText0"/>
            </w:pPr>
            <w:r w:rsidRPr="005A7226">
              <w:rPr>
                <w:szCs w:val="20"/>
              </w:rPr>
              <w:t xml:space="preserve">DAYLIGHT, SKYLIGHT 1 &amp; 2 pooled, MHT unsuitable, </w:t>
            </w:r>
            <w:proofErr w:type="spellStart"/>
            <w:r w:rsidRPr="005A7226">
              <w:rPr>
                <w:szCs w:val="20"/>
              </w:rPr>
              <w:t>Wk</w:t>
            </w:r>
            <w:proofErr w:type="spellEnd"/>
            <w:r w:rsidRPr="005A7226">
              <w:rPr>
                <w:szCs w:val="20"/>
              </w:rPr>
              <w:t xml:space="preserve"> 12 (post-hoc)</w:t>
            </w:r>
          </w:p>
        </w:tc>
        <w:tc>
          <w:tcPr>
            <w:tcW w:w="235" w:type="pct"/>
            <w:tcBorders>
              <w:top w:val="single" w:sz="4" w:space="0" w:color="auto"/>
              <w:left w:val="single" w:sz="4" w:space="0" w:color="auto"/>
              <w:bottom w:val="single" w:sz="4" w:space="0" w:color="auto"/>
              <w:right w:val="single" w:sz="4" w:space="0" w:color="auto"/>
            </w:tcBorders>
            <w:vAlign w:val="center"/>
          </w:tcPr>
          <w:p w14:paraId="76FEBF71" w14:textId="3300AD07" w:rsidR="00B93A6C" w:rsidRPr="005A7226" w:rsidRDefault="007A0B83" w:rsidP="00B93A6C">
            <w:pPr>
              <w:pStyle w:val="TableText0"/>
              <w:jc w:val="center"/>
            </w:pPr>
            <w:r w:rsidRPr="005A7226">
              <w:t>513</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2603521B" w14:textId="147F8F2C" w:rsidR="00B93A6C" w:rsidRPr="005A7226" w:rsidRDefault="00B93A6C" w:rsidP="00B93A6C">
            <w:pPr>
              <w:pStyle w:val="TableText0"/>
              <w:jc w:val="center"/>
              <w:rPr>
                <w:szCs w:val="20"/>
              </w:rPr>
            </w:pPr>
            <w:r w:rsidRPr="005A7226">
              <w:rPr>
                <w:szCs w:val="20"/>
              </w:rPr>
              <w:t xml:space="preserve">-7.16 </w:t>
            </w:r>
          </w:p>
        </w:tc>
        <w:tc>
          <w:tcPr>
            <w:tcW w:w="313" w:type="pct"/>
            <w:tcBorders>
              <w:top w:val="single" w:sz="4" w:space="0" w:color="auto"/>
              <w:left w:val="single" w:sz="4" w:space="0" w:color="auto"/>
              <w:bottom w:val="single" w:sz="4" w:space="0" w:color="auto"/>
              <w:right w:val="single" w:sz="4" w:space="0" w:color="auto"/>
            </w:tcBorders>
            <w:vAlign w:val="center"/>
          </w:tcPr>
          <w:p w14:paraId="6871999E" w14:textId="73E28378" w:rsidR="00B93A6C" w:rsidRPr="005A7226" w:rsidRDefault="00B93A6C" w:rsidP="00B93A6C">
            <w:pPr>
              <w:pStyle w:val="TableText0"/>
              <w:jc w:val="center"/>
              <w:rPr>
                <w:szCs w:val="20"/>
              </w:rPr>
            </w:pPr>
            <w:r w:rsidRPr="005A7226">
              <w:rPr>
                <w:szCs w:val="20"/>
              </w:rPr>
              <w:t>4.56</w:t>
            </w:r>
            <w:r w:rsidRPr="005A7226">
              <w:rPr>
                <w:szCs w:val="20"/>
                <w:vertAlign w:val="superscript"/>
              </w:rPr>
              <w:t>e</w:t>
            </w:r>
          </w:p>
        </w:tc>
        <w:tc>
          <w:tcPr>
            <w:tcW w:w="237" w:type="pct"/>
            <w:tcBorders>
              <w:top w:val="single" w:sz="4" w:space="0" w:color="auto"/>
              <w:left w:val="single" w:sz="4" w:space="0" w:color="auto"/>
              <w:bottom w:val="single" w:sz="4" w:space="0" w:color="auto"/>
              <w:right w:val="single" w:sz="4" w:space="0" w:color="auto"/>
            </w:tcBorders>
            <w:vAlign w:val="center"/>
          </w:tcPr>
          <w:p w14:paraId="691F2AFF" w14:textId="49B2A3EE" w:rsidR="00B93A6C" w:rsidRPr="005A7226" w:rsidRDefault="007A0B83" w:rsidP="00B93A6C">
            <w:pPr>
              <w:pStyle w:val="TableText0"/>
              <w:jc w:val="center"/>
            </w:pPr>
            <w:r w:rsidRPr="005A7226">
              <w:t>523</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6BC1685A" w14:textId="7ED8C63C" w:rsidR="00B93A6C" w:rsidRPr="005A7226" w:rsidRDefault="00B93A6C" w:rsidP="00B93A6C">
            <w:pPr>
              <w:pStyle w:val="TableText0"/>
              <w:jc w:val="center"/>
              <w:rPr>
                <w:szCs w:val="20"/>
              </w:rPr>
            </w:pPr>
            <w:r w:rsidRPr="005A7226">
              <w:rPr>
                <w:szCs w:val="20"/>
              </w:rPr>
              <w:t xml:space="preserve">-4.89 </w:t>
            </w:r>
          </w:p>
        </w:tc>
        <w:tc>
          <w:tcPr>
            <w:tcW w:w="313" w:type="pct"/>
            <w:tcBorders>
              <w:top w:val="single" w:sz="4" w:space="0" w:color="auto"/>
              <w:left w:val="single" w:sz="4" w:space="0" w:color="auto"/>
              <w:bottom w:val="single" w:sz="4" w:space="0" w:color="auto"/>
              <w:right w:val="single" w:sz="4" w:space="0" w:color="auto"/>
            </w:tcBorders>
            <w:vAlign w:val="center"/>
          </w:tcPr>
          <w:p w14:paraId="75CD3E3A" w14:textId="5E140F56" w:rsidR="00B93A6C" w:rsidRPr="005A7226" w:rsidRDefault="00B93A6C" w:rsidP="00B93A6C">
            <w:pPr>
              <w:pStyle w:val="TableText0"/>
              <w:jc w:val="center"/>
              <w:rPr>
                <w:szCs w:val="20"/>
              </w:rPr>
            </w:pPr>
            <w:r w:rsidRPr="005A7226">
              <w:rPr>
                <w:szCs w:val="20"/>
              </w:rPr>
              <w:t>4.39</w:t>
            </w:r>
            <w:r w:rsidRPr="005A7226">
              <w:rPr>
                <w:szCs w:val="20"/>
                <w:vertAlign w:val="superscript"/>
              </w:rPr>
              <w:t>e</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5DD928E3" w14:textId="017BDA78" w:rsidR="00B93A6C" w:rsidRPr="005A7226" w:rsidRDefault="00FD780F" w:rsidP="00B93A6C">
            <w:pPr>
              <w:pStyle w:val="TableText0"/>
              <w:jc w:val="center"/>
              <w:rPr>
                <w:szCs w:val="20"/>
              </w:rPr>
            </w:pPr>
            <w:r w:rsidRPr="005A7226">
              <w:rPr>
                <w:b/>
                <w:szCs w:val="20"/>
              </w:rPr>
              <w:t>-2.27 (-2.82, -1.72)</w:t>
            </w:r>
            <w:r w:rsidR="00762A9A" w:rsidRPr="005A7226">
              <w:rPr>
                <w:b/>
                <w:szCs w:val="20"/>
                <w:vertAlign w:val="superscript"/>
              </w:rPr>
              <w:t>d</w:t>
            </w:r>
            <w:r w:rsidR="00710C48" w:rsidRPr="005A7226">
              <w:rPr>
                <w:vertAlign w:val="superscript"/>
              </w:rPr>
              <w:t xml:space="preserve"> e</w:t>
            </w:r>
          </w:p>
        </w:tc>
      </w:tr>
      <w:tr w:rsidR="007A0B83" w:rsidRPr="005A7226" w14:paraId="393ACDB1" w14:textId="77777777" w:rsidTr="007A0B83">
        <w:trPr>
          <w:cantSplit/>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E2EECB0" w14:textId="37D263A2" w:rsidR="007A0B83" w:rsidRPr="005A7226" w:rsidRDefault="007A0B83" w:rsidP="007A0B83">
            <w:pPr>
              <w:pStyle w:val="TableText0"/>
              <w:rPr>
                <w:b/>
                <w:szCs w:val="20"/>
              </w:rPr>
            </w:pPr>
            <w:r w:rsidRPr="005A7226">
              <w:rPr>
                <w:b/>
                <w:color w:val="000000"/>
                <w:szCs w:val="18"/>
              </w:rPr>
              <w:t>Moderate to severe VMS severity</w:t>
            </w:r>
            <w:r w:rsidR="00FD780F" w:rsidRPr="005A7226">
              <w:rPr>
                <w:b/>
                <w:color w:val="000000"/>
                <w:szCs w:val="18"/>
              </w:rPr>
              <w:t xml:space="preserve"> per 24h</w:t>
            </w:r>
            <w:r w:rsidR="00FD780F" w:rsidRPr="005A7226">
              <w:rPr>
                <w:b/>
                <w:color w:val="000000"/>
                <w:szCs w:val="18"/>
                <w:vertAlign w:val="superscript"/>
              </w:rPr>
              <w:t>a</w:t>
            </w:r>
          </w:p>
        </w:tc>
      </w:tr>
      <w:tr w:rsidR="007A0B83" w:rsidRPr="005A7226" w14:paraId="234B60D7"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1E129" w14:textId="4B5B9C89" w:rsidR="007A0B83" w:rsidRPr="005A7226" w:rsidRDefault="007A0B83" w:rsidP="007A0B83">
            <w:pPr>
              <w:pStyle w:val="TableText0"/>
            </w:pPr>
            <w:r w:rsidRPr="005A7226">
              <w:rPr>
                <w:szCs w:val="20"/>
              </w:rPr>
              <w:t xml:space="preserve">DAYLIGHT, FEZ 45 v PBO, MHT unsuitable, </w:t>
            </w:r>
            <w:proofErr w:type="spellStart"/>
            <w:r w:rsidRPr="005A7226">
              <w:rPr>
                <w:szCs w:val="20"/>
              </w:rPr>
              <w:t>Wk</w:t>
            </w:r>
            <w:proofErr w:type="spellEnd"/>
            <w:r w:rsidRPr="005A7226">
              <w:rPr>
                <w:szCs w:val="20"/>
              </w:rPr>
              <w:t xml:space="preserve"> 12</w:t>
            </w:r>
            <w:r w:rsidR="00FE69A7" w:rsidRPr="005A7226">
              <w:rPr>
                <w:vertAlign w:val="superscript"/>
              </w:rPr>
              <w:t xml:space="preserve"> e</w:t>
            </w:r>
          </w:p>
        </w:tc>
        <w:tc>
          <w:tcPr>
            <w:tcW w:w="235" w:type="pct"/>
            <w:tcBorders>
              <w:top w:val="single" w:sz="4" w:space="0" w:color="auto"/>
              <w:left w:val="single" w:sz="4" w:space="0" w:color="auto"/>
              <w:bottom w:val="single" w:sz="4" w:space="0" w:color="auto"/>
              <w:right w:val="single" w:sz="4" w:space="0" w:color="auto"/>
            </w:tcBorders>
            <w:vAlign w:val="center"/>
          </w:tcPr>
          <w:p w14:paraId="1D579DEA" w14:textId="543FC1AE" w:rsidR="007A0B83" w:rsidRPr="005A7226" w:rsidRDefault="007A0B83" w:rsidP="007A0B83">
            <w:pPr>
              <w:pStyle w:val="TableText0"/>
              <w:jc w:val="center"/>
            </w:pPr>
            <w:r w:rsidRPr="005A7226">
              <w:t>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4551E071" w14:textId="23D26DE0" w:rsidR="007A0B83" w:rsidRPr="005A7226" w:rsidRDefault="007A0B83" w:rsidP="007A0B83">
            <w:pPr>
              <w:pStyle w:val="TableText0"/>
              <w:jc w:val="center"/>
              <w:rPr>
                <w:szCs w:val="20"/>
              </w:rPr>
            </w:pPr>
            <w:r w:rsidRPr="005A7226">
              <w:rPr>
                <w:szCs w:val="20"/>
              </w:rPr>
              <w:t xml:space="preserve">-0.87 </w:t>
            </w:r>
          </w:p>
        </w:tc>
        <w:tc>
          <w:tcPr>
            <w:tcW w:w="313" w:type="pct"/>
            <w:tcBorders>
              <w:top w:val="single" w:sz="4" w:space="0" w:color="auto"/>
              <w:left w:val="single" w:sz="4" w:space="0" w:color="auto"/>
              <w:bottom w:val="single" w:sz="4" w:space="0" w:color="auto"/>
              <w:right w:val="single" w:sz="4" w:space="0" w:color="auto"/>
            </w:tcBorders>
            <w:vAlign w:val="center"/>
          </w:tcPr>
          <w:p w14:paraId="711C1EFF" w14:textId="4D8083E2" w:rsidR="007A0B83" w:rsidRPr="005A7226" w:rsidRDefault="007A0B83" w:rsidP="007A0B83">
            <w:pPr>
              <w:pStyle w:val="TableText0"/>
              <w:jc w:val="center"/>
              <w:rPr>
                <w:szCs w:val="20"/>
              </w:rPr>
            </w:pPr>
            <w:r w:rsidRPr="005A7226">
              <w:rPr>
                <w:szCs w:val="20"/>
              </w:rPr>
              <w:t>0.05</w:t>
            </w:r>
          </w:p>
        </w:tc>
        <w:tc>
          <w:tcPr>
            <w:tcW w:w="237" w:type="pct"/>
            <w:tcBorders>
              <w:top w:val="single" w:sz="4" w:space="0" w:color="auto"/>
              <w:left w:val="single" w:sz="4" w:space="0" w:color="auto"/>
              <w:bottom w:val="single" w:sz="4" w:space="0" w:color="auto"/>
              <w:right w:val="single" w:sz="4" w:space="0" w:color="auto"/>
            </w:tcBorders>
            <w:vAlign w:val="center"/>
          </w:tcPr>
          <w:p w14:paraId="5EDE1592" w14:textId="3A77CDDC" w:rsidR="007A0B83" w:rsidRPr="005A7226" w:rsidRDefault="007A0B83" w:rsidP="007A0B83">
            <w:pPr>
              <w:pStyle w:val="TableText0"/>
              <w:jc w:val="center"/>
            </w:pPr>
            <w:r w:rsidRPr="005A7226">
              <w:t>226</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08EE627A" w14:textId="3BDED0F3" w:rsidR="007A0B83" w:rsidRPr="005A7226" w:rsidRDefault="007A0B83" w:rsidP="007A0B83">
            <w:pPr>
              <w:pStyle w:val="TableText0"/>
              <w:jc w:val="center"/>
              <w:rPr>
                <w:szCs w:val="20"/>
              </w:rPr>
            </w:pPr>
            <w:r w:rsidRPr="005A7226">
              <w:rPr>
                <w:szCs w:val="20"/>
              </w:rPr>
              <w:t xml:space="preserve">-0.57 </w:t>
            </w:r>
          </w:p>
        </w:tc>
        <w:tc>
          <w:tcPr>
            <w:tcW w:w="313" w:type="pct"/>
            <w:tcBorders>
              <w:top w:val="single" w:sz="4" w:space="0" w:color="auto"/>
              <w:left w:val="single" w:sz="4" w:space="0" w:color="auto"/>
              <w:bottom w:val="single" w:sz="4" w:space="0" w:color="auto"/>
              <w:right w:val="single" w:sz="4" w:space="0" w:color="auto"/>
            </w:tcBorders>
            <w:vAlign w:val="center"/>
          </w:tcPr>
          <w:p w14:paraId="3C448D08" w14:textId="30B0D107" w:rsidR="007A0B83" w:rsidRPr="005A7226" w:rsidRDefault="007A0B83" w:rsidP="007A0B83">
            <w:pPr>
              <w:pStyle w:val="TableText0"/>
              <w:jc w:val="center"/>
              <w:rPr>
                <w:szCs w:val="20"/>
              </w:rPr>
            </w:pPr>
            <w:r w:rsidRPr="005A7226">
              <w:rPr>
                <w:szCs w:val="20"/>
              </w:rPr>
              <w:t>0.06</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2CE333EA" w14:textId="7528B5A4" w:rsidR="007A0B83" w:rsidRPr="005A7226" w:rsidRDefault="007A0B83" w:rsidP="007A0B83">
            <w:pPr>
              <w:pStyle w:val="TableText0"/>
              <w:jc w:val="center"/>
              <w:rPr>
                <w:b/>
                <w:szCs w:val="20"/>
              </w:rPr>
            </w:pPr>
            <w:r w:rsidRPr="005A7226">
              <w:rPr>
                <w:b/>
                <w:szCs w:val="20"/>
              </w:rPr>
              <w:t>-0.30 (0.08)</w:t>
            </w:r>
            <w:r w:rsidR="00762A9A" w:rsidRPr="005A7226">
              <w:rPr>
                <w:b/>
                <w:szCs w:val="20"/>
                <w:vertAlign w:val="superscript"/>
              </w:rPr>
              <w:t>b</w:t>
            </w:r>
          </w:p>
        </w:tc>
      </w:tr>
      <w:tr w:rsidR="007A0B83" w:rsidRPr="005A7226" w14:paraId="01BA73B8"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tcPr>
          <w:p w14:paraId="1DCEE0DD" w14:textId="1D4F1B9D" w:rsidR="007A0B83" w:rsidRPr="005A7226" w:rsidRDefault="007A0B83" w:rsidP="007A0B83">
            <w:pPr>
              <w:pStyle w:val="TableText0"/>
            </w:pPr>
            <w:r w:rsidRPr="005A7226">
              <w:rPr>
                <w:szCs w:val="20"/>
              </w:rPr>
              <w:t xml:space="preserve">DAYLIGHT, MHT unsuitable, </w:t>
            </w:r>
            <w:proofErr w:type="spellStart"/>
            <w:r w:rsidRPr="005A7226">
              <w:rPr>
                <w:szCs w:val="20"/>
              </w:rPr>
              <w:t>Wk</w:t>
            </w:r>
            <w:proofErr w:type="spellEnd"/>
            <w:r w:rsidRPr="005A7226">
              <w:rPr>
                <w:szCs w:val="20"/>
              </w:rPr>
              <w:t xml:space="preserve"> 24</w:t>
            </w:r>
          </w:p>
        </w:tc>
        <w:tc>
          <w:tcPr>
            <w:tcW w:w="235" w:type="pct"/>
            <w:tcBorders>
              <w:top w:val="single" w:sz="4" w:space="0" w:color="auto"/>
              <w:left w:val="single" w:sz="4" w:space="0" w:color="auto"/>
              <w:bottom w:val="single" w:sz="4" w:space="0" w:color="auto"/>
              <w:right w:val="single" w:sz="4" w:space="0" w:color="auto"/>
            </w:tcBorders>
            <w:vAlign w:val="center"/>
          </w:tcPr>
          <w:p w14:paraId="24954013" w14:textId="2CF60C4D" w:rsidR="007A0B83" w:rsidRPr="005A7226" w:rsidRDefault="007A0B83" w:rsidP="007A0B83">
            <w:pPr>
              <w:pStyle w:val="TableText0"/>
              <w:jc w:val="center"/>
            </w:pPr>
            <w:r w:rsidRPr="005A7226">
              <w:t>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0CC7DED0" w14:textId="03E16C9F" w:rsidR="007A0B83" w:rsidRPr="005A7226" w:rsidRDefault="007A0B83" w:rsidP="007A0B83">
            <w:pPr>
              <w:pStyle w:val="TableText0"/>
              <w:jc w:val="center"/>
              <w:rPr>
                <w:szCs w:val="20"/>
              </w:rPr>
            </w:pPr>
            <w:r w:rsidRPr="005A7226">
              <w:rPr>
                <w:szCs w:val="20"/>
              </w:rPr>
              <w:t xml:space="preserve">-1.01 </w:t>
            </w:r>
          </w:p>
        </w:tc>
        <w:tc>
          <w:tcPr>
            <w:tcW w:w="313" w:type="pct"/>
            <w:tcBorders>
              <w:top w:val="single" w:sz="4" w:space="0" w:color="auto"/>
              <w:left w:val="single" w:sz="4" w:space="0" w:color="auto"/>
              <w:bottom w:val="single" w:sz="4" w:space="0" w:color="auto"/>
              <w:right w:val="single" w:sz="4" w:space="0" w:color="auto"/>
            </w:tcBorders>
            <w:vAlign w:val="center"/>
          </w:tcPr>
          <w:p w14:paraId="6ABB9718" w14:textId="181CF6FC" w:rsidR="007A0B83" w:rsidRPr="005A7226" w:rsidRDefault="007A0B83" w:rsidP="007A0B83">
            <w:pPr>
              <w:pStyle w:val="TableText0"/>
              <w:jc w:val="center"/>
              <w:rPr>
                <w:szCs w:val="20"/>
              </w:rPr>
            </w:pPr>
            <w:r w:rsidRPr="005A7226">
              <w:rPr>
                <w:szCs w:val="20"/>
              </w:rPr>
              <w:t>0.06</w:t>
            </w:r>
          </w:p>
        </w:tc>
        <w:tc>
          <w:tcPr>
            <w:tcW w:w="237" w:type="pct"/>
            <w:tcBorders>
              <w:top w:val="single" w:sz="4" w:space="0" w:color="auto"/>
              <w:left w:val="single" w:sz="4" w:space="0" w:color="auto"/>
              <w:bottom w:val="single" w:sz="4" w:space="0" w:color="auto"/>
              <w:right w:val="single" w:sz="4" w:space="0" w:color="auto"/>
            </w:tcBorders>
            <w:vAlign w:val="center"/>
          </w:tcPr>
          <w:p w14:paraId="39A06323" w14:textId="2121403C" w:rsidR="007A0B83" w:rsidRPr="005A7226" w:rsidRDefault="007A0B83" w:rsidP="007A0B83">
            <w:pPr>
              <w:pStyle w:val="TableText0"/>
              <w:jc w:val="center"/>
            </w:pPr>
            <w:r w:rsidRPr="005A7226">
              <w:t>226</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59081360" w14:textId="4D2BE83A" w:rsidR="007A0B83" w:rsidRPr="005A7226" w:rsidRDefault="007A0B83" w:rsidP="007A0B83">
            <w:pPr>
              <w:pStyle w:val="TableText0"/>
              <w:jc w:val="center"/>
              <w:rPr>
                <w:szCs w:val="20"/>
              </w:rPr>
            </w:pPr>
            <w:r w:rsidRPr="005A7226">
              <w:rPr>
                <w:szCs w:val="20"/>
              </w:rPr>
              <w:t xml:space="preserve">-0.62 </w:t>
            </w:r>
          </w:p>
        </w:tc>
        <w:tc>
          <w:tcPr>
            <w:tcW w:w="313" w:type="pct"/>
            <w:tcBorders>
              <w:top w:val="single" w:sz="4" w:space="0" w:color="auto"/>
              <w:left w:val="single" w:sz="4" w:space="0" w:color="auto"/>
              <w:bottom w:val="single" w:sz="4" w:space="0" w:color="auto"/>
              <w:right w:val="single" w:sz="4" w:space="0" w:color="auto"/>
            </w:tcBorders>
            <w:vAlign w:val="center"/>
          </w:tcPr>
          <w:p w14:paraId="25DC25AA" w14:textId="2379925E" w:rsidR="007A0B83" w:rsidRPr="005A7226" w:rsidRDefault="007A0B83" w:rsidP="007A0B83">
            <w:pPr>
              <w:pStyle w:val="TableText0"/>
              <w:jc w:val="center"/>
              <w:rPr>
                <w:szCs w:val="20"/>
              </w:rPr>
            </w:pPr>
            <w:r w:rsidRPr="005A7226">
              <w:rPr>
                <w:szCs w:val="20"/>
              </w:rPr>
              <w:t>0.06</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099DB1CB" w14:textId="7EE329CD" w:rsidR="007A0B83" w:rsidRPr="005A7226" w:rsidRDefault="007A0B83" w:rsidP="007A0B83">
            <w:pPr>
              <w:pStyle w:val="TableText0"/>
              <w:jc w:val="center"/>
              <w:rPr>
                <w:b/>
                <w:szCs w:val="20"/>
              </w:rPr>
            </w:pPr>
            <w:r w:rsidRPr="005A7226">
              <w:rPr>
                <w:b/>
                <w:szCs w:val="20"/>
              </w:rPr>
              <w:t>-0.39 (0.09)</w:t>
            </w:r>
            <w:r w:rsidR="00762A9A" w:rsidRPr="005A7226">
              <w:rPr>
                <w:b/>
                <w:szCs w:val="20"/>
                <w:vertAlign w:val="superscript"/>
              </w:rPr>
              <w:t>b</w:t>
            </w:r>
          </w:p>
        </w:tc>
      </w:tr>
      <w:tr w:rsidR="007A0B83" w:rsidRPr="005A7226" w14:paraId="545B3356" w14:textId="77777777" w:rsidTr="00762A9A">
        <w:trPr>
          <w:cantSplit/>
        </w:trPr>
        <w:tc>
          <w:tcPr>
            <w:tcW w:w="2108" w:type="pct"/>
            <w:gridSpan w:val="2"/>
            <w:tcBorders>
              <w:top w:val="single" w:sz="4" w:space="0" w:color="auto"/>
              <w:left w:val="single" w:sz="4" w:space="0" w:color="auto"/>
              <w:bottom w:val="single" w:sz="4" w:space="0" w:color="auto"/>
              <w:right w:val="single" w:sz="4" w:space="0" w:color="auto"/>
            </w:tcBorders>
            <w:shd w:val="clear" w:color="auto" w:fill="auto"/>
          </w:tcPr>
          <w:p w14:paraId="68F60B72" w14:textId="6BC7A085" w:rsidR="007A0B83" w:rsidRPr="005A7226" w:rsidRDefault="007A0B83" w:rsidP="007A0B83">
            <w:pPr>
              <w:pStyle w:val="TableText0"/>
            </w:pPr>
            <w:r w:rsidRPr="005A7226">
              <w:rPr>
                <w:szCs w:val="20"/>
              </w:rPr>
              <w:t xml:space="preserve">SKYLIGHT 1 &amp; 2 pooled, MHT unsuitable, </w:t>
            </w:r>
            <w:proofErr w:type="spellStart"/>
            <w:r w:rsidRPr="005A7226">
              <w:rPr>
                <w:szCs w:val="20"/>
              </w:rPr>
              <w:t>Wk</w:t>
            </w:r>
            <w:proofErr w:type="spellEnd"/>
            <w:r w:rsidRPr="005A7226">
              <w:rPr>
                <w:szCs w:val="20"/>
              </w:rPr>
              <w:t xml:space="preserve"> 12 (post-hoc)</w:t>
            </w:r>
          </w:p>
        </w:tc>
        <w:tc>
          <w:tcPr>
            <w:tcW w:w="235" w:type="pct"/>
            <w:tcBorders>
              <w:top w:val="single" w:sz="4" w:space="0" w:color="auto"/>
              <w:left w:val="single" w:sz="4" w:space="0" w:color="auto"/>
              <w:bottom w:val="single" w:sz="4" w:space="0" w:color="auto"/>
              <w:right w:val="single" w:sz="4" w:space="0" w:color="auto"/>
            </w:tcBorders>
            <w:vAlign w:val="center"/>
          </w:tcPr>
          <w:p w14:paraId="4221F7B2" w14:textId="7642A283" w:rsidR="007A0B83" w:rsidRPr="005A7226" w:rsidRDefault="007A0B83" w:rsidP="007A0B83">
            <w:pPr>
              <w:pStyle w:val="TableText0"/>
              <w:jc w:val="center"/>
            </w:pPr>
            <w:r w:rsidRPr="005A7226">
              <w:t>287</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2C284BFF" w14:textId="034B2DEA" w:rsidR="007A0B83" w:rsidRPr="005A7226" w:rsidRDefault="007A0B83" w:rsidP="007A0B83">
            <w:pPr>
              <w:pStyle w:val="TableText0"/>
              <w:jc w:val="center"/>
              <w:rPr>
                <w:szCs w:val="20"/>
              </w:rPr>
            </w:pPr>
            <w:r w:rsidRPr="005A7226">
              <w:rPr>
                <w:szCs w:val="20"/>
              </w:rPr>
              <w:t xml:space="preserve">-0.71 </w:t>
            </w:r>
          </w:p>
        </w:tc>
        <w:tc>
          <w:tcPr>
            <w:tcW w:w="313" w:type="pct"/>
            <w:tcBorders>
              <w:top w:val="single" w:sz="4" w:space="0" w:color="auto"/>
              <w:left w:val="single" w:sz="4" w:space="0" w:color="auto"/>
              <w:bottom w:val="single" w:sz="4" w:space="0" w:color="auto"/>
              <w:right w:val="single" w:sz="4" w:space="0" w:color="auto"/>
            </w:tcBorders>
            <w:vAlign w:val="center"/>
          </w:tcPr>
          <w:p w14:paraId="20F8316F" w14:textId="484C348E" w:rsidR="007A0B83" w:rsidRPr="005A7226" w:rsidRDefault="007A0B83" w:rsidP="007A0B83">
            <w:pPr>
              <w:pStyle w:val="TableText0"/>
              <w:jc w:val="center"/>
              <w:rPr>
                <w:szCs w:val="20"/>
              </w:rPr>
            </w:pPr>
            <w:r w:rsidRPr="005A7226">
              <w:rPr>
                <w:szCs w:val="20"/>
              </w:rPr>
              <w:t>0.04</w:t>
            </w:r>
          </w:p>
        </w:tc>
        <w:tc>
          <w:tcPr>
            <w:tcW w:w="237" w:type="pct"/>
            <w:tcBorders>
              <w:top w:val="single" w:sz="4" w:space="0" w:color="auto"/>
              <w:left w:val="single" w:sz="4" w:space="0" w:color="auto"/>
              <w:bottom w:val="single" w:sz="4" w:space="0" w:color="auto"/>
              <w:right w:val="single" w:sz="4" w:space="0" w:color="auto"/>
            </w:tcBorders>
            <w:vAlign w:val="center"/>
          </w:tcPr>
          <w:p w14:paraId="6C8D20D9" w14:textId="13AA0EB9" w:rsidR="007A0B83" w:rsidRPr="005A7226" w:rsidRDefault="007A0B83" w:rsidP="007A0B83">
            <w:pPr>
              <w:pStyle w:val="TableText0"/>
              <w:jc w:val="center"/>
            </w:pPr>
            <w:r w:rsidRPr="005A7226">
              <w:t>297</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7D322781" w14:textId="2DF8BF5C" w:rsidR="007A0B83" w:rsidRPr="005A7226" w:rsidRDefault="007A0B83" w:rsidP="007A0B83">
            <w:pPr>
              <w:pStyle w:val="TableText0"/>
              <w:jc w:val="center"/>
              <w:rPr>
                <w:szCs w:val="20"/>
              </w:rPr>
            </w:pPr>
            <w:r w:rsidRPr="005A7226">
              <w:rPr>
                <w:szCs w:val="20"/>
              </w:rPr>
              <w:t xml:space="preserve">-0.43 </w:t>
            </w:r>
          </w:p>
        </w:tc>
        <w:tc>
          <w:tcPr>
            <w:tcW w:w="313" w:type="pct"/>
            <w:tcBorders>
              <w:top w:val="single" w:sz="4" w:space="0" w:color="auto"/>
              <w:left w:val="single" w:sz="4" w:space="0" w:color="auto"/>
              <w:bottom w:val="single" w:sz="4" w:space="0" w:color="auto"/>
              <w:right w:val="single" w:sz="4" w:space="0" w:color="auto"/>
            </w:tcBorders>
            <w:vAlign w:val="center"/>
          </w:tcPr>
          <w:p w14:paraId="082277AD" w14:textId="47CEED5D" w:rsidR="007A0B83" w:rsidRPr="005A7226" w:rsidRDefault="007A0B83" w:rsidP="007A0B83">
            <w:pPr>
              <w:pStyle w:val="TableText0"/>
              <w:jc w:val="center"/>
              <w:rPr>
                <w:szCs w:val="20"/>
              </w:rPr>
            </w:pPr>
            <w:r w:rsidRPr="005A7226">
              <w:rPr>
                <w:szCs w:val="20"/>
              </w:rPr>
              <w:t>0.04</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2D55EC69" w14:textId="61AC7F77" w:rsidR="007A0B83" w:rsidRPr="005A7226" w:rsidRDefault="007A0B83" w:rsidP="007A0B83">
            <w:pPr>
              <w:pStyle w:val="TableText0"/>
              <w:jc w:val="center"/>
              <w:rPr>
                <w:b/>
                <w:szCs w:val="20"/>
              </w:rPr>
            </w:pPr>
            <w:r w:rsidRPr="005A7226">
              <w:rPr>
                <w:b/>
                <w:szCs w:val="20"/>
              </w:rPr>
              <w:t>-0.27 (-0.39, -0.15)</w:t>
            </w:r>
            <w:r w:rsidR="00710C48" w:rsidRPr="005A7226">
              <w:rPr>
                <w:vertAlign w:val="superscript"/>
              </w:rPr>
              <w:t xml:space="preserve"> e</w:t>
            </w:r>
          </w:p>
        </w:tc>
      </w:tr>
      <w:tr w:rsidR="007A0B83" w:rsidRPr="005A7226" w14:paraId="794EFD04" w14:textId="77777777" w:rsidTr="00762A9A">
        <w:trPr>
          <w:cantSplit/>
        </w:trPr>
        <w:tc>
          <w:tcPr>
            <w:tcW w:w="2108" w:type="pct"/>
            <w:gridSpan w:val="2"/>
            <w:tcBorders>
              <w:top w:val="single" w:sz="4" w:space="0" w:color="auto"/>
              <w:left w:val="single" w:sz="4" w:space="0" w:color="auto"/>
              <w:bottom w:val="double" w:sz="4" w:space="0" w:color="auto"/>
              <w:right w:val="single" w:sz="4" w:space="0" w:color="auto"/>
            </w:tcBorders>
            <w:shd w:val="clear" w:color="auto" w:fill="auto"/>
          </w:tcPr>
          <w:p w14:paraId="49CD571D" w14:textId="5C135094" w:rsidR="007A0B83" w:rsidRPr="005A7226" w:rsidRDefault="007A0B83" w:rsidP="007A0B83">
            <w:pPr>
              <w:pStyle w:val="TableText0"/>
            </w:pPr>
            <w:r w:rsidRPr="005A7226">
              <w:rPr>
                <w:szCs w:val="20"/>
              </w:rPr>
              <w:t xml:space="preserve">DAYLIGHT, SKYLIGHT 1 &amp; 2 pooled, MHT unsuitable, </w:t>
            </w:r>
            <w:proofErr w:type="spellStart"/>
            <w:r w:rsidRPr="005A7226">
              <w:rPr>
                <w:szCs w:val="20"/>
              </w:rPr>
              <w:t>Wk</w:t>
            </w:r>
            <w:proofErr w:type="spellEnd"/>
            <w:r w:rsidRPr="005A7226">
              <w:rPr>
                <w:szCs w:val="20"/>
              </w:rPr>
              <w:t xml:space="preserve"> 12 (post-hoc)</w:t>
            </w:r>
          </w:p>
        </w:tc>
        <w:tc>
          <w:tcPr>
            <w:tcW w:w="235" w:type="pct"/>
            <w:tcBorders>
              <w:top w:val="single" w:sz="4" w:space="0" w:color="auto"/>
              <w:left w:val="single" w:sz="4" w:space="0" w:color="auto"/>
              <w:bottom w:val="double" w:sz="4" w:space="0" w:color="auto"/>
              <w:right w:val="single" w:sz="4" w:space="0" w:color="auto"/>
            </w:tcBorders>
            <w:vAlign w:val="center"/>
          </w:tcPr>
          <w:p w14:paraId="6593CA73" w14:textId="756172CC" w:rsidR="007A0B83" w:rsidRPr="005A7226" w:rsidRDefault="007A0B83" w:rsidP="007A0B83">
            <w:pPr>
              <w:pStyle w:val="TableText0"/>
              <w:jc w:val="center"/>
            </w:pPr>
            <w:r w:rsidRPr="005A7226">
              <w:t>513</w:t>
            </w:r>
          </w:p>
        </w:tc>
        <w:tc>
          <w:tcPr>
            <w:tcW w:w="469" w:type="pct"/>
            <w:gridSpan w:val="2"/>
            <w:tcBorders>
              <w:top w:val="single" w:sz="4" w:space="0" w:color="auto"/>
              <w:left w:val="single" w:sz="4" w:space="0" w:color="auto"/>
              <w:bottom w:val="double" w:sz="4" w:space="0" w:color="auto"/>
              <w:right w:val="single" w:sz="4" w:space="0" w:color="auto"/>
            </w:tcBorders>
            <w:vAlign w:val="center"/>
          </w:tcPr>
          <w:p w14:paraId="71CA9296" w14:textId="36053AB3" w:rsidR="007A0B83" w:rsidRPr="005A7226" w:rsidRDefault="007A0B83" w:rsidP="007A0B83">
            <w:pPr>
              <w:pStyle w:val="TableText0"/>
              <w:jc w:val="center"/>
              <w:rPr>
                <w:szCs w:val="20"/>
              </w:rPr>
            </w:pPr>
            <w:r w:rsidRPr="005A7226">
              <w:rPr>
                <w:szCs w:val="20"/>
              </w:rPr>
              <w:t xml:space="preserve">-0.81 </w:t>
            </w:r>
          </w:p>
        </w:tc>
        <w:tc>
          <w:tcPr>
            <w:tcW w:w="313" w:type="pct"/>
            <w:tcBorders>
              <w:top w:val="single" w:sz="4" w:space="0" w:color="auto"/>
              <w:left w:val="single" w:sz="4" w:space="0" w:color="auto"/>
              <w:bottom w:val="double" w:sz="4" w:space="0" w:color="auto"/>
              <w:right w:val="single" w:sz="4" w:space="0" w:color="auto"/>
            </w:tcBorders>
            <w:vAlign w:val="center"/>
          </w:tcPr>
          <w:p w14:paraId="03668B84" w14:textId="646602AE" w:rsidR="007A0B83" w:rsidRPr="005A7226" w:rsidRDefault="007A0B83" w:rsidP="007A0B83">
            <w:pPr>
              <w:pStyle w:val="TableText0"/>
              <w:jc w:val="center"/>
              <w:rPr>
                <w:szCs w:val="20"/>
              </w:rPr>
            </w:pPr>
            <w:r w:rsidRPr="005A7226">
              <w:rPr>
                <w:szCs w:val="20"/>
              </w:rPr>
              <w:t>0.93</w:t>
            </w:r>
            <w:r w:rsidR="00762A9A" w:rsidRPr="005A7226">
              <w:rPr>
                <w:szCs w:val="20"/>
                <w:vertAlign w:val="superscript"/>
              </w:rPr>
              <w:t>c</w:t>
            </w:r>
          </w:p>
        </w:tc>
        <w:tc>
          <w:tcPr>
            <w:tcW w:w="237" w:type="pct"/>
            <w:tcBorders>
              <w:top w:val="single" w:sz="4" w:space="0" w:color="auto"/>
              <w:left w:val="single" w:sz="4" w:space="0" w:color="auto"/>
              <w:bottom w:val="double" w:sz="4" w:space="0" w:color="auto"/>
              <w:right w:val="single" w:sz="4" w:space="0" w:color="auto"/>
            </w:tcBorders>
            <w:vAlign w:val="center"/>
          </w:tcPr>
          <w:p w14:paraId="100306B8" w14:textId="7E038946" w:rsidR="007A0B83" w:rsidRPr="005A7226" w:rsidRDefault="007A0B83" w:rsidP="007A0B83">
            <w:pPr>
              <w:pStyle w:val="TableText0"/>
              <w:jc w:val="center"/>
            </w:pPr>
            <w:r w:rsidRPr="005A7226">
              <w:t>523</w:t>
            </w:r>
          </w:p>
        </w:tc>
        <w:tc>
          <w:tcPr>
            <w:tcW w:w="465" w:type="pct"/>
            <w:gridSpan w:val="2"/>
            <w:tcBorders>
              <w:top w:val="single" w:sz="4" w:space="0" w:color="auto"/>
              <w:left w:val="single" w:sz="4" w:space="0" w:color="auto"/>
              <w:bottom w:val="double" w:sz="4" w:space="0" w:color="auto"/>
              <w:right w:val="single" w:sz="4" w:space="0" w:color="auto"/>
            </w:tcBorders>
            <w:vAlign w:val="center"/>
          </w:tcPr>
          <w:p w14:paraId="5F258A6C" w14:textId="578AA628" w:rsidR="007A0B83" w:rsidRPr="005A7226" w:rsidRDefault="007A0B83" w:rsidP="007A0B83">
            <w:pPr>
              <w:pStyle w:val="TableText0"/>
              <w:jc w:val="center"/>
              <w:rPr>
                <w:szCs w:val="20"/>
              </w:rPr>
            </w:pPr>
            <w:r w:rsidRPr="005A7226">
              <w:rPr>
                <w:szCs w:val="20"/>
              </w:rPr>
              <w:t xml:space="preserve">-0.46 </w:t>
            </w:r>
          </w:p>
        </w:tc>
        <w:tc>
          <w:tcPr>
            <w:tcW w:w="313" w:type="pct"/>
            <w:tcBorders>
              <w:top w:val="single" w:sz="4" w:space="0" w:color="auto"/>
              <w:left w:val="single" w:sz="4" w:space="0" w:color="auto"/>
              <w:bottom w:val="double" w:sz="4" w:space="0" w:color="auto"/>
              <w:right w:val="single" w:sz="4" w:space="0" w:color="auto"/>
            </w:tcBorders>
            <w:vAlign w:val="center"/>
          </w:tcPr>
          <w:p w14:paraId="3E3C394F" w14:textId="3881AA7F" w:rsidR="007A0B83" w:rsidRPr="005A7226" w:rsidRDefault="007A0B83" w:rsidP="007A0B83">
            <w:pPr>
              <w:pStyle w:val="TableText0"/>
              <w:jc w:val="center"/>
              <w:rPr>
                <w:szCs w:val="20"/>
              </w:rPr>
            </w:pPr>
            <w:r w:rsidRPr="005A7226">
              <w:rPr>
                <w:szCs w:val="20"/>
              </w:rPr>
              <w:t>0.79</w:t>
            </w:r>
            <w:r w:rsidR="00762A9A" w:rsidRPr="005A7226">
              <w:rPr>
                <w:szCs w:val="20"/>
                <w:vertAlign w:val="superscript"/>
              </w:rPr>
              <w:t>c</w:t>
            </w:r>
          </w:p>
        </w:tc>
        <w:tc>
          <w:tcPr>
            <w:tcW w:w="860" w:type="pct"/>
            <w:gridSpan w:val="2"/>
            <w:tcBorders>
              <w:top w:val="single" w:sz="4" w:space="0" w:color="auto"/>
              <w:left w:val="single" w:sz="4" w:space="0" w:color="auto"/>
              <w:bottom w:val="double" w:sz="4" w:space="0" w:color="auto"/>
              <w:right w:val="single" w:sz="4" w:space="0" w:color="auto"/>
            </w:tcBorders>
            <w:vAlign w:val="center"/>
          </w:tcPr>
          <w:p w14:paraId="276F7101" w14:textId="2BBECBE1" w:rsidR="007A0B83" w:rsidRPr="005A7226" w:rsidRDefault="00FD780F" w:rsidP="007A0B83">
            <w:pPr>
              <w:pStyle w:val="TableText0"/>
              <w:jc w:val="center"/>
              <w:rPr>
                <w:b/>
                <w:szCs w:val="20"/>
              </w:rPr>
            </w:pPr>
            <w:r w:rsidRPr="005A7226">
              <w:rPr>
                <w:b/>
                <w:szCs w:val="20"/>
              </w:rPr>
              <w:t>-0.35 (-0.47, -0.23)</w:t>
            </w:r>
            <w:r w:rsidR="00762A9A" w:rsidRPr="005A7226">
              <w:rPr>
                <w:b/>
                <w:szCs w:val="20"/>
                <w:vertAlign w:val="superscript"/>
              </w:rPr>
              <w:t>d</w:t>
            </w:r>
            <w:r w:rsidR="00710C48" w:rsidRPr="005A7226">
              <w:rPr>
                <w:b/>
                <w:szCs w:val="20"/>
                <w:vertAlign w:val="superscript"/>
              </w:rPr>
              <w:t>,</w:t>
            </w:r>
            <w:r w:rsidR="00710C48" w:rsidRPr="005A7226">
              <w:rPr>
                <w:vertAlign w:val="superscript"/>
              </w:rPr>
              <w:t xml:space="preserve"> e</w:t>
            </w:r>
          </w:p>
        </w:tc>
      </w:tr>
      <w:tr w:rsidR="00AC416A" w:rsidRPr="005A7226" w14:paraId="4F3A7FFC" w14:textId="77777777" w:rsidTr="002D07A1">
        <w:tc>
          <w:tcPr>
            <w:tcW w:w="5000" w:type="pct"/>
            <w:gridSpan w:val="12"/>
            <w:tcBorders>
              <w:top w:val="double" w:sz="4" w:space="0" w:color="auto"/>
              <w:left w:val="single" w:sz="4" w:space="0" w:color="auto"/>
              <w:bottom w:val="single" w:sz="4" w:space="0" w:color="auto"/>
              <w:right w:val="single" w:sz="4" w:space="0" w:color="auto"/>
            </w:tcBorders>
            <w:shd w:val="clear" w:color="auto" w:fill="auto"/>
          </w:tcPr>
          <w:tbl>
            <w:tblPr>
              <w:tblW w:w="5028" w:type="pct"/>
              <w:tblLayout w:type="fixed"/>
              <w:tblCellMar>
                <w:left w:w="28" w:type="dxa"/>
                <w:right w:w="28" w:type="dxa"/>
              </w:tblCellMar>
              <w:tblLook w:val="04A0" w:firstRow="1" w:lastRow="0" w:firstColumn="1" w:lastColumn="0" w:noHBand="0" w:noVBand="1"/>
              <w:tblCaption w:val="Table 8: Summary of comparative benefits and harms of fezolinetant and placebo (MHT unsuitable)"/>
            </w:tblPr>
            <w:tblGrid>
              <w:gridCol w:w="2685"/>
              <w:gridCol w:w="1131"/>
              <w:gridCol w:w="849"/>
              <w:gridCol w:w="1421"/>
              <w:gridCol w:w="706"/>
              <w:gridCol w:w="851"/>
              <w:gridCol w:w="1408"/>
            </w:tblGrid>
            <w:tr w:rsidR="00AC416A" w:rsidRPr="005A7226" w14:paraId="06AAD516" w14:textId="77777777">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783AE688" w14:textId="02BFE99D" w:rsidR="00AC416A" w:rsidRPr="005A7226" w:rsidRDefault="00AC416A" w:rsidP="00AC416A">
                  <w:pPr>
                    <w:pStyle w:val="In-tableHeading"/>
                    <w:rPr>
                      <w:lang w:val="en-AU"/>
                    </w:rPr>
                  </w:pPr>
                  <w:r w:rsidRPr="005A7226">
                    <w:rPr>
                      <w:lang w:val="en-AU"/>
                    </w:rPr>
                    <w:t>Responders (12 weeks)</w:t>
                  </w:r>
                </w:p>
              </w:tc>
            </w:tr>
            <w:tr w:rsidR="00AC416A" w:rsidRPr="005A7226" w14:paraId="7646AF96" w14:textId="77777777">
              <w:trPr>
                <w:trHeight w:val="70"/>
              </w:trPr>
              <w:tc>
                <w:tcPr>
                  <w:tcW w:w="148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BD7333" w14:textId="6B428FCF" w:rsidR="00AC416A" w:rsidRPr="005A7226" w:rsidRDefault="00AC416A" w:rsidP="00AC416A">
                  <w:pPr>
                    <w:pStyle w:val="In-tableHeading"/>
                    <w:rPr>
                      <w:b w:val="0"/>
                      <w:lang w:val="en-AU"/>
                    </w:rPr>
                  </w:pPr>
                  <w:r w:rsidRPr="005A7226">
                    <w:rPr>
                      <w:szCs w:val="20"/>
                      <w:lang w:val="en-AU"/>
                    </w:rPr>
                    <w:t xml:space="preserve">DAYLIGHT, SKYLIGHT 1 &amp; 2 pooled, MHT unsuitable, </w:t>
                  </w:r>
                  <w:proofErr w:type="spellStart"/>
                  <w:r w:rsidRPr="005A7226">
                    <w:rPr>
                      <w:szCs w:val="20"/>
                      <w:lang w:val="en-AU"/>
                    </w:rPr>
                    <w:t>Wk</w:t>
                  </w:r>
                  <w:proofErr w:type="spellEnd"/>
                  <w:r w:rsidRPr="005A7226">
                    <w:rPr>
                      <w:szCs w:val="20"/>
                      <w:lang w:val="en-AU"/>
                    </w:rPr>
                    <w:t xml:space="preserve"> 12 (post-hoc)</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14:paraId="18F94CF0" w14:textId="77777777" w:rsidR="00AC416A" w:rsidRPr="005A7226" w:rsidRDefault="00AC416A" w:rsidP="00AC416A">
                  <w:pPr>
                    <w:pStyle w:val="In-tableHeading"/>
                    <w:jc w:val="center"/>
                    <w:rPr>
                      <w:lang w:val="en-AU"/>
                    </w:rPr>
                  </w:pPr>
                  <w:r w:rsidRPr="005A7226">
                    <w:rPr>
                      <w:lang w:val="en-AU"/>
                    </w:rPr>
                    <w:t>FEZ 45 mg</w:t>
                  </w:r>
                </w:p>
                <w:p w14:paraId="2F094BC2" w14:textId="40827524" w:rsidR="00AC416A" w:rsidRPr="005A7226" w:rsidRDefault="00AC416A" w:rsidP="00AC416A">
                  <w:pPr>
                    <w:pStyle w:val="In-tableHeading"/>
                    <w:jc w:val="center"/>
                    <w:rPr>
                      <w:lang w:val="en-AU"/>
                    </w:rPr>
                  </w:pPr>
                  <w:r w:rsidRPr="005A7226">
                    <w:rPr>
                      <w:lang w:val="en-AU"/>
                    </w:rPr>
                    <w:t>n/N</w:t>
                  </w:r>
                  <w:r w:rsidR="009B2176" w:rsidRPr="005A7226">
                    <w:rPr>
                      <w:lang w:val="en-AU"/>
                    </w:rPr>
                    <w:t xml:space="preserve"> </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12AC30A3" w14:textId="77777777" w:rsidR="00AC416A" w:rsidRPr="005A7226" w:rsidRDefault="00AC416A" w:rsidP="00AC416A">
                  <w:pPr>
                    <w:pStyle w:val="In-tableHeading"/>
                    <w:jc w:val="center"/>
                    <w:rPr>
                      <w:lang w:val="en-AU"/>
                    </w:rPr>
                  </w:pPr>
                  <w:r w:rsidRPr="005A7226">
                    <w:rPr>
                      <w:lang w:val="en-AU"/>
                    </w:rPr>
                    <w:t>PBO</w:t>
                  </w:r>
                </w:p>
                <w:p w14:paraId="72D2AAEA" w14:textId="77777777" w:rsidR="00AC416A" w:rsidRPr="005A7226" w:rsidRDefault="00AC416A" w:rsidP="00AC416A">
                  <w:pPr>
                    <w:pStyle w:val="In-tableHeading"/>
                    <w:jc w:val="center"/>
                    <w:rPr>
                      <w:lang w:val="en-AU"/>
                    </w:rPr>
                  </w:pPr>
                  <w:r w:rsidRPr="005A7226">
                    <w:rPr>
                      <w:lang w:val="en-AU"/>
                    </w:rPr>
                    <w:t>n/N</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16F3BAB6" w14:textId="77777777" w:rsidR="00AC416A" w:rsidRPr="005A7226" w:rsidRDefault="00AC416A" w:rsidP="00AC416A">
                  <w:pPr>
                    <w:pStyle w:val="In-tableHeading"/>
                    <w:jc w:val="center"/>
                    <w:rPr>
                      <w:lang w:val="en-AU"/>
                    </w:rPr>
                  </w:pPr>
                  <w:r w:rsidRPr="005A7226">
                    <w:rPr>
                      <w:lang w:val="en-AU"/>
                    </w:rPr>
                    <w:t>RR</w:t>
                  </w:r>
                </w:p>
                <w:p w14:paraId="1F4E9A95" w14:textId="5E0C17A4" w:rsidR="00AC416A" w:rsidRPr="005A7226" w:rsidRDefault="00AC416A" w:rsidP="00AC416A">
                  <w:pPr>
                    <w:pStyle w:val="In-tableHeading"/>
                    <w:jc w:val="center"/>
                    <w:rPr>
                      <w:lang w:val="en-AU"/>
                    </w:rPr>
                  </w:pPr>
                  <w:r w:rsidRPr="005A7226">
                    <w:rPr>
                      <w:lang w:val="en-AU"/>
                    </w:rPr>
                    <w:t>(95% CI)</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258CFE07" w14:textId="77777777" w:rsidR="00AC416A" w:rsidRPr="005A7226" w:rsidRDefault="00AC416A" w:rsidP="00AC416A">
                  <w:pPr>
                    <w:pStyle w:val="In-tableHeading"/>
                    <w:jc w:val="center"/>
                    <w:rPr>
                      <w:lang w:val="en-AU"/>
                    </w:rPr>
                  </w:pPr>
                  <w:r w:rsidRPr="005A7226">
                    <w:rPr>
                      <w:lang w:val="en-AU"/>
                    </w:rPr>
                    <w:t>Event rate/100 patients*</w:t>
                  </w:r>
                </w:p>
              </w:tc>
              <w:tc>
                <w:tcPr>
                  <w:tcW w:w="778" w:type="pct"/>
                  <w:vMerge w:val="restart"/>
                  <w:tcBorders>
                    <w:top w:val="single" w:sz="4" w:space="0" w:color="auto"/>
                    <w:left w:val="single" w:sz="4" w:space="0" w:color="auto"/>
                    <w:bottom w:val="single" w:sz="4" w:space="0" w:color="auto"/>
                    <w:right w:val="single" w:sz="4" w:space="0" w:color="auto"/>
                  </w:tcBorders>
                  <w:vAlign w:val="center"/>
                </w:tcPr>
                <w:p w14:paraId="2CFA195A" w14:textId="77777777" w:rsidR="00AC416A" w:rsidRPr="005A7226" w:rsidRDefault="00AC416A" w:rsidP="00AC416A">
                  <w:pPr>
                    <w:pStyle w:val="In-tableHeading"/>
                    <w:jc w:val="center"/>
                    <w:rPr>
                      <w:lang w:val="en-AU"/>
                    </w:rPr>
                  </w:pPr>
                  <w:r w:rsidRPr="005A7226">
                    <w:rPr>
                      <w:lang w:val="en-AU"/>
                    </w:rPr>
                    <w:t>RD</w:t>
                  </w:r>
                </w:p>
                <w:p w14:paraId="11AB5E20" w14:textId="4E5FA685" w:rsidR="00AC416A" w:rsidRPr="005A7226" w:rsidRDefault="00AC416A" w:rsidP="00AC416A">
                  <w:pPr>
                    <w:pStyle w:val="In-tableHeading"/>
                    <w:jc w:val="center"/>
                    <w:rPr>
                      <w:lang w:val="en-AU"/>
                    </w:rPr>
                  </w:pPr>
                  <w:r w:rsidRPr="005A7226">
                    <w:rPr>
                      <w:lang w:val="en-AU"/>
                    </w:rPr>
                    <w:t>(95% CI)</w:t>
                  </w:r>
                </w:p>
              </w:tc>
            </w:tr>
            <w:tr w:rsidR="00AC416A" w:rsidRPr="005A7226" w14:paraId="4414060F" w14:textId="77777777">
              <w:trPr>
                <w:trHeight w:val="390"/>
              </w:trPr>
              <w:tc>
                <w:tcPr>
                  <w:tcW w:w="14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0CB1604" w14:textId="77777777" w:rsidR="00AC416A" w:rsidRPr="005A7226" w:rsidRDefault="00AC416A" w:rsidP="00AC416A">
                  <w:pPr>
                    <w:pStyle w:val="In-tableHeading"/>
                    <w:rPr>
                      <w:lang w:val="en-AU"/>
                    </w:rPr>
                  </w:pPr>
                </w:p>
              </w:tc>
              <w:tc>
                <w:tcPr>
                  <w:tcW w:w="625" w:type="pct"/>
                  <w:vMerge/>
                  <w:tcBorders>
                    <w:top w:val="single" w:sz="4" w:space="0" w:color="auto"/>
                    <w:left w:val="single" w:sz="4" w:space="0" w:color="auto"/>
                    <w:bottom w:val="single" w:sz="4" w:space="0" w:color="auto"/>
                    <w:right w:val="single" w:sz="4" w:space="0" w:color="auto"/>
                  </w:tcBorders>
                  <w:vAlign w:val="center"/>
                </w:tcPr>
                <w:p w14:paraId="5A184921" w14:textId="77777777" w:rsidR="00AC416A" w:rsidRPr="005A7226" w:rsidRDefault="00AC416A" w:rsidP="00AC416A">
                  <w:pPr>
                    <w:pStyle w:val="In-tableHeading"/>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70BA613C" w14:textId="77777777" w:rsidR="00AC416A" w:rsidRPr="005A7226" w:rsidRDefault="00AC416A" w:rsidP="00AC416A">
                  <w:pPr>
                    <w:pStyle w:val="In-tableHeading"/>
                    <w:rPr>
                      <w:lang w:val="en-AU"/>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39312A5E" w14:textId="77777777" w:rsidR="00AC416A" w:rsidRPr="005A7226" w:rsidRDefault="00AC416A" w:rsidP="00AC416A">
                  <w:pPr>
                    <w:pStyle w:val="In-tableHeading"/>
                    <w:rPr>
                      <w:lang w:val="en-AU"/>
                    </w:rPr>
                  </w:pPr>
                </w:p>
              </w:tc>
              <w:tc>
                <w:tcPr>
                  <w:tcW w:w="390" w:type="pct"/>
                  <w:tcBorders>
                    <w:top w:val="single" w:sz="4" w:space="0" w:color="auto"/>
                    <w:left w:val="single" w:sz="4" w:space="0" w:color="auto"/>
                    <w:bottom w:val="single" w:sz="4" w:space="0" w:color="auto"/>
                    <w:right w:val="single" w:sz="4" w:space="0" w:color="auto"/>
                  </w:tcBorders>
                  <w:vAlign w:val="center"/>
                </w:tcPr>
                <w:p w14:paraId="2E331D75" w14:textId="77777777" w:rsidR="00AC416A" w:rsidRPr="005A7226" w:rsidRDefault="00AC416A" w:rsidP="00AC416A">
                  <w:pPr>
                    <w:pStyle w:val="In-tableHeading"/>
                    <w:jc w:val="center"/>
                    <w:rPr>
                      <w:lang w:val="en-AU"/>
                    </w:rPr>
                  </w:pPr>
                  <w:r w:rsidRPr="005A7226">
                    <w:rPr>
                      <w:lang w:val="en-AU"/>
                    </w:rPr>
                    <w:t xml:space="preserve">FEZ 45 </w:t>
                  </w:r>
                </w:p>
              </w:tc>
              <w:tc>
                <w:tcPr>
                  <w:tcW w:w="470" w:type="pct"/>
                  <w:tcBorders>
                    <w:top w:val="single" w:sz="4" w:space="0" w:color="auto"/>
                    <w:left w:val="single" w:sz="4" w:space="0" w:color="auto"/>
                    <w:bottom w:val="single" w:sz="4" w:space="0" w:color="auto"/>
                    <w:right w:val="single" w:sz="4" w:space="0" w:color="auto"/>
                  </w:tcBorders>
                  <w:vAlign w:val="center"/>
                </w:tcPr>
                <w:p w14:paraId="79FDEC04" w14:textId="77777777" w:rsidR="00AC416A" w:rsidRPr="005A7226" w:rsidRDefault="00AC416A" w:rsidP="00AC416A">
                  <w:pPr>
                    <w:pStyle w:val="In-tableHeading"/>
                    <w:jc w:val="center"/>
                    <w:rPr>
                      <w:lang w:val="en-AU"/>
                    </w:rPr>
                  </w:pPr>
                  <w:r w:rsidRPr="005A7226">
                    <w:rPr>
                      <w:lang w:val="en-AU"/>
                    </w:rPr>
                    <w:t>PBO</w:t>
                  </w:r>
                </w:p>
              </w:tc>
              <w:tc>
                <w:tcPr>
                  <w:tcW w:w="778" w:type="pct"/>
                  <w:vMerge/>
                  <w:tcBorders>
                    <w:top w:val="single" w:sz="4" w:space="0" w:color="auto"/>
                    <w:left w:val="single" w:sz="4" w:space="0" w:color="auto"/>
                    <w:bottom w:val="single" w:sz="4" w:space="0" w:color="auto"/>
                    <w:right w:val="single" w:sz="4" w:space="0" w:color="auto"/>
                  </w:tcBorders>
                  <w:vAlign w:val="center"/>
                </w:tcPr>
                <w:p w14:paraId="1D543F7B" w14:textId="77777777" w:rsidR="00AC416A" w:rsidRPr="005A7226" w:rsidRDefault="00AC416A" w:rsidP="00AC416A">
                  <w:pPr>
                    <w:pStyle w:val="In-tableHeading"/>
                    <w:rPr>
                      <w:lang w:val="en-AU"/>
                    </w:rPr>
                  </w:pPr>
                </w:p>
              </w:tc>
            </w:tr>
            <w:tr w:rsidR="00AC416A" w:rsidRPr="005A7226" w14:paraId="099860C9" w14:textId="77777777">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4F394604" w14:textId="5DAD55FE" w:rsidR="00AC416A" w:rsidRPr="005A7226" w:rsidRDefault="00AC416A" w:rsidP="00AC416A">
                  <w:pPr>
                    <w:pStyle w:val="TableText0"/>
                    <w:rPr>
                      <w:bCs w:val="0"/>
                    </w:rPr>
                  </w:pPr>
                  <w:r w:rsidRPr="005A7226">
                    <w:rPr>
                      <w:bCs w:val="0"/>
                      <w:szCs w:val="20"/>
                    </w:rPr>
                    <w:t>Responders of ≥75% reduction from baseline in mean frequency of moderate-severe VMS per 24h</w:t>
                  </w:r>
                </w:p>
              </w:tc>
              <w:tc>
                <w:tcPr>
                  <w:tcW w:w="625" w:type="pct"/>
                  <w:tcBorders>
                    <w:top w:val="single" w:sz="4" w:space="0" w:color="auto"/>
                    <w:left w:val="single" w:sz="4" w:space="0" w:color="auto"/>
                    <w:bottom w:val="single" w:sz="4" w:space="0" w:color="auto"/>
                    <w:right w:val="single" w:sz="4" w:space="0" w:color="auto"/>
                  </w:tcBorders>
                  <w:vAlign w:val="center"/>
                </w:tcPr>
                <w:p w14:paraId="633FD5C0" w14:textId="148901DC" w:rsidR="00AC416A" w:rsidRPr="005A7226" w:rsidRDefault="009B2176" w:rsidP="00AC416A">
                  <w:pPr>
                    <w:pStyle w:val="TableText0"/>
                    <w:jc w:val="center"/>
                  </w:pPr>
                  <w:r w:rsidRPr="005A7226">
                    <w:t>328/513</w:t>
                  </w:r>
                </w:p>
              </w:tc>
              <w:tc>
                <w:tcPr>
                  <w:tcW w:w="469" w:type="pct"/>
                  <w:tcBorders>
                    <w:top w:val="single" w:sz="4" w:space="0" w:color="auto"/>
                    <w:left w:val="single" w:sz="4" w:space="0" w:color="auto"/>
                    <w:bottom w:val="single" w:sz="4" w:space="0" w:color="auto"/>
                    <w:right w:val="single" w:sz="4" w:space="0" w:color="auto"/>
                  </w:tcBorders>
                  <w:vAlign w:val="center"/>
                </w:tcPr>
                <w:p w14:paraId="22F81FD6" w14:textId="5BD76E9C" w:rsidR="00AC416A" w:rsidRPr="005A7226" w:rsidRDefault="009B2176" w:rsidP="00AC416A">
                  <w:pPr>
                    <w:pStyle w:val="TableText0"/>
                    <w:jc w:val="center"/>
                  </w:pPr>
                  <w:r w:rsidRPr="005A7226">
                    <w:t>212/523</w:t>
                  </w:r>
                </w:p>
              </w:tc>
              <w:tc>
                <w:tcPr>
                  <w:tcW w:w="785" w:type="pct"/>
                  <w:tcBorders>
                    <w:top w:val="single" w:sz="4" w:space="0" w:color="auto"/>
                    <w:left w:val="single" w:sz="4" w:space="0" w:color="auto"/>
                    <w:bottom w:val="single" w:sz="4" w:space="0" w:color="auto"/>
                    <w:right w:val="single" w:sz="4" w:space="0" w:color="auto"/>
                  </w:tcBorders>
                  <w:vAlign w:val="center"/>
                </w:tcPr>
                <w:p w14:paraId="23EA1C9A" w14:textId="39ACC3FB" w:rsidR="00AC416A" w:rsidRPr="005A7226" w:rsidRDefault="00AC416A" w:rsidP="00AC416A">
                  <w:pPr>
                    <w:pStyle w:val="TableText0"/>
                    <w:jc w:val="center"/>
                  </w:pPr>
                  <w:r w:rsidRPr="005A7226">
                    <w:rPr>
                      <w:rFonts w:eastAsia="Times New Roman" w:cs="Arial"/>
                      <w:bCs w:val="0"/>
                      <w:szCs w:val="20"/>
                    </w:rPr>
                    <w:t>NR</w:t>
                  </w:r>
                </w:p>
              </w:tc>
              <w:tc>
                <w:tcPr>
                  <w:tcW w:w="390" w:type="pct"/>
                  <w:tcBorders>
                    <w:top w:val="single" w:sz="4" w:space="0" w:color="auto"/>
                    <w:left w:val="single" w:sz="4" w:space="0" w:color="auto"/>
                    <w:bottom w:val="single" w:sz="4" w:space="0" w:color="auto"/>
                    <w:right w:val="single" w:sz="4" w:space="0" w:color="auto"/>
                  </w:tcBorders>
                  <w:vAlign w:val="center"/>
                </w:tcPr>
                <w:p w14:paraId="6757FAD6" w14:textId="2C6E20F4" w:rsidR="00AC416A" w:rsidRPr="005A7226" w:rsidRDefault="009B2176" w:rsidP="00AC416A">
                  <w:pPr>
                    <w:pStyle w:val="TableText0"/>
                    <w:jc w:val="center"/>
                  </w:pPr>
                  <w:r w:rsidRPr="005A7226">
                    <w:t>63.9</w:t>
                  </w:r>
                </w:p>
              </w:tc>
              <w:tc>
                <w:tcPr>
                  <w:tcW w:w="470" w:type="pct"/>
                  <w:tcBorders>
                    <w:top w:val="single" w:sz="4" w:space="0" w:color="auto"/>
                    <w:left w:val="single" w:sz="4" w:space="0" w:color="auto"/>
                    <w:bottom w:val="single" w:sz="4" w:space="0" w:color="auto"/>
                    <w:right w:val="single" w:sz="4" w:space="0" w:color="auto"/>
                  </w:tcBorders>
                  <w:vAlign w:val="center"/>
                </w:tcPr>
                <w:p w14:paraId="353EDB1B" w14:textId="62F36D75" w:rsidR="00AC416A" w:rsidRPr="005A7226" w:rsidRDefault="009B2176" w:rsidP="00AC416A">
                  <w:pPr>
                    <w:pStyle w:val="TableText0"/>
                    <w:jc w:val="center"/>
                  </w:pPr>
                  <w:r w:rsidRPr="005A7226">
                    <w:t>40.5</w:t>
                  </w:r>
                </w:p>
              </w:tc>
              <w:tc>
                <w:tcPr>
                  <w:tcW w:w="778" w:type="pct"/>
                  <w:tcBorders>
                    <w:top w:val="single" w:sz="4" w:space="0" w:color="auto"/>
                    <w:left w:val="single" w:sz="4" w:space="0" w:color="auto"/>
                    <w:bottom w:val="single" w:sz="4" w:space="0" w:color="auto"/>
                    <w:right w:val="single" w:sz="4" w:space="0" w:color="auto"/>
                  </w:tcBorders>
                  <w:vAlign w:val="center"/>
                </w:tcPr>
                <w:p w14:paraId="47685BD9" w14:textId="09C45C58" w:rsidR="00AC416A" w:rsidRPr="005A7226" w:rsidRDefault="006350D9" w:rsidP="00AC416A">
                  <w:pPr>
                    <w:pStyle w:val="TableText0"/>
                    <w:jc w:val="center"/>
                  </w:pPr>
                  <w:r w:rsidRPr="005A7226">
                    <w:t>23 (NR, NR)</w:t>
                  </w:r>
                </w:p>
              </w:tc>
            </w:tr>
            <w:tr w:rsidR="00AC416A" w:rsidRPr="005A7226" w14:paraId="2B8A4496" w14:textId="77777777">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35C5C767" w14:textId="5E706ACE" w:rsidR="00AC416A" w:rsidRPr="005A7226" w:rsidRDefault="00AC416A" w:rsidP="00AC416A">
                  <w:pPr>
                    <w:pStyle w:val="TableText0"/>
                    <w:rPr>
                      <w:bCs w:val="0"/>
                    </w:rPr>
                  </w:pPr>
                  <w:r w:rsidRPr="005A7226">
                    <w:rPr>
                      <w:bCs w:val="0"/>
                      <w:szCs w:val="20"/>
                    </w:rPr>
                    <w:t>Responders of ≥50% reduction from baseline in mean frequency of moderate-severe VMS per 24h</w:t>
                  </w:r>
                </w:p>
              </w:tc>
              <w:tc>
                <w:tcPr>
                  <w:tcW w:w="625" w:type="pct"/>
                  <w:tcBorders>
                    <w:top w:val="single" w:sz="4" w:space="0" w:color="auto"/>
                    <w:left w:val="single" w:sz="4" w:space="0" w:color="auto"/>
                    <w:bottom w:val="single" w:sz="4" w:space="0" w:color="auto"/>
                    <w:right w:val="single" w:sz="4" w:space="0" w:color="auto"/>
                  </w:tcBorders>
                  <w:vAlign w:val="center"/>
                </w:tcPr>
                <w:p w14:paraId="7F7F7FB9" w14:textId="6E5CDDF2" w:rsidR="00AC416A" w:rsidRPr="005A7226" w:rsidRDefault="006350D9" w:rsidP="00AC416A">
                  <w:pPr>
                    <w:pStyle w:val="TableText0"/>
                    <w:jc w:val="center"/>
                  </w:pPr>
                  <w:r w:rsidRPr="005A7226">
                    <w:t>223/513</w:t>
                  </w:r>
                </w:p>
              </w:tc>
              <w:tc>
                <w:tcPr>
                  <w:tcW w:w="469" w:type="pct"/>
                  <w:tcBorders>
                    <w:top w:val="single" w:sz="4" w:space="0" w:color="auto"/>
                    <w:left w:val="single" w:sz="4" w:space="0" w:color="auto"/>
                    <w:bottom w:val="single" w:sz="4" w:space="0" w:color="auto"/>
                    <w:right w:val="single" w:sz="4" w:space="0" w:color="auto"/>
                  </w:tcBorders>
                  <w:vAlign w:val="center"/>
                </w:tcPr>
                <w:p w14:paraId="5953DD15" w14:textId="52BD6ABE" w:rsidR="00AC416A" w:rsidRPr="005A7226" w:rsidRDefault="006350D9" w:rsidP="00AC416A">
                  <w:pPr>
                    <w:pStyle w:val="TableText0"/>
                    <w:jc w:val="center"/>
                  </w:pPr>
                  <w:r w:rsidRPr="005A7226">
                    <w:t>119/523</w:t>
                  </w:r>
                </w:p>
              </w:tc>
              <w:tc>
                <w:tcPr>
                  <w:tcW w:w="785" w:type="pct"/>
                  <w:tcBorders>
                    <w:top w:val="single" w:sz="4" w:space="0" w:color="auto"/>
                    <w:left w:val="single" w:sz="4" w:space="0" w:color="auto"/>
                    <w:bottom w:val="single" w:sz="4" w:space="0" w:color="auto"/>
                    <w:right w:val="single" w:sz="4" w:space="0" w:color="auto"/>
                  </w:tcBorders>
                  <w:vAlign w:val="center"/>
                </w:tcPr>
                <w:p w14:paraId="015558A8" w14:textId="765902B0" w:rsidR="00AC416A" w:rsidRPr="005A7226" w:rsidRDefault="00AC416A" w:rsidP="00AC416A">
                  <w:pPr>
                    <w:pStyle w:val="TableText0"/>
                    <w:jc w:val="center"/>
                  </w:pPr>
                  <w:r w:rsidRPr="005A7226">
                    <w:rPr>
                      <w:szCs w:val="20"/>
                    </w:rPr>
                    <w:t>NR</w:t>
                  </w:r>
                </w:p>
              </w:tc>
              <w:tc>
                <w:tcPr>
                  <w:tcW w:w="390" w:type="pct"/>
                  <w:tcBorders>
                    <w:top w:val="single" w:sz="4" w:space="0" w:color="auto"/>
                    <w:left w:val="single" w:sz="4" w:space="0" w:color="auto"/>
                    <w:bottom w:val="single" w:sz="4" w:space="0" w:color="auto"/>
                    <w:right w:val="single" w:sz="4" w:space="0" w:color="auto"/>
                  </w:tcBorders>
                  <w:vAlign w:val="center"/>
                </w:tcPr>
                <w:p w14:paraId="4236D955" w14:textId="2E643470" w:rsidR="00AC416A" w:rsidRPr="005A7226" w:rsidRDefault="00D9050A" w:rsidP="00AC416A">
                  <w:pPr>
                    <w:pStyle w:val="TableText0"/>
                    <w:jc w:val="center"/>
                  </w:pPr>
                  <w:r w:rsidRPr="005A7226">
                    <w:t>43.5</w:t>
                  </w:r>
                </w:p>
              </w:tc>
              <w:tc>
                <w:tcPr>
                  <w:tcW w:w="470" w:type="pct"/>
                  <w:tcBorders>
                    <w:top w:val="single" w:sz="4" w:space="0" w:color="auto"/>
                    <w:left w:val="single" w:sz="4" w:space="0" w:color="auto"/>
                    <w:bottom w:val="single" w:sz="4" w:space="0" w:color="auto"/>
                    <w:right w:val="single" w:sz="4" w:space="0" w:color="auto"/>
                  </w:tcBorders>
                  <w:vAlign w:val="center"/>
                </w:tcPr>
                <w:p w14:paraId="4D3C637A" w14:textId="3987FA56" w:rsidR="00AC416A" w:rsidRPr="005A7226" w:rsidRDefault="00D9050A" w:rsidP="00AC416A">
                  <w:pPr>
                    <w:pStyle w:val="TableText0"/>
                    <w:jc w:val="center"/>
                  </w:pPr>
                  <w:r w:rsidRPr="005A7226">
                    <w:t>22.8</w:t>
                  </w:r>
                </w:p>
              </w:tc>
              <w:tc>
                <w:tcPr>
                  <w:tcW w:w="778" w:type="pct"/>
                  <w:tcBorders>
                    <w:top w:val="single" w:sz="4" w:space="0" w:color="auto"/>
                    <w:left w:val="single" w:sz="4" w:space="0" w:color="auto"/>
                    <w:bottom w:val="single" w:sz="4" w:space="0" w:color="auto"/>
                    <w:right w:val="single" w:sz="4" w:space="0" w:color="auto"/>
                  </w:tcBorders>
                  <w:vAlign w:val="center"/>
                </w:tcPr>
                <w:p w14:paraId="20C11D35" w14:textId="6B21FB58" w:rsidR="00AC416A" w:rsidRPr="005A7226" w:rsidRDefault="00D9050A" w:rsidP="00AC416A">
                  <w:pPr>
                    <w:pStyle w:val="TableText0"/>
                    <w:jc w:val="center"/>
                  </w:pPr>
                  <w:r w:rsidRPr="005A7226">
                    <w:t>21 (NR, NR)</w:t>
                  </w:r>
                </w:p>
              </w:tc>
            </w:tr>
          </w:tbl>
          <w:p w14:paraId="305886DC" w14:textId="77777777" w:rsidR="00AC416A" w:rsidRPr="005A7226" w:rsidRDefault="00AC416A" w:rsidP="00AC416A">
            <w:pPr>
              <w:pStyle w:val="In-tableHeading"/>
              <w:rPr>
                <w:lang w:val="en-AU"/>
              </w:rPr>
            </w:pPr>
          </w:p>
        </w:tc>
      </w:tr>
      <w:tr w:rsidR="00B93A6C" w:rsidRPr="005A7226" w14:paraId="4407F678" w14:textId="77777777" w:rsidTr="0032599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664D717F" w14:textId="572DFB56" w:rsidR="00B93A6C" w:rsidRPr="005A7226" w:rsidRDefault="00B93A6C" w:rsidP="00B93A6C">
            <w:pPr>
              <w:pStyle w:val="In-tableHeading"/>
              <w:rPr>
                <w:lang w:val="en-AU"/>
              </w:rPr>
            </w:pPr>
            <w:r w:rsidRPr="005A7226">
              <w:rPr>
                <w:lang w:val="en-AU"/>
              </w:rPr>
              <w:t>Harms</w:t>
            </w:r>
            <w:r w:rsidR="007A0B83" w:rsidRPr="005A7226">
              <w:rPr>
                <w:lang w:val="en-AU"/>
              </w:rPr>
              <w:t xml:space="preserve"> (24 weeks)</w:t>
            </w:r>
          </w:p>
        </w:tc>
      </w:tr>
      <w:tr w:rsidR="001E4BF4" w:rsidRPr="005A7226" w14:paraId="552C6872" w14:textId="77777777" w:rsidTr="000A7553">
        <w:trPr>
          <w:trHeight w:val="70"/>
        </w:trPr>
        <w:tc>
          <w:tcPr>
            <w:tcW w:w="148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873190" w14:textId="73C3468D" w:rsidR="00B93A6C" w:rsidRPr="005A7226" w:rsidRDefault="007A0B83" w:rsidP="00B93A6C">
            <w:pPr>
              <w:pStyle w:val="In-tableHeading"/>
              <w:rPr>
                <w:b w:val="0"/>
                <w:lang w:val="en-AU"/>
              </w:rPr>
            </w:pPr>
            <w:r w:rsidRPr="005A7226">
              <w:rPr>
                <w:b w:val="0"/>
                <w:lang w:val="en-AU"/>
              </w:rPr>
              <w:t>DAYLIGHT</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14:paraId="5D851E3A" w14:textId="5D22E005" w:rsidR="00B93A6C" w:rsidRPr="005A7226" w:rsidRDefault="007A0B83" w:rsidP="00B93A6C">
            <w:pPr>
              <w:pStyle w:val="In-tableHeading"/>
              <w:jc w:val="center"/>
              <w:rPr>
                <w:lang w:val="en-AU"/>
              </w:rPr>
            </w:pPr>
            <w:r w:rsidRPr="005A7226">
              <w:rPr>
                <w:lang w:val="en-AU"/>
              </w:rPr>
              <w:t>FEZ 45</w:t>
            </w:r>
            <w:r w:rsidR="00B93A6C" w:rsidRPr="005A7226">
              <w:rPr>
                <w:lang w:val="en-AU"/>
              </w:rPr>
              <w:t xml:space="preserve"> </w:t>
            </w:r>
            <w:r w:rsidRPr="005A7226">
              <w:rPr>
                <w:lang w:val="en-AU"/>
              </w:rPr>
              <w:t>mg</w:t>
            </w:r>
          </w:p>
          <w:p w14:paraId="56E58AC2" w14:textId="77777777" w:rsidR="00B93A6C" w:rsidRPr="005A7226" w:rsidRDefault="00B93A6C" w:rsidP="00B93A6C">
            <w:pPr>
              <w:pStyle w:val="In-tableHeading"/>
              <w:jc w:val="center"/>
              <w:rPr>
                <w:lang w:val="en-AU"/>
              </w:rPr>
            </w:pPr>
            <w:r w:rsidRPr="005A7226">
              <w:rPr>
                <w:lang w:val="en-AU"/>
              </w:rPr>
              <w:t>n/N</w:t>
            </w:r>
          </w:p>
        </w:tc>
        <w:tc>
          <w:tcPr>
            <w:tcW w:w="469" w:type="pct"/>
            <w:gridSpan w:val="2"/>
            <w:vMerge w:val="restart"/>
            <w:tcBorders>
              <w:top w:val="single" w:sz="4" w:space="0" w:color="auto"/>
              <w:left w:val="single" w:sz="4" w:space="0" w:color="auto"/>
              <w:bottom w:val="single" w:sz="4" w:space="0" w:color="auto"/>
              <w:right w:val="single" w:sz="4" w:space="0" w:color="auto"/>
            </w:tcBorders>
            <w:vAlign w:val="center"/>
          </w:tcPr>
          <w:p w14:paraId="3F092B2A" w14:textId="69DC6B4B" w:rsidR="00B93A6C" w:rsidRPr="005A7226" w:rsidRDefault="007A0B83" w:rsidP="00B93A6C">
            <w:pPr>
              <w:pStyle w:val="In-tableHeading"/>
              <w:jc w:val="center"/>
              <w:rPr>
                <w:lang w:val="en-AU"/>
              </w:rPr>
            </w:pPr>
            <w:r w:rsidRPr="005A7226">
              <w:rPr>
                <w:lang w:val="en-AU"/>
              </w:rPr>
              <w:t>PBO</w:t>
            </w:r>
          </w:p>
          <w:p w14:paraId="5DC9B94E" w14:textId="77777777" w:rsidR="00B93A6C" w:rsidRPr="005A7226" w:rsidRDefault="00B93A6C" w:rsidP="00B93A6C">
            <w:pPr>
              <w:pStyle w:val="In-tableHeading"/>
              <w:jc w:val="center"/>
              <w:rPr>
                <w:lang w:val="en-AU"/>
              </w:rPr>
            </w:pPr>
            <w:r w:rsidRPr="005A7226">
              <w:rPr>
                <w:lang w:val="en-AU"/>
              </w:rPr>
              <w:t>n/N</w:t>
            </w:r>
          </w:p>
        </w:tc>
        <w:tc>
          <w:tcPr>
            <w:tcW w:w="785" w:type="pct"/>
            <w:gridSpan w:val="3"/>
            <w:vMerge w:val="restart"/>
            <w:tcBorders>
              <w:top w:val="single" w:sz="4" w:space="0" w:color="auto"/>
              <w:left w:val="single" w:sz="4" w:space="0" w:color="auto"/>
              <w:bottom w:val="single" w:sz="4" w:space="0" w:color="auto"/>
              <w:right w:val="single" w:sz="4" w:space="0" w:color="auto"/>
            </w:tcBorders>
            <w:vAlign w:val="center"/>
          </w:tcPr>
          <w:p w14:paraId="1ED6D761" w14:textId="5B9DA1CF" w:rsidR="00B93A6C" w:rsidRPr="005A7226" w:rsidRDefault="00B93A6C" w:rsidP="00B93A6C">
            <w:pPr>
              <w:pStyle w:val="In-tableHeading"/>
              <w:jc w:val="center"/>
              <w:rPr>
                <w:lang w:val="en-AU"/>
              </w:rPr>
            </w:pPr>
            <w:r w:rsidRPr="005A7226">
              <w:rPr>
                <w:lang w:val="en-AU"/>
              </w:rPr>
              <w:t>RR</w:t>
            </w:r>
          </w:p>
          <w:p w14:paraId="33116940" w14:textId="4955669A" w:rsidR="00B93A6C" w:rsidRPr="005A7226" w:rsidRDefault="00B93A6C" w:rsidP="00B93A6C">
            <w:pPr>
              <w:pStyle w:val="In-tableHeading"/>
              <w:jc w:val="center"/>
              <w:rPr>
                <w:lang w:val="en-AU"/>
              </w:rPr>
            </w:pPr>
            <w:r w:rsidRPr="005A7226">
              <w:rPr>
                <w:lang w:val="en-AU"/>
              </w:rPr>
              <w:t>(95% CI)</w:t>
            </w:r>
            <w:r w:rsidR="007D7354" w:rsidRPr="005A7226">
              <w:rPr>
                <w:vertAlign w:val="superscript"/>
                <w:lang w:val="en-AU"/>
              </w:rPr>
              <w:t>e</w:t>
            </w:r>
          </w:p>
        </w:tc>
        <w:tc>
          <w:tcPr>
            <w:tcW w:w="860" w:type="pct"/>
            <w:gridSpan w:val="4"/>
            <w:tcBorders>
              <w:top w:val="single" w:sz="4" w:space="0" w:color="auto"/>
              <w:left w:val="single" w:sz="4" w:space="0" w:color="auto"/>
              <w:bottom w:val="single" w:sz="4" w:space="0" w:color="auto"/>
              <w:right w:val="single" w:sz="4" w:space="0" w:color="auto"/>
            </w:tcBorders>
            <w:vAlign w:val="center"/>
          </w:tcPr>
          <w:p w14:paraId="3DFF7AE4" w14:textId="77777777" w:rsidR="00B93A6C" w:rsidRPr="005A7226" w:rsidRDefault="00B93A6C" w:rsidP="00B93A6C">
            <w:pPr>
              <w:pStyle w:val="In-tableHeading"/>
              <w:jc w:val="center"/>
              <w:rPr>
                <w:lang w:val="en-AU"/>
              </w:rPr>
            </w:pPr>
            <w:r w:rsidRPr="005A7226">
              <w:rPr>
                <w:lang w:val="en-AU"/>
              </w:rPr>
              <w:t>Event rate/100 patients*</w:t>
            </w:r>
          </w:p>
        </w:tc>
        <w:tc>
          <w:tcPr>
            <w:tcW w:w="778" w:type="pct"/>
            <w:vMerge w:val="restart"/>
            <w:tcBorders>
              <w:top w:val="single" w:sz="4" w:space="0" w:color="auto"/>
              <w:left w:val="single" w:sz="4" w:space="0" w:color="auto"/>
              <w:bottom w:val="single" w:sz="4" w:space="0" w:color="auto"/>
              <w:right w:val="single" w:sz="4" w:space="0" w:color="auto"/>
            </w:tcBorders>
            <w:vAlign w:val="center"/>
          </w:tcPr>
          <w:p w14:paraId="0D1A50FA" w14:textId="77777777" w:rsidR="00B93A6C" w:rsidRPr="005A7226" w:rsidRDefault="00B93A6C" w:rsidP="00B93A6C">
            <w:pPr>
              <w:pStyle w:val="In-tableHeading"/>
              <w:jc w:val="center"/>
              <w:rPr>
                <w:lang w:val="en-AU"/>
              </w:rPr>
            </w:pPr>
            <w:r w:rsidRPr="005A7226">
              <w:rPr>
                <w:lang w:val="en-AU"/>
              </w:rPr>
              <w:t>RD</w:t>
            </w:r>
          </w:p>
          <w:p w14:paraId="45A1399F" w14:textId="68706B10" w:rsidR="00B93A6C" w:rsidRPr="005A7226" w:rsidRDefault="00B93A6C" w:rsidP="00B93A6C">
            <w:pPr>
              <w:pStyle w:val="In-tableHeading"/>
              <w:jc w:val="center"/>
              <w:rPr>
                <w:lang w:val="en-AU"/>
              </w:rPr>
            </w:pPr>
            <w:r w:rsidRPr="005A7226">
              <w:rPr>
                <w:lang w:val="en-AU"/>
              </w:rPr>
              <w:t>(95% CI)</w:t>
            </w:r>
            <w:r w:rsidR="007D7354" w:rsidRPr="005A7226">
              <w:rPr>
                <w:vertAlign w:val="superscript"/>
                <w:lang w:val="en-AU"/>
              </w:rPr>
              <w:t>e</w:t>
            </w:r>
          </w:p>
        </w:tc>
      </w:tr>
      <w:tr w:rsidR="001E4BF4" w:rsidRPr="005A7226" w14:paraId="4C019B74" w14:textId="77777777" w:rsidTr="000A7553">
        <w:trPr>
          <w:trHeight w:val="390"/>
        </w:trPr>
        <w:tc>
          <w:tcPr>
            <w:tcW w:w="14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3AFB588" w14:textId="77777777" w:rsidR="00B93A6C" w:rsidRPr="005A7226" w:rsidRDefault="00B93A6C" w:rsidP="00B93A6C">
            <w:pPr>
              <w:pStyle w:val="In-tableHeading"/>
              <w:rPr>
                <w:lang w:val="en-AU"/>
              </w:rPr>
            </w:pPr>
          </w:p>
        </w:tc>
        <w:tc>
          <w:tcPr>
            <w:tcW w:w="625" w:type="pct"/>
            <w:vMerge/>
            <w:tcBorders>
              <w:top w:val="single" w:sz="4" w:space="0" w:color="auto"/>
              <w:left w:val="single" w:sz="4" w:space="0" w:color="auto"/>
              <w:bottom w:val="single" w:sz="4" w:space="0" w:color="auto"/>
              <w:right w:val="single" w:sz="4" w:space="0" w:color="auto"/>
            </w:tcBorders>
            <w:vAlign w:val="center"/>
          </w:tcPr>
          <w:p w14:paraId="26D3ED43" w14:textId="77777777" w:rsidR="00B93A6C" w:rsidRPr="005A7226" w:rsidRDefault="00B93A6C" w:rsidP="00B93A6C">
            <w:pPr>
              <w:pStyle w:val="In-tableHeading"/>
              <w:rPr>
                <w:lang w:val="en-AU"/>
              </w:rPr>
            </w:pPr>
          </w:p>
        </w:tc>
        <w:tc>
          <w:tcPr>
            <w:tcW w:w="469" w:type="pct"/>
            <w:gridSpan w:val="2"/>
            <w:vMerge/>
            <w:tcBorders>
              <w:top w:val="single" w:sz="4" w:space="0" w:color="auto"/>
              <w:left w:val="single" w:sz="4" w:space="0" w:color="auto"/>
              <w:bottom w:val="single" w:sz="4" w:space="0" w:color="auto"/>
              <w:right w:val="single" w:sz="4" w:space="0" w:color="auto"/>
            </w:tcBorders>
            <w:vAlign w:val="center"/>
          </w:tcPr>
          <w:p w14:paraId="2B41E86D" w14:textId="77777777" w:rsidR="00B93A6C" w:rsidRPr="005A7226" w:rsidRDefault="00B93A6C" w:rsidP="00B93A6C">
            <w:pPr>
              <w:pStyle w:val="In-tableHeading"/>
              <w:rPr>
                <w:lang w:val="en-AU"/>
              </w:rPr>
            </w:pPr>
          </w:p>
        </w:tc>
        <w:tc>
          <w:tcPr>
            <w:tcW w:w="785" w:type="pct"/>
            <w:gridSpan w:val="3"/>
            <w:vMerge/>
            <w:tcBorders>
              <w:top w:val="single" w:sz="4" w:space="0" w:color="auto"/>
              <w:left w:val="single" w:sz="4" w:space="0" w:color="auto"/>
              <w:bottom w:val="single" w:sz="4" w:space="0" w:color="auto"/>
              <w:right w:val="single" w:sz="4" w:space="0" w:color="auto"/>
            </w:tcBorders>
            <w:vAlign w:val="center"/>
          </w:tcPr>
          <w:p w14:paraId="1A7E6335" w14:textId="77777777" w:rsidR="00B93A6C" w:rsidRPr="005A7226" w:rsidRDefault="00B93A6C" w:rsidP="00B93A6C">
            <w:pPr>
              <w:pStyle w:val="In-tableHeading"/>
              <w:rPr>
                <w:lang w:val="en-AU"/>
              </w:rPr>
            </w:pPr>
          </w:p>
        </w:tc>
        <w:tc>
          <w:tcPr>
            <w:tcW w:w="390" w:type="pct"/>
            <w:tcBorders>
              <w:top w:val="single" w:sz="4" w:space="0" w:color="auto"/>
              <w:left w:val="single" w:sz="4" w:space="0" w:color="auto"/>
              <w:bottom w:val="single" w:sz="4" w:space="0" w:color="auto"/>
              <w:right w:val="single" w:sz="4" w:space="0" w:color="auto"/>
            </w:tcBorders>
            <w:vAlign w:val="center"/>
          </w:tcPr>
          <w:p w14:paraId="7DB0B846" w14:textId="3C88E0EE" w:rsidR="00B93A6C" w:rsidRPr="005A7226" w:rsidRDefault="007A0B83" w:rsidP="00B93A6C">
            <w:pPr>
              <w:pStyle w:val="In-tableHeading"/>
              <w:jc w:val="center"/>
              <w:rPr>
                <w:lang w:val="en-AU"/>
              </w:rPr>
            </w:pPr>
            <w:r w:rsidRPr="005A7226">
              <w:rPr>
                <w:lang w:val="en-AU"/>
              </w:rPr>
              <w:t>FEZ 45</w:t>
            </w:r>
            <w:r w:rsidR="00B93A6C" w:rsidRPr="005A7226">
              <w:rPr>
                <w:lang w:val="en-AU"/>
              </w:rPr>
              <w:t xml:space="preserve"> </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7F9A5554" w14:textId="4A76EEFC" w:rsidR="00B93A6C" w:rsidRPr="005A7226" w:rsidRDefault="007A0B83" w:rsidP="00B93A6C">
            <w:pPr>
              <w:pStyle w:val="In-tableHeading"/>
              <w:jc w:val="center"/>
              <w:rPr>
                <w:lang w:val="en-AU"/>
              </w:rPr>
            </w:pPr>
            <w:r w:rsidRPr="005A7226">
              <w:rPr>
                <w:lang w:val="en-AU"/>
              </w:rPr>
              <w:t>PBO</w:t>
            </w:r>
          </w:p>
        </w:tc>
        <w:tc>
          <w:tcPr>
            <w:tcW w:w="778" w:type="pct"/>
            <w:vMerge/>
            <w:tcBorders>
              <w:top w:val="single" w:sz="4" w:space="0" w:color="auto"/>
              <w:left w:val="single" w:sz="4" w:space="0" w:color="auto"/>
              <w:bottom w:val="single" w:sz="4" w:space="0" w:color="auto"/>
              <w:right w:val="single" w:sz="4" w:space="0" w:color="auto"/>
            </w:tcBorders>
            <w:vAlign w:val="center"/>
          </w:tcPr>
          <w:p w14:paraId="5EC87A1D" w14:textId="77777777" w:rsidR="00B93A6C" w:rsidRPr="005A7226" w:rsidRDefault="00B93A6C" w:rsidP="00B93A6C">
            <w:pPr>
              <w:pStyle w:val="In-tableHeading"/>
              <w:rPr>
                <w:lang w:val="en-AU"/>
              </w:rPr>
            </w:pPr>
          </w:p>
        </w:tc>
      </w:tr>
      <w:tr w:rsidR="001E4BF4" w:rsidRPr="005A7226" w14:paraId="46DB98CE" w14:textId="77777777"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74B580B6" w14:textId="24F9A408" w:rsidR="00FD780F" w:rsidRPr="005A7226" w:rsidRDefault="00FD780F" w:rsidP="00FD780F">
            <w:pPr>
              <w:pStyle w:val="TableText0"/>
            </w:pPr>
            <w:r w:rsidRPr="005A7226">
              <w:t>Any TEAEs</w:t>
            </w:r>
          </w:p>
        </w:tc>
        <w:tc>
          <w:tcPr>
            <w:tcW w:w="625" w:type="pct"/>
            <w:tcBorders>
              <w:top w:val="single" w:sz="4" w:space="0" w:color="auto"/>
              <w:left w:val="single" w:sz="4" w:space="0" w:color="auto"/>
              <w:bottom w:val="single" w:sz="4" w:space="0" w:color="auto"/>
              <w:right w:val="single" w:sz="4" w:space="0" w:color="auto"/>
            </w:tcBorders>
            <w:vAlign w:val="center"/>
          </w:tcPr>
          <w:p w14:paraId="7217C292" w14:textId="7C756B13" w:rsidR="00FD780F" w:rsidRPr="005A7226" w:rsidRDefault="001E4BF4" w:rsidP="00FD780F">
            <w:pPr>
              <w:pStyle w:val="TableText0"/>
              <w:jc w:val="center"/>
            </w:pPr>
            <w:r w:rsidRPr="005A7226">
              <w:rPr>
                <w:szCs w:val="20"/>
              </w:rPr>
              <w:t>147/226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14905001" w14:textId="25E572FD" w:rsidR="00FD780F" w:rsidRPr="005A7226" w:rsidRDefault="001E4BF4" w:rsidP="00FD780F">
            <w:pPr>
              <w:pStyle w:val="TableText0"/>
              <w:jc w:val="center"/>
            </w:pPr>
            <w:r w:rsidRPr="005A7226">
              <w:rPr>
                <w:szCs w:val="20"/>
              </w:rPr>
              <w:t>138/226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7F59FEAA" w14:textId="395517FE" w:rsidR="00FD780F" w:rsidRPr="005A7226" w:rsidRDefault="00FD780F" w:rsidP="00FD780F">
            <w:pPr>
              <w:pStyle w:val="TableText0"/>
              <w:jc w:val="center"/>
            </w:pPr>
            <w:r w:rsidRPr="005A7226">
              <w:rPr>
                <w:rFonts w:eastAsia="Times New Roman" w:cs="Arial"/>
                <w:bCs w:val="0"/>
                <w:szCs w:val="20"/>
              </w:rPr>
              <w:t xml:space="preserve">1.07 </w:t>
            </w:r>
            <w:r w:rsidR="001E4BF4" w:rsidRPr="005A7226">
              <w:rPr>
                <w:rFonts w:eastAsia="Times New Roman" w:cs="Arial"/>
                <w:bCs w:val="0"/>
                <w:szCs w:val="20"/>
              </w:rPr>
              <w:t>(</w:t>
            </w:r>
            <w:r w:rsidRPr="005A7226">
              <w:rPr>
                <w:rFonts w:eastAsia="Times New Roman" w:cs="Arial"/>
                <w:bCs w:val="0"/>
                <w:szCs w:val="20"/>
              </w:rPr>
              <w:t>0.92, 1.23</w:t>
            </w:r>
            <w:r w:rsidR="001E4BF4" w:rsidRPr="005A7226">
              <w:rPr>
                <w:rFonts w:eastAsia="Times New Roman" w:cs="Arial"/>
                <w:bCs w:val="0"/>
                <w:szCs w:val="20"/>
              </w:rPr>
              <w:t>)</w:t>
            </w:r>
          </w:p>
        </w:tc>
        <w:tc>
          <w:tcPr>
            <w:tcW w:w="390" w:type="pct"/>
            <w:tcBorders>
              <w:top w:val="single" w:sz="4" w:space="0" w:color="auto"/>
              <w:left w:val="single" w:sz="4" w:space="0" w:color="auto"/>
              <w:bottom w:val="single" w:sz="4" w:space="0" w:color="auto"/>
              <w:right w:val="single" w:sz="4" w:space="0" w:color="auto"/>
            </w:tcBorders>
            <w:vAlign w:val="center"/>
          </w:tcPr>
          <w:p w14:paraId="3A8BCAD3" w14:textId="662FCE10" w:rsidR="00FD780F" w:rsidRPr="005A7226" w:rsidRDefault="001E4BF4" w:rsidP="00FD780F">
            <w:pPr>
              <w:pStyle w:val="TableText0"/>
              <w:jc w:val="center"/>
            </w:pPr>
            <w:r w:rsidRPr="005A7226">
              <w:rPr>
                <w:szCs w:val="20"/>
              </w:rPr>
              <w:t>65.0</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1FF0DF4A" w14:textId="41758019" w:rsidR="00FD780F" w:rsidRPr="005A7226" w:rsidRDefault="001E4BF4" w:rsidP="00FD780F">
            <w:pPr>
              <w:pStyle w:val="TableText0"/>
              <w:jc w:val="center"/>
            </w:pPr>
            <w:r w:rsidRPr="005A7226">
              <w:rPr>
                <w:szCs w:val="20"/>
              </w:rPr>
              <w:t>61.1</w:t>
            </w:r>
          </w:p>
        </w:tc>
        <w:tc>
          <w:tcPr>
            <w:tcW w:w="778" w:type="pct"/>
            <w:tcBorders>
              <w:top w:val="single" w:sz="4" w:space="0" w:color="auto"/>
              <w:left w:val="single" w:sz="4" w:space="0" w:color="auto"/>
              <w:bottom w:val="single" w:sz="4" w:space="0" w:color="auto"/>
              <w:right w:val="single" w:sz="4" w:space="0" w:color="auto"/>
            </w:tcBorders>
            <w:vAlign w:val="center"/>
          </w:tcPr>
          <w:p w14:paraId="76B2DD2A" w14:textId="149698B1" w:rsidR="00FD780F" w:rsidRPr="005A7226" w:rsidRDefault="00FD780F" w:rsidP="00FD780F">
            <w:pPr>
              <w:pStyle w:val="TableText0"/>
              <w:jc w:val="center"/>
            </w:pPr>
            <w:r w:rsidRPr="005A7226">
              <w:rPr>
                <w:szCs w:val="20"/>
              </w:rPr>
              <w:t xml:space="preserve">0.04 </w:t>
            </w:r>
            <w:r w:rsidR="001E4BF4" w:rsidRPr="005A7226">
              <w:rPr>
                <w:szCs w:val="20"/>
              </w:rPr>
              <w:t>(</w:t>
            </w:r>
            <w:r w:rsidRPr="005A7226">
              <w:rPr>
                <w:szCs w:val="20"/>
              </w:rPr>
              <w:t>-0.05, 0.13</w:t>
            </w:r>
            <w:r w:rsidR="001E4BF4" w:rsidRPr="005A7226">
              <w:rPr>
                <w:szCs w:val="20"/>
              </w:rPr>
              <w:t>)</w:t>
            </w:r>
          </w:p>
        </w:tc>
      </w:tr>
      <w:tr w:rsidR="001E4BF4" w:rsidRPr="005A7226" w14:paraId="7A886FD4" w14:textId="77777777"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7181FD1C" w14:textId="00F3304B" w:rsidR="00FD780F" w:rsidRPr="005A7226" w:rsidRDefault="00FD780F" w:rsidP="00FD780F">
            <w:pPr>
              <w:pStyle w:val="TableText0"/>
            </w:pPr>
            <w:r w:rsidRPr="005A7226">
              <w:rPr>
                <w:szCs w:val="20"/>
              </w:rPr>
              <w:t>Drug related TEAE</w:t>
            </w:r>
          </w:p>
        </w:tc>
        <w:tc>
          <w:tcPr>
            <w:tcW w:w="625" w:type="pct"/>
            <w:tcBorders>
              <w:top w:val="single" w:sz="4" w:space="0" w:color="auto"/>
              <w:left w:val="single" w:sz="4" w:space="0" w:color="auto"/>
              <w:bottom w:val="single" w:sz="4" w:space="0" w:color="auto"/>
              <w:right w:val="single" w:sz="4" w:space="0" w:color="auto"/>
            </w:tcBorders>
            <w:vAlign w:val="center"/>
          </w:tcPr>
          <w:p w14:paraId="22D8190E" w14:textId="4A716D28" w:rsidR="00FD780F" w:rsidRPr="005A7226" w:rsidRDefault="001E4BF4" w:rsidP="00FD780F">
            <w:pPr>
              <w:pStyle w:val="TableText0"/>
              <w:jc w:val="center"/>
            </w:pPr>
            <w:r w:rsidRPr="005A7226">
              <w:rPr>
                <w:szCs w:val="20"/>
              </w:rPr>
              <w:t>39/226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5745E78E" w14:textId="049568F5" w:rsidR="00FD780F" w:rsidRPr="005A7226" w:rsidRDefault="001E4BF4" w:rsidP="00FD780F">
            <w:pPr>
              <w:pStyle w:val="TableText0"/>
              <w:jc w:val="center"/>
            </w:pPr>
            <w:r w:rsidRPr="005A7226">
              <w:rPr>
                <w:szCs w:val="20"/>
              </w:rPr>
              <w:t>25/226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2FD118A4" w14:textId="1FD2BE66" w:rsidR="00FD780F" w:rsidRPr="005A7226" w:rsidRDefault="001E4BF4" w:rsidP="00FD780F">
            <w:pPr>
              <w:pStyle w:val="TableText0"/>
              <w:jc w:val="center"/>
            </w:pPr>
            <w:r w:rsidRPr="005A7226">
              <w:rPr>
                <w:szCs w:val="20"/>
              </w:rPr>
              <w:t>1.56 (0.98, 2.49)</w:t>
            </w:r>
          </w:p>
        </w:tc>
        <w:tc>
          <w:tcPr>
            <w:tcW w:w="390" w:type="pct"/>
            <w:tcBorders>
              <w:top w:val="single" w:sz="4" w:space="0" w:color="auto"/>
              <w:left w:val="single" w:sz="4" w:space="0" w:color="auto"/>
              <w:bottom w:val="single" w:sz="4" w:space="0" w:color="auto"/>
              <w:right w:val="single" w:sz="4" w:space="0" w:color="auto"/>
            </w:tcBorders>
            <w:vAlign w:val="center"/>
          </w:tcPr>
          <w:p w14:paraId="03AB0E32" w14:textId="5260D949" w:rsidR="00FD780F" w:rsidRPr="005A7226" w:rsidRDefault="001E4BF4" w:rsidP="00FD780F">
            <w:pPr>
              <w:pStyle w:val="TableText0"/>
              <w:jc w:val="center"/>
            </w:pPr>
            <w:r w:rsidRPr="005A7226">
              <w:rPr>
                <w:szCs w:val="20"/>
              </w:rPr>
              <w:t>17.3</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544C33A2" w14:textId="687C982A" w:rsidR="00FD780F" w:rsidRPr="005A7226" w:rsidRDefault="001E4BF4" w:rsidP="00FD780F">
            <w:pPr>
              <w:pStyle w:val="TableText0"/>
              <w:jc w:val="center"/>
            </w:pPr>
            <w:r w:rsidRPr="005A7226">
              <w:rPr>
                <w:szCs w:val="20"/>
              </w:rPr>
              <w:t>11.1</w:t>
            </w:r>
          </w:p>
        </w:tc>
        <w:tc>
          <w:tcPr>
            <w:tcW w:w="778" w:type="pct"/>
            <w:tcBorders>
              <w:top w:val="single" w:sz="4" w:space="0" w:color="auto"/>
              <w:left w:val="single" w:sz="4" w:space="0" w:color="auto"/>
              <w:bottom w:val="single" w:sz="4" w:space="0" w:color="auto"/>
              <w:right w:val="single" w:sz="4" w:space="0" w:color="auto"/>
            </w:tcBorders>
            <w:vAlign w:val="center"/>
          </w:tcPr>
          <w:p w14:paraId="0A65B2C9" w14:textId="1CBAB22B" w:rsidR="00FD780F" w:rsidRPr="005A7226" w:rsidRDefault="001E4BF4" w:rsidP="00FD780F">
            <w:pPr>
              <w:pStyle w:val="TableText0"/>
              <w:jc w:val="center"/>
            </w:pPr>
            <w:r w:rsidRPr="005A7226">
              <w:rPr>
                <w:szCs w:val="20"/>
              </w:rPr>
              <w:t>0.06 (-0.00, 0.13)</w:t>
            </w:r>
          </w:p>
        </w:tc>
      </w:tr>
      <w:tr w:rsidR="001E4BF4" w:rsidRPr="005A7226" w14:paraId="35D4449E" w14:textId="3A4FD846"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5F371BAA" w14:textId="23E4B9AC" w:rsidR="00FD780F" w:rsidRPr="005A7226" w:rsidRDefault="00FD780F" w:rsidP="00FD780F">
            <w:pPr>
              <w:pStyle w:val="TableText0"/>
            </w:pPr>
            <w:r w:rsidRPr="005A7226">
              <w:rPr>
                <w:szCs w:val="20"/>
              </w:rPr>
              <w:t>Serious TEAE</w:t>
            </w:r>
          </w:p>
        </w:tc>
        <w:tc>
          <w:tcPr>
            <w:tcW w:w="625" w:type="pct"/>
            <w:tcBorders>
              <w:top w:val="single" w:sz="4" w:space="0" w:color="auto"/>
              <w:left w:val="single" w:sz="4" w:space="0" w:color="auto"/>
              <w:bottom w:val="single" w:sz="4" w:space="0" w:color="auto"/>
              <w:right w:val="single" w:sz="4" w:space="0" w:color="auto"/>
            </w:tcBorders>
            <w:vAlign w:val="center"/>
          </w:tcPr>
          <w:p w14:paraId="602D2824" w14:textId="3A7F6CEB" w:rsidR="00FD780F" w:rsidRPr="005A7226" w:rsidRDefault="001E4BF4" w:rsidP="00FD780F">
            <w:pPr>
              <w:pStyle w:val="TableText0"/>
              <w:jc w:val="center"/>
            </w:pPr>
            <w:r w:rsidRPr="005A7226">
              <w:rPr>
                <w:szCs w:val="20"/>
              </w:rPr>
              <w:t>10/226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3F69CFAF" w14:textId="735C93AA" w:rsidR="00FD780F" w:rsidRPr="005A7226" w:rsidRDefault="001E4BF4" w:rsidP="00FD780F">
            <w:pPr>
              <w:pStyle w:val="TableText0"/>
              <w:jc w:val="center"/>
            </w:pPr>
            <w:r w:rsidRPr="005A7226">
              <w:rPr>
                <w:szCs w:val="20"/>
              </w:rPr>
              <w:t>8/226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595147E9" w14:textId="43A659BD" w:rsidR="00FD780F" w:rsidRPr="005A7226" w:rsidRDefault="001E4BF4" w:rsidP="00FD780F">
            <w:pPr>
              <w:pStyle w:val="TableText0"/>
              <w:jc w:val="center"/>
            </w:pPr>
            <w:r w:rsidRPr="005A7226">
              <w:rPr>
                <w:szCs w:val="20"/>
              </w:rPr>
              <w:t>1.25 [0.50, 3.11]</w:t>
            </w:r>
          </w:p>
        </w:tc>
        <w:tc>
          <w:tcPr>
            <w:tcW w:w="390" w:type="pct"/>
            <w:tcBorders>
              <w:top w:val="single" w:sz="4" w:space="0" w:color="auto"/>
              <w:left w:val="single" w:sz="4" w:space="0" w:color="auto"/>
              <w:bottom w:val="single" w:sz="4" w:space="0" w:color="auto"/>
              <w:right w:val="single" w:sz="4" w:space="0" w:color="auto"/>
            </w:tcBorders>
            <w:vAlign w:val="center"/>
          </w:tcPr>
          <w:p w14:paraId="1E409F98" w14:textId="682A9179" w:rsidR="00FD780F" w:rsidRPr="005A7226" w:rsidRDefault="001E4BF4" w:rsidP="00FD780F">
            <w:pPr>
              <w:pStyle w:val="TableText0"/>
              <w:jc w:val="center"/>
            </w:pPr>
            <w:r w:rsidRPr="005A7226">
              <w:rPr>
                <w:szCs w:val="20"/>
              </w:rPr>
              <w:t>4.4</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30375DEA" w14:textId="790F9343" w:rsidR="00FD780F" w:rsidRPr="005A7226" w:rsidRDefault="001E4BF4" w:rsidP="00FD780F">
            <w:pPr>
              <w:pStyle w:val="TableText0"/>
              <w:jc w:val="center"/>
            </w:pPr>
            <w:r w:rsidRPr="005A7226">
              <w:rPr>
                <w:szCs w:val="20"/>
              </w:rPr>
              <w:t>3.5</w:t>
            </w:r>
          </w:p>
        </w:tc>
        <w:tc>
          <w:tcPr>
            <w:tcW w:w="778" w:type="pct"/>
            <w:tcBorders>
              <w:top w:val="single" w:sz="4" w:space="0" w:color="auto"/>
              <w:left w:val="single" w:sz="4" w:space="0" w:color="auto"/>
              <w:bottom w:val="single" w:sz="4" w:space="0" w:color="auto"/>
              <w:right w:val="single" w:sz="4" w:space="0" w:color="auto"/>
            </w:tcBorders>
            <w:vAlign w:val="center"/>
          </w:tcPr>
          <w:p w14:paraId="571AAFBA" w14:textId="2EACE812" w:rsidR="00FD780F" w:rsidRPr="005A7226" w:rsidRDefault="001E4BF4" w:rsidP="00FD780F">
            <w:pPr>
              <w:pStyle w:val="TableText0"/>
              <w:jc w:val="center"/>
            </w:pPr>
            <w:r w:rsidRPr="005A7226">
              <w:rPr>
                <w:szCs w:val="20"/>
              </w:rPr>
              <w:t>0.01 (-0.03, 0.04)</w:t>
            </w:r>
          </w:p>
        </w:tc>
      </w:tr>
      <w:tr w:rsidR="001E4BF4" w:rsidRPr="005A7226" w14:paraId="4ACB0F7C" w14:textId="74E657A0"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2B593745" w14:textId="4DFA6C59" w:rsidR="00FD780F" w:rsidRPr="005A7226" w:rsidRDefault="00FD780F" w:rsidP="00FD780F">
            <w:pPr>
              <w:pStyle w:val="TableText0"/>
              <w:rPr>
                <w:szCs w:val="20"/>
              </w:rPr>
            </w:pPr>
            <w:r w:rsidRPr="005A7226">
              <w:rPr>
                <w:szCs w:val="20"/>
              </w:rPr>
              <w:t>TEAE leading to discontinuation</w:t>
            </w:r>
          </w:p>
        </w:tc>
        <w:tc>
          <w:tcPr>
            <w:tcW w:w="625" w:type="pct"/>
            <w:tcBorders>
              <w:top w:val="single" w:sz="4" w:space="0" w:color="auto"/>
              <w:left w:val="single" w:sz="4" w:space="0" w:color="auto"/>
              <w:bottom w:val="single" w:sz="4" w:space="0" w:color="auto"/>
              <w:right w:val="single" w:sz="4" w:space="0" w:color="auto"/>
            </w:tcBorders>
            <w:vAlign w:val="center"/>
          </w:tcPr>
          <w:p w14:paraId="18AA0BB0" w14:textId="28EE65F1" w:rsidR="00FD780F" w:rsidRPr="005A7226" w:rsidRDefault="001E4BF4" w:rsidP="00FD780F">
            <w:pPr>
              <w:pStyle w:val="TableText0"/>
              <w:jc w:val="center"/>
            </w:pPr>
            <w:r w:rsidRPr="005A7226">
              <w:rPr>
                <w:szCs w:val="20"/>
              </w:rPr>
              <w:t>11/226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4E8F2C90" w14:textId="7D08DAE9" w:rsidR="00FD780F" w:rsidRPr="005A7226" w:rsidRDefault="001E4BF4" w:rsidP="00FD780F">
            <w:pPr>
              <w:pStyle w:val="TableText0"/>
              <w:jc w:val="center"/>
            </w:pPr>
            <w:r w:rsidRPr="005A7226">
              <w:rPr>
                <w:szCs w:val="20"/>
              </w:rPr>
              <w:t>14/226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65AD710B" w14:textId="4B5E4EAD" w:rsidR="00FD780F" w:rsidRPr="005A7226" w:rsidRDefault="001E4BF4" w:rsidP="00FD780F">
            <w:pPr>
              <w:pStyle w:val="TableText0"/>
              <w:jc w:val="center"/>
            </w:pPr>
            <w:r w:rsidRPr="005A7226">
              <w:rPr>
                <w:szCs w:val="20"/>
              </w:rPr>
              <w:t>0.79 (0.36, 1.69)</w:t>
            </w:r>
          </w:p>
        </w:tc>
        <w:tc>
          <w:tcPr>
            <w:tcW w:w="390" w:type="pct"/>
            <w:tcBorders>
              <w:top w:val="single" w:sz="4" w:space="0" w:color="auto"/>
              <w:left w:val="single" w:sz="4" w:space="0" w:color="auto"/>
              <w:bottom w:val="single" w:sz="4" w:space="0" w:color="auto"/>
              <w:right w:val="single" w:sz="4" w:space="0" w:color="auto"/>
            </w:tcBorders>
            <w:vAlign w:val="center"/>
          </w:tcPr>
          <w:p w14:paraId="49D69FF1" w14:textId="3756A837" w:rsidR="00FD780F" w:rsidRPr="005A7226" w:rsidRDefault="001E4BF4" w:rsidP="00FD780F">
            <w:pPr>
              <w:pStyle w:val="TableText0"/>
              <w:jc w:val="center"/>
            </w:pPr>
            <w:r w:rsidRPr="005A7226">
              <w:rPr>
                <w:szCs w:val="20"/>
              </w:rPr>
              <w:t>4.9</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49C2BE70" w14:textId="57269A69" w:rsidR="00FD780F" w:rsidRPr="005A7226" w:rsidRDefault="001E4BF4" w:rsidP="00FD780F">
            <w:pPr>
              <w:pStyle w:val="TableText0"/>
              <w:jc w:val="center"/>
            </w:pPr>
            <w:r w:rsidRPr="005A7226">
              <w:rPr>
                <w:szCs w:val="20"/>
              </w:rPr>
              <w:t>6.2</w:t>
            </w:r>
          </w:p>
        </w:tc>
        <w:tc>
          <w:tcPr>
            <w:tcW w:w="778" w:type="pct"/>
            <w:tcBorders>
              <w:top w:val="single" w:sz="4" w:space="0" w:color="auto"/>
              <w:left w:val="single" w:sz="4" w:space="0" w:color="auto"/>
              <w:bottom w:val="single" w:sz="4" w:space="0" w:color="auto"/>
              <w:right w:val="single" w:sz="4" w:space="0" w:color="auto"/>
            </w:tcBorders>
            <w:vAlign w:val="center"/>
          </w:tcPr>
          <w:p w14:paraId="4F109904" w14:textId="73DCB3B0" w:rsidR="00FD780F" w:rsidRPr="005A7226" w:rsidRDefault="001E4BF4" w:rsidP="00FD780F">
            <w:pPr>
              <w:pStyle w:val="TableText0"/>
              <w:jc w:val="center"/>
            </w:pPr>
            <w:r w:rsidRPr="005A7226">
              <w:rPr>
                <w:szCs w:val="20"/>
              </w:rPr>
              <w:t>-0.01 (-0.06, 0.03)</w:t>
            </w:r>
          </w:p>
        </w:tc>
      </w:tr>
      <w:tr w:rsidR="001E4BF4" w:rsidRPr="005A7226" w14:paraId="4EE7587B" w14:textId="2648C8D6"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6B1DEA80" w14:textId="35CD7CD9" w:rsidR="00FD780F" w:rsidRPr="005A7226" w:rsidRDefault="00FD780F" w:rsidP="00FD780F">
            <w:pPr>
              <w:pStyle w:val="TableText0"/>
              <w:rPr>
                <w:szCs w:val="20"/>
              </w:rPr>
            </w:pPr>
            <w:r w:rsidRPr="005A7226">
              <w:rPr>
                <w:szCs w:val="20"/>
              </w:rPr>
              <w:t>Headache</w:t>
            </w:r>
          </w:p>
        </w:tc>
        <w:tc>
          <w:tcPr>
            <w:tcW w:w="625" w:type="pct"/>
            <w:tcBorders>
              <w:top w:val="single" w:sz="4" w:space="0" w:color="auto"/>
              <w:left w:val="single" w:sz="4" w:space="0" w:color="auto"/>
              <w:bottom w:val="single" w:sz="4" w:space="0" w:color="auto"/>
              <w:right w:val="single" w:sz="4" w:space="0" w:color="auto"/>
            </w:tcBorders>
            <w:vAlign w:val="center"/>
          </w:tcPr>
          <w:p w14:paraId="75BA2443" w14:textId="2CA64399" w:rsidR="00FD780F" w:rsidRPr="005A7226" w:rsidRDefault="001E4BF4" w:rsidP="00FD780F">
            <w:pPr>
              <w:pStyle w:val="TableText0"/>
              <w:jc w:val="center"/>
            </w:pPr>
            <w:r w:rsidRPr="005A7226">
              <w:t>20/226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010E109C" w14:textId="10ADD229" w:rsidR="00FD780F" w:rsidRPr="005A7226" w:rsidRDefault="001E4BF4" w:rsidP="00FD780F">
            <w:pPr>
              <w:pStyle w:val="TableText0"/>
              <w:jc w:val="center"/>
            </w:pPr>
            <w:r w:rsidRPr="005A7226">
              <w:t>21/226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139FE44D" w14:textId="13642951" w:rsidR="00FD780F" w:rsidRPr="005A7226" w:rsidRDefault="001E4BF4" w:rsidP="00FD780F">
            <w:pPr>
              <w:pStyle w:val="TableText0"/>
              <w:jc w:val="center"/>
            </w:pPr>
            <w:r w:rsidRPr="005A7226">
              <w:t>0.95 (0.53, 1.71)</w:t>
            </w:r>
          </w:p>
        </w:tc>
        <w:tc>
          <w:tcPr>
            <w:tcW w:w="390" w:type="pct"/>
            <w:tcBorders>
              <w:top w:val="single" w:sz="4" w:space="0" w:color="auto"/>
              <w:left w:val="single" w:sz="4" w:space="0" w:color="auto"/>
              <w:bottom w:val="single" w:sz="4" w:space="0" w:color="auto"/>
              <w:right w:val="single" w:sz="4" w:space="0" w:color="auto"/>
            </w:tcBorders>
            <w:vAlign w:val="center"/>
          </w:tcPr>
          <w:p w14:paraId="78061737" w14:textId="6A015AA0" w:rsidR="00FD780F" w:rsidRPr="005A7226" w:rsidRDefault="001E4BF4" w:rsidP="00FD780F">
            <w:pPr>
              <w:pStyle w:val="TableText0"/>
              <w:jc w:val="center"/>
            </w:pPr>
            <w:r w:rsidRPr="005A7226">
              <w:rPr>
                <w:szCs w:val="20"/>
              </w:rPr>
              <w:t>8.8</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1CB59BFF" w14:textId="54D6D7B5" w:rsidR="00FD780F" w:rsidRPr="005A7226" w:rsidRDefault="001E4BF4" w:rsidP="00FD780F">
            <w:pPr>
              <w:pStyle w:val="TableText0"/>
              <w:jc w:val="center"/>
            </w:pPr>
            <w:r w:rsidRPr="005A7226">
              <w:t>9.3</w:t>
            </w:r>
          </w:p>
        </w:tc>
        <w:tc>
          <w:tcPr>
            <w:tcW w:w="778" w:type="pct"/>
            <w:tcBorders>
              <w:top w:val="single" w:sz="4" w:space="0" w:color="auto"/>
              <w:left w:val="single" w:sz="4" w:space="0" w:color="auto"/>
              <w:bottom w:val="single" w:sz="4" w:space="0" w:color="auto"/>
              <w:right w:val="single" w:sz="4" w:space="0" w:color="auto"/>
            </w:tcBorders>
            <w:vAlign w:val="center"/>
          </w:tcPr>
          <w:p w14:paraId="7E2E3D01" w14:textId="1B6C56C0" w:rsidR="00FD780F" w:rsidRPr="005A7226" w:rsidRDefault="001E4BF4" w:rsidP="00FD780F">
            <w:pPr>
              <w:pStyle w:val="TableText0"/>
              <w:jc w:val="center"/>
            </w:pPr>
            <w:r w:rsidRPr="005A7226">
              <w:t>-0.00 (-0.06, 0.05)</w:t>
            </w:r>
          </w:p>
        </w:tc>
      </w:tr>
      <w:tr w:rsidR="001E4BF4" w:rsidRPr="005A7226" w14:paraId="5A5D527A" w14:textId="77777777"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1C3A501C" w14:textId="195170DC" w:rsidR="00FD780F" w:rsidRPr="005A7226" w:rsidRDefault="00FD780F" w:rsidP="00FD780F">
            <w:pPr>
              <w:pStyle w:val="TableText0"/>
              <w:rPr>
                <w:szCs w:val="20"/>
              </w:rPr>
            </w:pPr>
            <w:r w:rsidRPr="005A7226">
              <w:rPr>
                <w:szCs w:val="20"/>
              </w:rPr>
              <w:t>Fatigue</w:t>
            </w:r>
          </w:p>
        </w:tc>
        <w:tc>
          <w:tcPr>
            <w:tcW w:w="625" w:type="pct"/>
            <w:tcBorders>
              <w:top w:val="single" w:sz="4" w:space="0" w:color="auto"/>
              <w:left w:val="single" w:sz="4" w:space="0" w:color="auto"/>
              <w:bottom w:val="single" w:sz="4" w:space="0" w:color="auto"/>
              <w:right w:val="single" w:sz="4" w:space="0" w:color="auto"/>
            </w:tcBorders>
            <w:vAlign w:val="center"/>
          </w:tcPr>
          <w:p w14:paraId="04200B75" w14:textId="371655D0" w:rsidR="00FD780F" w:rsidRPr="005A7226" w:rsidRDefault="001E4BF4" w:rsidP="00FD780F">
            <w:pPr>
              <w:pStyle w:val="TableText0"/>
              <w:jc w:val="center"/>
            </w:pPr>
            <w:r w:rsidRPr="005A7226">
              <w:t>13/226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5C642D57" w14:textId="41B3CD90" w:rsidR="00FD780F" w:rsidRPr="005A7226" w:rsidRDefault="001E4BF4" w:rsidP="00FD780F">
            <w:pPr>
              <w:pStyle w:val="TableText0"/>
              <w:jc w:val="center"/>
            </w:pPr>
            <w:r w:rsidRPr="005A7226">
              <w:t>1/226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0A2C5865" w14:textId="6251E49D" w:rsidR="00FD780F" w:rsidRPr="005A7226" w:rsidRDefault="001E4BF4" w:rsidP="00FD780F">
            <w:pPr>
              <w:pStyle w:val="TableText0"/>
              <w:jc w:val="center"/>
              <w:rPr>
                <w:b/>
              </w:rPr>
            </w:pPr>
            <w:r w:rsidRPr="005A7226">
              <w:rPr>
                <w:b/>
              </w:rPr>
              <w:t>13.0 (1.71, 98.55)</w:t>
            </w:r>
          </w:p>
        </w:tc>
        <w:tc>
          <w:tcPr>
            <w:tcW w:w="390" w:type="pct"/>
            <w:tcBorders>
              <w:top w:val="single" w:sz="4" w:space="0" w:color="auto"/>
              <w:left w:val="single" w:sz="4" w:space="0" w:color="auto"/>
              <w:bottom w:val="single" w:sz="4" w:space="0" w:color="auto"/>
              <w:right w:val="single" w:sz="4" w:space="0" w:color="auto"/>
            </w:tcBorders>
            <w:vAlign w:val="center"/>
          </w:tcPr>
          <w:p w14:paraId="6247E2D8" w14:textId="321458F7" w:rsidR="00FD780F" w:rsidRPr="005A7226" w:rsidRDefault="001E4BF4" w:rsidP="00FD780F">
            <w:pPr>
              <w:pStyle w:val="TableText0"/>
              <w:jc w:val="center"/>
            </w:pPr>
            <w:r w:rsidRPr="005A7226">
              <w:t>5.8</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7AD67599" w14:textId="2E8BFD6E" w:rsidR="00FD780F" w:rsidRPr="005A7226" w:rsidRDefault="001E4BF4" w:rsidP="00FD780F">
            <w:pPr>
              <w:pStyle w:val="TableText0"/>
              <w:jc w:val="center"/>
            </w:pPr>
            <w:r w:rsidRPr="005A7226">
              <w:t>0.4</w:t>
            </w:r>
          </w:p>
        </w:tc>
        <w:tc>
          <w:tcPr>
            <w:tcW w:w="778" w:type="pct"/>
            <w:tcBorders>
              <w:top w:val="single" w:sz="4" w:space="0" w:color="auto"/>
              <w:left w:val="single" w:sz="4" w:space="0" w:color="auto"/>
              <w:bottom w:val="single" w:sz="4" w:space="0" w:color="auto"/>
              <w:right w:val="single" w:sz="4" w:space="0" w:color="auto"/>
            </w:tcBorders>
            <w:vAlign w:val="center"/>
          </w:tcPr>
          <w:p w14:paraId="106A5576" w14:textId="6AC645FF" w:rsidR="00FD780F" w:rsidRPr="005A7226" w:rsidRDefault="001E4BF4" w:rsidP="00FD780F">
            <w:pPr>
              <w:pStyle w:val="TableText0"/>
              <w:jc w:val="center"/>
              <w:rPr>
                <w:b/>
              </w:rPr>
            </w:pPr>
            <w:r w:rsidRPr="005A7226">
              <w:rPr>
                <w:b/>
              </w:rPr>
              <w:t>0.05 (0.02, 0.08)</w:t>
            </w:r>
          </w:p>
        </w:tc>
      </w:tr>
      <w:tr w:rsidR="001E4BF4" w:rsidRPr="005A7226" w14:paraId="3E69B1EE" w14:textId="77777777" w:rsidTr="000A7553">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4931FE84" w14:textId="2D35E5E0" w:rsidR="00FD780F" w:rsidRPr="005A7226" w:rsidRDefault="00FD780F" w:rsidP="00FD780F">
            <w:pPr>
              <w:pStyle w:val="TableText0"/>
              <w:rPr>
                <w:szCs w:val="20"/>
              </w:rPr>
            </w:pPr>
            <w:r w:rsidRPr="005A7226">
              <w:rPr>
                <w:szCs w:val="20"/>
              </w:rPr>
              <w:t>Liver test elevations</w:t>
            </w:r>
          </w:p>
        </w:tc>
        <w:tc>
          <w:tcPr>
            <w:tcW w:w="625" w:type="pct"/>
            <w:tcBorders>
              <w:top w:val="single" w:sz="4" w:space="0" w:color="auto"/>
              <w:left w:val="single" w:sz="4" w:space="0" w:color="auto"/>
              <w:bottom w:val="single" w:sz="4" w:space="0" w:color="auto"/>
              <w:right w:val="single" w:sz="4" w:space="0" w:color="auto"/>
            </w:tcBorders>
            <w:vAlign w:val="center"/>
          </w:tcPr>
          <w:p w14:paraId="1DFDF2E2" w14:textId="2B3EBB75" w:rsidR="00FD780F" w:rsidRPr="005A7226" w:rsidRDefault="001E4BF4" w:rsidP="00FD780F">
            <w:pPr>
              <w:pStyle w:val="TableText0"/>
              <w:jc w:val="center"/>
            </w:pPr>
            <w:r w:rsidRPr="005A7226">
              <w:t>10/226</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325B9547" w14:textId="7BF819D2" w:rsidR="00FD780F" w:rsidRPr="005A7226" w:rsidRDefault="001E4BF4" w:rsidP="00FD780F">
            <w:pPr>
              <w:pStyle w:val="TableText0"/>
              <w:jc w:val="center"/>
            </w:pPr>
            <w:r w:rsidRPr="005A7226">
              <w:t>6/226</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7E7AA213" w14:textId="1253A25A" w:rsidR="00FD780F" w:rsidRPr="005A7226" w:rsidRDefault="001E4BF4" w:rsidP="00FD780F">
            <w:pPr>
              <w:pStyle w:val="TableText0"/>
              <w:jc w:val="center"/>
            </w:pPr>
            <w:r w:rsidRPr="005A7226">
              <w:t xml:space="preserve">1.67 </w:t>
            </w:r>
            <w:r w:rsidR="00E279D7" w:rsidRPr="005A7226">
              <w:t>(</w:t>
            </w:r>
            <w:r w:rsidRPr="005A7226">
              <w:t>0.62, 4.51</w:t>
            </w:r>
            <w:r w:rsidR="00E279D7" w:rsidRPr="005A7226">
              <w:t>)</w:t>
            </w:r>
          </w:p>
        </w:tc>
        <w:tc>
          <w:tcPr>
            <w:tcW w:w="390" w:type="pct"/>
            <w:tcBorders>
              <w:top w:val="single" w:sz="4" w:space="0" w:color="auto"/>
              <w:left w:val="single" w:sz="4" w:space="0" w:color="auto"/>
              <w:bottom w:val="single" w:sz="4" w:space="0" w:color="auto"/>
              <w:right w:val="single" w:sz="4" w:space="0" w:color="auto"/>
            </w:tcBorders>
            <w:vAlign w:val="center"/>
          </w:tcPr>
          <w:p w14:paraId="41A8B893" w14:textId="1F2BF427" w:rsidR="00FD780F" w:rsidRPr="005A7226" w:rsidRDefault="001E4BF4" w:rsidP="00FD780F">
            <w:pPr>
              <w:pStyle w:val="TableText0"/>
              <w:jc w:val="center"/>
            </w:pPr>
            <w:r w:rsidRPr="005A7226">
              <w:t>4.4</w:t>
            </w:r>
          </w:p>
        </w:tc>
        <w:tc>
          <w:tcPr>
            <w:tcW w:w="470" w:type="pct"/>
            <w:gridSpan w:val="3"/>
            <w:tcBorders>
              <w:top w:val="single" w:sz="4" w:space="0" w:color="auto"/>
              <w:left w:val="single" w:sz="4" w:space="0" w:color="auto"/>
              <w:bottom w:val="single" w:sz="4" w:space="0" w:color="auto"/>
              <w:right w:val="single" w:sz="4" w:space="0" w:color="auto"/>
            </w:tcBorders>
            <w:vAlign w:val="center"/>
          </w:tcPr>
          <w:p w14:paraId="00BDBB0B" w14:textId="069CC79F" w:rsidR="00FD780F" w:rsidRPr="005A7226" w:rsidRDefault="001E4BF4" w:rsidP="00FD780F">
            <w:pPr>
              <w:pStyle w:val="TableText0"/>
              <w:jc w:val="center"/>
            </w:pPr>
            <w:r w:rsidRPr="005A7226">
              <w:t>2.7</w:t>
            </w:r>
          </w:p>
        </w:tc>
        <w:tc>
          <w:tcPr>
            <w:tcW w:w="778" w:type="pct"/>
            <w:tcBorders>
              <w:top w:val="single" w:sz="4" w:space="0" w:color="auto"/>
              <w:left w:val="single" w:sz="4" w:space="0" w:color="auto"/>
              <w:bottom w:val="single" w:sz="4" w:space="0" w:color="auto"/>
              <w:right w:val="single" w:sz="4" w:space="0" w:color="auto"/>
            </w:tcBorders>
            <w:vAlign w:val="center"/>
          </w:tcPr>
          <w:p w14:paraId="09BD4E18" w14:textId="3F1B928D" w:rsidR="00FD780F" w:rsidRPr="005A7226" w:rsidRDefault="00E279D7" w:rsidP="00FD780F">
            <w:pPr>
              <w:pStyle w:val="TableText0"/>
              <w:jc w:val="center"/>
            </w:pPr>
            <w:r w:rsidRPr="005A7226">
              <w:t>0.02 (-0.02, 0.05)</w:t>
            </w:r>
          </w:p>
        </w:tc>
      </w:tr>
    </w:tbl>
    <w:p w14:paraId="576F9CF5" w14:textId="0098B3E5" w:rsidR="00762A9A" w:rsidRPr="005A7226" w:rsidRDefault="00762A9A" w:rsidP="00762A9A">
      <w:pPr>
        <w:rPr>
          <w:rFonts w:ascii="Arial Narrow" w:hAnsi="Arial Narrow"/>
          <w:sz w:val="18"/>
          <w:szCs w:val="18"/>
        </w:rPr>
      </w:pPr>
      <w:r w:rsidRPr="005A7226">
        <w:rPr>
          <w:rFonts w:ascii="Arial Narrow" w:hAnsi="Arial Narrow"/>
          <w:b/>
          <w:bCs/>
          <w:sz w:val="18"/>
          <w:szCs w:val="18"/>
        </w:rPr>
        <w:t>Bold</w:t>
      </w:r>
      <w:r w:rsidRPr="005A7226">
        <w:rPr>
          <w:rFonts w:ascii="Arial Narrow" w:hAnsi="Arial Narrow"/>
          <w:sz w:val="18"/>
          <w:szCs w:val="18"/>
        </w:rPr>
        <w:t xml:space="preserve"> indicates statistically significant results.</w:t>
      </w:r>
      <w:r w:rsidRPr="005A7226">
        <w:rPr>
          <w:rFonts w:ascii="Arial Narrow" w:hAnsi="Arial Narrow"/>
          <w:i/>
          <w:iCs/>
          <w:sz w:val="18"/>
          <w:szCs w:val="18"/>
        </w:rPr>
        <w:t xml:space="preserve"> </w:t>
      </w:r>
      <w:r w:rsidRPr="005A7226">
        <w:rPr>
          <w:rFonts w:ascii="Arial Narrow" w:hAnsi="Arial Narrow"/>
          <w:sz w:val="18"/>
          <w:szCs w:val="18"/>
        </w:rPr>
        <w:t>.</w:t>
      </w:r>
    </w:p>
    <w:p w14:paraId="5709C421" w14:textId="2A106B15" w:rsidR="00FD780F" w:rsidRPr="005A7226" w:rsidRDefault="00FD780F" w:rsidP="00FD780F">
      <w:pPr>
        <w:rPr>
          <w:rFonts w:ascii="Arial Narrow" w:hAnsi="Arial Narrow"/>
          <w:sz w:val="18"/>
          <w:szCs w:val="18"/>
        </w:rPr>
      </w:pPr>
      <w:r w:rsidRPr="005A7226">
        <w:rPr>
          <w:rFonts w:ascii="Arial Narrow" w:hAnsi="Arial Narrow"/>
          <w:sz w:val="18"/>
          <w:szCs w:val="18"/>
        </w:rPr>
        <w:t>Source: Table 2.5-1, p89, Table 2.5-2, pp90-91, Table 2.5-11, p102, Table 2.5-13, p104, Table 2.6-1, pp121-122, Table 2.6-3, pp122-123</w:t>
      </w:r>
      <w:r w:rsidR="001E4BF4" w:rsidRPr="005A7226">
        <w:rPr>
          <w:rFonts w:ascii="Arial Narrow" w:hAnsi="Arial Narrow"/>
          <w:sz w:val="18"/>
          <w:szCs w:val="18"/>
        </w:rPr>
        <w:t xml:space="preserve">, Tables 2.5-23 and 2.5-24, pp112-113, </w:t>
      </w:r>
      <w:r w:rsidRPr="005A7226">
        <w:rPr>
          <w:rFonts w:ascii="Arial Narrow" w:hAnsi="Arial Narrow"/>
          <w:sz w:val="18"/>
          <w:szCs w:val="18"/>
        </w:rPr>
        <w:t>of the submission, Attachment 05 – VEOZA Pooled Analysis, SKYLIGHT 1 and 2 Pooled analysis.pdf, Fig 1 and Supplemental Fig 1 of Santoro 2024 (SKYLIGHT 1 and SKYLIGHT 2 pooled).</w:t>
      </w:r>
    </w:p>
    <w:p w14:paraId="13DAA575" w14:textId="7D5A015C" w:rsidR="00FD780F" w:rsidRPr="005A7226" w:rsidRDefault="001E4BF4" w:rsidP="00FD780F">
      <w:pPr>
        <w:rPr>
          <w:rFonts w:ascii="Arial Narrow" w:hAnsi="Arial Narrow"/>
          <w:sz w:val="18"/>
          <w:szCs w:val="18"/>
        </w:rPr>
      </w:pPr>
      <w:r w:rsidRPr="005A7226">
        <w:rPr>
          <w:rFonts w:ascii="Arial Narrow" w:hAnsi="Arial Narrow"/>
          <w:sz w:val="18"/>
          <w:szCs w:val="18"/>
        </w:rPr>
        <w:t xml:space="preserve">AE=adverse event; </w:t>
      </w:r>
      <w:r w:rsidR="00FD780F" w:rsidRPr="005A7226">
        <w:rPr>
          <w:rFonts w:ascii="Arial Narrow" w:hAnsi="Arial Narrow"/>
          <w:sz w:val="18"/>
          <w:szCs w:val="18"/>
        </w:rPr>
        <w:t xml:space="preserve">FEZ=fezolinetant; LS=least squares; MHT=menopausal hormone therapy; NR=not reported; PBO=placebo; </w:t>
      </w:r>
      <w:r w:rsidRPr="005A7226">
        <w:rPr>
          <w:rFonts w:ascii="Arial Narrow" w:hAnsi="Arial Narrow"/>
          <w:sz w:val="18"/>
          <w:szCs w:val="18"/>
        </w:rPr>
        <w:t xml:space="preserve">TEAE=treatment emergent AE; </w:t>
      </w:r>
      <w:r w:rsidR="00FD780F" w:rsidRPr="005A7226">
        <w:rPr>
          <w:rFonts w:ascii="Arial Narrow" w:hAnsi="Arial Narrow"/>
          <w:sz w:val="18"/>
          <w:szCs w:val="18"/>
        </w:rPr>
        <w:t xml:space="preserve">VMS=vasomotor symptoms; </w:t>
      </w:r>
      <w:proofErr w:type="spellStart"/>
      <w:r w:rsidR="00FD780F" w:rsidRPr="005A7226">
        <w:rPr>
          <w:rFonts w:ascii="Arial Narrow" w:hAnsi="Arial Narrow"/>
          <w:sz w:val="18"/>
          <w:szCs w:val="18"/>
        </w:rPr>
        <w:t>wk</w:t>
      </w:r>
      <w:proofErr w:type="spellEnd"/>
      <w:r w:rsidR="00FD780F" w:rsidRPr="005A7226">
        <w:rPr>
          <w:rFonts w:ascii="Arial Narrow" w:hAnsi="Arial Narrow"/>
          <w:sz w:val="18"/>
          <w:szCs w:val="18"/>
        </w:rPr>
        <w:t>=week;</w:t>
      </w:r>
    </w:p>
    <w:p w14:paraId="0146FC59" w14:textId="45BBF6BA" w:rsidR="00FD780F" w:rsidRPr="005A7226" w:rsidRDefault="00FD780F" w:rsidP="00FD780F">
      <w:pPr>
        <w:rPr>
          <w:rFonts w:ascii="Arial Narrow" w:hAnsi="Arial Narrow"/>
          <w:sz w:val="18"/>
          <w:szCs w:val="18"/>
        </w:rPr>
      </w:pPr>
      <w:r w:rsidRPr="005A7226">
        <w:rPr>
          <w:rFonts w:ascii="Arial Narrow" w:hAnsi="Arial Narrow"/>
          <w:sz w:val="18"/>
          <w:szCs w:val="18"/>
        </w:rPr>
        <w:t>a</w:t>
      </w:r>
      <w:r w:rsidRPr="005A7226">
        <w:rPr>
          <w:rFonts w:ascii="Arial Narrow" w:hAnsi="Arial Narrow"/>
          <w:sz w:val="18"/>
          <w:szCs w:val="18"/>
        </w:rPr>
        <w:tab/>
      </w:r>
      <w:proofErr w:type="spellStart"/>
      <w:r w:rsidRPr="005A7226">
        <w:rPr>
          <w:rFonts w:ascii="Arial Narrow" w:hAnsi="Arial Narrow"/>
          <w:sz w:val="18"/>
          <w:szCs w:val="18"/>
        </w:rPr>
        <w:t>A</w:t>
      </w:r>
      <w:proofErr w:type="spellEnd"/>
      <w:r w:rsidRPr="005A7226">
        <w:rPr>
          <w:rFonts w:ascii="Arial Narrow" w:hAnsi="Arial Narrow"/>
          <w:sz w:val="18"/>
          <w:szCs w:val="18"/>
        </w:rPr>
        <w:t xml:space="preserve"> negative change indicates a reduction/improvement from baseline.</w:t>
      </w:r>
    </w:p>
    <w:p w14:paraId="3AC5530A" w14:textId="148EE4A6" w:rsidR="00FD780F" w:rsidRPr="005A7226" w:rsidRDefault="00762A9A" w:rsidP="00FD780F">
      <w:pPr>
        <w:ind w:left="165" w:hanging="165"/>
        <w:rPr>
          <w:rFonts w:ascii="Arial Narrow" w:hAnsi="Arial Narrow"/>
          <w:sz w:val="18"/>
          <w:szCs w:val="18"/>
        </w:rPr>
      </w:pPr>
      <w:r w:rsidRPr="005A7226">
        <w:rPr>
          <w:rFonts w:ascii="Arial Narrow" w:hAnsi="Arial Narrow"/>
          <w:sz w:val="18"/>
          <w:szCs w:val="18"/>
        </w:rPr>
        <w:t>b</w:t>
      </w:r>
      <w:r w:rsidR="00FD780F" w:rsidRPr="005A7226">
        <w:rPr>
          <w:rFonts w:ascii="Arial Narrow" w:hAnsi="Arial Narrow"/>
          <w:sz w:val="18"/>
          <w:szCs w:val="18"/>
        </w:rPr>
        <w:tab/>
        <w:t>Reported as LS mean (SE) change from baseline.</w:t>
      </w:r>
    </w:p>
    <w:p w14:paraId="3F0F72FC" w14:textId="48E6635C" w:rsidR="00FD780F" w:rsidRPr="005A7226" w:rsidRDefault="00762A9A" w:rsidP="00FD780F">
      <w:pPr>
        <w:rPr>
          <w:rFonts w:ascii="Arial Narrow" w:hAnsi="Arial Narrow"/>
          <w:sz w:val="18"/>
          <w:szCs w:val="18"/>
        </w:rPr>
      </w:pPr>
      <w:r w:rsidRPr="005A7226">
        <w:rPr>
          <w:rFonts w:ascii="Arial Narrow" w:hAnsi="Arial Narrow"/>
          <w:sz w:val="18"/>
          <w:szCs w:val="18"/>
        </w:rPr>
        <w:t>c</w:t>
      </w:r>
      <w:r w:rsidR="00FD780F" w:rsidRPr="005A7226">
        <w:rPr>
          <w:rFonts w:ascii="Arial Narrow" w:hAnsi="Arial Narrow"/>
          <w:sz w:val="18"/>
          <w:szCs w:val="18"/>
        </w:rPr>
        <w:tab/>
        <w:t>Reported as mean (SD) change from baseline.</w:t>
      </w:r>
    </w:p>
    <w:p w14:paraId="4EBB0AE8" w14:textId="497E9CF5" w:rsidR="00FD780F" w:rsidRPr="005A7226" w:rsidRDefault="00762A9A" w:rsidP="00FD780F">
      <w:pPr>
        <w:ind w:left="170" w:hanging="170"/>
        <w:rPr>
          <w:rFonts w:ascii="Arial Narrow" w:hAnsi="Arial Narrow"/>
          <w:sz w:val="18"/>
          <w:szCs w:val="18"/>
        </w:rPr>
      </w:pPr>
      <w:r w:rsidRPr="005A7226">
        <w:rPr>
          <w:rFonts w:ascii="Arial Narrow" w:hAnsi="Arial Narrow"/>
          <w:sz w:val="18"/>
          <w:szCs w:val="18"/>
        </w:rPr>
        <w:t>d</w:t>
      </w:r>
      <w:r w:rsidR="00FD780F" w:rsidRPr="005A7226">
        <w:rPr>
          <w:rFonts w:ascii="Arial Narrow" w:hAnsi="Arial Narrow"/>
          <w:sz w:val="18"/>
          <w:szCs w:val="18"/>
        </w:rPr>
        <w:tab/>
        <w:t xml:space="preserve">Mean difference calculated during the evaluation using </w:t>
      </w:r>
      <w:proofErr w:type="spellStart"/>
      <w:r w:rsidR="00FD780F" w:rsidRPr="005A7226">
        <w:rPr>
          <w:rFonts w:ascii="Arial Narrow" w:hAnsi="Arial Narrow"/>
          <w:sz w:val="18"/>
          <w:szCs w:val="18"/>
        </w:rPr>
        <w:t>RevMan</w:t>
      </w:r>
      <w:proofErr w:type="spellEnd"/>
      <w:r w:rsidR="00FD780F" w:rsidRPr="005A7226">
        <w:rPr>
          <w:rFonts w:ascii="Arial Narrow" w:hAnsi="Arial Narrow"/>
          <w:sz w:val="18"/>
          <w:szCs w:val="18"/>
        </w:rPr>
        <w:t xml:space="preserve"> v5.3. LS mean difference was not reported in the submission. </w:t>
      </w:r>
    </w:p>
    <w:p w14:paraId="25F8BA2D" w14:textId="271F86C2" w:rsidR="00543E3A" w:rsidRPr="005A7226" w:rsidRDefault="00543E3A" w:rsidP="00FD780F">
      <w:pPr>
        <w:ind w:left="170" w:hanging="170"/>
        <w:rPr>
          <w:rFonts w:ascii="Arial Narrow" w:hAnsi="Arial Narrow"/>
          <w:sz w:val="18"/>
          <w:szCs w:val="18"/>
        </w:rPr>
      </w:pPr>
      <w:r w:rsidRPr="005A7226">
        <w:rPr>
          <w:rFonts w:ascii="Arial Narrow" w:hAnsi="Arial Narrow"/>
          <w:sz w:val="18"/>
          <w:szCs w:val="18"/>
        </w:rPr>
        <w:t>e results extracted/calculated during the evaluation</w:t>
      </w:r>
    </w:p>
    <w:p w14:paraId="191099C5" w14:textId="2A90B9D2" w:rsidR="007A0B83" w:rsidRPr="005A7226" w:rsidRDefault="00E279D7" w:rsidP="00B53879">
      <w:pPr>
        <w:widowControl w:val="0"/>
        <w:numPr>
          <w:ilvl w:val="1"/>
          <w:numId w:val="1"/>
        </w:numPr>
        <w:spacing w:after="120"/>
        <w:ind w:left="720"/>
      </w:pPr>
      <w:r w:rsidRPr="005A7226">
        <w:t>On the basis of direct evidence presented in the submission in MHT unsuitable patients, for patients treated with fezolinetant in comparison with placebo:</w:t>
      </w:r>
    </w:p>
    <w:p w14:paraId="4EEC9D00" w14:textId="585A3C7F" w:rsidR="00E279D7" w:rsidRPr="005A7226" w:rsidRDefault="008B6BE0" w:rsidP="001773B1">
      <w:pPr>
        <w:pStyle w:val="ListParagraph"/>
        <w:numPr>
          <w:ilvl w:val="0"/>
          <w:numId w:val="8"/>
        </w:numPr>
        <w:ind w:left="1080"/>
      </w:pPr>
      <w:r w:rsidRPr="005A7226">
        <w:t>On average, p</w:t>
      </w:r>
      <w:r w:rsidR="008B3ACD" w:rsidRPr="005A7226">
        <w:t>atients would experience a</w:t>
      </w:r>
      <w:r w:rsidR="00E279D7" w:rsidRPr="005A7226">
        <w:t>pproximate</w:t>
      </w:r>
      <w:r w:rsidR="00A95232" w:rsidRPr="005A7226">
        <w:t>ly</w:t>
      </w:r>
      <w:r w:rsidR="00E279D7" w:rsidRPr="005A7226">
        <w:t xml:space="preserve"> </w:t>
      </w:r>
      <w:r w:rsidR="00762A9A" w:rsidRPr="005A7226">
        <w:t>2</w:t>
      </w:r>
      <w:r w:rsidR="00E279D7" w:rsidRPr="005A7226">
        <w:t xml:space="preserve"> to </w:t>
      </w:r>
      <w:r w:rsidR="00762A9A" w:rsidRPr="005A7226">
        <w:t>3</w:t>
      </w:r>
      <w:r w:rsidR="00E279D7" w:rsidRPr="005A7226">
        <w:t xml:space="preserve"> </w:t>
      </w:r>
      <w:r w:rsidR="001B1E1B" w:rsidRPr="005A7226">
        <w:t>fewer</w:t>
      </w:r>
      <w:r w:rsidR="00762A9A" w:rsidRPr="005A7226">
        <w:t xml:space="preserve"> </w:t>
      </w:r>
      <w:r w:rsidR="00E279D7" w:rsidRPr="005A7226">
        <w:t>moderate to severe VMS</w:t>
      </w:r>
      <w:r w:rsidR="00762A9A" w:rsidRPr="005A7226">
        <w:t xml:space="preserve"> per </w:t>
      </w:r>
      <w:r w:rsidR="001B1E1B" w:rsidRPr="005A7226">
        <w:t>24h</w:t>
      </w:r>
      <w:r w:rsidR="00E279D7" w:rsidRPr="005A7226">
        <w:t xml:space="preserve"> at Week 12/24. These differences may not be clinically meaningful given the estimates did not meet the MCID for reduction in frequency (&gt;3.57 VMS per </w:t>
      </w:r>
      <w:r w:rsidR="001B1E1B" w:rsidRPr="005A7226">
        <w:t>24h</w:t>
      </w:r>
      <w:r w:rsidR="00E279D7" w:rsidRPr="005A7226">
        <w:t>).</w:t>
      </w:r>
    </w:p>
    <w:p w14:paraId="1CB64700" w14:textId="0475A600" w:rsidR="008870E0" w:rsidRPr="005A7226" w:rsidRDefault="008870E0" w:rsidP="00B53879">
      <w:pPr>
        <w:widowControl w:val="0"/>
        <w:numPr>
          <w:ilvl w:val="1"/>
          <w:numId w:val="1"/>
        </w:numPr>
        <w:spacing w:after="120"/>
        <w:ind w:left="720"/>
      </w:pPr>
      <w:r w:rsidRPr="005A7226">
        <w:t xml:space="preserve">On the basis of direct evidence presented in the submission in MHT unsuitable patients, for </w:t>
      </w:r>
      <w:r w:rsidR="006A53EC" w:rsidRPr="005A7226">
        <w:t xml:space="preserve">every 100 </w:t>
      </w:r>
      <w:r w:rsidRPr="005A7226">
        <w:t>patients treated with fezolinetant in comparison with placebo</w:t>
      </w:r>
      <w:r w:rsidR="004C0463" w:rsidRPr="005A7226">
        <w:t>, after 12 weeks of treatment</w:t>
      </w:r>
      <w:r w:rsidRPr="005A7226">
        <w:t>:</w:t>
      </w:r>
    </w:p>
    <w:p w14:paraId="4EBCB107" w14:textId="66164912" w:rsidR="00613553" w:rsidRPr="005A7226" w:rsidRDefault="006A53EC" w:rsidP="001773B1">
      <w:pPr>
        <w:pStyle w:val="ListParagraph"/>
        <w:numPr>
          <w:ilvl w:val="0"/>
          <w:numId w:val="8"/>
        </w:numPr>
        <w:ind w:left="1080"/>
      </w:pPr>
      <w:r w:rsidRPr="005A7226">
        <w:t>A</w:t>
      </w:r>
      <w:r w:rsidR="00170BC6" w:rsidRPr="005A7226">
        <w:t xml:space="preserve">pproximately 23 additional patients would experience </w:t>
      </w:r>
      <w:r w:rsidR="00C73399" w:rsidRPr="005A7226">
        <w:t>at least</w:t>
      </w:r>
      <w:r w:rsidR="00170BC6" w:rsidRPr="005A7226">
        <w:t xml:space="preserve"> 50% reduction </w:t>
      </w:r>
      <w:r w:rsidR="004C0463" w:rsidRPr="005A7226">
        <w:t xml:space="preserve">in the </w:t>
      </w:r>
      <w:r w:rsidR="00D22D85" w:rsidRPr="005A7226">
        <w:t>frequency of moderate to severe</w:t>
      </w:r>
      <w:r w:rsidR="00170BC6" w:rsidRPr="005A7226">
        <w:t xml:space="preserve"> VMS</w:t>
      </w:r>
      <w:r w:rsidR="00D22D85" w:rsidRPr="005A7226">
        <w:t xml:space="preserve"> episodes</w:t>
      </w:r>
      <w:r w:rsidR="004C0463" w:rsidRPr="005A7226">
        <w:t>.</w:t>
      </w:r>
    </w:p>
    <w:p w14:paraId="1462294B" w14:textId="1CFDCF9D" w:rsidR="00D22D85" w:rsidRPr="005A7226" w:rsidRDefault="006A53EC" w:rsidP="001773B1">
      <w:pPr>
        <w:pStyle w:val="ListParagraph"/>
        <w:numPr>
          <w:ilvl w:val="0"/>
          <w:numId w:val="8"/>
        </w:numPr>
        <w:ind w:left="1080"/>
      </w:pPr>
      <w:r w:rsidRPr="005A7226">
        <w:t>A</w:t>
      </w:r>
      <w:r w:rsidR="00D22D85" w:rsidRPr="005A7226">
        <w:t xml:space="preserve">pproximately </w:t>
      </w:r>
      <w:r w:rsidR="004C0463" w:rsidRPr="005A7226">
        <w:t xml:space="preserve">21 additional patients would experience </w:t>
      </w:r>
      <w:r w:rsidR="00C73399" w:rsidRPr="005A7226">
        <w:t>at least</w:t>
      </w:r>
      <w:r w:rsidR="004C0463" w:rsidRPr="005A7226">
        <w:t xml:space="preserve"> 75% reduction in the frequency of moderate to severe VMS episodes.</w:t>
      </w:r>
    </w:p>
    <w:p w14:paraId="3F347D04" w14:textId="0C36D0C5" w:rsidR="008B6BE0" w:rsidRPr="005A7226" w:rsidRDefault="008B6BE0" w:rsidP="00B53879">
      <w:pPr>
        <w:widowControl w:val="0"/>
        <w:numPr>
          <w:ilvl w:val="1"/>
          <w:numId w:val="1"/>
        </w:numPr>
        <w:spacing w:after="120"/>
        <w:ind w:left="720"/>
      </w:pPr>
      <w:r w:rsidRPr="005A7226">
        <w:t xml:space="preserve">On the basis of direct evidence presented in the submission in MHT unsuitable patients, for </w:t>
      </w:r>
      <w:r w:rsidR="00E20086" w:rsidRPr="005A7226">
        <w:t xml:space="preserve">every 100 </w:t>
      </w:r>
      <w:r w:rsidRPr="005A7226">
        <w:t>patients treated with fezolinetant in comparison with placebo:</w:t>
      </w:r>
    </w:p>
    <w:p w14:paraId="235006B3" w14:textId="2CB35EB3" w:rsidR="00D9741E" w:rsidRPr="005A7226" w:rsidRDefault="00D9741E" w:rsidP="001773B1">
      <w:pPr>
        <w:pStyle w:val="ListParagraph"/>
        <w:numPr>
          <w:ilvl w:val="0"/>
          <w:numId w:val="8"/>
        </w:numPr>
        <w:ind w:left="1080"/>
      </w:pPr>
      <w:r w:rsidRPr="005A7226">
        <w:t xml:space="preserve">Approximately 4 more patients </w:t>
      </w:r>
      <w:r w:rsidR="001B1E1B" w:rsidRPr="005A7226">
        <w:t xml:space="preserve">would experience </w:t>
      </w:r>
      <w:r w:rsidRPr="005A7226">
        <w:t xml:space="preserve">any </w:t>
      </w:r>
      <w:r w:rsidR="004A6AAE" w:rsidRPr="005A7226">
        <w:t>TE</w:t>
      </w:r>
      <w:r w:rsidRPr="005A7226">
        <w:t>AE over 24 weeks.</w:t>
      </w:r>
    </w:p>
    <w:p w14:paraId="21173551" w14:textId="4FC1FA47" w:rsidR="00D9741E" w:rsidRPr="005A7226" w:rsidRDefault="00D9741E" w:rsidP="001773B1">
      <w:pPr>
        <w:pStyle w:val="ListParagraph"/>
        <w:numPr>
          <w:ilvl w:val="0"/>
          <w:numId w:val="8"/>
        </w:numPr>
        <w:ind w:left="1080"/>
      </w:pPr>
      <w:r w:rsidRPr="005A7226">
        <w:t xml:space="preserve">Approximately 6 more patients </w:t>
      </w:r>
      <w:r w:rsidR="001B1E1B" w:rsidRPr="005A7226">
        <w:t xml:space="preserve">would experience </w:t>
      </w:r>
      <w:r w:rsidR="0011411D" w:rsidRPr="005A7226">
        <w:t xml:space="preserve">a </w:t>
      </w:r>
      <w:r w:rsidRPr="005A7226">
        <w:t xml:space="preserve">drug-related </w:t>
      </w:r>
      <w:r w:rsidR="004A6AAE" w:rsidRPr="005A7226">
        <w:t>TE</w:t>
      </w:r>
      <w:r w:rsidRPr="005A7226">
        <w:t>AE over 24 weeks.</w:t>
      </w:r>
    </w:p>
    <w:p w14:paraId="4867B862" w14:textId="3F26B670" w:rsidR="004A6AAE" w:rsidRPr="005A7226" w:rsidRDefault="004A6AAE" w:rsidP="001773B1">
      <w:pPr>
        <w:pStyle w:val="ListParagraph"/>
        <w:numPr>
          <w:ilvl w:val="0"/>
          <w:numId w:val="8"/>
        </w:numPr>
        <w:ind w:left="1080"/>
      </w:pPr>
      <w:r w:rsidRPr="005A7226">
        <w:t xml:space="preserve">Approximately 5 more patients </w:t>
      </w:r>
      <w:r w:rsidR="001B1E1B" w:rsidRPr="005A7226">
        <w:t xml:space="preserve">would experience </w:t>
      </w:r>
      <w:r w:rsidRPr="005A7226">
        <w:t>fatigue over 24 weeks.</w:t>
      </w:r>
    </w:p>
    <w:p w14:paraId="0E834B6B" w14:textId="1CD49566" w:rsidR="004A6AAE" w:rsidRPr="005A7226" w:rsidRDefault="004A6AAE" w:rsidP="001773B1">
      <w:pPr>
        <w:pStyle w:val="ListParagraph"/>
        <w:numPr>
          <w:ilvl w:val="0"/>
          <w:numId w:val="8"/>
        </w:numPr>
        <w:ind w:left="1080"/>
      </w:pPr>
      <w:r w:rsidRPr="005A7226">
        <w:t>Approximately 2 more patient</w:t>
      </w:r>
      <w:r w:rsidR="00EE4A29" w:rsidRPr="005A7226">
        <w:t>s</w:t>
      </w:r>
      <w:r w:rsidRPr="005A7226">
        <w:t xml:space="preserve"> </w:t>
      </w:r>
      <w:r w:rsidR="001B1E1B" w:rsidRPr="005A7226">
        <w:t xml:space="preserve">would experience abnormal </w:t>
      </w:r>
      <w:r w:rsidRPr="005A7226">
        <w:t>liver test</w:t>
      </w:r>
      <w:r w:rsidR="008B09AF" w:rsidRPr="005A7226">
        <w:t>s</w:t>
      </w:r>
      <w:r w:rsidRPr="005A7226">
        <w:t xml:space="preserve"> over 24 weeks.</w:t>
      </w:r>
    </w:p>
    <w:p w14:paraId="7A1772B6" w14:textId="23BB3145" w:rsidR="00B60939" w:rsidRPr="005A7226" w:rsidRDefault="00B60939" w:rsidP="00E9094A">
      <w:pPr>
        <w:pStyle w:val="4-SubsectionHeading"/>
      </w:pPr>
      <w:bookmarkStart w:id="48" w:name="_Toc22897644"/>
      <w:bookmarkStart w:id="49" w:name="_Toc188442566"/>
      <w:r w:rsidRPr="005A7226">
        <w:t>Clinical claim</w:t>
      </w:r>
      <w:bookmarkEnd w:id="48"/>
      <w:bookmarkEnd w:id="49"/>
    </w:p>
    <w:p w14:paraId="3D539ABF" w14:textId="03B87F0F" w:rsidR="00AC1F96" w:rsidRPr="005A7226" w:rsidRDefault="72F8BFBF" w:rsidP="00B53879">
      <w:pPr>
        <w:widowControl w:val="0"/>
        <w:numPr>
          <w:ilvl w:val="1"/>
          <w:numId w:val="1"/>
        </w:numPr>
        <w:spacing w:after="120"/>
        <w:ind w:left="720"/>
      </w:pPr>
      <w:r w:rsidRPr="005A7226">
        <w:t xml:space="preserve">In patients with moderate to severe VMS associated with menopause and unsuitable </w:t>
      </w:r>
      <w:r w:rsidR="3007F9A3" w:rsidRPr="005A7226">
        <w:t>for</w:t>
      </w:r>
      <w:r w:rsidRPr="005A7226">
        <w:t xml:space="preserve"> MHT, the submission described fezolinetant 45 mg as superior in terms of effectiveness compared with </w:t>
      </w:r>
      <w:r w:rsidR="0050699E" w:rsidRPr="005A7226">
        <w:t>no treatment</w:t>
      </w:r>
      <w:r w:rsidR="00A74163" w:rsidRPr="005A7226">
        <w:t xml:space="preserve"> (placebo)</w:t>
      </w:r>
      <w:r w:rsidR="0050699E" w:rsidRPr="005A7226">
        <w:t xml:space="preserve"> </w:t>
      </w:r>
      <w:r w:rsidRPr="005A7226">
        <w:t xml:space="preserve">and manageable (non-inferior) safety compared to </w:t>
      </w:r>
      <w:r w:rsidR="0050699E" w:rsidRPr="005A7226">
        <w:t>no treatment</w:t>
      </w:r>
      <w:r w:rsidR="00A74163" w:rsidRPr="005A7226">
        <w:t xml:space="preserve"> (placebo</w:t>
      </w:r>
      <w:r w:rsidR="0050699E" w:rsidRPr="005A7226">
        <w:t>)</w:t>
      </w:r>
      <w:r w:rsidRPr="005A7226">
        <w:t>.</w:t>
      </w:r>
    </w:p>
    <w:p w14:paraId="1B4CB83D" w14:textId="02677C36" w:rsidR="00FF0762" w:rsidRPr="00B53879" w:rsidRDefault="004F3F00" w:rsidP="00B53879">
      <w:pPr>
        <w:widowControl w:val="0"/>
        <w:numPr>
          <w:ilvl w:val="1"/>
          <w:numId w:val="1"/>
        </w:numPr>
        <w:spacing w:after="120"/>
        <w:ind w:left="720"/>
        <w:rPr>
          <w:rFonts w:asciiTheme="minorHAnsi" w:hAnsiTheme="minorHAnsi"/>
          <w:snapToGrid w:val="0"/>
          <w:szCs w:val="20"/>
        </w:rPr>
      </w:pPr>
      <w:r w:rsidRPr="005A7226">
        <w:t>T</w:t>
      </w:r>
      <w:r w:rsidR="00AC1F96" w:rsidRPr="005A7226">
        <w:t xml:space="preserve">he </w:t>
      </w:r>
      <w:r w:rsidR="00EF6321" w:rsidRPr="005A7226">
        <w:t xml:space="preserve">evaluation and the ESC considered that the </w:t>
      </w:r>
      <w:r w:rsidR="00AC1F96" w:rsidRPr="005A7226">
        <w:t xml:space="preserve">clinical claim of </w:t>
      </w:r>
      <w:r w:rsidR="000A7553" w:rsidRPr="005A7226">
        <w:t xml:space="preserve">superior </w:t>
      </w:r>
      <w:r w:rsidR="00AC1F96" w:rsidRPr="005A7226">
        <w:t xml:space="preserve">effectiveness </w:t>
      </w:r>
      <w:r w:rsidR="000A7553" w:rsidRPr="005A7226">
        <w:t xml:space="preserve">of </w:t>
      </w:r>
      <w:r w:rsidR="00AC1F96" w:rsidRPr="005A7226">
        <w:t xml:space="preserve">fezolinetant </w:t>
      </w:r>
      <w:r w:rsidR="000A7553" w:rsidRPr="005A7226">
        <w:t xml:space="preserve">versus placebo was generally </w:t>
      </w:r>
      <w:r w:rsidR="00AC1F96" w:rsidRPr="005A7226">
        <w:t>supported by the evidence presented</w:t>
      </w:r>
      <w:r w:rsidRPr="005A7226">
        <w:t>. However th</w:t>
      </w:r>
      <w:r w:rsidR="72F8BFBF" w:rsidRPr="005A7226">
        <w:t xml:space="preserve">ere were limited long-term </w:t>
      </w:r>
      <w:r w:rsidR="001A7820" w:rsidRPr="005A7226">
        <w:t xml:space="preserve">comparative </w:t>
      </w:r>
      <w:r w:rsidR="72F8BFBF" w:rsidRPr="005A7226">
        <w:t xml:space="preserve">data beyond </w:t>
      </w:r>
      <w:r w:rsidR="001A7820" w:rsidRPr="005A7226">
        <w:t xml:space="preserve">24 </w:t>
      </w:r>
      <w:r w:rsidR="72F8BFBF" w:rsidRPr="005A7226">
        <w:t xml:space="preserve">weeks. </w:t>
      </w:r>
      <w:r w:rsidR="000A5C59" w:rsidRPr="005A7226">
        <w:t>The PSCR acknowledge</w:t>
      </w:r>
      <w:r w:rsidR="00042B52" w:rsidRPr="005A7226">
        <w:t>d</w:t>
      </w:r>
      <w:r w:rsidR="000A5C59" w:rsidRPr="005A7226">
        <w:t xml:space="preserve"> the limited availability of long-term comparative data</w:t>
      </w:r>
      <w:r w:rsidR="00042B52" w:rsidRPr="005A7226">
        <w:t>, but considered that</w:t>
      </w:r>
      <w:r w:rsidR="000A5C59" w:rsidRPr="005A7226">
        <w:t xml:space="preserve"> the </w:t>
      </w:r>
      <w:r w:rsidR="00042B52" w:rsidRPr="005A7226">
        <w:t xml:space="preserve">(52 week) </w:t>
      </w:r>
      <w:r w:rsidR="000A5C59" w:rsidRPr="005A7226">
        <w:t>open-label extension results provide strong indicative evidence of long-term benefit of fezolinetant</w:t>
      </w:r>
      <w:r w:rsidR="00042B52" w:rsidRPr="005A7226">
        <w:t xml:space="preserve">, and the </w:t>
      </w:r>
      <w:r w:rsidR="000A5C59" w:rsidRPr="005A7226">
        <w:t xml:space="preserve">consistency of VMS reductions over time without evidence of </w:t>
      </w:r>
      <w:r w:rsidR="00B72B9D">
        <w:t>decrease in response</w:t>
      </w:r>
      <w:r w:rsidR="000A5C59" w:rsidRPr="005A7226">
        <w:t>, along with the maintenance of a favourable safety profile, supports the long-term use of fezolinetant in clinical practice.</w:t>
      </w:r>
      <w:r w:rsidR="00042B52" w:rsidRPr="005A7226">
        <w:t xml:space="preserve"> The ESC considered that </w:t>
      </w:r>
      <w:r w:rsidR="00E3000D" w:rsidRPr="005A7226">
        <w:t>the long-term safety and effectiveness of fezolinetant is uncertain</w:t>
      </w:r>
      <w:r w:rsidR="00500549" w:rsidRPr="005A7226">
        <w:t xml:space="preserve">, </w:t>
      </w:r>
      <w:r w:rsidR="00F83E2D" w:rsidRPr="005A7226">
        <w:t xml:space="preserve">and no comparative </w:t>
      </w:r>
      <w:r w:rsidR="003B74DD" w:rsidRPr="005A7226">
        <w:t xml:space="preserve">efficacy </w:t>
      </w:r>
      <w:r w:rsidR="00F83E2D" w:rsidRPr="005A7226">
        <w:t xml:space="preserve">data were available </w:t>
      </w:r>
      <w:r w:rsidR="00F83E2D" w:rsidRPr="00B53879">
        <w:rPr>
          <w:rFonts w:asciiTheme="minorHAnsi" w:hAnsiTheme="minorHAnsi"/>
          <w:snapToGrid w:val="0"/>
          <w:szCs w:val="20"/>
        </w:rPr>
        <w:t xml:space="preserve">beyond 24 weeks. </w:t>
      </w:r>
    </w:p>
    <w:p w14:paraId="571C24F5" w14:textId="620CB806" w:rsidR="00AC1F96" w:rsidRPr="00B53879" w:rsidRDefault="00B00B0A" w:rsidP="00B53879">
      <w:pPr>
        <w:widowControl w:val="0"/>
        <w:numPr>
          <w:ilvl w:val="1"/>
          <w:numId w:val="1"/>
        </w:numPr>
        <w:spacing w:after="120"/>
        <w:ind w:left="720"/>
        <w:rPr>
          <w:rFonts w:asciiTheme="minorHAnsi" w:hAnsiTheme="minorHAnsi"/>
          <w:snapToGrid w:val="0"/>
          <w:szCs w:val="20"/>
        </w:rPr>
      </w:pPr>
      <w:r w:rsidRPr="00B53879">
        <w:rPr>
          <w:rFonts w:asciiTheme="minorHAnsi" w:hAnsiTheme="minorHAnsi"/>
          <w:snapToGrid w:val="0"/>
          <w:szCs w:val="20"/>
        </w:rPr>
        <w:t>Although t</w:t>
      </w:r>
      <w:r w:rsidR="72F8BFBF" w:rsidRPr="00B53879">
        <w:rPr>
          <w:rFonts w:asciiTheme="minorHAnsi" w:hAnsiTheme="minorHAnsi"/>
          <w:snapToGrid w:val="0"/>
          <w:szCs w:val="20"/>
        </w:rPr>
        <w:t>he incidence of AEs was generally similar between fezolinetant and placebo</w:t>
      </w:r>
      <w:r w:rsidR="006F23C6" w:rsidRPr="00B53879">
        <w:rPr>
          <w:rFonts w:asciiTheme="minorHAnsi" w:hAnsiTheme="minorHAnsi"/>
          <w:snapToGrid w:val="0"/>
          <w:szCs w:val="20"/>
        </w:rPr>
        <w:t xml:space="preserve"> at Week</w:t>
      </w:r>
      <w:r w:rsidRPr="00B53879">
        <w:rPr>
          <w:rFonts w:asciiTheme="minorHAnsi" w:hAnsiTheme="minorHAnsi"/>
          <w:snapToGrid w:val="0"/>
          <w:szCs w:val="20"/>
        </w:rPr>
        <w:t>s</w:t>
      </w:r>
      <w:r w:rsidR="006F23C6" w:rsidRPr="00B53879">
        <w:rPr>
          <w:rFonts w:asciiTheme="minorHAnsi" w:hAnsiTheme="minorHAnsi"/>
          <w:snapToGrid w:val="0"/>
          <w:szCs w:val="20"/>
        </w:rPr>
        <w:t xml:space="preserve"> 24 and 52</w:t>
      </w:r>
      <w:r w:rsidRPr="00B53879">
        <w:rPr>
          <w:rFonts w:asciiTheme="minorHAnsi" w:hAnsiTheme="minorHAnsi"/>
          <w:snapToGrid w:val="0"/>
          <w:szCs w:val="20"/>
        </w:rPr>
        <w:t xml:space="preserve">, given the lack of longer term </w:t>
      </w:r>
      <w:r w:rsidR="00361A37">
        <w:rPr>
          <w:rFonts w:asciiTheme="minorHAnsi" w:hAnsiTheme="minorHAnsi"/>
          <w:snapToGrid w:val="0"/>
          <w:szCs w:val="20"/>
        </w:rPr>
        <w:t xml:space="preserve">randomised </w:t>
      </w:r>
      <w:r w:rsidRPr="00B53879">
        <w:rPr>
          <w:rFonts w:asciiTheme="minorHAnsi" w:hAnsiTheme="minorHAnsi"/>
          <w:snapToGrid w:val="0"/>
          <w:szCs w:val="20"/>
        </w:rPr>
        <w:t xml:space="preserve">safety data for fezolinetant and the potential for AST liver enzyme increases, </w:t>
      </w:r>
      <w:r w:rsidR="00F67374" w:rsidRPr="00B53879">
        <w:rPr>
          <w:rFonts w:asciiTheme="minorHAnsi" w:hAnsiTheme="minorHAnsi"/>
          <w:snapToGrid w:val="0"/>
          <w:szCs w:val="20"/>
        </w:rPr>
        <w:t xml:space="preserve">the ESC considered </w:t>
      </w:r>
      <w:r w:rsidR="004D0842" w:rsidRPr="00B53879">
        <w:rPr>
          <w:rFonts w:asciiTheme="minorHAnsi" w:hAnsiTheme="minorHAnsi"/>
          <w:snapToGrid w:val="0"/>
          <w:szCs w:val="20"/>
        </w:rPr>
        <w:t>i</w:t>
      </w:r>
      <w:r w:rsidR="009E4215">
        <w:rPr>
          <w:rFonts w:asciiTheme="minorHAnsi" w:hAnsiTheme="minorHAnsi"/>
          <w:snapToGrid w:val="0"/>
          <w:szCs w:val="20"/>
        </w:rPr>
        <w:t>t</w:t>
      </w:r>
      <w:r w:rsidR="004D0842" w:rsidRPr="00B53879">
        <w:rPr>
          <w:rFonts w:asciiTheme="minorHAnsi" w:hAnsiTheme="minorHAnsi"/>
          <w:snapToGrid w:val="0"/>
          <w:szCs w:val="20"/>
        </w:rPr>
        <w:t xml:space="preserve"> was reasonable to </w:t>
      </w:r>
      <w:r w:rsidR="00C50EA3" w:rsidRPr="00B53879">
        <w:rPr>
          <w:rFonts w:asciiTheme="minorHAnsi" w:hAnsiTheme="minorHAnsi"/>
          <w:snapToGrid w:val="0"/>
          <w:szCs w:val="20"/>
        </w:rPr>
        <w:t xml:space="preserve">accept </w:t>
      </w:r>
      <w:r w:rsidRPr="00B53879">
        <w:rPr>
          <w:rFonts w:asciiTheme="minorHAnsi" w:hAnsiTheme="minorHAnsi"/>
          <w:snapToGrid w:val="0"/>
          <w:szCs w:val="20"/>
        </w:rPr>
        <w:t>inferior but manageable safety</w:t>
      </w:r>
      <w:r w:rsidR="00C50EA3" w:rsidRPr="00B53879">
        <w:rPr>
          <w:rFonts w:asciiTheme="minorHAnsi" w:hAnsiTheme="minorHAnsi"/>
          <w:snapToGrid w:val="0"/>
          <w:szCs w:val="20"/>
        </w:rPr>
        <w:t xml:space="preserve"> for fezolinetant</w:t>
      </w:r>
      <w:r w:rsidRPr="00B53879">
        <w:rPr>
          <w:rFonts w:asciiTheme="minorHAnsi" w:hAnsiTheme="minorHAnsi"/>
          <w:snapToGrid w:val="0"/>
          <w:szCs w:val="20"/>
        </w:rPr>
        <w:t>.</w:t>
      </w:r>
      <w:r w:rsidR="00C50EA3" w:rsidRPr="00B53879">
        <w:rPr>
          <w:rFonts w:asciiTheme="minorHAnsi" w:hAnsiTheme="minorHAnsi"/>
          <w:snapToGrid w:val="0"/>
          <w:szCs w:val="20"/>
        </w:rPr>
        <w:t xml:space="preserve"> </w:t>
      </w:r>
    </w:p>
    <w:p w14:paraId="1C0A3BE4" w14:textId="02B6AB65" w:rsidR="00FF0762" w:rsidRPr="00EF34D2" w:rsidRDefault="00FF0762" w:rsidP="00B53879">
      <w:pPr>
        <w:widowControl w:val="0"/>
        <w:numPr>
          <w:ilvl w:val="1"/>
          <w:numId w:val="1"/>
        </w:numPr>
        <w:spacing w:after="120"/>
        <w:ind w:left="720"/>
      </w:pPr>
      <w:r w:rsidRPr="00B53879">
        <w:rPr>
          <w:rFonts w:asciiTheme="minorHAnsi" w:hAnsiTheme="minorHAnsi"/>
          <w:snapToGrid w:val="0"/>
          <w:szCs w:val="20"/>
        </w:rPr>
        <w:t xml:space="preserve">The ESC noted that </w:t>
      </w:r>
      <w:r w:rsidR="00DC2C31" w:rsidRPr="00B53879">
        <w:rPr>
          <w:rFonts w:asciiTheme="minorHAnsi" w:hAnsiTheme="minorHAnsi"/>
          <w:snapToGrid w:val="0"/>
          <w:szCs w:val="20"/>
        </w:rPr>
        <w:t xml:space="preserve">for patients in whom there is no </w:t>
      </w:r>
      <w:r w:rsidR="00723408" w:rsidRPr="00B53879">
        <w:rPr>
          <w:rFonts w:asciiTheme="minorHAnsi" w:hAnsiTheme="minorHAnsi"/>
          <w:snapToGrid w:val="0"/>
          <w:szCs w:val="20"/>
        </w:rPr>
        <w:t>medical reason</w:t>
      </w:r>
      <w:r w:rsidR="00723408" w:rsidRPr="005A7226">
        <w:t xml:space="preserve"> to avoid MHT, MHT is the most appropriate </w:t>
      </w:r>
      <w:r w:rsidR="00407F09" w:rsidRPr="005A7226">
        <w:t xml:space="preserve">comparator. Although this group of patients was included in the </w:t>
      </w:r>
      <w:r w:rsidR="00A251D8" w:rsidRPr="005A7226">
        <w:t xml:space="preserve">PBS population under the </w:t>
      </w:r>
      <w:r w:rsidR="00B25076" w:rsidRPr="005A7226">
        <w:t xml:space="preserve">proposed </w:t>
      </w:r>
      <w:r w:rsidR="00A251D8" w:rsidRPr="005A7226">
        <w:t>restrictions,</w:t>
      </w:r>
      <w:r w:rsidR="00407F09" w:rsidRPr="005A7226">
        <w:t xml:space="preserve"> the submission did not present</w:t>
      </w:r>
      <w:r w:rsidR="00A251D8" w:rsidRPr="005A7226">
        <w:t xml:space="preserve"> any assessment of the comparative </w:t>
      </w:r>
      <w:r w:rsidR="00B25076" w:rsidRPr="005A7226">
        <w:t xml:space="preserve">efficacy or safety of fezolinetant with MHT. The ESC noted that </w:t>
      </w:r>
      <w:r w:rsidR="009D4673" w:rsidRPr="005A7226">
        <w:t>a recent network meta-analysis (Morga 2024a</w:t>
      </w:r>
      <w:r w:rsidR="009D4673" w:rsidRPr="005A7226">
        <w:rPr>
          <w:vertAlign w:val="superscript"/>
        </w:rPr>
        <w:footnoteReference w:id="17"/>
      </w:r>
      <w:r w:rsidR="009D4673" w:rsidRPr="005A7226">
        <w:t xml:space="preserve">) suggested that the effect of fezolinetant on VMS frequency was generally not different from the MHT </w:t>
      </w:r>
      <w:r w:rsidR="009D4673" w:rsidRPr="00EF34D2">
        <w:t>regimens studied, with the exception of tibolone, which was significantly more effective than fezolinetant</w:t>
      </w:r>
      <w:r w:rsidR="00CF1BE7">
        <w:t>, b</w:t>
      </w:r>
      <w:r w:rsidR="00CE5BB5" w:rsidRPr="00EF34D2">
        <w:t xml:space="preserve">ut noted that fezolinetant </w:t>
      </w:r>
      <w:r w:rsidR="009D4673" w:rsidRPr="00EF34D2">
        <w:t>do</w:t>
      </w:r>
      <w:r w:rsidR="00CE5BB5" w:rsidRPr="00EF34D2">
        <w:t>es</w:t>
      </w:r>
      <w:r w:rsidR="009D4673" w:rsidRPr="00EF34D2">
        <w:t xml:space="preserve"> not confer the other benefits associated with MHT such as bone or cardiovascular-protective benefits</w:t>
      </w:r>
      <w:r w:rsidR="00CE5BB5" w:rsidRPr="00EF34D2">
        <w:t>.</w:t>
      </w:r>
    </w:p>
    <w:p w14:paraId="428CCB5D" w14:textId="509EF6C5" w:rsidR="00FA4D10" w:rsidRPr="00EF34D2" w:rsidRDefault="00FA4D10" w:rsidP="00FA4D10">
      <w:pPr>
        <w:widowControl w:val="0"/>
        <w:numPr>
          <w:ilvl w:val="1"/>
          <w:numId w:val="1"/>
        </w:numPr>
        <w:spacing w:after="120"/>
        <w:ind w:left="720"/>
        <w:rPr>
          <w:rFonts w:asciiTheme="minorHAnsi" w:hAnsiTheme="minorHAnsi"/>
          <w:snapToGrid w:val="0"/>
          <w:szCs w:val="20"/>
        </w:rPr>
      </w:pPr>
      <w:bookmarkStart w:id="50" w:name="_Hlk76376200"/>
      <w:r w:rsidRPr="00EF34D2">
        <w:rPr>
          <w:rFonts w:asciiTheme="minorHAnsi" w:hAnsiTheme="minorHAnsi"/>
          <w:iCs/>
          <w:snapToGrid w:val="0"/>
        </w:rPr>
        <w:t>The</w:t>
      </w:r>
      <w:r w:rsidRPr="00EF34D2">
        <w:rPr>
          <w:rFonts w:asciiTheme="minorHAnsi" w:hAnsiTheme="minorHAnsi"/>
          <w:snapToGrid w:val="0"/>
          <w:szCs w:val="20"/>
        </w:rPr>
        <w:t xml:space="preserve"> PBAC considered that the claim of superior comparative effectiveness </w:t>
      </w:r>
      <w:r w:rsidR="00F9748B" w:rsidRPr="00EF34D2">
        <w:rPr>
          <w:rFonts w:asciiTheme="minorHAnsi" w:hAnsiTheme="minorHAnsi"/>
          <w:snapToGrid w:val="0"/>
          <w:szCs w:val="20"/>
        </w:rPr>
        <w:t xml:space="preserve">compared to placebo </w:t>
      </w:r>
      <w:r w:rsidRPr="00EF34D2">
        <w:rPr>
          <w:rFonts w:asciiTheme="minorHAnsi" w:hAnsiTheme="minorHAnsi"/>
          <w:snapToGrid w:val="0"/>
          <w:szCs w:val="20"/>
        </w:rPr>
        <w:t>was reasonable</w:t>
      </w:r>
      <w:r w:rsidR="008137A1" w:rsidRPr="00EF34D2">
        <w:rPr>
          <w:rFonts w:asciiTheme="minorHAnsi" w:hAnsiTheme="minorHAnsi"/>
          <w:snapToGrid w:val="0"/>
          <w:szCs w:val="20"/>
        </w:rPr>
        <w:t xml:space="preserve">, however placebo was not the </w:t>
      </w:r>
      <w:r w:rsidR="00596481" w:rsidRPr="00EF34D2">
        <w:rPr>
          <w:rFonts w:asciiTheme="minorHAnsi" w:hAnsiTheme="minorHAnsi"/>
          <w:snapToGrid w:val="0"/>
          <w:szCs w:val="20"/>
        </w:rPr>
        <w:t>appropriate</w:t>
      </w:r>
      <w:r w:rsidR="008137A1" w:rsidRPr="00EF34D2">
        <w:rPr>
          <w:rFonts w:asciiTheme="minorHAnsi" w:hAnsiTheme="minorHAnsi"/>
          <w:snapToGrid w:val="0"/>
          <w:szCs w:val="20"/>
        </w:rPr>
        <w:t xml:space="preserve"> comparator for</w:t>
      </w:r>
      <w:r w:rsidR="00596481" w:rsidRPr="00EF34D2">
        <w:rPr>
          <w:rFonts w:asciiTheme="minorHAnsi" w:hAnsiTheme="minorHAnsi"/>
          <w:snapToGrid w:val="0"/>
          <w:szCs w:val="20"/>
        </w:rPr>
        <w:t xml:space="preserve"> many patients </w:t>
      </w:r>
      <w:r w:rsidR="00CF1BE7">
        <w:rPr>
          <w:rFonts w:asciiTheme="minorHAnsi" w:hAnsiTheme="minorHAnsi"/>
          <w:snapToGrid w:val="0"/>
          <w:szCs w:val="20"/>
        </w:rPr>
        <w:t xml:space="preserve">who would be </w:t>
      </w:r>
      <w:r w:rsidR="00596481" w:rsidRPr="00EF34D2">
        <w:rPr>
          <w:rFonts w:asciiTheme="minorHAnsi" w:hAnsiTheme="minorHAnsi"/>
          <w:snapToGrid w:val="0"/>
          <w:szCs w:val="20"/>
        </w:rPr>
        <w:t xml:space="preserve">eligible </w:t>
      </w:r>
      <w:r w:rsidR="00CF1BE7">
        <w:rPr>
          <w:rFonts w:asciiTheme="minorHAnsi" w:hAnsiTheme="minorHAnsi"/>
          <w:snapToGrid w:val="0"/>
          <w:szCs w:val="20"/>
        </w:rPr>
        <w:t xml:space="preserve">for fezolinetant </w:t>
      </w:r>
      <w:r w:rsidR="00596481" w:rsidRPr="00EF34D2">
        <w:rPr>
          <w:rFonts w:asciiTheme="minorHAnsi" w:hAnsiTheme="minorHAnsi"/>
          <w:snapToGrid w:val="0"/>
          <w:szCs w:val="20"/>
        </w:rPr>
        <w:t>under the proposed restriction criteria.</w:t>
      </w:r>
    </w:p>
    <w:p w14:paraId="332CB1E6" w14:textId="00A043F4" w:rsidR="00850DD6" w:rsidRPr="000E136C" w:rsidRDefault="00FA4D10" w:rsidP="000E136C">
      <w:pPr>
        <w:widowControl w:val="0"/>
        <w:numPr>
          <w:ilvl w:val="1"/>
          <w:numId w:val="1"/>
        </w:numPr>
        <w:spacing w:after="120"/>
        <w:ind w:left="720"/>
        <w:rPr>
          <w:rFonts w:asciiTheme="minorHAnsi" w:hAnsiTheme="minorHAnsi"/>
          <w:snapToGrid w:val="0"/>
          <w:szCs w:val="20"/>
        </w:rPr>
      </w:pPr>
      <w:r w:rsidRPr="00EF34D2">
        <w:rPr>
          <w:rFonts w:asciiTheme="minorHAnsi" w:hAnsiTheme="minorHAnsi"/>
          <w:snapToGrid w:val="0"/>
          <w:szCs w:val="20"/>
        </w:rPr>
        <w:t xml:space="preserve">The PBAC considered that the claim of </w:t>
      </w:r>
      <w:r w:rsidR="0096262E" w:rsidRPr="00EF34D2">
        <w:rPr>
          <w:rFonts w:asciiTheme="minorHAnsi" w:hAnsiTheme="minorHAnsi"/>
          <w:snapToGrid w:val="0"/>
          <w:szCs w:val="20"/>
        </w:rPr>
        <w:t xml:space="preserve">manageable </w:t>
      </w:r>
      <w:r w:rsidRPr="00EF34D2">
        <w:rPr>
          <w:rFonts w:asciiTheme="minorHAnsi" w:hAnsiTheme="minorHAnsi"/>
          <w:snapToGrid w:val="0"/>
          <w:szCs w:val="20"/>
        </w:rPr>
        <w:t>non-inferior comparative safety</w:t>
      </w:r>
      <w:r w:rsidR="00B25881">
        <w:rPr>
          <w:rFonts w:asciiTheme="minorHAnsi" w:hAnsiTheme="minorHAnsi"/>
          <w:snapToGrid w:val="0"/>
          <w:szCs w:val="20"/>
        </w:rPr>
        <w:t xml:space="preserve"> compared to placebo</w:t>
      </w:r>
      <w:r w:rsidRPr="00EF34D2">
        <w:rPr>
          <w:rFonts w:asciiTheme="minorHAnsi" w:hAnsiTheme="minorHAnsi"/>
          <w:snapToGrid w:val="0"/>
          <w:szCs w:val="20"/>
        </w:rPr>
        <w:t xml:space="preserve"> was not adequately supported by the data</w:t>
      </w:r>
      <w:r w:rsidR="00DE7273" w:rsidRPr="00EF34D2">
        <w:rPr>
          <w:rFonts w:asciiTheme="minorHAnsi" w:hAnsiTheme="minorHAnsi"/>
          <w:snapToGrid w:val="0"/>
          <w:szCs w:val="20"/>
        </w:rPr>
        <w:t xml:space="preserve">, given the risks </w:t>
      </w:r>
      <w:r w:rsidR="00EF34D2" w:rsidRPr="00EF34D2">
        <w:rPr>
          <w:rFonts w:asciiTheme="minorHAnsi" w:hAnsiTheme="minorHAnsi"/>
          <w:snapToGrid w:val="0"/>
          <w:szCs w:val="20"/>
        </w:rPr>
        <w:t>of</w:t>
      </w:r>
      <w:r w:rsidR="00DE7273" w:rsidRPr="00EF34D2">
        <w:rPr>
          <w:rFonts w:asciiTheme="minorHAnsi" w:hAnsiTheme="minorHAnsi"/>
          <w:snapToGrid w:val="0"/>
          <w:szCs w:val="20"/>
        </w:rPr>
        <w:t xml:space="preserve"> hepatotoxicity associated with fezolinetant</w:t>
      </w:r>
      <w:r w:rsidR="00B25881">
        <w:rPr>
          <w:rFonts w:asciiTheme="minorHAnsi" w:hAnsiTheme="minorHAnsi"/>
          <w:snapToGrid w:val="0"/>
          <w:szCs w:val="20"/>
        </w:rPr>
        <w:t xml:space="preserve"> and lack of long</w:t>
      </w:r>
      <w:r w:rsidR="00850DD6">
        <w:rPr>
          <w:rFonts w:asciiTheme="minorHAnsi" w:hAnsiTheme="minorHAnsi"/>
          <w:snapToGrid w:val="0"/>
          <w:szCs w:val="20"/>
        </w:rPr>
        <w:t>-</w:t>
      </w:r>
      <w:r w:rsidR="00B25881">
        <w:rPr>
          <w:rFonts w:asciiTheme="minorHAnsi" w:hAnsiTheme="minorHAnsi"/>
          <w:snapToGrid w:val="0"/>
          <w:szCs w:val="20"/>
        </w:rPr>
        <w:t>term data</w:t>
      </w:r>
      <w:r w:rsidR="00DE7273" w:rsidRPr="00EF34D2">
        <w:rPr>
          <w:rFonts w:asciiTheme="minorHAnsi" w:hAnsiTheme="minorHAnsi"/>
          <w:snapToGrid w:val="0"/>
          <w:szCs w:val="20"/>
        </w:rPr>
        <w:t xml:space="preserve">. </w:t>
      </w:r>
      <w:bookmarkEnd w:id="50"/>
    </w:p>
    <w:p w14:paraId="532A47B8" w14:textId="77777777" w:rsidR="004B5A3E" w:rsidRPr="00D77BC1" w:rsidRDefault="004B5A3E" w:rsidP="00D77BC1">
      <w:pPr>
        <w:pStyle w:val="4-SubsectionHeading"/>
      </w:pPr>
      <w:bookmarkStart w:id="51" w:name="_Toc22897645"/>
      <w:bookmarkStart w:id="52" w:name="_Ref187744398"/>
      <w:bookmarkStart w:id="53" w:name="_Ref187744498"/>
      <w:bookmarkStart w:id="54" w:name="_Toc188442567"/>
      <w:r w:rsidRPr="00D77BC1">
        <w:t xml:space="preserve">Economic analysis </w:t>
      </w:r>
    </w:p>
    <w:p w14:paraId="180E4D0A" w14:textId="6FDCE382" w:rsidR="004B5A3E" w:rsidRPr="00B53879" w:rsidRDefault="004B5A3E" w:rsidP="004B5A3E">
      <w:pPr>
        <w:widowControl w:val="0"/>
        <w:numPr>
          <w:ilvl w:val="1"/>
          <w:numId w:val="1"/>
        </w:numPr>
        <w:spacing w:after="120"/>
        <w:ind w:left="720"/>
      </w:pPr>
      <w:r w:rsidRPr="005A7226">
        <w:t>The submission presented a stepped economic evaluation versus no treatment, based on</w:t>
      </w:r>
      <w:r w:rsidRPr="005A7226">
        <w:rPr>
          <w:rFonts w:eastAsia="Calibri"/>
        </w:rPr>
        <w:t xml:space="preserve"> DAYLIGHT (100% unsuitable for MHT) in the primary analysis, and based on the post-hoc pooled MHT unsuitable subgroup from SKYLIGHT 1 and 2 plus DAYLIGHT in the secondary analysis. The evaluation considered that the use of </w:t>
      </w:r>
      <w:r w:rsidRPr="00B53879">
        <w:t xml:space="preserve">DAYLIGHT in the primary analysis was appropriate and consistent with the requested restrictions. As discussed in the clinical trials section, despite this consistency, the evaluation and the ESC considered it uncertain whether it was clinically appropriate to allow first-line treatment with fezolinetant over MHTs without medical rationale (i.e. the MHT-averse population identified in the submission), </w:t>
      </w:r>
      <w:r w:rsidR="00220C39">
        <w:t>and</w:t>
      </w:r>
      <w:r w:rsidRPr="00B53879">
        <w:t xml:space="preserve"> noted that MHT was a more appropriate comparator for these patients than placebo</w:t>
      </w:r>
      <w:r w:rsidRPr="005A7226">
        <w:t>. A CMA versus MHTs was conducted during the evaluation and presented as a scenario analysis to inform the cost differences between fezolinetant and MHT treatments.</w:t>
      </w:r>
      <w:r w:rsidRPr="00B53879">
        <w:t xml:space="preserve"> However the ESC noted that for a medicine to be recommended on a cost-minimisation basis, the PBAC would need to be satisfied that it is noninferior to the </w:t>
      </w:r>
      <w:r w:rsidRPr="005A7226">
        <w:t xml:space="preserve">alternative </w:t>
      </w:r>
      <w:r w:rsidRPr="00B53879">
        <w:t>treatment. The ESC noted that the submission did not provide a comparison of safety and efficacy between fezolinetant and MHT.</w:t>
      </w:r>
    </w:p>
    <w:p w14:paraId="77AE4163" w14:textId="2BE93A61" w:rsidR="004B5A3E" w:rsidRPr="005A7226" w:rsidRDefault="004B5A3E" w:rsidP="004B5A3E">
      <w:pPr>
        <w:widowControl w:val="0"/>
        <w:numPr>
          <w:ilvl w:val="1"/>
          <w:numId w:val="1"/>
        </w:numPr>
        <w:spacing w:after="120"/>
        <w:ind w:left="720"/>
        <w:rPr>
          <w:rFonts w:eastAsia="Calibri"/>
        </w:rPr>
      </w:pPr>
      <w:r w:rsidRPr="005A7226">
        <w:t xml:space="preserve">The model structure is shown in </w:t>
      </w:r>
      <w:r w:rsidR="00097D1F">
        <w:fldChar w:fldCharType="begin"/>
      </w:r>
      <w:r w:rsidR="00097D1F">
        <w:instrText xml:space="preserve"> REF _Ref195781730 \h </w:instrText>
      </w:r>
      <w:r w:rsidR="00097D1F">
        <w:fldChar w:fldCharType="separate"/>
      </w:r>
      <w:r w:rsidR="00B11DA2" w:rsidRPr="005A7226">
        <w:t xml:space="preserve">Figure </w:t>
      </w:r>
      <w:r w:rsidR="00B11DA2">
        <w:rPr>
          <w:noProof/>
        </w:rPr>
        <w:t>2</w:t>
      </w:r>
      <w:r w:rsidR="00097D1F">
        <w:fldChar w:fldCharType="end"/>
      </w:r>
      <w:r w:rsidR="00097D1F">
        <w:t>.</w:t>
      </w:r>
    </w:p>
    <w:p w14:paraId="730F5B1D" w14:textId="0A217D9C" w:rsidR="004B5A3E" w:rsidRPr="005A7226" w:rsidRDefault="004B5A3E" w:rsidP="004B5A3E">
      <w:pPr>
        <w:pStyle w:val="Caption"/>
      </w:pPr>
      <w:bookmarkStart w:id="55" w:name="_Ref195781730"/>
      <w:r w:rsidRPr="005A7226">
        <w:t xml:space="preserve">Figure </w:t>
      </w:r>
      <w:r w:rsidR="004A6B36">
        <w:fldChar w:fldCharType="begin"/>
      </w:r>
      <w:r w:rsidR="004A6B36">
        <w:instrText xml:space="preserve"> SEQ Figure \* ARABIC </w:instrText>
      </w:r>
      <w:r w:rsidR="004A6B36">
        <w:fldChar w:fldCharType="separate"/>
      </w:r>
      <w:r w:rsidR="00B11DA2">
        <w:rPr>
          <w:noProof/>
        </w:rPr>
        <w:t>2</w:t>
      </w:r>
      <w:r w:rsidR="004A6B36">
        <w:rPr>
          <w:noProof/>
        </w:rPr>
        <w:fldChar w:fldCharType="end"/>
      </w:r>
      <w:bookmarkEnd w:id="55"/>
      <w:r w:rsidRPr="005A7226">
        <w:t>. Structure of the economic model</w:t>
      </w:r>
    </w:p>
    <w:p w14:paraId="2F2753F5" w14:textId="77777777" w:rsidR="004B5A3E" w:rsidRPr="005A7226" w:rsidRDefault="004B5A3E" w:rsidP="004B5A3E">
      <w:pPr>
        <w:pStyle w:val="Caption"/>
      </w:pPr>
      <w:r w:rsidRPr="005A7226">
        <w:rPr>
          <w:rFonts w:asciiTheme="minorHAnsi" w:hAnsiTheme="minorHAnsi" w:cstheme="minorHAnsi"/>
          <w:noProof/>
        </w:rPr>
        <w:drawing>
          <wp:inline distT="0" distB="0" distL="0" distR="0" wp14:anchorId="32A93CB2" wp14:editId="11AF4505">
            <wp:extent cx="5372100" cy="3164231"/>
            <wp:effectExtent l="0" t="0" r="0" b="0"/>
            <wp:docPr id="18706295" name="Picture 18706295" descr="Figure 2.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295" name="Picture 18706295" descr="Figure 2. Structure of the economic model"/>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95359" cy="3177931"/>
                    </a:xfrm>
                    <a:prstGeom prst="rect">
                      <a:avLst/>
                    </a:prstGeom>
                    <a:noFill/>
                    <a:ln>
                      <a:noFill/>
                    </a:ln>
                  </pic:spPr>
                </pic:pic>
              </a:graphicData>
            </a:graphic>
          </wp:inline>
        </w:drawing>
      </w:r>
    </w:p>
    <w:p w14:paraId="12CCB18D" w14:textId="77777777" w:rsidR="004B5A3E" w:rsidRPr="005A7226" w:rsidRDefault="004B5A3E" w:rsidP="004B5A3E">
      <w:pPr>
        <w:pStyle w:val="FooterTableFigure"/>
      </w:pPr>
      <w:r w:rsidRPr="005A7226">
        <w:t>Source: Figure 3.2-1, p150 of the submission.</w:t>
      </w:r>
    </w:p>
    <w:p w14:paraId="51C43601" w14:textId="77777777" w:rsidR="004B5A3E" w:rsidRPr="005A7226" w:rsidRDefault="004B5A3E" w:rsidP="004B5A3E">
      <w:pPr>
        <w:pStyle w:val="FooterTableFigure"/>
      </w:pPr>
      <w:r w:rsidRPr="005A7226">
        <w:t>VMS=vasomotor symptoms</w:t>
      </w:r>
    </w:p>
    <w:p w14:paraId="6F589EA6" w14:textId="1A753313" w:rsidR="004B5A3E" w:rsidRPr="005A7226" w:rsidRDefault="00097D1F" w:rsidP="004B5A3E">
      <w:pPr>
        <w:widowControl w:val="0"/>
        <w:numPr>
          <w:ilvl w:val="1"/>
          <w:numId w:val="1"/>
        </w:numPr>
        <w:spacing w:after="120"/>
        <w:ind w:left="720"/>
      </w:pPr>
      <w:r>
        <w:fldChar w:fldCharType="begin"/>
      </w:r>
      <w:r>
        <w:instrText xml:space="preserve"> REF _Ref195781765 \h </w:instrText>
      </w:r>
      <w:r>
        <w:fldChar w:fldCharType="separate"/>
      </w:r>
      <w:r w:rsidR="00B11DA2" w:rsidRPr="005A7226">
        <w:t xml:space="preserve">Table </w:t>
      </w:r>
      <w:r w:rsidR="00B11DA2">
        <w:rPr>
          <w:noProof/>
        </w:rPr>
        <w:t>9</w:t>
      </w:r>
      <w:r>
        <w:fldChar w:fldCharType="end"/>
      </w:r>
      <w:r>
        <w:t xml:space="preserve"> </w:t>
      </w:r>
      <w:r w:rsidR="004B5A3E" w:rsidRPr="005A7226">
        <w:t>provides a summary of the model components.</w:t>
      </w:r>
    </w:p>
    <w:p w14:paraId="35CB41CA" w14:textId="067558E7" w:rsidR="004B5A3E" w:rsidRPr="005A7226" w:rsidRDefault="004B5A3E" w:rsidP="004B5A3E">
      <w:pPr>
        <w:pStyle w:val="Caption"/>
        <w:widowControl w:val="0"/>
        <w:jc w:val="left"/>
        <w:rPr>
          <w:rStyle w:val="CommentReference"/>
          <w:b/>
          <w:szCs w:val="24"/>
        </w:rPr>
      </w:pPr>
      <w:bookmarkStart w:id="56" w:name="_Ref195781765"/>
      <w:r w:rsidRPr="005A7226">
        <w:t xml:space="preserve">Table </w:t>
      </w:r>
      <w:r w:rsidRPr="005A7226">
        <w:fldChar w:fldCharType="begin"/>
      </w:r>
      <w:r w:rsidRPr="005A7226">
        <w:instrText>SEQ Table \* ARABIC</w:instrText>
      </w:r>
      <w:r w:rsidRPr="005A7226">
        <w:fldChar w:fldCharType="separate"/>
      </w:r>
      <w:r w:rsidR="00B11DA2">
        <w:rPr>
          <w:noProof/>
        </w:rPr>
        <w:t>9</w:t>
      </w:r>
      <w:r w:rsidRPr="005A7226">
        <w:fldChar w:fldCharType="end"/>
      </w:r>
      <w:bookmarkEnd w:id="56"/>
      <w:r w:rsidRPr="005A7226">
        <w:t>:</w:t>
      </w:r>
      <w:r w:rsidRPr="005A7226">
        <w:rPr>
          <w:rStyle w:val="CommentReference"/>
          <w:b/>
          <w:szCs w:val="24"/>
        </w:rPr>
        <w:t xml:space="preserve"> Summary of model structure, key inputs and rationale</w:t>
      </w:r>
    </w:p>
    <w:tbl>
      <w:tblPr>
        <w:tblStyle w:val="PBAClayout"/>
        <w:tblW w:w="5000" w:type="pct"/>
        <w:tblLayout w:type="fixed"/>
        <w:tblLook w:val="01E0" w:firstRow="1" w:lastRow="1" w:firstColumn="1" w:lastColumn="1" w:noHBand="0" w:noVBand="0"/>
        <w:tblCaption w:val="Table 9: Summary of model structure, key inputs and rationale"/>
      </w:tblPr>
      <w:tblGrid>
        <w:gridCol w:w="2518"/>
        <w:gridCol w:w="6499"/>
      </w:tblGrid>
      <w:tr w:rsidR="004B5A3E" w:rsidRPr="005A7226" w14:paraId="17996F5E" w14:textId="77777777">
        <w:tc>
          <w:tcPr>
            <w:tcW w:w="1396" w:type="pct"/>
          </w:tcPr>
          <w:p w14:paraId="51A7A30C" w14:textId="77777777" w:rsidR="004B5A3E" w:rsidRPr="005A7226" w:rsidRDefault="004B5A3E">
            <w:pPr>
              <w:pStyle w:val="In-tableHeading"/>
              <w:keepLines/>
              <w:widowControl w:val="0"/>
              <w:rPr>
                <w:lang w:val="en-AU"/>
              </w:rPr>
            </w:pPr>
            <w:r w:rsidRPr="005A7226">
              <w:rPr>
                <w:lang w:val="en-AU"/>
              </w:rPr>
              <w:t>Component</w:t>
            </w:r>
          </w:p>
        </w:tc>
        <w:tc>
          <w:tcPr>
            <w:tcW w:w="3604" w:type="pct"/>
          </w:tcPr>
          <w:p w14:paraId="2726D3D6" w14:textId="77777777" w:rsidR="004B5A3E" w:rsidRPr="005A7226" w:rsidRDefault="004B5A3E">
            <w:pPr>
              <w:pStyle w:val="In-tableHeading"/>
              <w:keepLines/>
              <w:widowControl w:val="0"/>
              <w:rPr>
                <w:lang w:val="en-AU"/>
              </w:rPr>
            </w:pPr>
            <w:r w:rsidRPr="005A7226">
              <w:rPr>
                <w:lang w:val="en-AU"/>
              </w:rPr>
              <w:t>Summary</w:t>
            </w:r>
          </w:p>
        </w:tc>
      </w:tr>
      <w:tr w:rsidR="004B5A3E" w:rsidRPr="005A7226" w14:paraId="0565414A" w14:textId="77777777">
        <w:tc>
          <w:tcPr>
            <w:tcW w:w="1396" w:type="pct"/>
          </w:tcPr>
          <w:p w14:paraId="74522C95" w14:textId="77777777" w:rsidR="004B5A3E" w:rsidRPr="005A7226" w:rsidRDefault="004B5A3E">
            <w:pPr>
              <w:pStyle w:val="TableText0"/>
              <w:keepLines/>
              <w:widowControl w:val="0"/>
            </w:pPr>
            <w:r w:rsidRPr="005A7226">
              <w:t>Treatments</w:t>
            </w:r>
          </w:p>
        </w:tc>
        <w:tc>
          <w:tcPr>
            <w:tcW w:w="3604" w:type="pct"/>
          </w:tcPr>
          <w:p w14:paraId="0F853C41" w14:textId="77777777" w:rsidR="004B5A3E" w:rsidRPr="005A7226" w:rsidRDefault="004B5A3E">
            <w:pPr>
              <w:pStyle w:val="TableText0"/>
              <w:keepLines/>
              <w:widowControl w:val="0"/>
            </w:pPr>
            <w:r w:rsidRPr="005A7226">
              <w:t>Fezolinetant vs no treatment</w:t>
            </w:r>
          </w:p>
        </w:tc>
      </w:tr>
      <w:tr w:rsidR="004B5A3E" w:rsidRPr="005A7226" w14:paraId="2F87F068" w14:textId="77777777">
        <w:tc>
          <w:tcPr>
            <w:tcW w:w="1396" w:type="pct"/>
          </w:tcPr>
          <w:p w14:paraId="188665CA" w14:textId="77777777" w:rsidR="004B5A3E" w:rsidRPr="005A7226" w:rsidRDefault="004B5A3E">
            <w:pPr>
              <w:pStyle w:val="TableText0"/>
              <w:keepLines/>
              <w:widowControl w:val="0"/>
            </w:pPr>
            <w:r w:rsidRPr="005A7226">
              <w:t>Time horizon</w:t>
            </w:r>
          </w:p>
        </w:tc>
        <w:tc>
          <w:tcPr>
            <w:tcW w:w="3604" w:type="pct"/>
          </w:tcPr>
          <w:p w14:paraId="76FBA8CE" w14:textId="77777777" w:rsidR="004B5A3E" w:rsidRPr="005A7226" w:rsidRDefault="004B5A3E">
            <w:pPr>
              <w:pStyle w:val="TableText0"/>
              <w:keepLines/>
              <w:widowControl w:val="0"/>
            </w:pPr>
            <w:r w:rsidRPr="005A7226">
              <w:t>10 years in the model base case versus 24 weeks in DAYLIGHT</w:t>
            </w:r>
          </w:p>
        </w:tc>
      </w:tr>
      <w:tr w:rsidR="004B5A3E" w:rsidRPr="005A7226" w14:paraId="71D5B823" w14:textId="77777777">
        <w:tc>
          <w:tcPr>
            <w:tcW w:w="1396" w:type="pct"/>
          </w:tcPr>
          <w:p w14:paraId="0D1E8C24" w14:textId="77777777" w:rsidR="004B5A3E" w:rsidRPr="005A7226" w:rsidRDefault="004B5A3E">
            <w:pPr>
              <w:pStyle w:val="TableText0"/>
              <w:keepLines/>
              <w:widowControl w:val="0"/>
            </w:pPr>
            <w:r w:rsidRPr="005A7226">
              <w:t>Outcomes</w:t>
            </w:r>
          </w:p>
        </w:tc>
        <w:tc>
          <w:tcPr>
            <w:tcW w:w="3604" w:type="pct"/>
          </w:tcPr>
          <w:p w14:paraId="67F30A0E" w14:textId="77777777" w:rsidR="004B5A3E" w:rsidRPr="005A7226" w:rsidRDefault="004B5A3E">
            <w:pPr>
              <w:pStyle w:val="TableText0"/>
              <w:keepLines/>
              <w:widowControl w:val="0"/>
            </w:pPr>
            <w:r w:rsidRPr="005A7226">
              <w:rPr>
                <w:szCs w:val="20"/>
              </w:rPr>
              <w:t>Quality-adjusted life years</w:t>
            </w:r>
          </w:p>
        </w:tc>
      </w:tr>
      <w:tr w:rsidR="004B5A3E" w:rsidRPr="005A7226" w14:paraId="55248B87" w14:textId="77777777">
        <w:tc>
          <w:tcPr>
            <w:tcW w:w="1396" w:type="pct"/>
          </w:tcPr>
          <w:p w14:paraId="2F061CFD" w14:textId="77777777" w:rsidR="004B5A3E" w:rsidRPr="005A7226" w:rsidRDefault="004B5A3E">
            <w:pPr>
              <w:pStyle w:val="TableText0"/>
              <w:keepLines/>
              <w:widowControl w:val="0"/>
            </w:pPr>
            <w:r w:rsidRPr="005A7226">
              <w:t>Methods used to generate results</w:t>
            </w:r>
          </w:p>
        </w:tc>
        <w:tc>
          <w:tcPr>
            <w:tcW w:w="3604" w:type="pct"/>
            <w:vAlign w:val="top"/>
          </w:tcPr>
          <w:p w14:paraId="1892DC92" w14:textId="77777777" w:rsidR="004B5A3E" w:rsidRPr="005A7226" w:rsidRDefault="004B5A3E">
            <w:pPr>
              <w:pStyle w:val="TableText0"/>
              <w:keepLines/>
              <w:widowControl w:val="0"/>
            </w:pPr>
            <w:r w:rsidRPr="005A7226">
              <w:rPr>
                <w:szCs w:val="20"/>
              </w:rPr>
              <w:t>Markov model</w:t>
            </w:r>
          </w:p>
        </w:tc>
      </w:tr>
      <w:tr w:rsidR="004B5A3E" w:rsidRPr="005A7226" w14:paraId="744EA2F5" w14:textId="77777777">
        <w:tc>
          <w:tcPr>
            <w:tcW w:w="1396" w:type="pct"/>
          </w:tcPr>
          <w:p w14:paraId="7609A69C" w14:textId="77777777" w:rsidR="004B5A3E" w:rsidRPr="005A7226" w:rsidRDefault="004B5A3E">
            <w:pPr>
              <w:pStyle w:val="TableText0"/>
              <w:keepLines/>
              <w:widowControl w:val="0"/>
            </w:pPr>
            <w:r w:rsidRPr="005A7226">
              <w:t>Health states</w:t>
            </w:r>
          </w:p>
        </w:tc>
        <w:tc>
          <w:tcPr>
            <w:tcW w:w="3604" w:type="pct"/>
            <w:vAlign w:val="top"/>
          </w:tcPr>
          <w:p w14:paraId="6B49B671" w14:textId="77777777" w:rsidR="004B5A3E" w:rsidRPr="005A7226" w:rsidRDefault="004B5A3E">
            <w:pPr>
              <w:pStyle w:val="TableText0"/>
              <w:keepLines/>
              <w:widowControl w:val="0"/>
              <w:numPr>
                <w:ilvl w:val="0"/>
                <w:numId w:val="10"/>
              </w:numPr>
              <w:rPr>
                <w:rFonts w:cstheme="minorHAnsi"/>
                <w:szCs w:val="20"/>
              </w:rPr>
            </w:pPr>
            <w:r w:rsidRPr="005A7226">
              <w:rPr>
                <w:rFonts w:cstheme="minorHAnsi"/>
                <w:szCs w:val="20"/>
              </w:rPr>
              <w:t xml:space="preserve">0 ≤ VMS frequency &lt; 2 </w:t>
            </w:r>
          </w:p>
          <w:p w14:paraId="05E8EBFD" w14:textId="77777777" w:rsidR="004B5A3E" w:rsidRPr="005A7226" w:rsidRDefault="004B5A3E">
            <w:pPr>
              <w:pStyle w:val="TableText0"/>
              <w:keepLines/>
              <w:widowControl w:val="0"/>
              <w:numPr>
                <w:ilvl w:val="0"/>
                <w:numId w:val="10"/>
              </w:numPr>
              <w:rPr>
                <w:rFonts w:cstheme="minorHAnsi"/>
                <w:szCs w:val="20"/>
              </w:rPr>
            </w:pPr>
            <w:r w:rsidRPr="005A7226">
              <w:rPr>
                <w:rFonts w:cstheme="minorHAnsi"/>
                <w:szCs w:val="20"/>
              </w:rPr>
              <w:t>2≤ VMS frequency &lt;7</w:t>
            </w:r>
          </w:p>
          <w:p w14:paraId="53B201C8" w14:textId="77777777" w:rsidR="004B5A3E" w:rsidRPr="005A7226" w:rsidRDefault="004B5A3E">
            <w:pPr>
              <w:pStyle w:val="TableText0"/>
              <w:keepLines/>
              <w:widowControl w:val="0"/>
              <w:numPr>
                <w:ilvl w:val="0"/>
                <w:numId w:val="10"/>
              </w:numPr>
              <w:rPr>
                <w:rFonts w:cstheme="minorHAnsi"/>
                <w:szCs w:val="20"/>
              </w:rPr>
            </w:pPr>
            <w:r w:rsidRPr="005A7226">
              <w:rPr>
                <w:rFonts w:cstheme="minorHAnsi"/>
                <w:szCs w:val="20"/>
              </w:rPr>
              <w:t>7≤ VMS frequency &lt;9</w:t>
            </w:r>
          </w:p>
          <w:p w14:paraId="6EFB2A53" w14:textId="77777777" w:rsidR="004B5A3E" w:rsidRPr="005A7226" w:rsidRDefault="004B5A3E">
            <w:pPr>
              <w:pStyle w:val="TableText0"/>
              <w:keepLines/>
              <w:widowControl w:val="0"/>
              <w:numPr>
                <w:ilvl w:val="0"/>
                <w:numId w:val="10"/>
              </w:numPr>
              <w:rPr>
                <w:rFonts w:cstheme="minorHAnsi"/>
                <w:szCs w:val="20"/>
              </w:rPr>
            </w:pPr>
            <w:r w:rsidRPr="005A7226">
              <w:rPr>
                <w:rFonts w:cstheme="minorHAnsi"/>
                <w:szCs w:val="20"/>
              </w:rPr>
              <w:t>VMS frequency ≥9</w:t>
            </w:r>
          </w:p>
          <w:p w14:paraId="349395BC" w14:textId="77777777" w:rsidR="004B5A3E" w:rsidRPr="005A7226" w:rsidRDefault="004B5A3E">
            <w:pPr>
              <w:pStyle w:val="TableText0"/>
              <w:keepLines/>
              <w:widowControl w:val="0"/>
              <w:numPr>
                <w:ilvl w:val="0"/>
                <w:numId w:val="10"/>
              </w:numPr>
              <w:rPr>
                <w:rFonts w:cstheme="minorHAnsi"/>
                <w:szCs w:val="20"/>
              </w:rPr>
            </w:pPr>
            <w:r w:rsidRPr="005A7226">
              <w:rPr>
                <w:rFonts w:cstheme="minorHAnsi"/>
                <w:szCs w:val="20"/>
              </w:rPr>
              <w:t>Natural cessation of VMS</w:t>
            </w:r>
          </w:p>
          <w:p w14:paraId="1CE41036" w14:textId="77777777" w:rsidR="004B5A3E" w:rsidRPr="005A7226" w:rsidRDefault="004B5A3E">
            <w:pPr>
              <w:pStyle w:val="TableText0"/>
              <w:keepLines/>
              <w:widowControl w:val="0"/>
              <w:numPr>
                <w:ilvl w:val="0"/>
                <w:numId w:val="10"/>
              </w:numPr>
              <w:rPr>
                <w:rFonts w:cstheme="minorHAnsi"/>
                <w:szCs w:val="20"/>
              </w:rPr>
            </w:pPr>
            <w:r w:rsidRPr="005A7226">
              <w:rPr>
                <w:rFonts w:cstheme="minorHAnsi"/>
                <w:szCs w:val="20"/>
              </w:rPr>
              <w:t>Death</w:t>
            </w:r>
          </w:p>
        </w:tc>
      </w:tr>
      <w:tr w:rsidR="004B5A3E" w:rsidRPr="005A7226" w14:paraId="53F8C83B" w14:textId="77777777">
        <w:tc>
          <w:tcPr>
            <w:tcW w:w="1396" w:type="pct"/>
          </w:tcPr>
          <w:p w14:paraId="07CE8BD1" w14:textId="77777777" w:rsidR="004B5A3E" w:rsidRPr="005A7226" w:rsidRDefault="004B5A3E">
            <w:pPr>
              <w:pStyle w:val="TableText0"/>
              <w:keepLines/>
              <w:widowControl w:val="0"/>
            </w:pPr>
            <w:r w:rsidRPr="005A7226">
              <w:t>Cycle length</w:t>
            </w:r>
          </w:p>
        </w:tc>
        <w:tc>
          <w:tcPr>
            <w:tcW w:w="3604" w:type="pct"/>
          </w:tcPr>
          <w:p w14:paraId="19D67951" w14:textId="77777777" w:rsidR="004B5A3E" w:rsidRPr="005A7226" w:rsidRDefault="004B5A3E">
            <w:pPr>
              <w:pStyle w:val="TableText0"/>
              <w:keepLines/>
              <w:widowControl w:val="0"/>
            </w:pPr>
            <w:r w:rsidRPr="005A7226">
              <w:rPr>
                <w:szCs w:val="20"/>
              </w:rPr>
              <w:t>4 weeks, with half cycle correction</w:t>
            </w:r>
          </w:p>
        </w:tc>
      </w:tr>
      <w:tr w:rsidR="004B5A3E" w:rsidRPr="005A7226" w14:paraId="32E06F51" w14:textId="77777777">
        <w:tc>
          <w:tcPr>
            <w:tcW w:w="1396" w:type="pct"/>
          </w:tcPr>
          <w:p w14:paraId="0A2654EE" w14:textId="77777777" w:rsidR="004B5A3E" w:rsidRPr="005A7226" w:rsidRDefault="004B5A3E">
            <w:pPr>
              <w:pStyle w:val="TableText0"/>
              <w:keepLines/>
              <w:widowControl w:val="0"/>
            </w:pPr>
            <w:r w:rsidRPr="005A7226">
              <w:t>Transition probabilities or</w:t>
            </w:r>
          </w:p>
          <w:p w14:paraId="7B94EB99" w14:textId="77777777" w:rsidR="004B5A3E" w:rsidRPr="005A7226" w:rsidRDefault="004B5A3E">
            <w:pPr>
              <w:pStyle w:val="TableText0"/>
              <w:keepLines/>
              <w:widowControl w:val="0"/>
            </w:pPr>
            <w:r w:rsidRPr="005A7226">
              <w:t>Allocation to health states (if partitioned survival model)</w:t>
            </w:r>
          </w:p>
        </w:tc>
        <w:tc>
          <w:tcPr>
            <w:tcW w:w="3604" w:type="pct"/>
          </w:tcPr>
          <w:p w14:paraId="1B1F552E" w14:textId="77777777" w:rsidR="004B5A3E" w:rsidRPr="005A7226" w:rsidRDefault="004B5A3E">
            <w:pPr>
              <w:pStyle w:val="TableText0"/>
              <w:keepLines/>
              <w:widowControl w:val="0"/>
              <w:rPr>
                <w:szCs w:val="20"/>
              </w:rPr>
            </w:pPr>
            <w:r w:rsidRPr="005A7226">
              <w:rPr>
                <w:szCs w:val="20"/>
              </w:rPr>
              <w:t>Primary data source: DAYLIGHT clinical trial</w:t>
            </w:r>
          </w:p>
          <w:p w14:paraId="1C137E49" w14:textId="77777777" w:rsidR="004B5A3E" w:rsidRPr="005A7226" w:rsidRDefault="004B5A3E">
            <w:pPr>
              <w:pStyle w:val="TableText0"/>
              <w:keepLines/>
              <w:widowControl w:val="0"/>
            </w:pPr>
            <w:r w:rsidRPr="005A7226">
              <w:rPr>
                <w:szCs w:val="20"/>
              </w:rPr>
              <w:t>Secondary: DAYLIGHT + SKYLIGHT 1 &amp; 2 trials</w:t>
            </w:r>
          </w:p>
        </w:tc>
      </w:tr>
      <w:tr w:rsidR="004B5A3E" w:rsidRPr="005A7226" w14:paraId="62B5C3FA" w14:textId="77777777">
        <w:tc>
          <w:tcPr>
            <w:tcW w:w="1396" w:type="pct"/>
          </w:tcPr>
          <w:p w14:paraId="671B4420" w14:textId="77777777" w:rsidR="004B5A3E" w:rsidRPr="005A7226" w:rsidRDefault="004B5A3E">
            <w:pPr>
              <w:pStyle w:val="TableText0"/>
              <w:keepLines/>
              <w:widowControl w:val="0"/>
            </w:pPr>
            <w:r w:rsidRPr="005A7226">
              <w:t>Extrapolation method</w:t>
            </w:r>
          </w:p>
        </w:tc>
        <w:tc>
          <w:tcPr>
            <w:tcW w:w="3604" w:type="pct"/>
          </w:tcPr>
          <w:p w14:paraId="1C116754" w14:textId="77777777" w:rsidR="004B5A3E" w:rsidRPr="005A7226" w:rsidRDefault="004B5A3E">
            <w:pPr>
              <w:pStyle w:val="TableText0"/>
              <w:keepLines/>
              <w:widowControl w:val="0"/>
            </w:pPr>
            <w:r w:rsidRPr="005A7226">
              <w:t>The submission extrapolated transition probabilities derived from DAYLIGHT (weeks 0-24) over the 10-year model duration. The transition probabilities observed from week 0 to 24 were applied, with the assumption that the probabilities observed during the last four weeks of the trial (weeks 20-24) would remain constant from week 24 onwards for the remainder of the model’s time horizon.</w:t>
            </w:r>
          </w:p>
        </w:tc>
      </w:tr>
      <w:tr w:rsidR="004B5A3E" w:rsidRPr="005A7226" w14:paraId="40961C88" w14:textId="77777777">
        <w:tc>
          <w:tcPr>
            <w:tcW w:w="1396" w:type="pct"/>
          </w:tcPr>
          <w:p w14:paraId="722C2C14" w14:textId="77777777" w:rsidR="004B5A3E" w:rsidRPr="005A7226" w:rsidRDefault="004B5A3E">
            <w:pPr>
              <w:pStyle w:val="TableText0"/>
              <w:keepLines/>
              <w:widowControl w:val="0"/>
            </w:pPr>
            <w:r w:rsidRPr="005A7226">
              <w:t>Health related quality of life</w:t>
            </w:r>
          </w:p>
        </w:tc>
        <w:tc>
          <w:tcPr>
            <w:tcW w:w="3604" w:type="pct"/>
          </w:tcPr>
          <w:p w14:paraId="23A3E870" w14:textId="77777777" w:rsidR="004B5A3E" w:rsidRPr="005A7226" w:rsidRDefault="004B5A3E">
            <w:pPr>
              <w:pStyle w:val="TableText0"/>
              <w:keepLines/>
              <w:widowControl w:val="0"/>
            </w:pPr>
            <w:r w:rsidRPr="005A7226">
              <w:t>Trial-based (DAYLIGHT):</w:t>
            </w:r>
          </w:p>
          <w:p w14:paraId="6218DD30" w14:textId="77777777" w:rsidR="004B5A3E" w:rsidRPr="005A7226" w:rsidRDefault="004B5A3E">
            <w:pPr>
              <w:pStyle w:val="TableText0"/>
              <w:keepLines/>
              <w:widowControl w:val="0"/>
              <w:numPr>
                <w:ilvl w:val="0"/>
                <w:numId w:val="19"/>
              </w:numPr>
            </w:pPr>
            <w:r w:rsidRPr="005A7226">
              <w:t>0 ≤ VMS frequency &lt; 2= 0.833</w:t>
            </w:r>
          </w:p>
          <w:p w14:paraId="6EEA65BB" w14:textId="77777777" w:rsidR="004B5A3E" w:rsidRPr="005A7226" w:rsidRDefault="004B5A3E">
            <w:pPr>
              <w:pStyle w:val="TableText0"/>
              <w:keepLines/>
              <w:widowControl w:val="0"/>
              <w:numPr>
                <w:ilvl w:val="0"/>
                <w:numId w:val="19"/>
              </w:numPr>
            </w:pPr>
            <w:r w:rsidRPr="005A7226">
              <w:t>2≤ VMS frequency &lt;7= 0.793</w:t>
            </w:r>
          </w:p>
          <w:p w14:paraId="314DBB55" w14:textId="77777777" w:rsidR="004B5A3E" w:rsidRPr="005A7226" w:rsidRDefault="004B5A3E">
            <w:pPr>
              <w:pStyle w:val="TableText0"/>
              <w:keepLines/>
              <w:widowControl w:val="0"/>
              <w:numPr>
                <w:ilvl w:val="0"/>
                <w:numId w:val="19"/>
              </w:numPr>
            </w:pPr>
            <w:r w:rsidRPr="005A7226">
              <w:t>7≤ VMS frequency &lt;9= 0.785</w:t>
            </w:r>
          </w:p>
          <w:p w14:paraId="0E188439" w14:textId="77777777" w:rsidR="004B5A3E" w:rsidRPr="005A7226" w:rsidRDefault="004B5A3E">
            <w:pPr>
              <w:pStyle w:val="TableText0"/>
              <w:keepLines/>
              <w:widowControl w:val="0"/>
              <w:numPr>
                <w:ilvl w:val="0"/>
                <w:numId w:val="19"/>
              </w:numPr>
            </w:pPr>
            <w:r w:rsidRPr="005A7226">
              <w:t>VMS frequency ≥9= 0.747</w:t>
            </w:r>
          </w:p>
          <w:p w14:paraId="5D95381A" w14:textId="77777777" w:rsidR="004B5A3E" w:rsidRPr="005A7226" w:rsidRDefault="004B5A3E">
            <w:pPr>
              <w:pStyle w:val="TableText0"/>
              <w:keepLines/>
              <w:widowControl w:val="0"/>
              <w:numPr>
                <w:ilvl w:val="0"/>
                <w:numId w:val="19"/>
              </w:numPr>
            </w:pPr>
            <w:r w:rsidRPr="005A7226">
              <w:t>Natural cessation of VMS= 0.843</w:t>
            </w:r>
          </w:p>
        </w:tc>
      </w:tr>
    </w:tbl>
    <w:p w14:paraId="59D15423" w14:textId="77777777" w:rsidR="004B5A3E" w:rsidRPr="005A7226" w:rsidRDefault="004B5A3E" w:rsidP="004B5A3E">
      <w:pPr>
        <w:pStyle w:val="FooterTableFigure"/>
        <w:keepNext/>
        <w:keepLines/>
        <w:widowControl w:val="0"/>
      </w:pPr>
      <w:r w:rsidRPr="005A7226">
        <w:t>Source: Table 3.1-1, p144 of the submission and compiled during the evaluation.</w:t>
      </w:r>
    </w:p>
    <w:p w14:paraId="4E95AE89" w14:textId="77777777" w:rsidR="004B5A3E" w:rsidRPr="005A7226" w:rsidRDefault="004B5A3E" w:rsidP="004B5A3E">
      <w:pPr>
        <w:pStyle w:val="FooterTableFigure"/>
        <w:keepNext/>
        <w:keepLines/>
        <w:widowControl w:val="0"/>
      </w:pPr>
      <w:r w:rsidRPr="005A7226">
        <w:t>VMS= vasomotor symptoms</w:t>
      </w:r>
      <w:r w:rsidRPr="005A7226">
        <w:rPr>
          <w:i/>
          <w:iCs/>
        </w:rPr>
        <w:t xml:space="preserve"> (per day)</w:t>
      </w:r>
    </w:p>
    <w:p w14:paraId="5F55A638" w14:textId="5714D465" w:rsidR="004B5A3E" w:rsidRPr="00B53879" w:rsidRDefault="004B5A3E" w:rsidP="004B5A3E">
      <w:pPr>
        <w:widowControl w:val="0"/>
        <w:numPr>
          <w:ilvl w:val="1"/>
          <w:numId w:val="1"/>
        </w:numPr>
        <w:spacing w:after="120"/>
        <w:ind w:left="720"/>
      </w:pPr>
      <w:r w:rsidRPr="005A7226">
        <w:t xml:space="preserve">The submission adopted a granular, VMS frequency-based health state model to represent the health effects and costs of fezolinetant compared to no treatment in moderate to severe VMS, based on clinician input. </w:t>
      </w:r>
      <w:r w:rsidRPr="005A7226">
        <w:rPr>
          <w:rFonts w:cstheme="minorBidi"/>
        </w:rPr>
        <w:t xml:space="preserve">The discrete health states (i.e., VMS&lt;2, 2≤VMS&lt;7, 7≤VMS&lt;9, and VMS≥9) were determined based on a post hoc analysis of DAYLIGHT to group VMS frequencies per day by EQ-5D utility values. Notably this differed from the recently published model </w:t>
      </w:r>
      <w:r w:rsidRPr="005A7226">
        <w:t>by the Institute for Clinical and Economic Review’s Midwest Public Advisory Council</w:t>
      </w:r>
      <w:r w:rsidRPr="005A7226">
        <w:rPr>
          <w:rStyle w:val="FootnoteReference"/>
        </w:rPr>
        <w:footnoteReference w:id="18"/>
      </w:r>
      <w:r w:rsidRPr="005A7226">
        <w:rPr>
          <w:vertAlign w:val="superscript"/>
        </w:rPr>
        <w:t>,</w:t>
      </w:r>
      <w:r w:rsidRPr="005A7226">
        <w:t xml:space="preserve"> </w:t>
      </w:r>
      <w:r w:rsidRPr="005A7226">
        <w:rPr>
          <w:rStyle w:val="FootnoteReference"/>
        </w:rPr>
        <w:footnoteReference w:id="19"/>
      </w:r>
      <w:r w:rsidRPr="005A7226">
        <w:t xml:space="preserve"> (ICER model), that used three health states (on treatment, off treatment due to symptom resolution, and all-cause death) rather than health states based on VMS frequency.</w:t>
      </w:r>
      <w:r>
        <w:t xml:space="preserve"> However, the pre-PBAC response noted that the selected health states </w:t>
      </w:r>
      <w:r w:rsidRPr="00F20B59">
        <w:t>align with FDA trial criteria</w:t>
      </w:r>
      <w:r>
        <w:t>.</w:t>
      </w:r>
    </w:p>
    <w:p w14:paraId="73D6941F" w14:textId="59194725" w:rsidR="004B5A3E" w:rsidRPr="005A7226" w:rsidRDefault="00097D1F" w:rsidP="004B5A3E">
      <w:pPr>
        <w:widowControl w:val="0"/>
        <w:numPr>
          <w:ilvl w:val="1"/>
          <w:numId w:val="1"/>
        </w:numPr>
        <w:spacing w:after="120"/>
        <w:ind w:left="720"/>
      </w:pPr>
      <w:r>
        <w:fldChar w:fldCharType="begin"/>
      </w:r>
      <w:r>
        <w:instrText xml:space="preserve"> REF _Ref195781789 \h </w:instrText>
      </w:r>
      <w:r>
        <w:fldChar w:fldCharType="separate"/>
      </w:r>
      <w:r w:rsidR="00B11DA2" w:rsidRPr="005A7226">
        <w:t xml:space="preserve">Figure </w:t>
      </w:r>
      <w:r w:rsidR="00B11DA2">
        <w:rPr>
          <w:noProof/>
        </w:rPr>
        <w:t>3</w:t>
      </w:r>
      <w:r>
        <w:fldChar w:fldCharType="end"/>
      </w:r>
      <w:r>
        <w:t xml:space="preserve"> </w:t>
      </w:r>
      <w:r w:rsidR="004B5A3E" w:rsidRPr="00B53879">
        <w:t>illustrates the distribution of average daily moderate to severe</w:t>
      </w:r>
      <w:r w:rsidR="004B5A3E" w:rsidRPr="005A7226">
        <w:rPr>
          <w:rFonts w:cstheme="minorBidi"/>
        </w:rPr>
        <w:t xml:space="preserve"> VMS frequencies per day (0-14+) from DAYLIGHT. The associated EQ-5D utility values are presented in</w:t>
      </w:r>
      <w:r>
        <w:rPr>
          <w:rFonts w:cstheme="minorBidi"/>
        </w:rPr>
        <w:t xml:space="preserve"> </w:t>
      </w:r>
      <w:r>
        <w:rPr>
          <w:rFonts w:cstheme="minorBidi"/>
        </w:rPr>
        <w:fldChar w:fldCharType="begin"/>
      </w:r>
      <w:r>
        <w:rPr>
          <w:rFonts w:cstheme="minorBidi"/>
        </w:rPr>
        <w:instrText xml:space="preserve"> REF _Ref195781813 \h </w:instrText>
      </w:r>
      <w:r>
        <w:rPr>
          <w:rFonts w:cstheme="minorBidi"/>
        </w:rPr>
      </w:r>
      <w:r>
        <w:rPr>
          <w:rFonts w:cstheme="minorBidi"/>
        </w:rPr>
        <w:fldChar w:fldCharType="separate"/>
      </w:r>
      <w:r w:rsidR="00B11DA2" w:rsidRPr="005A7226">
        <w:t xml:space="preserve">Table </w:t>
      </w:r>
      <w:r w:rsidR="00B11DA2">
        <w:rPr>
          <w:noProof/>
        </w:rPr>
        <w:t>10</w:t>
      </w:r>
      <w:r>
        <w:rPr>
          <w:rFonts w:cstheme="minorBidi"/>
        </w:rPr>
        <w:fldChar w:fldCharType="end"/>
      </w:r>
      <w:r w:rsidR="004B5A3E" w:rsidRPr="005A7226">
        <w:rPr>
          <w:rFonts w:cstheme="minorBidi"/>
        </w:rPr>
        <w:t>.</w:t>
      </w:r>
    </w:p>
    <w:p w14:paraId="09FD6B0B" w14:textId="7D443DA2" w:rsidR="004B5A3E" w:rsidRPr="005A7226" w:rsidRDefault="004B5A3E" w:rsidP="004B5A3E">
      <w:pPr>
        <w:pStyle w:val="Caption"/>
      </w:pPr>
      <w:bookmarkStart w:id="57" w:name="_Ref195781789"/>
      <w:r w:rsidRPr="005A7226">
        <w:t xml:space="preserve">Figure </w:t>
      </w:r>
      <w:r w:rsidR="004A6B36">
        <w:fldChar w:fldCharType="begin"/>
      </w:r>
      <w:r w:rsidR="004A6B36">
        <w:instrText xml:space="preserve"> SEQ Figure \* ARABIC </w:instrText>
      </w:r>
      <w:r w:rsidR="004A6B36">
        <w:fldChar w:fldCharType="separate"/>
      </w:r>
      <w:r w:rsidR="00B11DA2">
        <w:rPr>
          <w:noProof/>
        </w:rPr>
        <w:t>3</w:t>
      </w:r>
      <w:r w:rsidR="004A6B36">
        <w:rPr>
          <w:noProof/>
        </w:rPr>
        <w:fldChar w:fldCharType="end"/>
      </w:r>
      <w:bookmarkEnd w:id="57"/>
      <w:r w:rsidRPr="005A7226">
        <w:t>. VMS frequency distributions at baseline, Week 12, and Week 24, fezolinetant 45 mg and placebo:</w:t>
      </w:r>
    </w:p>
    <w:p w14:paraId="5A00292F" w14:textId="77777777" w:rsidR="004B5A3E" w:rsidRPr="005A7226" w:rsidRDefault="004B5A3E" w:rsidP="004B5A3E">
      <w:r w:rsidRPr="005A7226">
        <w:rPr>
          <w:rFonts w:asciiTheme="minorHAnsi" w:hAnsiTheme="minorHAnsi" w:cstheme="minorHAnsi"/>
          <w:noProof/>
        </w:rPr>
        <w:drawing>
          <wp:inline distT="0" distB="0" distL="0" distR="0" wp14:anchorId="5374C60F" wp14:editId="74A9408C">
            <wp:extent cx="5732145" cy="3411220"/>
            <wp:effectExtent l="19050" t="19050" r="20955" b="17780"/>
            <wp:docPr id="842853428" name="Picture 842853428" descr="Figure 3. VMS frequency distributions at baseline, Week 12, and Week 24, fezolinetant 45 mg and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53428" name="Picture 842853428" descr="Figure 3. VMS frequency distributions at baseline, Week 12, and Week 24, fezolinetant 45 mg and placeb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2145" cy="3411220"/>
                    </a:xfrm>
                    <a:prstGeom prst="rect">
                      <a:avLst/>
                    </a:prstGeom>
                    <a:ln>
                      <a:solidFill>
                        <a:schemeClr val="tx1"/>
                      </a:solidFill>
                    </a:ln>
                  </pic:spPr>
                </pic:pic>
              </a:graphicData>
            </a:graphic>
          </wp:inline>
        </w:drawing>
      </w:r>
    </w:p>
    <w:p w14:paraId="5338E603" w14:textId="77777777" w:rsidR="004B5A3E" w:rsidRPr="005A7226" w:rsidRDefault="004B5A3E" w:rsidP="004B5A3E">
      <w:pPr>
        <w:pStyle w:val="FooterTableFigure"/>
      </w:pPr>
      <w:r w:rsidRPr="005A7226">
        <w:t>Source: Figure 3.2-2, p152 of the submission.</w:t>
      </w:r>
    </w:p>
    <w:p w14:paraId="48DCD72F" w14:textId="77777777" w:rsidR="004B5A3E" w:rsidRPr="005A7226" w:rsidRDefault="004B5A3E" w:rsidP="004B5A3E">
      <w:pPr>
        <w:pStyle w:val="FooterTableFigure"/>
      </w:pPr>
      <w:r w:rsidRPr="005A7226">
        <w:t>VMS=vasomotor symptoms (per day).</w:t>
      </w:r>
    </w:p>
    <w:p w14:paraId="5B37F499" w14:textId="77777777" w:rsidR="004B5A3E" w:rsidRPr="005A7226" w:rsidRDefault="004B5A3E" w:rsidP="004B5A3E">
      <w:pPr>
        <w:pStyle w:val="FooterTableFigure"/>
      </w:pPr>
      <w:r w:rsidRPr="005A7226">
        <w:t xml:space="preserve">Note: This figure was not found in either the DAYLIGHT clinical study report or its associated publication, and therefore, could not be verified during evaluation. </w:t>
      </w:r>
    </w:p>
    <w:p w14:paraId="0CAF7936" w14:textId="77777777" w:rsidR="004B5A3E" w:rsidRPr="005A7226" w:rsidRDefault="004B5A3E" w:rsidP="004B5A3E">
      <w:pPr>
        <w:pStyle w:val="FooterTableFigure"/>
      </w:pPr>
      <w:r w:rsidRPr="005A7226">
        <w:t>Note: The green areas likely represent where data for the yellow (fezolinetant 45 mg) and blue (placebo) bars overlap (forming the green colour).</w:t>
      </w:r>
    </w:p>
    <w:p w14:paraId="42C9C81C" w14:textId="6CC37E29" w:rsidR="004B5A3E" w:rsidRPr="005A7226" w:rsidRDefault="004B5A3E" w:rsidP="004B5A3E">
      <w:pPr>
        <w:pStyle w:val="Caption"/>
        <w:rPr>
          <w:rStyle w:val="CommentReference"/>
          <w:b/>
        </w:rPr>
      </w:pPr>
      <w:bookmarkStart w:id="58" w:name="_Ref195781813"/>
      <w:r w:rsidRPr="005A7226">
        <w:t xml:space="preserve">Table </w:t>
      </w:r>
      <w:r w:rsidR="004A6B36">
        <w:fldChar w:fldCharType="begin"/>
      </w:r>
      <w:r w:rsidR="004A6B36">
        <w:instrText xml:space="preserve"> SEQ Table \* ARABIC </w:instrText>
      </w:r>
      <w:r w:rsidR="004A6B36">
        <w:fldChar w:fldCharType="separate"/>
      </w:r>
      <w:r w:rsidR="00B11DA2">
        <w:rPr>
          <w:noProof/>
        </w:rPr>
        <w:t>10</w:t>
      </w:r>
      <w:r w:rsidR="004A6B36">
        <w:rPr>
          <w:noProof/>
        </w:rPr>
        <w:fldChar w:fldCharType="end"/>
      </w:r>
      <w:bookmarkEnd w:id="58"/>
      <w:r w:rsidRPr="005A7226">
        <w:t>. Mean E</w:t>
      </w:r>
      <w:r w:rsidR="00BD238D">
        <w:t>Q</w:t>
      </w:r>
      <w:r w:rsidRPr="005A7226">
        <w:t>-5D utility values by VMS frequency based on UK tariffs and estimates using GEE models accounting for repeated measures characteristics used in model</w:t>
      </w: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Mean EQ-5D utility values by VMS frequency based on UK tariffs and estimates using GEE models accounting for repeated measures characteristics used in model"/>
      </w:tblPr>
      <w:tblGrid>
        <w:gridCol w:w="1416"/>
        <w:gridCol w:w="1832"/>
        <w:gridCol w:w="1850"/>
        <w:gridCol w:w="1564"/>
        <w:gridCol w:w="2355"/>
      </w:tblGrid>
      <w:tr w:rsidR="004B5A3E" w:rsidRPr="005A7226" w14:paraId="7BBE9B1D" w14:textId="77777777">
        <w:trPr>
          <w:trHeight w:val="223"/>
        </w:trPr>
        <w:tc>
          <w:tcPr>
            <w:tcW w:w="785" w:type="pct"/>
            <w:shd w:val="clear" w:color="auto" w:fill="auto"/>
          </w:tcPr>
          <w:p w14:paraId="520EBC8D"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VMS frequency per day</w:t>
            </w:r>
          </w:p>
        </w:tc>
        <w:tc>
          <w:tcPr>
            <w:tcW w:w="1016" w:type="pct"/>
            <w:shd w:val="clear" w:color="auto" w:fill="auto"/>
          </w:tcPr>
          <w:p w14:paraId="1A645A05"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EQ-5D utility mean</w:t>
            </w:r>
          </w:p>
        </w:tc>
        <w:tc>
          <w:tcPr>
            <w:tcW w:w="1026" w:type="pct"/>
            <w:shd w:val="clear" w:color="auto" w:fill="auto"/>
          </w:tcPr>
          <w:p w14:paraId="16DE41C5"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EQ-5D utility 95% CI</w:t>
            </w:r>
          </w:p>
        </w:tc>
        <w:tc>
          <w:tcPr>
            <w:tcW w:w="867" w:type="pct"/>
            <w:shd w:val="clear" w:color="auto" w:fill="auto"/>
          </w:tcPr>
          <w:p w14:paraId="678DCEC6"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Number of EQ-5D observations</w:t>
            </w:r>
          </w:p>
        </w:tc>
        <w:tc>
          <w:tcPr>
            <w:tcW w:w="1306" w:type="pct"/>
            <w:shd w:val="clear" w:color="auto" w:fill="auto"/>
          </w:tcPr>
          <w:p w14:paraId="46426236"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EQ-5D utility mean value of VMS health states (95% CI)</w:t>
            </w:r>
          </w:p>
        </w:tc>
      </w:tr>
      <w:tr w:rsidR="004B5A3E" w:rsidRPr="005A7226" w14:paraId="554D28EA" w14:textId="77777777">
        <w:trPr>
          <w:trHeight w:val="56"/>
        </w:trPr>
        <w:tc>
          <w:tcPr>
            <w:tcW w:w="785" w:type="pct"/>
          </w:tcPr>
          <w:p w14:paraId="5A519E25"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 to &lt;1</w:t>
            </w:r>
          </w:p>
        </w:tc>
        <w:tc>
          <w:tcPr>
            <w:tcW w:w="1016" w:type="pct"/>
          </w:tcPr>
          <w:p w14:paraId="082CDFF7"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0.848</w:t>
            </w:r>
          </w:p>
        </w:tc>
        <w:tc>
          <w:tcPr>
            <w:tcW w:w="1026" w:type="pct"/>
          </w:tcPr>
          <w:p w14:paraId="3C98B722"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(0.817, 0.878)</w:t>
            </w:r>
          </w:p>
        </w:tc>
        <w:tc>
          <w:tcPr>
            <w:tcW w:w="867" w:type="pct"/>
          </w:tcPr>
          <w:p w14:paraId="49B67A3A"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146</w:t>
            </w:r>
          </w:p>
        </w:tc>
        <w:tc>
          <w:tcPr>
            <w:tcW w:w="1306" w:type="pct"/>
            <w:vMerge w:val="restart"/>
            <w:vAlign w:val="center"/>
          </w:tcPr>
          <w:p w14:paraId="787BEBF8"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0.833 (0.814,0.852)</w:t>
            </w:r>
          </w:p>
          <w:p w14:paraId="45186E52"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n=319</w:t>
            </w:r>
          </w:p>
        </w:tc>
      </w:tr>
      <w:tr w:rsidR="004B5A3E" w:rsidRPr="005A7226" w14:paraId="565B787A" w14:textId="77777777">
        <w:trPr>
          <w:trHeight w:val="56"/>
        </w:trPr>
        <w:tc>
          <w:tcPr>
            <w:tcW w:w="785" w:type="pct"/>
          </w:tcPr>
          <w:p w14:paraId="0C276CC8"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 to &lt;2</w:t>
            </w:r>
          </w:p>
        </w:tc>
        <w:tc>
          <w:tcPr>
            <w:tcW w:w="1016" w:type="pct"/>
          </w:tcPr>
          <w:p w14:paraId="5F84EAFA"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0.824</w:t>
            </w:r>
          </w:p>
        </w:tc>
        <w:tc>
          <w:tcPr>
            <w:tcW w:w="1026" w:type="pct"/>
          </w:tcPr>
          <w:p w14:paraId="09376D1D"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(0.803, 0.846)</w:t>
            </w:r>
          </w:p>
        </w:tc>
        <w:tc>
          <w:tcPr>
            <w:tcW w:w="867" w:type="pct"/>
          </w:tcPr>
          <w:p w14:paraId="2E61A16A"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173</w:t>
            </w:r>
          </w:p>
        </w:tc>
        <w:tc>
          <w:tcPr>
            <w:tcW w:w="1306" w:type="pct"/>
            <w:vMerge/>
          </w:tcPr>
          <w:p w14:paraId="727A3BF7" w14:textId="77777777" w:rsidR="004B5A3E" w:rsidRPr="005A7226" w:rsidRDefault="004B5A3E">
            <w:pPr>
              <w:pStyle w:val="TableText0"/>
              <w:keepLines/>
              <w:rPr>
                <w:rFonts w:cstheme="minorBidi"/>
                <w:b/>
                <w:bCs w:val="0"/>
                <w:sz w:val="20"/>
                <w:szCs w:val="20"/>
                <w:lang w:val="en-AU"/>
              </w:rPr>
            </w:pPr>
          </w:p>
        </w:tc>
      </w:tr>
      <w:tr w:rsidR="004B5A3E" w:rsidRPr="005A7226" w14:paraId="175168AE" w14:textId="77777777">
        <w:trPr>
          <w:trHeight w:val="56"/>
        </w:trPr>
        <w:tc>
          <w:tcPr>
            <w:tcW w:w="785" w:type="pct"/>
          </w:tcPr>
          <w:p w14:paraId="0E29C301"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2 to &lt;3</w:t>
            </w:r>
          </w:p>
        </w:tc>
        <w:tc>
          <w:tcPr>
            <w:tcW w:w="1016" w:type="pct"/>
          </w:tcPr>
          <w:p w14:paraId="732AB94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0.806</w:t>
            </w:r>
          </w:p>
        </w:tc>
        <w:tc>
          <w:tcPr>
            <w:tcW w:w="1026" w:type="pct"/>
          </w:tcPr>
          <w:p w14:paraId="4913CB2A"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(0.781, 0.830)</w:t>
            </w:r>
          </w:p>
        </w:tc>
        <w:tc>
          <w:tcPr>
            <w:tcW w:w="867" w:type="pct"/>
          </w:tcPr>
          <w:p w14:paraId="1765DE68"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145</w:t>
            </w:r>
          </w:p>
        </w:tc>
        <w:tc>
          <w:tcPr>
            <w:tcW w:w="1306" w:type="pct"/>
            <w:vMerge w:val="restart"/>
            <w:vAlign w:val="center"/>
          </w:tcPr>
          <w:p w14:paraId="3A11EE95" w14:textId="77777777" w:rsidR="004B5A3E" w:rsidRPr="005A7226" w:rsidRDefault="004B5A3E">
            <w:pPr>
              <w:pStyle w:val="TableText0"/>
              <w:keepLines/>
              <w:rPr>
                <w:rFonts w:cstheme="minorBidi"/>
                <w:b/>
                <w:bCs w:val="0"/>
                <w:sz w:val="20"/>
                <w:szCs w:val="20"/>
                <w:vertAlign w:val="superscript"/>
                <w:lang w:val="en-AU"/>
              </w:rPr>
            </w:pPr>
            <w:r w:rsidRPr="005A7226">
              <w:rPr>
                <w:rFonts w:cstheme="minorBidi"/>
                <w:b/>
                <w:bCs w:val="0"/>
                <w:sz w:val="20"/>
                <w:szCs w:val="20"/>
                <w:lang w:val="en-AU"/>
              </w:rPr>
              <w:t xml:space="preserve">0.793 (0.774, 0.812) </w:t>
            </w:r>
            <w:r w:rsidRPr="005A7226">
              <w:rPr>
                <w:rFonts w:cstheme="minorBidi"/>
                <w:b/>
                <w:bCs w:val="0"/>
                <w:sz w:val="20"/>
                <w:szCs w:val="20"/>
                <w:vertAlign w:val="superscript"/>
                <w:lang w:val="en-AU"/>
              </w:rPr>
              <w:t>a</w:t>
            </w:r>
          </w:p>
          <w:p w14:paraId="5CFAA9D0"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n=497</w:t>
            </w:r>
          </w:p>
        </w:tc>
      </w:tr>
      <w:tr w:rsidR="004B5A3E" w:rsidRPr="005A7226" w14:paraId="65DFD8D3" w14:textId="77777777">
        <w:trPr>
          <w:trHeight w:val="56"/>
        </w:trPr>
        <w:tc>
          <w:tcPr>
            <w:tcW w:w="785" w:type="pct"/>
          </w:tcPr>
          <w:p w14:paraId="2929A611"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3 to &lt;4</w:t>
            </w:r>
          </w:p>
        </w:tc>
        <w:tc>
          <w:tcPr>
            <w:tcW w:w="1016" w:type="pct"/>
          </w:tcPr>
          <w:p w14:paraId="3DD49F43"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0.793</w:t>
            </w:r>
          </w:p>
        </w:tc>
        <w:tc>
          <w:tcPr>
            <w:tcW w:w="1026" w:type="pct"/>
          </w:tcPr>
          <w:p w14:paraId="20EE92F3"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(0.765, 0.821)</w:t>
            </w:r>
          </w:p>
        </w:tc>
        <w:tc>
          <w:tcPr>
            <w:tcW w:w="867" w:type="pct"/>
          </w:tcPr>
          <w:p w14:paraId="7B88444C"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115</w:t>
            </w:r>
          </w:p>
        </w:tc>
        <w:tc>
          <w:tcPr>
            <w:tcW w:w="1306" w:type="pct"/>
            <w:vMerge/>
            <w:vAlign w:val="center"/>
          </w:tcPr>
          <w:p w14:paraId="35B11783" w14:textId="77777777" w:rsidR="004B5A3E" w:rsidRPr="005A7226" w:rsidRDefault="004B5A3E">
            <w:pPr>
              <w:pStyle w:val="TableText0"/>
              <w:keepLines/>
              <w:rPr>
                <w:rFonts w:cstheme="minorBidi"/>
                <w:b/>
                <w:bCs w:val="0"/>
                <w:sz w:val="20"/>
                <w:szCs w:val="20"/>
                <w:lang w:val="en-AU"/>
              </w:rPr>
            </w:pPr>
          </w:p>
        </w:tc>
      </w:tr>
      <w:tr w:rsidR="004B5A3E" w:rsidRPr="005A7226" w14:paraId="6EA6696D" w14:textId="77777777">
        <w:trPr>
          <w:trHeight w:val="56"/>
        </w:trPr>
        <w:tc>
          <w:tcPr>
            <w:tcW w:w="785" w:type="pct"/>
          </w:tcPr>
          <w:p w14:paraId="578E077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4 to &lt;5</w:t>
            </w:r>
          </w:p>
        </w:tc>
        <w:tc>
          <w:tcPr>
            <w:tcW w:w="1016" w:type="pct"/>
          </w:tcPr>
          <w:p w14:paraId="7EC25BBD"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0.795</w:t>
            </w:r>
          </w:p>
        </w:tc>
        <w:tc>
          <w:tcPr>
            <w:tcW w:w="1026" w:type="pct"/>
          </w:tcPr>
          <w:p w14:paraId="0146623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(0.770, 0.821)</w:t>
            </w:r>
          </w:p>
        </w:tc>
        <w:tc>
          <w:tcPr>
            <w:tcW w:w="867" w:type="pct"/>
          </w:tcPr>
          <w:p w14:paraId="04338C50"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129</w:t>
            </w:r>
          </w:p>
        </w:tc>
        <w:tc>
          <w:tcPr>
            <w:tcW w:w="1306" w:type="pct"/>
            <w:vMerge/>
            <w:vAlign w:val="center"/>
          </w:tcPr>
          <w:p w14:paraId="489A9DD9" w14:textId="77777777" w:rsidR="004B5A3E" w:rsidRPr="005A7226" w:rsidRDefault="004B5A3E">
            <w:pPr>
              <w:pStyle w:val="TableText0"/>
              <w:keepLines/>
              <w:rPr>
                <w:rFonts w:cstheme="minorBidi"/>
                <w:b/>
                <w:bCs w:val="0"/>
                <w:sz w:val="20"/>
                <w:szCs w:val="20"/>
                <w:lang w:val="en-AU"/>
              </w:rPr>
            </w:pPr>
          </w:p>
        </w:tc>
      </w:tr>
      <w:tr w:rsidR="004B5A3E" w:rsidRPr="005A7226" w14:paraId="5B582C94" w14:textId="77777777">
        <w:trPr>
          <w:trHeight w:val="56"/>
        </w:trPr>
        <w:tc>
          <w:tcPr>
            <w:tcW w:w="785" w:type="pct"/>
          </w:tcPr>
          <w:p w14:paraId="01276227"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5 to &lt;6</w:t>
            </w:r>
          </w:p>
        </w:tc>
        <w:tc>
          <w:tcPr>
            <w:tcW w:w="1016" w:type="pct"/>
          </w:tcPr>
          <w:p w14:paraId="5EED26D7"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0.787</w:t>
            </w:r>
          </w:p>
        </w:tc>
        <w:tc>
          <w:tcPr>
            <w:tcW w:w="1026" w:type="pct"/>
          </w:tcPr>
          <w:p w14:paraId="4AF7FA8B"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(0.758, 0.816)</w:t>
            </w:r>
          </w:p>
        </w:tc>
        <w:tc>
          <w:tcPr>
            <w:tcW w:w="867" w:type="pct"/>
          </w:tcPr>
          <w:p w14:paraId="26539624"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113</w:t>
            </w:r>
          </w:p>
        </w:tc>
        <w:tc>
          <w:tcPr>
            <w:tcW w:w="1306" w:type="pct"/>
            <w:vMerge/>
            <w:vAlign w:val="center"/>
          </w:tcPr>
          <w:p w14:paraId="6FB3AF47" w14:textId="77777777" w:rsidR="004B5A3E" w:rsidRPr="005A7226" w:rsidRDefault="004B5A3E">
            <w:pPr>
              <w:pStyle w:val="TableText0"/>
              <w:keepLines/>
              <w:rPr>
                <w:rFonts w:cstheme="minorBidi"/>
                <w:b/>
                <w:bCs w:val="0"/>
                <w:sz w:val="20"/>
                <w:szCs w:val="20"/>
                <w:lang w:val="en-AU"/>
              </w:rPr>
            </w:pPr>
          </w:p>
        </w:tc>
      </w:tr>
      <w:tr w:rsidR="004B5A3E" w:rsidRPr="005A7226" w14:paraId="365641AE" w14:textId="77777777">
        <w:trPr>
          <w:trHeight w:val="56"/>
        </w:trPr>
        <w:tc>
          <w:tcPr>
            <w:tcW w:w="785" w:type="pct"/>
          </w:tcPr>
          <w:p w14:paraId="60B31848"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6 to &lt;7</w:t>
            </w:r>
          </w:p>
        </w:tc>
        <w:tc>
          <w:tcPr>
            <w:tcW w:w="1016" w:type="pct"/>
          </w:tcPr>
          <w:p w14:paraId="51B77F49"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0.775</w:t>
            </w:r>
          </w:p>
        </w:tc>
        <w:tc>
          <w:tcPr>
            <w:tcW w:w="1026" w:type="pct"/>
          </w:tcPr>
          <w:p w14:paraId="079AFA66"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(0.749, 0.801)</w:t>
            </w:r>
          </w:p>
        </w:tc>
        <w:tc>
          <w:tcPr>
            <w:tcW w:w="867" w:type="pct"/>
          </w:tcPr>
          <w:p w14:paraId="5F84DD97"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97</w:t>
            </w:r>
          </w:p>
        </w:tc>
        <w:tc>
          <w:tcPr>
            <w:tcW w:w="1306" w:type="pct"/>
            <w:vMerge/>
            <w:vAlign w:val="center"/>
          </w:tcPr>
          <w:p w14:paraId="0735CF16" w14:textId="77777777" w:rsidR="004B5A3E" w:rsidRPr="005A7226" w:rsidRDefault="004B5A3E">
            <w:pPr>
              <w:pStyle w:val="TableText0"/>
              <w:keepLines/>
              <w:rPr>
                <w:rFonts w:cstheme="minorBidi"/>
                <w:b/>
                <w:bCs w:val="0"/>
                <w:sz w:val="20"/>
                <w:szCs w:val="20"/>
                <w:lang w:val="en-AU"/>
              </w:rPr>
            </w:pPr>
          </w:p>
        </w:tc>
      </w:tr>
      <w:tr w:rsidR="004B5A3E" w:rsidRPr="005A7226" w14:paraId="620378A3" w14:textId="77777777">
        <w:trPr>
          <w:trHeight w:val="56"/>
        </w:trPr>
        <w:tc>
          <w:tcPr>
            <w:tcW w:w="785" w:type="pct"/>
          </w:tcPr>
          <w:p w14:paraId="26227D04"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7 to &lt;8</w:t>
            </w:r>
          </w:p>
        </w:tc>
        <w:tc>
          <w:tcPr>
            <w:tcW w:w="1016" w:type="pct"/>
          </w:tcPr>
          <w:p w14:paraId="1422BCE6"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0.784</w:t>
            </w:r>
          </w:p>
        </w:tc>
        <w:tc>
          <w:tcPr>
            <w:tcW w:w="1026" w:type="pct"/>
          </w:tcPr>
          <w:p w14:paraId="13B5911C"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(0.759, 0.809)</w:t>
            </w:r>
          </w:p>
        </w:tc>
        <w:tc>
          <w:tcPr>
            <w:tcW w:w="867" w:type="pct"/>
          </w:tcPr>
          <w:p w14:paraId="378C9293"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171</w:t>
            </w:r>
          </w:p>
        </w:tc>
        <w:tc>
          <w:tcPr>
            <w:tcW w:w="1306" w:type="pct"/>
            <w:vMerge w:val="restart"/>
            <w:vAlign w:val="center"/>
          </w:tcPr>
          <w:p w14:paraId="26DFDC1C"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0.785 (0.763, 0.806)</w:t>
            </w:r>
          </w:p>
          <w:p w14:paraId="750BD551"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n=186</w:t>
            </w:r>
          </w:p>
        </w:tc>
      </w:tr>
      <w:tr w:rsidR="004B5A3E" w:rsidRPr="005A7226" w14:paraId="2900F63D" w14:textId="77777777">
        <w:trPr>
          <w:trHeight w:val="56"/>
        </w:trPr>
        <w:tc>
          <w:tcPr>
            <w:tcW w:w="785" w:type="pct"/>
          </w:tcPr>
          <w:p w14:paraId="3A37FAE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8 to &lt;9</w:t>
            </w:r>
          </w:p>
        </w:tc>
        <w:tc>
          <w:tcPr>
            <w:tcW w:w="1016" w:type="pct"/>
          </w:tcPr>
          <w:p w14:paraId="10A23DA7"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0.785</w:t>
            </w:r>
          </w:p>
        </w:tc>
        <w:tc>
          <w:tcPr>
            <w:tcW w:w="1026" w:type="pct"/>
          </w:tcPr>
          <w:p w14:paraId="3B23E431"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(0.759, 0.810)</w:t>
            </w:r>
          </w:p>
        </w:tc>
        <w:tc>
          <w:tcPr>
            <w:tcW w:w="867" w:type="pct"/>
          </w:tcPr>
          <w:p w14:paraId="6AF6124D"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153</w:t>
            </w:r>
          </w:p>
        </w:tc>
        <w:tc>
          <w:tcPr>
            <w:tcW w:w="1306" w:type="pct"/>
            <w:vMerge/>
            <w:vAlign w:val="center"/>
          </w:tcPr>
          <w:p w14:paraId="7D290064" w14:textId="77777777" w:rsidR="004B5A3E" w:rsidRPr="005A7226" w:rsidRDefault="004B5A3E">
            <w:pPr>
              <w:pStyle w:val="TableText0"/>
              <w:keepLines/>
              <w:rPr>
                <w:rFonts w:cstheme="minorBidi"/>
                <w:b/>
                <w:bCs w:val="0"/>
                <w:sz w:val="20"/>
                <w:szCs w:val="20"/>
                <w:lang w:val="en-AU"/>
              </w:rPr>
            </w:pPr>
          </w:p>
        </w:tc>
      </w:tr>
      <w:tr w:rsidR="004B5A3E" w:rsidRPr="005A7226" w14:paraId="6AE5BF1F" w14:textId="77777777">
        <w:trPr>
          <w:trHeight w:val="56"/>
        </w:trPr>
        <w:tc>
          <w:tcPr>
            <w:tcW w:w="785" w:type="pct"/>
          </w:tcPr>
          <w:p w14:paraId="24F34A05"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9 to &lt;10</w:t>
            </w:r>
          </w:p>
        </w:tc>
        <w:tc>
          <w:tcPr>
            <w:tcW w:w="1016" w:type="pct"/>
          </w:tcPr>
          <w:p w14:paraId="246B5CB6"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0.747</w:t>
            </w:r>
          </w:p>
        </w:tc>
        <w:tc>
          <w:tcPr>
            <w:tcW w:w="1026" w:type="pct"/>
          </w:tcPr>
          <w:p w14:paraId="45D0831D"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(0.712, 0.781)</w:t>
            </w:r>
          </w:p>
        </w:tc>
        <w:tc>
          <w:tcPr>
            <w:tcW w:w="867" w:type="pct"/>
          </w:tcPr>
          <w:p w14:paraId="6B42D6EF"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104</w:t>
            </w:r>
          </w:p>
        </w:tc>
        <w:tc>
          <w:tcPr>
            <w:tcW w:w="1306" w:type="pct"/>
            <w:vMerge w:val="restart"/>
            <w:vAlign w:val="center"/>
          </w:tcPr>
          <w:p w14:paraId="7E3C8223"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 xml:space="preserve">0.747 (0.725, 0.770) </w:t>
            </w:r>
            <w:r w:rsidRPr="005A7226">
              <w:rPr>
                <w:rFonts w:cstheme="minorBidi"/>
                <w:b/>
                <w:bCs w:val="0"/>
                <w:sz w:val="20"/>
                <w:szCs w:val="20"/>
                <w:vertAlign w:val="superscript"/>
                <w:lang w:val="en-AU"/>
              </w:rPr>
              <w:t>a</w:t>
            </w:r>
          </w:p>
          <w:p w14:paraId="72596788" w14:textId="77777777" w:rsidR="004B5A3E" w:rsidRPr="005A7226" w:rsidRDefault="004B5A3E">
            <w:pPr>
              <w:pStyle w:val="TableText0"/>
              <w:keepLines/>
              <w:rPr>
                <w:rFonts w:cstheme="minorBidi"/>
                <w:b/>
                <w:bCs w:val="0"/>
                <w:sz w:val="20"/>
                <w:szCs w:val="20"/>
                <w:lang w:val="en-AU"/>
              </w:rPr>
            </w:pPr>
            <w:r w:rsidRPr="005A7226">
              <w:rPr>
                <w:rFonts w:cstheme="minorBidi"/>
                <w:b/>
                <w:bCs w:val="0"/>
                <w:sz w:val="20"/>
                <w:szCs w:val="20"/>
                <w:lang w:val="en-AU"/>
              </w:rPr>
              <w:t>n=419</w:t>
            </w:r>
          </w:p>
        </w:tc>
      </w:tr>
      <w:tr w:rsidR="004B5A3E" w:rsidRPr="005A7226" w14:paraId="33FEC1F4" w14:textId="77777777">
        <w:trPr>
          <w:trHeight w:val="56"/>
        </w:trPr>
        <w:tc>
          <w:tcPr>
            <w:tcW w:w="785" w:type="pct"/>
          </w:tcPr>
          <w:p w14:paraId="0AE1E5B3"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10 to &lt;11</w:t>
            </w:r>
          </w:p>
        </w:tc>
        <w:tc>
          <w:tcPr>
            <w:tcW w:w="1016" w:type="pct"/>
          </w:tcPr>
          <w:p w14:paraId="1735CAFD"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0.746</w:t>
            </w:r>
          </w:p>
        </w:tc>
        <w:tc>
          <w:tcPr>
            <w:tcW w:w="1026" w:type="pct"/>
          </w:tcPr>
          <w:p w14:paraId="05B8FFEA"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(0.710, 0.782)</w:t>
            </w:r>
          </w:p>
        </w:tc>
        <w:tc>
          <w:tcPr>
            <w:tcW w:w="867" w:type="pct"/>
          </w:tcPr>
          <w:p w14:paraId="253E69BC"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69</w:t>
            </w:r>
          </w:p>
        </w:tc>
        <w:tc>
          <w:tcPr>
            <w:tcW w:w="1306" w:type="pct"/>
            <w:vMerge/>
          </w:tcPr>
          <w:p w14:paraId="666B0DD6" w14:textId="77777777" w:rsidR="004B5A3E" w:rsidRPr="005A7226" w:rsidRDefault="004B5A3E">
            <w:pPr>
              <w:pStyle w:val="TableText0"/>
              <w:keepLines/>
              <w:rPr>
                <w:rFonts w:cstheme="minorBidi"/>
                <w:sz w:val="20"/>
                <w:szCs w:val="20"/>
                <w:lang w:val="en-AU"/>
              </w:rPr>
            </w:pPr>
          </w:p>
        </w:tc>
      </w:tr>
      <w:tr w:rsidR="004B5A3E" w:rsidRPr="005A7226" w14:paraId="5A9C4737" w14:textId="77777777">
        <w:trPr>
          <w:trHeight w:val="56"/>
        </w:trPr>
        <w:tc>
          <w:tcPr>
            <w:tcW w:w="785" w:type="pct"/>
          </w:tcPr>
          <w:p w14:paraId="4F63871B"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11 to &lt;12</w:t>
            </w:r>
          </w:p>
        </w:tc>
        <w:tc>
          <w:tcPr>
            <w:tcW w:w="1016" w:type="pct"/>
          </w:tcPr>
          <w:p w14:paraId="3842EC01"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0.755</w:t>
            </w:r>
          </w:p>
        </w:tc>
        <w:tc>
          <w:tcPr>
            <w:tcW w:w="1026" w:type="pct"/>
          </w:tcPr>
          <w:p w14:paraId="7A64A9F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(0.722, 0.788)</w:t>
            </w:r>
          </w:p>
        </w:tc>
        <w:tc>
          <w:tcPr>
            <w:tcW w:w="867" w:type="pct"/>
          </w:tcPr>
          <w:p w14:paraId="02DA67F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72</w:t>
            </w:r>
          </w:p>
        </w:tc>
        <w:tc>
          <w:tcPr>
            <w:tcW w:w="1306" w:type="pct"/>
            <w:vMerge/>
          </w:tcPr>
          <w:p w14:paraId="0FD43259" w14:textId="77777777" w:rsidR="004B5A3E" w:rsidRPr="005A7226" w:rsidRDefault="004B5A3E">
            <w:pPr>
              <w:pStyle w:val="TableText0"/>
              <w:keepLines/>
              <w:rPr>
                <w:rFonts w:cstheme="minorBidi"/>
                <w:sz w:val="20"/>
                <w:szCs w:val="20"/>
                <w:lang w:val="en-AU"/>
              </w:rPr>
            </w:pPr>
          </w:p>
        </w:tc>
      </w:tr>
      <w:tr w:rsidR="004B5A3E" w:rsidRPr="005A7226" w14:paraId="2657EBBE" w14:textId="77777777">
        <w:trPr>
          <w:trHeight w:val="56"/>
        </w:trPr>
        <w:tc>
          <w:tcPr>
            <w:tcW w:w="785" w:type="pct"/>
          </w:tcPr>
          <w:p w14:paraId="3864F361"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12 to &lt;13</w:t>
            </w:r>
          </w:p>
        </w:tc>
        <w:tc>
          <w:tcPr>
            <w:tcW w:w="1016" w:type="pct"/>
          </w:tcPr>
          <w:p w14:paraId="13D9A762"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0.742</w:t>
            </w:r>
          </w:p>
        </w:tc>
        <w:tc>
          <w:tcPr>
            <w:tcW w:w="1026" w:type="pct"/>
          </w:tcPr>
          <w:p w14:paraId="1FF71798"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(0.703, 0.782)</w:t>
            </w:r>
          </w:p>
        </w:tc>
        <w:tc>
          <w:tcPr>
            <w:tcW w:w="867" w:type="pct"/>
          </w:tcPr>
          <w:p w14:paraId="6550F683"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47</w:t>
            </w:r>
          </w:p>
        </w:tc>
        <w:tc>
          <w:tcPr>
            <w:tcW w:w="1306" w:type="pct"/>
            <w:vMerge/>
          </w:tcPr>
          <w:p w14:paraId="6E0DE6B0" w14:textId="77777777" w:rsidR="004B5A3E" w:rsidRPr="005A7226" w:rsidRDefault="004B5A3E">
            <w:pPr>
              <w:pStyle w:val="TableText0"/>
              <w:keepLines/>
              <w:rPr>
                <w:rFonts w:cstheme="minorBidi"/>
                <w:sz w:val="20"/>
                <w:szCs w:val="20"/>
                <w:lang w:val="en-AU"/>
              </w:rPr>
            </w:pPr>
          </w:p>
        </w:tc>
      </w:tr>
      <w:tr w:rsidR="004B5A3E" w:rsidRPr="005A7226" w14:paraId="18AF319E" w14:textId="77777777">
        <w:trPr>
          <w:trHeight w:val="56"/>
        </w:trPr>
        <w:tc>
          <w:tcPr>
            <w:tcW w:w="785" w:type="pct"/>
          </w:tcPr>
          <w:p w14:paraId="15FBB0F7"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13 to &lt;14</w:t>
            </w:r>
          </w:p>
        </w:tc>
        <w:tc>
          <w:tcPr>
            <w:tcW w:w="1016" w:type="pct"/>
          </w:tcPr>
          <w:p w14:paraId="73C0BE82"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0.786</w:t>
            </w:r>
          </w:p>
        </w:tc>
        <w:tc>
          <w:tcPr>
            <w:tcW w:w="1026" w:type="pct"/>
          </w:tcPr>
          <w:p w14:paraId="445965B5"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(0.733, 0.839)</w:t>
            </w:r>
          </w:p>
        </w:tc>
        <w:tc>
          <w:tcPr>
            <w:tcW w:w="867" w:type="pct"/>
          </w:tcPr>
          <w:p w14:paraId="349F9A8F"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32</w:t>
            </w:r>
          </w:p>
        </w:tc>
        <w:tc>
          <w:tcPr>
            <w:tcW w:w="1306" w:type="pct"/>
            <w:vMerge/>
          </w:tcPr>
          <w:p w14:paraId="69F93690" w14:textId="77777777" w:rsidR="004B5A3E" w:rsidRPr="005A7226" w:rsidRDefault="004B5A3E">
            <w:pPr>
              <w:pStyle w:val="TableText0"/>
              <w:keepLines/>
              <w:rPr>
                <w:rFonts w:cstheme="minorBidi"/>
                <w:sz w:val="20"/>
                <w:szCs w:val="20"/>
                <w:lang w:val="en-AU"/>
              </w:rPr>
            </w:pPr>
          </w:p>
        </w:tc>
      </w:tr>
      <w:tr w:rsidR="004B5A3E" w:rsidRPr="005A7226" w14:paraId="17953549" w14:textId="77777777">
        <w:trPr>
          <w:trHeight w:val="56"/>
        </w:trPr>
        <w:tc>
          <w:tcPr>
            <w:tcW w:w="785" w:type="pct"/>
          </w:tcPr>
          <w:p w14:paraId="140F452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≥14</w:t>
            </w:r>
          </w:p>
        </w:tc>
        <w:tc>
          <w:tcPr>
            <w:tcW w:w="1016" w:type="pct"/>
          </w:tcPr>
          <w:p w14:paraId="28DDB3D4"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0.724</w:t>
            </w:r>
          </w:p>
        </w:tc>
        <w:tc>
          <w:tcPr>
            <w:tcW w:w="1026" w:type="pct"/>
          </w:tcPr>
          <w:p w14:paraId="5C4895BE"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(0.682, 0.767)</w:t>
            </w:r>
          </w:p>
        </w:tc>
        <w:tc>
          <w:tcPr>
            <w:tcW w:w="867" w:type="pct"/>
          </w:tcPr>
          <w:p w14:paraId="67A59009" w14:textId="77777777" w:rsidR="004B5A3E" w:rsidRPr="005A7226" w:rsidRDefault="004B5A3E">
            <w:pPr>
              <w:pStyle w:val="TableText0"/>
              <w:keepLines/>
              <w:rPr>
                <w:rFonts w:cstheme="minorBidi"/>
                <w:sz w:val="20"/>
                <w:szCs w:val="20"/>
                <w:lang w:val="en-AU"/>
              </w:rPr>
            </w:pPr>
            <w:r w:rsidRPr="005A7226">
              <w:rPr>
                <w:rFonts w:cstheme="minorBidi"/>
                <w:sz w:val="20"/>
                <w:szCs w:val="20"/>
                <w:lang w:val="en-AU"/>
              </w:rPr>
              <w:t>95</w:t>
            </w:r>
          </w:p>
        </w:tc>
        <w:tc>
          <w:tcPr>
            <w:tcW w:w="1306" w:type="pct"/>
            <w:vMerge/>
          </w:tcPr>
          <w:p w14:paraId="55938654" w14:textId="77777777" w:rsidR="004B5A3E" w:rsidRPr="005A7226" w:rsidRDefault="004B5A3E">
            <w:pPr>
              <w:pStyle w:val="TableText0"/>
              <w:keepLines/>
              <w:rPr>
                <w:rFonts w:cstheme="minorBidi"/>
                <w:sz w:val="20"/>
                <w:szCs w:val="20"/>
                <w:lang w:val="en-AU"/>
              </w:rPr>
            </w:pPr>
          </w:p>
        </w:tc>
      </w:tr>
    </w:tbl>
    <w:p w14:paraId="5229F328" w14:textId="77777777" w:rsidR="004B5A3E" w:rsidRPr="005A7226" w:rsidRDefault="004B5A3E" w:rsidP="004B5A3E">
      <w:pPr>
        <w:pStyle w:val="FooterTableFigure"/>
        <w:keepNext/>
        <w:keepLines/>
      </w:pPr>
      <w:r w:rsidRPr="005A7226">
        <w:rPr>
          <w:b/>
          <w:bCs/>
        </w:rPr>
        <w:t>Bold</w:t>
      </w:r>
      <w:r w:rsidRPr="005A7226">
        <w:t>: used in the base case.</w:t>
      </w:r>
    </w:p>
    <w:p w14:paraId="2E6223DE" w14:textId="77777777" w:rsidR="004B5A3E" w:rsidRPr="005A7226" w:rsidRDefault="004B5A3E" w:rsidP="004B5A3E">
      <w:pPr>
        <w:pStyle w:val="FooterTableFigure"/>
        <w:keepNext/>
        <w:keepLines/>
      </w:pPr>
      <w:r w:rsidRPr="005A7226">
        <w:t>Source: Table 3.2-3, p153 of the submission.</w:t>
      </w:r>
    </w:p>
    <w:p w14:paraId="0606C96E" w14:textId="77777777" w:rsidR="004B5A3E" w:rsidRPr="005A7226" w:rsidRDefault="004B5A3E" w:rsidP="004B5A3E">
      <w:pPr>
        <w:pStyle w:val="FooterTableFigure"/>
        <w:keepNext/>
        <w:keepLines/>
      </w:pPr>
      <w:r w:rsidRPr="005A7226">
        <w:t xml:space="preserve">GEE=generalised estimating equation, SE=standard error, UK=United Kingdom, VMS=vasomotor symptoms </w:t>
      </w:r>
      <w:r w:rsidRPr="005A7226">
        <w:rPr>
          <w:i/>
          <w:iCs/>
        </w:rPr>
        <w:t>(per day).</w:t>
      </w:r>
    </w:p>
    <w:p w14:paraId="4D6A22E7" w14:textId="77777777" w:rsidR="004B5A3E" w:rsidRPr="005A7226" w:rsidRDefault="004B5A3E" w:rsidP="004B5A3E">
      <w:pPr>
        <w:pStyle w:val="FooterTableFigure"/>
        <w:keepNext/>
        <w:keepLines/>
        <w:numPr>
          <w:ilvl w:val="0"/>
          <w:numId w:val="11"/>
        </w:numPr>
      </w:pPr>
      <w:r w:rsidRPr="005A7226">
        <w:t>Indicates a significant difference in EQ-5D in the VMS frequency category compared with the previous category (p&lt;0.05).</w:t>
      </w:r>
    </w:p>
    <w:p w14:paraId="7BC9DC9E" w14:textId="77777777" w:rsidR="004B5A3E" w:rsidRPr="005A7226" w:rsidRDefault="004B5A3E" w:rsidP="004B5A3E">
      <w:pPr>
        <w:widowControl w:val="0"/>
        <w:numPr>
          <w:ilvl w:val="1"/>
          <w:numId w:val="1"/>
        </w:numPr>
        <w:spacing w:after="120"/>
        <w:ind w:left="720"/>
      </w:pPr>
      <w:r w:rsidRPr="005A7226">
        <w:t>The submission applied a statistical testing approach to group VMS frequency (per day) categories based on EQ-5D utility values. Adjacent categories with no significant differences in utility (p &gt; 0.05) were merged into broader groups, while significant differences (p &lt; 0.05) informed thresholds for distinguishing groups. Clinical and trial-specific considerations (e.g., baseline scores and inclusion criteria) were also used to define thresholds:</w:t>
      </w:r>
    </w:p>
    <w:p w14:paraId="0A219E66" w14:textId="77777777" w:rsidR="004B5A3E" w:rsidRPr="005A7226" w:rsidRDefault="004B5A3E" w:rsidP="004B5A3E">
      <w:pPr>
        <w:pStyle w:val="3-BodyText"/>
        <w:numPr>
          <w:ilvl w:val="0"/>
          <w:numId w:val="21"/>
        </w:numPr>
      </w:pPr>
      <w:r w:rsidRPr="005A7226">
        <w:rPr>
          <w:b/>
          <w:bCs/>
        </w:rPr>
        <w:t>Lower Threshold of 2:</w:t>
      </w:r>
      <w:r w:rsidRPr="005A7226">
        <w:t xml:space="preserve"> Categories 0, &gt;0 to &lt;1, and 1 to &lt;2 were combined into 0 to &lt;2 due to no significant differences. This broader group was statistically different from 2 to &lt;7, setting 2 as a cut-off.</w:t>
      </w:r>
    </w:p>
    <w:p w14:paraId="46C6726A" w14:textId="77777777" w:rsidR="004B5A3E" w:rsidRPr="005A7226" w:rsidRDefault="004B5A3E" w:rsidP="004B5A3E">
      <w:pPr>
        <w:pStyle w:val="3-BodyText"/>
        <w:numPr>
          <w:ilvl w:val="0"/>
          <w:numId w:val="21"/>
        </w:numPr>
      </w:pPr>
      <w:r w:rsidRPr="005A7226">
        <w:rPr>
          <w:b/>
          <w:bCs/>
        </w:rPr>
        <w:t>Threshold of 2-7:</w:t>
      </w:r>
      <w:r w:rsidRPr="005A7226">
        <w:t xml:space="preserve"> Categories 3 to &lt;4, 4 to &lt;5, 5 to &lt;6, and 6 to &lt;7 were statistically similar and combined into 3 to &lt;7. The 2 to &lt;3 group was merged with 3 to &lt;7 due to no difference. The threshold of 7 was not based on statistical testing but selected to reflect the inclusion criteria of DAYLIGHT.</w:t>
      </w:r>
    </w:p>
    <w:p w14:paraId="462031A9" w14:textId="77777777" w:rsidR="004B5A3E" w:rsidRPr="005A7226" w:rsidRDefault="004B5A3E" w:rsidP="004B5A3E">
      <w:pPr>
        <w:pStyle w:val="3-BodyText"/>
        <w:numPr>
          <w:ilvl w:val="0"/>
          <w:numId w:val="21"/>
        </w:numPr>
      </w:pPr>
      <w:r w:rsidRPr="005A7226">
        <w:rPr>
          <w:b/>
          <w:bCs/>
        </w:rPr>
        <w:t>Threshold of 7-9:</w:t>
      </w:r>
      <w:r w:rsidRPr="005A7226">
        <w:t xml:space="preserve"> Categories 7 to &lt;8 and 8 to &lt;9 showed no significant difference and were combined into 7 to &lt;9. A significant decrease in utility from </w:t>
      </w:r>
      <w:r w:rsidRPr="005A7226">
        <w:rPr>
          <w:rFonts w:ascii="Calibri" w:hAnsi="Calibri" w:cs="Calibri"/>
        </w:rPr>
        <w:t>≥</w:t>
      </w:r>
      <w:r w:rsidRPr="005A7226">
        <w:t>9 supported this as a cut-off for higher severity.</w:t>
      </w:r>
    </w:p>
    <w:p w14:paraId="5C1E0279" w14:textId="77777777" w:rsidR="004B5A3E" w:rsidRPr="005A7226" w:rsidRDefault="004B5A3E" w:rsidP="004B5A3E">
      <w:pPr>
        <w:pStyle w:val="3-BodyText"/>
        <w:numPr>
          <w:ilvl w:val="0"/>
          <w:numId w:val="21"/>
        </w:numPr>
      </w:pPr>
      <w:r w:rsidRPr="005A7226">
        <w:rPr>
          <w:b/>
          <w:bCs/>
        </w:rPr>
        <w:t>Upper Threshold of 9:</w:t>
      </w:r>
      <w:r w:rsidRPr="005A7226">
        <w:t xml:space="preserve"> Categories 9 to &lt;10, 10 to &lt;11, 11 to &lt;12, and 12 to &lt;13 were statistically similar and combined into </w:t>
      </w:r>
      <w:r w:rsidRPr="005A7226">
        <w:rPr>
          <w:rFonts w:ascii="Calibri" w:hAnsi="Calibri" w:cs="Calibri"/>
        </w:rPr>
        <w:t>≥</w:t>
      </w:r>
      <w:r w:rsidRPr="005A7226">
        <w:t>9 due to a decrease in utility starting at 9 and practical issues with sample size for 14+.</w:t>
      </w:r>
    </w:p>
    <w:p w14:paraId="0651D33F" w14:textId="530AC642" w:rsidR="004B5A3E" w:rsidRPr="005A7226" w:rsidRDefault="004B5A3E" w:rsidP="004B5A3E">
      <w:pPr>
        <w:widowControl w:val="0"/>
        <w:numPr>
          <w:ilvl w:val="1"/>
          <w:numId w:val="1"/>
        </w:numPr>
        <w:spacing w:after="120"/>
        <w:ind w:left="720"/>
      </w:pPr>
      <w:r w:rsidRPr="005A7226">
        <w:t xml:space="preserve">The range of the resultant four VMS frequency health states varied from relatively few VMS frequency counts (e.g. 2 counts per day in the 0 to &lt;2 or 7 to &lt;9 health states) to many counts (e.g., 5 counts per day in the 2 to &lt;7 health state). Given the threshold of 7 was selected based on DAYLIGHT trial entry criteria rather than statistical testing, the estimated mean utilities for the 2 to &lt;7 and 7 to &lt;9 health states were not significantly different from each other, with a mean difference of only 0.009. The submission did not present any alternative analyses, such as latent class analysis to validate the final VMS frequency groupings; any differences in model results due to differences in VMS frequency groupings </w:t>
      </w:r>
      <w:r w:rsidR="00F61877">
        <w:t>were</w:t>
      </w:r>
      <w:r w:rsidRPr="005A7226">
        <w:t xml:space="preserve"> not explored by the submission. A sensitivity analysis conducted during the evaluation, assuming similar utility values for the 2 to &lt;7 and 7 to &lt;9 health states, showed that the ICER was, however, relatively insensitive to this assumption, with changes ranging from 2% (when both states are assigned the utility of the 7 to &lt;9 state) to 5% (when both states are assigned the utility of the 2 to &lt;7 state) (see</w:t>
      </w:r>
      <w:r w:rsidR="00097D1F">
        <w:t xml:space="preserve"> </w:t>
      </w:r>
      <w:r w:rsidR="00097D1F">
        <w:fldChar w:fldCharType="begin"/>
      </w:r>
      <w:r w:rsidR="00097D1F">
        <w:instrText xml:space="preserve"> REF _Ref195109413 \h </w:instrText>
      </w:r>
      <w:r w:rsidR="00097D1F">
        <w:fldChar w:fldCharType="separate"/>
      </w:r>
      <w:r w:rsidR="00B11DA2" w:rsidRPr="005A7226">
        <w:t xml:space="preserve">Table </w:t>
      </w:r>
      <w:r w:rsidR="00B11DA2">
        <w:rPr>
          <w:noProof/>
        </w:rPr>
        <w:t>14</w:t>
      </w:r>
      <w:r w:rsidR="00097D1F">
        <w:fldChar w:fldCharType="end"/>
      </w:r>
      <w:r w:rsidRPr="005A7226">
        <w:t xml:space="preserve">). The ESC noted that there was a clear drop in mean utility at 9 daily VMS episodes which suggested this cut point was reasonable, however the other utility categories appeared somewhat arbitrary. The ESC noted that it was not possible to test the effect of using different threshold categories in the model. </w:t>
      </w:r>
    </w:p>
    <w:p w14:paraId="0C21D1F6" w14:textId="34DDFA10" w:rsidR="004B5A3E" w:rsidRPr="005A7226" w:rsidRDefault="004B5A3E" w:rsidP="004B5A3E">
      <w:pPr>
        <w:widowControl w:val="0"/>
        <w:numPr>
          <w:ilvl w:val="1"/>
          <w:numId w:val="1"/>
        </w:numPr>
        <w:spacing w:after="120"/>
        <w:ind w:left="720"/>
      </w:pPr>
      <w:r w:rsidRPr="005A7226">
        <w:t xml:space="preserve">The submission argued that the model structure and the VMS frequency health states are valid and endorsed by clinicians consulted by the sponsor. The submission further emphasised that the clinicians considered VMS frequency an objective measure of treatment effect. The model’s approach however deviated from the results of the DCE presented in the clinical trial Section (see para </w:t>
      </w:r>
      <w:r w:rsidRPr="005A7226">
        <w:fldChar w:fldCharType="begin"/>
      </w:r>
      <w:r w:rsidRPr="005A7226">
        <w:instrText xml:space="preserve"> REF _Ref187879675 \r \h  \* MERGEFORMAT </w:instrText>
      </w:r>
      <w:r w:rsidRPr="005A7226">
        <w:fldChar w:fldCharType="separate"/>
      </w:r>
      <w:r w:rsidR="00B11DA2">
        <w:t>6.16</w:t>
      </w:r>
      <w:r w:rsidRPr="005A7226">
        <w:fldChar w:fldCharType="end"/>
      </w:r>
      <w:r w:rsidRPr="005A7226">
        <w:t>), which indicated that patients valued a relative 50% reduction in VMS frequency from baseline (worded as “reduced by at least half” in the DCE); given the model’s structural assumptions, the impact of this alternative measure of response was not explored in the submission. Additionally, it differed from the Constantine 2019 study, which employed an anchor-based approach to define the MCID for a reduction in moderate to severe VMS frequency as more than 25 episodes per week (or over 3.57 episodes per day).</w:t>
      </w:r>
    </w:p>
    <w:p w14:paraId="08807514" w14:textId="55250A0C" w:rsidR="004B5A3E" w:rsidRPr="005A7226" w:rsidRDefault="004B5A3E" w:rsidP="004B5A3E">
      <w:pPr>
        <w:widowControl w:val="0"/>
        <w:numPr>
          <w:ilvl w:val="1"/>
          <w:numId w:val="1"/>
        </w:numPr>
        <w:spacing w:after="120"/>
        <w:ind w:left="720"/>
      </w:pPr>
      <w:r w:rsidRPr="005A7226">
        <w:t xml:space="preserve">VMS severity was not considered in the submission’s analysis. The evaluation considered that this omission was not appropriate, as symptom severity is also a critical factor influencing health outcomes and patient preferences, as highlighted by clinicians consulted by the sponsor on key model inputs. However, as fezolinetant also reported a benefit in reducing VMS severity compared to no treatment in DAYLIGHT the evaluation considered that including severity in the analysis would likely produce an effect in the same direction as VMS frequency, favouring fezolinetant. The PSCR noted that the choice of VMS frequency as the focus of the model was driven by the objectivity of frequency and presented analyses demonstrating the correlation between VMS frequency and severity. The ESC considered that use of VMS frequency alone was likely to be reasonable as frequency is a more objective measure, is likely to be correlated with severity, and including both severity and frequency in the model would likely result in substantial double-counting of the benefit. </w:t>
      </w:r>
    </w:p>
    <w:p w14:paraId="43184846" w14:textId="5BF6450F" w:rsidR="004B5A3E" w:rsidRPr="005A7226" w:rsidRDefault="004B5A3E" w:rsidP="004B5A3E">
      <w:pPr>
        <w:widowControl w:val="0"/>
        <w:numPr>
          <w:ilvl w:val="1"/>
          <w:numId w:val="1"/>
        </w:numPr>
        <w:spacing w:after="120"/>
        <w:ind w:left="720"/>
      </w:pPr>
      <w:r w:rsidRPr="005A7226">
        <w:t>The base-case model time horizon was 10 years. Patients started in the model with a mean age of 54.36 years. Sensitivity analyses also considered alternative time horizons of 5 and 7 years. The submission claimed that a 10-year time horizon was considered appropriate by clinical experts consulted by the sponsor, who indicated that while VMS duration of 7 years is more commonly cited in the literature, durations can vary among women of different ethnicity, with about one in five women experiencing VMS lasting longer than 7 years (up to 10–15 years) in clinical practice. The submission also noted that in a 2017 systematic review of cost-effectiveness evaluations on menopausal VMS, the economic evaluations included had adopted time horizons of either lifetime or 9 years</w:t>
      </w:r>
      <w:r w:rsidRPr="005A7226">
        <w:rPr>
          <w:rStyle w:val="FootnoteReference"/>
        </w:rPr>
        <w:footnoteReference w:id="20"/>
      </w:r>
      <w:r w:rsidRPr="005A7226">
        <w:t>. Data were, however, only available up to 24 weeks in DAYLIGHT</w:t>
      </w:r>
      <w:r w:rsidR="00D50B55">
        <w:t xml:space="preserve"> and b</w:t>
      </w:r>
      <w:r w:rsidRPr="005A7226">
        <w:t>eyond 24 weeks, treatment effects in the model were extrapolated based on the assumption of maintaining the same benefit whilst on treatment</w:t>
      </w:r>
      <w:r w:rsidR="00D50B55">
        <w:t>. The</w:t>
      </w:r>
      <w:r w:rsidRPr="005A7226">
        <w:t xml:space="preserve"> ESC considered that this introduces uncertainty and is overly optimistic, also noting the natural cessation of symptoms would be expected to reduce the difference in response over time. Reducing the time horizon to 5 years increased the ICER 11.49% to $</w:t>
      </w:r>
      <w:r w:rsidR="001A5A97" w:rsidRPr="001A5A97">
        <w:t>45,000 to &lt; $55,000</w:t>
      </w:r>
      <w:r w:rsidR="007F7540">
        <w:t xml:space="preserve"> </w:t>
      </w:r>
      <w:r w:rsidRPr="005A7226">
        <w:t>per QALY gained from a base case of $</w:t>
      </w:r>
      <w:r w:rsidR="00E43453" w:rsidRPr="00E43453">
        <w:t>35,000 to &lt; $45,000</w:t>
      </w:r>
      <w:r w:rsidRPr="005A7226">
        <w:t>.</w:t>
      </w:r>
    </w:p>
    <w:p w14:paraId="15996E43" w14:textId="42627EE4" w:rsidR="004B5A3E" w:rsidRPr="005A7226" w:rsidRDefault="004B5A3E" w:rsidP="004B5A3E">
      <w:pPr>
        <w:widowControl w:val="0"/>
        <w:numPr>
          <w:ilvl w:val="1"/>
          <w:numId w:val="1"/>
        </w:numPr>
        <w:spacing w:after="120"/>
        <w:ind w:left="720"/>
      </w:pPr>
      <w:r w:rsidRPr="005A7226">
        <w:t xml:space="preserve">The submission indicated that the base-case modelled median treatment duration for fezolinetant was approximately 28.5 months (2.4 years). The mean treatment duration (half cycle-corrected) of fezolinetant over 130 cycles (9.97 years) was calculated to be 26.4 months (2.2 years). Input from one UK and one Canadian health economist for the model suggested that the time horizon should align with the typical duration of VMS before natural cessation, with a median duration of 7.4 years. The ESC noted that while Avis 2015 assumes a median duration of symptoms of 7.4 years, Politi 2008 suggests a shorter duration (4 years), and hence a higher cessation rate. The mean treatment duration of fezolinetant in the 24-week (168 days) DAYLIGHT trial was 157.4 days. </w:t>
      </w:r>
      <w:r w:rsidR="004F7F71">
        <w:rPr>
          <w:lang w:val="en-US"/>
        </w:rPr>
        <w:t xml:space="preserve">The pre-PBAC response noted that the model estimates only </w:t>
      </w:r>
      <w:r w:rsidR="00FD18F7">
        <w:rPr>
          <w:lang w:val="en-US"/>
        </w:rPr>
        <w:t>~</w:t>
      </w:r>
      <w:r w:rsidR="004F7F71">
        <w:rPr>
          <w:lang w:val="en-US"/>
        </w:rPr>
        <w:t xml:space="preserve">12.5% of patients are still on </w:t>
      </w:r>
      <w:proofErr w:type="spellStart"/>
      <w:r w:rsidR="004F7F71">
        <w:rPr>
          <w:lang w:val="en-US"/>
        </w:rPr>
        <w:t>fezolinetant</w:t>
      </w:r>
      <w:proofErr w:type="spellEnd"/>
      <w:r w:rsidR="004F7F71">
        <w:rPr>
          <w:lang w:val="en-US"/>
        </w:rPr>
        <w:t xml:space="preserve"> treatment by 7.5 years given the impact of </w:t>
      </w:r>
      <w:r w:rsidR="00FD18F7">
        <w:rPr>
          <w:lang w:val="en-US"/>
        </w:rPr>
        <w:t xml:space="preserve">modelled </w:t>
      </w:r>
      <w:r w:rsidR="004F7F71">
        <w:rPr>
          <w:lang w:val="en-US"/>
        </w:rPr>
        <w:t>discontinuation and VMS cessation.</w:t>
      </w:r>
    </w:p>
    <w:p w14:paraId="3A27C919" w14:textId="77777777" w:rsidR="004B5A3E" w:rsidRPr="005A7226" w:rsidRDefault="004B5A3E" w:rsidP="004B5A3E">
      <w:pPr>
        <w:widowControl w:val="0"/>
        <w:numPr>
          <w:ilvl w:val="1"/>
          <w:numId w:val="1"/>
        </w:numPr>
        <w:spacing w:after="120"/>
        <w:ind w:left="720"/>
      </w:pPr>
      <w:r w:rsidRPr="005A7226">
        <w:t>The submission applied non-treatment specific health state utilities from EQ-5D-5L data collected in the pivotal DAYLIGHT trial. Utility values for each moderate to severe VMS frequency health state were estimated using a generalised estimating equation (GEE) model to account for repeated measures. In the regression model, the dependent variable was the utility index score derived from EQ-5D-5L data, and the independent variable was the VMS frequency health states. Due to the inclusion criteria of the DAYLIGHT trial, only women with a mean daily frequency of VMS of at least 7 episodes per day were included, utility values were not estimable for the 0 ≤ VMS Frequency &lt; 2 and 2 ≤ VMS Frequency &lt; 7 health states at baseline. Therefore, post-baseline measures were used to estimate utility values for the 0 ≤ VMS Frequency &lt; 2 and 2 ≤ VMS Frequency &lt; 7 and health states. Utility values for VMS cessation were calculated from the average EQ-5D-5L utility scores whenever women reported a VMS frequency of zero, in the clinical data. No further adjustment was made in the analysis to account for repeated measurements.</w:t>
      </w:r>
    </w:p>
    <w:p w14:paraId="235A85DF" w14:textId="50A29D53" w:rsidR="004B5A3E" w:rsidRPr="005A7226" w:rsidRDefault="004B5A3E" w:rsidP="004B5A3E">
      <w:pPr>
        <w:widowControl w:val="0"/>
        <w:numPr>
          <w:ilvl w:val="1"/>
          <w:numId w:val="1"/>
        </w:numPr>
        <w:spacing w:after="120"/>
        <w:ind w:left="720"/>
      </w:pPr>
      <w:r w:rsidRPr="005A7226">
        <w:t>The submission used the EQ-5D-5L to EQ-5D-3L mapping value set developed by the NICE Decision Support Unit (Hernandez-Alava 2023</w:t>
      </w:r>
      <w:r w:rsidRPr="005A7226">
        <w:rPr>
          <w:rStyle w:val="FootnoteReference"/>
        </w:rPr>
        <w:footnoteReference w:id="21"/>
      </w:r>
      <w:r w:rsidRPr="005A7226">
        <w:t>). The evaluation considered that this may not be appropriate, given EuroQoL</w:t>
      </w:r>
      <w:r w:rsidRPr="005A7226">
        <w:rPr>
          <w:rStyle w:val="FootnoteReference"/>
        </w:rPr>
        <w:footnoteReference w:id="22"/>
      </w:r>
      <w:r w:rsidRPr="005A7226">
        <w:t xml:space="preserve"> noted that mapping EQ-5D-5L to EQ-5D-3L places an artificial floor effect on the values of EQ-5D-5L, and EQ-5D-5L when valued directly, might in fact be lower than when compared to the EQ-5D-3L level system. Moreover, the Australian value set for the EQ-5D-5L</w:t>
      </w:r>
      <w:r w:rsidRPr="005A7226">
        <w:rPr>
          <w:rStyle w:val="FootnoteReference"/>
        </w:rPr>
        <w:footnoteReference w:id="23"/>
      </w:r>
      <w:r w:rsidRPr="005A7226">
        <w:t xml:space="preserve"> could have been used. The ESC considered that it would be useful to see the Australian value set applied directly to the 5L data in the sensitivity analyses, although it is unlikely to have a substantial impact on the ICER.</w:t>
      </w:r>
      <w:r>
        <w:t xml:space="preserve"> The pre-PBAC response </w:t>
      </w:r>
      <w:r w:rsidR="001D61BD">
        <w:t xml:space="preserve">noted that </w:t>
      </w:r>
      <w:r w:rsidRPr="004A6947">
        <w:t>reduc</w:t>
      </w:r>
      <w:r w:rsidR="001D61BD">
        <w:t>ing</w:t>
      </w:r>
      <w:r w:rsidRPr="004A6947">
        <w:t xml:space="preserve"> the utility values by 10% for all VMS states</w:t>
      </w:r>
      <w:r>
        <w:t>, increased the</w:t>
      </w:r>
      <w:r w:rsidRPr="004A6947">
        <w:t xml:space="preserve"> ICER by </w:t>
      </w:r>
      <w:r w:rsidR="00B42021" w:rsidRPr="00B11DA2">
        <w:rPr>
          <w:color w:val="000000"/>
          <w:w w:val="15"/>
          <w:shd w:val="solid" w:color="000000" w:fill="000000"/>
          <w:fitText w:val="-20" w:id="-679236096"/>
          <w14:textFill>
            <w14:solidFill>
              <w14:srgbClr w14:val="000000">
                <w14:alpha w14:val="100000"/>
              </w14:srgbClr>
            </w14:solidFill>
          </w14:textFill>
        </w:rPr>
        <w:t xml:space="preserve">|  </w:t>
      </w:r>
      <w:r w:rsidR="00B42021" w:rsidRPr="00B11DA2">
        <w:rPr>
          <w:color w:val="000000"/>
          <w:spacing w:val="-69"/>
          <w:w w:val="15"/>
          <w:shd w:val="solid" w:color="000000" w:fill="000000"/>
          <w:fitText w:val="-20" w:id="-679236096"/>
          <w14:textFill>
            <w14:solidFill>
              <w14:srgbClr w14:val="000000">
                <w14:alpha w14:val="100000"/>
              </w14:srgbClr>
            </w14:solidFill>
          </w14:textFill>
        </w:rPr>
        <w:t>|</w:t>
      </w:r>
      <w:r w:rsidRPr="004A6947">
        <w:t>% to $</w:t>
      </w:r>
      <w:r w:rsidR="005C2D87" w:rsidRPr="005C2D87">
        <w:t>45,000 to &lt; $55,000</w:t>
      </w:r>
      <w:r w:rsidRPr="004A6947">
        <w:t>.</w:t>
      </w:r>
    </w:p>
    <w:p w14:paraId="62CE81EB" w14:textId="22725722" w:rsidR="004B5A3E" w:rsidRPr="005A7226" w:rsidRDefault="004B5A3E" w:rsidP="004B5A3E">
      <w:pPr>
        <w:widowControl w:val="0"/>
        <w:numPr>
          <w:ilvl w:val="1"/>
          <w:numId w:val="1"/>
        </w:numPr>
        <w:spacing w:after="120"/>
        <w:ind w:left="720"/>
      </w:pPr>
      <w:r w:rsidRPr="005A7226">
        <w:t>The model assumed an age-dependent annual adjustment factor to account for the expected decline in health utility with increasing age, using data from Hernandez-Alava et al., (2022)</w:t>
      </w:r>
      <w:r w:rsidRPr="00B53879">
        <w:footnoteReference w:id="24"/>
      </w:r>
      <w:r w:rsidRPr="005A7226">
        <w:t xml:space="preserve">. A sensitivity analysis removing age-dependent disutility showed a </w:t>
      </w:r>
      <w:r w:rsidR="00B42021" w:rsidRPr="00B11DA2">
        <w:rPr>
          <w:color w:val="000000"/>
          <w:w w:val="15"/>
          <w:shd w:val="solid" w:color="000000" w:fill="000000"/>
          <w:fitText w:val="-20" w:id="-679236095"/>
          <w14:textFill>
            <w14:solidFill>
              <w14:srgbClr w14:val="000000">
                <w14:alpha w14:val="100000"/>
              </w14:srgbClr>
            </w14:solidFill>
          </w14:textFill>
        </w:rPr>
        <w:t xml:space="preserve">|  </w:t>
      </w:r>
      <w:r w:rsidR="00B42021" w:rsidRPr="00B11DA2">
        <w:rPr>
          <w:color w:val="000000"/>
          <w:spacing w:val="-69"/>
          <w:w w:val="15"/>
          <w:shd w:val="solid" w:color="000000" w:fill="000000"/>
          <w:fitText w:val="-20" w:id="-679236095"/>
          <w14:textFill>
            <w14:solidFill>
              <w14:srgbClr w14:val="000000">
                <w14:alpha w14:val="100000"/>
              </w14:srgbClr>
            </w14:solidFill>
          </w14:textFill>
        </w:rPr>
        <w:t>|</w:t>
      </w:r>
      <w:r w:rsidRPr="005A7226">
        <w:t>% reduction in the ICER, decreasing it to $</w:t>
      </w:r>
      <w:r w:rsidR="008675AE" w:rsidRPr="008675AE">
        <w:t>35,000 to &lt; $45,000</w:t>
      </w:r>
      <w:r w:rsidR="00222ADE">
        <w:t xml:space="preserve"> </w:t>
      </w:r>
      <w:r w:rsidRPr="005A7226">
        <w:t>from the base case of $</w:t>
      </w:r>
      <w:r w:rsidR="008675AE" w:rsidRPr="008675AE">
        <w:t>35,000 to &lt; $45,000</w:t>
      </w:r>
      <w:r w:rsidR="00222ADE">
        <w:t xml:space="preserve"> </w:t>
      </w:r>
      <w:r w:rsidRPr="005A7226">
        <w:t>per QALY gained.</w:t>
      </w:r>
    </w:p>
    <w:p w14:paraId="275B0045" w14:textId="73ED39AB" w:rsidR="004B5A3E" w:rsidRPr="005A7226" w:rsidRDefault="004B5A3E" w:rsidP="004B5A3E">
      <w:pPr>
        <w:widowControl w:val="0"/>
        <w:numPr>
          <w:ilvl w:val="1"/>
          <w:numId w:val="1"/>
        </w:numPr>
        <w:spacing w:after="120"/>
        <w:ind w:left="720"/>
      </w:pPr>
      <w:r w:rsidRPr="005A7226">
        <w:t xml:space="preserve">The evaluation considered that healthcare resource use costs, including general physician and specialist visits in each VMS frequency health state were reasonably estimated based on the results of a general practitioner survey (N=12) conducted for the submission. </w:t>
      </w:r>
      <w:r w:rsidR="00847BE8">
        <w:t>T</w:t>
      </w:r>
      <w:r w:rsidRPr="005A7226">
        <w:t>he PSCR noted that the fezolinetant PI will be updated with a recommendation for monitoring of liver function after initiating therapy, and noted that the sponsor proposes to update the economic and financial models to reflect this additional testing in time for the pre-PBAC response, but considered that the impact is likely to be minimal to both the ICER and the overall financial estimates.</w:t>
      </w:r>
      <w:r w:rsidR="001B657D">
        <w:t xml:space="preserve"> The pre-PBAC response did not provide </w:t>
      </w:r>
      <w:r w:rsidR="00A23361">
        <w:t xml:space="preserve">updated </w:t>
      </w:r>
      <w:r w:rsidR="00FA5521">
        <w:t xml:space="preserve">economic or financial </w:t>
      </w:r>
      <w:r w:rsidR="007F7072">
        <w:t xml:space="preserve">models to assess the impact of </w:t>
      </w:r>
      <w:r w:rsidR="00F204A7">
        <w:t>liver function</w:t>
      </w:r>
      <w:r w:rsidR="007F7072">
        <w:t xml:space="preserve"> test</w:t>
      </w:r>
      <w:r w:rsidR="00F204A7">
        <w:t xml:space="preserve"> (LFT)</w:t>
      </w:r>
      <w:r w:rsidR="007F7072">
        <w:t xml:space="preserve"> costs.</w:t>
      </w:r>
    </w:p>
    <w:p w14:paraId="6926201F" w14:textId="6ECA5B64" w:rsidR="004B5A3E" w:rsidRPr="005A7226" w:rsidRDefault="004B5A3E" w:rsidP="004B5A3E">
      <w:pPr>
        <w:widowControl w:val="0"/>
        <w:numPr>
          <w:ilvl w:val="1"/>
          <w:numId w:val="1"/>
        </w:numPr>
        <w:spacing w:after="120"/>
        <w:ind w:left="720"/>
      </w:pPr>
      <w:r w:rsidRPr="005A7226">
        <w:t>The model included an option to account for indirect costs, including productivity loss and travel expenses as a sensitivity analysis. Productivity loss for both absenteeism and presenteeism, for each VMS frequency health state as well as employment rates, were informed by the results of a US survey in women aged 40-75 on the effect of VMS severity with sleep and work impairments reported by DePree et al (2023)</w:t>
      </w:r>
      <w:r w:rsidRPr="005A7226">
        <w:rPr>
          <w:rStyle w:val="FootnoteReference"/>
        </w:rPr>
        <w:footnoteReference w:id="25"/>
      </w:r>
      <w:r w:rsidRPr="005A7226">
        <w:t xml:space="preserve">. Absenteeism captured productivity loss during the time women with VMS are not at work, while presenteeism captured the productivity loss when they are at work but are not productive. Costs related to productivity loss (earnings per day) were informed by Employee Earnings and Hours, Australia, May 2023. The evaluation considered it appropriate that in the base case, these costs were excluded. </w:t>
      </w:r>
      <w:r w:rsidRPr="005A7226">
        <w:rPr>
          <w:bCs/>
        </w:rPr>
        <w:t xml:space="preserve">Adopting a societal perspective and including indirect costs resulted in a 144% decrease in the base case </w:t>
      </w:r>
      <w:r w:rsidRPr="00B53879">
        <w:t xml:space="preserve">ICER, leading to a dominant ICER of </w:t>
      </w:r>
      <w:r w:rsidR="00565B9C">
        <w:t>d</w:t>
      </w:r>
      <w:r w:rsidR="00565B9C" w:rsidRPr="00565B9C">
        <w:t>ominant</w:t>
      </w:r>
      <w:r w:rsidR="00833DF2">
        <w:t xml:space="preserve"> </w:t>
      </w:r>
      <w:r w:rsidRPr="00B53879">
        <w:t>per QALY gained.</w:t>
      </w:r>
    </w:p>
    <w:p w14:paraId="76AB22EB" w14:textId="13C2FC64" w:rsidR="004B5A3E" w:rsidRPr="005A7226" w:rsidRDefault="00097D1F" w:rsidP="004B5A3E">
      <w:pPr>
        <w:widowControl w:val="0"/>
        <w:numPr>
          <w:ilvl w:val="1"/>
          <w:numId w:val="1"/>
        </w:numPr>
        <w:spacing w:after="120"/>
        <w:ind w:left="720"/>
      </w:pPr>
      <w:r>
        <w:rPr>
          <w:rFonts w:cstheme="minorHAnsi"/>
        </w:rPr>
        <w:fldChar w:fldCharType="begin"/>
      </w:r>
      <w:r>
        <w:rPr>
          <w:rFonts w:cstheme="minorHAnsi"/>
        </w:rPr>
        <w:instrText xml:space="preserve"> REF _Ref195781856 \h </w:instrText>
      </w:r>
      <w:r>
        <w:rPr>
          <w:rFonts w:cstheme="minorHAnsi"/>
        </w:rPr>
      </w:r>
      <w:r>
        <w:rPr>
          <w:rFonts w:cstheme="minorHAnsi"/>
        </w:rPr>
        <w:fldChar w:fldCharType="separate"/>
      </w:r>
      <w:r w:rsidR="00B11DA2" w:rsidRPr="005A7226">
        <w:t xml:space="preserve">Figure </w:t>
      </w:r>
      <w:r w:rsidR="00B11DA2">
        <w:rPr>
          <w:noProof/>
        </w:rPr>
        <w:t>4</w:t>
      </w:r>
      <w:r>
        <w:rPr>
          <w:rFonts w:cstheme="minorHAnsi"/>
        </w:rPr>
        <w:fldChar w:fldCharType="end"/>
      </w:r>
      <w:r>
        <w:rPr>
          <w:rFonts w:cstheme="minorHAnsi"/>
        </w:rPr>
        <w:t xml:space="preserve"> </w:t>
      </w:r>
      <w:r w:rsidR="004B5A3E" w:rsidRPr="005A7226">
        <w:rPr>
          <w:rFonts w:cstheme="minorHAnsi"/>
        </w:rPr>
        <w:t>illustrates the Markov traces for each treatment arm, which visually demonstrates the changes in proportions of patients in different health states over time.</w:t>
      </w:r>
    </w:p>
    <w:p w14:paraId="1E679386" w14:textId="1F27C152" w:rsidR="004B5A3E" w:rsidRPr="005A7226" w:rsidRDefault="004B5A3E" w:rsidP="004B5A3E">
      <w:pPr>
        <w:pStyle w:val="Caption"/>
        <w:ind w:right="-862"/>
      </w:pPr>
      <w:bookmarkStart w:id="59" w:name="_Ref195781856"/>
      <w:r w:rsidRPr="005A7226">
        <w:t xml:space="preserve">Figure </w:t>
      </w:r>
      <w:r w:rsidR="004A6B36">
        <w:fldChar w:fldCharType="begin"/>
      </w:r>
      <w:r w:rsidR="004A6B36">
        <w:instrText xml:space="preserve"> SEQ Figure \* ARABIC </w:instrText>
      </w:r>
      <w:r w:rsidR="004A6B36">
        <w:fldChar w:fldCharType="separate"/>
      </w:r>
      <w:r w:rsidR="00B11DA2">
        <w:rPr>
          <w:noProof/>
        </w:rPr>
        <w:t>4</w:t>
      </w:r>
      <w:r w:rsidR="004A6B36">
        <w:rPr>
          <w:noProof/>
        </w:rPr>
        <w:fldChar w:fldCharType="end"/>
      </w:r>
      <w:bookmarkEnd w:id="59"/>
      <w:r w:rsidRPr="005A7226">
        <w:t>. Markov traces for ‘fezolinetant’ and ‘no treatment’ arms of the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488"/>
      </w:tblGrid>
      <w:tr w:rsidR="004B5A3E" w:rsidRPr="005A7226" w14:paraId="7C1D7AA1" w14:textId="77777777">
        <w:tc>
          <w:tcPr>
            <w:tcW w:w="4539" w:type="dxa"/>
            <w:vAlign w:val="center"/>
          </w:tcPr>
          <w:p w14:paraId="069342CA" w14:textId="77777777" w:rsidR="004B5A3E" w:rsidRPr="005A7226" w:rsidRDefault="004B5A3E">
            <w:pPr>
              <w:pStyle w:val="In-tableHeading"/>
              <w:keepLines/>
              <w:numPr>
                <w:ilvl w:val="0"/>
                <w:numId w:val="12"/>
              </w:numPr>
              <w:tabs>
                <w:tab w:val="left" w:pos="945"/>
              </w:tabs>
              <w:ind w:right="-862"/>
              <w:rPr>
                <w:sz w:val="16"/>
                <w:szCs w:val="16"/>
                <w:lang w:val="en-AU"/>
              </w:rPr>
            </w:pPr>
            <w:r w:rsidRPr="005A7226">
              <w:rPr>
                <w:sz w:val="16"/>
                <w:szCs w:val="16"/>
                <w:lang w:val="en-AU"/>
              </w:rPr>
              <w:t>Fezolinetant, 45 years</w:t>
            </w:r>
          </w:p>
        </w:tc>
        <w:tc>
          <w:tcPr>
            <w:tcW w:w="4488" w:type="dxa"/>
          </w:tcPr>
          <w:p w14:paraId="5A760152" w14:textId="77777777" w:rsidR="004B5A3E" w:rsidRPr="005A7226" w:rsidRDefault="004B5A3E">
            <w:pPr>
              <w:pStyle w:val="In-tableHeading"/>
              <w:keepLines/>
              <w:numPr>
                <w:ilvl w:val="0"/>
                <w:numId w:val="12"/>
              </w:numPr>
              <w:ind w:right="-862"/>
              <w:rPr>
                <w:sz w:val="16"/>
                <w:szCs w:val="16"/>
                <w:lang w:val="en-AU"/>
              </w:rPr>
            </w:pPr>
            <w:r w:rsidRPr="005A7226">
              <w:rPr>
                <w:sz w:val="16"/>
                <w:szCs w:val="16"/>
                <w:lang w:val="en-AU"/>
              </w:rPr>
              <w:t>No Treatment, 45 years</w:t>
            </w:r>
          </w:p>
        </w:tc>
      </w:tr>
      <w:tr w:rsidR="004B5A3E" w:rsidRPr="005A7226" w14:paraId="581E3643" w14:textId="77777777">
        <w:tc>
          <w:tcPr>
            <w:tcW w:w="4539" w:type="dxa"/>
          </w:tcPr>
          <w:p w14:paraId="11F67C82" w14:textId="77777777" w:rsidR="004B5A3E" w:rsidRPr="005A7226" w:rsidRDefault="004B5A3E">
            <w:pPr>
              <w:pStyle w:val="In-tableHeading"/>
              <w:keepLines/>
              <w:ind w:right="-862"/>
              <w:rPr>
                <w:sz w:val="16"/>
                <w:szCs w:val="16"/>
                <w:lang w:val="en-AU"/>
              </w:rPr>
            </w:pPr>
            <w:r w:rsidRPr="005A7226">
              <w:rPr>
                <w:noProof/>
                <w:lang w:val="en-AU"/>
              </w:rPr>
              <w:drawing>
                <wp:inline distT="0" distB="0" distL="0" distR="0" wp14:anchorId="25CE008C" wp14:editId="1A3B8FCE">
                  <wp:extent cx="2840990" cy="1486535"/>
                  <wp:effectExtent l="0" t="0" r="0" b="0"/>
                  <wp:docPr id="896594429" name="Picture 896594429" descr="Figure 4. Markov traces for ‘fezolinetant’ and ‘no treatment’ arms of the model -Fezolinetant, 45 yea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6594429" name="Picture 896594429" descr="Figure 4. Markov traces for ‘fezolinetant’ and ‘no treatment’ arms of the model -Fezolinetant, 45 years"/>
                          <pic:cNvPicPr/>
                        </pic:nvPicPr>
                        <pic:blipFill>
                          <a:blip r:embed="rId19">
                            <a:extLst>
                              <a:ext uri="{28A0092B-C50C-407E-A947-70E740481C1C}">
                                <a14:useLocalDpi xmlns:a14="http://schemas.microsoft.com/office/drawing/2010/main" val="0"/>
                              </a:ext>
                            </a:extLst>
                          </a:blip>
                          <a:stretch>
                            <a:fillRect/>
                          </a:stretch>
                        </pic:blipFill>
                        <pic:spPr>
                          <a:xfrm>
                            <a:off x="0" y="0"/>
                            <a:ext cx="2840990" cy="1486535"/>
                          </a:xfrm>
                          <a:prstGeom prst="rect">
                            <a:avLst/>
                          </a:prstGeom>
                        </pic:spPr>
                      </pic:pic>
                    </a:graphicData>
                  </a:graphic>
                </wp:inline>
              </w:drawing>
            </w:r>
          </w:p>
        </w:tc>
        <w:tc>
          <w:tcPr>
            <w:tcW w:w="4488" w:type="dxa"/>
          </w:tcPr>
          <w:p w14:paraId="3813512E" w14:textId="77777777" w:rsidR="004B5A3E" w:rsidRPr="005A7226" w:rsidRDefault="004B5A3E">
            <w:pPr>
              <w:pStyle w:val="In-tableHeading"/>
              <w:keepLines/>
              <w:ind w:right="-862"/>
              <w:rPr>
                <w:sz w:val="16"/>
                <w:szCs w:val="16"/>
                <w:lang w:val="en-AU"/>
              </w:rPr>
            </w:pPr>
            <w:r w:rsidRPr="005A7226">
              <w:rPr>
                <w:noProof/>
                <w:lang w:val="en-AU"/>
              </w:rPr>
              <w:drawing>
                <wp:inline distT="0" distB="0" distL="0" distR="0" wp14:anchorId="3C0A3DDA" wp14:editId="2EB4EF28">
                  <wp:extent cx="2807677" cy="1486535"/>
                  <wp:effectExtent l="0" t="0" r="0" b="0"/>
                  <wp:docPr id="660398983" name="Picture 660398983" descr="Figure 4. Markov traces for ‘fezolinetant’ and ‘no treatment’ arms of the model - No Treatment, 45 yea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398983" name="Picture 660398983" descr="Figure 4. Markov traces for ‘fezolinetant’ and ‘no treatment’ arms of the model - No Treatment, 45 years"/>
                          <pic:cNvPicPr/>
                        </pic:nvPicPr>
                        <pic:blipFill>
                          <a:blip r:embed="rId20">
                            <a:extLst>
                              <a:ext uri="{28A0092B-C50C-407E-A947-70E740481C1C}">
                                <a14:useLocalDpi xmlns:a14="http://schemas.microsoft.com/office/drawing/2010/main" val="0"/>
                              </a:ext>
                            </a:extLst>
                          </a:blip>
                          <a:stretch>
                            <a:fillRect/>
                          </a:stretch>
                        </pic:blipFill>
                        <pic:spPr>
                          <a:xfrm>
                            <a:off x="0" y="0"/>
                            <a:ext cx="2807677" cy="1486535"/>
                          </a:xfrm>
                          <a:prstGeom prst="rect">
                            <a:avLst/>
                          </a:prstGeom>
                        </pic:spPr>
                      </pic:pic>
                    </a:graphicData>
                  </a:graphic>
                </wp:inline>
              </w:drawing>
            </w:r>
          </w:p>
        </w:tc>
      </w:tr>
      <w:tr w:rsidR="004B5A3E" w:rsidRPr="005A7226" w14:paraId="79A20A59" w14:textId="77777777">
        <w:tc>
          <w:tcPr>
            <w:tcW w:w="4539" w:type="dxa"/>
          </w:tcPr>
          <w:p w14:paraId="1A149F67" w14:textId="77777777" w:rsidR="004B5A3E" w:rsidRPr="005A7226" w:rsidRDefault="004B5A3E">
            <w:pPr>
              <w:pStyle w:val="In-tableHeading"/>
              <w:keepLines/>
              <w:numPr>
                <w:ilvl w:val="0"/>
                <w:numId w:val="12"/>
              </w:numPr>
              <w:ind w:right="-862"/>
              <w:rPr>
                <w:sz w:val="16"/>
                <w:szCs w:val="16"/>
                <w:lang w:val="en-AU"/>
              </w:rPr>
            </w:pPr>
            <w:r w:rsidRPr="005A7226">
              <w:rPr>
                <w:sz w:val="16"/>
                <w:szCs w:val="16"/>
                <w:lang w:val="en-AU"/>
              </w:rPr>
              <w:t>Fezolinetant, 10 years (base case model time horizon)</w:t>
            </w:r>
          </w:p>
        </w:tc>
        <w:tc>
          <w:tcPr>
            <w:tcW w:w="4488" w:type="dxa"/>
          </w:tcPr>
          <w:p w14:paraId="2433FDF3" w14:textId="77777777" w:rsidR="004B5A3E" w:rsidRPr="005A7226" w:rsidRDefault="004B5A3E">
            <w:pPr>
              <w:pStyle w:val="In-tableHeading"/>
              <w:keepLines/>
              <w:numPr>
                <w:ilvl w:val="0"/>
                <w:numId w:val="12"/>
              </w:numPr>
              <w:ind w:right="-862"/>
              <w:rPr>
                <w:sz w:val="16"/>
                <w:szCs w:val="16"/>
                <w:lang w:val="en-AU"/>
              </w:rPr>
            </w:pPr>
            <w:r w:rsidRPr="005A7226">
              <w:rPr>
                <w:sz w:val="16"/>
                <w:szCs w:val="16"/>
                <w:lang w:val="en-AU"/>
              </w:rPr>
              <w:t>No treatment, 10 years (base case model time horizon)</w:t>
            </w:r>
          </w:p>
        </w:tc>
      </w:tr>
      <w:tr w:rsidR="004B5A3E" w:rsidRPr="005A7226" w14:paraId="0705EED9" w14:textId="77777777">
        <w:tc>
          <w:tcPr>
            <w:tcW w:w="4539" w:type="dxa"/>
          </w:tcPr>
          <w:p w14:paraId="5873E594" w14:textId="77777777" w:rsidR="004B5A3E" w:rsidRPr="005A7226" w:rsidRDefault="004B5A3E">
            <w:pPr>
              <w:pStyle w:val="In-tableHeading"/>
              <w:keepLines/>
              <w:ind w:right="-862"/>
              <w:rPr>
                <w:sz w:val="16"/>
                <w:szCs w:val="16"/>
                <w:lang w:val="en-AU"/>
              </w:rPr>
            </w:pPr>
            <w:r w:rsidRPr="005A7226">
              <w:rPr>
                <w:noProof/>
                <w:lang w:val="en-AU"/>
              </w:rPr>
              <w:drawing>
                <wp:inline distT="0" distB="0" distL="0" distR="0" wp14:anchorId="733757A1" wp14:editId="5E011042">
                  <wp:extent cx="2776690" cy="1682611"/>
                  <wp:effectExtent l="0" t="0" r="5080" b="0"/>
                  <wp:docPr id="2094198336" name="Picture 2094198336" descr="Figure 4. Markov traces for ‘fezolinetant’ and ‘no treatment’ arms of the model - Fezolinetant, 10 years (base case model time horiz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98336" name="Picture 2094198336" descr="Figure 4. Markov traces for ‘fezolinetant’ and ‘no treatment’ arms of the model - Fezolinetant, 10 years (base case model time horizon) "/>
                          <pic:cNvPicPr/>
                        </pic:nvPicPr>
                        <pic:blipFill>
                          <a:blip r:embed="rId21">
                            <a:extLst>
                              <a:ext uri="{28A0092B-C50C-407E-A947-70E740481C1C}">
                                <a14:useLocalDpi xmlns:a14="http://schemas.microsoft.com/office/drawing/2010/main" val="0"/>
                              </a:ext>
                            </a:extLst>
                          </a:blip>
                          <a:stretch>
                            <a:fillRect/>
                          </a:stretch>
                        </pic:blipFill>
                        <pic:spPr>
                          <a:xfrm>
                            <a:off x="0" y="0"/>
                            <a:ext cx="2776690" cy="1682611"/>
                          </a:xfrm>
                          <a:prstGeom prst="rect">
                            <a:avLst/>
                          </a:prstGeom>
                        </pic:spPr>
                      </pic:pic>
                    </a:graphicData>
                  </a:graphic>
                </wp:inline>
              </w:drawing>
            </w:r>
          </w:p>
        </w:tc>
        <w:tc>
          <w:tcPr>
            <w:tcW w:w="4488" w:type="dxa"/>
          </w:tcPr>
          <w:p w14:paraId="713B324F" w14:textId="77777777" w:rsidR="004B5A3E" w:rsidRPr="005A7226" w:rsidRDefault="004B5A3E">
            <w:pPr>
              <w:pStyle w:val="In-tableHeading"/>
              <w:keepLines/>
              <w:ind w:right="-862"/>
              <w:rPr>
                <w:sz w:val="16"/>
                <w:szCs w:val="16"/>
                <w:lang w:val="en-AU"/>
              </w:rPr>
            </w:pPr>
            <w:r w:rsidRPr="005A7226">
              <w:rPr>
                <w:noProof/>
                <w:lang w:val="en-AU"/>
              </w:rPr>
              <w:drawing>
                <wp:inline distT="0" distB="0" distL="0" distR="0" wp14:anchorId="30CDF831" wp14:editId="09001978">
                  <wp:extent cx="2759226" cy="1671424"/>
                  <wp:effectExtent l="0" t="0" r="3175" b="5080"/>
                  <wp:docPr id="451638227" name="Picture 451638227" descr="Figure 4. Markov traces for ‘fezolinetant’ and ‘no treatment’ arms of the model - No Treatment 10 years (base case model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38227" name="Picture 451638227" descr="Figure 4. Markov traces for ‘fezolinetant’ and ‘no treatment’ arms of the model - No Treatment 10 years (base case model time horizon)"/>
                          <pic:cNvPicPr/>
                        </pic:nvPicPr>
                        <pic:blipFill>
                          <a:blip r:embed="rId22">
                            <a:extLst>
                              <a:ext uri="{28A0092B-C50C-407E-A947-70E740481C1C}">
                                <a14:useLocalDpi xmlns:a14="http://schemas.microsoft.com/office/drawing/2010/main" val="0"/>
                              </a:ext>
                            </a:extLst>
                          </a:blip>
                          <a:stretch>
                            <a:fillRect/>
                          </a:stretch>
                        </pic:blipFill>
                        <pic:spPr>
                          <a:xfrm>
                            <a:off x="0" y="0"/>
                            <a:ext cx="2759226" cy="1671424"/>
                          </a:xfrm>
                          <a:prstGeom prst="rect">
                            <a:avLst/>
                          </a:prstGeom>
                        </pic:spPr>
                      </pic:pic>
                    </a:graphicData>
                  </a:graphic>
                </wp:inline>
              </w:drawing>
            </w:r>
          </w:p>
        </w:tc>
      </w:tr>
    </w:tbl>
    <w:p w14:paraId="09A8AEE9" w14:textId="77777777" w:rsidR="004B5A3E" w:rsidRPr="005A7226" w:rsidRDefault="004B5A3E" w:rsidP="004B5A3E">
      <w:pPr>
        <w:pStyle w:val="TableFigureFooter"/>
        <w:keepNext/>
        <w:keepLines/>
        <w:spacing w:after="0"/>
        <w:ind w:right="-862"/>
      </w:pPr>
      <w:r w:rsidRPr="005A7226">
        <w:t>Source: Attachment 11 – VEOZA MR VMS Section 3 CEA, Base Case Results worksheet (A &amp; B) and compiled during the evaluation (C&amp;D).</w:t>
      </w:r>
    </w:p>
    <w:p w14:paraId="274ADD57" w14:textId="77777777" w:rsidR="004B5A3E" w:rsidRPr="005A7226" w:rsidRDefault="004B5A3E" w:rsidP="004B5A3E">
      <w:pPr>
        <w:pStyle w:val="TableFigureFooter"/>
        <w:keepNext/>
        <w:keepLines/>
        <w:ind w:right="-862"/>
      </w:pPr>
      <w:r w:rsidRPr="005A7226">
        <w:t>F=fezolinetant, NT=no treatment, VMS=vasomotor symptoms</w:t>
      </w:r>
    </w:p>
    <w:p w14:paraId="7E1A0B06" w14:textId="03113A32" w:rsidR="004B5A3E" w:rsidRPr="005A7226" w:rsidRDefault="004B5A3E" w:rsidP="004B5A3E">
      <w:pPr>
        <w:widowControl w:val="0"/>
        <w:numPr>
          <w:ilvl w:val="1"/>
          <w:numId w:val="1"/>
        </w:numPr>
        <w:spacing w:after="120"/>
        <w:ind w:left="720"/>
      </w:pPr>
      <w:r w:rsidRPr="005A7226">
        <w:t>The Markov traces indicate that differences between the two treatment arms were primarily driven by greater numbers of patients in the fezolinetant arm transitioning to lower VMS frequency health states and staying there during the model duration. VMS cessation and survival were similar between the two arms. This is further illustrated in</w:t>
      </w:r>
      <w:r w:rsidR="00097D1F">
        <w:t xml:space="preserve"> </w:t>
      </w:r>
      <w:r w:rsidR="00097D1F">
        <w:fldChar w:fldCharType="begin"/>
      </w:r>
      <w:r w:rsidR="00097D1F">
        <w:instrText xml:space="preserve"> REF _Ref195781875 \h </w:instrText>
      </w:r>
      <w:r w:rsidR="00097D1F">
        <w:fldChar w:fldCharType="separate"/>
      </w:r>
      <w:r w:rsidR="00B11DA2" w:rsidRPr="005A7226">
        <w:t xml:space="preserve">Figure </w:t>
      </w:r>
      <w:r w:rsidR="00B11DA2">
        <w:rPr>
          <w:noProof/>
        </w:rPr>
        <w:t>5</w:t>
      </w:r>
      <w:r w:rsidR="00097D1F">
        <w:fldChar w:fldCharType="end"/>
      </w:r>
      <w:r w:rsidRPr="005A7226">
        <w:t xml:space="preserve">, which shows the proportion of patients in each health state (either on or off treatment in each model arm) over the model time horizon (10 years). </w:t>
      </w:r>
    </w:p>
    <w:p w14:paraId="4825DCC4" w14:textId="655144EE" w:rsidR="004B5A3E" w:rsidRPr="0086174D" w:rsidRDefault="004B5A3E" w:rsidP="004B5A3E">
      <w:pPr>
        <w:widowControl w:val="0"/>
        <w:numPr>
          <w:ilvl w:val="1"/>
          <w:numId w:val="1"/>
        </w:numPr>
        <w:spacing w:after="120"/>
        <w:ind w:left="720"/>
      </w:pPr>
      <w:r w:rsidRPr="0086174D">
        <w:t xml:space="preserve">The ESC noted that treatment discontinuation was sourced from DAYLIGHT and SKYLIGHT1 and 2 for fezolinetant, and from DAYLIGHT for the no treatment arm (see </w:t>
      </w:r>
      <w:r w:rsidR="00DF42A9">
        <w:fldChar w:fldCharType="begin"/>
      </w:r>
      <w:r w:rsidR="00DF42A9">
        <w:instrText xml:space="preserve"> REF _Ref195109509 \h </w:instrText>
      </w:r>
      <w:r w:rsidR="00DF42A9">
        <w:fldChar w:fldCharType="separate"/>
      </w:r>
      <w:r w:rsidR="00B11DA2" w:rsidRPr="005A7226">
        <w:t xml:space="preserve">Table </w:t>
      </w:r>
      <w:r w:rsidR="00B11DA2">
        <w:rPr>
          <w:noProof/>
        </w:rPr>
        <w:t>11</w:t>
      </w:r>
      <w:r w:rsidR="00DF42A9">
        <w:fldChar w:fldCharType="end"/>
      </w:r>
      <w:r w:rsidRPr="0086174D">
        <w:t xml:space="preserve">). At discontinuation, the model assumed that the </w:t>
      </w:r>
      <w:r w:rsidR="008C5874">
        <w:t>patient</w:t>
      </w:r>
      <w:r w:rsidRPr="0086174D">
        <w:t xml:space="preserve"> returns to baseline event frequency. The ESC considered use of higher discontinuation rates for patients in the no treatment arm may result in double-counting of discontinuation for no treatment, as women in the no treatment arm are more likely to transition to higher frequency groups, and are also more likely to discontinue (at which point they return to baseline, high frequency). A responder in the no treatment arm is therefore more likely to discontinue (rather than simply see diminishing response) relative to a fezolinetant responder, an assumption that is not likely to be reasonable. The ESC considered that the assumption that treatment discontinuation is lower in the fezolinetant arm may be reasonable, however the current model appears to double-count return to baseline in the no treatment arm, hence biasing the ICER in favour of fezolinetant. The ESC noted the possibility of modelling trial discontinuation based on event frequency, and then to apply those rates to both arms equally. The ESC requested that the sponsor provide sensitivity analyses assessing discontinuation rates in the pre-PBAC response.</w:t>
      </w:r>
      <w:r>
        <w:t xml:space="preserve"> The pre-PBAC response (table 2) included a </w:t>
      </w:r>
      <w:r w:rsidRPr="00187744">
        <w:t xml:space="preserve">sensitivity analysis </w:t>
      </w:r>
      <w:r>
        <w:t>exploring</w:t>
      </w:r>
      <w:r w:rsidRPr="00187744">
        <w:t xml:space="preserve"> decreasing the rate for no treatment arm and increasing the discontinuation rate for fezolinetant arm by 20%</w:t>
      </w:r>
      <w:r>
        <w:t>, varied the</w:t>
      </w:r>
      <w:r w:rsidRPr="00187744">
        <w:t xml:space="preserve"> ICER varied by &lt;10%</w:t>
      </w:r>
      <w:r>
        <w:t xml:space="preserve"> for all scenarios. However, in all scenarios discontinuation rates were different between treatment arms, and a sensitivity analysis exploring </w:t>
      </w:r>
      <w:r w:rsidRPr="002A0E93">
        <w:t>modelling trial discontinuation based on event frequency</w:t>
      </w:r>
      <w:r>
        <w:t xml:space="preserve"> </w:t>
      </w:r>
      <w:r w:rsidR="00A9057F">
        <w:t xml:space="preserve">alone </w:t>
      </w:r>
      <w:r>
        <w:t xml:space="preserve">was not provided. </w:t>
      </w:r>
    </w:p>
    <w:p w14:paraId="6F932125" w14:textId="6BA1428D" w:rsidR="004B5A3E" w:rsidRPr="005A7226" w:rsidRDefault="004B5A3E" w:rsidP="004B5A3E">
      <w:pPr>
        <w:widowControl w:val="0"/>
        <w:numPr>
          <w:ilvl w:val="1"/>
          <w:numId w:val="1"/>
        </w:numPr>
        <w:spacing w:after="120"/>
        <w:ind w:left="720"/>
      </w:pPr>
      <w:r w:rsidRPr="005A7226">
        <w:t xml:space="preserve">The ESC noted a scenario analysis was presented in the submission, assuming an equal distribution across ≤0 VMS &lt; 2, 2 ≤ VMS &lt; 7, 7 ≤ VMS &lt; 9, and VMS ≥ 9 </w:t>
      </w:r>
      <w:r w:rsidR="00A57308">
        <w:t xml:space="preserve">states </w:t>
      </w:r>
      <w:r w:rsidRPr="005A7226">
        <w:t xml:space="preserve">following treatment discontinuations. This decreased the ICER by </w:t>
      </w:r>
      <w:r w:rsidR="00B42021" w:rsidRPr="00B11DA2">
        <w:rPr>
          <w:color w:val="000000"/>
          <w:w w:val="15"/>
          <w:shd w:val="solid" w:color="000000" w:fill="000000"/>
          <w:fitText w:val="-20" w:id="-679236094"/>
          <w14:textFill>
            <w14:solidFill>
              <w14:srgbClr w14:val="000000">
                <w14:alpha w14:val="100000"/>
              </w14:srgbClr>
            </w14:solidFill>
          </w14:textFill>
        </w:rPr>
        <w:t xml:space="preserve">|  </w:t>
      </w:r>
      <w:r w:rsidR="00B42021" w:rsidRPr="00B11DA2">
        <w:rPr>
          <w:color w:val="000000"/>
          <w:spacing w:val="-69"/>
          <w:w w:val="15"/>
          <w:shd w:val="solid" w:color="000000" w:fill="000000"/>
          <w:fitText w:val="-20" w:id="-679236094"/>
          <w14:textFill>
            <w14:solidFill>
              <w14:srgbClr w14:val="000000">
                <w14:alpha w14:val="100000"/>
              </w14:srgbClr>
            </w14:solidFill>
          </w14:textFill>
        </w:rPr>
        <w:t>|</w:t>
      </w:r>
      <w:r w:rsidRPr="005A7226">
        <w:t>%, lowering it to $</w:t>
      </w:r>
      <w:r w:rsidR="00093A0E" w:rsidRPr="00093A0E">
        <w:t>0 to &lt; $5,000</w:t>
      </w:r>
      <w:r w:rsidR="005E383E">
        <w:t xml:space="preserve"> </w:t>
      </w:r>
      <w:r w:rsidRPr="005A7226">
        <w:t>compared to the base case of $</w:t>
      </w:r>
      <w:r w:rsidR="00083FFD" w:rsidRPr="00083FFD">
        <w:t>35,000 to &lt; $45,000</w:t>
      </w:r>
      <w:r w:rsidR="005E383E">
        <w:t xml:space="preserve"> </w:t>
      </w:r>
      <w:r w:rsidRPr="005A7226">
        <w:t>per QALY gained. However, the ESC considered this was unlikely a reasonable scenario and if reversion to baseline is gradual or partial the analysis would be biased in favour of fezolinetant.</w:t>
      </w:r>
    </w:p>
    <w:p w14:paraId="7A6B6F64" w14:textId="51043BFB" w:rsidR="004B5A3E" w:rsidRPr="005A7226" w:rsidRDefault="004B5A3E" w:rsidP="004B5A3E">
      <w:pPr>
        <w:pStyle w:val="Caption"/>
      </w:pPr>
      <w:bookmarkStart w:id="60" w:name="_Ref195109509"/>
      <w:r w:rsidRPr="005A7226">
        <w:t xml:space="preserve">Table </w:t>
      </w:r>
      <w:r w:rsidR="004A6B36">
        <w:fldChar w:fldCharType="begin"/>
      </w:r>
      <w:r w:rsidR="004A6B36">
        <w:instrText xml:space="preserve"> SEQ Table \* ARABIC </w:instrText>
      </w:r>
      <w:r w:rsidR="004A6B36">
        <w:fldChar w:fldCharType="separate"/>
      </w:r>
      <w:r w:rsidR="00B11DA2">
        <w:rPr>
          <w:noProof/>
        </w:rPr>
        <w:t>11</w:t>
      </w:r>
      <w:r w:rsidR="004A6B36">
        <w:rPr>
          <w:noProof/>
        </w:rPr>
        <w:fldChar w:fldCharType="end"/>
      </w:r>
      <w:bookmarkEnd w:id="60"/>
      <w:r w:rsidRPr="005A7226">
        <w:t>: Treatment discontinuation rates in the economic model</w:t>
      </w:r>
    </w:p>
    <w:tbl>
      <w:tblPr>
        <w:tblW w:w="0" w:type="auto"/>
        <w:tblLayout w:type="fixed"/>
        <w:tblCellMar>
          <w:left w:w="0" w:type="dxa"/>
          <w:right w:w="0" w:type="dxa"/>
        </w:tblCellMar>
        <w:tblLook w:val="0600" w:firstRow="0" w:lastRow="0" w:firstColumn="0" w:lastColumn="0" w:noHBand="1" w:noVBand="1"/>
        <w:tblCaption w:val="Table 11: Treatment discontinuation rates in the economic model"/>
      </w:tblPr>
      <w:tblGrid>
        <w:gridCol w:w="1530"/>
        <w:gridCol w:w="2099"/>
        <w:gridCol w:w="2099"/>
        <w:gridCol w:w="2909"/>
      </w:tblGrid>
      <w:tr w:rsidR="004B5A3E" w:rsidRPr="005A7226" w14:paraId="32588D3B" w14:textId="77777777">
        <w:trPr>
          <w:trHeight w:val="123"/>
        </w:trPr>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069D3F5A" w14:textId="77777777" w:rsidR="004B5A3E" w:rsidRPr="005A7226" w:rsidRDefault="004B5A3E">
            <w:pPr>
              <w:pStyle w:val="TableBodyCentred"/>
              <w:rPr>
                <w:rFonts w:ascii="Arial Narrow" w:hAnsi="Arial Narrow"/>
                <w:b/>
                <w:bCs/>
                <w:sz w:val="20"/>
                <w:szCs w:val="20"/>
                <w:lang w:val="en-AU"/>
              </w:rPr>
            </w:pPr>
            <w:r w:rsidRPr="005A7226">
              <w:rPr>
                <w:rFonts w:ascii="Arial Narrow" w:hAnsi="Arial Narrow"/>
                <w:b/>
                <w:bCs/>
                <w:sz w:val="20"/>
                <w:szCs w:val="20"/>
                <w:lang w:val="en-AU"/>
              </w:rPr>
              <w:t>Treatment</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59940216" w14:textId="77777777" w:rsidR="004B5A3E" w:rsidRPr="005A7226" w:rsidRDefault="004B5A3E">
            <w:pPr>
              <w:pStyle w:val="TableBodyCentred"/>
              <w:rPr>
                <w:rFonts w:ascii="Arial Narrow" w:hAnsi="Arial Narrow"/>
                <w:b/>
                <w:bCs/>
                <w:sz w:val="20"/>
                <w:szCs w:val="20"/>
                <w:lang w:val="en-AU"/>
              </w:rPr>
            </w:pPr>
            <w:r w:rsidRPr="005A7226">
              <w:rPr>
                <w:rFonts w:ascii="Arial Narrow" w:hAnsi="Arial Narrow"/>
                <w:b/>
                <w:bCs/>
                <w:sz w:val="20"/>
                <w:szCs w:val="20"/>
                <w:lang w:val="en-AU"/>
              </w:rPr>
              <w:t>Timepoint</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1E20EE25" w14:textId="77777777" w:rsidR="004B5A3E" w:rsidRPr="005A7226" w:rsidRDefault="004B5A3E">
            <w:pPr>
              <w:pStyle w:val="TableBodyCentred"/>
              <w:rPr>
                <w:rFonts w:ascii="Arial Narrow" w:hAnsi="Arial Narrow"/>
                <w:b/>
                <w:bCs/>
                <w:sz w:val="20"/>
                <w:szCs w:val="20"/>
                <w:lang w:val="en-AU"/>
              </w:rPr>
            </w:pPr>
            <w:r w:rsidRPr="005A7226">
              <w:rPr>
                <w:rFonts w:ascii="Arial Narrow" w:hAnsi="Arial Narrow"/>
                <w:b/>
                <w:bCs/>
                <w:sz w:val="20"/>
                <w:szCs w:val="20"/>
                <w:lang w:val="en-AU"/>
              </w:rPr>
              <w:t>Per-cycle probability of discontinuation</w:t>
            </w:r>
          </w:p>
        </w:tc>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705CC759" w14:textId="77777777" w:rsidR="004B5A3E" w:rsidRPr="005A7226" w:rsidRDefault="004B5A3E">
            <w:pPr>
              <w:pStyle w:val="TableBodyCentred"/>
              <w:rPr>
                <w:rFonts w:ascii="Arial Narrow" w:hAnsi="Arial Narrow"/>
                <w:b/>
                <w:bCs/>
                <w:sz w:val="20"/>
                <w:szCs w:val="20"/>
                <w:lang w:val="en-AU"/>
              </w:rPr>
            </w:pPr>
            <w:r w:rsidRPr="005A7226">
              <w:rPr>
                <w:rFonts w:ascii="Arial Narrow" w:hAnsi="Arial Narrow"/>
                <w:b/>
                <w:bCs/>
                <w:sz w:val="20"/>
                <w:szCs w:val="20"/>
                <w:lang w:val="en-AU"/>
              </w:rPr>
              <w:t>Source</w:t>
            </w:r>
          </w:p>
        </w:tc>
      </w:tr>
      <w:tr w:rsidR="004B5A3E" w:rsidRPr="005A7226" w14:paraId="7FE74930" w14:textId="77777777">
        <w:trPr>
          <w:cantSplit/>
          <w:trHeight w:val="20"/>
        </w:trPr>
        <w:tc>
          <w:tcPr>
            <w:tcW w:w="15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0A2ED97E"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Fezolinetant 45 mg</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425A6E12"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Week 0 to 24</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223D8454"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2.43%</w:t>
            </w:r>
          </w:p>
        </w:tc>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2D0A518D"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DAYLIGHT</w:t>
            </w:r>
          </w:p>
        </w:tc>
      </w:tr>
      <w:tr w:rsidR="004B5A3E" w:rsidRPr="005A7226" w14:paraId="03E7FEC6" w14:textId="77777777">
        <w:trPr>
          <w:cantSplit/>
          <w:trHeight w:val="20"/>
        </w:trPr>
        <w:tc>
          <w:tcPr>
            <w:tcW w:w="1530" w:type="dxa"/>
            <w:vMerge/>
            <w:tcBorders>
              <w:top w:val="single" w:sz="8" w:space="0" w:color="000000"/>
              <w:left w:val="single" w:sz="8" w:space="0" w:color="000000"/>
              <w:bottom w:val="single" w:sz="8" w:space="0" w:color="000000"/>
              <w:right w:val="single" w:sz="8" w:space="0" w:color="000000"/>
            </w:tcBorders>
            <w:vAlign w:val="center"/>
            <w:hideMark/>
          </w:tcPr>
          <w:p w14:paraId="66EFB4C4" w14:textId="77777777" w:rsidR="004B5A3E" w:rsidRPr="005A7226" w:rsidRDefault="004B5A3E">
            <w:pPr>
              <w:pStyle w:val="TableBodyCentred"/>
              <w:rPr>
                <w:rFonts w:ascii="Arial Narrow" w:hAnsi="Arial Narrow"/>
                <w:sz w:val="20"/>
                <w:szCs w:val="20"/>
                <w:lang w:val="en-AU"/>
              </w:rPr>
            </w:pP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14F6A6A3"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Week 24 onwards</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5563701D"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1.32%</w:t>
            </w:r>
          </w:p>
        </w:tc>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62D0EB83"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Pooled SKYLIGHT 1 and 2</w:t>
            </w:r>
          </w:p>
        </w:tc>
      </w:tr>
      <w:tr w:rsidR="004B5A3E" w:rsidRPr="005A7226" w14:paraId="2A778A66" w14:textId="77777777">
        <w:trPr>
          <w:cantSplit/>
          <w:trHeight w:val="78"/>
        </w:trPr>
        <w:tc>
          <w:tcPr>
            <w:tcW w:w="15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7625A0E8"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No treatment</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1C9AE037"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Week 0 to 24</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7C98623D"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4.17%</w:t>
            </w:r>
          </w:p>
        </w:tc>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7CFDAA34"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DAYLIGHT</w:t>
            </w:r>
          </w:p>
        </w:tc>
      </w:tr>
      <w:tr w:rsidR="004B5A3E" w:rsidRPr="005A7226" w14:paraId="5036A2F6" w14:textId="77777777">
        <w:trPr>
          <w:cantSplit/>
          <w:trHeight w:val="20"/>
        </w:trPr>
        <w:tc>
          <w:tcPr>
            <w:tcW w:w="1530" w:type="dxa"/>
            <w:vMerge/>
            <w:tcBorders>
              <w:top w:val="single" w:sz="8" w:space="0" w:color="000000"/>
              <w:left w:val="single" w:sz="8" w:space="0" w:color="000000"/>
              <w:bottom w:val="single" w:sz="8" w:space="0" w:color="000000"/>
              <w:right w:val="single" w:sz="8" w:space="0" w:color="000000"/>
            </w:tcBorders>
            <w:vAlign w:val="center"/>
            <w:hideMark/>
          </w:tcPr>
          <w:p w14:paraId="4705281F" w14:textId="77777777" w:rsidR="004B5A3E" w:rsidRPr="005A7226" w:rsidRDefault="004B5A3E">
            <w:pPr>
              <w:pStyle w:val="TableBodyCentred"/>
              <w:rPr>
                <w:rFonts w:ascii="Arial Narrow" w:hAnsi="Arial Narrow"/>
                <w:sz w:val="20"/>
                <w:szCs w:val="20"/>
                <w:lang w:val="en-AU"/>
              </w:rPr>
            </w:pP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2BE10887"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Week 24 onwards</w:t>
            </w:r>
          </w:p>
        </w:tc>
        <w:tc>
          <w:tcPr>
            <w:tcW w:w="2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7310DFA8"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4.17%</w:t>
            </w:r>
          </w:p>
        </w:tc>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 w:type="dxa"/>
              <w:bottom w:w="0" w:type="dxa"/>
              <w:right w:w="12" w:type="dxa"/>
            </w:tcMar>
            <w:vAlign w:val="center"/>
            <w:hideMark/>
          </w:tcPr>
          <w:p w14:paraId="69612E35" w14:textId="77777777" w:rsidR="004B5A3E" w:rsidRPr="005A7226" w:rsidRDefault="004B5A3E">
            <w:pPr>
              <w:pStyle w:val="TableBodyCentred"/>
              <w:rPr>
                <w:rFonts w:ascii="Arial Narrow" w:hAnsi="Arial Narrow"/>
                <w:sz w:val="20"/>
                <w:szCs w:val="20"/>
                <w:lang w:val="en-AU"/>
              </w:rPr>
            </w:pPr>
            <w:r w:rsidRPr="005A7226">
              <w:rPr>
                <w:rFonts w:ascii="Arial Narrow" w:hAnsi="Arial Narrow"/>
                <w:sz w:val="20"/>
                <w:szCs w:val="20"/>
                <w:lang w:val="en-AU"/>
              </w:rPr>
              <w:t>DAYLIGHT</w:t>
            </w:r>
            <w:r w:rsidRPr="005A7226" w:rsidDel="004E4A09">
              <w:rPr>
                <w:rFonts w:ascii="Arial Narrow" w:hAnsi="Arial Narrow"/>
                <w:sz w:val="20"/>
                <w:szCs w:val="20"/>
                <w:lang w:val="en-AU"/>
              </w:rPr>
              <w:t xml:space="preserve"> </w:t>
            </w:r>
          </w:p>
        </w:tc>
      </w:tr>
    </w:tbl>
    <w:p w14:paraId="5B168CEF" w14:textId="77777777" w:rsidR="004B5A3E" w:rsidRPr="005A7226" w:rsidRDefault="004B5A3E" w:rsidP="004B5A3E">
      <w:pPr>
        <w:pStyle w:val="FooterTableFigure"/>
      </w:pPr>
      <w:r w:rsidRPr="005A7226">
        <w:t>Source: Tables 3.4-3, p162 of the submission.</w:t>
      </w:r>
    </w:p>
    <w:p w14:paraId="0B29974D" w14:textId="77777777" w:rsidR="004B5A3E" w:rsidRPr="005A7226" w:rsidRDefault="004B5A3E" w:rsidP="004B5A3E">
      <w:pPr>
        <w:pStyle w:val="3-BodyText"/>
        <w:numPr>
          <w:ilvl w:val="0"/>
          <w:numId w:val="0"/>
        </w:numPr>
        <w:rPr>
          <w:color w:val="0066FF"/>
        </w:rPr>
      </w:pPr>
    </w:p>
    <w:p w14:paraId="559E1CB8" w14:textId="71CA6AEB" w:rsidR="004B5A3E" w:rsidRPr="005A7226" w:rsidRDefault="004B5A3E" w:rsidP="004B5A3E">
      <w:pPr>
        <w:pStyle w:val="Caption"/>
      </w:pPr>
      <w:bookmarkStart w:id="61" w:name="_Ref195781875"/>
      <w:r w:rsidRPr="005A7226">
        <w:t xml:space="preserve">Figure </w:t>
      </w:r>
      <w:r w:rsidR="004A6B36">
        <w:fldChar w:fldCharType="begin"/>
      </w:r>
      <w:r w:rsidR="004A6B36">
        <w:instrText xml:space="preserve"> SEQ Figure \* ARABIC </w:instrText>
      </w:r>
      <w:r w:rsidR="004A6B36">
        <w:fldChar w:fldCharType="separate"/>
      </w:r>
      <w:r w:rsidR="00B11DA2">
        <w:rPr>
          <w:noProof/>
        </w:rPr>
        <w:t>5</w:t>
      </w:r>
      <w:r w:rsidR="004A6B36">
        <w:rPr>
          <w:noProof/>
        </w:rPr>
        <w:fldChar w:fldCharType="end"/>
      </w:r>
      <w:bookmarkEnd w:id="61"/>
      <w:r w:rsidRPr="005A7226">
        <w:t>. Health state occupancy at baseline, week 12, week 24 and year 10, comparing daily VMS frequency in the economic model and in DAYLIGHT</w:t>
      </w:r>
    </w:p>
    <w:tbl>
      <w:tblPr>
        <w:tblStyle w:val="TableGrid"/>
        <w:tblW w:w="90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
        <w:gridCol w:w="4260"/>
        <w:gridCol w:w="4491"/>
      </w:tblGrid>
      <w:tr w:rsidR="004B5A3E" w:rsidRPr="005A7226" w14:paraId="2BEC7D9E" w14:textId="77777777">
        <w:trPr>
          <w:cantSplit/>
          <w:trHeight w:val="66"/>
          <w:jc w:val="center"/>
        </w:trPr>
        <w:tc>
          <w:tcPr>
            <w:tcW w:w="276" w:type="dxa"/>
            <w:textDirection w:val="btLr"/>
            <w:vAlign w:val="center"/>
          </w:tcPr>
          <w:p w14:paraId="2DC09E14" w14:textId="77777777" w:rsidR="004B5A3E" w:rsidRPr="005A7226" w:rsidRDefault="004B5A3E">
            <w:pPr>
              <w:keepNext/>
              <w:keepLines/>
              <w:ind w:left="113" w:right="113"/>
              <w:jc w:val="center"/>
              <w:rPr>
                <w:rFonts w:ascii="Arial Narrow" w:hAnsi="Arial Narrow"/>
                <w:b/>
                <w:bCs/>
                <w:sz w:val="18"/>
                <w:szCs w:val="18"/>
              </w:rPr>
            </w:pPr>
          </w:p>
        </w:tc>
        <w:tc>
          <w:tcPr>
            <w:tcW w:w="4260" w:type="dxa"/>
            <w:vAlign w:val="center"/>
          </w:tcPr>
          <w:p w14:paraId="517D39EF" w14:textId="77777777" w:rsidR="004B5A3E" w:rsidRPr="005A7226" w:rsidRDefault="004B5A3E">
            <w:pPr>
              <w:keepNext/>
              <w:keepLines/>
              <w:jc w:val="center"/>
              <w:rPr>
                <w:rFonts w:ascii="Arial Narrow" w:hAnsi="Arial Narrow"/>
                <w:b/>
                <w:bCs/>
                <w:sz w:val="18"/>
                <w:szCs w:val="18"/>
              </w:rPr>
            </w:pPr>
            <w:r w:rsidRPr="005A7226">
              <w:rPr>
                <w:rFonts w:ascii="Arial Narrow" w:hAnsi="Arial Narrow"/>
                <w:b/>
                <w:bCs/>
                <w:sz w:val="18"/>
                <w:szCs w:val="18"/>
              </w:rPr>
              <w:t>Economic model</w:t>
            </w:r>
          </w:p>
        </w:tc>
        <w:tc>
          <w:tcPr>
            <w:tcW w:w="4491" w:type="dxa"/>
            <w:vAlign w:val="center"/>
          </w:tcPr>
          <w:p w14:paraId="4C246967" w14:textId="77777777" w:rsidR="004B5A3E" w:rsidRPr="005A7226" w:rsidRDefault="004B5A3E">
            <w:pPr>
              <w:keepNext/>
              <w:keepLines/>
              <w:jc w:val="center"/>
              <w:rPr>
                <w:rFonts w:ascii="Arial Narrow" w:hAnsi="Arial Narrow"/>
                <w:b/>
                <w:bCs/>
                <w:sz w:val="18"/>
                <w:szCs w:val="18"/>
              </w:rPr>
            </w:pPr>
            <w:r w:rsidRPr="005A7226">
              <w:rPr>
                <w:rFonts w:ascii="Arial Narrow" w:hAnsi="Arial Narrow"/>
                <w:b/>
                <w:bCs/>
                <w:sz w:val="18"/>
                <w:szCs w:val="18"/>
              </w:rPr>
              <w:t>DAYLIGHT</w:t>
            </w:r>
          </w:p>
        </w:tc>
      </w:tr>
      <w:tr w:rsidR="004B5A3E" w:rsidRPr="005A7226" w14:paraId="04C3573B" w14:textId="77777777">
        <w:trPr>
          <w:cantSplit/>
          <w:trHeight w:val="1194"/>
          <w:jc w:val="center"/>
        </w:trPr>
        <w:tc>
          <w:tcPr>
            <w:tcW w:w="276" w:type="dxa"/>
            <w:textDirection w:val="btLr"/>
            <w:vAlign w:val="center"/>
          </w:tcPr>
          <w:p w14:paraId="2A9BF123" w14:textId="77777777" w:rsidR="004B5A3E" w:rsidRPr="005A7226" w:rsidRDefault="004B5A3E">
            <w:pPr>
              <w:keepNext/>
              <w:keepLines/>
              <w:ind w:left="113" w:right="113"/>
              <w:jc w:val="center"/>
              <w:rPr>
                <w:rFonts w:ascii="Arial Narrow" w:hAnsi="Arial Narrow"/>
                <w:b/>
                <w:bCs/>
                <w:sz w:val="18"/>
                <w:szCs w:val="18"/>
              </w:rPr>
            </w:pPr>
            <w:r w:rsidRPr="005A7226">
              <w:rPr>
                <w:rFonts w:ascii="Arial Narrow" w:hAnsi="Arial Narrow"/>
                <w:b/>
                <w:bCs/>
                <w:sz w:val="18"/>
                <w:szCs w:val="18"/>
              </w:rPr>
              <w:t>Baseline</w:t>
            </w:r>
          </w:p>
        </w:tc>
        <w:tc>
          <w:tcPr>
            <w:tcW w:w="4260" w:type="dxa"/>
            <w:vAlign w:val="center"/>
          </w:tcPr>
          <w:p w14:paraId="3B7EA448" w14:textId="77777777" w:rsidR="004B5A3E" w:rsidRPr="005A7226" w:rsidRDefault="004B5A3E">
            <w:pPr>
              <w:keepNext/>
              <w:keepLines/>
              <w:jc w:val="center"/>
              <w:rPr>
                <w:rFonts w:ascii="Arial Narrow" w:hAnsi="Arial Narrow"/>
                <w:b/>
                <w:bCs/>
                <w:sz w:val="18"/>
                <w:szCs w:val="18"/>
              </w:rPr>
            </w:pPr>
            <w:r w:rsidRPr="005A7226">
              <w:rPr>
                <w:noProof/>
              </w:rPr>
              <w:drawing>
                <wp:inline distT="0" distB="0" distL="0" distR="0" wp14:anchorId="5A828AE5" wp14:editId="7A639AE1">
                  <wp:extent cx="2519680" cy="738836"/>
                  <wp:effectExtent l="0" t="0" r="0" b="4445"/>
                  <wp:docPr id="681138289" name="Picture 681138289" descr="Figure 5. Health state occupancy at baseline, week 12, week 24 and year 10, comparing daily VMS frequency in the economic model and in DAYLIGHT - Economic model Basel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38289" name="Picture 681138289" descr="Figure 5. Health state occupancy at baseline, week 12, week 24 and year 10, comparing daily VMS frequency in the economic model and in DAYLIGHT - Economic model Baseline&#10;"/>
                          <pic:cNvPicPr/>
                        </pic:nvPicPr>
                        <pic:blipFill>
                          <a:blip r:embed="rId23">
                            <a:extLst>
                              <a:ext uri="{28A0092B-C50C-407E-A947-70E740481C1C}">
                                <a14:useLocalDpi xmlns:a14="http://schemas.microsoft.com/office/drawing/2010/main" val="0"/>
                              </a:ext>
                            </a:extLst>
                          </a:blip>
                          <a:stretch>
                            <a:fillRect/>
                          </a:stretch>
                        </pic:blipFill>
                        <pic:spPr>
                          <a:xfrm>
                            <a:off x="0" y="0"/>
                            <a:ext cx="2519680" cy="738836"/>
                          </a:xfrm>
                          <a:prstGeom prst="rect">
                            <a:avLst/>
                          </a:prstGeom>
                        </pic:spPr>
                      </pic:pic>
                    </a:graphicData>
                  </a:graphic>
                </wp:inline>
              </w:drawing>
            </w:r>
          </w:p>
        </w:tc>
        <w:tc>
          <w:tcPr>
            <w:tcW w:w="4491" w:type="dxa"/>
            <w:vMerge w:val="restart"/>
            <w:vAlign w:val="center"/>
          </w:tcPr>
          <w:p w14:paraId="04712C76" w14:textId="77777777" w:rsidR="004B5A3E" w:rsidRPr="005A7226" w:rsidRDefault="004B5A3E">
            <w:pPr>
              <w:keepNext/>
              <w:keepLines/>
              <w:jc w:val="left"/>
              <w:rPr>
                <w:rFonts w:ascii="Arial Narrow" w:hAnsi="Arial Narrow"/>
                <w:b/>
                <w:bCs/>
                <w:sz w:val="18"/>
                <w:szCs w:val="18"/>
              </w:rPr>
            </w:pPr>
            <w:r w:rsidRPr="005A7226">
              <w:rPr>
                <w:rFonts w:ascii="Arial Narrow" w:hAnsi="Arial Narrow"/>
                <w:b/>
                <w:bCs/>
                <w:noProof/>
                <w:sz w:val="18"/>
                <w:szCs w:val="18"/>
              </w:rPr>
              <w:drawing>
                <wp:inline distT="0" distB="0" distL="0" distR="0" wp14:anchorId="64F83ACA" wp14:editId="0623FF3F">
                  <wp:extent cx="2738747" cy="2493645"/>
                  <wp:effectExtent l="19050" t="19050" r="24130" b="20955"/>
                  <wp:docPr id="455807652" name="Picture 1" descr="Figure 5. Health state occupancy at baseline, week 12, week 24 and year 10, comparing daily VMS frequency in the economic model and in DAYLIGHT - DAYLIGHT">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picture">
                      <pic:pic xmlns:pic="http://schemas.openxmlformats.org/drawingml/2006/picture">
                        <pic:nvPicPr>
                          <pic:cNvPr id="455807652" name="Picture 1" descr="Figure 5. Health state occupancy at baseline, week 12, week 24 and year 10, comparing daily VMS frequency in the economic model and in DAYLIGHT - DAYLIGHT">
                            <a:extLst>
                              <a:ext uri="{FF2B5EF4-FFF2-40B4-BE49-F238E27FC236}">
                                <a16:creationId xmlns:a16="http://schemas.microsoft.com/office/drawing/2014/main" id="{00000000-0008-0000-0400-000002000000}"/>
                              </a:ext>
                            </a:extLst>
                          </pic:cNvPr>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914798" cy="265394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4B5A3E" w:rsidRPr="005A7226" w14:paraId="6019D08F" w14:textId="77777777">
        <w:trPr>
          <w:cantSplit/>
          <w:trHeight w:val="1134"/>
          <w:jc w:val="center"/>
        </w:trPr>
        <w:tc>
          <w:tcPr>
            <w:tcW w:w="276" w:type="dxa"/>
            <w:textDirection w:val="btLr"/>
            <w:vAlign w:val="center"/>
          </w:tcPr>
          <w:p w14:paraId="54F613ED" w14:textId="77777777" w:rsidR="004B5A3E" w:rsidRPr="005A7226" w:rsidRDefault="004B5A3E">
            <w:pPr>
              <w:keepNext/>
              <w:keepLines/>
              <w:ind w:left="113" w:right="113"/>
              <w:jc w:val="center"/>
              <w:rPr>
                <w:rFonts w:ascii="Arial Narrow" w:hAnsi="Arial Narrow"/>
                <w:b/>
                <w:bCs/>
                <w:sz w:val="18"/>
                <w:szCs w:val="18"/>
              </w:rPr>
            </w:pPr>
            <w:r w:rsidRPr="005A7226">
              <w:rPr>
                <w:rFonts w:ascii="Arial Narrow" w:hAnsi="Arial Narrow"/>
                <w:b/>
                <w:bCs/>
                <w:sz w:val="18"/>
                <w:szCs w:val="18"/>
              </w:rPr>
              <w:t>Week 12</w:t>
            </w:r>
          </w:p>
        </w:tc>
        <w:tc>
          <w:tcPr>
            <w:tcW w:w="4260" w:type="dxa"/>
            <w:vAlign w:val="center"/>
          </w:tcPr>
          <w:p w14:paraId="7F674C5A" w14:textId="77777777" w:rsidR="004B5A3E" w:rsidRPr="005A7226" w:rsidRDefault="004B5A3E">
            <w:pPr>
              <w:keepNext/>
              <w:keepLines/>
              <w:jc w:val="center"/>
              <w:rPr>
                <w:rFonts w:ascii="Arial Narrow" w:hAnsi="Arial Narrow"/>
                <w:b/>
                <w:bCs/>
                <w:sz w:val="18"/>
                <w:szCs w:val="18"/>
              </w:rPr>
            </w:pPr>
            <w:r w:rsidRPr="005A7226">
              <w:rPr>
                <w:noProof/>
              </w:rPr>
              <w:drawing>
                <wp:inline distT="0" distB="0" distL="0" distR="0" wp14:anchorId="3098434D" wp14:editId="1D1D2CD8">
                  <wp:extent cx="2526665" cy="804672"/>
                  <wp:effectExtent l="0" t="0" r="6985" b="0"/>
                  <wp:docPr id="1891379812" name="Picture 1891379812" descr="Figure 5. Health state occupancy at baseline, week 12, week 24 and year 10, comparing daily VMS frequency in the economic model and in DAYLIGHT - Economic model We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79812" name="Picture 1891379812" descr="Figure 5. Health state occupancy at baseline, week 12, week 24 and year 10, comparing daily VMS frequency in the economic model and in DAYLIGHT - Economic model Week 12"/>
                          <pic:cNvPicPr/>
                        </pic:nvPicPr>
                        <pic:blipFill>
                          <a:blip r:embed="rId25">
                            <a:extLst>
                              <a:ext uri="{28A0092B-C50C-407E-A947-70E740481C1C}">
                                <a14:useLocalDpi xmlns:a14="http://schemas.microsoft.com/office/drawing/2010/main" val="0"/>
                              </a:ext>
                            </a:extLst>
                          </a:blip>
                          <a:stretch>
                            <a:fillRect/>
                          </a:stretch>
                        </pic:blipFill>
                        <pic:spPr>
                          <a:xfrm>
                            <a:off x="0" y="0"/>
                            <a:ext cx="2526665" cy="804672"/>
                          </a:xfrm>
                          <a:prstGeom prst="rect">
                            <a:avLst/>
                          </a:prstGeom>
                        </pic:spPr>
                      </pic:pic>
                    </a:graphicData>
                  </a:graphic>
                </wp:inline>
              </w:drawing>
            </w:r>
          </w:p>
        </w:tc>
        <w:tc>
          <w:tcPr>
            <w:tcW w:w="4491" w:type="dxa"/>
            <w:vMerge/>
            <w:textDirection w:val="tbRl"/>
            <w:vAlign w:val="center"/>
          </w:tcPr>
          <w:p w14:paraId="38E9100F" w14:textId="77777777" w:rsidR="004B5A3E" w:rsidRPr="005A7226" w:rsidRDefault="004B5A3E">
            <w:pPr>
              <w:keepNext/>
              <w:keepLines/>
              <w:ind w:left="113" w:right="113"/>
              <w:jc w:val="center"/>
              <w:rPr>
                <w:rFonts w:ascii="Arial Narrow" w:hAnsi="Arial Narrow"/>
                <w:b/>
                <w:bCs/>
                <w:sz w:val="18"/>
                <w:szCs w:val="18"/>
              </w:rPr>
            </w:pPr>
          </w:p>
        </w:tc>
      </w:tr>
      <w:tr w:rsidR="004B5A3E" w:rsidRPr="005A7226" w14:paraId="3542EA58" w14:textId="77777777">
        <w:trPr>
          <w:cantSplit/>
          <w:trHeight w:val="1629"/>
          <w:jc w:val="center"/>
        </w:trPr>
        <w:tc>
          <w:tcPr>
            <w:tcW w:w="276" w:type="dxa"/>
            <w:textDirection w:val="btLr"/>
            <w:vAlign w:val="center"/>
          </w:tcPr>
          <w:p w14:paraId="5962F83B" w14:textId="77777777" w:rsidR="004B5A3E" w:rsidRPr="005A7226" w:rsidRDefault="004B5A3E">
            <w:pPr>
              <w:keepNext/>
              <w:keepLines/>
              <w:ind w:left="113" w:right="113"/>
              <w:jc w:val="center"/>
              <w:rPr>
                <w:rFonts w:ascii="Arial Narrow" w:hAnsi="Arial Narrow"/>
                <w:b/>
                <w:bCs/>
                <w:sz w:val="18"/>
                <w:szCs w:val="18"/>
              </w:rPr>
            </w:pPr>
            <w:r w:rsidRPr="005A7226">
              <w:rPr>
                <w:rFonts w:ascii="Arial Narrow" w:hAnsi="Arial Narrow"/>
                <w:b/>
                <w:bCs/>
                <w:sz w:val="18"/>
                <w:szCs w:val="18"/>
              </w:rPr>
              <w:t>Week 24</w:t>
            </w:r>
          </w:p>
        </w:tc>
        <w:tc>
          <w:tcPr>
            <w:tcW w:w="4260" w:type="dxa"/>
          </w:tcPr>
          <w:p w14:paraId="44D9DA0E" w14:textId="77777777" w:rsidR="004B5A3E" w:rsidRPr="005A7226" w:rsidRDefault="004B5A3E">
            <w:pPr>
              <w:keepNext/>
              <w:keepLines/>
              <w:jc w:val="center"/>
              <w:rPr>
                <w:rFonts w:ascii="Arial Narrow" w:hAnsi="Arial Narrow"/>
                <w:b/>
                <w:bCs/>
                <w:sz w:val="18"/>
                <w:szCs w:val="18"/>
              </w:rPr>
            </w:pPr>
            <w:r w:rsidRPr="005A7226">
              <w:rPr>
                <w:noProof/>
              </w:rPr>
              <w:drawing>
                <wp:inline distT="0" distB="0" distL="0" distR="0" wp14:anchorId="1F64733F" wp14:editId="0877FB54">
                  <wp:extent cx="2570556" cy="810768"/>
                  <wp:effectExtent l="0" t="0" r="1270" b="8890"/>
                  <wp:docPr id="2015581036" name="Picture 2015581036" descr="Figure 5. Health state occupancy at baseline, week 12, week 24 and year 10, comparing daily VMS frequency in the economic model and in DAYLIGHT - Economic model We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81036" name="Picture 2015581036" descr="Figure 5. Health state occupancy at baseline, week 12, week 24 and year 10, comparing daily VMS frequency in the economic model and in DAYLIGHT - Economic model Week 24"/>
                          <pic:cNvPicPr/>
                        </pic:nvPicPr>
                        <pic:blipFill>
                          <a:blip r:embed="rId26">
                            <a:extLst>
                              <a:ext uri="{28A0092B-C50C-407E-A947-70E740481C1C}">
                                <a14:useLocalDpi xmlns:a14="http://schemas.microsoft.com/office/drawing/2010/main" val="0"/>
                              </a:ext>
                            </a:extLst>
                          </a:blip>
                          <a:stretch>
                            <a:fillRect/>
                          </a:stretch>
                        </pic:blipFill>
                        <pic:spPr>
                          <a:xfrm>
                            <a:off x="0" y="0"/>
                            <a:ext cx="2570556" cy="810768"/>
                          </a:xfrm>
                          <a:prstGeom prst="rect">
                            <a:avLst/>
                          </a:prstGeom>
                        </pic:spPr>
                      </pic:pic>
                    </a:graphicData>
                  </a:graphic>
                </wp:inline>
              </w:drawing>
            </w:r>
          </w:p>
        </w:tc>
        <w:tc>
          <w:tcPr>
            <w:tcW w:w="4491" w:type="dxa"/>
            <w:vMerge/>
            <w:textDirection w:val="tbRl"/>
            <w:vAlign w:val="center"/>
          </w:tcPr>
          <w:p w14:paraId="748F3721" w14:textId="77777777" w:rsidR="004B5A3E" w:rsidRPr="005A7226" w:rsidRDefault="004B5A3E">
            <w:pPr>
              <w:keepNext/>
              <w:keepLines/>
              <w:ind w:left="113" w:right="113"/>
              <w:jc w:val="center"/>
              <w:rPr>
                <w:rFonts w:ascii="Arial Narrow" w:hAnsi="Arial Narrow"/>
                <w:b/>
                <w:bCs/>
                <w:sz w:val="18"/>
                <w:szCs w:val="18"/>
              </w:rPr>
            </w:pPr>
          </w:p>
        </w:tc>
      </w:tr>
      <w:tr w:rsidR="004B5A3E" w:rsidRPr="005A7226" w14:paraId="677302E1" w14:textId="77777777">
        <w:trPr>
          <w:cantSplit/>
          <w:trHeight w:val="1134"/>
          <w:jc w:val="center"/>
        </w:trPr>
        <w:tc>
          <w:tcPr>
            <w:tcW w:w="276" w:type="dxa"/>
            <w:textDirection w:val="btLr"/>
            <w:vAlign w:val="center"/>
          </w:tcPr>
          <w:p w14:paraId="63250776" w14:textId="77777777" w:rsidR="004B5A3E" w:rsidRPr="005A7226" w:rsidRDefault="004B5A3E">
            <w:pPr>
              <w:keepNext/>
              <w:keepLines/>
              <w:ind w:left="113" w:right="113"/>
              <w:jc w:val="center"/>
              <w:rPr>
                <w:rFonts w:ascii="Arial Narrow" w:hAnsi="Arial Narrow"/>
                <w:b/>
                <w:bCs/>
                <w:sz w:val="18"/>
                <w:szCs w:val="18"/>
              </w:rPr>
            </w:pPr>
            <w:r w:rsidRPr="005A7226">
              <w:rPr>
                <w:rFonts w:ascii="Arial Narrow" w:hAnsi="Arial Narrow"/>
                <w:b/>
                <w:bCs/>
                <w:sz w:val="18"/>
                <w:szCs w:val="18"/>
              </w:rPr>
              <w:t>Year 10</w:t>
            </w:r>
          </w:p>
        </w:tc>
        <w:tc>
          <w:tcPr>
            <w:tcW w:w="4260" w:type="dxa"/>
            <w:vAlign w:val="center"/>
          </w:tcPr>
          <w:p w14:paraId="1E9C1D60" w14:textId="77777777" w:rsidR="004B5A3E" w:rsidRPr="005A7226" w:rsidRDefault="004B5A3E">
            <w:pPr>
              <w:keepNext/>
              <w:keepLines/>
              <w:jc w:val="center"/>
              <w:rPr>
                <w:rFonts w:ascii="Arial Narrow" w:hAnsi="Arial Narrow"/>
                <w:b/>
                <w:bCs/>
                <w:sz w:val="18"/>
                <w:szCs w:val="18"/>
              </w:rPr>
            </w:pPr>
            <w:r w:rsidRPr="005A7226">
              <w:rPr>
                <w:noProof/>
              </w:rPr>
              <w:drawing>
                <wp:inline distT="0" distB="0" distL="0" distR="0" wp14:anchorId="5917AB60" wp14:editId="61C14103">
                  <wp:extent cx="2519680" cy="903181"/>
                  <wp:effectExtent l="0" t="0" r="0" b="0"/>
                  <wp:docPr id="751018845" name="Picture 751018845" descr="Figure 5. Health state occupancy at baseline, week 12, week 24 and year 10, comparing daily VMS frequency in the economic model and in DAYLIGHT - Economic model Ye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18845" name="Picture 751018845" descr="Figure 5. Health state occupancy at baseline, week 12, week 24 and year 10, comparing daily VMS frequency in the economic model and in DAYLIGHT - Economic model Year 10"/>
                          <pic:cNvPicPr/>
                        </pic:nvPicPr>
                        <pic:blipFill>
                          <a:blip r:embed="rId27">
                            <a:extLst>
                              <a:ext uri="{28A0092B-C50C-407E-A947-70E740481C1C}">
                                <a14:useLocalDpi xmlns:a14="http://schemas.microsoft.com/office/drawing/2010/main" val="0"/>
                              </a:ext>
                            </a:extLst>
                          </a:blip>
                          <a:stretch>
                            <a:fillRect/>
                          </a:stretch>
                        </pic:blipFill>
                        <pic:spPr>
                          <a:xfrm>
                            <a:off x="0" y="0"/>
                            <a:ext cx="2519680" cy="903181"/>
                          </a:xfrm>
                          <a:prstGeom prst="rect">
                            <a:avLst/>
                          </a:prstGeom>
                        </pic:spPr>
                      </pic:pic>
                    </a:graphicData>
                  </a:graphic>
                </wp:inline>
              </w:drawing>
            </w:r>
          </w:p>
        </w:tc>
        <w:tc>
          <w:tcPr>
            <w:tcW w:w="4491" w:type="dxa"/>
            <w:vAlign w:val="center"/>
          </w:tcPr>
          <w:p w14:paraId="661FA7BE" w14:textId="77777777" w:rsidR="004B5A3E" w:rsidRPr="005A7226" w:rsidRDefault="004B5A3E">
            <w:pPr>
              <w:keepNext/>
              <w:keepLines/>
              <w:jc w:val="center"/>
              <w:rPr>
                <w:rFonts w:ascii="Arial Narrow" w:hAnsi="Arial Narrow"/>
                <w:i/>
                <w:iCs/>
                <w:sz w:val="18"/>
                <w:szCs w:val="18"/>
              </w:rPr>
            </w:pPr>
            <w:r w:rsidRPr="005A7226">
              <w:rPr>
                <w:rFonts w:ascii="Arial Narrow" w:hAnsi="Arial Narrow"/>
                <w:i/>
                <w:iCs/>
                <w:sz w:val="18"/>
                <w:szCs w:val="18"/>
              </w:rPr>
              <w:t>Nil</w:t>
            </w:r>
          </w:p>
        </w:tc>
      </w:tr>
    </w:tbl>
    <w:p w14:paraId="4242704B" w14:textId="77777777" w:rsidR="004B5A3E" w:rsidRPr="005A7226" w:rsidRDefault="004B5A3E" w:rsidP="004B5A3E">
      <w:pPr>
        <w:pStyle w:val="TableFigureFooter"/>
        <w:keepNext/>
        <w:keepLines/>
        <w:spacing w:after="0"/>
      </w:pPr>
      <w:r w:rsidRPr="005A7226">
        <w:t>Source: Compiled during the evaluation, using Attachment 11 (CEA model) and Figure 3.2-2, p152 of the submission.</w:t>
      </w:r>
    </w:p>
    <w:p w14:paraId="09DABF12" w14:textId="77777777" w:rsidR="004B5A3E" w:rsidRPr="005A7226" w:rsidRDefault="004B5A3E" w:rsidP="004B5A3E">
      <w:pPr>
        <w:pStyle w:val="FooterTableFigure"/>
        <w:keepNext/>
        <w:keepLines/>
      </w:pPr>
      <w:r w:rsidRPr="005A7226">
        <w:t>VMS=vasomotor symptoms (daily).</w:t>
      </w:r>
    </w:p>
    <w:p w14:paraId="27E0D681" w14:textId="77777777" w:rsidR="004B5A3E" w:rsidRPr="005A7226" w:rsidRDefault="004B5A3E" w:rsidP="004B5A3E">
      <w:pPr>
        <w:pStyle w:val="FooterTableFigure"/>
        <w:keepNext/>
        <w:keepLines/>
      </w:pPr>
      <w:r w:rsidRPr="005A7226">
        <w:t>Note: The total proportion across all health states in each treatment arm sums to 100%.</w:t>
      </w:r>
    </w:p>
    <w:p w14:paraId="7791D8D8" w14:textId="3ED372FC" w:rsidR="004B5A3E" w:rsidRPr="005A7226" w:rsidRDefault="004B5A3E" w:rsidP="004B5A3E">
      <w:pPr>
        <w:widowControl w:val="0"/>
        <w:numPr>
          <w:ilvl w:val="1"/>
          <w:numId w:val="1"/>
        </w:numPr>
        <w:spacing w:after="120"/>
        <w:ind w:left="720"/>
      </w:pPr>
      <w:r w:rsidRPr="005A7226">
        <w:t xml:space="preserve">Key drivers of the model are described in </w:t>
      </w:r>
      <w:r w:rsidR="00DF42A9">
        <w:fldChar w:fldCharType="begin"/>
      </w:r>
      <w:r w:rsidR="00DF42A9">
        <w:instrText xml:space="preserve"> REF _Ref195109530 \h </w:instrText>
      </w:r>
      <w:r w:rsidR="00DF42A9">
        <w:fldChar w:fldCharType="separate"/>
      </w:r>
      <w:r w:rsidR="00B11DA2" w:rsidRPr="005A7226">
        <w:t xml:space="preserve">Table </w:t>
      </w:r>
      <w:r w:rsidR="00B11DA2">
        <w:rPr>
          <w:noProof/>
        </w:rPr>
        <w:t>12</w:t>
      </w:r>
      <w:r w:rsidR="00DF42A9">
        <w:fldChar w:fldCharType="end"/>
      </w:r>
      <w:r w:rsidRPr="005A7226">
        <w:t>.</w:t>
      </w:r>
    </w:p>
    <w:p w14:paraId="3138C956" w14:textId="5B7E03C7" w:rsidR="004B5A3E" w:rsidRPr="005A7226" w:rsidRDefault="004B5A3E" w:rsidP="007F3475">
      <w:pPr>
        <w:pStyle w:val="Caption"/>
        <w:jc w:val="left"/>
        <w:rPr>
          <w:rStyle w:val="CommentReference"/>
          <w:b/>
          <w:szCs w:val="24"/>
        </w:rPr>
      </w:pPr>
      <w:bookmarkStart w:id="62" w:name="_Ref195109530"/>
      <w:r w:rsidRPr="005A7226">
        <w:t xml:space="preserve">Table </w:t>
      </w:r>
      <w:r w:rsidRPr="005A7226">
        <w:fldChar w:fldCharType="begin"/>
      </w:r>
      <w:r w:rsidRPr="005A7226">
        <w:instrText>SEQ Table \* ARABIC</w:instrText>
      </w:r>
      <w:r w:rsidRPr="005A7226">
        <w:fldChar w:fldCharType="separate"/>
      </w:r>
      <w:r w:rsidR="00B11DA2">
        <w:rPr>
          <w:noProof/>
        </w:rPr>
        <w:t>12</w:t>
      </w:r>
      <w:r w:rsidRPr="005A7226">
        <w:fldChar w:fldCharType="end"/>
      </w:r>
      <w:bookmarkEnd w:id="62"/>
      <w:r w:rsidRPr="005A7226">
        <w:t>:</w:t>
      </w:r>
      <w:r w:rsidRPr="005A7226">
        <w:rPr>
          <w:rStyle w:val="CommentReference"/>
          <w:b/>
          <w:szCs w:val="24"/>
        </w:rPr>
        <w:t xml:space="preserve"> Key drivers of the model</w:t>
      </w:r>
    </w:p>
    <w:tbl>
      <w:tblPr>
        <w:tblStyle w:val="PBAClayout"/>
        <w:tblW w:w="5000" w:type="pct"/>
        <w:tblLayout w:type="fixed"/>
        <w:tblLook w:val="04A0" w:firstRow="1" w:lastRow="0" w:firstColumn="1" w:lastColumn="0" w:noHBand="0" w:noVBand="1"/>
        <w:tblCaption w:val="Table 12: Key drivers of the model"/>
      </w:tblPr>
      <w:tblGrid>
        <w:gridCol w:w="1129"/>
        <w:gridCol w:w="4963"/>
        <w:gridCol w:w="2925"/>
      </w:tblGrid>
      <w:tr w:rsidR="004B5A3E" w:rsidRPr="005A7226" w14:paraId="710F5442" w14:textId="77777777" w:rsidTr="004B6735">
        <w:tc>
          <w:tcPr>
            <w:tcW w:w="626" w:type="pct"/>
          </w:tcPr>
          <w:p w14:paraId="6A90AD40" w14:textId="77777777" w:rsidR="004B5A3E" w:rsidRPr="005A7226" w:rsidRDefault="004B5A3E" w:rsidP="007F3475">
            <w:pPr>
              <w:pStyle w:val="In-tableHeading"/>
              <w:keepLines/>
              <w:rPr>
                <w:lang w:val="en-AU"/>
              </w:rPr>
            </w:pPr>
            <w:r w:rsidRPr="005A7226">
              <w:rPr>
                <w:lang w:val="en-AU"/>
              </w:rPr>
              <w:t>Description</w:t>
            </w:r>
          </w:p>
        </w:tc>
        <w:tc>
          <w:tcPr>
            <w:tcW w:w="2751" w:type="pct"/>
          </w:tcPr>
          <w:p w14:paraId="4B535541" w14:textId="77777777" w:rsidR="004B5A3E" w:rsidRPr="005A7226" w:rsidRDefault="004B5A3E" w:rsidP="007F3475">
            <w:pPr>
              <w:pStyle w:val="In-tableHeading"/>
              <w:keepLines/>
              <w:jc w:val="center"/>
              <w:rPr>
                <w:lang w:val="en-AU"/>
              </w:rPr>
            </w:pPr>
            <w:r w:rsidRPr="005A7226">
              <w:rPr>
                <w:lang w:val="en-AU"/>
              </w:rPr>
              <w:t>Method/Value</w:t>
            </w:r>
          </w:p>
        </w:tc>
        <w:tc>
          <w:tcPr>
            <w:tcW w:w="1622" w:type="pct"/>
          </w:tcPr>
          <w:p w14:paraId="56FA72C2" w14:textId="77777777" w:rsidR="004B5A3E" w:rsidRPr="005A7226" w:rsidRDefault="004B5A3E" w:rsidP="007F3475">
            <w:pPr>
              <w:pStyle w:val="In-tableHeading"/>
              <w:keepLines/>
              <w:jc w:val="center"/>
              <w:rPr>
                <w:lang w:val="en-AU"/>
              </w:rPr>
            </w:pPr>
            <w:r w:rsidRPr="005A7226">
              <w:rPr>
                <w:lang w:val="en-AU"/>
              </w:rPr>
              <w:t>Impact</w:t>
            </w:r>
          </w:p>
          <w:p w14:paraId="611155A4" w14:textId="7FBA5E21" w:rsidR="004B5A3E" w:rsidRPr="005A7226" w:rsidRDefault="004B5A3E" w:rsidP="007F3475">
            <w:pPr>
              <w:pStyle w:val="In-tableHeading"/>
              <w:keepLines/>
              <w:jc w:val="center"/>
              <w:rPr>
                <w:lang w:val="en-AU"/>
              </w:rPr>
            </w:pPr>
            <w:r w:rsidRPr="005A7226">
              <w:rPr>
                <w:rFonts w:cs="Arial"/>
                <w:szCs w:val="20"/>
                <w:lang w:val="en-AU"/>
              </w:rPr>
              <w:t>Base case: $</w:t>
            </w:r>
            <w:r w:rsidR="00CF6E6B" w:rsidRPr="00CF6E6B">
              <w:rPr>
                <w:rFonts w:cs="Arial"/>
                <w:color w:val="000000"/>
                <w:spacing w:val="41"/>
                <w:szCs w:val="20"/>
                <w:shd w:val="solid" w:color="000000" w:fill="000000"/>
                <w:fitText w:val="220" w:id="-694454779"/>
                <w:lang w:val="en-AU"/>
                <w14:textFill>
                  <w14:solidFill>
                    <w14:srgbClr w14:val="000000">
                      <w14:alpha w14:val="100000"/>
                    </w14:srgbClr>
                  </w14:solidFill>
                </w14:textFill>
              </w:rPr>
              <w:t>||</w:t>
            </w:r>
            <w:r w:rsidR="00CF6E6B" w:rsidRPr="00CF6E6B">
              <w:rPr>
                <w:rFonts w:cs="Arial"/>
                <w:color w:val="000000"/>
                <w:spacing w:val="1"/>
                <w:szCs w:val="20"/>
                <w:shd w:val="solid" w:color="000000" w:fill="000000"/>
                <w:fitText w:val="220" w:id="-694454779"/>
                <w:lang w:val="en-AU"/>
                <w14:textFill>
                  <w14:solidFill>
                    <w14:srgbClr w14:val="000000">
                      <w14:alpha w14:val="100000"/>
                    </w14:srgbClr>
                  </w14:solidFill>
                </w14:textFill>
              </w:rPr>
              <w:t>|</w:t>
            </w:r>
            <w:r w:rsidR="004B6735" w:rsidRPr="004B6735">
              <w:rPr>
                <w:vertAlign w:val="superscript"/>
              </w:rPr>
              <w:t>2</w:t>
            </w:r>
            <w:r w:rsidRPr="004B6735">
              <w:rPr>
                <w:rFonts w:cs="Arial"/>
                <w:szCs w:val="20"/>
                <w:lang w:val="en-AU"/>
              </w:rPr>
              <w:t>/</w:t>
            </w:r>
            <w:r w:rsidRPr="005A7226">
              <w:rPr>
                <w:rFonts w:cs="Arial"/>
                <w:szCs w:val="20"/>
                <w:lang w:val="en-AU"/>
              </w:rPr>
              <w:t>QALY gained</w:t>
            </w:r>
          </w:p>
        </w:tc>
      </w:tr>
      <w:tr w:rsidR="004B5A3E" w:rsidRPr="005A7226" w14:paraId="2644DFB5" w14:textId="77777777" w:rsidTr="004B6735">
        <w:tc>
          <w:tcPr>
            <w:tcW w:w="626" w:type="pct"/>
          </w:tcPr>
          <w:p w14:paraId="74206674" w14:textId="77777777" w:rsidR="004B5A3E" w:rsidRPr="005A7226" w:rsidRDefault="004B5A3E" w:rsidP="007F3475">
            <w:pPr>
              <w:pStyle w:val="TableText0"/>
              <w:keepLines/>
            </w:pPr>
            <w:r w:rsidRPr="005A7226">
              <w:t>Model structure</w:t>
            </w:r>
          </w:p>
        </w:tc>
        <w:tc>
          <w:tcPr>
            <w:tcW w:w="2751" w:type="pct"/>
          </w:tcPr>
          <w:p w14:paraId="1A07615C" w14:textId="17CE4A98" w:rsidR="004B5A3E" w:rsidRPr="005A7226" w:rsidRDefault="004B5A3E" w:rsidP="007F3475">
            <w:pPr>
              <w:pStyle w:val="TableText0"/>
              <w:keepLines/>
            </w:pPr>
            <w:r w:rsidRPr="005A7226">
              <w:t xml:space="preserve">Model structure was based on daily VMS frequency. The final four health states adopted in the submission may not be entirely appropriate given mean utilities did not significantly differ between patients with 2≤ VMS frequency &lt;7’ and ‘7 ≤VMS frequency &lt;9’ based on DAYLIGHT. Additionally, VMS severity was not considered when determining the health states. </w:t>
            </w:r>
          </w:p>
        </w:tc>
        <w:tc>
          <w:tcPr>
            <w:tcW w:w="1622" w:type="pct"/>
          </w:tcPr>
          <w:p w14:paraId="282ECB95" w14:textId="77777777" w:rsidR="004B5A3E" w:rsidRPr="005A7226" w:rsidRDefault="004B5A3E" w:rsidP="007F3475">
            <w:pPr>
              <w:pStyle w:val="TableText0"/>
              <w:keepLines/>
            </w:pPr>
            <w:r w:rsidRPr="005A7226">
              <w:t>Unclear, can’t be tested.</w:t>
            </w:r>
          </w:p>
        </w:tc>
      </w:tr>
      <w:tr w:rsidR="004B5A3E" w:rsidRPr="005A7226" w14:paraId="5FBCA4DA" w14:textId="77777777" w:rsidTr="004B6735">
        <w:tc>
          <w:tcPr>
            <w:tcW w:w="626" w:type="pct"/>
          </w:tcPr>
          <w:p w14:paraId="3B46EEA8" w14:textId="77777777" w:rsidR="004B5A3E" w:rsidRPr="005A7226" w:rsidRDefault="004B5A3E" w:rsidP="007F3475">
            <w:pPr>
              <w:pStyle w:val="TableText0"/>
              <w:keepLines/>
            </w:pPr>
            <w:r w:rsidRPr="005A7226">
              <w:t xml:space="preserve">Time horizon </w:t>
            </w:r>
          </w:p>
        </w:tc>
        <w:tc>
          <w:tcPr>
            <w:tcW w:w="2751" w:type="pct"/>
          </w:tcPr>
          <w:p w14:paraId="2B3E7CF2" w14:textId="77777777" w:rsidR="004B5A3E" w:rsidRPr="005A7226" w:rsidRDefault="004B5A3E" w:rsidP="007F3475">
            <w:pPr>
              <w:pStyle w:val="TableText0"/>
              <w:keepLines/>
            </w:pPr>
            <w:r w:rsidRPr="005A7226">
              <w:t>Base case time horizon was 10 years. Data were only available for up to 24 weeks in DAYLIGHT. Beyond 24 weeks, treatment effects in the model were extrapolated based on the assumption of maintaining the same benefit whilst on treatment.</w:t>
            </w:r>
          </w:p>
        </w:tc>
        <w:tc>
          <w:tcPr>
            <w:tcW w:w="1622" w:type="pct"/>
          </w:tcPr>
          <w:p w14:paraId="174C288F" w14:textId="44069CE5" w:rsidR="004B5A3E" w:rsidRPr="005A7226" w:rsidRDefault="004B5A3E" w:rsidP="007F3475">
            <w:pPr>
              <w:pStyle w:val="TableText0"/>
              <w:keepLines/>
            </w:pPr>
            <w:r w:rsidRPr="004A748C">
              <w:t>Moderate</w:t>
            </w:r>
            <w:r w:rsidRPr="005A7226">
              <w:t>, favours fezolinetant. Reducing the time horizon to 5 years increased the ICER 11.49% to $</w:t>
            </w:r>
            <w:r w:rsidR="00CF6E6B" w:rsidRPr="00CF6E6B">
              <w:rPr>
                <w:color w:val="000000"/>
                <w:spacing w:val="53"/>
                <w:shd w:val="solid" w:color="000000" w:fill="000000"/>
                <w:fitText w:val="330" w:id="-694454778"/>
                <w14:textFill>
                  <w14:solidFill>
                    <w14:srgbClr w14:val="000000">
                      <w14:alpha w14:val="100000"/>
                    </w14:srgbClr>
                  </w14:solidFill>
                </w14:textFill>
              </w:rPr>
              <w:t>|||</w:t>
            </w:r>
            <w:r w:rsidR="00CF6E6B" w:rsidRPr="00CF6E6B">
              <w:rPr>
                <w:color w:val="000000"/>
                <w:spacing w:val="1"/>
                <w:shd w:val="solid" w:color="000000" w:fill="000000"/>
                <w:fitText w:val="330" w:id="-694454778"/>
                <w14:textFill>
                  <w14:solidFill>
                    <w14:srgbClr w14:val="000000">
                      <w14:alpha w14:val="100000"/>
                    </w14:srgbClr>
                  </w14:solidFill>
                </w14:textFill>
              </w:rPr>
              <w:t>|</w:t>
            </w:r>
            <w:r w:rsidR="002E60F6" w:rsidRPr="002E60F6">
              <w:rPr>
                <w:vertAlign w:val="superscript"/>
              </w:rPr>
              <w:t>1</w:t>
            </w:r>
            <w:r w:rsidRPr="005A7226">
              <w:t xml:space="preserve"> per QALY gained from a base case of $</w:t>
            </w:r>
            <w:r w:rsidR="00CF6E6B" w:rsidRPr="00CF6E6B">
              <w:rPr>
                <w:color w:val="000000"/>
                <w:spacing w:val="53"/>
                <w:shd w:val="solid" w:color="000000" w:fill="000000"/>
                <w:fitText w:val="330" w:id="-694454777"/>
                <w14:textFill>
                  <w14:solidFill>
                    <w14:srgbClr w14:val="000000">
                      <w14:alpha w14:val="100000"/>
                    </w14:srgbClr>
                  </w14:solidFill>
                </w14:textFill>
              </w:rPr>
              <w:t>|||</w:t>
            </w:r>
            <w:r w:rsidR="00CF6E6B" w:rsidRPr="00CF6E6B">
              <w:rPr>
                <w:color w:val="000000"/>
                <w:spacing w:val="1"/>
                <w:shd w:val="solid" w:color="000000" w:fill="000000"/>
                <w:fitText w:val="330" w:id="-694454777"/>
                <w14:textFill>
                  <w14:solidFill>
                    <w14:srgbClr w14:val="000000">
                      <w14:alpha w14:val="100000"/>
                    </w14:srgbClr>
                  </w14:solidFill>
                </w14:textFill>
              </w:rPr>
              <w:t>|</w:t>
            </w:r>
            <w:r w:rsidR="002E60F6" w:rsidRPr="002E60F6">
              <w:rPr>
                <w:vertAlign w:val="superscript"/>
              </w:rPr>
              <w:t>2</w:t>
            </w:r>
            <w:r w:rsidRPr="005A7226">
              <w:t>.</w:t>
            </w:r>
          </w:p>
        </w:tc>
      </w:tr>
      <w:tr w:rsidR="004B5A3E" w:rsidRPr="005A7226" w14:paraId="39522A2E" w14:textId="77777777" w:rsidTr="004B6735">
        <w:tc>
          <w:tcPr>
            <w:tcW w:w="626" w:type="pct"/>
          </w:tcPr>
          <w:p w14:paraId="630D3428" w14:textId="77777777" w:rsidR="004B5A3E" w:rsidRPr="005A7226" w:rsidRDefault="004B5A3E" w:rsidP="007F3475">
            <w:pPr>
              <w:pStyle w:val="TableText0"/>
              <w:keepLines/>
            </w:pPr>
            <w:r w:rsidRPr="005A7226">
              <w:t>Utilities</w:t>
            </w:r>
          </w:p>
        </w:tc>
        <w:tc>
          <w:tcPr>
            <w:tcW w:w="2751" w:type="pct"/>
          </w:tcPr>
          <w:p w14:paraId="0C96D121" w14:textId="77777777" w:rsidR="004B5A3E" w:rsidRPr="005A7226" w:rsidRDefault="004B5A3E" w:rsidP="007F3475">
            <w:pPr>
              <w:pStyle w:val="TableText0"/>
              <w:keepLines/>
            </w:pPr>
            <w:r w:rsidRPr="005A7226">
              <w:t>Mapping of EQ-5D-5L to UK-5D-3L values, instead of using the EQ-5D-5L Australian value set may have resulted in overestimated utility values.</w:t>
            </w:r>
          </w:p>
        </w:tc>
        <w:tc>
          <w:tcPr>
            <w:tcW w:w="1622" w:type="pct"/>
          </w:tcPr>
          <w:p w14:paraId="10E1965D" w14:textId="0D260C96" w:rsidR="004B5A3E" w:rsidRPr="005A7226" w:rsidRDefault="004B5A3E" w:rsidP="007F3475">
            <w:pPr>
              <w:pStyle w:val="TableText0"/>
              <w:keepLines/>
            </w:pPr>
            <w:r w:rsidRPr="005A7226">
              <w:t>Low, using lower interval mean values favours no treatment.</w:t>
            </w:r>
            <w:r>
              <w:t xml:space="preserve"> </w:t>
            </w:r>
            <w:r w:rsidR="00925161">
              <w:t>The p</w:t>
            </w:r>
            <w:r>
              <w:t>re-PBAC</w:t>
            </w:r>
            <w:r w:rsidR="00925161">
              <w:t xml:space="preserve"> response</w:t>
            </w:r>
            <w:r>
              <w:t xml:space="preserve"> </w:t>
            </w:r>
            <w:r w:rsidRPr="00AB2F85">
              <w:t>reduced utility values by 10% for all VMS states</w:t>
            </w:r>
            <w:r>
              <w:t>, increasing the I</w:t>
            </w:r>
            <w:r w:rsidRPr="00AB2F85">
              <w:t>CER by 11% to $</w:t>
            </w:r>
            <w:r w:rsidR="00CF6E6B" w:rsidRPr="00CF6E6B">
              <w:rPr>
                <w:color w:val="000000"/>
                <w:spacing w:val="49"/>
                <w:shd w:val="solid" w:color="000000" w:fill="000000"/>
                <w:fitText w:val="320" w:id="-694454776"/>
                <w14:textFill>
                  <w14:solidFill>
                    <w14:srgbClr w14:val="000000">
                      <w14:alpha w14:val="100000"/>
                    </w14:srgbClr>
                  </w14:solidFill>
                </w14:textFill>
              </w:rPr>
              <w:t>|||</w:t>
            </w:r>
            <w:r w:rsidR="00CF6E6B" w:rsidRPr="00CF6E6B">
              <w:rPr>
                <w:color w:val="000000"/>
                <w:spacing w:val="3"/>
                <w:shd w:val="solid" w:color="000000" w:fill="000000"/>
                <w:fitText w:val="320" w:id="-694454776"/>
                <w14:textFill>
                  <w14:solidFill>
                    <w14:srgbClr w14:val="000000">
                      <w14:alpha w14:val="100000"/>
                    </w14:srgbClr>
                  </w14:solidFill>
                </w14:textFill>
              </w:rPr>
              <w:t>|</w:t>
            </w:r>
            <w:r w:rsidR="002E60F6" w:rsidRPr="002E60F6">
              <w:rPr>
                <w:vertAlign w:val="superscript"/>
              </w:rPr>
              <w:t>1</w:t>
            </w:r>
            <w:r>
              <w:t>.</w:t>
            </w:r>
          </w:p>
        </w:tc>
      </w:tr>
    </w:tbl>
    <w:p w14:paraId="2028E9A0" w14:textId="77777777" w:rsidR="004B5A3E" w:rsidRPr="005A7226" w:rsidRDefault="004B5A3E" w:rsidP="007F3475">
      <w:pPr>
        <w:pStyle w:val="FooterTableFigure"/>
        <w:keepNext/>
        <w:keepLines/>
      </w:pPr>
      <w:r w:rsidRPr="005A7226">
        <w:t>Source: compiled during the evaluation.</w:t>
      </w:r>
    </w:p>
    <w:p w14:paraId="6EF01319" w14:textId="77777777" w:rsidR="001F7B6C" w:rsidRDefault="004B5A3E" w:rsidP="007F3475">
      <w:pPr>
        <w:pStyle w:val="FooterTableFigure"/>
        <w:keepNext/>
        <w:keepLines/>
      </w:pPr>
      <w:r w:rsidRPr="005A7226">
        <w:t>DCE= discrete choice experiment, VMS=vasomotor symptoms, ICER=incremental cost-effectiveness ratio, QALYs=quality-adjusted life-years</w:t>
      </w:r>
    </w:p>
    <w:p w14:paraId="2558F01E" w14:textId="6BB3E1F3" w:rsidR="001F7B6C" w:rsidRPr="001F7B6C" w:rsidRDefault="001F7B6C" w:rsidP="007F3475">
      <w:pPr>
        <w:pStyle w:val="FooterTableFigure"/>
        <w:keepNext/>
        <w:keepLines/>
      </w:pPr>
      <w:r w:rsidRPr="001F7B6C">
        <w:rPr>
          <w:i/>
          <w:iCs/>
        </w:rPr>
        <w:t xml:space="preserve"> The redacted values correspond to the following ranges:</w:t>
      </w:r>
    </w:p>
    <w:p w14:paraId="14754212" w14:textId="77777777" w:rsidR="002E60F6" w:rsidRDefault="001F7B6C" w:rsidP="007F3475">
      <w:pPr>
        <w:pStyle w:val="FooterTableFigure"/>
        <w:keepNext/>
        <w:keepLines/>
        <w:rPr>
          <w:i/>
          <w:iCs/>
        </w:rPr>
      </w:pPr>
      <w:r w:rsidRPr="001F7B6C">
        <w:rPr>
          <w:i/>
          <w:iCs/>
          <w:vertAlign w:val="superscript"/>
        </w:rPr>
        <w:t xml:space="preserve">1 </w:t>
      </w:r>
      <w:r w:rsidR="007E4424" w:rsidRPr="007E4424">
        <w:rPr>
          <w:i/>
          <w:iCs/>
        </w:rPr>
        <w:t>$45,000 to &lt; $55,000</w:t>
      </w:r>
      <w:r w:rsidR="002E60F6">
        <w:rPr>
          <w:i/>
          <w:iCs/>
        </w:rPr>
        <w:t xml:space="preserve"> </w:t>
      </w:r>
    </w:p>
    <w:p w14:paraId="5C975A77" w14:textId="4C786413" w:rsidR="004B5A3E" w:rsidRPr="005A7226" w:rsidRDefault="002E60F6" w:rsidP="004B5A3E">
      <w:pPr>
        <w:pStyle w:val="FooterTableFigure"/>
      </w:pPr>
      <w:r w:rsidRPr="002E60F6">
        <w:rPr>
          <w:i/>
          <w:iCs/>
          <w:vertAlign w:val="superscript"/>
        </w:rPr>
        <w:t>2</w:t>
      </w:r>
      <w:r w:rsidRPr="002E60F6">
        <w:rPr>
          <w:i/>
          <w:iCs/>
        </w:rPr>
        <w:t>$35,000 to &lt; $45,000</w:t>
      </w:r>
    </w:p>
    <w:p w14:paraId="3576820A" w14:textId="19B18FA0" w:rsidR="004B5A3E" w:rsidRPr="005A7226" w:rsidRDefault="004B5A3E" w:rsidP="00B24BF6">
      <w:pPr>
        <w:widowControl w:val="0"/>
        <w:numPr>
          <w:ilvl w:val="1"/>
          <w:numId w:val="1"/>
        </w:numPr>
        <w:spacing w:after="120"/>
        <w:ind w:left="720"/>
      </w:pPr>
      <w:r w:rsidRPr="005A7226">
        <w:t xml:space="preserve">The results of the stepped analysis are presented in </w:t>
      </w:r>
      <w:r w:rsidR="00DF42A9">
        <w:fldChar w:fldCharType="begin"/>
      </w:r>
      <w:r w:rsidR="00DF42A9">
        <w:instrText xml:space="preserve"> REF _Ref195109541 \h </w:instrText>
      </w:r>
      <w:r w:rsidR="00DF42A9">
        <w:fldChar w:fldCharType="separate"/>
      </w:r>
      <w:r w:rsidR="00B11DA2" w:rsidRPr="005A7226">
        <w:t xml:space="preserve">Table </w:t>
      </w:r>
      <w:r w:rsidR="00B11DA2">
        <w:rPr>
          <w:noProof/>
        </w:rPr>
        <w:t>13</w:t>
      </w:r>
      <w:r w:rsidR="00DF42A9">
        <w:fldChar w:fldCharType="end"/>
      </w:r>
      <w:r w:rsidRPr="005A7226">
        <w:t>.</w:t>
      </w:r>
    </w:p>
    <w:p w14:paraId="1E67884F" w14:textId="76352953" w:rsidR="004B5A3E" w:rsidRPr="005A7226" w:rsidRDefault="004B5A3E" w:rsidP="004B5A3E">
      <w:pPr>
        <w:pStyle w:val="Caption"/>
      </w:pPr>
      <w:bookmarkStart w:id="63" w:name="_Ref195109541"/>
      <w:r w:rsidRPr="005A7226">
        <w:t xml:space="preserve">Table </w:t>
      </w:r>
      <w:r w:rsidRPr="005A7226">
        <w:fldChar w:fldCharType="begin"/>
      </w:r>
      <w:r w:rsidRPr="005A7226">
        <w:instrText>SEQ Table \* ARABIC</w:instrText>
      </w:r>
      <w:r w:rsidRPr="005A7226">
        <w:fldChar w:fldCharType="separate"/>
      </w:r>
      <w:r w:rsidR="00B11DA2">
        <w:rPr>
          <w:noProof/>
        </w:rPr>
        <w:t>13</w:t>
      </w:r>
      <w:r w:rsidRPr="005A7226">
        <w:fldChar w:fldCharType="end"/>
      </w:r>
      <w:bookmarkEnd w:id="63"/>
      <w:r w:rsidRPr="005A7226">
        <w:t>:</w:t>
      </w:r>
      <w:r w:rsidRPr="005A7226">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w:tblPr>
      <w:tblGrid>
        <w:gridCol w:w="3823"/>
        <w:gridCol w:w="1845"/>
        <w:gridCol w:w="1841"/>
        <w:gridCol w:w="1508"/>
      </w:tblGrid>
      <w:tr w:rsidR="004B5A3E" w:rsidRPr="005A7226" w14:paraId="654566F6" w14:textId="77777777">
        <w:trPr>
          <w:tblHeader/>
        </w:trPr>
        <w:tc>
          <w:tcPr>
            <w:tcW w:w="2120" w:type="pct"/>
            <w:vAlign w:val="center"/>
          </w:tcPr>
          <w:p w14:paraId="04E50DE7" w14:textId="77777777" w:rsidR="004B5A3E" w:rsidRPr="005A7226" w:rsidRDefault="004B5A3E">
            <w:pPr>
              <w:pStyle w:val="In-tableHeading"/>
              <w:rPr>
                <w:szCs w:val="20"/>
                <w:lang w:val="en-AU"/>
              </w:rPr>
            </w:pPr>
            <w:r w:rsidRPr="005A7226">
              <w:rPr>
                <w:szCs w:val="20"/>
                <w:lang w:val="en-AU"/>
              </w:rPr>
              <w:t>Step and component</w:t>
            </w:r>
          </w:p>
        </w:tc>
        <w:tc>
          <w:tcPr>
            <w:tcW w:w="1023" w:type="pct"/>
            <w:vAlign w:val="center"/>
          </w:tcPr>
          <w:p w14:paraId="62530A2B" w14:textId="77777777" w:rsidR="004B5A3E" w:rsidRPr="005A7226" w:rsidRDefault="004B5A3E">
            <w:pPr>
              <w:pStyle w:val="In-tableHeading"/>
              <w:rPr>
                <w:szCs w:val="20"/>
                <w:lang w:val="en-AU"/>
              </w:rPr>
            </w:pPr>
            <w:r w:rsidRPr="005A7226">
              <w:rPr>
                <w:szCs w:val="20"/>
                <w:lang w:val="en-AU"/>
              </w:rPr>
              <w:t>Fezolinetant</w:t>
            </w:r>
          </w:p>
        </w:tc>
        <w:tc>
          <w:tcPr>
            <w:tcW w:w="1021" w:type="pct"/>
            <w:vAlign w:val="center"/>
          </w:tcPr>
          <w:p w14:paraId="26B9F6C1" w14:textId="77777777" w:rsidR="004B5A3E" w:rsidRPr="005A7226" w:rsidRDefault="004B5A3E">
            <w:pPr>
              <w:pStyle w:val="In-tableHeading"/>
              <w:rPr>
                <w:szCs w:val="20"/>
                <w:lang w:val="en-AU"/>
              </w:rPr>
            </w:pPr>
            <w:r w:rsidRPr="005A7226">
              <w:rPr>
                <w:szCs w:val="20"/>
                <w:lang w:val="en-AU"/>
              </w:rPr>
              <w:t>No treatment</w:t>
            </w:r>
          </w:p>
        </w:tc>
        <w:tc>
          <w:tcPr>
            <w:tcW w:w="836" w:type="pct"/>
            <w:vAlign w:val="center"/>
          </w:tcPr>
          <w:p w14:paraId="473C0981" w14:textId="77777777" w:rsidR="004B5A3E" w:rsidRPr="005A7226" w:rsidRDefault="004B5A3E">
            <w:pPr>
              <w:pStyle w:val="In-tableHeading"/>
              <w:rPr>
                <w:szCs w:val="20"/>
                <w:lang w:val="en-AU"/>
              </w:rPr>
            </w:pPr>
            <w:r w:rsidRPr="005A7226">
              <w:rPr>
                <w:szCs w:val="20"/>
                <w:lang w:val="en-AU"/>
              </w:rPr>
              <w:t>Increment</w:t>
            </w:r>
          </w:p>
        </w:tc>
      </w:tr>
      <w:tr w:rsidR="004B5A3E" w:rsidRPr="005A7226" w14:paraId="3C51F7CA" w14:textId="77777777">
        <w:tc>
          <w:tcPr>
            <w:tcW w:w="5000" w:type="pct"/>
            <w:gridSpan w:val="4"/>
            <w:vAlign w:val="center"/>
          </w:tcPr>
          <w:p w14:paraId="328BE80D" w14:textId="77777777" w:rsidR="004B5A3E" w:rsidRPr="005A7226" w:rsidRDefault="004B5A3E">
            <w:pPr>
              <w:pStyle w:val="TableText0"/>
              <w:rPr>
                <w:b/>
                <w:bCs w:val="0"/>
                <w:szCs w:val="20"/>
              </w:rPr>
            </w:pPr>
            <w:r w:rsidRPr="005A7226">
              <w:rPr>
                <w:b/>
                <w:bCs w:val="0"/>
                <w:szCs w:val="20"/>
              </w:rPr>
              <w:t>Step 1: Trial-based analysis, 24 weeks data from the DAYLIGHT trial (costs=drug costs, outcome = VMS frequency)</w:t>
            </w:r>
          </w:p>
        </w:tc>
      </w:tr>
      <w:tr w:rsidR="004B5A3E" w:rsidRPr="005A7226" w14:paraId="6CEE623E" w14:textId="77777777" w:rsidTr="00CF6E6B">
        <w:tc>
          <w:tcPr>
            <w:tcW w:w="2120" w:type="pct"/>
            <w:vAlign w:val="center"/>
          </w:tcPr>
          <w:p w14:paraId="2F9BDBA6" w14:textId="77777777" w:rsidR="004B5A3E" w:rsidRPr="005A7226" w:rsidRDefault="004B5A3E">
            <w:pPr>
              <w:pStyle w:val="TableText0"/>
              <w:rPr>
                <w:rFonts w:ascii="Times" w:hAnsi="Times"/>
                <w:szCs w:val="20"/>
              </w:rPr>
            </w:pPr>
            <w:r w:rsidRPr="005A7226">
              <w:rPr>
                <w:szCs w:val="20"/>
              </w:rPr>
              <w:t>Costs: drug acquisition</w:t>
            </w:r>
          </w:p>
        </w:tc>
        <w:tc>
          <w:tcPr>
            <w:tcW w:w="1023" w:type="pct"/>
            <w:shd w:val="solid" w:color="000000" w:fill="000000"/>
            <w:vAlign w:val="center"/>
          </w:tcPr>
          <w:p w14:paraId="09462BED" w14:textId="25A417F8" w:rsidR="004B5A3E" w:rsidRPr="005A7226" w:rsidRDefault="00CF6E6B">
            <w:pPr>
              <w:pStyle w:val="TableText0"/>
              <w:rPr>
                <w:szCs w:val="20"/>
              </w:rPr>
            </w:pPr>
            <w:r w:rsidRPr="00CF6E6B">
              <w:rPr>
                <w:color w:val="000000"/>
                <w:spacing w:val="53"/>
                <w:szCs w:val="20"/>
                <w:fitText w:val="330" w:id="-694454775"/>
                <w14:textFill>
                  <w14:solidFill>
                    <w14:srgbClr w14:val="000000">
                      <w14:alpha w14:val="100000"/>
                    </w14:srgbClr>
                  </w14:solidFill>
                </w14:textFill>
              </w:rPr>
              <w:t>|||</w:t>
            </w:r>
            <w:r w:rsidRPr="00CF6E6B">
              <w:rPr>
                <w:color w:val="000000"/>
                <w:spacing w:val="1"/>
                <w:szCs w:val="20"/>
                <w:fitText w:val="330" w:id="-694454775"/>
                <w14:textFill>
                  <w14:solidFill>
                    <w14:srgbClr w14:val="000000">
                      <w14:alpha w14:val="100000"/>
                    </w14:srgbClr>
                  </w14:solidFill>
                </w14:textFill>
              </w:rPr>
              <w:t>|</w:t>
            </w:r>
          </w:p>
        </w:tc>
        <w:tc>
          <w:tcPr>
            <w:tcW w:w="1021" w:type="pct"/>
            <w:vAlign w:val="center"/>
          </w:tcPr>
          <w:p w14:paraId="640FD48C" w14:textId="77777777" w:rsidR="004B5A3E" w:rsidRPr="005A7226" w:rsidRDefault="004B5A3E">
            <w:pPr>
              <w:pStyle w:val="TableText0"/>
              <w:rPr>
                <w:szCs w:val="20"/>
              </w:rPr>
            </w:pPr>
            <w:r w:rsidRPr="005A7226">
              <w:rPr>
                <w:szCs w:val="20"/>
              </w:rPr>
              <w:t>$0.00</w:t>
            </w:r>
          </w:p>
        </w:tc>
        <w:tc>
          <w:tcPr>
            <w:tcW w:w="836" w:type="pct"/>
            <w:shd w:val="solid" w:color="000000" w:fill="000000"/>
            <w:vAlign w:val="center"/>
          </w:tcPr>
          <w:p w14:paraId="4E59FA91" w14:textId="0DC54E07" w:rsidR="004B5A3E" w:rsidRPr="005A7226" w:rsidRDefault="00CF6E6B">
            <w:pPr>
              <w:pStyle w:val="TableText0"/>
              <w:rPr>
                <w:szCs w:val="20"/>
              </w:rPr>
            </w:pPr>
            <w:r w:rsidRPr="00CF6E6B">
              <w:rPr>
                <w:color w:val="000000"/>
                <w:spacing w:val="53"/>
                <w:szCs w:val="20"/>
                <w:fitText w:val="330" w:id="-694454774"/>
                <w14:textFill>
                  <w14:solidFill>
                    <w14:srgbClr w14:val="000000">
                      <w14:alpha w14:val="100000"/>
                    </w14:srgbClr>
                  </w14:solidFill>
                </w14:textFill>
              </w:rPr>
              <w:t>|||</w:t>
            </w:r>
            <w:r w:rsidRPr="00CF6E6B">
              <w:rPr>
                <w:color w:val="000000"/>
                <w:spacing w:val="1"/>
                <w:szCs w:val="20"/>
                <w:fitText w:val="330" w:id="-694454774"/>
                <w14:textFill>
                  <w14:solidFill>
                    <w14:srgbClr w14:val="000000">
                      <w14:alpha w14:val="100000"/>
                    </w14:srgbClr>
                  </w14:solidFill>
                </w14:textFill>
              </w:rPr>
              <w:t>|</w:t>
            </w:r>
          </w:p>
        </w:tc>
      </w:tr>
      <w:tr w:rsidR="004B5A3E" w:rsidRPr="005A7226" w14:paraId="5F9937BE" w14:textId="77777777">
        <w:tc>
          <w:tcPr>
            <w:tcW w:w="2120" w:type="pct"/>
            <w:vAlign w:val="center"/>
          </w:tcPr>
          <w:p w14:paraId="103BCF00" w14:textId="77777777" w:rsidR="004B5A3E" w:rsidRPr="005A7226" w:rsidRDefault="004B5A3E">
            <w:pPr>
              <w:pStyle w:val="TableText0"/>
              <w:rPr>
                <w:rFonts w:ascii="Times" w:hAnsi="Times"/>
                <w:szCs w:val="20"/>
              </w:rPr>
            </w:pPr>
            <w:r w:rsidRPr="005A7226">
              <w:rPr>
                <w:szCs w:val="20"/>
              </w:rPr>
              <w:t>Outcome: patient proportion in VMS&lt;7 state (mild)</w:t>
            </w:r>
          </w:p>
        </w:tc>
        <w:tc>
          <w:tcPr>
            <w:tcW w:w="1023" w:type="pct"/>
            <w:vAlign w:val="center"/>
          </w:tcPr>
          <w:p w14:paraId="6180EAD2" w14:textId="77777777" w:rsidR="004B5A3E" w:rsidRPr="005A7226" w:rsidRDefault="004B5A3E">
            <w:pPr>
              <w:pStyle w:val="TableText0"/>
              <w:rPr>
                <w:szCs w:val="20"/>
              </w:rPr>
            </w:pPr>
            <w:r w:rsidRPr="005A7226">
              <w:rPr>
                <w:szCs w:val="20"/>
              </w:rPr>
              <w:t>66.18%</w:t>
            </w:r>
          </w:p>
        </w:tc>
        <w:tc>
          <w:tcPr>
            <w:tcW w:w="1021" w:type="pct"/>
            <w:vAlign w:val="center"/>
          </w:tcPr>
          <w:p w14:paraId="29BD607E" w14:textId="77777777" w:rsidR="004B5A3E" w:rsidRPr="005A7226" w:rsidRDefault="004B5A3E">
            <w:pPr>
              <w:pStyle w:val="TableText0"/>
              <w:rPr>
                <w:szCs w:val="20"/>
              </w:rPr>
            </w:pPr>
            <w:r w:rsidRPr="005A7226">
              <w:rPr>
                <w:szCs w:val="20"/>
              </w:rPr>
              <w:t>51.04%</w:t>
            </w:r>
          </w:p>
        </w:tc>
        <w:tc>
          <w:tcPr>
            <w:tcW w:w="836" w:type="pct"/>
            <w:vAlign w:val="center"/>
          </w:tcPr>
          <w:p w14:paraId="612B9252" w14:textId="77777777" w:rsidR="004B5A3E" w:rsidRPr="005A7226" w:rsidRDefault="004B5A3E">
            <w:pPr>
              <w:pStyle w:val="TableText0"/>
              <w:rPr>
                <w:szCs w:val="20"/>
              </w:rPr>
            </w:pPr>
            <w:r w:rsidRPr="005A7226">
              <w:rPr>
                <w:szCs w:val="20"/>
              </w:rPr>
              <w:t>15.14%</w:t>
            </w:r>
          </w:p>
        </w:tc>
      </w:tr>
      <w:tr w:rsidR="004B5A3E" w:rsidRPr="005A7226" w14:paraId="44C2331E" w14:textId="77777777">
        <w:tc>
          <w:tcPr>
            <w:tcW w:w="4164" w:type="pct"/>
            <w:gridSpan w:val="3"/>
            <w:vAlign w:val="center"/>
          </w:tcPr>
          <w:p w14:paraId="13FC59B4" w14:textId="77777777" w:rsidR="004B5A3E" w:rsidRPr="005A7226" w:rsidRDefault="004B5A3E">
            <w:pPr>
              <w:pStyle w:val="TableText0"/>
              <w:rPr>
                <w:szCs w:val="20"/>
              </w:rPr>
            </w:pPr>
            <w:r w:rsidRPr="005A7226">
              <w:rPr>
                <w:szCs w:val="20"/>
              </w:rPr>
              <w:t>Incremental cost per extra ‘patients in the mild state’ gained</w:t>
            </w:r>
          </w:p>
        </w:tc>
        <w:tc>
          <w:tcPr>
            <w:tcW w:w="836" w:type="pct"/>
            <w:vAlign w:val="center"/>
          </w:tcPr>
          <w:p w14:paraId="530A1486" w14:textId="44631168" w:rsidR="004B5A3E" w:rsidRPr="005A7226" w:rsidRDefault="00CF6E6B">
            <w:pPr>
              <w:pStyle w:val="TableText0"/>
              <w:rPr>
                <w:szCs w:val="20"/>
              </w:rPr>
            </w:pPr>
            <w:r w:rsidRPr="00CF6E6B">
              <w:rPr>
                <w:color w:val="000000"/>
                <w:spacing w:val="53"/>
                <w:szCs w:val="20"/>
                <w:shd w:val="solid" w:color="000000" w:fill="000000"/>
                <w:fitText w:val="330" w:id="-694454773"/>
                <w14:textFill>
                  <w14:solidFill>
                    <w14:srgbClr w14:val="000000">
                      <w14:alpha w14:val="100000"/>
                    </w14:srgbClr>
                  </w14:solidFill>
                </w14:textFill>
              </w:rPr>
              <w:t>|||</w:t>
            </w:r>
            <w:r w:rsidRPr="00CF6E6B">
              <w:rPr>
                <w:color w:val="000000"/>
                <w:spacing w:val="1"/>
                <w:szCs w:val="20"/>
                <w:shd w:val="solid" w:color="000000" w:fill="000000"/>
                <w:fitText w:val="330" w:id="-694454773"/>
                <w14:textFill>
                  <w14:solidFill>
                    <w14:srgbClr w14:val="000000">
                      <w14:alpha w14:val="100000"/>
                    </w14:srgbClr>
                  </w14:solidFill>
                </w14:textFill>
              </w:rPr>
              <w:t>|</w:t>
            </w:r>
            <w:r w:rsidR="0099297C" w:rsidRPr="0099297C">
              <w:rPr>
                <w:szCs w:val="20"/>
                <w:vertAlign w:val="superscript"/>
              </w:rPr>
              <w:t>1</w:t>
            </w:r>
          </w:p>
        </w:tc>
      </w:tr>
      <w:tr w:rsidR="004B5A3E" w:rsidRPr="005A7226" w14:paraId="6E08B76C" w14:textId="77777777">
        <w:tc>
          <w:tcPr>
            <w:tcW w:w="5000" w:type="pct"/>
            <w:gridSpan w:val="4"/>
            <w:vAlign w:val="center"/>
          </w:tcPr>
          <w:p w14:paraId="692FE8F4" w14:textId="77777777" w:rsidR="004B5A3E" w:rsidRPr="005A7226" w:rsidRDefault="004B5A3E">
            <w:pPr>
              <w:pStyle w:val="In-tableHeading"/>
              <w:rPr>
                <w:szCs w:val="20"/>
                <w:lang w:val="en-AU"/>
              </w:rPr>
            </w:pPr>
            <w:r w:rsidRPr="005A7226">
              <w:rPr>
                <w:szCs w:val="20"/>
                <w:lang w:val="en-AU"/>
              </w:rPr>
              <w:t>Step 2: Trial-based analysis, 24 weeks data from the DAYLIGHT trial (costs=drug costs + resource utilisation, outcome = VMS frequency)</w:t>
            </w:r>
          </w:p>
        </w:tc>
      </w:tr>
      <w:tr w:rsidR="004B5A3E" w:rsidRPr="005A7226" w14:paraId="5372C4B3" w14:textId="77777777" w:rsidTr="00CF6E6B">
        <w:tc>
          <w:tcPr>
            <w:tcW w:w="2120" w:type="pct"/>
            <w:vAlign w:val="center"/>
          </w:tcPr>
          <w:p w14:paraId="5F71A1D1" w14:textId="77777777" w:rsidR="004B5A3E" w:rsidRPr="005A7226" w:rsidRDefault="004B5A3E">
            <w:pPr>
              <w:pStyle w:val="TableText0"/>
              <w:rPr>
                <w:rFonts w:ascii="Times" w:hAnsi="Times"/>
                <w:szCs w:val="20"/>
              </w:rPr>
            </w:pPr>
            <w:r w:rsidRPr="005A7226">
              <w:rPr>
                <w:szCs w:val="20"/>
              </w:rPr>
              <w:t>Costs: drug acquisition + resource use</w:t>
            </w:r>
          </w:p>
        </w:tc>
        <w:tc>
          <w:tcPr>
            <w:tcW w:w="1023" w:type="pct"/>
            <w:shd w:val="solid" w:color="000000" w:fill="000000"/>
            <w:vAlign w:val="center"/>
          </w:tcPr>
          <w:p w14:paraId="2559CB3C" w14:textId="36E78361" w:rsidR="004B5A3E" w:rsidRPr="005A7226" w:rsidRDefault="00CF6E6B">
            <w:pPr>
              <w:pStyle w:val="TableText0"/>
              <w:rPr>
                <w:rFonts w:ascii="Times" w:hAnsi="Times"/>
                <w:szCs w:val="20"/>
              </w:rPr>
            </w:pPr>
            <w:r w:rsidRPr="00CF6E6B">
              <w:rPr>
                <w:color w:val="000000"/>
                <w:spacing w:val="53"/>
                <w:szCs w:val="20"/>
                <w:fitText w:val="330" w:id="-694454772"/>
                <w14:textFill>
                  <w14:solidFill>
                    <w14:srgbClr w14:val="000000">
                      <w14:alpha w14:val="100000"/>
                    </w14:srgbClr>
                  </w14:solidFill>
                </w14:textFill>
              </w:rPr>
              <w:t>|||</w:t>
            </w:r>
            <w:r w:rsidRPr="00CF6E6B">
              <w:rPr>
                <w:color w:val="000000"/>
                <w:spacing w:val="1"/>
                <w:szCs w:val="20"/>
                <w:fitText w:val="330" w:id="-694454772"/>
                <w14:textFill>
                  <w14:solidFill>
                    <w14:srgbClr w14:val="000000">
                      <w14:alpha w14:val="100000"/>
                    </w14:srgbClr>
                  </w14:solidFill>
                </w14:textFill>
              </w:rPr>
              <w:t>|</w:t>
            </w:r>
          </w:p>
        </w:tc>
        <w:tc>
          <w:tcPr>
            <w:tcW w:w="1021" w:type="pct"/>
            <w:vAlign w:val="center"/>
          </w:tcPr>
          <w:p w14:paraId="00D67D64" w14:textId="77777777" w:rsidR="004B5A3E" w:rsidRPr="005A7226" w:rsidRDefault="004B5A3E">
            <w:pPr>
              <w:pStyle w:val="TableText0"/>
              <w:rPr>
                <w:rFonts w:ascii="Times" w:hAnsi="Times"/>
                <w:szCs w:val="20"/>
              </w:rPr>
            </w:pPr>
            <w:r w:rsidRPr="005A7226">
              <w:rPr>
                <w:szCs w:val="20"/>
              </w:rPr>
              <w:t>$149.70</w:t>
            </w:r>
          </w:p>
        </w:tc>
        <w:tc>
          <w:tcPr>
            <w:tcW w:w="836" w:type="pct"/>
            <w:shd w:val="solid" w:color="000000" w:fill="000000"/>
            <w:vAlign w:val="center"/>
          </w:tcPr>
          <w:p w14:paraId="3F950878" w14:textId="1ADC9D72" w:rsidR="004B5A3E" w:rsidRPr="005A7226" w:rsidRDefault="00CF6E6B">
            <w:pPr>
              <w:pStyle w:val="TableText0"/>
              <w:rPr>
                <w:rFonts w:ascii="Times" w:hAnsi="Times"/>
                <w:szCs w:val="20"/>
              </w:rPr>
            </w:pPr>
            <w:r w:rsidRPr="00CF6E6B">
              <w:rPr>
                <w:color w:val="000000"/>
                <w:spacing w:val="53"/>
                <w:szCs w:val="20"/>
                <w:fitText w:val="330" w:id="-694454771"/>
                <w14:textFill>
                  <w14:solidFill>
                    <w14:srgbClr w14:val="000000">
                      <w14:alpha w14:val="100000"/>
                    </w14:srgbClr>
                  </w14:solidFill>
                </w14:textFill>
              </w:rPr>
              <w:t>|||</w:t>
            </w:r>
            <w:r w:rsidRPr="00CF6E6B">
              <w:rPr>
                <w:color w:val="000000"/>
                <w:spacing w:val="1"/>
                <w:szCs w:val="20"/>
                <w:fitText w:val="330" w:id="-694454771"/>
                <w14:textFill>
                  <w14:solidFill>
                    <w14:srgbClr w14:val="000000">
                      <w14:alpha w14:val="100000"/>
                    </w14:srgbClr>
                  </w14:solidFill>
                </w14:textFill>
              </w:rPr>
              <w:t>|</w:t>
            </w:r>
          </w:p>
        </w:tc>
      </w:tr>
      <w:tr w:rsidR="004B5A3E" w:rsidRPr="005A7226" w14:paraId="254B540A" w14:textId="77777777">
        <w:tc>
          <w:tcPr>
            <w:tcW w:w="2120" w:type="pct"/>
            <w:vAlign w:val="center"/>
          </w:tcPr>
          <w:p w14:paraId="74F0FBEA" w14:textId="77777777" w:rsidR="004B5A3E" w:rsidRPr="005A7226" w:rsidRDefault="004B5A3E">
            <w:pPr>
              <w:pStyle w:val="TableText0"/>
              <w:rPr>
                <w:rFonts w:ascii="Times" w:hAnsi="Times"/>
                <w:szCs w:val="20"/>
              </w:rPr>
            </w:pPr>
            <w:r w:rsidRPr="005A7226">
              <w:rPr>
                <w:szCs w:val="20"/>
              </w:rPr>
              <w:t>Outcome: patient proportion in VMS&lt;7 state (mild)</w:t>
            </w:r>
          </w:p>
        </w:tc>
        <w:tc>
          <w:tcPr>
            <w:tcW w:w="1023" w:type="pct"/>
            <w:vAlign w:val="center"/>
          </w:tcPr>
          <w:p w14:paraId="5BFD27A2" w14:textId="77777777" w:rsidR="004B5A3E" w:rsidRPr="005A7226" w:rsidRDefault="004B5A3E">
            <w:pPr>
              <w:pStyle w:val="TableText0"/>
              <w:rPr>
                <w:rFonts w:ascii="Times" w:hAnsi="Times"/>
                <w:szCs w:val="20"/>
              </w:rPr>
            </w:pPr>
            <w:r w:rsidRPr="005A7226">
              <w:rPr>
                <w:szCs w:val="20"/>
              </w:rPr>
              <w:t>66.18%</w:t>
            </w:r>
          </w:p>
        </w:tc>
        <w:tc>
          <w:tcPr>
            <w:tcW w:w="1021" w:type="pct"/>
            <w:vAlign w:val="center"/>
          </w:tcPr>
          <w:p w14:paraId="19E653C9" w14:textId="77777777" w:rsidR="004B5A3E" w:rsidRPr="005A7226" w:rsidRDefault="004B5A3E">
            <w:pPr>
              <w:pStyle w:val="TableText0"/>
              <w:rPr>
                <w:rFonts w:ascii="Times" w:hAnsi="Times"/>
                <w:szCs w:val="20"/>
              </w:rPr>
            </w:pPr>
            <w:r w:rsidRPr="005A7226">
              <w:rPr>
                <w:szCs w:val="20"/>
              </w:rPr>
              <w:t>51.04%</w:t>
            </w:r>
          </w:p>
        </w:tc>
        <w:tc>
          <w:tcPr>
            <w:tcW w:w="836" w:type="pct"/>
            <w:vAlign w:val="center"/>
          </w:tcPr>
          <w:p w14:paraId="34290902" w14:textId="77777777" w:rsidR="004B5A3E" w:rsidRPr="005A7226" w:rsidRDefault="004B5A3E">
            <w:pPr>
              <w:pStyle w:val="TableText0"/>
              <w:rPr>
                <w:szCs w:val="20"/>
              </w:rPr>
            </w:pPr>
            <w:r w:rsidRPr="005A7226">
              <w:rPr>
                <w:szCs w:val="20"/>
              </w:rPr>
              <w:t>15.14%</w:t>
            </w:r>
          </w:p>
        </w:tc>
      </w:tr>
      <w:tr w:rsidR="004B5A3E" w:rsidRPr="005A7226" w14:paraId="65983DC3" w14:textId="77777777">
        <w:tc>
          <w:tcPr>
            <w:tcW w:w="4164" w:type="pct"/>
            <w:gridSpan w:val="3"/>
            <w:vAlign w:val="center"/>
          </w:tcPr>
          <w:p w14:paraId="55E3D3F4" w14:textId="77777777" w:rsidR="004B5A3E" w:rsidRPr="005A7226" w:rsidRDefault="004B5A3E">
            <w:pPr>
              <w:pStyle w:val="TableText0"/>
              <w:rPr>
                <w:rFonts w:ascii="Times" w:hAnsi="Times"/>
                <w:szCs w:val="20"/>
              </w:rPr>
            </w:pPr>
            <w:r w:rsidRPr="005A7226">
              <w:rPr>
                <w:szCs w:val="20"/>
              </w:rPr>
              <w:t>Incremental cost per extra ‘patients in the mild state’ gained</w:t>
            </w:r>
          </w:p>
        </w:tc>
        <w:tc>
          <w:tcPr>
            <w:tcW w:w="836" w:type="pct"/>
            <w:vAlign w:val="center"/>
          </w:tcPr>
          <w:p w14:paraId="20472D0E" w14:textId="6631B52C" w:rsidR="004B5A3E" w:rsidRPr="005A7226" w:rsidRDefault="00CF6E6B">
            <w:pPr>
              <w:pStyle w:val="TableText0"/>
              <w:rPr>
                <w:rFonts w:ascii="Times" w:hAnsi="Times"/>
                <w:szCs w:val="20"/>
              </w:rPr>
            </w:pPr>
            <w:r w:rsidRPr="00CF6E6B">
              <w:rPr>
                <w:color w:val="000000"/>
                <w:spacing w:val="53"/>
                <w:szCs w:val="20"/>
                <w:shd w:val="solid" w:color="000000" w:fill="000000"/>
                <w:fitText w:val="330" w:id="-694454770"/>
                <w14:textFill>
                  <w14:solidFill>
                    <w14:srgbClr w14:val="000000">
                      <w14:alpha w14:val="100000"/>
                    </w14:srgbClr>
                  </w14:solidFill>
                </w14:textFill>
              </w:rPr>
              <w:t>|||</w:t>
            </w:r>
            <w:r w:rsidRPr="00CF6E6B">
              <w:rPr>
                <w:color w:val="000000"/>
                <w:spacing w:val="1"/>
                <w:szCs w:val="20"/>
                <w:shd w:val="solid" w:color="000000" w:fill="000000"/>
                <w:fitText w:val="330" w:id="-694454770"/>
                <w14:textFill>
                  <w14:solidFill>
                    <w14:srgbClr w14:val="000000">
                      <w14:alpha w14:val="100000"/>
                    </w14:srgbClr>
                  </w14:solidFill>
                </w14:textFill>
              </w:rPr>
              <w:t>|</w:t>
            </w:r>
            <w:r w:rsidR="00E11816" w:rsidRPr="00E11816">
              <w:rPr>
                <w:szCs w:val="20"/>
                <w:vertAlign w:val="superscript"/>
              </w:rPr>
              <w:t>1</w:t>
            </w:r>
          </w:p>
        </w:tc>
      </w:tr>
      <w:tr w:rsidR="004B5A3E" w:rsidRPr="005A7226" w14:paraId="674CF59E" w14:textId="77777777">
        <w:tc>
          <w:tcPr>
            <w:tcW w:w="5000" w:type="pct"/>
            <w:gridSpan w:val="4"/>
            <w:vAlign w:val="center"/>
          </w:tcPr>
          <w:p w14:paraId="1C864D37" w14:textId="77777777" w:rsidR="004B5A3E" w:rsidRPr="005A7226" w:rsidRDefault="004B5A3E">
            <w:pPr>
              <w:pStyle w:val="In-tableHeading"/>
              <w:rPr>
                <w:szCs w:val="20"/>
                <w:lang w:val="en-AU"/>
              </w:rPr>
            </w:pPr>
            <w:r w:rsidRPr="005A7226">
              <w:rPr>
                <w:szCs w:val="20"/>
                <w:lang w:val="en-AU"/>
              </w:rPr>
              <w:t xml:space="preserve">Step 3: Trial-based analysis from Step 2, adding QALYs based on utility estimate by VMS frequency </w:t>
            </w:r>
          </w:p>
        </w:tc>
      </w:tr>
      <w:tr w:rsidR="004B5A3E" w:rsidRPr="005A7226" w14:paraId="2FC9E062" w14:textId="77777777" w:rsidTr="00CF6E6B">
        <w:tc>
          <w:tcPr>
            <w:tcW w:w="2120" w:type="pct"/>
            <w:vAlign w:val="center"/>
          </w:tcPr>
          <w:p w14:paraId="0E77A8E9" w14:textId="77777777" w:rsidR="004B5A3E" w:rsidRPr="005A7226" w:rsidRDefault="004B5A3E">
            <w:pPr>
              <w:pStyle w:val="TableText0"/>
              <w:rPr>
                <w:rFonts w:ascii="Times" w:hAnsi="Times"/>
                <w:szCs w:val="20"/>
              </w:rPr>
            </w:pPr>
            <w:r w:rsidRPr="005A7226">
              <w:rPr>
                <w:szCs w:val="20"/>
              </w:rPr>
              <w:t>Costs: drug acquisition + resource use</w:t>
            </w:r>
          </w:p>
        </w:tc>
        <w:tc>
          <w:tcPr>
            <w:tcW w:w="1023" w:type="pct"/>
            <w:shd w:val="solid" w:color="000000" w:fill="000000"/>
            <w:vAlign w:val="center"/>
          </w:tcPr>
          <w:p w14:paraId="1F97A573" w14:textId="416D0F47" w:rsidR="004B5A3E" w:rsidRPr="005A7226" w:rsidRDefault="00CF6E6B">
            <w:pPr>
              <w:pStyle w:val="TableText0"/>
              <w:rPr>
                <w:rFonts w:ascii="Times" w:hAnsi="Times"/>
                <w:szCs w:val="20"/>
              </w:rPr>
            </w:pPr>
            <w:r w:rsidRPr="00CF6E6B">
              <w:rPr>
                <w:color w:val="000000"/>
                <w:spacing w:val="53"/>
                <w:szCs w:val="20"/>
                <w:fitText w:val="330" w:id="-694454769"/>
                <w14:textFill>
                  <w14:solidFill>
                    <w14:srgbClr w14:val="000000">
                      <w14:alpha w14:val="100000"/>
                    </w14:srgbClr>
                  </w14:solidFill>
                </w14:textFill>
              </w:rPr>
              <w:t>|||</w:t>
            </w:r>
            <w:r w:rsidRPr="00CF6E6B">
              <w:rPr>
                <w:color w:val="000000"/>
                <w:spacing w:val="1"/>
                <w:szCs w:val="20"/>
                <w:fitText w:val="330" w:id="-694454769"/>
                <w14:textFill>
                  <w14:solidFill>
                    <w14:srgbClr w14:val="000000">
                      <w14:alpha w14:val="100000"/>
                    </w14:srgbClr>
                  </w14:solidFill>
                </w14:textFill>
              </w:rPr>
              <w:t>|</w:t>
            </w:r>
          </w:p>
        </w:tc>
        <w:tc>
          <w:tcPr>
            <w:tcW w:w="1021" w:type="pct"/>
            <w:vAlign w:val="center"/>
          </w:tcPr>
          <w:p w14:paraId="17B2E61A" w14:textId="77777777" w:rsidR="004B5A3E" w:rsidRPr="005A7226" w:rsidRDefault="004B5A3E">
            <w:pPr>
              <w:pStyle w:val="TableText0"/>
              <w:rPr>
                <w:rFonts w:ascii="Times" w:hAnsi="Times"/>
                <w:szCs w:val="20"/>
              </w:rPr>
            </w:pPr>
            <w:r w:rsidRPr="005A7226">
              <w:rPr>
                <w:szCs w:val="20"/>
              </w:rPr>
              <w:t>$149.70</w:t>
            </w:r>
          </w:p>
        </w:tc>
        <w:tc>
          <w:tcPr>
            <w:tcW w:w="836" w:type="pct"/>
            <w:shd w:val="solid" w:color="000000" w:fill="000000"/>
            <w:vAlign w:val="center"/>
          </w:tcPr>
          <w:p w14:paraId="45322533" w14:textId="50770148" w:rsidR="004B5A3E" w:rsidRPr="0041777D" w:rsidRDefault="00CF6E6B">
            <w:pPr>
              <w:pStyle w:val="TableText0"/>
              <w:rPr>
                <w:rFonts w:ascii="Times" w:hAnsi="Times"/>
                <w:szCs w:val="20"/>
                <w:highlight w:val="darkGray"/>
              </w:rPr>
            </w:pPr>
            <w:r w:rsidRPr="00CF6E6B">
              <w:rPr>
                <w:color w:val="000000"/>
                <w:spacing w:val="53"/>
                <w:szCs w:val="20"/>
                <w:fitText w:val="330" w:id="-694454768"/>
                <w14:textFill>
                  <w14:solidFill>
                    <w14:srgbClr w14:val="000000">
                      <w14:alpha w14:val="100000"/>
                    </w14:srgbClr>
                  </w14:solidFill>
                </w14:textFill>
              </w:rPr>
              <w:t>|||</w:t>
            </w:r>
            <w:r w:rsidRPr="00CF6E6B">
              <w:rPr>
                <w:color w:val="000000"/>
                <w:spacing w:val="1"/>
                <w:szCs w:val="20"/>
                <w:fitText w:val="330" w:id="-694454768"/>
                <w14:textFill>
                  <w14:solidFill>
                    <w14:srgbClr w14:val="000000">
                      <w14:alpha w14:val="100000"/>
                    </w14:srgbClr>
                  </w14:solidFill>
                </w14:textFill>
              </w:rPr>
              <w:t>|</w:t>
            </w:r>
          </w:p>
        </w:tc>
      </w:tr>
      <w:tr w:rsidR="004B5A3E" w:rsidRPr="005A7226" w14:paraId="555DBBA1" w14:textId="77777777">
        <w:tc>
          <w:tcPr>
            <w:tcW w:w="2120" w:type="pct"/>
            <w:vAlign w:val="center"/>
          </w:tcPr>
          <w:p w14:paraId="6EB1D4AF" w14:textId="77777777" w:rsidR="004B5A3E" w:rsidRPr="005A7226" w:rsidRDefault="004B5A3E">
            <w:pPr>
              <w:pStyle w:val="TableText0"/>
              <w:rPr>
                <w:rFonts w:ascii="Times" w:hAnsi="Times"/>
                <w:szCs w:val="20"/>
              </w:rPr>
            </w:pPr>
            <w:r w:rsidRPr="005A7226">
              <w:rPr>
                <w:szCs w:val="20"/>
              </w:rPr>
              <w:t>Outcome: QALYs</w:t>
            </w:r>
          </w:p>
        </w:tc>
        <w:tc>
          <w:tcPr>
            <w:tcW w:w="1023" w:type="pct"/>
            <w:vAlign w:val="center"/>
          </w:tcPr>
          <w:p w14:paraId="3739298C" w14:textId="77777777" w:rsidR="004B5A3E" w:rsidRPr="005A7226" w:rsidRDefault="004B5A3E">
            <w:pPr>
              <w:pStyle w:val="TableText0"/>
              <w:rPr>
                <w:rFonts w:ascii="Times" w:hAnsi="Times"/>
                <w:szCs w:val="20"/>
              </w:rPr>
            </w:pPr>
            <w:r w:rsidRPr="005A7226">
              <w:t>0.368</w:t>
            </w:r>
          </w:p>
        </w:tc>
        <w:tc>
          <w:tcPr>
            <w:tcW w:w="1021" w:type="pct"/>
            <w:vAlign w:val="center"/>
          </w:tcPr>
          <w:p w14:paraId="26FBAFF6" w14:textId="77777777" w:rsidR="004B5A3E" w:rsidRPr="005A7226" w:rsidRDefault="004B5A3E">
            <w:pPr>
              <w:pStyle w:val="TableText0"/>
              <w:rPr>
                <w:rFonts w:ascii="Times" w:hAnsi="Times"/>
                <w:szCs w:val="20"/>
              </w:rPr>
            </w:pPr>
            <w:r w:rsidRPr="005A7226">
              <w:t>0.362</w:t>
            </w:r>
          </w:p>
        </w:tc>
        <w:tc>
          <w:tcPr>
            <w:tcW w:w="836" w:type="pct"/>
            <w:vAlign w:val="center"/>
          </w:tcPr>
          <w:p w14:paraId="209A2A84" w14:textId="77777777" w:rsidR="004B5A3E" w:rsidRPr="005A7226" w:rsidRDefault="004B5A3E">
            <w:pPr>
              <w:pStyle w:val="TableText0"/>
              <w:rPr>
                <w:szCs w:val="20"/>
              </w:rPr>
            </w:pPr>
            <w:r w:rsidRPr="005A7226">
              <w:rPr>
                <w:szCs w:val="20"/>
              </w:rPr>
              <w:t>0.006</w:t>
            </w:r>
          </w:p>
        </w:tc>
      </w:tr>
      <w:tr w:rsidR="004B5A3E" w:rsidRPr="005A7226" w14:paraId="378259E2" w14:textId="77777777">
        <w:tc>
          <w:tcPr>
            <w:tcW w:w="4164" w:type="pct"/>
            <w:gridSpan w:val="3"/>
            <w:vAlign w:val="center"/>
          </w:tcPr>
          <w:p w14:paraId="07F3F9BE" w14:textId="77777777" w:rsidR="004B5A3E" w:rsidRPr="005A7226" w:rsidRDefault="004B5A3E">
            <w:pPr>
              <w:pStyle w:val="TableText0"/>
              <w:rPr>
                <w:rFonts w:ascii="Times" w:hAnsi="Times"/>
                <w:szCs w:val="20"/>
              </w:rPr>
            </w:pPr>
            <w:r w:rsidRPr="005A7226">
              <w:rPr>
                <w:szCs w:val="20"/>
              </w:rPr>
              <w:t>Incremental cost/extra QALYs gained</w:t>
            </w:r>
          </w:p>
        </w:tc>
        <w:tc>
          <w:tcPr>
            <w:tcW w:w="836" w:type="pct"/>
            <w:vAlign w:val="center"/>
          </w:tcPr>
          <w:p w14:paraId="35C090DE" w14:textId="1E31948B" w:rsidR="004B5A3E" w:rsidRPr="005A7226" w:rsidRDefault="00CF6E6B">
            <w:pPr>
              <w:pStyle w:val="TableText0"/>
              <w:rPr>
                <w:rFonts w:ascii="Times" w:hAnsi="Times"/>
                <w:szCs w:val="20"/>
              </w:rPr>
            </w:pPr>
            <w:r w:rsidRPr="00CF6E6B">
              <w:rPr>
                <w:color w:val="000000"/>
                <w:spacing w:val="53"/>
                <w:szCs w:val="20"/>
                <w:shd w:val="solid" w:color="000000" w:fill="000000"/>
                <w:fitText w:val="330" w:id="-694454784"/>
                <w14:textFill>
                  <w14:solidFill>
                    <w14:srgbClr w14:val="000000">
                      <w14:alpha w14:val="100000"/>
                    </w14:srgbClr>
                  </w14:solidFill>
                </w14:textFill>
              </w:rPr>
              <w:t>|||</w:t>
            </w:r>
            <w:r w:rsidRPr="00CF6E6B">
              <w:rPr>
                <w:color w:val="000000"/>
                <w:spacing w:val="1"/>
                <w:szCs w:val="20"/>
                <w:shd w:val="solid" w:color="000000" w:fill="000000"/>
                <w:fitText w:val="330" w:id="-694454784"/>
                <w14:textFill>
                  <w14:solidFill>
                    <w14:srgbClr w14:val="000000">
                      <w14:alpha w14:val="100000"/>
                    </w14:srgbClr>
                  </w14:solidFill>
                </w14:textFill>
              </w:rPr>
              <w:t>|</w:t>
            </w:r>
            <w:r w:rsidR="00322D6D" w:rsidRPr="00322D6D">
              <w:rPr>
                <w:szCs w:val="20"/>
                <w:vertAlign w:val="superscript"/>
              </w:rPr>
              <w:t>2</w:t>
            </w:r>
          </w:p>
        </w:tc>
      </w:tr>
      <w:tr w:rsidR="004B5A3E" w:rsidRPr="005A7226" w14:paraId="216ED617" w14:textId="77777777">
        <w:tc>
          <w:tcPr>
            <w:tcW w:w="5000" w:type="pct"/>
            <w:gridSpan w:val="4"/>
            <w:vAlign w:val="center"/>
          </w:tcPr>
          <w:p w14:paraId="1EBF06A6" w14:textId="77777777" w:rsidR="004B5A3E" w:rsidRPr="005A7226" w:rsidRDefault="004B5A3E">
            <w:pPr>
              <w:pStyle w:val="In-tableHeading"/>
              <w:rPr>
                <w:szCs w:val="20"/>
                <w:lang w:val="en-AU"/>
              </w:rPr>
            </w:pPr>
            <w:r w:rsidRPr="005A7226">
              <w:rPr>
                <w:szCs w:val="20"/>
                <w:lang w:val="en-AU"/>
              </w:rPr>
              <w:t>Step 4: Model-based analysis with 10-year time horizon, discounting of costs and outcomes</w:t>
            </w:r>
          </w:p>
        </w:tc>
      </w:tr>
      <w:tr w:rsidR="004B5A3E" w:rsidRPr="005A7226" w14:paraId="49650ECE" w14:textId="77777777" w:rsidTr="00CF6E6B">
        <w:tc>
          <w:tcPr>
            <w:tcW w:w="2120" w:type="pct"/>
            <w:vAlign w:val="center"/>
          </w:tcPr>
          <w:p w14:paraId="3417E448" w14:textId="77777777" w:rsidR="004B5A3E" w:rsidRPr="005A7226" w:rsidRDefault="004B5A3E">
            <w:pPr>
              <w:pStyle w:val="TableText0"/>
              <w:rPr>
                <w:rFonts w:ascii="Times" w:hAnsi="Times"/>
                <w:szCs w:val="20"/>
              </w:rPr>
            </w:pPr>
            <w:r w:rsidRPr="005A7226">
              <w:rPr>
                <w:szCs w:val="20"/>
              </w:rPr>
              <w:t>Costs: drug acquisition + resource use</w:t>
            </w:r>
          </w:p>
        </w:tc>
        <w:tc>
          <w:tcPr>
            <w:tcW w:w="1023" w:type="pct"/>
            <w:shd w:val="solid" w:color="000000" w:fill="000000"/>
            <w:vAlign w:val="center"/>
          </w:tcPr>
          <w:p w14:paraId="139D7347" w14:textId="30C5428A" w:rsidR="004B5A3E" w:rsidRPr="005A7226" w:rsidRDefault="00CF6E6B">
            <w:pPr>
              <w:pStyle w:val="TableText0"/>
              <w:rPr>
                <w:rFonts w:ascii="Times" w:hAnsi="Times"/>
                <w:szCs w:val="20"/>
              </w:rPr>
            </w:pPr>
            <w:r w:rsidRPr="00CF6E6B">
              <w:rPr>
                <w:color w:val="000000"/>
                <w:spacing w:val="53"/>
                <w:fitText w:val="330" w:id="-694454783"/>
                <w14:textFill>
                  <w14:solidFill>
                    <w14:srgbClr w14:val="000000">
                      <w14:alpha w14:val="100000"/>
                    </w14:srgbClr>
                  </w14:solidFill>
                </w14:textFill>
              </w:rPr>
              <w:t>|||</w:t>
            </w:r>
            <w:r w:rsidRPr="00CF6E6B">
              <w:rPr>
                <w:color w:val="000000"/>
                <w:spacing w:val="1"/>
                <w:fitText w:val="330" w:id="-694454783"/>
                <w14:textFill>
                  <w14:solidFill>
                    <w14:srgbClr w14:val="000000">
                      <w14:alpha w14:val="100000"/>
                    </w14:srgbClr>
                  </w14:solidFill>
                </w14:textFill>
              </w:rPr>
              <w:t>|</w:t>
            </w:r>
          </w:p>
        </w:tc>
        <w:tc>
          <w:tcPr>
            <w:tcW w:w="1021" w:type="pct"/>
            <w:vAlign w:val="center"/>
          </w:tcPr>
          <w:p w14:paraId="1A5C2B75" w14:textId="77777777" w:rsidR="004B5A3E" w:rsidRPr="005A7226" w:rsidRDefault="004B5A3E">
            <w:pPr>
              <w:pStyle w:val="TableText0"/>
              <w:rPr>
                <w:rFonts w:ascii="Times" w:hAnsi="Times"/>
                <w:szCs w:val="20"/>
              </w:rPr>
            </w:pPr>
            <w:r w:rsidRPr="005A7226">
              <w:t>$896.18</w:t>
            </w:r>
          </w:p>
        </w:tc>
        <w:tc>
          <w:tcPr>
            <w:tcW w:w="836" w:type="pct"/>
            <w:shd w:val="solid" w:color="000000" w:fill="000000"/>
            <w:vAlign w:val="center"/>
          </w:tcPr>
          <w:p w14:paraId="5CFBF7FA" w14:textId="33FC3027" w:rsidR="004B5A3E" w:rsidRPr="005A7226" w:rsidRDefault="00CF6E6B">
            <w:pPr>
              <w:pStyle w:val="TableText0"/>
              <w:rPr>
                <w:rFonts w:ascii="Times" w:hAnsi="Times"/>
                <w:szCs w:val="20"/>
              </w:rPr>
            </w:pPr>
            <w:r w:rsidRPr="00CF6E6B">
              <w:rPr>
                <w:color w:val="000000"/>
                <w:spacing w:val="53"/>
                <w:szCs w:val="20"/>
                <w:fitText w:val="330" w:id="-694454782"/>
                <w14:textFill>
                  <w14:solidFill>
                    <w14:srgbClr w14:val="000000">
                      <w14:alpha w14:val="100000"/>
                    </w14:srgbClr>
                  </w14:solidFill>
                </w14:textFill>
              </w:rPr>
              <w:t>|||</w:t>
            </w:r>
            <w:r w:rsidRPr="00CF6E6B">
              <w:rPr>
                <w:color w:val="000000"/>
                <w:spacing w:val="1"/>
                <w:szCs w:val="20"/>
                <w:fitText w:val="330" w:id="-694454782"/>
                <w14:textFill>
                  <w14:solidFill>
                    <w14:srgbClr w14:val="000000">
                      <w14:alpha w14:val="100000"/>
                    </w14:srgbClr>
                  </w14:solidFill>
                </w14:textFill>
              </w:rPr>
              <w:t>|</w:t>
            </w:r>
          </w:p>
        </w:tc>
      </w:tr>
      <w:tr w:rsidR="004B5A3E" w:rsidRPr="005A7226" w14:paraId="3B1CD688" w14:textId="77777777">
        <w:tc>
          <w:tcPr>
            <w:tcW w:w="2120" w:type="pct"/>
            <w:vAlign w:val="center"/>
          </w:tcPr>
          <w:p w14:paraId="44F5DEA2" w14:textId="77777777" w:rsidR="004B5A3E" w:rsidRPr="005A7226" w:rsidRDefault="004B5A3E">
            <w:pPr>
              <w:pStyle w:val="TableText0"/>
              <w:rPr>
                <w:rFonts w:ascii="Times" w:hAnsi="Times"/>
                <w:szCs w:val="20"/>
              </w:rPr>
            </w:pPr>
            <w:r w:rsidRPr="005A7226">
              <w:rPr>
                <w:szCs w:val="20"/>
              </w:rPr>
              <w:t>Outcome: QALYs</w:t>
            </w:r>
          </w:p>
        </w:tc>
        <w:tc>
          <w:tcPr>
            <w:tcW w:w="1023" w:type="pct"/>
            <w:vAlign w:val="center"/>
          </w:tcPr>
          <w:p w14:paraId="276AD8FA" w14:textId="77777777" w:rsidR="004B5A3E" w:rsidRPr="005A7226" w:rsidRDefault="004B5A3E">
            <w:pPr>
              <w:pStyle w:val="TableText0"/>
              <w:rPr>
                <w:rFonts w:ascii="Times" w:hAnsi="Times"/>
                <w:szCs w:val="20"/>
              </w:rPr>
            </w:pPr>
            <w:r w:rsidRPr="005A7226">
              <w:t>6.278</w:t>
            </w:r>
          </w:p>
        </w:tc>
        <w:tc>
          <w:tcPr>
            <w:tcW w:w="1021" w:type="pct"/>
            <w:vAlign w:val="center"/>
          </w:tcPr>
          <w:p w14:paraId="4912A66B" w14:textId="77777777" w:rsidR="004B5A3E" w:rsidRPr="005A7226" w:rsidRDefault="004B5A3E">
            <w:pPr>
              <w:pStyle w:val="TableText0"/>
              <w:rPr>
                <w:rFonts w:ascii="Times" w:hAnsi="Times"/>
                <w:szCs w:val="20"/>
              </w:rPr>
            </w:pPr>
            <w:r w:rsidRPr="005A7226">
              <w:t>6.187</w:t>
            </w:r>
          </w:p>
        </w:tc>
        <w:tc>
          <w:tcPr>
            <w:tcW w:w="836" w:type="pct"/>
            <w:vAlign w:val="center"/>
          </w:tcPr>
          <w:p w14:paraId="6B87282A" w14:textId="77777777" w:rsidR="004B5A3E" w:rsidRPr="005A7226" w:rsidRDefault="004B5A3E">
            <w:pPr>
              <w:pStyle w:val="TableText0"/>
              <w:rPr>
                <w:szCs w:val="20"/>
              </w:rPr>
            </w:pPr>
            <w:r w:rsidRPr="005A7226">
              <w:rPr>
                <w:szCs w:val="20"/>
              </w:rPr>
              <w:t>0.091</w:t>
            </w:r>
          </w:p>
        </w:tc>
      </w:tr>
      <w:tr w:rsidR="004B5A3E" w:rsidRPr="005A7226" w14:paraId="5C6C6538" w14:textId="77777777">
        <w:tc>
          <w:tcPr>
            <w:tcW w:w="4164" w:type="pct"/>
            <w:gridSpan w:val="3"/>
            <w:vAlign w:val="center"/>
          </w:tcPr>
          <w:p w14:paraId="5C5F023C" w14:textId="77777777" w:rsidR="004B5A3E" w:rsidRPr="005A7226" w:rsidRDefault="004B5A3E">
            <w:pPr>
              <w:pStyle w:val="TableText0"/>
              <w:rPr>
                <w:rFonts w:ascii="Times" w:hAnsi="Times"/>
                <w:b/>
                <w:szCs w:val="20"/>
              </w:rPr>
            </w:pPr>
            <w:r w:rsidRPr="005A7226">
              <w:rPr>
                <w:b/>
                <w:szCs w:val="20"/>
              </w:rPr>
              <w:t>Incremental cost/extra QALY gained (base case)</w:t>
            </w:r>
          </w:p>
        </w:tc>
        <w:tc>
          <w:tcPr>
            <w:tcW w:w="836" w:type="pct"/>
            <w:vAlign w:val="center"/>
          </w:tcPr>
          <w:p w14:paraId="43E5A80A" w14:textId="2359CC9C" w:rsidR="004B5A3E" w:rsidRPr="005A7226" w:rsidRDefault="00CF6E6B">
            <w:pPr>
              <w:pStyle w:val="TableText0"/>
              <w:rPr>
                <w:rFonts w:ascii="Times" w:hAnsi="Times"/>
                <w:b/>
                <w:szCs w:val="20"/>
              </w:rPr>
            </w:pPr>
            <w:r w:rsidRPr="00B24620">
              <w:rPr>
                <w:b/>
                <w:color w:val="000000"/>
                <w:spacing w:val="55"/>
                <w:szCs w:val="20"/>
                <w:shd w:val="solid" w:color="000000" w:fill="000000"/>
                <w:fitText w:val="350" w:id="-694454781"/>
                <w14:textFill>
                  <w14:solidFill>
                    <w14:srgbClr w14:val="000000">
                      <w14:alpha w14:val="100000"/>
                    </w14:srgbClr>
                  </w14:solidFill>
                </w14:textFill>
              </w:rPr>
              <w:t>|||</w:t>
            </w:r>
            <w:r w:rsidRPr="00B24620">
              <w:rPr>
                <w:b/>
                <w:color w:val="000000"/>
                <w:spacing w:val="2"/>
                <w:szCs w:val="20"/>
                <w:shd w:val="solid" w:color="000000" w:fill="000000"/>
                <w:fitText w:val="350" w:id="-694454781"/>
                <w14:textFill>
                  <w14:solidFill>
                    <w14:srgbClr w14:val="000000">
                      <w14:alpha w14:val="100000"/>
                    </w14:srgbClr>
                  </w14:solidFill>
                </w14:textFill>
              </w:rPr>
              <w:t>|</w:t>
            </w:r>
            <w:r w:rsidR="003B5E10" w:rsidRPr="003B5E10">
              <w:rPr>
                <w:b/>
                <w:szCs w:val="20"/>
                <w:vertAlign w:val="superscript"/>
              </w:rPr>
              <w:t>3</w:t>
            </w:r>
          </w:p>
        </w:tc>
      </w:tr>
    </w:tbl>
    <w:p w14:paraId="4573EA2A" w14:textId="77777777" w:rsidR="004B5A3E" w:rsidRPr="005A7226" w:rsidRDefault="004B5A3E" w:rsidP="004B5A3E">
      <w:pPr>
        <w:pStyle w:val="FooterTableFigure"/>
      </w:pPr>
      <w:r w:rsidRPr="005A7226">
        <w:t>Source: Table 3.9-1, p176 of the submission.</w:t>
      </w:r>
    </w:p>
    <w:p w14:paraId="32B678DC" w14:textId="77777777" w:rsidR="0041777D" w:rsidRDefault="004B5A3E" w:rsidP="0041777D">
      <w:pPr>
        <w:pStyle w:val="FooterTableFigure"/>
        <w:rPr>
          <w:i/>
          <w:iCs/>
        </w:rPr>
      </w:pPr>
      <w:r w:rsidRPr="005A7226">
        <w:t>VMS=vasomotor symptoms, QALYs=quality-adjusted life-years.</w:t>
      </w:r>
      <w:r w:rsidR="0041777D" w:rsidRPr="0041777D">
        <w:rPr>
          <w:i/>
          <w:iCs/>
        </w:rPr>
        <w:t xml:space="preserve"> </w:t>
      </w:r>
    </w:p>
    <w:p w14:paraId="428597BB" w14:textId="7A6FEBD0" w:rsidR="0041777D" w:rsidRPr="0041777D" w:rsidRDefault="0041777D" w:rsidP="0041777D">
      <w:pPr>
        <w:pStyle w:val="FooterTableFigure"/>
      </w:pPr>
      <w:r w:rsidRPr="0041777D">
        <w:rPr>
          <w:i/>
          <w:iCs/>
        </w:rPr>
        <w:t>The redacted values correspond to the following ranges:</w:t>
      </w:r>
    </w:p>
    <w:p w14:paraId="4B546571" w14:textId="093B817C" w:rsidR="00222635" w:rsidRPr="00222635" w:rsidRDefault="0041777D" w:rsidP="00222635">
      <w:pPr>
        <w:pStyle w:val="FooterTableFigure"/>
        <w:rPr>
          <w:i/>
          <w:iCs/>
        </w:rPr>
      </w:pPr>
      <w:r w:rsidRPr="0041777D">
        <w:rPr>
          <w:i/>
          <w:iCs/>
          <w:vertAlign w:val="superscript"/>
        </w:rPr>
        <w:t xml:space="preserve">1 </w:t>
      </w:r>
      <w:r w:rsidRPr="0041777D">
        <w:rPr>
          <w:i/>
          <w:iCs/>
        </w:rPr>
        <w:t>$</w:t>
      </w:r>
      <w:r w:rsidR="00222635" w:rsidRPr="00222635">
        <w:rPr>
          <w:i/>
          <w:iCs/>
        </w:rPr>
        <w:t>0 to &lt; $5,000</w:t>
      </w:r>
    </w:p>
    <w:p w14:paraId="12AC005F" w14:textId="0A796B11" w:rsidR="00CC1AED" w:rsidRPr="00CC1AED" w:rsidRDefault="00CC1AED" w:rsidP="00CC1AED">
      <w:pPr>
        <w:pStyle w:val="FooterTableFigure"/>
        <w:rPr>
          <w:i/>
          <w:iCs/>
        </w:rPr>
      </w:pPr>
      <w:r w:rsidRPr="00CC1AED">
        <w:rPr>
          <w:i/>
          <w:iCs/>
          <w:vertAlign w:val="superscript"/>
        </w:rPr>
        <w:t>2</w:t>
      </w:r>
      <w:r>
        <w:rPr>
          <w:i/>
          <w:iCs/>
        </w:rPr>
        <w:t xml:space="preserve"> </w:t>
      </w:r>
      <w:r w:rsidRPr="00CC1AED">
        <w:rPr>
          <w:i/>
          <w:iCs/>
        </w:rPr>
        <w:t xml:space="preserve">$95,000 to &lt; $115,000 </w:t>
      </w:r>
    </w:p>
    <w:p w14:paraId="0AEB186A" w14:textId="5FC030AD" w:rsidR="004B5A3E" w:rsidRPr="005A7226" w:rsidRDefault="00CD32D8" w:rsidP="004B5A3E">
      <w:pPr>
        <w:pStyle w:val="FooterTableFigure"/>
        <w:rPr>
          <w:rStyle w:val="CommentReference"/>
          <w:b w:val="0"/>
          <w:sz w:val="18"/>
          <w:szCs w:val="22"/>
        </w:rPr>
      </w:pPr>
      <w:r>
        <w:rPr>
          <w:i/>
          <w:iCs/>
          <w:vertAlign w:val="superscript"/>
        </w:rPr>
        <w:t>3</w:t>
      </w:r>
      <w:r w:rsidR="0041777D" w:rsidRPr="0041777D">
        <w:rPr>
          <w:i/>
          <w:iCs/>
        </w:rPr>
        <w:t>$35,000 to &lt; $45,000</w:t>
      </w:r>
    </w:p>
    <w:p w14:paraId="78145519" w14:textId="6B184871" w:rsidR="004B5A3E" w:rsidRPr="005A7226" w:rsidRDefault="004B5A3E" w:rsidP="004B5A3E">
      <w:pPr>
        <w:widowControl w:val="0"/>
        <w:numPr>
          <w:ilvl w:val="1"/>
          <w:numId w:val="1"/>
        </w:numPr>
        <w:spacing w:after="120"/>
        <w:ind w:left="720"/>
      </w:pPr>
      <w:r w:rsidRPr="005A7226">
        <w:t xml:space="preserve">The estimated base case ICER for the proposed scenario (fezolinetant) versus the current scenario (no treatment) was </w:t>
      </w:r>
      <w:r w:rsidRPr="007F3475">
        <w:t>$</w:t>
      </w:r>
      <w:r w:rsidR="00BF3153" w:rsidRPr="007F3475">
        <w:t>35,000 to &lt; $45,000</w:t>
      </w:r>
      <w:r w:rsidR="005E383E">
        <w:rPr>
          <w:i/>
          <w:iCs/>
        </w:rPr>
        <w:t xml:space="preserve"> </w:t>
      </w:r>
      <w:r w:rsidRPr="005A7226">
        <w:t xml:space="preserve">per QALY gained. The ESC noted that disaggregated costs show drug acquisition is the key driver, due to very small offsets. </w:t>
      </w:r>
    </w:p>
    <w:p w14:paraId="3F11A1EF" w14:textId="77777777" w:rsidR="004B5A3E" w:rsidRPr="005A7226" w:rsidRDefault="004B5A3E" w:rsidP="004B5A3E">
      <w:pPr>
        <w:widowControl w:val="0"/>
        <w:numPr>
          <w:ilvl w:val="1"/>
          <w:numId w:val="1"/>
        </w:numPr>
        <w:spacing w:after="120"/>
        <w:ind w:left="720"/>
      </w:pPr>
      <w:r w:rsidRPr="005A7226">
        <w:t>The ESC considered the ICER was driven by assumptions around ongoing effect and although fairly robust to the inputs tested, was uncertain because of assumptions in the model structure that could not be tested, extrapolation of treatment effect beyond the trial, assuming no waning of effect, and mapping of EQ-5D-5L to UK-5D-3L values.</w:t>
      </w:r>
    </w:p>
    <w:p w14:paraId="227E1F6C" w14:textId="22B0EC37" w:rsidR="004B5A3E" w:rsidRPr="005A7226" w:rsidRDefault="004B5A3E" w:rsidP="004B5A3E">
      <w:pPr>
        <w:widowControl w:val="0"/>
        <w:numPr>
          <w:ilvl w:val="1"/>
          <w:numId w:val="1"/>
        </w:numPr>
        <w:spacing w:after="120"/>
        <w:ind w:left="720"/>
      </w:pPr>
      <w:r w:rsidRPr="005A7226">
        <w:t xml:space="preserve">The results of key univariate and multivariate sensitivity analyses are summarised in </w:t>
      </w:r>
      <w:r w:rsidR="00A444B3">
        <w:fldChar w:fldCharType="begin"/>
      </w:r>
      <w:r w:rsidR="00A444B3">
        <w:instrText xml:space="preserve"> REF _Ref195109413 \h </w:instrText>
      </w:r>
      <w:r w:rsidR="00A444B3">
        <w:fldChar w:fldCharType="separate"/>
      </w:r>
      <w:r w:rsidR="00B11DA2" w:rsidRPr="005A7226">
        <w:t xml:space="preserve">Table </w:t>
      </w:r>
      <w:r w:rsidR="00B11DA2">
        <w:rPr>
          <w:noProof/>
        </w:rPr>
        <w:t>14</w:t>
      </w:r>
      <w:r w:rsidR="00A444B3">
        <w:fldChar w:fldCharType="end"/>
      </w:r>
      <w:r w:rsidRPr="005A7226">
        <w:t>.</w:t>
      </w:r>
    </w:p>
    <w:p w14:paraId="5B8844A7" w14:textId="334979FC" w:rsidR="004B5A3E" w:rsidRPr="005A7226" w:rsidRDefault="004B5A3E" w:rsidP="004B5A3E">
      <w:pPr>
        <w:pStyle w:val="Caption"/>
        <w:rPr>
          <w:rStyle w:val="CommentReference"/>
          <w:b/>
          <w:szCs w:val="24"/>
        </w:rPr>
      </w:pPr>
      <w:bookmarkStart w:id="64" w:name="_Ref195109413"/>
      <w:r w:rsidRPr="005A7226">
        <w:t xml:space="preserve">Table </w:t>
      </w:r>
      <w:r w:rsidRPr="005A7226">
        <w:fldChar w:fldCharType="begin"/>
      </w:r>
      <w:r w:rsidRPr="005A7226">
        <w:instrText>SEQ Table \* ARABIC</w:instrText>
      </w:r>
      <w:r w:rsidRPr="005A7226">
        <w:fldChar w:fldCharType="separate"/>
      </w:r>
      <w:r w:rsidR="00B11DA2">
        <w:rPr>
          <w:noProof/>
        </w:rPr>
        <w:t>14</w:t>
      </w:r>
      <w:r w:rsidRPr="005A7226">
        <w:fldChar w:fldCharType="end"/>
      </w:r>
      <w:bookmarkEnd w:id="64"/>
      <w:r w:rsidRPr="005A7226">
        <w:t>:</w:t>
      </w:r>
      <w:r w:rsidRPr="005A7226">
        <w:rPr>
          <w:rStyle w:val="CommentReference"/>
          <w:b/>
          <w:szCs w:val="24"/>
        </w:rPr>
        <w:t xml:space="preserve"> Sensitivity analyses</w:t>
      </w:r>
    </w:p>
    <w:tbl>
      <w:tblPr>
        <w:tblStyle w:val="PBAClayout"/>
        <w:tblW w:w="5000" w:type="pct"/>
        <w:tblLook w:val="04A0" w:firstRow="1" w:lastRow="0" w:firstColumn="1" w:lastColumn="0" w:noHBand="0" w:noVBand="1"/>
        <w:tblCaption w:val="Table 14: Sensitivity analyses"/>
      </w:tblPr>
      <w:tblGrid>
        <w:gridCol w:w="4815"/>
        <w:gridCol w:w="851"/>
        <w:gridCol w:w="849"/>
        <w:gridCol w:w="1003"/>
        <w:gridCol w:w="1499"/>
      </w:tblGrid>
      <w:tr w:rsidR="004B5A3E" w:rsidRPr="005A7226" w14:paraId="6ACA96E2" w14:textId="77777777" w:rsidTr="00CF6E6B">
        <w:trPr>
          <w:trHeight w:val="20"/>
          <w:tblHeader/>
        </w:trPr>
        <w:tc>
          <w:tcPr>
            <w:tcW w:w="2670" w:type="pct"/>
          </w:tcPr>
          <w:p w14:paraId="15BEB361" w14:textId="77777777" w:rsidR="004B5A3E" w:rsidRPr="005A7226" w:rsidRDefault="004B5A3E">
            <w:pPr>
              <w:pStyle w:val="In-tableHeading"/>
              <w:keepLines/>
              <w:widowControl w:val="0"/>
              <w:rPr>
                <w:lang w:val="en-AU"/>
              </w:rPr>
            </w:pPr>
            <w:r w:rsidRPr="005A7226">
              <w:rPr>
                <w:lang w:val="en-AU"/>
              </w:rPr>
              <w:t>Analyses</w:t>
            </w:r>
          </w:p>
        </w:tc>
        <w:tc>
          <w:tcPr>
            <w:tcW w:w="472" w:type="pct"/>
            <w:tcBorders>
              <w:bottom w:val="single" w:sz="4" w:space="0" w:color="auto"/>
            </w:tcBorders>
          </w:tcPr>
          <w:p w14:paraId="4FF45B9E" w14:textId="77777777" w:rsidR="004B5A3E" w:rsidRPr="005A7226" w:rsidRDefault="004B5A3E">
            <w:pPr>
              <w:pStyle w:val="In-tableHeading"/>
              <w:keepLines/>
              <w:widowControl w:val="0"/>
              <w:jc w:val="center"/>
              <w:rPr>
                <w:lang w:val="en-AU"/>
              </w:rPr>
            </w:pPr>
            <w:r w:rsidRPr="005A7226">
              <w:rPr>
                <w:lang w:val="en-AU"/>
              </w:rPr>
              <w:t>Inc. cost</w:t>
            </w:r>
          </w:p>
        </w:tc>
        <w:tc>
          <w:tcPr>
            <w:tcW w:w="471" w:type="pct"/>
          </w:tcPr>
          <w:p w14:paraId="6C6B8BE5" w14:textId="77777777" w:rsidR="004B5A3E" w:rsidRPr="005A7226" w:rsidRDefault="004B5A3E">
            <w:pPr>
              <w:pStyle w:val="In-tableHeading"/>
              <w:keepLines/>
              <w:widowControl w:val="0"/>
              <w:jc w:val="center"/>
              <w:rPr>
                <w:lang w:val="en-AU"/>
              </w:rPr>
            </w:pPr>
            <w:r w:rsidRPr="005A7226">
              <w:rPr>
                <w:lang w:val="en-AU"/>
              </w:rPr>
              <w:t>Inc. QALY</w:t>
            </w:r>
          </w:p>
        </w:tc>
        <w:tc>
          <w:tcPr>
            <w:tcW w:w="556" w:type="pct"/>
          </w:tcPr>
          <w:p w14:paraId="74E2C5AD" w14:textId="77777777" w:rsidR="004B5A3E" w:rsidRPr="005A7226" w:rsidRDefault="004B5A3E">
            <w:pPr>
              <w:pStyle w:val="In-tableHeading"/>
              <w:keepLines/>
              <w:widowControl w:val="0"/>
              <w:jc w:val="center"/>
              <w:rPr>
                <w:lang w:val="en-AU"/>
              </w:rPr>
            </w:pPr>
            <w:r w:rsidRPr="005A7226">
              <w:rPr>
                <w:lang w:val="en-AU"/>
              </w:rPr>
              <w:t>ICER</w:t>
            </w:r>
          </w:p>
        </w:tc>
        <w:tc>
          <w:tcPr>
            <w:tcW w:w="831" w:type="pct"/>
          </w:tcPr>
          <w:p w14:paraId="3AC676DC" w14:textId="77777777" w:rsidR="004B5A3E" w:rsidRPr="005A7226" w:rsidRDefault="004B5A3E">
            <w:pPr>
              <w:pStyle w:val="In-tableHeading"/>
              <w:keepLines/>
              <w:widowControl w:val="0"/>
              <w:jc w:val="center"/>
              <w:rPr>
                <w:lang w:val="en-AU"/>
              </w:rPr>
            </w:pPr>
            <w:r w:rsidRPr="005A7226">
              <w:rPr>
                <w:lang w:val="en-AU"/>
              </w:rPr>
              <w:t>% Change in ICER</w:t>
            </w:r>
          </w:p>
        </w:tc>
      </w:tr>
      <w:tr w:rsidR="004B5A3E" w:rsidRPr="005A7226" w14:paraId="6E607C55" w14:textId="77777777" w:rsidTr="00CF6E6B">
        <w:trPr>
          <w:trHeight w:val="20"/>
        </w:trPr>
        <w:tc>
          <w:tcPr>
            <w:tcW w:w="2670" w:type="pct"/>
          </w:tcPr>
          <w:p w14:paraId="790B4872" w14:textId="77777777" w:rsidR="004B5A3E" w:rsidRPr="005A7226" w:rsidRDefault="004B5A3E">
            <w:pPr>
              <w:pStyle w:val="TableText0"/>
              <w:keepLines/>
              <w:widowControl w:val="0"/>
              <w:rPr>
                <w:b/>
              </w:rPr>
            </w:pPr>
            <w:r w:rsidRPr="005A7226">
              <w:rPr>
                <w:b/>
              </w:rPr>
              <w:t>Base case</w:t>
            </w:r>
          </w:p>
        </w:tc>
        <w:tc>
          <w:tcPr>
            <w:tcW w:w="472" w:type="pct"/>
            <w:shd w:val="solid" w:color="000000" w:fill="000000"/>
            <w:vAlign w:val="top"/>
          </w:tcPr>
          <w:p w14:paraId="40E7306E" w14:textId="401F40C0" w:rsidR="004B5A3E" w:rsidRPr="005A7226" w:rsidRDefault="00CF6E6B">
            <w:pPr>
              <w:pStyle w:val="TableText0"/>
              <w:keepLines/>
              <w:widowControl w:val="0"/>
              <w:jc w:val="center"/>
              <w:rPr>
                <w:b/>
              </w:rPr>
            </w:pPr>
            <w:r w:rsidRPr="00CF6E6B">
              <w:rPr>
                <w:b/>
                <w:color w:val="000000"/>
                <w:spacing w:val="98"/>
                <w:fitText w:val="190" w:id="-694454780"/>
                <w14:textFill>
                  <w14:solidFill>
                    <w14:srgbClr w14:val="000000">
                      <w14:alpha w14:val="100000"/>
                    </w14:srgbClr>
                  </w14:solidFill>
                </w14:textFill>
              </w:rPr>
              <w:t>|</w:t>
            </w:r>
            <w:r w:rsidRPr="00CF6E6B">
              <w:rPr>
                <w:b/>
                <w:color w:val="000000"/>
                <w:fitText w:val="190" w:id="-694454780"/>
                <w14:textFill>
                  <w14:solidFill>
                    <w14:srgbClr w14:val="000000">
                      <w14:alpha w14:val="100000"/>
                    </w14:srgbClr>
                  </w14:solidFill>
                </w14:textFill>
              </w:rPr>
              <w:t>|</w:t>
            </w:r>
          </w:p>
        </w:tc>
        <w:tc>
          <w:tcPr>
            <w:tcW w:w="471" w:type="pct"/>
            <w:vAlign w:val="top"/>
          </w:tcPr>
          <w:p w14:paraId="0039BEE9" w14:textId="77777777" w:rsidR="004B5A3E" w:rsidRPr="005A7226" w:rsidRDefault="004B5A3E">
            <w:pPr>
              <w:pStyle w:val="TableText0"/>
              <w:keepLines/>
              <w:widowControl w:val="0"/>
              <w:jc w:val="center"/>
              <w:rPr>
                <w:b/>
              </w:rPr>
            </w:pPr>
            <w:r w:rsidRPr="005A7226">
              <w:rPr>
                <w:b/>
              </w:rPr>
              <w:t>0.09</w:t>
            </w:r>
          </w:p>
        </w:tc>
        <w:tc>
          <w:tcPr>
            <w:tcW w:w="556" w:type="pct"/>
            <w:vAlign w:val="top"/>
          </w:tcPr>
          <w:p w14:paraId="425DA70B" w14:textId="5C049DDC" w:rsidR="004B5A3E" w:rsidRPr="005A7226" w:rsidRDefault="00CF6E6B">
            <w:pPr>
              <w:pStyle w:val="TableText0"/>
              <w:keepLines/>
              <w:widowControl w:val="0"/>
              <w:jc w:val="center"/>
              <w:rPr>
                <w:b/>
              </w:rPr>
            </w:pPr>
            <w:r w:rsidRPr="00CF6E6B">
              <w:rPr>
                <w:rFonts w:hint="eastAsia"/>
                <w:b/>
                <w:color w:val="000000"/>
                <w:w w:val="31"/>
                <w:shd w:val="solid" w:color="000000" w:fill="000000"/>
                <w:fitText w:val="140" w:id="-694454779"/>
                <w14:textFill>
                  <w14:solidFill>
                    <w14:srgbClr w14:val="000000">
                      <w14:alpha w14:val="100000"/>
                    </w14:srgbClr>
                  </w14:solidFill>
                </w14:textFill>
              </w:rPr>
              <w:t xml:space="preserve">　</w:t>
            </w:r>
            <w:r w:rsidRPr="00CF6E6B">
              <w:rPr>
                <w:b/>
                <w:color w:val="000000"/>
                <w:w w:val="31"/>
                <w:shd w:val="solid" w:color="000000" w:fill="000000"/>
                <w:fitText w:val="140" w:id="-694454779"/>
                <w14:textFill>
                  <w14:solidFill>
                    <w14:srgbClr w14:val="000000">
                      <w14:alpha w14:val="100000"/>
                    </w14:srgbClr>
                  </w14:solidFill>
                </w14:textFill>
              </w:rPr>
              <w:t>|</w:t>
            </w:r>
            <w:r w:rsidRPr="00CF6E6B">
              <w:rPr>
                <w:rFonts w:hint="eastAsia"/>
                <w:b/>
                <w:color w:val="000000"/>
                <w:spacing w:val="3"/>
                <w:w w:val="31"/>
                <w:shd w:val="solid" w:color="000000" w:fill="000000"/>
                <w:fitText w:val="140" w:id="-694454779"/>
                <w14:textFill>
                  <w14:solidFill>
                    <w14:srgbClr w14:val="000000">
                      <w14:alpha w14:val="100000"/>
                    </w14:srgbClr>
                  </w14:solidFill>
                </w14:textFill>
              </w:rPr>
              <w:t xml:space="preserve">　</w:t>
            </w:r>
            <w:r w:rsidR="00153367" w:rsidRPr="00153367">
              <w:rPr>
                <w:b/>
                <w:vertAlign w:val="superscript"/>
              </w:rPr>
              <w:t>1</w:t>
            </w:r>
          </w:p>
        </w:tc>
        <w:tc>
          <w:tcPr>
            <w:tcW w:w="831" w:type="pct"/>
          </w:tcPr>
          <w:p w14:paraId="1DDE25E5" w14:textId="77777777" w:rsidR="004B5A3E" w:rsidRPr="005A7226" w:rsidRDefault="004B5A3E">
            <w:pPr>
              <w:pStyle w:val="TableText0"/>
              <w:keepLines/>
              <w:widowControl w:val="0"/>
              <w:jc w:val="center"/>
              <w:rPr>
                <w:b/>
              </w:rPr>
            </w:pPr>
            <w:r w:rsidRPr="005A7226">
              <w:rPr>
                <w:b/>
              </w:rPr>
              <w:t>-</w:t>
            </w:r>
          </w:p>
        </w:tc>
      </w:tr>
      <w:tr w:rsidR="004B5A3E" w:rsidRPr="005A7226" w14:paraId="2E7FFF7B" w14:textId="77777777">
        <w:trPr>
          <w:trHeight w:val="20"/>
        </w:trPr>
        <w:tc>
          <w:tcPr>
            <w:tcW w:w="5000" w:type="pct"/>
            <w:gridSpan w:val="5"/>
          </w:tcPr>
          <w:p w14:paraId="068EC749" w14:textId="77777777" w:rsidR="004B5A3E" w:rsidRPr="005A7226" w:rsidRDefault="004B5A3E">
            <w:pPr>
              <w:pStyle w:val="TableText0"/>
              <w:keepLines/>
              <w:widowControl w:val="0"/>
              <w:rPr>
                <w:b/>
                <w:bCs w:val="0"/>
              </w:rPr>
            </w:pPr>
            <w:r w:rsidRPr="005A7226">
              <w:rPr>
                <w:b/>
                <w:bCs w:val="0"/>
              </w:rPr>
              <w:t>Discount rate (base case 5% costs and outcomes)</w:t>
            </w:r>
          </w:p>
        </w:tc>
      </w:tr>
      <w:tr w:rsidR="004B5A3E" w:rsidRPr="005A7226" w14:paraId="501D0155" w14:textId="77777777" w:rsidTr="00CF6E6B">
        <w:trPr>
          <w:trHeight w:val="20"/>
        </w:trPr>
        <w:tc>
          <w:tcPr>
            <w:tcW w:w="2670" w:type="pct"/>
          </w:tcPr>
          <w:p w14:paraId="7F78E1DA" w14:textId="77777777" w:rsidR="004B5A3E" w:rsidRPr="005A7226" w:rsidRDefault="004B5A3E">
            <w:pPr>
              <w:pStyle w:val="TableText0"/>
              <w:keepLines/>
              <w:widowControl w:val="0"/>
              <w:ind w:left="360"/>
            </w:pPr>
            <w:r w:rsidRPr="005A7226">
              <w:t>0% costs and outcomes</w:t>
            </w:r>
          </w:p>
        </w:tc>
        <w:tc>
          <w:tcPr>
            <w:tcW w:w="472" w:type="pct"/>
            <w:tcBorders>
              <w:bottom w:val="single" w:sz="4" w:space="0" w:color="auto"/>
            </w:tcBorders>
            <w:shd w:val="solid" w:color="000000" w:fill="000000"/>
          </w:tcPr>
          <w:p w14:paraId="5B7D7609" w14:textId="679E9FB0" w:rsidR="004B5A3E" w:rsidRPr="00FA218D" w:rsidRDefault="00CF6E6B">
            <w:pPr>
              <w:pStyle w:val="TableText0"/>
              <w:keepLines/>
              <w:widowControl w:val="0"/>
              <w:jc w:val="center"/>
              <w:rPr>
                <w:highlight w:val="darkGray"/>
              </w:rPr>
            </w:pPr>
            <w:r w:rsidRPr="00CF6E6B">
              <w:rPr>
                <w:rFonts w:hint="eastAsia"/>
                <w:color w:val="000000"/>
                <w:w w:val="33"/>
                <w:fitText w:val="150" w:id="-694454778"/>
                <w14:textFill>
                  <w14:solidFill>
                    <w14:srgbClr w14:val="000000">
                      <w14:alpha w14:val="100000"/>
                    </w14:srgbClr>
                  </w14:solidFill>
                </w14:textFill>
              </w:rPr>
              <w:t xml:space="preserve">　</w:t>
            </w:r>
            <w:r w:rsidRPr="00CF6E6B">
              <w:rPr>
                <w:color w:val="000000"/>
                <w:w w:val="33"/>
                <w:fitText w:val="150" w:id="-694454778"/>
                <w14:textFill>
                  <w14:solidFill>
                    <w14:srgbClr w14:val="000000">
                      <w14:alpha w14:val="100000"/>
                    </w14:srgbClr>
                  </w14:solidFill>
                </w14:textFill>
              </w:rPr>
              <w:t>|</w:t>
            </w:r>
            <w:r w:rsidRPr="00CF6E6B">
              <w:rPr>
                <w:rFonts w:hint="eastAsia"/>
                <w:color w:val="000000"/>
                <w:w w:val="33"/>
                <w:fitText w:val="150" w:id="-694454778"/>
                <w14:textFill>
                  <w14:solidFill>
                    <w14:srgbClr w14:val="000000">
                      <w14:alpha w14:val="100000"/>
                    </w14:srgbClr>
                  </w14:solidFill>
                </w14:textFill>
              </w:rPr>
              <w:t xml:space="preserve">　</w:t>
            </w:r>
          </w:p>
        </w:tc>
        <w:tc>
          <w:tcPr>
            <w:tcW w:w="471" w:type="pct"/>
          </w:tcPr>
          <w:p w14:paraId="77260B43" w14:textId="77777777" w:rsidR="004B5A3E" w:rsidRPr="005A7226" w:rsidRDefault="004B5A3E">
            <w:pPr>
              <w:pStyle w:val="TableText0"/>
              <w:keepLines/>
              <w:widowControl w:val="0"/>
              <w:jc w:val="center"/>
            </w:pPr>
            <w:r w:rsidRPr="005A7226">
              <w:t>0.11</w:t>
            </w:r>
          </w:p>
        </w:tc>
        <w:tc>
          <w:tcPr>
            <w:tcW w:w="556" w:type="pct"/>
          </w:tcPr>
          <w:p w14:paraId="098AFAEF" w14:textId="5435A879"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7"/>
                <w14:textFill>
                  <w14:solidFill>
                    <w14:srgbClr w14:val="000000">
                      <w14:alpha w14:val="100000"/>
                    </w14:srgbClr>
                  </w14:solidFill>
                </w14:textFill>
              </w:rPr>
              <w:t xml:space="preserve">　</w:t>
            </w:r>
            <w:r w:rsidRPr="00CF6E6B">
              <w:rPr>
                <w:color w:val="000000"/>
                <w:w w:val="22"/>
                <w:shd w:val="solid" w:color="000000" w:fill="000000"/>
                <w:fitText w:val="100" w:id="-694454777"/>
                <w14:textFill>
                  <w14:solidFill>
                    <w14:srgbClr w14:val="000000">
                      <w14:alpha w14:val="100000"/>
                    </w14:srgbClr>
                  </w14:solidFill>
                </w14:textFill>
              </w:rPr>
              <w:t>|</w:t>
            </w:r>
            <w:r w:rsidRPr="00CF6E6B">
              <w:rPr>
                <w:rFonts w:hint="eastAsia"/>
                <w:color w:val="000000"/>
                <w:spacing w:val="3"/>
                <w:w w:val="22"/>
                <w:shd w:val="solid" w:color="000000" w:fill="000000"/>
                <w:fitText w:val="100" w:id="-694454777"/>
                <w14:textFill>
                  <w14:solidFill>
                    <w14:srgbClr w14:val="000000">
                      <w14:alpha w14:val="100000"/>
                    </w14:srgbClr>
                  </w14:solidFill>
                </w14:textFill>
              </w:rPr>
              <w:t xml:space="preserve">　</w:t>
            </w:r>
            <w:r w:rsidR="00153367" w:rsidRPr="00153367">
              <w:rPr>
                <w:b/>
                <w:vertAlign w:val="superscript"/>
              </w:rPr>
              <w:t>1</w:t>
            </w:r>
          </w:p>
        </w:tc>
        <w:tc>
          <w:tcPr>
            <w:tcW w:w="831" w:type="pct"/>
          </w:tcPr>
          <w:p w14:paraId="33C96463" w14:textId="11837709"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561EC202" w14:textId="77777777" w:rsidTr="00CF6E6B">
        <w:trPr>
          <w:trHeight w:val="20"/>
        </w:trPr>
        <w:tc>
          <w:tcPr>
            <w:tcW w:w="2670" w:type="pct"/>
          </w:tcPr>
          <w:p w14:paraId="03C8EBC8" w14:textId="77777777" w:rsidR="004B5A3E" w:rsidRPr="005A7226" w:rsidRDefault="004B5A3E">
            <w:pPr>
              <w:pStyle w:val="TableText0"/>
              <w:keepLines/>
              <w:widowControl w:val="0"/>
              <w:ind w:left="360"/>
            </w:pPr>
            <w:r w:rsidRPr="005A7226">
              <w:t>3.5% costs and outcomes</w:t>
            </w:r>
          </w:p>
        </w:tc>
        <w:tc>
          <w:tcPr>
            <w:tcW w:w="472" w:type="pct"/>
            <w:shd w:val="solid" w:color="000000" w:fill="000000"/>
          </w:tcPr>
          <w:p w14:paraId="4E09F939" w14:textId="5AA3E4C1" w:rsidR="004B5A3E" w:rsidRPr="00FA218D" w:rsidRDefault="00CF6E6B">
            <w:pPr>
              <w:pStyle w:val="TableText0"/>
              <w:keepLines/>
              <w:widowControl w:val="0"/>
              <w:jc w:val="center"/>
              <w:rPr>
                <w:highlight w:val="darkGray"/>
              </w:rPr>
            </w:pPr>
            <w:r w:rsidRPr="00CF6E6B">
              <w:rPr>
                <w:rFonts w:hint="eastAsia"/>
                <w:color w:val="000000"/>
                <w:w w:val="33"/>
                <w:fitText w:val="150" w:id="-694454776"/>
                <w14:textFill>
                  <w14:solidFill>
                    <w14:srgbClr w14:val="000000">
                      <w14:alpha w14:val="100000"/>
                    </w14:srgbClr>
                  </w14:solidFill>
                </w14:textFill>
              </w:rPr>
              <w:t xml:space="preserve">　</w:t>
            </w:r>
            <w:r w:rsidRPr="00CF6E6B">
              <w:rPr>
                <w:color w:val="000000"/>
                <w:w w:val="33"/>
                <w:fitText w:val="150" w:id="-694454776"/>
                <w14:textFill>
                  <w14:solidFill>
                    <w14:srgbClr w14:val="000000">
                      <w14:alpha w14:val="100000"/>
                    </w14:srgbClr>
                  </w14:solidFill>
                </w14:textFill>
              </w:rPr>
              <w:t>|</w:t>
            </w:r>
            <w:r w:rsidRPr="00CF6E6B">
              <w:rPr>
                <w:rFonts w:hint="eastAsia"/>
                <w:color w:val="000000"/>
                <w:w w:val="33"/>
                <w:fitText w:val="150" w:id="-694454776"/>
                <w14:textFill>
                  <w14:solidFill>
                    <w14:srgbClr w14:val="000000">
                      <w14:alpha w14:val="100000"/>
                    </w14:srgbClr>
                  </w14:solidFill>
                </w14:textFill>
              </w:rPr>
              <w:t xml:space="preserve">　</w:t>
            </w:r>
          </w:p>
        </w:tc>
        <w:tc>
          <w:tcPr>
            <w:tcW w:w="471" w:type="pct"/>
          </w:tcPr>
          <w:p w14:paraId="6FAAE7EE" w14:textId="77777777" w:rsidR="004B5A3E" w:rsidRPr="005A7226" w:rsidRDefault="004B5A3E">
            <w:pPr>
              <w:pStyle w:val="TableText0"/>
              <w:keepLines/>
              <w:widowControl w:val="0"/>
              <w:jc w:val="center"/>
            </w:pPr>
            <w:r w:rsidRPr="005A7226">
              <w:t>0.10</w:t>
            </w:r>
          </w:p>
        </w:tc>
        <w:tc>
          <w:tcPr>
            <w:tcW w:w="556" w:type="pct"/>
          </w:tcPr>
          <w:p w14:paraId="0A9088B4" w14:textId="3EDD7CBD"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5"/>
                <w14:textFill>
                  <w14:solidFill>
                    <w14:srgbClr w14:val="000000">
                      <w14:alpha w14:val="100000"/>
                    </w14:srgbClr>
                  </w14:solidFill>
                </w14:textFill>
              </w:rPr>
              <w:t xml:space="preserve">　</w:t>
            </w:r>
            <w:r w:rsidRPr="00CF6E6B">
              <w:rPr>
                <w:color w:val="000000"/>
                <w:w w:val="22"/>
                <w:shd w:val="solid" w:color="000000" w:fill="000000"/>
                <w:fitText w:val="100" w:id="-694454775"/>
                <w14:textFill>
                  <w14:solidFill>
                    <w14:srgbClr w14:val="000000">
                      <w14:alpha w14:val="100000"/>
                    </w14:srgbClr>
                  </w14:solidFill>
                </w14:textFill>
              </w:rPr>
              <w:t>|</w:t>
            </w:r>
            <w:r w:rsidRPr="00CF6E6B">
              <w:rPr>
                <w:rFonts w:hint="eastAsia"/>
                <w:color w:val="000000"/>
                <w:spacing w:val="3"/>
                <w:w w:val="22"/>
                <w:shd w:val="solid" w:color="000000" w:fill="000000"/>
                <w:fitText w:val="100" w:id="-694454775"/>
                <w14:textFill>
                  <w14:solidFill>
                    <w14:srgbClr w14:val="000000">
                      <w14:alpha w14:val="100000"/>
                    </w14:srgbClr>
                  </w14:solidFill>
                </w14:textFill>
              </w:rPr>
              <w:t xml:space="preserve">　</w:t>
            </w:r>
            <w:r w:rsidR="00153367" w:rsidRPr="00153367">
              <w:rPr>
                <w:b/>
                <w:vertAlign w:val="superscript"/>
              </w:rPr>
              <w:t>1</w:t>
            </w:r>
          </w:p>
        </w:tc>
        <w:tc>
          <w:tcPr>
            <w:tcW w:w="831" w:type="pct"/>
          </w:tcPr>
          <w:p w14:paraId="65D922F3" w14:textId="38C1D00A"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72BCFA0E" w14:textId="77777777">
        <w:trPr>
          <w:trHeight w:val="20"/>
        </w:trPr>
        <w:tc>
          <w:tcPr>
            <w:tcW w:w="5000" w:type="pct"/>
            <w:gridSpan w:val="5"/>
          </w:tcPr>
          <w:p w14:paraId="7505989F" w14:textId="77777777" w:rsidR="004B5A3E" w:rsidRPr="005A7226" w:rsidRDefault="004B5A3E">
            <w:pPr>
              <w:pStyle w:val="TableText0"/>
              <w:keepLines/>
              <w:widowControl w:val="0"/>
              <w:rPr>
                <w:b/>
                <w:bCs w:val="0"/>
              </w:rPr>
            </w:pPr>
            <w:r w:rsidRPr="005A7226">
              <w:rPr>
                <w:b/>
                <w:bCs w:val="0"/>
              </w:rPr>
              <w:t>Time horizon (base case 10 years)</w:t>
            </w:r>
          </w:p>
        </w:tc>
      </w:tr>
      <w:tr w:rsidR="004B5A3E" w:rsidRPr="005A7226" w14:paraId="239655D3" w14:textId="77777777" w:rsidTr="00CF6E6B">
        <w:trPr>
          <w:trHeight w:val="20"/>
        </w:trPr>
        <w:tc>
          <w:tcPr>
            <w:tcW w:w="2670" w:type="pct"/>
          </w:tcPr>
          <w:p w14:paraId="56D1D34F" w14:textId="77777777" w:rsidR="004B5A3E" w:rsidRPr="005A7226" w:rsidRDefault="004B5A3E">
            <w:pPr>
              <w:pStyle w:val="TableText0"/>
              <w:keepLines/>
              <w:widowControl w:val="0"/>
              <w:ind w:left="360"/>
            </w:pPr>
            <w:r w:rsidRPr="005A7226">
              <w:t>5 years</w:t>
            </w:r>
          </w:p>
        </w:tc>
        <w:tc>
          <w:tcPr>
            <w:tcW w:w="472" w:type="pct"/>
            <w:tcBorders>
              <w:bottom w:val="single" w:sz="4" w:space="0" w:color="auto"/>
            </w:tcBorders>
            <w:shd w:val="solid" w:color="000000" w:fill="000000"/>
            <w:vAlign w:val="top"/>
          </w:tcPr>
          <w:p w14:paraId="4AA47103" w14:textId="5E6D05FB" w:rsidR="004B5A3E" w:rsidRPr="00FA218D" w:rsidRDefault="00CF6E6B">
            <w:pPr>
              <w:pStyle w:val="TableText0"/>
              <w:keepLines/>
              <w:widowControl w:val="0"/>
              <w:jc w:val="center"/>
              <w:rPr>
                <w:highlight w:val="darkGray"/>
              </w:rPr>
            </w:pPr>
            <w:r w:rsidRPr="00CF6E6B">
              <w:rPr>
                <w:rFonts w:hint="eastAsia"/>
                <w:color w:val="000000"/>
                <w:w w:val="33"/>
                <w:fitText w:val="150" w:id="-694454774"/>
                <w14:textFill>
                  <w14:solidFill>
                    <w14:srgbClr w14:val="000000">
                      <w14:alpha w14:val="100000"/>
                    </w14:srgbClr>
                  </w14:solidFill>
                </w14:textFill>
              </w:rPr>
              <w:t xml:space="preserve">　</w:t>
            </w:r>
            <w:r w:rsidRPr="00CF6E6B">
              <w:rPr>
                <w:color w:val="000000"/>
                <w:w w:val="33"/>
                <w:fitText w:val="150" w:id="-694454774"/>
                <w14:textFill>
                  <w14:solidFill>
                    <w14:srgbClr w14:val="000000">
                      <w14:alpha w14:val="100000"/>
                    </w14:srgbClr>
                  </w14:solidFill>
                </w14:textFill>
              </w:rPr>
              <w:t>|</w:t>
            </w:r>
            <w:r w:rsidRPr="00CF6E6B">
              <w:rPr>
                <w:rFonts w:hint="eastAsia"/>
                <w:color w:val="000000"/>
                <w:w w:val="33"/>
                <w:fitText w:val="150" w:id="-694454774"/>
                <w14:textFill>
                  <w14:solidFill>
                    <w14:srgbClr w14:val="000000">
                      <w14:alpha w14:val="100000"/>
                    </w14:srgbClr>
                  </w14:solidFill>
                </w14:textFill>
              </w:rPr>
              <w:t xml:space="preserve">　</w:t>
            </w:r>
          </w:p>
        </w:tc>
        <w:tc>
          <w:tcPr>
            <w:tcW w:w="471" w:type="pct"/>
            <w:vAlign w:val="top"/>
          </w:tcPr>
          <w:p w14:paraId="21906ED6" w14:textId="77777777" w:rsidR="004B5A3E" w:rsidRPr="005A7226" w:rsidRDefault="004B5A3E">
            <w:pPr>
              <w:pStyle w:val="TableText0"/>
              <w:keepLines/>
              <w:widowControl w:val="0"/>
              <w:jc w:val="center"/>
            </w:pPr>
            <w:r w:rsidRPr="005A7226">
              <w:t>0.07</w:t>
            </w:r>
          </w:p>
        </w:tc>
        <w:tc>
          <w:tcPr>
            <w:tcW w:w="556" w:type="pct"/>
            <w:shd w:val="solid" w:color="000000" w:fill="000000"/>
            <w:vAlign w:val="top"/>
          </w:tcPr>
          <w:p w14:paraId="3CF8CD0D" w14:textId="00D182C5" w:rsidR="004B5A3E" w:rsidRPr="00B17F84" w:rsidRDefault="00CF6E6B">
            <w:pPr>
              <w:pStyle w:val="TableText0"/>
              <w:keepLines/>
              <w:widowControl w:val="0"/>
              <w:jc w:val="center"/>
              <w:rPr>
                <w:highlight w:val="darkGray"/>
              </w:rPr>
            </w:pPr>
            <w:r w:rsidRPr="00CF6E6B">
              <w:rPr>
                <w:rFonts w:hint="eastAsia"/>
                <w:color w:val="000000"/>
                <w:w w:val="18"/>
                <w:fitText w:val="80" w:id="-694454773"/>
                <w14:textFill>
                  <w14:solidFill>
                    <w14:srgbClr w14:val="000000">
                      <w14:alpha w14:val="100000"/>
                    </w14:srgbClr>
                  </w14:solidFill>
                </w14:textFill>
              </w:rPr>
              <w:t xml:space="preserve">　</w:t>
            </w:r>
            <w:r w:rsidRPr="00CF6E6B">
              <w:rPr>
                <w:color w:val="000000"/>
                <w:w w:val="18"/>
                <w:fitText w:val="80" w:id="-694454773"/>
                <w14:textFill>
                  <w14:solidFill>
                    <w14:srgbClr w14:val="000000">
                      <w14:alpha w14:val="100000"/>
                    </w14:srgbClr>
                  </w14:solidFill>
                </w14:textFill>
              </w:rPr>
              <w:t>|</w:t>
            </w:r>
            <w:r w:rsidRPr="00CF6E6B">
              <w:rPr>
                <w:rFonts w:hint="eastAsia"/>
                <w:color w:val="000000"/>
                <w:w w:val="18"/>
                <w:fitText w:val="80" w:id="-694454773"/>
                <w14:textFill>
                  <w14:solidFill>
                    <w14:srgbClr w14:val="000000">
                      <w14:alpha w14:val="100000"/>
                    </w14:srgbClr>
                  </w14:solidFill>
                </w14:textFill>
              </w:rPr>
              <w:t xml:space="preserve">　</w:t>
            </w:r>
          </w:p>
        </w:tc>
        <w:tc>
          <w:tcPr>
            <w:tcW w:w="831" w:type="pct"/>
            <w:vAlign w:val="top"/>
          </w:tcPr>
          <w:p w14:paraId="2FDF463D" w14:textId="72C00AD0"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29456687" w14:textId="77777777" w:rsidTr="00CF6E6B">
        <w:trPr>
          <w:trHeight w:val="20"/>
        </w:trPr>
        <w:tc>
          <w:tcPr>
            <w:tcW w:w="2670" w:type="pct"/>
          </w:tcPr>
          <w:p w14:paraId="596733F3" w14:textId="77777777" w:rsidR="004B5A3E" w:rsidRPr="005A7226" w:rsidRDefault="004B5A3E">
            <w:pPr>
              <w:pStyle w:val="TableText0"/>
              <w:keepLines/>
              <w:widowControl w:val="0"/>
              <w:ind w:left="360"/>
            </w:pPr>
            <w:r w:rsidRPr="005A7226">
              <w:t>7 years</w:t>
            </w:r>
          </w:p>
        </w:tc>
        <w:tc>
          <w:tcPr>
            <w:tcW w:w="472" w:type="pct"/>
            <w:tcBorders>
              <w:bottom w:val="single" w:sz="4" w:space="0" w:color="auto"/>
            </w:tcBorders>
            <w:shd w:val="solid" w:color="000000" w:fill="000000"/>
            <w:vAlign w:val="top"/>
          </w:tcPr>
          <w:p w14:paraId="6740E93C" w14:textId="2A374652" w:rsidR="004B5A3E" w:rsidRPr="00FA218D" w:rsidRDefault="00CF6E6B">
            <w:pPr>
              <w:pStyle w:val="TableText0"/>
              <w:keepLines/>
              <w:widowControl w:val="0"/>
              <w:jc w:val="center"/>
              <w:rPr>
                <w:highlight w:val="darkGray"/>
              </w:rPr>
            </w:pPr>
            <w:r w:rsidRPr="00CF6E6B">
              <w:rPr>
                <w:rFonts w:hint="eastAsia"/>
                <w:color w:val="000000"/>
                <w:w w:val="33"/>
                <w:fitText w:val="150" w:id="-694454772"/>
                <w14:textFill>
                  <w14:solidFill>
                    <w14:srgbClr w14:val="000000">
                      <w14:alpha w14:val="100000"/>
                    </w14:srgbClr>
                  </w14:solidFill>
                </w14:textFill>
              </w:rPr>
              <w:t xml:space="preserve">　</w:t>
            </w:r>
            <w:r w:rsidRPr="00CF6E6B">
              <w:rPr>
                <w:color w:val="000000"/>
                <w:w w:val="33"/>
                <w:fitText w:val="150" w:id="-694454772"/>
                <w14:textFill>
                  <w14:solidFill>
                    <w14:srgbClr w14:val="000000">
                      <w14:alpha w14:val="100000"/>
                    </w14:srgbClr>
                  </w14:solidFill>
                </w14:textFill>
              </w:rPr>
              <w:t>|</w:t>
            </w:r>
            <w:r w:rsidRPr="00CF6E6B">
              <w:rPr>
                <w:rFonts w:hint="eastAsia"/>
                <w:color w:val="000000"/>
                <w:w w:val="33"/>
                <w:fitText w:val="150" w:id="-694454772"/>
                <w14:textFill>
                  <w14:solidFill>
                    <w14:srgbClr w14:val="000000">
                      <w14:alpha w14:val="100000"/>
                    </w14:srgbClr>
                  </w14:solidFill>
                </w14:textFill>
              </w:rPr>
              <w:t xml:space="preserve">　</w:t>
            </w:r>
          </w:p>
        </w:tc>
        <w:tc>
          <w:tcPr>
            <w:tcW w:w="471" w:type="pct"/>
            <w:vAlign w:val="top"/>
          </w:tcPr>
          <w:p w14:paraId="40409B95" w14:textId="77777777" w:rsidR="004B5A3E" w:rsidRPr="005A7226" w:rsidRDefault="004B5A3E">
            <w:pPr>
              <w:pStyle w:val="TableText0"/>
              <w:keepLines/>
              <w:widowControl w:val="0"/>
              <w:jc w:val="center"/>
            </w:pPr>
            <w:r w:rsidRPr="005A7226">
              <w:t>0.08</w:t>
            </w:r>
          </w:p>
        </w:tc>
        <w:tc>
          <w:tcPr>
            <w:tcW w:w="556" w:type="pct"/>
            <w:vAlign w:val="top"/>
          </w:tcPr>
          <w:p w14:paraId="099D757B" w14:textId="38662E9B"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1"/>
                <w14:textFill>
                  <w14:solidFill>
                    <w14:srgbClr w14:val="000000">
                      <w14:alpha w14:val="100000"/>
                    </w14:srgbClr>
                  </w14:solidFill>
                </w14:textFill>
              </w:rPr>
              <w:t xml:space="preserve">　</w:t>
            </w:r>
            <w:r w:rsidRPr="00CF6E6B">
              <w:rPr>
                <w:color w:val="000000"/>
                <w:w w:val="22"/>
                <w:shd w:val="solid" w:color="000000" w:fill="000000"/>
                <w:fitText w:val="100" w:id="-694454771"/>
                <w14:textFill>
                  <w14:solidFill>
                    <w14:srgbClr w14:val="000000">
                      <w14:alpha w14:val="100000"/>
                    </w14:srgbClr>
                  </w14:solidFill>
                </w14:textFill>
              </w:rPr>
              <w:t>|</w:t>
            </w:r>
            <w:r w:rsidRPr="00CF6E6B">
              <w:rPr>
                <w:rFonts w:hint="eastAsia"/>
                <w:color w:val="000000"/>
                <w:spacing w:val="3"/>
                <w:w w:val="22"/>
                <w:shd w:val="solid" w:color="000000" w:fill="000000"/>
                <w:fitText w:val="100" w:id="-694454771"/>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78B094B2" w14:textId="7CE6C7D2"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19E1DB43" w14:textId="77777777" w:rsidTr="00CF6E6B">
        <w:trPr>
          <w:trHeight w:val="20"/>
        </w:trPr>
        <w:tc>
          <w:tcPr>
            <w:tcW w:w="2670" w:type="pct"/>
          </w:tcPr>
          <w:p w14:paraId="667B183D" w14:textId="77777777" w:rsidR="004B5A3E" w:rsidRPr="005A7226" w:rsidRDefault="004B5A3E">
            <w:pPr>
              <w:pStyle w:val="TableText0"/>
              <w:keepLines/>
              <w:widowControl w:val="0"/>
              <w:ind w:left="360"/>
            </w:pPr>
            <w:r w:rsidRPr="005A7226">
              <w:t>15 years</w:t>
            </w:r>
          </w:p>
        </w:tc>
        <w:tc>
          <w:tcPr>
            <w:tcW w:w="472" w:type="pct"/>
            <w:shd w:val="solid" w:color="000000" w:fill="000000"/>
            <w:vAlign w:val="top"/>
          </w:tcPr>
          <w:p w14:paraId="1B5DDC24" w14:textId="3057466E" w:rsidR="004B5A3E" w:rsidRPr="00FA218D" w:rsidRDefault="00CF6E6B">
            <w:pPr>
              <w:pStyle w:val="TableText0"/>
              <w:keepLines/>
              <w:widowControl w:val="0"/>
              <w:jc w:val="center"/>
              <w:rPr>
                <w:highlight w:val="darkGray"/>
              </w:rPr>
            </w:pPr>
            <w:r w:rsidRPr="00CF6E6B">
              <w:rPr>
                <w:rFonts w:hint="eastAsia"/>
                <w:color w:val="000000"/>
                <w:w w:val="33"/>
                <w:fitText w:val="150" w:id="-694454770"/>
                <w14:textFill>
                  <w14:solidFill>
                    <w14:srgbClr w14:val="000000">
                      <w14:alpha w14:val="100000"/>
                    </w14:srgbClr>
                  </w14:solidFill>
                </w14:textFill>
              </w:rPr>
              <w:t xml:space="preserve">　</w:t>
            </w:r>
            <w:r w:rsidRPr="00CF6E6B">
              <w:rPr>
                <w:color w:val="000000"/>
                <w:w w:val="33"/>
                <w:fitText w:val="150" w:id="-694454770"/>
                <w14:textFill>
                  <w14:solidFill>
                    <w14:srgbClr w14:val="000000">
                      <w14:alpha w14:val="100000"/>
                    </w14:srgbClr>
                  </w14:solidFill>
                </w14:textFill>
              </w:rPr>
              <w:t>|</w:t>
            </w:r>
            <w:r w:rsidRPr="00CF6E6B">
              <w:rPr>
                <w:rFonts w:hint="eastAsia"/>
                <w:color w:val="000000"/>
                <w:w w:val="33"/>
                <w:fitText w:val="150" w:id="-694454770"/>
                <w14:textFill>
                  <w14:solidFill>
                    <w14:srgbClr w14:val="000000">
                      <w14:alpha w14:val="100000"/>
                    </w14:srgbClr>
                  </w14:solidFill>
                </w14:textFill>
              </w:rPr>
              <w:t xml:space="preserve">　</w:t>
            </w:r>
          </w:p>
        </w:tc>
        <w:tc>
          <w:tcPr>
            <w:tcW w:w="471" w:type="pct"/>
            <w:vAlign w:val="top"/>
          </w:tcPr>
          <w:p w14:paraId="7AD30DD7" w14:textId="77777777" w:rsidR="004B5A3E" w:rsidRPr="005A7226" w:rsidRDefault="004B5A3E">
            <w:pPr>
              <w:pStyle w:val="TableText0"/>
              <w:keepLines/>
              <w:widowControl w:val="0"/>
              <w:jc w:val="center"/>
            </w:pPr>
            <w:r w:rsidRPr="005A7226">
              <w:t>0.10</w:t>
            </w:r>
          </w:p>
        </w:tc>
        <w:tc>
          <w:tcPr>
            <w:tcW w:w="556" w:type="pct"/>
            <w:vAlign w:val="top"/>
          </w:tcPr>
          <w:p w14:paraId="0DC6FD3A" w14:textId="437E9B87"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69"/>
                <w14:textFill>
                  <w14:solidFill>
                    <w14:srgbClr w14:val="000000">
                      <w14:alpha w14:val="100000"/>
                    </w14:srgbClr>
                  </w14:solidFill>
                </w14:textFill>
              </w:rPr>
              <w:t xml:space="preserve">　</w:t>
            </w:r>
            <w:r w:rsidRPr="00CF6E6B">
              <w:rPr>
                <w:color w:val="000000"/>
                <w:w w:val="22"/>
                <w:shd w:val="solid" w:color="000000" w:fill="000000"/>
                <w:fitText w:val="100" w:id="-694454769"/>
                <w14:textFill>
                  <w14:solidFill>
                    <w14:srgbClr w14:val="000000">
                      <w14:alpha w14:val="100000"/>
                    </w14:srgbClr>
                  </w14:solidFill>
                </w14:textFill>
              </w:rPr>
              <w:t>|</w:t>
            </w:r>
            <w:r w:rsidRPr="00CF6E6B">
              <w:rPr>
                <w:rFonts w:hint="eastAsia"/>
                <w:color w:val="000000"/>
                <w:spacing w:val="3"/>
                <w:w w:val="22"/>
                <w:shd w:val="solid" w:color="000000" w:fill="000000"/>
                <w:fitText w:val="100" w:id="-694454769"/>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25ED40F6" w14:textId="208B9DAC"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48B47D45" w14:textId="77777777">
        <w:trPr>
          <w:trHeight w:val="20"/>
        </w:trPr>
        <w:tc>
          <w:tcPr>
            <w:tcW w:w="5000" w:type="pct"/>
            <w:gridSpan w:val="5"/>
          </w:tcPr>
          <w:p w14:paraId="08A54E2B" w14:textId="77777777" w:rsidR="004B5A3E" w:rsidRPr="005A7226" w:rsidRDefault="004B5A3E">
            <w:pPr>
              <w:pStyle w:val="TableText0"/>
              <w:keepLines/>
              <w:widowControl w:val="0"/>
              <w:rPr>
                <w:b/>
                <w:bCs w:val="0"/>
              </w:rPr>
            </w:pPr>
            <w:r w:rsidRPr="005A7226">
              <w:rPr>
                <w:b/>
                <w:bCs w:val="0"/>
              </w:rPr>
              <w:t>Starting age (base case UK DAYLIGHT: 54.5 years)</w:t>
            </w:r>
          </w:p>
        </w:tc>
      </w:tr>
      <w:tr w:rsidR="004B5A3E" w:rsidRPr="005A7226" w14:paraId="29148C0F" w14:textId="77777777" w:rsidTr="00CF6E6B">
        <w:trPr>
          <w:trHeight w:val="20"/>
        </w:trPr>
        <w:tc>
          <w:tcPr>
            <w:tcW w:w="2670" w:type="pct"/>
          </w:tcPr>
          <w:p w14:paraId="4F369C01" w14:textId="77777777" w:rsidR="004B5A3E" w:rsidRPr="005A7226" w:rsidRDefault="004B5A3E">
            <w:pPr>
              <w:pStyle w:val="TableText0"/>
              <w:keepLines/>
              <w:widowControl w:val="0"/>
              <w:ind w:left="360"/>
            </w:pPr>
            <w:r w:rsidRPr="005A7226">
              <w:t>Median age of menopause onset in Australia: 51.0 years</w:t>
            </w:r>
          </w:p>
        </w:tc>
        <w:tc>
          <w:tcPr>
            <w:tcW w:w="472" w:type="pct"/>
            <w:shd w:val="solid" w:color="000000" w:fill="000000"/>
            <w:vAlign w:val="top"/>
          </w:tcPr>
          <w:p w14:paraId="7D0BA754" w14:textId="76D97572" w:rsidR="004B5A3E" w:rsidRPr="005A7226" w:rsidRDefault="00CF6E6B">
            <w:pPr>
              <w:pStyle w:val="TableText0"/>
              <w:keepLines/>
              <w:widowControl w:val="0"/>
              <w:jc w:val="center"/>
            </w:pPr>
            <w:r w:rsidRPr="00CF6E6B">
              <w:rPr>
                <w:rFonts w:hint="eastAsia"/>
                <w:color w:val="000000"/>
                <w:w w:val="33"/>
                <w:fitText w:val="150" w:id="-694454768"/>
                <w14:textFill>
                  <w14:solidFill>
                    <w14:srgbClr w14:val="000000">
                      <w14:alpha w14:val="100000"/>
                    </w14:srgbClr>
                  </w14:solidFill>
                </w14:textFill>
              </w:rPr>
              <w:t xml:space="preserve">　</w:t>
            </w:r>
            <w:r w:rsidRPr="00CF6E6B">
              <w:rPr>
                <w:color w:val="000000"/>
                <w:w w:val="33"/>
                <w:fitText w:val="150" w:id="-694454768"/>
                <w14:textFill>
                  <w14:solidFill>
                    <w14:srgbClr w14:val="000000">
                      <w14:alpha w14:val="100000"/>
                    </w14:srgbClr>
                  </w14:solidFill>
                </w14:textFill>
              </w:rPr>
              <w:t>|</w:t>
            </w:r>
            <w:r w:rsidRPr="00CF6E6B">
              <w:rPr>
                <w:rFonts w:hint="eastAsia"/>
                <w:color w:val="000000"/>
                <w:w w:val="33"/>
                <w:fitText w:val="150" w:id="-694454768"/>
                <w14:textFill>
                  <w14:solidFill>
                    <w14:srgbClr w14:val="000000">
                      <w14:alpha w14:val="100000"/>
                    </w14:srgbClr>
                  </w14:solidFill>
                </w14:textFill>
              </w:rPr>
              <w:t xml:space="preserve">　</w:t>
            </w:r>
          </w:p>
        </w:tc>
        <w:tc>
          <w:tcPr>
            <w:tcW w:w="471" w:type="pct"/>
            <w:vAlign w:val="top"/>
          </w:tcPr>
          <w:p w14:paraId="431F40F8" w14:textId="77777777" w:rsidR="004B5A3E" w:rsidRPr="005A7226" w:rsidRDefault="004B5A3E">
            <w:pPr>
              <w:pStyle w:val="TableText0"/>
              <w:keepLines/>
              <w:widowControl w:val="0"/>
              <w:jc w:val="center"/>
            </w:pPr>
            <w:r w:rsidRPr="005A7226">
              <w:t>0.09</w:t>
            </w:r>
          </w:p>
        </w:tc>
        <w:tc>
          <w:tcPr>
            <w:tcW w:w="556" w:type="pct"/>
            <w:vAlign w:val="top"/>
          </w:tcPr>
          <w:p w14:paraId="210C42E3" w14:textId="332071E8" w:rsidR="004B5A3E" w:rsidRPr="005A7226" w:rsidRDefault="00CF6E6B">
            <w:pPr>
              <w:pStyle w:val="TableText0"/>
              <w:keepLines/>
              <w:widowControl w:val="0"/>
              <w:jc w:val="center"/>
            </w:pPr>
            <w:r w:rsidRPr="00CF6E6B">
              <w:rPr>
                <w:rFonts w:hint="eastAsia"/>
                <w:color w:val="000000"/>
                <w:w w:val="22"/>
                <w:shd w:val="solid" w:color="000000" w:fill="000000"/>
                <w:fitText w:val="100" w:id="-694454784"/>
                <w14:textFill>
                  <w14:solidFill>
                    <w14:srgbClr w14:val="000000">
                      <w14:alpha w14:val="100000"/>
                    </w14:srgbClr>
                  </w14:solidFill>
                </w14:textFill>
              </w:rPr>
              <w:t xml:space="preserve">　</w:t>
            </w:r>
            <w:r w:rsidRPr="00CF6E6B">
              <w:rPr>
                <w:color w:val="000000"/>
                <w:w w:val="22"/>
                <w:shd w:val="solid" w:color="000000" w:fill="000000"/>
                <w:fitText w:val="100" w:id="-694454784"/>
                <w14:textFill>
                  <w14:solidFill>
                    <w14:srgbClr w14:val="000000">
                      <w14:alpha w14:val="100000"/>
                    </w14:srgbClr>
                  </w14:solidFill>
                </w14:textFill>
              </w:rPr>
              <w:t>|</w:t>
            </w:r>
            <w:r w:rsidRPr="00CF6E6B">
              <w:rPr>
                <w:rFonts w:hint="eastAsia"/>
                <w:color w:val="000000"/>
                <w:spacing w:val="3"/>
                <w:w w:val="22"/>
                <w:shd w:val="solid" w:color="000000" w:fill="000000"/>
                <w:fitText w:val="100" w:id="-694454784"/>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6E6EBB4E" w14:textId="3666D079"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0B440687" w14:textId="77777777">
        <w:trPr>
          <w:trHeight w:val="20"/>
        </w:trPr>
        <w:tc>
          <w:tcPr>
            <w:tcW w:w="5000" w:type="pct"/>
            <w:gridSpan w:val="5"/>
          </w:tcPr>
          <w:p w14:paraId="144DE482" w14:textId="77777777" w:rsidR="004B5A3E" w:rsidRPr="005A7226" w:rsidRDefault="004B5A3E">
            <w:pPr>
              <w:pStyle w:val="TableText0"/>
              <w:keepLines/>
              <w:widowControl w:val="0"/>
              <w:rPr>
                <w:b/>
                <w:bCs w:val="0"/>
              </w:rPr>
            </w:pPr>
            <w:r w:rsidRPr="005A7226">
              <w:rPr>
                <w:b/>
                <w:bCs w:val="0"/>
              </w:rPr>
              <w:t>Efficacy after trial period or weeks 24+ (base case: DAYLIGHT 20-24)</w:t>
            </w:r>
          </w:p>
        </w:tc>
      </w:tr>
      <w:tr w:rsidR="004B5A3E" w:rsidRPr="005A7226" w14:paraId="644FEAB4" w14:textId="77777777" w:rsidTr="00CF6E6B">
        <w:trPr>
          <w:trHeight w:val="20"/>
        </w:trPr>
        <w:tc>
          <w:tcPr>
            <w:tcW w:w="2670" w:type="pct"/>
          </w:tcPr>
          <w:p w14:paraId="4BBB1E77" w14:textId="77777777" w:rsidR="004B5A3E" w:rsidRPr="005A7226" w:rsidRDefault="004B5A3E">
            <w:pPr>
              <w:pStyle w:val="TableText0"/>
              <w:keepLines/>
              <w:widowControl w:val="0"/>
              <w:ind w:left="360"/>
            </w:pPr>
            <w:r w:rsidRPr="005A7226">
              <w:t>Week 24+: DAYLIGHT 0-24 average, both arms</w:t>
            </w:r>
          </w:p>
        </w:tc>
        <w:tc>
          <w:tcPr>
            <w:tcW w:w="472" w:type="pct"/>
            <w:tcBorders>
              <w:bottom w:val="single" w:sz="4" w:space="0" w:color="auto"/>
            </w:tcBorders>
            <w:shd w:val="solid" w:color="000000" w:fill="000000"/>
            <w:vAlign w:val="top"/>
          </w:tcPr>
          <w:p w14:paraId="648CA8A0" w14:textId="7C3B9293" w:rsidR="004B5A3E" w:rsidRPr="00FA218D" w:rsidRDefault="00CF6E6B">
            <w:pPr>
              <w:pStyle w:val="TableText0"/>
              <w:keepLines/>
              <w:widowControl w:val="0"/>
              <w:jc w:val="center"/>
              <w:rPr>
                <w:highlight w:val="darkGray"/>
              </w:rPr>
            </w:pPr>
            <w:r w:rsidRPr="00CF6E6B">
              <w:rPr>
                <w:rFonts w:hint="eastAsia"/>
                <w:color w:val="000000"/>
                <w:w w:val="33"/>
                <w:fitText w:val="150" w:id="-694454783"/>
                <w14:textFill>
                  <w14:solidFill>
                    <w14:srgbClr w14:val="000000">
                      <w14:alpha w14:val="100000"/>
                    </w14:srgbClr>
                  </w14:solidFill>
                </w14:textFill>
              </w:rPr>
              <w:t xml:space="preserve">　</w:t>
            </w:r>
            <w:r w:rsidRPr="00CF6E6B">
              <w:rPr>
                <w:color w:val="000000"/>
                <w:w w:val="33"/>
                <w:fitText w:val="150" w:id="-694454783"/>
                <w14:textFill>
                  <w14:solidFill>
                    <w14:srgbClr w14:val="000000">
                      <w14:alpha w14:val="100000"/>
                    </w14:srgbClr>
                  </w14:solidFill>
                </w14:textFill>
              </w:rPr>
              <w:t>|</w:t>
            </w:r>
            <w:r w:rsidRPr="00CF6E6B">
              <w:rPr>
                <w:rFonts w:hint="eastAsia"/>
                <w:color w:val="000000"/>
                <w:w w:val="33"/>
                <w:fitText w:val="150" w:id="-694454783"/>
                <w14:textFill>
                  <w14:solidFill>
                    <w14:srgbClr w14:val="000000">
                      <w14:alpha w14:val="100000"/>
                    </w14:srgbClr>
                  </w14:solidFill>
                </w14:textFill>
              </w:rPr>
              <w:t xml:space="preserve">　</w:t>
            </w:r>
          </w:p>
        </w:tc>
        <w:tc>
          <w:tcPr>
            <w:tcW w:w="471" w:type="pct"/>
            <w:vAlign w:val="top"/>
          </w:tcPr>
          <w:p w14:paraId="032DE376" w14:textId="77777777" w:rsidR="004B5A3E" w:rsidRPr="005A7226" w:rsidRDefault="004B5A3E">
            <w:pPr>
              <w:pStyle w:val="TableText0"/>
              <w:keepLines/>
              <w:widowControl w:val="0"/>
              <w:jc w:val="center"/>
            </w:pPr>
            <w:r w:rsidRPr="005A7226">
              <w:t>0.09</w:t>
            </w:r>
          </w:p>
        </w:tc>
        <w:tc>
          <w:tcPr>
            <w:tcW w:w="556" w:type="pct"/>
            <w:vAlign w:val="top"/>
          </w:tcPr>
          <w:p w14:paraId="127BD779" w14:textId="7E0DA071"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82"/>
                <w14:textFill>
                  <w14:solidFill>
                    <w14:srgbClr w14:val="000000">
                      <w14:alpha w14:val="100000"/>
                    </w14:srgbClr>
                  </w14:solidFill>
                </w14:textFill>
              </w:rPr>
              <w:t xml:space="preserve">　</w:t>
            </w:r>
            <w:r w:rsidRPr="00CF6E6B">
              <w:rPr>
                <w:color w:val="000000"/>
                <w:w w:val="22"/>
                <w:shd w:val="solid" w:color="000000" w:fill="000000"/>
                <w:fitText w:val="100" w:id="-694454782"/>
                <w14:textFill>
                  <w14:solidFill>
                    <w14:srgbClr w14:val="000000">
                      <w14:alpha w14:val="100000"/>
                    </w14:srgbClr>
                  </w14:solidFill>
                </w14:textFill>
              </w:rPr>
              <w:t>|</w:t>
            </w:r>
            <w:r w:rsidRPr="00CF6E6B">
              <w:rPr>
                <w:rFonts w:hint="eastAsia"/>
                <w:color w:val="000000"/>
                <w:spacing w:val="3"/>
                <w:w w:val="22"/>
                <w:shd w:val="solid" w:color="000000" w:fill="000000"/>
                <w:fitText w:val="100" w:id="-694454782"/>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3405F9E1" w14:textId="656C4ECD"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7DB8B33D" w14:textId="77777777" w:rsidTr="00CF6E6B">
        <w:trPr>
          <w:trHeight w:val="20"/>
        </w:trPr>
        <w:tc>
          <w:tcPr>
            <w:tcW w:w="2670" w:type="pct"/>
          </w:tcPr>
          <w:p w14:paraId="68EBDD8B" w14:textId="77777777" w:rsidR="004B5A3E" w:rsidRPr="005A7226" w:rsidRDefault="004B5A3E">
            <w:pPr>
              <w:pStyle w:val="TableText0"/>
              <w:keepLines/>
              <w:widowControl w:val="0"/>
              <w:ind w:left="360"/>
            </w:pPr>
            <w:r w:rsidRPr="005A7226">
              <w:t>Week 24+: DAYLIGHT 12-24 average, both arms</w:t>
            </w:r>
          </w:p>
        </w:tc>
        <w:tc>
          <w:tcPr>
            <w:tcW w:w="472" w:type="pct"/>
            <w:tcBorders>
              <w:bottom w:val="single" w:sz="4" w:space="0" w:color="auto"/>
            </w:tcBorders>
            <w:shd w:val="solid" w:color="000000" w:fill="000000"/>
            <w:vAlign w:val="top"/>
          </w:tcPr>
          <w:p w14:paraId="3B9F1BC0" w14:textId="2EB001A3" w:rsidR="004B5A3E" w:rsidRPr="00FA218D" w:rsidRDefault="00CF6E6B">
            <w:pPr>
              <w:pStyle w:val="TableText0"/>
              <w:keepLines/>
              <w:widowControl w:val="0"/>
              <w:jc w:val="center"/>
              <w:rPr>
                <w:highlight w:val="darkGray"/>
              </w:rPr>
            </w:pPr>
            <w:r w:rsidRPr="00CF6E6B">
              <w:rPr>
                <w:rFonts w:hint="eastAsia"/>
                <w:color w:val="000000"/>
                <w:w w:val="33"/>
                <w:fitText w:val="150" w:id="-694454781"/>
                <w14:textFill>
                  <w14:solidFill>
                    <w14:srgbClr w14:val="000000">
                      <w14:alpha w14:val="100000"/>
                    </w14:srgbClr>
                  </w14:solidFill>
                </w14:textFill>
              </w:rPr>
              <w:t xml:space="preserve">　</w:t>
            </w:r>
            <w:r w:rsidRPr="00CF6E6B">
              <w:rPr>
                <w:color w:val="000000"/>
                <w:w w:val="33"/>
                <w:fitText w:val="150" w:id="-694454781"/>
                <w14:textFill>
                  <w14:solidFill>
                    <w14:srgbClr w14:val="000000">
                      <w14:alpha w14:val="100000"/>
                    </w14:srgbClr>
                  </w14:solidFill>
                </w14:textFill>
              </w:rPr>
              <w:t>|</w:t>
            </w:r>
            <w:r w:rsidRPr="00CF6E6B">
              <w:rPr>
                <w:rFonts w:hint="eastAsia"/>
                <w:color w:val="000000"/>
                <w:w w:val="33"/>
                <w:fitText w:val="150" w:id="-694454781"/>
                <w14:textFill>
                  <w14:solidFill>
                    <w14:srgbClr w14:val="000000">
                      <w14:alpha w14:val="100000"/>
                    </w14:srgbClr>
                  </w14:solidFill>
                </w14:textFill>
              </w:rPr>
              <w:t xml:space="preserve">　</w:t>
            </w:r>
          </w:p>
        </w:tc>
        <w:tc>
          <w:tcPr>
            <w:tcW w:w="471" w:type="pct"/>
            <w:vAlign w:val="top"/>
          </w:tcPr>
          <w:p w14:paraId="61F8710F" w14:textId="77777777" w:rsidR="004B5A3E" w:rsidRPr="005A7226" w:rsidRDefault="004B5A3E">
            <w:pPr>
              <w:pStyle w:val="TableText0"/>
              <w:keepLines/>
              <w:widowControl w:val="0"/>
              <w:jc w:val="center"/>
            </w:pPr>
            <w:r w:rsidRPr="005A7226">
              <w:t>0.09</w:t>
            </w:r>
          </w:p>
        </w:tc>
        <w:tc>
          <w:tcPr>
            <w:tcW w:w="556" w:type="pct"/>
            <w:vAlign w:val="top"/>
          </w:tcPr>
          <w:p w14:paraId="13164443" w14:textId="740C522A"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80"/>
                <w14:textFill>
                  <w14:solidFill>
                    <w14:srgbClr w14:val="000000">
                      <w14:alpha w14:val="100000"/>
                    </w14:srgbClr>
                  </w14:solidFill>
                </w14:textFill>
              </w:rPr>
              <w:t xml:space="preserve">　</w:t>
            </w:r>
            <w:r w:rsidRPr="00CF6E6B">
              <w:rPr>
                <w:color w:val="000000"/>
                <w:w w:val="22"/>
                <w:shd w:val="solid" w:color="000000" w:fill="000000"/>
                <w:fitText w:val="100" w:id="-694454780"/>
                <w14:textFill>
                  <w14:solidFill>
                    <w14:srgbClr w14:val="000000">
                      <w14:alpha w14:val="100000"/>
                    </w14:srgbClr>
                  </w14:solidFill>
                </w14:textFill>
              </w:rPr>
              <w:t>|</w:t>
            </w:r>
            <w:r w:rsidRPr="00CF6E6B">
              <w:rPr>
                <w:rFonts w:hint="eastAsia"/>
                <w:color w:val="000000"/>
                <w:spacing w:val="3"/>
                <w:w w:val="22"/>
                <w:shd w:val="solid" w:color="000000" w:fill="000000"/>
                <w:fitText w:val="100" w:id="-694454780"/>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584582D3" w14:textId="7F6D6D78"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76285818" w14:textId="77777777" w:rsidTr="00CF6E6B">
        <w:trPr>
          <w:trHeight w:val="20"/>
        </w:trPr>
        <w:tc>
          <w:tcPr>
            <w:tcW w:w="2670" w:type="pct"/>
          </w:tcPr>
          <w:p w14:paraId="31C11C27" w14:textId="77777777" w:rsidR="004B5A3E" w:rsidRPr="005A7226" w:rsidRDefault="004B5A3E">
            <w:pPr>
              <w:pStyle w:val="TableText0"/>
              <w:keepLines/>
              <w:widowControl w:val="0"/>
              <w:ind w:left="360"/>
            </w:pPr>
            <w:r w:rsidRPr="005A7226">
              <w:t>Week 24+: SKYLIGHT 24-52 average, only Tx arm</w:t>
            </w:r>
          </w:p>
        </w:tc>
        <w:tc>
          <w:tcPr>
            <w:tcW w:w="472" w:type="pct"/>
            <w:tcBorders>
              <w:bottom w:val="single" w:sz="4" w:space="0" w:color="auto"/>
            </w:tcBorders>
            <w:shd w:val="solid" w:color="000000" w:fill="000000"/>
            <w:vAlign w:val="top"/>
          </w:tcPr>
          <w:p w14:paraId="5861DAB5" w14:textId="38560E73" w:rsidR="004B5A3E" w:rsidRPr="00FA218D" w:rsidRDefault="00CF6E6B">
            <w:pPr>
              <w:pStyle w:val="TableText0"/>
              <w:keepLines/>
              <w:widowControl w:val="0"/>
              <w:jc w:val="center"/>
              <w:rPr>
                <w:highlight w:val="darkGray"/>
              </w:rPr>
            </w:pPr>
            <w:r w:rsidRPr="00CF6E6B">
              <w:rPr>
                <w:rFonts w:hint="eastAsia"/>
                <w:color w:val="000000"/>
                <w:w w:val="33"/>
                <w:fitText w:val="150" w:id="-694454779"/>
                <w14:textFill>
                  <w14:solidFill>
                    <w14:srgbClr w14:val="000000">
                      <w14:alpha w14:val="100000"/>
                    </w14:srgbClr>
                  </w14:solidFill>
                </w14:textFill>
              </w:rPr>
              <w:t xml:space="preserve">　</w:t>
            </w:r>
            <w:r w:rsidRPr="00CF6E6B">
              <w:rPr>
                <w:color w:val="000000"/>
                <w:w w:val="33"/>
                <w:fitText w:val="150" w:id="-694454779"/>
                <w14:textFill>
                  <w14:solidFill>
                    <w14:srgbClr w14:val="000000">
                      <w14:alpha w14:val="100000"/>
                    </w14:srgbClr>
                  </w14:solidFill>
                </w14:textFill>
              </w:rPr>
              <w:t>|</w:t>
            </w:r>
            <w:r w:rsidRPr="00CF6E6B">
              <w:rPr>
                <w:rFonts w:hint="eastAsia"/>
                <w:color w:val="000000"/>
                <w:w w:val="33"/>
                <w:fitText w:val="150" w:id="-694454779"/>
                <w14:textFill>
                  <w14:solidFill>
                    <w14:srgbClr w14:val="000000">
                      <w14:alpha w14:val="100000"/>
                    </w14:srgbClr>
                  </w14:solidFill>
                </w14:textFill>
              </w:rPr>
              <w:t xml:space="preserve">　</w:t>
            </w:r>
          </w:p>
        </w:tc>
        <w:tc>
          <w:tcPr>
            <w:tcW w:w="471" w:type="pct"/>
            <w:vAlign w:val="top"/>
          </w:tcPr>
          <w:p w14:paraId="3D104A17" w14:textId="77777777" w:rsidR="004B5A3E" w:rsidRPr="005A7226" w:rsidRDefault="004B5A3E">
            <w:pPr>
              <w:pStyle w:val="TableText0"/>
              <w:keepLines/>
              <w:widowControl w:val="0"/>
              <w:jc w:val="center"/>
            </w:pPr>
            <w:r w:rsidRPr="005A7226">
              <w:t>0.09</w:t>
            </w:r>
          </w:p>
        </w:tc>
        <w:tc>
          <w:tcPr>
            <w:tcW w:w="556" w:type="pct"/>
            <w:vAlign w:val="top"/>
          </w:tcPr>
          <w:p w14:paraId="34F72342" w14:textId="52D6A556"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8"/>
                <w14:textFill>
                  <w14:solidFill>
                    <w14:srgbClr w14:val="000000">
                      <w14:alpha w14:val="100000"/>
                    </w14:srgbClr>
                  </w14:solidFill>
                </w14:textFill>
              </w:rPr>
              <w:t xml:space="preserve">　</w:t>
            </w:r>
            <w:r w:rsidRPr="00CF6E6B">
              <w:rPr>
                <w:color w:val="000000"/>
                <w:w w:val="22"/>
                <w:shd w:val="solid" w:color="000000" w:fill="000000"/>
                <w:fitText w:val="100" w:id="-694454778"/>
                <w14:textFill>
                  <w14:solidFill>
                    <w14:srgbClr w14:val="000000">
                      <w14:alpha w14:val="100000"/>
                    </w14:srgbClr>
                  </w14:solidFill>
                </w14:textFill>
              </w:rPr>
              <w:t>|</w:t>
            </w:r>
            <w:r w:rsidRPr="00CF6E6B">
              <w:rPr>
                <w:rFonts w:hint="eastAsia"/>
                <w:color w:val="000000"/>
                <w:spacing w:val="3"/>
                <w:w w:val="22"/>
                <w:shd w:val="solid" w:color="000000" w:fill="000000"/>
                <w:fitText w:val="100" w:id="-694454778"/>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081058B9" w14:textId="0F0C7E5B"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1221A221" w14:textId="77777777" w:rsidTr="00CF6E6B">
        <w:trPr>
          <w:trHeight w:val="20"/>
        </w:trPr>
        <w:tc>
          <w:tcPr>
            <w:tcW w:w="2670" w:type="pct"/>
          </w:tcPr>
          <w:p w14:paraId="04C874FA" w14:textId="77777777" w:rsidR="004B5A3E" w:rsidRPr="005A7226" w:rsidRDefault="004B5A3E">
            <w:pPr>
              <w:pStyle w:val="TableText0"/>
              <w:keepLines/>
              <w:widowControl w:val="0"/>
              <w:ind w:left="360"/>
            </w:pPr>
            <w:r w:rsidRPr="005A7226">
              <w:t>Week 24-52: SKYLIGHT 24-52 per cycle and week 52+: SKYLIGHT 24-52 average, only Tx arm</w:t>
            </w:r>
          </w:p>
        </w:tc>
        <w:tc>
          <w:tcPr>
            <w:tcW w:w="472" w:type="pct"/>
            <w:shd w:val="solid" w:color="000000" w:fill="000000"/>
            <w:vAlign w:val="top"/>
          </w:tcPr>
          <w:p w14:paraId="193C4FCC" w14:textId="1F58EE1A" w:rsidR="004B5A3E" w:rsidRPr="00FA218D" w:rsidRDefault="00CF6E6B">
            <w:pPr>
              <w:pStyle w:val="TableText0"/>
              <w:keepLines/>
              <w:widowControl w:val="0"/>
              <w:jc w:val="center"/>
              <w:rPr>
                <w:highlight w:val="darkGray"/>
              </w:rPr>
            </w:pPr>
            <w:r w:rsidRPr="00CF6E6B">
              <w:rPr>
                <w:rFonts w:hint="eastAsia"/>
                <w:color w:val="000000"/>
                <w:w w:val="33"/>
                <w:fitText w:val="150" w:id="-694454777"/>
                <w14:textFill>
                  <w14:solidFill>
                    <w14:srgbClr w14:val="000000">
                      <w14:alpha w14:val="100000"/>
                    </w14:srgbClr>
                  </w14:solidFill>
                </w14:textFill>
              </w:rPr>
              <w:t xml:space="preserve">　</w:t>
            </w:r>
            <w:r w:rsidRPr="00CF6E6B">
              <w:rPr>
                <w:color w:val="000000"/>
                <w:w w:val="33"/>
                <w:fitText w:val="150" w:id="-694454777"/>
                <w14:textFill>
                  <w14:solidFill>
                    <w14:srgbClr w14:val="000000">
                      <w14:alpha w14:val="100000"/>
                    </w14:srgbClr>
                  </w14:solidFill>
                </w14:textFill>
              </w:rPr>
              <w:t>|</w:t>
            </w:r>
            <w:r w:rsidRPr="00CF6E6B">
              <w:rPr>
                <w:rFonts w:hint="eastAsia"/>
                <w:color w:val="000000"/>
                <w:w w:val="33"/>
                <w:fitText w:val="150" w:id="-694454777"/>
                <w14:textFill>
                  <w14:solidFill>
                    <w14:srgbClr w14:val="000000">
                      <w14:alpha w14:val="100000"/>
                    </w14:srgbClr>
                  </w14:solidFill>
                </w14:textFill>
              </w:rPr>
              <w:t xml:space="preserve">　</w:t>
            </w:r>
          </w:p>
        </w:tc>
        <w:tc>
          <w:tcPr>
            <w:tcW w:w="471" w:type="pct"/>
            <w:vAlign w:val="top"/>
          </w:tcPr>
          <w:p w14:paraId="39CE08B2" w14:textId="77777777" w:rsidR="004B5A3E" w:rsidRPr="005A7226" w:rsidRDefault="004B5A3E">
            <w:pPr>
              <w:pStyle w:val="TableText0"/>
              <w:keepLines/>
              <w:widowControl w:val="0"/>
              <w:jc w:val="center"/>
            </w:pPr>
            <w:r w:rsidRPr="005A7226">
              <w:t>0.09</w:t>
            </w:r>
          </w:p>
        </w:tc>
        <w:tc>
          <w:tcPr>
            <w:tcW w:w="556" w:type="pct"/>
            <w:vAlign w:val="top"/>
          </w:tcPr>
          <w:p w14:paraId="3030685C" w14:textId="64B0DF08"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6"/>
                <w14:textFill>
                  <w14:solidFill>
                    <w14:srgbClr w14:val="000000">
                      <w14:alpha w14:val="100000"/>
                    </w14:srgbClr>
                  </w14:solidFill>
                </w14:textFill>
              </w:rPr>
              <w:t xml:space="preserve">　</w:t>
            </w:r>
            <w:r w:rsidRPr="00CF6E6B">
              <w:rPr>
                <w:color w:val="000000"/>
                <w:w w:val="22"/>
                <w:shd w:val="solid" w:color="000000" w:fill="000000"/>
                <w:fitText w:val="100" w:id="-694454776"/>
                <w14:textFill>
                  <w14:solidFill>
                    <w14:srgbClr w14:val="000000">
                      <w14:alpha w14:val="100000"/>
                    </w14:srgbClr>
                  </w14:solidFill>
                </w14:textFill>
              </w:rPr>
              <w:t>|</w:t>
            </w:r>
            <w:r w:rsidRPr="00CF6E6B">
              <w:rPr>
                <w:rFonts w:hint="eastAsia"/>
                <w:color w:val="000000"/>
                <w:spacing w:val="3"/>
                <w:w w:val="22"/>
                <w:shd w:val="solid" w:color="000000" w:fill="000000"/>
                <w:fitText w:val="100" w:id="-694454776"/>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4C206724" w14:textId="09A78073"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7D6F70C1" w14:textId="77777777">
        <w:trPr>
          <w:trHeight w:val="20"/>
        </w:trPr>
        <w:tc>
          <w:tcPr>
            <w:tcW w:w="5000" w:type="pct"/>
            <w:gridSpan w:val="5"/>
          </w:tcPr>
          <w:p w14:paraId="2F557B7F" w14:textId="77777777" w:rsidR="004B5A3E" w:rsidRPr="005A7226" w:rsidRDefault="004B5A3E">
            <w:pPr>
              <w:pStyle w:val="TableText0"/>
              <w:keepLines/>
              <w:widowControl w:val="0"/>
              <w:rPr>
                <w:b/>
                <w:bCs w:val="0"/>
              </w:rPr>
            </w:pPr>
            <w:r w:rsidRPr="005A7226">
              <w:rPr>
                <w:b/>
                <w:bCs w:val="0"/>
              </w:rPr>
              <w:t xml:space="preserve">Distribution following treatment discontinuation </w:t>
            </w:r>
            <w:r w:rsidRPr="005A7226">
              <w:rPr>
                <w:b/>
                <w:bCs w:val="0"/>
                <w:sz w:val="19"/>
                <w:szCs w:val="19"/>
              </w:rPr>
              <w:t>(base case: baseline distribution, 42% to 7≤VMS&lt;9, 58% to VMS≥9)</w:t>
            </w:r>
          </w:p>
        </w:tc>
      </w:tr>
      <w:tr w:rsidR="004B5A3E" w:rsidRPr="005A7226" w14:paraId="61FD068A" w14:textId="77777777" w:rsidTr="00CF6E6B">
        <w:trPr>
          <w:trHeight w:val="20"/>
        </w:trPr>
        <w:tc>
          <w:tcPr>
            <w:tcW w:w="2670" w:type="pct"/>
          </w:tcPr>
          <w:p w14:paraId="3745901A" w14:textId="77777777" w:rsidR="004B5A3E" w:rsidRPr="005A7226" w:rsidRDefault="004B5A3E">
            <w:pPr>
              <w:pStyle w:val="TableText0"/>
              <w:keepLines/>
              <w:widowControl w:val="0"/>
              <w:ind w:left="360"/>
            </w:pPr>
            <w:r w:rsidRPr="005A7226">
              <w:t>Equally between VMS-frequency states (25% each)</w:t>
            </w:r>
          </w:p>
        </w:tc>
        <w:tc>
          <w:tcPr>
            <w:tcW w:w="472" w:type="pct"/>
            <w:shd w:val="solid" w:color="000000" w:fill="000000"/>
            <w:vAlign w:val="top"/>
          </w:tcPr>
          <w:p w14:paraId="02B6162F" w14:textId="35AC164A" w:rsidR="004B5A3E" w:rsidRPr="005A7226" w:rsidRDefault="00CF6E6B">
            <w:pPr>
              <w:pStyle w:val="TableText0"/>
              <w:keepLines/>
              <w:widowControl w:val="0"/>
              <w:jc w:val="center"/>
            </w:pPr>
            <w:r w:rsidRPr="00CF6E6B">
              <w:rPr>
                <w:rFonts w:hint="eastAsia"/>
                <w:color w:val="000000"/>
                <w:w w:val="33"/>
                <w:fitText w:val="150" w:id="-694454775"/>
                <w14:textFill>
                  <w14:solidFill>
                    <w14:srgbClr w14:val="000000">
                      <w14:alpha w14:val="100000"/>
                    </w14:srgbClr>
                  </w14:solidFill>
                </w14:textFill>
              </w:rPr>
              <w:t xml:space="preserve">　</w:t>
            </w:r>
            <w:r w:rsidRPr="00CF6E6B">
              <w:rPr>
                <w:color w:val="000000"/>
                <w:w w:val="33"/>
                <w:fitText w:val="150" w:id="-694454775"/>
                <w14:textFill>
                  <w14:solidFill>
                    <w14:srgbClr w14:val="000000">
                      <w14:alpha w14:val="100000"/>
                    </w14:srgbClr>
                  </w14:solidFill>
                </w14:textFill>
              </w:rPr>
              <w:t>|</w:t>
            </w:r>
            <w:r w:rsidRPr="00CF6E6B">
              <w:rPr>
                <w:rFonts w:hint="eastAsia"/>
                <w:color w:val="000000"/>
                <w:w w:val="33"/>
                <w:fitText w:val="150" w:id="-694454775"/>
                <w14:textFill>
                  <w14:solidFill>
                    <w14:srgbClr w14:val="000000">
                      <w14:alpha w14:val="100000"/>
                    </w14:srgbClr>
                  </w14:solidFill>
                </w14:textFill>
              </w:rPr>
              <w:t xml:space="preserve">　</w:t>
            </w:r>
          </w:p>
        </w:tc>
        <w:tc>
          <w:tcPr>
            <w:tcW w:w="471" w:type="pct"/>
            <w:vAlign w:val="top"/>
          </w:tcPr>
          <w:p w14:paraId="1E7DA94C" w14:textId="77777777" w:rsidR="004B5A3E" w:rsidRPr="005A7226" w:rsidRDefault="004B5A3E">
            <w:pPr>
              <w:pStyle w:val="TableText0"/>
              <w:keepLines/>
              <w:widowControl w:val="0"/>
              <w:jc w:val="center"/>
            </w:pPr>
            <w:r w:rsidRPr="005A7226">
              <w:t>1.28</w:t>
            </w:r>
          </w:p>
        </w:tc>
        <w:tc>
          <w:tcPr>
            <w:tcW w:w="556" w:type="pct"/>
            <w:vAlign w:val="top"/>
          </w:tcPr>
          <w:p w14:paraId="55D48022" w14:textId="29450A31" w:rsidR="004B5A3E" w:rsidRPr="005A7226" w:rsidRDefault="00CF6E6B">
            <w:pPr>
              <w:pStyle w:val="TableText0"/>
              <w:keepLines/>
              <w:widowControl w:val="0"/>
              <w:jc w:val="center"/>
            </w:pPr>
            <w:r w:rsidRPr="00CF6E6B">
              <w:rPr>
                <w:rFonts w:hint="eastAsia"/>
                <w:color w:val="000000"/>
                <w:w w:val="22"/>
                <w:shd w:val="solid" w:color="000000" w:fill="000000"/>
                <w:fitText w:val="100" w:id="-694454774"/>
                <w14:textFill>
                  <w14:solidFill>
                    <w14:srgbClr w14:val="000000">
                      <w14:alpha w14:val="100000"/>
                    </w14:srgbClr>
                  </w14:solidFill>
                </w14:textFill>
              </w:rPr>
              <w:t xml:space="preserve">　</w:t>
            </w:r>
            <w:r w:rsidRPr="00CF6E6B">
              <w:rPr>
                <w:color w:val="000000"/>
                <w:w w:val="22"/>
                <w:shd w:val="solid" w:color="000000" w:fill="000000"/>
                <w:fitText w:val="100" w:id="-694454774"/>
                <w14:textFill>
                  <w14:solidFill>
                    <w14:srgbClr w14:val="000000">
                      <w14:alpha w14:val="100000"/>
                    </w14:srgbClr>
                  </w14:solidFill>
                </w14:textFill>
              </w:rPr>
              <w:t>|</w:t>
            </w:r>
            <w:r w:rsidRPr="00CF6E6B">
              <w:rPr>
                <w:rFonts w:hint="eastAsia"/>
                <w:color w:val="000000"/>
                <w:spacing w:val="3"/>
                <w:w w:val="22"/>
                <w:shd w:val="solid" w:color="000000" w:fill="000000"/>
                <w:fitText w:val="100" w:id="-694454774"/>
                <w14:textFill>
                  <w14:solidFill>
                    <w14:srgbClr w14:val="000000">
                      <w14:alpha w14:val="100000"/>
                    </w14:srgbClr>
                  </w14:solidFill>
                </w14:textFill>
              </w:rPr>
              <w:t xml:space="preserve">　</w:t>
            </w:r>
            <w:r w:rsidR="008E4BC4" w:rsidRPr="008E4BC4">
              <w:rPr>
                <w:vertAlign w:val="superscript"/>
              </w:rPr>
              <w:t>2</w:t>
            </w:r>
          </w:p>
        </w:tc>
        <w:tc>
          <w:tcPr>
            <w:tcW w:w="831" w:type="pct"/>
            <w:vAlign w:val="top"/>
          </w:tcPr>
          <w:p w14:paraId="544479AF" w14:textId="4E935761"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28EC12D6" w14:textId="77777777">
        <w:trPr>
          <w:trHeight w:val="20"/>
        </w:trPr>
        <w:tc>
          <w:tcPr>
            <w:tcW w:w="5000" w:type="pct"/>
            <w:gridSpan w:val="5"/>
          </w:tcPr>
          <w:p w14:paraId="42F0BF6A" w14:textId="77777777" w:rsidR="004B5A3E" w:rsidRPr="005A7226" w:rsidRDefault="004B5A3E">
            <w:pPr>
              <w:pStyle w:val="TableText0"/>
              <w:keepLines/>
              <w:widowControl w:val="0"/>
              <w:rPr>
                <w:b/>
                <w:bCs w:val="0"/>
              </w:rPr>
            </w:pPr>
            <w:r w:rsidRPr="005A7226">
              <w:rPr>
                <w:b/>
                <w:bCs w:val="0"/>
              </w:rPr>
              <w:t>Utility (base case: UK DAYLIGHT [Cessation of VMS: 0.843, 0≤VMS&lt;2: 0.833, 2≤VMS&lt;7: 0.793, 7≤VMS&lt;9: 0.785, VMS&gt;9: 0.747], adjusted for age-dependant disutility)</w:t>
            </w:r>
          </w:p>
        </w:tc>
      </w:tr>
      <w:tr w:rsidR="004B5A3E" w:rsidRPr="005A7226" w14:paraId="5D5757E7" w14:textId="77777777" w:rsidTr="00CF6E6B">
        <w:trPr>
          <w:trHeight w:val="20"/>
        </w:trPr>
        <w:tc>
          <w:tcPr>
            <w:tcW w:w="2670" w:type="pct"/>
          </w:tcPr>
          <w:p w14:paraId="039B609B" w14:textId="77777777" w:rsidR="004B5A3E" w:rsidRPr="005A7226" w:rsidRDefault="004B5A3E">
            <w:pPr>
              <w:pStyle w:val="TableText0"/>
              <w:keepLines/>
              <w:widowControl w:val="0"/>
              <w:ind w:left="360"/>
            </w:pPr>
            <w:r w:rsidRPr="005A7226">
              <w:t>Whiteley et al., (2013): [Cessation of VMS: 0.860, 0≤VMS&lt;2: 0.850, 2≤VMS&lt;7: 0.850, 7≤VMS&lt;9: 0.820, VMS&gt;9: 0.770]</w:t>
            </w:r>
          </w:p>
        </w:tc>
        <w:tc>
          <w:tcPr>
            <w:tcW w:w="472" w:type="pct"/>
            <w:tcBorders>
              <w:bottom w:val="single" w:sz="4" w:space="0" w:color="auto"/>
            </w:tcBorders>
            <w:shd w:val="solid" w:color="000000" w:fill="000000"/>
          </w:tcPr>
          <w:p w14:paraId="7AD5CB02" w14:textId="33DF11AB" w:rsidR="004B5A3E" w:rsidRPr="005A7226" w:rsidRDefault="00CF6E6B">
            <w:pPr>
              <w:pStyle w:val="TableText0"/>
              <w:keepLines/>
              <w:widowControl w:val="0"/>
              <w:jc w:val="center"/>
            </w:pPr>
            <w:r w:rsidRPr="00CF6E6B">
              <w:rPr>
                <w:rFonts w:hint="eastAsia"/>
                <w:color w:val="000000"/>
                <w:w w:val="33"/>
                <w:fitText w:val="150" w:id="-694454773"/>
                <w14:textFill>
                  <w14:solidFill>
                    <w14:srgbClr w14:val="000000">
                      <w14:alpha w14:val="100000"/>
                    </w14:srgbClr>
                  </w14:solidFill>
                </w14:textFill>
              </w:rPr>
              <w:t xml:space="preserve">　</w:t>
            </w:r>
            <w:r w:rsidRPr="00CF6E6B">
              <w:rPr>
                <w:color w:val="000000"/>
                <w:w w:val="33"/>
                <w:fitText w:val="150" w:id="-694454773"/>
                <w14:textFill>
                  <w14:solidFill>
                    <w14:srgbClr w14:val="000000">
                      <w14:alpha w14:val="100000"/>
                    </w14:srgbClr>
                  </w14:solidFill>
                </w14:textFill>
              </w:rPr>
              <w:t>|</w:t>
            </w:r>
            <w:r w:rsidRPr="00CF6E6B">
              <w:rPr>
                <w:rFonts w:hint="eastAsia"/>
                <w:color w:val="000000"/>
                <w:w w:val="33"/>
                <w:fitText w:val="150" w:id="-694454773"/>
                <w14:textFill>
                  <w14:solidFill>
                    <w14:srgbClr w14:val="000000">
                      <w14:alpha w14:val="100000"/>
                    </w14:srgbClr>
                  </w14:solidFill>
                </w14:textFill>
              </w:rPr>
              <w:t xml:space="preserve">　</w:t>
            </w:r>
          </w:p>
        </w:tc>
        <w:tc>
          <w:tcPr>
            <w:tcW w:w="471" w:type="pct"/>
          </w:tcPr>
          <w:p w14:paraId="76DA0E79" w14:textId="77777777" w:rsidR="004B5A3E" w:rsidRPr="005A7226" w:rsidRDefault="004B5A3E">
            <w:pPr>
              <w:pStyle w:val="TableText0"/>
              <w:keepLines/>
              <w:widowControl w:val="0"/>
              <w:jc w:val="center"/>
            </w:pPr>
            <w:r w:rsidRPr="005A7226">
              <w:t>0.09</w:t>
            </w:r>
          </w:p>
        </w:tc>
        <w:tc>
          <w:tcPr>
            <w:tcW w:w="556" w:type="pct"/>
          </w:tcPr>
          <w:p w14:paraId="266A36D0" w14:textId="6E4287BC" w:rsidR="004B5A3E" w:rsidRPr="005A7226" w:rsidRDefault="00CF6E6B">
            <w:pPr>
              <w:pStyle w:val="TableText0"/>
              <w:keepLines/>
              <w:widowControl w:val="0"/>
              <w:jc w:val="center"/>
            </w:pPr>
            <w:r w:rsidRPr="00CF6E6B">
              <w:rPr>
                <w:rFonts w:hint="eastAsia"/>
                <w:color w:val="000000"/>
                <w:w w:val="22"/>
                <w:shd w:val="solid" w:color="000000" w:fill="000000"/>
                <w:fitText w:val="100" w:id="-694454772"/>
                <w14:textFill>
                  <w14:solidFill>
                    <w14:srgbClr w14:val="000000">
                      <w14:alpha w14:val="100000"/>
                    </w14:srgbClr>
                  </w14:solidFill>
                </w14:textFill>
              </w:rPr>
              <w:t xml:space="preserve">　</w:t>
            </w:r>
            <w:r w:rsidRPr="00CF6E6B">
              <w:rPr>
                <w:color w:val="000000"/>
                <w:w w:val="22"/>
                <w:shd w:val="solid" w:color="000000" w:fill="000000"/>
                <w:fitText w:val="100" w:id="-694454772"/>
                <w14:textFill>
                  <w14:solidFill>
                    <w14:srgbClr w14:val="000000">
                      <w14:alpha w14:val="100000"/>
                    </w14:srgbClr>
                  </w14:solidFill>
                </w14:textFill>
              </w:rPr>
              <w:t>|</w:t>
            </w:r>
            <w:r w:rsidRPr="00CF6E6B">
              <w:rPr>
                <w:rFonts w:hint="eastAsia"/>
                <w:color w:val="000000"/>
                <w:spacing w:val="3"/>
                <w:w w:val="22"/>
                <w:shd w:val="solid" w:color="000000" w:fill="000000"/>
                <w:fitText w:val="100" w:id="-694454772"/>
                <w14:textFill>
                  <w14:solidFill>
                    <w14:srgbClr w14:val="000000">
                      <w14:alpha w14:val="100000"/>
                    </w14:srgbClr>
                  </w14:solidFill>
                </w14:textFill>
              </w:rPr>
              <w:t xml:space="preserve">　</w:t>
            </w:r>
            <w:r w:rsidR="00153367" w:rsidRPr="00153367">
              <w:rPr>
                <w:b/>
                <w:vertAlign w:val="superscript"/>
              </w:rPr>
              <w:t>1</w:t>
            </w:r>
          </w:p>
        </w:tc>
        <w:tc>
          <w:tcPr>
            <w:tcW w:w="831" w:type="pct"/>
          </w:tcPr>
          <w:p w14:paraId="53C590F8" w14:textId="138D41AC"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4EA192EB" w14:textId="77777777" w:rsidTr="00CF6E6B">
        <w:trPr>
          <w:trHeight w:val="20"/>
        </w:trPr>
        <w:tc>
          <w:tcPr>
            <w:tcW w:w="2670" w:type="pct"/>
          </w:tcPr>
          <w:p w14:paraId="7AD422A3" w14:textId="77777777" w:rsidR="004B5A3E" w:rsidRPr="005A7226" w:rsidRDefault="004B5A3E">
            <w:pPr>
              <w:pStyle w:val="TableText0"/>
              <w:keepLines/>
              <w:widowControl w:val="0"/>
              <w:ind w:left="360"/>
            </w:pPr>
            <w:r w:rsidRPr="005A7226">
              <w:t>UK clinical estimates: [Cessation of VMS: 0.843, 0≤VMS&lt;2: 0.810, 2≤VMS&lt;7: 0.793, 7≤VMS&lt;9: 0.746, VMS&gt;9: 0.710]</w:t>
            </w:r>
          </w:p>
        </w:tc>
        <w:tc>
          <w:tcPr>
            <w:tcW w:w="472" w:type="pct"/>
            <w:tcBorders>
              <w:bottom w:val="single" w:sz="4" w:space="0" w:color="auto"/>
            </w:tcBorders>
            <w:shd w:val="solid" w:color="000000" w:fill="000000"/>
          </w:tcPr>
          <w:p w14:paraId="3741D2BB" w14:textId="56DC95E7" w:rsidR="004B5A3E" w:rsidRPr="00FA218D" w:rsidRDefault="00CF6E6B">
            <w:pPr>
              <w:pStyle w:val="TableText0"/>
              <w:keepLines/>
              <w:widowControl w:val="0"/>
              <w:jc w:val="center"/>
              <w:rPr>
                <w:highlight w:val="darkGray"/>
              </w:rPr>
            </w:pPr>
            <w:r w:rsidRPr="00CF6E6B">
              <w:rPr>
                <w:rFonts w:hint="eastAsia"/>
                <w:color w:val="000000"/>
                <w:w w:val="33"/>
                <w:fitText w:val="150" w:id="-694454771"/>
                <w14:textFill>
                  <w14:solidFill>
                    <w14:srgbClr w14:val="000000">
                      <w14:alpha w14:val="100000"/>
                    </w14:srgbClr>
                  </w14:solidFill>
                </w14:textFill>
              </w:rPr>
              <w:t xml:space="preserve">　</w:t>
            </w:r>
            <w:r w:rsidRPr="00CF6E6B">
              <w:rPr>
                <w:color w:val="000000"/>
                <w:w w:val="33"/>
                <w:fitText w:val="150" w:id="-694454771"/>
                <w14:textFill>
                  <w14:solidFill>
                    <w14:srgbClr w14:val="000000">
                      <w14:alpha w14:val="100000"/>
                    </w14:srgbClr>
                  </w14:solidFill>
                </w14:textFill>
              </w:rPr>
              <w:t>|</w:t>
            </w:r>
            <w:r w:rsidRPr="00CF6E6B">
              <w:rPr>
                <w:rFonts w:hint="eastAsia"/>
                <w:color w:val="000000"/>
                <w:w w:val="33"/>
                <w:fitText w:val="150" w:id="-694454771"/>
                <w14:textFill>
                  <w14:solidFill>
                    <w14:srgbClr w14:val="000000">
                      <w14:alpha w14:val="100000"/>
                    </w14:srgbClr>
                  </w14:solidFill>
                </w14:textFill>
              </w:rPr>
              <w:t xml:space="preserve">　</w:t>
            </w:r>
          </w:p>
        </w:tc>
        <w:tc>
          <w:tcPr>
            <w:tcW w:w="471" w:type="pct"/>
          </w:tcPr>
          <w:p w14:paraId="733E3229" w14:textId="77777777" w:rsidR="004B5A3E" w:rsidRPr="005A7226" w:rsidRDefault="004B5A3E">
            <w:pPr>
              <w:pStyle w:val="TableText0"/>
              <w:keepLines/>
              <w:widowControl w:val="0"/>
              <w:jc w:val="center"/>
            </w:pPr>
            <w:r w:rsidRPr="005A7226">
              <w:t>0.12</w:t>
            </w:r>
          </w:p>
        </w:tc>
        <w:tc>
          <w:tcPr>
            <w:tcW w:w="556" w:type="pct"/>
          </w:tcPr>
          <w:p w14:paraId="3417541E" w14:textId="6AB514F5" w:rsidR="004B5A3E" w:rsidRPr="005A7226" w:rsidRDefault="00CF6E6B">
            <w:pPr>
              <w:pStyle w:val="TableText0"/>
              <w:keepLines/>
              <w:widowControl w:val="0"/>
              <w:jc w:val="center"/>
            </w:pPr>
            <w:r w:rsidRPr="00CF6E6B">
              <w:rPr>
                <w:rFonts w:hint="eastAsia"/>
                <w:color w:val="000000"/>
                <w:w w:val="22"/>
                <w:shd w:val="solid" w:color="000000" w:fill="000000"/>
                <w:fitText w:val="100" w:id="-694454770"/>
                <w14:textFill>
                  <w14:solidFill>
                    <w14:srgbClr w14:val="000000">
                      <w14:alpha w14:val="100000"/>
                    </w14:srgbClr>
                  </w14:solidFill>
                </w14:textFill>
              </w:rPr>
              <w:t xml:space="preserve">　</w:t>
            </w:r>
            <w:r w:rsidRPr="00CF6E6B">
              <w:rPr>
                <w:color w:val="000000"/>
                <w:w w:val="22"/>
                <w:shd w:val="solid" w:color="000000" w:fill="000000"/>
                <w:fitText w:val="100" w:id="-694454770"/>
                <w14:textFill>
                  <w14:solidFill>
                    <w14:srgbClr w14:val="000000">
                      <w14:alpha w14:val="100000"/>
                    </w14:srgbClr>
                  </w14:solidFill>
                </w14:textFill>
              </w:rPr>
              <w:t>|</w:t>
            </w:r>
            <w:r w:rsidRPr="00CF6E6B">
              <w:rPr>
                <w:rFonts w:hint="eastAsia"/>
                <w:color w:val="000000"/>
                <w:spacing w:val="3"/>
                <w:w w:val="22"/>
                <w:shd w:val="solid" w:color="000000" w:fill="000000"/>
                <w:fitText w:val="100" w:id="-694454770"/>
                <w14:textFill>
                  <w14:solidFill>
                    <w14:srgbClr w14:val="000000">
                      <w14:alpha w14:val="100000"/>
                    </w14:srgbClr>
                  </w14:solidFill>
                </w14:textFill>
              </w:rPr>
              <w:t xml:space="preserve">　</w:t>
            </w:r>
            <w:r w:rsidR="00A84A46" w:rsidRPr="00A84A46">
              <w:rPr>
                <w:vertAlign w:val="superscript"/>
              </w:rPr>
              <w:t>3</w:t>
            </w:r>
          </w:p>
        </w:tc>
        <w:tc>
          <w:tcPr>
            <w:tcW w:w="831" w:type="pct"/>
          </w:tcPr>
          <w:p w14:paraId="7E02DB3C" w14:textId="3C4496AC"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695D9F42" w14:textId="77777777" w:rsidTr="00CF6E6B">
        <w:trPr>
          <w:trHeight w:val="20"/>
        </w:trPr>
        <w:tc>
          <w:tcPr>
            <w:tcW w:w="2670" w:type="pct"/>
          </w:tcPr>
          <w:p w14:paraId="278E209B" w14:textId="77777777" w:rsidR="004B5A3E" w:rsidRPr="005A7226" w:rsidRDefault="004B5A3E">
            <w:pPr>
              <w:pStyle w:val="TableText0"/>
              <w:keepLines/>
              <w:widowControl w:val="0"/>
              <w:ind w:left="360"/>
            </w:pPr>
            <w:r w:rsidRPr="005A7226">
              <w:t>Excluding age-dependent disutility</w:t>
            </w:r>
          </w:p>
        </w:tc>
        <w:tc>
          <w:tcPr>
            <w:tcW w:w="472" w:type="pct"/>
            <w:tcBorders>
              <w:bottom w:val="single" w:sz="4" w:space="0" w:color="auto"/>
            </w:tcBorders>
            <w:shd w:val="solid" w:color="000000" w:fill="000000"/>
            <w:vAlign w:val="top"/>
          </w:tcPr>
          <w:p w14:paraId="1285AEFB" w14:textId="3059A5FC" w:rsidR="004B5A3E" w:rsidRPr="00FA218D" w:rsidRDefault="00CF6E6B">
            <w:pPr>
              <w:pStyle w:val="TableText0"/>
              <w:keepLines/>
              <w:widowControl w:val="0"/>
              <w:jc w:val="center"/>
              <w:rPr>
                <w:highlight w:val="darkGray"/>
              </w:rPr>
            </w:pPr>
            <w:r w:rsidRPr="00CF6E6B">
              <w:rPr>
                <w:rFonts w:hint="eastAsia"/>
                <w:color w:val="000000"/>
                <w:w w:val="33"/>
                <w:fitText w:val="150" w:id="-694454769"/>
                <w14:textFill>
                  <w14:solidFill>
                    <w14:srgbClr w14:val="000000">
                      <w14:alpha w14:val="100000"/>
                    </w14:srgbClr>
                  </w14:solidFill>
                </w14:textFill>
              </w:rPr>
              <w:t xml:space="preserve">　</w:t>
            </w:r>
            <w:r w:rsidRPr="00CF6E6B">
              <w:rPr>
                <w:color w:val="000000"/>
                <w:w w:val="33"/>
                <w:fitText w:val="150" w:id="-694454769"/>
                <w14:textFill>
                  <w14:solidFill>
                    <w14:srgbClr w14:val="000000">
                      <w14:alpha w14:val="100000"/>
                    </w14:srgbClr>
                  </w14:solidFill>
                </w14:textFill>
              </w:rPr>
              <w:t>|</w:t>
            </w:r>
            <w:r w:rsidRPr="00CF6E6B">
              <w:rPr>
                <w:rFonts w:hint="eastAsia"/>
                <w:color w:val="000000"/>
                <w:w w:val="33"/>
                <w:fitText w:val="150" w:id="-694454769"/>
                <w14:textFill>
                  <w14:solidFill>
                    <w14:srgbClr w14:val="000000">
                      <w14:alpha w14:val="100000"/>
                    </w14:srgbClr>
                  </w14:solidFill>
                </w14:textFill>
              </w:rPr>
              <w:t xml:space="preserve">　</w:t>
            </w:r>
          </w:p>
        </w:tc>
        <w:tc>
          <w:tcPr>
            <w:tcW w:w="471" w:type="pct"/>
            <w:vAlign w:val="top"/>
          </w:tcPr>
          <w:p w14:paraId="2D969067" w14:textId="77777777" w:rsidR="004B5A3E" w:rsidRPr="005A7226" w:rsidRDefault="004B5A3E">
            <w:pPr>
              <w:pStyle w:val="TableText0"/>
              <w:keepLines/>
              <w:widowControl w:val="0"/>
              <w:jc w:val="center"/>
            </w:pPr>
            <w:r w:rsidRPr="005A7226">
              <w:t>0.09</w:t>
            </w:r>
          </w:p>
        </w:tc>
        <w:tc>
          <w:tcPr>
            <w:tcW w:w="556" w:type="pct"/>
            <w:vAlign w:val="top"/>
          </w:tcPr>
          <w:p w14:paraId="042E8242" w14:textId="78BD0E57"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68"/>
                <w14:textFill>
                  <w14:solidFill>
                    <w14:srgbClr w14:val="000000">
                      <w14:alpha w14:val="100000"/>
                    </w14:srgbClr>
                  </w14:solidFill>
                </w14:textFill>
              </w:rPr>
              <w:t xml:space="preserve">　</w:t>
            </w:r>
            <w:r w:rsidRPr="00CF6E6B">
              <w:rPr>
                <w:color w:val="000000"/>
                <w:w w:val="22"/>
                <w:shd w:val="solid" w:color="000000" w:fill="000000"/>
                <w:fitText w:val="100" w:id="-694454768"/>
                <w14:textFill>
                  <w14:solidFill>
                    <w14:srgbClr w14:val="000000">
                      <w14:alpha w14:val="100000"/>
                    </w14:srgbClr>
                  </w14:solidFill>
                </w14:textFill>
              </w:rPr>
              <w:t>|</w:t>
            </w:r>
            <w:r w:rsidRPr="00CF6E6B">
              <w:rPr>
                <w:rFonts w:hint="eastAsia"/>
                <w:color w:val="000000"/>
                <w:spacing w:val="3"/>
                <w:w w:val="22"/>
                <w:shd w:val="solid" w:color="000000" w:fill="000000"/>
                <w:fitText w:val="100" w:id="-694454768"/>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0747D25B" w14:textId="68CFECC8"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6F3342FF" w14:textId="77777777" w:rsidTr="00CF6E6B">
        <w:trPr>
          <w:trHeight w:val="20"/>
        </w:trPr>
        <w:tc>
          <w:tcPr>
            <w:tcW w:w="2670" w:type="pct"/>
          </w:tcPr>
          <w:p w14:paraId="47B39BA4" w14:textId="77777777" w:rsidR="004B5A3E" w:rsidRPr="005A7226" w:rsidRDefault="004B5A3E">
            <w:pPr>
              <w:pStyle w:val="TableText0"/>
              <w:keepLines/>
              <w:widowControl w:val="0"/>
              <w:ind w:left="360"/>
            </w:pPr>
            <w:r w:rsidRPr="005A7226">
              <w:t>DAYLIGHT- lower interval [Cessation of VMS: 0.820, 0≤VMS&lt;2: 0.814, 2≤VMS&lt;7: 0.774, 7≤VMS&lt;9: 0.763, VMS&gt;9: 0.724]</w:t>
            </w:r>
          </w:p>
        </w:tc>
        <w:tc>
          <w:tcPr>
            <w:tcW w:w="472" w:type="pct"/>
            <w:shd w:val="solid" w:color="000000" w:fill="000000"/>
            <w:vAlign w:val="top"/>
          </w:tcPr>
          <w:p w14:paraId="5066B54C" w14:textId="38A801E9" w:rsidR="004B5A3E" w:rsidRPr="00FA218D" w:rsidRDefault="00CF6E6B">
            <w:pPr>
              <w:pStyle w:val="TableText0"/>
              <w:keepLines/>
              <w:widowControl w:val="0"/>
              <w:jc w:val="center"/>
              <w:rPr>
                <w:highlight w:val="darkGray"/>
              </w:rPr>
            </w:pPr>
            <w:r w:rsidRPr="00CF6E6B">
              <w:rPr>
                <w:rFonts w:hint="eastAsia"/>
                <w:color w:val="000000"/>
                <w:w w:val="33"/>
                <w:fitText w:val="150" w:id="-694454784"/>
                <w14:textFill>
                  <w14:solidFill>
                    <w14:srgbClr w14:val="000000">
                      <w14:alpha w14:val="100000"/>
                    </w14:srgbClr>
                  </w14:solidFill>
                </w14:textFill>
              </w:rPr>
              <w:t xml:space="preserve">　</w:t>
            </w:r>
            <w:r w:rsidRPr="00CF6E6B">
              <w:rPr>
                <w:color w:val="000000"/>
                <w:w w:val="33"/>
                <w:fitText w:val="150" w:id="-694454784"/>
                <w14:textFill>
                  <w14:solidFill>
                    <w14:srgbClr w14:val="000000">
                      <w14:alpha w14:val="100000"/>
                    </w14:srgbClr>
                  </w14:solidFill>
                </w14:textFill>
              </w:rPr>
              <w:t>|</w:t>
            </w:r>
            <w:r w:rsidRPr="00CF6E6B">
              <w:rPr>
                <w:rFonts w:hint="eastAsia"/>
                <w:color w:val="000000"/>
                <w:w w:val="33"/>
                <w:fitText w:val="150" w:id="-694454784"/>
                <w14:textFill>
                  <w14:solidFill>
                    <w14:srgbClr w14:val="000000">
                      <w14:alpha w14:val="100000"/>
                    </w14:srgbClr>
                  </w14:solidFill>
                </w14:textFill>
              </w:rPr>
              <w:t xml:space="preserve">　</w:t>
            </w:r>
          </w:p>
        </w:tc>
        <w:tc>
          <w:tcPr>
            <w:tcW w:w="471" w:type="pct"/>
            <w:vAlign w:val="top"/>
          </w:tcPr>
          <w:p w14:paraId="0F4612D5" w14:textId="77777777" w:rsidR="004B5A3E" w:rsidRPr="005A7226" w:rsidRDefault="004B5A3E">
            <w:pPr>
              <w:pStyle w:val="TableText0"/>
              <w:keepLines/>
              <w:widowControl w:val="0"/>
              <w:jc w:val="center"/>
            </w:pPr>
            <w:r w:rsidRPr="005A7226">
              <w:t>0.10</w:t>
            </w:r>
          </w:p>
        </w:tc>
        <w:tc>
          <w:tcPr>
            <w:tcW w:w="556" w:type="pct"/>
            <w:vAlign w:val="top"/>
          </w:tcPr>
          <w:p w14:paraId="0E4D3047" w14:textId="772C86B8"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83"/>
                <w14:textFill>
                  <w14:solidFill>
                    <w14:srgbClr w14:val="000000">
                      <w14:alpha w14:val="100000"/>
                    </w14:srgbClr>
                  </w14:solidFill>
                </w14:textFill>
              </w:rPr>
              <w:t xml:space="preserve">　</w:t>
            </w:r>
            <w:r w:rsidRPr="00CF6E6B">
              <w:rPr>
                <w:color w:val="000000"/>
                <w:w w:val="22"/>
                <w:shd w:val="solid" w:color="000000" w:fill="000000"/>
                <w:fitText w:val="100" w:id="-694454783"/>
                <w14:textFill>
                  <w14:solidFill>
                    <w14:srgbClr w14:val="000000">
                      <w14:alpha w14:val="100000"/>
                    </w14:srgbClr>
                  </w14:solidFill>
                </w14:textFill>
              </w:rPr>
              <w:t>|</w:t>
            </w:r>
            <w:r w:rsidRPr="00CF6E6B">
              <w:rPr>
                <w:rFonts w:hint="eastAsia"/>
                <w:color w:val="000000"/>
                <w:spacing w:val="3"/>
                <w:w w:val="22"/>
                <w:shd w:val="solid" w:color="000000" w:fill="000000"/>
                <w:fitText w:val="100" w:id="-694454783"/>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4241BE6D" w14:textId="1A90AE0B"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79D61018" w14:textId="77777777">
        <w:trPr>
          <w:trHeight w:val="20"/>
        </w:trPr>
        <w:tc>
          <w:tcPr>
            <w:tcW w:w="5000" w:type="pct"/>
            <w:gridSpan w:val="5"/>
          </w:tcPr>
          <w:p w14:paraId="1C9E23F4" w14:textId="77777777" w:rsidR="004B5A3E" w:rsidRPr="005A7226" w:rsidRDefault="004B5A3E">
            <w:pPr>
              <w:pStyle w:val="TableText0"/>
              <w:keepLines/>
              <w:widowControl w:val="0"/>
              <w:rPr>
                <w:b/>
                <w:bCs w:val="0"/>
              </w:rPr>
            </w:pPr>
            <w:r w:rsidRPr="005A7226">
              <w:rPr>
                <w:b/>
                <w:bCs w:val="0"/>
              </w:rPr>
              <w:t>Utility (base case: VMS frequency 2 to &lt;7: 0.793 and 7 to &lt;9: 0.785, non-significant difference (p&lt;0.05))</w:t>
            </w:r>
          </w:p>
        </w:tc>
      </w:tr>
      <w:tr w:rsidR="004B5A3E" w:rsidRPr="005A7226" w14:paraId="784AC828" w14:textId="77777777" w:rsidTr="00CF6E6B">
        <w:trPr>
          <w:trHeight w:val="20"/>
        </w:trPr>
        <w:tc>
          <w:tcPr>
            <w:tcW w:w="2670" w:type="pct"/>
          </w:tcPr>
          <w:p w14:paraId="24345B5C" w14:textId="77777777" w:rsidR="004B5A3E" w:rsidRPr="005A7226" w:rsidRDefault="004B5A3E">
            <w:pPr>
              <w:pStyle w:val="TableText0"/>
              <w:keepLines/>
              <w:widowControl w:val="0"/>
              <w:ind w:left="360"/>
            </w:pPr>
            <w:r w:rsidRPr="005A7226">
              <w:t>Both States Set to 0.793</w:t>
            </w:r>
          </w:p>
        </w:tc>
        <w:tc>
          <w:tcPr>
            <w:tcW w:w="472" w:type="pct"/>
            <w:tcBorders>
              <w:bottom w:val="single" w:sz="4" w:space="0" w:color="auto"/>
            </w:tcBorders>
            <w:shd w:val="solid" w:color="000000" w:fill="000000"/>
          </w:tcPr>
          <w:p w14:paraId="07A1AEF8" w14:textId="44FCE6DF" w:rsidR="004B5A3E" w:rsidRPr="00FA218D" w:rsidRDefault="00CF6E6B">
            <w:pPr>
              <w:pStyle w:val="TableText0"/>
              <w:keepLines/>
              <w:widowControl w:val="0"/>
              <w:jc w:val="center"/>
              <w:rPr>
                <w:highlight w:val="darkGray"/>
              </w:rPr>
            </w:pPr>
            <w:r w:rsidRPr="00CF6E6B">
              <w:rPr>
                <w:rFonts w:hint="eastAsia"/>
                <w:color w:val="000000"/>
                <w:w w:val="33"/>
                <w:fitText w:val="150" w:id="-694454782"/>
                <w14:textFill>
                  <w14:solidFill>
                    <w14:srgbClr w14:val="000000">
                      <w14:alpha w14:val="100000"/>
                    </w14:srgbClr>
                  </w14:solidFill>
                </w14:textFill>
              </w:rPr>
              <w:t xml:space="preserve">　</w:t>
            </w:r>
            <w:r w:rsidRPr="00CF6E6B">
              <w:rPr>
                <w:color w:val="000000"/>
                <w:w w:val="33"/>
                <w:fitText w:val="150" w:id="-694454782"/>
                <w14:textFill>
                  <w14:solidFill>
                    <w14:srgbClr w14:val="000000">
                      <w14:alpha w14:val="100000"/>
                    </w14:srgbClr>
                  </w14:solidFill>
                </w14:textFill>
              </w:rPr>
              <w:t>|</w:t>
            </w:r>
            <w:r w:rsidRPr="00CF6E6B">
              <w:rPr>
                <w:rFonts w:hint="eastAsia"/>
                <w:color w:val="000000"/>
                <w:w w:val="33"/>
                <w:fitText w:val="150" w:id="-694454782"/>
                <w14:textFill>
                  <w14:solidFill>
                    <w14:srgbClr w14:val="000000">
                      <w14:alpha w14:val="100000"/>
                    </w14:srgbClr>
                  </w14:solidFill>
                </w14:textFill>
              </w:rPr>
              <w:t xml:space="preserve">　</w:t>
            </w:r>
          </w:p>
        </w:tc>
        <w:tc>
          <w:tcPr>
            <w:tcW w:w="471" w:type="pct"/>
          </w:tcPr>
          <w:p w14:paraId="60C20BB3" w14:textId="77777777" w:rsidR="004B5A3E" w:rsidRPr="005A7226" w:rsidRDefault="004B5A3E">
            <w:pPr>
              <w:pStyle w:val="TableText0"/>
              <w:keepLines/>
              <w:widowControl w:val="0"/>
              <w:jc w:val="center"/>
            </w:pPr>
            <w:r w:rsidRPr="005A7226">
              <w:t>0.09</w:t>
            </w:r>
          </w:p>
        </w:tc>
        <w:tc>
          <w:tcPr>
            <w:tcW w:w="556" w:type="pct"/>
          </w:tcPr>
          <w:p w14:paraId="0F47C74B" w14:textId="52E5F306"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81"/>
                <w14:textFill>
                  <w14:solidFill>
                    <w14:srgbClr w14:val="000000">
                      <w14:alpha w14:val="100000"/>
                    </w14:srgbClr>
                  </w14:solidFill>
                </w14:textFill>
              </w:rPr>
              <w:t xml:space="preserve">　</w:t>
            </w:r>
            <w:r w:rsidRPr="00CF6E6B">
              <w:rPr>
                <w:color w:val="000000"/>
                <w:w w:val="22"/>
                <w:shd w:val="solid" w:color="000000" w:fill="000000"/>
                <w:fitText w:val="100" w:id="-694454781"/>
                <w14:textFill>
                  <w14:solidFill>
                    <w14:srgbClr w14:val="000000">
                      <w14:alpha w14:val="100000"/>
                    </w14:srgbClr>
                  </w14:solidFill>
                </w14:textFill>
              </w:rPr>
              <w:t>|</w:t>
            </w:r>
            <w:r w:rsidRPr="00CF6E6B">
              <w:rPr>
                <w:rFonts w:hint="eastAsia"/>
                <w:color w:val="000000"/>
                <w:spacing w:val="3"/>
                <w:w w:val="22"/>
                <w:shd w:val="solid" w:color="000000" w:fill="000000"/>
                <w:fitText w:val="100" w:id="-694454781"/>
                <w14:textFill>
                  <w14:solidFill>
                    <w14:srgbClr w14:val="000000">
                      <w14:alpha w14:val="100000"/>
                    </w14:srgbClr>
                  </w14:solidFill>
                </w14:textFill>
              </w:rPr>
              <w:t xml:space="preserve">　</w:t>
            </w:r>
            <w:r w:rsidR="00153367" w:rsidRPr="00153367">
              <w:rPr>
                <w:b/>
                <w:vertAlign w:val="superscript"/>
              </w:rPr>
              <w:t>1</w:t>
            </w:r>
          </w:p>
        </w:tc>
        <w:tc>
          <w:tcPr>
            <w:tcW w:w="831" w:type="pct"/>
          </w:tcPr>
          <w:p w14:paraId="4FB545FD" w14:textId="27B26EB4"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076163CA" w14:textId="77777777" w:rsidTr="00CF6E6B">
        <w:trPr>
          <w:trHeight w:val="20"/>
        </w:trPr>
        <w:tc>
          <w:tcPr>
            <w:tcW w:w="2670" w:type="pct"/>
          </w:tcPr>
          <w:p w14:paraId="67EDB126" w14:textId="77777777" w:rsidR="004B5A3E" w:rsidRPr="005A7226" w:rsidRDefault="004B5A3E">
            <w:pPr>
              <w:pStyle w:val="TableText0"/>
              <w:keepLines/>
              <w:widowControl w:val="0"/>
              <w:ind w:left="360"/>
            </w:pPr>
            <w:r w:rsidRPr="005A7226">
              <w:t>Both States Set to 0.785</w:t>
            </w:r>
          </w:p>
        </w:tc>
        <w:tc>
          <w:tcPr>
            <w:tcW w:w="472" w:type="pct"/>
            <w:shd w:val="solid" w:color="000000" w:fill="000000"/>
          </w:tcPr>
          <w:p w14:paraId="24B1DA25" w14:textId="41EC1F72" w:rsidR="004B5A3E" w:rsidRPr="00FA218D" w:rsidRDefault="00CF6E6B">
            <w:pPr>
              <w:pStyle w:val="TableText0"/>
              <w:keepLines/>
              <w:widowControl w:val="0"/>
              <w:jc w:val="center"/>
              <w:rPr>
                <w:highlight w:val="darkGray"/>
              </w:rPr>
            </w:pPr>
            <w:r w:rsidRPr="00CF6E6B">
              <w:rPr>
                <w:rFonts w:hint="eastAsia"/>
                <w:color w:val="000000"/>
                <w:w w:val="33"/>
                <w:fitText w:val="150" w:id="-694454780"/>
                <w14:textFill>
                  <w14:solidFill>
                    <w14:srgbClr w14:val="000000">
                      <w14:alpha w14:val="100000"/>
                    </w14:srgbClr>
                  </w14:solidFill>
                </w14:textFill>
              </w:rPr>
              <w:t xml:space="preserve">　</w:t>
            </w:r>
            <w:r w:rsidRPr="00CF6E6B">
              <w:rPr>
                <w:color w:val="000000"/>
                <w:w w:val="33"/>
                <w:fitText w:val="150" w:id="-694454780"/>
                <w14:textFill>
                  <w14:solidFill>
                    <w14:srgbClr w14:val="000000">
                      <w14:alpha w14:val="100000"/>
                    </w14:srgbClr>
                  </w14:solidFill>
                </w14:textFill>
              </w:rPr>
              <w:t>|</w:t>
            </w:r>
            <w:r w:rsidRPr="00CF6E6B">
              <w:rPr>
                <w:rFonts w:hint="eastAsia"/>
                <w:color w:val="000000"/>
                <w:w w:val="33"/>
                <w:fitText w:val="150" w:id="-694454780"/>
                <w14:textFill>
                  <w14:solidFill>
                    <w14:srgbClr w14:val="000000">
                      <w14:alpha w14:val="100000"/>
                    </w14:srgbClr>
                  </w14:solidFill>
                </w14:textFill>
              </w:rPr>
              <w:t xml:space="preserve">　</w:t>
            </w:r>
          </w:p>
        </w:tc>
        <w:tc>
          <w:tcPr>
            <w:tcW w:w="471" w:type="pct"/>
          </w:tcPr>
          <w:p w14:paraId="560A8107" w14:textId="77777777" w:rsidR="004B5A3E" w:rsidRPr="005A7226" w:rsidRDefault="004B5A3E">
            <w:pPr>
              <w:pStyle w:val="TableText0"/>
              <w:keepLines/>
              <w:widowControl w:val="0"/>
              <w:jc w:val="center"/>
            </w:pPr>
            <w:r w:rsidRPr="005A7226">
              <w:t>0.09</w:t>
            </w:r>
          </w:p>
        </w:tc>
        <w:tc>
          <w:tcPr>
            <w:tcW w:w="556" w:type="pct"/>
          </w:tcPr>
          <w:p w14:paraId="6C04BD3C" w14:textId="40DAA24C"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9"/>
                <w14:textFill>
                  <w14:solidFill>
                    <w14:srgbClr w14:val="000000">
                      <w14:alpha w14:val="100000"/>
                    </w14:srgbClr>
                  </w14:solidFill>
                </w14:textFill>
              </w:rPr>
              <w:t xml:space="preserve">　</w:t>
            </w:r>
            <w:r w:rsidRPr="00CF6E6B">
              <w:rPr>
                <w:color w:val="000000"/>
                <w:w w:val="22"/>
                <w:shd w:val="solid" w:color="000000" w:fill="000000"/>
                <w:fitText w:val="100" w:id="-694454779"/>
                <w14:textFill>
                  <w14:solidFill>
                    <w14:srgbClr w14:val="000000">
                      <w14:alpha w14:val="100000"/>
                    </w14:srgbClr>
                  </w14:solidFill>
                </w14:textFill>
              </w:rPr>
              <w:t>|</w:t>
            </w:r>
            <w:r w:rsidRPr="00CF6E6B">
              <w:rPr>
                <w:rFonts w:hint="eastAsia"/>
                <w:color w:val="000000"/>
                <w:spacing w:val="3"/>
                <w:w w:val="22"/>
                <w:shd w:val="solid" w:color="000000" w:fill="000000"/>
                <w:fitText w:val="100" w:id="-694454779"/>
                <w14:textFill>
                  <w14:solidFill>
                    <w14:srgbClr w14:val="000000">
                      <w14:alpha w14:val="100000"/>
                    </w14:srgbClr>
                  </w14:solidFill>
                </w14:textFill>
              </w:rPr>
              <w:t xml:space="preserve">　</w:t>
            </w:r>
            <w:r w:rsidR="00153367" w:rsidRPr="00153367">
              <w:rPr>
                <w:b/>
                <w:vertAlign w:val="superscript"/>
              </w:rPr>
              <w:t>1</w:t>
            </w:r>
          </w:p>
        </w:tc>
        <w:tc>
          <w:tcPr>
            <w:tcW w:w="831" w:type="pct"/>
          </w:tcPr>
          <w:p w14:paraId="0CDCA2E2" w14:textId="2A0B92BB"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688F4372" w14:textId="77777777">
        <w:trPr>
          <w:trHeight w:val="20"/>
        </w:trPr>
        <w:tc>
          <w:tcPr>
            <w:tcW w:w="5000" w:type="pct"/>
            <w:gridSpan w:val="5"/>
          </w:tcPr>
          <w:p w14:paraId="3E3DEBE3" w14:textId="77777777" w:rsidR="004B5A3E" w:rsidRPr="005A7226" w:rsidRDefault="004B5A3E">
            <w:pPr>
              <w:pStyle w:val="TableText0"/>
              <w:keepLines/>
              <w:widowControl w:val="0"/>
              <w:rPr>
                <w:b/>
                <w:bCs w:val="0"/>
              </w:rPr>
            </w:pPr>
            <w:r w:rsidRPr="005A7226">
              <w:rPr>
                <w:b/>
                <w:bCs w:val="0"/>
              </w:rPr>
              <w:t>Natural VMS cessation (base case: Avis 2015, 7.4 years)</w:t>
            </w:r>
          </w:p>
        </w:tc>
      </w:tr>
      <w:tr w:rsidR="004B5A3E" w:rsidRPr="005A7226" w14:paraId="31CAF188" w14:textId="77777777" w:rsidTr="00CF6E6B">
        <w:trPr>
          <w:trHeight w:val="20"/>
        </w:trPr>
        <w:tc>
          <w:tcPr>
            <w:tcW w:w="2670" w:type="pct"/>
          </w:tcPr>
          <w:p w14:paraId="5B1B6067" w14:textId="77777777" w:rsidR="004B5A3E" w:rsidRPr="005A7226" w:rsidRDefault="004B5A3E">
            <w:pPr>
              <w:pStyle w:val="TableText0"/>
              <w:keepLines/>
              <w:widowControl w:val="0"/>
              <w:ind w:left="360"/>
            </w:pPr>
            <w:r w:rsidRPr="005A7226">
              <w:t>Politi et al., (2008): 4 years</w:t>
            </w:r>
          </w:p>
        </w:tc>
        <w:tc>
          <w:tcPr>
            <w:tcW w:w="472" w:type="pct"/>
            <w:tcBorders>
              <w:bottom w:val="single" w:sz="4" w:space="0" w:color="auto"/>
            </w:tcBorders>
            <w:shd w:val="solid" w:color="000000" w:fill="000000"/>
            <w:vAlign w:val="top"/>
          </w:tcPr>
          <w:p w14:paraId="444E3027" w14:textId="367D0D61" w:rsidR="004B5A3E" w:rsidRPr="00FA218D" w:rsidRDefault="00CF6E6B">
            <w:pPr>
              <w:pStyle w:val="TableText0"/>
              <w:keepLines/>
              <w:widowControl w:val="0"/>
              <w:jc w:val="center"/>
              <w:rPr>
                <w:highlight w:val="darkGray"/>
              </w:rPr>
            </w:pPr>
            <w:r w:rsidRPr="00CF6E6B">
              <w:rPr>
                <w:rFonts w:hint="eastAsia"/>
                <w:color w:val="000000"/>
                <w:w w:val="33"/>
                <w:fitText w:val="150" w:id="-694454778"/>
                <w14:textFill>
                  <w14:solidFill>
                    <w14:srgbClr w14:val="000000">
                      <w14:alpha w14:val="100000"/>
                    </w14:srgbClr>
                  </w14:solidFill>
                </w14:textFill>
              </w:rPr>
              <w:t xml:space="preserve">　</w:t>
            </w:r>
            <w:r w:rsidRPr="00CF6E6B">
              <w:rPr>
                <w:color w:val="000000"/>
                <w:w w:val="33"/>
                <w:fitText w:val="150" w:id="-694454778"/>
                <w14:textFill>
                  <w14:solidFill>
                    <w14:srgbClr w14:val="000000">
                      <w14:alpha w14:val="100000"/>
                    </w14:srgbClr>
                  </w14:solidFill>
                </w14:textFill>
              </w:rPr>
              <w:t>|</w:t>
            </w:r>
            <w:r w:rsidRPr="00CF6E6B">
              <w:rPr>
                <w:rFonts w:hint="eastAsia"/>
                <w:color w:val="000000"/>
                <w:w w:val="33"/>
                <w:fitText w:val="150" w:id="-694454778"/>
                <w14:textFill>
                  <w14:solidFill>
                    <w14:srgbClr w14:val="000000">
                      <w14:alpha w14:val="100000"/>
                    </w14:srgbClr>
                  </w14:solidFill>
                </w14:textFill>
              </w:rPr>
              <w:t xml:space="preserve">　</w:t>
            </w:r>
          </w:p>
        </w:tc>
        <w:tc>
          <w:tcPr>
            <w:tcW w:w="471" w:type="pct"/>
            <w:vAlign w:val="top"/>
          </w:tcPr>
          <w:p w14:paraId="069A0EC1" w14:textId="77777777" w:rsidR="004B5A3E" w:rsidRPr="005A7226" w:rsidRDefault="004B5A3E">
            <w:pPr>
              <w:pStyle w:val="TableText0"/>
              <w:keepLines/>
              <w:widowControl w:val="0"/>
              <w:jc w:val="center"/>
            </w:pPr>
            <w:r w:rsidRPr="005A7226">
              <w:t>0.07</w:t>
            </w:r>
          </w:p>
        </w:tc>
        <w:tc>
          <w:tcPr>
            <w:tcW w:w="556" w:type="pct"/>
            <w:vAlign w:val="top"/>
          </w:tcPr>
          <w:p w14:paraId="5F34B9A2" w14:textId="62E8026E"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7"/>
                <w14:textFill>
                  <w14:solidFill>
                    <w14:srgbClr w14:val="000000">
                      <w14:alpha w14:val="100000"/>
                    </w14:srgbClr>
                  </w14:solidFill>
                </w14:textFill>
              </w:rPr>
              <w:t xml:space="preserve">　</w:t>
            </w:r>
            <w:r w:rsidRPr="00CF6E6B">
              <w:rPr>
                <w:color w:val="000000"/>
                <w:w w:val="22"/>
                <w:shd w:val="solid" w:color="000000" w:fill="000000"/>
                <w:fitText w:val="100" w:id="-694454777"/>
                <w14:textFill>
                  <w14:solidFill>
                    <w14:srgbClr w14:val="000000">
                      <w14:alpha w14:val="100000"/>
                    </w14:srgbClr>
                  </w14:solidFill>
                </w14:textFill>
              </w:rPr>
              <w:t>|</w:t>
            </w:r>
            <w:r w:rsidRPr="00CF6E6B">
              <w:rPr>
                <w:rFonts w:hint="eastAsia"/>
                <w:color w:val="000000"/>
                <w:spacing w:val="3"/>
                <w:w w:val="22"/>
                <w:shd w:val="solid" w:color="000000" w:fill="000000"/>
                <w:fitText w:val="100" w:id="-694454777"/>
                <w14:textFill>
                  <w14:solidFill>
                    <w14:srgbClr w14:val="000000">
                      <w14:alpha w14:val="100000"/>
                    </w14:srgbClr>
                  </w14:solidFill>
                </w14:textFill>
              </w:rPr>
              <w:t xml:space="preserve">　</w:t>
            </w:r>
            <w:r w:rsidR="00786179" w:rsidRPr="00786179">
              <w:rPr>
                <w:vertAlign w:val="superscript"/>
              </w:rPr>
              <w:t>4</w:t>
            </w:r>
          </w:p>
        </w:tc>
        <w:tc>
          <w:tcPr>
            <w:tcW w:w="831" w:type="pct"/>
            <w:vAlign w:val="top"/>
          </w:tcPr>
          <w:p w14:paraId="04C26C8C" w14:textId="4802DD79"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557FD99F" w14:textId="77777777" w:rsidTr="00CF6E6B">
        <w:trPr>
          <w:trHeight w:val="20"/>
        </w:trPr>
        <w:tc>
          <w:tcPr>
            <w:tcW w:w="2670" w:type="pct"/>
          </w:tcPr>
          <w:p w14:paraId="51A0AA7F" w14:textId="77777777" w:rsidR="004B5A3E" w:rsidRPr="005A7226" w:rsidRDefault="004B5A3E">
            <w:pPr>
              <w:pStyle w:val="TableText0"/>
              <w:keepLines/>
              <w:widowControl w:val="0"/>
              <w:ind w:left="360"/>
            </w:pPr>
            <w:r w:rsidRPr="005A7226">
              <w:t>Clinicians: 4 in 5 = 7ys &amp; 1 in 5 =10ys, Av.=7.6ys</w:t>
            </w:r>
          </w:p>
        </w:tc>
        <w:tc>
          <w:tcPr>
            <w:tcW w:w="472" w:type="pct"/>
            <w:shd w:val="solid" w:color="000000" w:fill="000000"/>
            <w:vAlign w:val="top"/>
          </w:tcPr>
          <w:p w14:paraId="1BB9BDE7" w14:textId="23985138" w:rsidR="004B5A3E" w:rsidRPr="00FA218D" w:rsidRDefault="00CF6E6B">
            <w:pPr>
              <w:pStyle w:val="TableText0"/>
              <w:keepLines/>
              <w:widowControl w:val="0"/>
              <w:jc w:val="center"/>
              <w:rPr>
                <w:highlight w:val="darkGray"/>
              </w:rPr>
            </w:pPr>
            <w:r w:rsidRPr="00CF6E6B">
              <w:rPr>
                <w:rFonts w:hint="eastAsia"/>
                <w:color w:val="000000"/>
                <w:w w:val="33"/>
                <w:fitText w:val="150" w:id="-694454776"/>
                <w14:textFill>
                  <w14:solidFill>
                    <w14:srgbClr w14:val="000000">
                      <w14:alpha w14:val="100000"/>
                    </w14:srgbClr>
                  </w14:solidFill>
                </w14:textFill>
              </w:rPr>
              <w:t xml:space="preserve">　</w:t>
            </w:r>
            <w:r w:rsidRPr="00CF6E6B">
              <w:rPr>
                <w:color w:val="000000"/>
                <w:w w:val="33"/>
                <w:fitText w:val="150" w:id="-694454776"/>
                <w14:textFill>
                  <w14:solidFill>
                    <w14:srgbClr w14:val="000000">
                      <w14:alpha w14:val="100000"/>
                    </w14:srgbClr>
                  </w14:solidFill>
                </w14:textFill>
              </w:rPr>
              <w:t>|</w:t>
            </w:r>
            <w:r w:rsidRPr="00CF6E6B">
              <w:rPr>
                <w:rFonts w:hint="eastAsia"/>
                <w:color w:val="000000"/>
                <w:w w:val="33"/>
                <w:fitText w:val="150" w:id="-694454776"/>
                <w14:textFill>
                  <w14:solidFill>
                    <w14:srgbClr w14:val="000000">
                      <w14:alpha w14:val="100000"/>
                    </w14:srgbClr>
                  </w14:solidFill>
                </w14:textFill>
              </w:rPr>
              <w:t xml:space="preserve">　</w:t>
            </w:r>
          </w:p>
        </w:tc>
        <w:tc>
          <w:tcPr>
            <w:tcW w:w="471" w:type="pct"/>
            <w:vAlign w:val="top"/>
          </w:tcPr>
          <w:p w14:paraId="3FB712BF" w14:textId="77777777" w:rsidR="004B5A3E" w:rsidRPr="005A7226" w:rsidRDefault="004B5A3E">
            <w:pPr>
              <w:pStyle w:val="TableText0"/>
              <w:keepLines/>
              <w:widowControl w:val="0"/>
              <w:jc w:val="center"/>
            </w:pPr>
            <w:r w:rsidRPr="005A7226">
              <w:t>0.09</w:t>
            </w:r>
          </w:p>
        </w:tc>
        <w:tc>
          <w:tcPr>
            <w:tcW w:w="556" w:type="pct"/>
            <w:vAlign w:val="top"/>
          </w:tcPr>
          <w:p w14:paraId="6D56FC54" w14:textId="1A36F0C7"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5"/>
                <w14:textFill>
                  <w14:solidFill>
                    <w14:srgbClr w14:val="000000">
                      <w14:alpha w14:val="100000"/>
                    </w14:srgbClr>
                  </w14:solidFill>
                </w14:textFill>
              </w:rPr>
              <w:t xml:space="preserve">　</w:t>
            </w:r>
            <w:r w:rsidRPr="00CF6E6B">
              <w:rPr>
                <w:color w:val="000000"/>
                <w:w w:val="22"/>
                <w:shd w:val="solid" w:color="000000" w:fill="000000"/>
                <w:fitText w:val="100" w:id="-694454775"/>
                <w14:textFill>
                  <w14:solidFill>
                    <w14:srgbClr w14:val="000000">
                      <w14:alpha w14:val="100000"/>
                    </w14:srgbClr>
                  </w14:solidFill>
                </w14:textFill>
              </w:rPr>
              <w:t>|</w:t>
            </w:r>
            <w:r w:rsidRPr="00CF6E6B">
              <w:rPr>
                <w:rFonts w:hint="eastAsia"/>
                <w:color w:val="000000"/>
                <w:spacing w:val="3"/>
                <w:w w:val="22"/>
                <w:shd w:val="solid" w:color="000000" w:fill="000000"/>
                <w:fitText w:val="100" w:id="-694454775"/>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3D1B25A4" w14:textId="20D66B5A"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55A9B4E2" w14:textId="77777777">
        <w:trPr>
          <w:trHeight w:val="20"/>
        </w:trPr>
        <w:tc>
          <w:tcPr>
            <w:tcW w:w="5000" w:type="pct"/>
            <w:gridSpan w:val="5"/>
          </w:tcPr>
          <w:p w14:paraId="24CC88D2" w14:textId="77777777" w:rsidR="004B5A3E" w:rsidRPr="005A7226" w:rsidRDefault="004B5A3E">
            <w:pPr>
              <w:pStyle w:val="TableText0"/>
              <w:keepLines/>
              <w:widowControl w:val="0"/>
              <w:rPr>
                <w:b/>
                <w:bCs w:val="0"/>
              </w:rPr>
            </w:pPr>
            <w:r w:rsidRPr="005A7226">
              <w:rPr>
                <w:b/>
                <w:bCs w:val="0"/>
              </w:rPr>
              <w:t>Perspective (base case: payer)</w:t>
            </w:r>
          </w:p>
        </w:tc>
      </w:tr>
      <w:tr w:rsidR="004B5A3E" w:rsidRPr="005A7226" w14:paraId="48197AA8" w14:textId="77777777" w:rsidTr="00595A66">
        <w:trPr>
          <w:trHeight w:val="20"/>
        </w:trPr>
        <w:tc>
          <w:tcPr>
            <w:tcW w:w="2670" w:type="pct"/>
          </w:tcPr>
          <w:p w14:paraId="6A8D1EB6" w14:textId="77777777" w:rsidR="004B5A3E" w:rsidRPr="005A7226" w:rsidRDefault="004B5A3E">
            <w:pPr>
              <w:pStyle w:val="TableText0"/>
              <w:keepLines/>
              <w:widowControl w:val="0"/>
              <w:ind w:left="360"/>
            </w:pPr>
            <w:r w:rsidRPr="005A7226">
              <w:t>Societal perspective</w:t>
            </w:r>
          </w:p>
        </w:tc>
        <w:tc>
          <w:tcPr>
            <w:tcW w:w="472" w:type="pct"/>
            <w:vAlign w:val="top"/>
          </w:tcPr>
          <w:p w14:paraId="42E01970" w14:textId="05215C09" w:rsidR="004B5A3E" w:rsidRPr="005A7226" w:rsidRDefault="004B5A3E">
            <w:pPr>
              <w:pStyle w:val="TableText0"/>
              <w:keepLines/>
              <w:widowControl w:val="0"/>
              <w:jc w:val="center"/>
            </w:pPr>
            <w:r w:rsidRPr="00B17F84">
              <w:t>-</w:t>
            </w:r>
            <w:r w:rsidR="00CF6E6B" w:rsidRPr="00CF6E6B">
              <w:rPr>
                <w:color w:val="000000"/>
                <w:spacing w:val="84"/>
                <w:shd w:val="solid" w:color="000000" w:fill="000000"/>
                <w:fitText w:val="170" w:id="-694454774"/>
                <w14:textFill>
                  <w14:solidFill>
                    <w14:srgbClr w14:val="000000">
                      <w14:alpha w14:val="100000"/>
                    </w14:srgbClr>
                  </w14:solidFill>
                </w14:textFill>
              </w:rPr>
              <w:t>|</w:t>
            </w:r>
            <w:r w:rsidR="00CF6E6B" w:rsidRPr="00CF6E6B">
              <w:rPr>
                <w:color w:val="000000"/>
                <w:spacing w:val="1"/>
                <w:shd w:val="solid" w:color="000000" w:fill="000000"/>
                <w:fitText w:val="170" w:id="-694454774"/>
                <w14:textFill>
                  <w14:solidFill>
                    <w14:srgbClr w14:val="000000">
                      <w14:alpha w14:val="100000"/>
                    </w14:srgbClr>
                  </w14:solidFill>
                </w14:textFill>
              </w:rPr>
              <w:t>|</w:t>
            </w:r>
          </w:p>
        </w:tc>
        <w:tc>
          <w:tcPr>
            <w:tcW w:w="471" w:type="pct"/>
            <w:vAlign w:val="top"/>
          </w:tcPr>
          <w:p w14:paraId="2A3CB80D" w14:textId="77777777" w:rsidR="004B5A3E" w:rsidRPr="005A7226" w:rsidRDefault="004B5A3E">
            <w:pPr>
              <w:pStyle w:val="TableText0"/>
              <w:keepLines/>
              <w:widowControl w:val="0"/>
              <w:jc w:val="center"/>
            </w:pPr>
            <w:r w:rsidRPr="005A7226">
              <w:t>0.09</w:t>
            </w:r>
          </w:p>
        </w:tc>
        <w:tc>
          <w:tcPr>
            <w:tcW w:w="556" w:type="pct"/>
            <w:vAlign w:val="top"/>
          </w:tcPr>
          <w:p w14:paraId="766DA6CE" w14:textId="7BE85AA7" w:rsidR="004B5A3E" w:rsidRPr="005A7226" w:rsidRDefault="004B5A3E">
            <w:pPr>
              <w:pStyle w:val="TableText0"/>
              <w:keepLines/>
              <w:widowControl w:val="0"/>
              <w:jc w:val="center"/>
            </w:pPr>
            <w:r w:rsidRPr="00595A66">
              <w:t>-</w:t>
            </w:r>
            <w:r w:rsidR="00CF6E6B" w:rsidRPr="00CF6E6B">
              <w:rPr>
                <w:rFonts w:hint="eastAsia"/>
                <w:color w:val="000000"/>
                <w:w w:val="29"/>
                <w:shd w:val="solid" w:color="000000" w:fill="000000"/>
                <w:fitText w:val="130" w:id="-694454773"/>
                <w14:textFill>
                  <w14:solidFill>
                    <w14:srgbClr w14:val="000000">
                      <w14:alpha w14:val="100000"/>
                    </w14:srgbClr>
                  </w14:solidFill>
                </w14:textFill>
              </w:rPr>
              <w:t xml:space="preserve">　</w:t>
            </w:r>
            <w:r w:rsidR="00CF6E6B" w:rsidRPr="00CF6E6B">
              <w:rPr>
                <w:color w:val="000000"/>
                <w:w w:val="29"/>
                <w:shd w:val="solid" w:color="000000" w:fill="000000"/>
                <w:fitText w:val="130" w:id="-694454773"/>
                <w14:textFill>
                  <w14:solidFill>
                    <w14:srgbClr w14:val="000000">
                      <w14:alpha w14:val="100000"/>
                    </w14:srgbClr>
                  </w14:solidFill>
                </w14:textFill>
              </w:rPr>
              <w:t>|</w:t>
            </w:r>
            <w:r w:rsidR="00CF6E6B" w:rsidRPr="00CF6E6B">
              <w:rPr>
                <w:rFonts w:hint="eastAsia"/>
                <w:color w:val="000000"/>
                <w:spacing w:val="2"/>
                <w:w w:val="29"/>
                <w:shd w:val="solid" w:color="000000" w:fill="000000"/>
                <w:fitText w:val="130" w:id="-694454773"/>
                <w14:textFill>
                  <w14:solidFill>
                    <w14:srgbClr w14:val="000000">
                      <w14:alpha w14:val="100000"/>
                    </w14:srgbClr>
                  </w14:solidFill>
                </w14:textFill>
              </w:rPr>
              <w:t xml:space="preserve">　</w:t>
            </w:r>
            <w:r w:rsidR="008B25E4" w:rsidRPr="008B25E4">
              <w:rPr>
                <w:vertAlign w:val="superscript"/>
              </w:rPr>
              <w:t>5</w:t>
            </w:r>
          </w:p>
        </w:tc>
        <w:tc>
          <w:tcPr>
            <w:tcW w:w="831" w:type="pct"/>
            <w:vAlign w:val="top"/>
          </w:tcPr>
          <w:p w14:paraId="67A5361A" w14:textId="369E53E3"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0DE6D555" w14:textId="77777777">
        <w:trPr>
          <w:trHeight w:val="20"/>
        </w:trPr>
        <w:tc>
          <w:tcPr>
            <w:tcW w:w="5000" w:type="pct"/>
            <w:gridSpan w:val="5"/>
          </w:tcPr>
          <w:p w14:paraId="14835880" w14:textId="77777777" w:rsidR="004B5A3E" w:rsidRPr="005A7226" w:rsidRDefault="004B5A3E">
            <w:pPr>
              <w:pStyle w:val="TableText0"/>
              <w:keepLines/>
              <w:widowControl w:val="0"/>
              <w:rPr>
                <w:b/>
                <w:bCs w:val="0"/>
              </w:rPr>
            </w:pPr>
            <w:r w:rsidRPr="005A7226">
              <w:rPr>
                <w:b/>
                <w:bCs w:val="0"/>
              </w:rPr>
              <w:t>Healthcare resource use (base case: Australian clinicians estimate)</w:t>
            </w:r>
          </w:p>
        </w:tc>
      </w:tr>
      <w:tr w:rsidR="004B5A3E" w:rsidRPr="005A7226" w14:paraId="31E7A254" w14:textId="77777777" w:rsidTr="00CF6E6B">
        <w:trPr>
          <w:trHeight w:val="20"/>
        </w:trPr>
        <w:tc>
          <w:tcPr>
            <w:tcW w:w="2670" w:type="pct"/>
          </w:tcPr>
          <w:p w14:paraId="6B92E582" w14:textId="77777777" w:rsidR="004B5A3E" w:rsidRPr="005A7226" w:rsidRDefault="004B5A3E">
            <w:pPr>
              <w:pStyle w:val="TableText0"/>
              <w:keepLines/>
              <w:widowControl w:val="0"/>
              <w:ind w:left="360"/>
            </w:pPr>
            <w:r w:rsidRPr="005A7226">
              <w:t xml:space="preserve">Whiteley et al., (2013) </w:t>
            </w:r>
          </w:p>
        </w:tc>
        <w:tc>
          <w:tcPr>
            <w:tcW w:w="472" w:type="pct"/>
            <w:tcBorders>
              <w:bottom w:val="single" w:sz="4" w:space="0" w:color="auto"/>
            </w:tcBorders>
            <w:shd w:val="solid" w:color="000000" w:fill="000000"/>
          </w:tcPr>
          <w:p w14:paraId="7D7B9EF0" w14:textId="6CE2F74B" w:rsidR="004B5A3E" w:rsidRPr="00B17F84" w:rsidRDefault="00CF6E6B">
            <w:pPr>
              <w:pStyle w:val="TableText0"/>
              <w:keepLines/>
              <w:widowControl w:val="0"/>
              <w:jc w:val="center"/>
              <w:rPr>
                <w:highlight w:val="darkGray"/>
              </w:rPr>
            </w:pPr>
            <w:r w:rsidRPr="00CF6E6B">
              <w:rPr>
                <w:rFonts w:hint="eastAsia"/>
                <w:color w:val="000000"/>
                <w:w w:val="33"/>
                <w:fitText w:val="150" w:id="-694454772"/>
                <w14:textFill>
                  <w14:solidFill>
                    <w14:srgbClr w14:val="000000">
                      <w14:alpha w14:val="100000"/>
                    </w14:srgbClr>
                  </w14:solidFill>
                </w14:textFill>
              </w:rPr>
              <w:t xml:space="preserve">　</w:t>
            </w:r>
            <w:r w:rsidRPr="00CF6E6B">
              <w:rPr>
                <w:color w:val="000000"/>
                <w:w w:val="33"/>
                <w:fitText w:val="150" w:id="-694454772"/>
                <w14:textFill>
                  <w14:solidFill>
                    <w14:srgbClr w14:val="000000">
                      <w14:alpha w14:val="100000"/>
                    </w14:srgbClr>
                  </w14:solidFill>
                </w14:textFill>
              </w:rPr>
              <w:t>|</w:t>
            </w:r>
            <w:r w:rsidRPr="00CF6E6B">
              <w:rPr>
                <w:rFonts w:hint="eastAsia"/>
                <w:color w:val="000000"/>
                <w:w w:val="33"/>
                <w:fitText w:val="150" w:id="-694454772"/>
                <w14:textFill>
                  <w14:solidFill>
                    <w14:srgbClr w14:val="000000">
                      <w14:alpha w14:val="100000"/>
                    </w14:srgbClr>
                  </w14:solidFill>
                </w14:textFill>
              </w:rPr>
              <w:t xml:space="preserve">　</w:t>
            </w:r>
          </w:p>
        </w:tc>
        <w:tc>
          <w:tcPr>
            <w:tcW w:w="471" w:type="pct"/>
          </w:tcPr>
          <w:p w14:paraId="0A8D60FD" w14:textId="77777777" w:rsidR="004B5A3E" w:rsidRPr="005A7226" w:rsidRDefault="004B5A3E">
            <w:pPr>
              <w:pStyle w:val="TableText0"/>
              <w:keepLines/>
              <w:widowControl w:val="0"/>
              <w:jc w:val="center"/>
            </w:pPr>
            <w:r w:rsidRPr="005A7226">
              <w:t>0.09</w:t>
            </w:r>
          </w:p>
        </w:tc>
        <w:tc>
          <w:tcPr>
            <w:tcW w:w="556" w:type="pct"/>
          </w:tcPr>
          <w:p w14:paraId="6CCE90DD" w14:textId="709D4937"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71"/>
                <w14:textFill>
                  <w14:solidFill>
                    <w14:srgbClr w14:val="000000">
                      <w14:alpha w14:val="100000"/>
                    </w14:srgbClr>
                  </w14:solidFill>
                </w14:textFill>
              </w:rPr>
              <w:t xml:space="preserve">　</w:t>
            </w:r>
            <w:r w:rsidRPr="00CF6E6B">
              <w:rPr>
                <w:color w:val="000000"/>
                <w:w w:val="22"/>
                <w:shd w:val="solid" w:color="000000" w:fill="000000"/>
                <w:fitText w:val="100" w:id="-694454771"/>
                <w14:textFill>
                  <w14:solidFill>
                    <w14:srgbClr w14:val="000000">
                      <w14:alpha w14:val="100000"/>
                    </w14:srgbClr>
                  </w14:solidFill>
                </w14:textFill>
              </w:rPr>
              <w:t>|</w:t>
            </w:r>
            <w:r w:rsidRPr="00CF6E6B">
              <w:rPr>
                <w:rFonts w:hint="eastAsia"/>
                <w:color w:val="000000"/>
                <w:spacing w:val="3"/>
                <w:w w:val="22"/>
                <w:shd w:val="solid" w:color="000000" w:fill="000000"/>
                <w:fitText w:val="100" w:id="-694454771"/>
                <w14:textFill>
                  <w14:solidFill>
                    <w14:srgbClr w14:val="000000">
                      <w14:alpha w14:val="100000"/>
                    </w14:srgbClr>
                  </w14:solidFill>
                </w14:textFill>
              </w:rPr>
              <w:t xml:space="preserve">　</w:t>
            </w:r>
            <w:r w:rsidR="00153367" w:rsidRPr="00153367">
              <w:rPr>
                <w:b/>
                <w:vertAlign w:val="superscript"/>
              </w:rPr>
              <w:t>1</w:t>
            </w:r>
          </w:p>
        </w:tc>
        <w:tc>
          <w:tcPr>
            <w:tcW w:w="831" w:type="pct"/>
          </w:tcPr>
          <w:p w14:paraId="4B986F03" w14:textId="02ED3B0C"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5EA10B6E" w14:textId="77777777" w:rsidTr="00CF6E6B">
        <w:trPr>
          <w:trHeight w:val="20"/>
        </w:trPr>
        <w:tc>
          <w:tcPr>
            <w:tcW w:w="2670" w:type="pct"/>
          </w:tcPr>
          <w:p w14:paraId="1E4B3AFF" w14:textId="77777777" w:rsidR="004B5A3E" w:rsidRPr="005A7226" w:rsidRDefault="004B5A3E">
            <w:pPr>
              <w:pStyle w:val="TableText0"/>
              <w:keepLines/>
              <w:widowControl w:val="0"/>
              <w:ind w:left="360"/>
            </w:pPr>
            <w:proofErr w:type="spellStart"/>
            <w:r w:rsidRPr="005A7226">
              <w:t>Sarrel</w:t>
            </w:r>
            <w:proofErr w:type="spellEnd"/>
            <w:r w:rsidRPr="005A7226">
              <w:t xml:space="preserve"> et al., (2015) </w:t>
            </w:r>
          </w:p>
        </w:tc>
        <w:tc>
          <w:tcPr>
            <w:tcW w:w="472" w:type="pct"/>
            <w:shd w:val="solid" w:color="000000" w:fill="000000"/>
          </w:tcPr>
          <w:p w14:paraId="4723113E" w14:textId="23E145B2" w:rsidR="004B5A3E" w:rsidRPr="00B17F84" w:rsidRDefault="00CF6E6B">
            <w:pPr>
              <w:pStyle w:val="TableText0"/>
              <w:keepLines/>
              <w:widowControl w:val="0"/>
              <w:jc w:val="center"/>
              <w:rPr>
                <w:highlight w:val="darkGray"/>
              </w:rPr>
            </w:pPr>
            <w:r w:rsidRPr="00CF6E6B">
              <w:rPr>
                <w:rFonts w:hint="eastAsia"/>
                <w:color w:val="000000"/>
                <w:w w:val="33"/>
                <w:fitText w:val="150" w:id="-694454770"/>
                <w14:textFill>
                  <w14:solidFill>
                    <w14:srgbClr w14:val="000000">
                      <w14:alpha w14:val="100000"/>
                    </w14:srgbClr>
                  </w14:solidFill>
                </w14:textFill>
              </w:rPr>
              <w:t xml:space="preserve">　</w:t>
            </w:r>
            <w:r w:rsidRPr="00CF6E6B">
              <w:rPr>
                <w:color w:val="000000"/>
                <w:w w:val="33"/>
                <w:fitText w:val="150" w:id="-694454770"/>
                <w14:textFill>
                  <w14:solidFill>
                    <w14:srgbClr w14:val="000000">
                      <w14:alpha w14:val="100000"/>
                    </w14:srgbClr>
                  </w14:solidFill>
                </w14:textFill>
              </w:rPr>
              <w:t>|</w:t>
            </w:r>
            <w:r w:rsidRPr="00CF6E6B">
              <w:rPr>
                <w:rFonts w:hint="eastAsia"/>
                <w:color w:val="000000"/>
                <w:w w:val="33"/>
                <w:fitText w:val="150" w:id="-694454770"/>
                <w14:textFill>
                  <w14:solidFill>
                    <w14:srgbClr w14:val="000000">
                      <w14:alpha w14:val="100000"/>
                    </w14:srgbClr>
                  </w14:solidFill>
                </w14:textFill>
              </w:rPr>
              <w:t xml:space="preserve">　</w:t>
            </w:r>
          </w:p>
        </w:tc>
        <w:tc>
          <w:tcPr>
            <w:tcW w:w="471" w:type="pct"/>
          </w:tcPr>
          <w:p w14:paraId="275951BD" w14:textId="77777777" w:rsidR="004B5A3E" w:rsidRPr="005A7226" w:rsidRDefault="004B5A3E">
            <w:pPr>
              <w:pStyle w:val="TableText0"/>
              <w:keepLines/>
              <w:widowControl w:val="0"/>
              <w:jc w:val="center"/>
            </w:pPr>
            <w:r w:rsidRPr="005A7226">
              <w:t>0.09</w:t>
            </w:r>
          </w:p>
        </w:tc>
        <w:tc>
          <w:tcPr>
            <w:tcW w:w="556" w:type="pct"/>
          </w:tcPr>
          <w:p w14:paraId="28A18DD0" w14:textId="23EA48C1" w:rsidR="004B5A3E" w:rsidRPr="00B17F84" w:rsidRDefault="00CF6E6B">
            <w:pPr>
              <w:pStyle w:val="TableText0"/>
              <w:keepLines/>
              <w:widowControl w:val="0"/>
              <w:jc w:val="center"/>
              <w:rPr>
                <w:highlight w:val="darkGray"/>
              </w:rPr>
            </w:pPr>
            <w:r w:rsidRPr="00CF6E6B">
              <w:rPr>
                <w:rFonts w:hint="eastAsia"/>
                <w:color w:val="000000"/>
                <w:w w:val="22"/>
                <w:shd w:val="solid" w:color="000000" w:fill="000000"/>
                <w:fitText w:val="100" w:id="-694454769"/>
                <w14:textFill>
                  <w14:solidFill>
                    <w14:srgbClr w14:val="000000">
                      <w14:alpha w14:val="100000"/>
                    </w14:srgbClr>
                  </w14:solidFill>
                </w14:textFill>
              </w:rPr>
              <w:t xml:space="preserve">　</w:t>
            </w:r>
            <w:r w:rsidRPr="00CF6E6B">
              <w:rPr>
                <w:color w:val="000000"/>
                <w:w w:val="22"/>
                <w:shd w:val="solid" w:color="000000" w:fill="000000"/>
                <w:fitText w:val="100" w:id="-694454769"/>
                <w14:textFill>
                  <w14:solidFill>
                    <w14:srgbClr w14:val="000000">
                      <w14:alpha w14:val="100000"/>
                    </w14:srgbClr>
                  </w14:solidFill>
                </w14:textFill>
              </w:rPr>
              <w:t>|</w:t>
            </w:r>
            <w:r w:rsidRPr="00CF6E6B">
              <w:rPr>
                <w:rFonts w:hint="eastAsia"/>
                <w:color w:val="000000"/>
                <w:spacing w:val="3"/>
                <w:w w:val="22"/>
                <w:shd w:val="solid" w:color="000000" w:fill="000000"/>
                <w:fitText w:val="100" w:id="-694454769"/>
                <w14:textFill>
                  <w14:solidFill>
                    <w14:srgbClr w14:val="000000">
                      <w14:alpha w14:val="100000"/>
                    </w14:srgbClr>
                  </w14:solidFill>
                </w14:textFill>
              </w:rPr>
              <w:t xml:space="preserve">　</w:t>
            </w:r>
            <w:r w:rsidR="00153367" w:rsidRPr="00153367">
              <w:rPr>
                <w:b/>
                <w:vertAlign w:val="superscript"/>
              </w:rPr>
              <w:t>1</w:t>
            </w:r>
          </w:p>
        </w:tc>
        <w:tc>
          <w:tcPr>
            <w:tcW w:w="831" w:type="pct"/>
          </w:tcPr>
          <w:p w14:paraId="58CA2958" w14:textId="4588E46B"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r w:rsidR="004B5A3E" w:rsidRPr="005A7226" w14:paraId="5E604B19" w14:textId="77777777">
        <w:trPr>
          <w:trHeight w:val="20"/>
        </w:trPr>
        <w:tc>
          <w:tcPr>
            <w:tcW w:w="4169" w:type="pct"/>
            <w:gridSpan w:val="4"/>
          </w:tcPr>
          <w:p w14:paraId="63405B77" w14:textId="77777777" w:rsidR="004B5A3E" w:rsidRPr="005A7226" w:rsidRDefault="004B5A3E">
            <w:pPr>
              <w:pStyle w:val="In-tableHeading"/>
              <w:keepLines/>
              <w:widowControl w:val="0"/>
              <w:rPr>
                <w:lang w:val="en-AU"/>
              </w:rPr>
            </w:pPr>
            <w:r w:rsidRPr="005A7226">
              <w:rPr>
                <w:lang w:val="en-AU"/>
              </w:rPr>
              <w:t>Multivariate analyses</w:t>
            </w:r>
          </w:p>
        </w:tc>
        <w:tc>
          <w:tcPr>
            <w:tcW w:w="831" w:type="pct"/>
          </w:tcPr>
          <w:p w14:paraId="3701E2A3" w14:textId="77777777" w:rsidR="004B5A3E" w:rsidRPr="005A7226" w:rsidRDefault="004B5A3E">
            <w:pPr>
              <w:pStyle w:val="In-tableHeading"/>
              <w:keepLines/>
              <w:widowControl w:val="0"/>
              <w:jc w:val="center"/>
              <w:rPr>
                <w:lang w:val="en-AU"/>
              </w:rPr>
            </w:pPr>
          </w:p>
        </w:tc>
      </w:tr>
      <w:tr w:rsidR="004B5A3E" w:rsidRPr="005A7226" w14:paraId="679DF55B" w14:textId="77777777" w:rsidTr="00CF6E6B">
        <w:trPr>
          <w:trHeight w:val="20"/>
        </w:trPr>
        <w:tc>
          <w:tcPr>
            <w:tcW w:w="2670" w:type="pct"/>
          </w:tcPr>
          <w:p w14:paraId="2F2DEDA7" w14:textId="77777777" w:rsidR="004B5A3E" w:rsidRPr="005A7226" w:rsidRDefault="004B5A3E">
            <w:pPr>
              <w:pStyle w:val="TableText0"/>
              <w:keepLines/>
              <w:widowControl w:val="0"/>
            </w:pPr>
            <w:r w:rsidRPr="005A7226">
              <w:t>Multivariate scenario analysis using pooled data from DAYLIGHT, SKYLIGHT 1 &amp; 2 trials (baseline distribution, starting age, efficacy, and discontinuation)</w:t>
            </w:r>
          </w:p>
        </w:tc>
        <w:tc>
          <w:tcPr>
            <w:tcW w:w="472" w:type="pct"/>
            <w:shd w:val="solid" w:color="000000" w:fill="000000"/>
            <w:vAlign w:val="top"/>
          </w:tcPr>
          <w:p w14:paraId="1002E4E8" w14:textId="1BB22457" w:rsidR="004B5A3E" w:rsidRPr="005A7226" w:rsidRDefault="00CF6E6B">
            <w:pPr>
              <w:pStyle w:val="TableText0"/>
              <w:keepLines/>
              <w:widowControl w:val="0"/>
              <w:jc w:val="center"/>
            </w:pPr>
            <w:r w:rsidRPr="00CF6E6B">
              <w:rPr>
                <w:rFonts w:hint="eastAsia"/>
                <w:color w:val="000000"/>
                <w:w w:val="33"/>
                <w:fitText w:val="150" w:id="-694454768"/>
                <w14:textFill>
                  <w14:solidFill>
                    <w14:srgbClr w14:val="000000">
                      <w14:alpha w14:val="100000"/>
                    </w14:srgbClr>
                  </w14:solidFill>
                </w14:textFill>
              </w:rPr>
              <w:t xml:space="preserve">　</w:t>
            </w:r>
            <w:r w:rsidRPr="00CF6E6B">
              <w:rPr>
                <w:color w:val="000000"/>
                <w:w w:val="33"/>
                <w:fitText w:val="150" w:id="-694454768"/>
                <w14:textFill>
                  <w14:solidFill>
                    <w14:srgbClr w14:val="000000">
                      <w14:alpha w14:val="100000"/>
                    </w14:srgbClr>
                  </w14:solidFill>
                </w14:textFill>
              </w:rPr>
              <w:t>|</w:t>
            </w:r>
            <w:r w:rsidRPr="00CF6E6B">
              <w:rPr>
                <w:rFonts w:hint="eastAsia"/>
                <w:color w:val="000000"/>
                <w:w w:val="33"/>
                <w:fitText w:val="150" w:id="-694454768"/>
                <w14:textFill>
                  <w14:solidFill>
                    <w14:srgbClr w14:val="000000">
                      <w14:alpha w14:val="100000"/>
                    </w14:srgbClr>
                  </w14:solidFill>
                </w14:textFill>
              </w:rPr>
              <w:t xml:space="preserve">　</w:t>
            </w:r>
          </w:p>
        </w:tc>
        <w:tc>
          <w:tcPr>
            <w:tcW w:w="471" w:type="pct"/>
            <w:vAlign w:val="top"/>
          </w:tcPr>
          <w:p w14:paraId="5A144576" w14:textId="77777777" w:rsidR="004B5A3E" w:rsidRPr="005A7226" w:rsidRDefault="004B5A3E">
            <w:pPr>
              <w:pStyle w:val="TableText0"/>
              <w:keepLines/>
              <w:widowControl w:val="0"/>
              <w:jc w:val="center"/>
            </w:pPr>
            <w:r w:rsidRPr="005A7226">
              <w:t>0.10</w:t>
            </w:r>
          </w:p>
        </w:tc>
        <w:tc>
          <w:tcPr>
            <w:tcW w:w="556" w:type="pct"/>
            <w:vAlign w:val="top"/>
          </w:tcPr>
          <w:p w14:paraId="56B9AE03" w14:textId="2F6EF2D5" w:rsidR="004B5A3E" w:rsidRPr="005A7226" w:rsidRDefault="00CF6E6B">
            <w:pPr>
              <w:pStyle w:val="TableText0"/>
              <w:keepLines/>
              <w:widowControl w:val="0"/>
              <w:jc w:val="center"/>
              <w:rPr>
                <w:b/>
              </w:rPr>
            </w:pPr>
            <w:r w:rsidRPr="00CF6E6B">
              <w:rPr>
                <w:rFonts w:hint="eastAsia"/>
                <w:color w:val="000000"/>
                <w:w w:val="22"/>
                <w:shd w:val="solid" w:color="000000" w:fill="000000"/>
                <w:fitText w:val="100" w:id="-694454784"/>
                <w14:textFill>
                  <w14:solidFill>
                    <w14:srgbClr w14:val="000000">
                      <w14:alpha w14:val="100000"/>
                    </w14:srgbClr>
                  </w14:solidFill>
                </w14:textFill>
              </w:rPr>
              <w:t xml:space="preserve">　</w:t>
            </w:r>
            <w:r w:rsidRPr="00CF6E6B">
              <w:rPr>
                <w:color w:val="000000"/>
                <w:w w:val="22"/>
                <w:shd w:val="solid" w:color="000000" w:fill="000000"/>
                <w:fitText w:val="100" w:id="-694454784"/>
                <w14:textFill>
                  <w14:solidFill>
                    <w14:srgbClr w14:val="000000">
                      <w14:alpha w14:val="100000"/>
                    </w14:srgbClr>
                  </w14:solidFill>
                </w14:textFill>
              </w:rPr>
              <w:t>|</w:t>
            </w:r>
            <w:r w:rsidRPr="00CF6E6B">
              <w:rPr>
                <w:rFonts w:hint="eastAsia"/>
                <w:color w:val="000000"/>
                <w:spacing w:val="3"/>
                <w:w w:val="22"/>
                <w:shd w:val="solid" w:color="000000" w:fill="000000"/>
                <w:fitText w:val="100" w:id="-694454784"/>
                <w14:textFill>
                  <w14:solidFill>
                    <w14:srgbClr w14:val="000000">
                      <w14:alpha w14:val="100000"/>
                    </w14:srgbClr>
                  </w14:solidFill>
                </w14:textFill>
              </w:rPr>
              <w:t xml:space="preserve">　</w:t>
            </w:r>
            <w:r w:rsidR="00153367" w:rsidRPr="00153367">
              <w:rPr>
                <w:b/>
                <w:vertAlign w:val="superscript"/>
              </w:rPr>
              <w:t>1</w:t>
            </w:r>
          </w:p>
        </w:tc>
        <w:tc>
          <w:tcPr>
            <w:tcW w:w="831" w:type="pct"/>
            <w:vAlign w:val="top"/>
          </w:tcPr>
          <w:p w14:paraId="2C558361" w14:textId="0F388C25" w:rsidR="004B5A3E" w:rsidRPr="005A7226" w:rsidRDefault="004B5A3E">
            <w:pPr>
              <w:pStyle w:val="TableText0"/>
              <w:keepLines/>
              <w:widowControl w:val="0"/>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t>%</w:t>
            </w:r>
          </w:p>
        </w:tc>
      </w:tr>
    </w:tbl>
    <w:p w14:paraId="31DA8B16" w14:textId="77777777" w:rsidR="004B5A3E" w:rsidRPr="005A7226" w:rsidRDefault="004B5A3E" w:rsidP="004B5A3E">
      <w:pPr>
        <w:pStyle w:val="FooterTableFigure"/>
        <w:keepNext/>
        <w:keepLines/>
        <w:rPr>
          <w:rStyle w:val="CommentReference"/>
        </w:rPr>
      </w:pPr>
      <w:r w:rsidRPr="005A7226">
        <w:t>Source: Table 3.10-2, p179, Table 3.10-3, p180 of the submission and compiled during the evaluation.</w:t>
      </w:r>
    </w:p>
    <w:p w14:paraId="446FD598" w14:textId="77014FFF" w:rsidR="00CA2C35" w:rsidRPr="00CA2C35" w:rsidRDefault="004B5A3E" w:rsidP="00CA2C35">
      <w:pPr>
        <w:pStyle w:val="FooterTableFigure"/>
        <w:keepNext/>
        <w:keepLines/>
        <w:rPr>
          <w:rFonts w:eastAsia="Calibri"/>
          <w:szCs w:val="20"/>
        </w:rPr>
      </w:pPr>
      <w:r w:rsidRPr="005A7226">
        <w:t>Av=average, ICER=incremental cost-effectiveness ration, QALYs=Quality adjusted life-years, Tx=treatment, VMS=vasomotor symptoms</w:t>
      </w:r>
      <w:r w:rsidRPr="005A7226">
        <w:rPr>
          <w:rFonts w:eastAsia="Calibri"/>
          <w:szCs w:val="20"/>
        </w:rPr>
        <w:t>.</w:t>
      </w:r>
      <w:r w:rsidR="00CA2C35" w:rsidRPr="00CA2C35">
        <w:rPr>
          <w:i/>
          <w:iCs/>
        </w:rPr>
        <w:t xml:space="preserve"> </w:t>
      </w:r>
      <w:r w:rsidR="00CA2C35" w:rsidRPr="00CA2C35">
        <w:rPr>
          <w:rFonts w:eastAsia="Calibri"/>
          <w:i/>
          <w:iCs/>
          <w:szCs w:val="20"/>
        </w:rPr>
        <w:t>The redacted values correspond to the following ranges:</w:t>
      </w:r>
    </w:p>
    <w:p w14:paraId="21B51BA2" w14:textId="77777777" w:rsidR="0008557F" w:rsidRDefault="00153367" w:rsidP="0008557F">
      <w:pPr>
        <w:pStyle w:val="FooterTableFigure"/>
        <w:keepNext/>
        <w:keepLines/>
        <w:rPr>
          <w:rFonts w:eastAsia="Calibri"/>
          <w:i/>
          <w:iCs/>
          <w:szCs w:val="20"/>
        </w:rPr>
      </w:pPr>
      <w:r>
        <w:rPr>
          <w:rFonts w:eastAsia="Calibri"/>
          <w:i/>
          <w:iCs/>
          <w:szCs w:val="20"/>
          <w:vertAlign w:val="superscript"/>
        </w:rPr>
        <w:t>1</w:t>
      </w:r>
      <w:r w:rsidR="00CA2C35" w:rsidRPr="00CA2C35">
        <w:rPr>
          <w:rFonts w:eastAsia="Calibri"/>
          <w:i/>
          <w:iCs/>
          <w:szCs w:val="20"/>
        </w:rPr>
        <w:t>$35,000 to &lt; $45,000</w:t>
      </w:r>
      <w:r w:rsidR="0008557F">
        <w:rPr>
          <w:rFonts w:eastAsia="Calibri"/>
          <w:i/>
          <w:iCs/>
          <w:szCs w:val="20"/>
        </w:rPr>
        <w:t xml:space="preserve"> </w:t>
      </w:r>
    </w:p>
    <w:p w14:paraId="7478A8EF" w14:textId="77777777" w:rsidR="00E1737E" w:rsidRDefault="0008557F" w:rsidP="00E1737E">
      <w:pPr>
        <w:pStyle w:val="FooterTableFigure"/>
        <w:keepNext/>
        <w:keepLines/>
        <w:rPr>
          <w:rFonts w:eastAsia="Calibri"/>
          <w:i/>
          <w:iCs/>
          <w:szCs w:val="20"/>
        </w:rPr>
      </w:pPr>
      <w:r w:rsidRPr="0008557F">
        <w:rPr>
          <w:rFonts w:eastAsia="Calibri"/>
          <w:i/>
          <w:iCs/>
          <w:szCs w:val="20"/>
          <w:vertAlign w:val="superscript"/>
        </w:rPr>
        <w:t>2</w:t>
      </w:r>
      <w:r>
        <w:rPr>
          <w:rFonts w:eastAsia="Calibri"/>
          <w:i/>
          <w:iCs/>
          <w:szCs w:val="20"/>
        </w:rPr>
        <w:t xml:space="preserve"> </w:t>
      </w:r>
      <w:r w:rsidRPr="0008557F">
        <w:rPr>
          <w:rFonts w:eastAsia="Calibri"/>
          <w:i/>
          <w:iCs/>
          <w:szCs w:val="20"/>
        </w:rPr>
        <w:t>$0 to &lt; $5,000</w:t>
      </w:r>
    </w:p>
    <w:p w14:paraId="2348BD8E" w14:textId="4E6DF2DD" w:rsidR="008B25E4" w:rsidRDefault="00E1737E" w:rsidP="008B25E4">
      <w:pPr>
        <w:pStyle w:val="FooterTableFigure"/>
        <w:keepNext/>
        <w:keepLines/>
        <w:rPr>
          <w:rFonts w:eastAsia="Calibri"/>
          <w:i/>
          <w:iCs/>
          <w:szCs w:val="20"/>
        </w:rPr>
      </w:pPr>
      <w:r w:rsidRPr="00E1737E">
        <w:rPr>
          <w:rFonts w:eastAsia="Calibri"/>
          <w:i/>
          <w:iCs/>
          <w:szCs w:val="20"/>
          <w:vertAlign w:val="superscript"/>
        </w:rPr>
        <w:t>3</w:t>
      </w:r>
      <w:r>
        <w:rPr>
          <w:rFonts w:eastAsia="Calibri"/>
          <w:i/>
          <w:iCs/>
          <w:szCs w:val="20"/>
        </w:rPr>
        <w:t xml:space="preserve"> </w:t>
      </w:r>
      <w:r w:rsidRPr="00E1737E">
        <w:rPr>
          <w:rFonts w:eastAsia="Calibri"/>
          <w:i/>
          <w:iCs/>
          <w:szCs w:val="20"/>
        </w:rPr>
        <w:t>$25,000 to &lt; $35,000</w:t>
      </w:r>
    </w:p>
    <w:p w14:paraId="54FD9D24" w14:textId="77777777" w:rsidR="00CE6BEB" w:rsidRDefault="008B25E4" w:rsidP="00CE6BEB">
      <w:pPr>
        <w:pStyle w:val="FooterTableFigure"/>
        <w:keepNext/>
        <w:keepLines/>
        <w:rPr>
          <w:rFonts w:eastAsia="Calibri"/>
          <w:i/>
          <w:iCs/>
          <w:szCs w:val="20"/>
        </w:rPr>
      </w:pPr>
      <w:r w:rsidRPr="008B25E4">
        <w:rPr>
          <w:rFonts w:eastAsia="Calibri"/>
          <w:i/>
          <w:iCs/>
          <w:szCs w:val="20"/>
          <w:vertAlign w:val="superscript"/>
        </w:rPr>
        <w:t xml:space="preserve">4 </w:t>
      </w:r>
      <w:r w:rsidRPr="008B25E4">
        <w:rPr>
          <w:rFonts w:eastAsia="Calibri"/>
          <w:i/>
          <w:iCs/>
          <w:szCs w:val="20"/>
        </w:rPr>
        <w:t>$45,000 to &lt; $55,000</w:t>
      </w:r>
    </w:p>
    <w:p w14:paraId="43920B11" w14:textId="3918ECF7" w:rsidR="008B25E4" w:rsidRPr="008B25E4" w:rsidRDefault="00CE6BEB" w:rsidP="00595A66">
      <w:pPr>
        <w:pStyle w:val="FooterTableFigure"/>
        <w:keepLines/>
        <w:rPr>
          <w:rFonts w:eastAsia="Calibri"/>
          <w:i/>
          <w:iCs/>
          <w:szCs w:val="20"/>
        </w:rPr>
      </w:pPr>
      <w:r w:rsidRPr="00CE6BEB">
        <w:rPr>
          <w:rFonts w:eastAsia="Calibri"/>
          <w:i/>
          <w:iCs/>
          <w:szCs w:val="20"/>
          <w:vertAlign w:val="superscript"/>
        </w:rPr>
        <w:t xml:space="preserve">5 </w:t>
      </w:r>
      <w:r w:rsidRPr="00CE6BEB">
        <w:rPr>
          <w:rFonts w:eastAsia="Calibri"/>
          <w:i/>
          <w:iCs/>
          <w:szCs w:val="20"/>
        </w:rPr>
        <w:t>Dominant</w:t>
      </w:r>
    </w:p>
    <w:p w14:paraId="06570138" w14:textId="3574F425" w:rsidR="004B5A3E" w:rsidRPr="005A7226" w:rsidRDefault="004B5A3E" w:rsidP="004B5A3E">
      <w:pPr>
        <w:widowControl w:val="0"/>
        <w:numPr>
          <w:ilvl w:val="1"/>
          <w:numId w:val="1"/>
        </w:numPr>
        <w:spacing w:after="120"/>
        <w:ind w:left="720"/>
      </w:pPr>
      <w:r w:rsidRPr="005A7226">
        <w:t xml:space="preserve">The ESC noted that the model was most sensitive to changes in assumptions regarding health state utility estimates, time horizon, but considered that the model </w:t>
      </w:r>
      <w:r w:rsidR="00B457C0">
        <w:t>wa</w:t>
      </w:r>
      <w:r w:rsidRPr="005A7226">
        <w:t xml:space="preserve">s reasonably robust to parameter uncertainty, but included some structural uncertainty in relation to modelling of VMS frequency instead of severity and the choice of health states. </w:t>
      </w:r>
    </w:p>
    <w:p w14:paraId="52D684C7" w14:textId="7CF5AF8D" w:rsidR="004B5A3E" w:rsidRPr="00B53879" w:rsidRDefault="004B5A3E" w:rsidP="004B5A3E">
      <w:pPr>
        <w:widowControl w:val="0"/>
        <w:numPr>
          <w:ilvl w:val="1"/>
          <w:numId w:val="1"/>
        </w:numPr>
        <w:spacing w:after="120"/>
        <w:ind w:left="720"/>
      </w:pPr>
      <w:r w:rsidRPr="005A7226">
        <w:t>During the evaluation, a CMA was also conducted to compare fezolinetant to MHTs. This was based on the premise that fezolinetant may substitute for MHT in women who are not otherwise considered medically unsuitable for MHT. The evaluation considered that a CMA was also justified based on a 2023 network meta-analysis (NMA)</w:t>
      </w:r>
      <w:r w:rsidRPr="00B53879">
        <w:footnoteReference w:id="26"/>
      </w:r>
      <w:r w:rsidRPr="005A7226">
        <w:t xml:space="preserve"> that found no significant differences in VMS frequency reduction between fezolinetant 45 mg/day and 27 MHT regimens. However, fezolinetant was reported to be less effective than certain MHTs, such as tibolone 2.5 mg in reducing VMS severity (see paragraph</w:t>
      </w:r>
      <w:r w:rsidR="003F2A7F">
        <w:t xml:space="preserve"> </w:t>
      </w:r>
      <w:r w:rsidR="00731D1C">
        <w:fldChar w:fldCharType="begin"/>
      </w:r>
      <w:r w:rsidR="00731D1C">
        <w:instrText xml:space="preserve"> REF _Ref195109665 \r \h </w:instrText>
      </w:r>
      <w:r w:rsidR="00731D1C">
        <w:fldChar w:fldCharType="separate"/>
      </w:r>
      <w:r w:rsidR="00B11DA2">
        <w:t>5.3</w:t>
      </w:r>
      <w:r w:rsidR="00731D1C">
        <w:fldChar w:fldCharType="end"/>
      </w:r>
      <w:r w:rsidRPr="005A7226">
        <w:t>). MHTs also have additional benefits including improved sleep, reduced vaginal dryness, and fracture prevention. The short-term safety and tolerability between the regimens were also comparable but uncertain due to significant trial heterogeneity</w:t>
      </w:r>
      <w:r w:rsidRPr="00731D1C">
        <w:rPr>
          <w:vertAlign w:val="superscript"/>
        </w:rPr>
        <w:footnoteReference w:id="27"/>
      </w:r>
      <w:r w:rsidRPr="005A7226">
        <w:t>. The ESC considered that the clinical claim of non-inferior efficacy and safety required for acceptance of a cost-minimisation approach was not sufficiently demonstrated, however an indicative CMA was conducted during the evaluation against PBS listed MHTs</w:t>
      </w:r>
      <w:r w:rsidRPr="00B53879">
        <w:t xml:space="preserve">. </w:t>
      </w:r>
    </w:p>
    <w:p w14:paraId="0AB0B26B" w14:textId="08C6BEDC" w:rsidR="004B5A3E" w:rsidRPr="005A7226" w:rsidRDefault="003D7A4E" w:rsidP="004B5A3E">
      <w:pPr>
        <w:widowControl w:val="0"/>
        <w:numPr>
          <w:ilvl w:val="1"/>
          <w:numId w:val="1"/>
        </w:numPr>
        <w:spacing w:after="120"/>
        <w:ind w:left="720"/>
      </w:pPr>
      <w:r>
        <w:fldChar w:fldCharType="begin"/>
      </w:r>
      <w:r>
        <w:instrText xml:space="preserve"> REF _Ref195109771 \h </w:instrText>
      </w:r>
      <w:r>
        <w:fldChar w:fldCharType="separate"/>
      </w:r>
      <w:r w:rsidR="00B11DA2" w:rsidRPr="005A7226">
        <w:t xml:space="preserve">Table </w:t>
      </w:r>
      <w:r w:rsidR="00B11DA2">
        <w:rPr>
          <w:noProof/>
        </w:rPr>
        <w:t>15</w:t>
      </w:r>
      <w:r>
        <w:fldChar w:fldCharType="end"/>
      </w:r>
      <w:r w:rsidR="004B5A3E" w:rsidRPr="005A7226">
        <w:t xml:space="preserve"> summarises the key components and assumptions of the CMA</w:t>
      </w:r>
      <w:r w:rsidR="005E383E">
        <w:t xml:space="preserve"> </w:t>
      </w:r>
      <w:r w:rsidR="004B5A3E" w:rsidRPr="005A7226">
        <w:t>.</w:t>
      </w:r>
    </w:p>
    <w:p w14:paraId="37B96A78" w14:textId="42AFB1DE" w:rsidR="004B5A3E" w:rsidRPr="005A7226" w:rsidRDefault="004B5A3E" w:rsidP="004B5A3E">
      <w:pPr>
        <w:pStyle w:val="Caption"/>
        <w:rPr>
          <w:rStyle w:val="CommentReference"/>
          <w:b/>
          <w:szCs w:val="24"/>
        </w:rPr>
      </w:pPr>
      <w:bookmarkStart w:id="65" w:name="_Ref195109771"/>
      <w:r w:rsidRPr="005A7226">
        <w:t xml:space="preserve">Table </w:t>
      </w:r>
      <w:r w:rsidRPr="005A7226">
        <w:fldChar w:fldCharType="begin"/>
      </w:r>
      <w:r w:rsidRPr="005A7226">
        <w:instrText>SEQ Table \* ARABIC</w:instrText>
      </w:r>
      <w:r w:rsidRPr="005A7226">
        <w:fldChar w:fldCharType="separate"/>
      </w:r>
      <w:r w:rsidR="00B11DA2">
        <w:rPr>
          <w:noProof/>
        </w:rPr>
        <w:t>15</w:t>
      </w:r>
      <w:r w:rsidRPr="005A7226">
        <w:fldChar w:fldCharType="end"/>
      </w:r>
      <w:bookmarkEnd w:id="65"/>
      <w:r w:rsidR="000F14D6">
        <w:t>:</w:t>
      </w:r>
      <w:r w:rsidRPr="005A7226">
        <w:t xml:space="preserve">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components and assumptions of the cost-minimisation approach:"/>
      </w:tblPr>
      <w:tblGrid>
        <w:gridCol w:w="2546"/>
        <w:gridCol w:w="6471"/>
      </w:tblGrid>
      <w:tr w:rsidR="004B5A3E" w:rsidRPr="005A7226" w14:paraId="0181FE7F" w14:textId="77777777">
        <w:trPr>
          <w:trHeight w:val="20"/>
        </w:trPr>
        <w:tc>
          <w:tcPr>
            <w:tcW w:w="1412" w:type="pct"/>
            <w:shd w:val="clear" w:color="auto" w:fill="auto"/>
            <w:vAlign w:val="center"/>
          </w:tcPr>
          <w:p w14:paraId="5F364EE4" w14:textId="77777777" w:rsidR="004B5A3E" w:rsidRPr="005A7226" w:rsidRDefault="004B5A3E">
            <w:pPr>
              <w:pStyle w:val="TableText0"/>
              <w:rPr>
                <w:b/>
                <w:bCs w:val="0"/>
              </w:rPr>
            </w:pPr>
            <w:r w:rsidRPr="005A7226">
              <w:rPr>
                <w:b/>
              </w:rPr>
              <w:t>Component</w:t>
            </w:r>
          </w:p>
        </w:tc>
        <w:tc>
          <w:tcPr>
            <w:tcW w:w="3588" w:type="pct"/>
            <w:shd w:val="clear" w:color="auto" w:fill="auto"/>
            <w:vAlign w:val="center"/>
          </w:tcPr>
          <w:p w14:paraId="417D5DBD" w14:textId="77777777" w:rsidR="004B5A3E" w:rsidRPr="005A7226" w:rsidRDefault="004B5A3E">
            <w:pPr>
              <w:pStyle w:val="TableText0"/>
              <w:rPr>
                <w:b/>
                <w:bCs w:val="0"/>
              </w:rPr>
            </w:pPr>
            <w:r w:rsidRPr="005A7226">
              <w:rPr>
                <w:b/>
              </w:rPr>
              <w:t>Claim or assumption</w:t>
            </w:r>
          </w:p>
        </w:tc>
      </w:tr>
      <w:tr w:rsidR="004B5A3E" w:rsidRPr="005A7226" w14:paraId="49C8AB0C" w14:textId="77777777">
        <w:trPr>
          <w:trHeight w:val="20"/>
        </w:trPr>
        <w:tc>
          <w:tcPr>
            <w:tcW w:w="1412" w:type="pct"/>
            <w:shd w:val="clear" w:color="auto" w:fill="auto"/>
            <w:vAlign w:val="center"/>
          </w:tcPr>
          <w:p w14:paraId="730CF1A6" w14:textId="77777777" w:rsidR="004B5A3E" w:rsidRPr="005A7226" w:rsidRDefault="004B5A3E">
            <w:pPr>
              <w:pStyle w:val="TableText0"/>
            </w:pPr>
            <w:r w:rsidRPr="005A7226">
              <w:t>Therapeutic claim: effectiveness</w:t>
            </w:r>
          </w:p>
        </w:tc>
        <w:tc>
          <w:tcPr>
            <w:tcW w:w="3588" w:type="pct"/>
            <w:shd w:val="clear" w:color="auto" w:fill="auto"/>
            <w:vAlign w:val="center"/>
          </w:tcPr>
          <w:p w14:paraId="529F7141" w14:textId="77777777" w:rsidR="004B5A3E" w:rsidRPr="005A7226" w:rsidRDefault="004B5A3E">
            <w:pPr>
              <w:pStyle w:val="TableText0"/>
            </w:pPr>
            <w:r w:rsidRPr="005A7226">
              <w:t xml:space="preserve">Non-inferior (VMS frequency) </w:t>
            </w:r>
          </w:p>
        </w:tc>
      </w:tr>
      <w:tr w:rsidR="004B5A3E" w:rsidRPr="005A7226" w14:paraId="256AA3B6" w14:textId="77777777">
        <w:trPr>
          <w:trHeight w:val="20"/>
        </w:trPr>
        <w:tc>
          <w:tcPr>
            <w:tcW w:w="1412" w:type="pct"/>
            <w:shd w:val="clear" w:color="auto" w:fill="auto"/>
            <w:vAlign w:val="center"/>
          </w:tcPr>
          <w:p w14:paraId="3256BC6F" w14:textId="77777777" w:rsidR="004B5A3E" w:rsidRPr="005A7226" w:rsidRDefault="004B5A3E">
            <w:pPr>
              <w:pStyle w:val="TableText0"/>
            </w:pPr>
            <w:r w:rsidRPr="005A7226">
              <w:t>Therapeutic claim: safety</w:t>
            </w:r>
          </w:p>
        </w:tc>
        <w:tc>
          <w:tcPr>
            <w:tcW w:w="3588" w:type="pct"/>
            <w:shd w:val="clear" w:color="auto" w:fill="auto"/>
            <w:vAlign w:val="center"/>
          </w:tcPr>
          <w:p w14:paraId="4487B655" w14:textId="77777777" w:rsidR="004B5A3E" w:rsidRPr="005A7226" w:rsidRDefault="004B5A3E">
            <w:pPr>
              <w:pStyle w:val="TableText0"/>
            </w:pPr>
            <w:r w:rsidRPr="005A7226">
              <w:t>Non-inferior (assumption)</w:t>
            </w:r>
          </w:p>
        </w:tc>
      </w:tr>
      <w:tr w:rsidR="004B5A3E" w:rsidRPr="005A7226" w14:paraId="156F652B" w14:textId="77777777">
        <w:trPr>
          <w:trHeight w:val="20"/>
        </w:trPr>
        <w:tc>
          <w:tcPr>
            <w:tcW w:w="1412" w:type="pct"/>
            <w:shd w:val="clear" w:color="auto" w:fill="auto"/>
            <w:vAlign w:val="center"/>
          </w:tcPr>
          <w:p w14:paraId="071745E0" w14:textId="77777777" w:rsidR="004B5A3E" w:rsidRPr="005A7226" w:rsidRDefault="004B5A3E">
            <w:pPr>
              <w:pStyle w:val="TableText0"/>
            </w:pPr>
            <w:r w:rsidRPr="005A7226">
              <w:t>Evidence base</w:t>
            </w:r>
          </w:p>
        </w:tc>
        <w:tc>
          <w:tcPr>
            <w:tcW w:w="3588" w:type="pct"/>
            <w:shd w:val="clear" w:color="auto" w:fill="auto"/>
            <w:vAlign w:val="center"/>
          </w:tcPr>
          <w:p w14:paraId="22E0642A" w14:textId="77777777" w:rsidR="004B5A3E" w:rsidRPr="005A7226" w:rsidRDefault="004B5A3E">
            <w:pPr>
              <w:pStyle w:val="TableText0"/>
            </w:pPr>
            <w:r w:rsidRPr="005A7226">
              <w:t>Morga A. et al., 2023 (network meta-analysis)</w:t>
            </w:r>
            <w:r w:rsidRPr="005A7226">
              <w:rPr>
                <w:rStyle w:val="FootnoteReference"/>
              </w:rPr>
              <w:t xml:space="preserve"> </w:t>
            </w:r>
            <w:r w:rsidRPr="005A7226">
              <w:rPr>
                <w:rStyle w:val="FootnoteReference"/>
              </w:rPr>
              <w:footnoteReference w:id="28"/>
            </w:r>
          </w:p>
        </w:tc>
      </w:tr>
      <w:tr w:rsidR="004B5A3E" w:rsidRPr="005A7226" w14:paraId="6645CB3A" w14:textId="77777777">
        <w:trPr>
          <w:trHeight w:val="20"/>
        </w:trPr>
        <w:tc>
          <w:tcPr>
            <w:tcW w:w="1412" w:type="pct"/>
            <w:shd w:val="clear" w:color="auto" w:fill="auto"/>
            <w:vAlign w:val="center"/>
          </w:tcPr>
          <w:p w14:paraId="6D88E827" w14:textId="77777777" w:rsidR="004B5A3E" w:rsidRPr="005A7226" w:rsidRDefault="004B5A3E">
            <w:pPr>
              <w:pStyle w:val="TableText0"/>
            </w:pPr>
            <w:r w:rsidRPr="005A7226">
              <w:t>Equi-effective doses</w:t>
            </w:r>
          </w:p>
        </w:tc>
        <w:tc>
          <w:tcPr>
            <w:tcW w:w="3588" w:type="pct"/>
            <w:shd w:val="clear" w:color="auto" w:fill="auto"/>
            <w:vAlign w:val="center"/>
          </w:tcPr>
          <w:p w14:paraId="383F0F96" w14:textId="5CEC1747" w:rsidR="004B5A3E" w:rsidRPr="005A7226" w:rsidRDefault="004B5A3E">
            <w:pPr>
              <w:pStyle w:val="TableText0"/>
              <w:rPr>
                <w:rFonts w:eastAsiaTheme="minorEastAsia"/>
                <w:szCs w:val="20"/>
                <w:lang w:eastAsia="en-US"/>
              </w:rPr>
            </w:pPr>
            <w:r w:rsidRPr="005A7226">
              <w:rPr>
                <w:rFonts w:eastAsiaTheme="minorEastAsia"/>
                <w:szCs w:val="20"/>
                <w:lang w:eastAsia="en-US"/>
              </w:rPr>
              <w:t>Fezolinetant: 45 mg/day, MHT: varies (see</w:t>
            </w:r>
            <w:r w:rsidR="00097D1F">
              <w:rPr>
                <w:rFonts w:eastAsiaTheme="minorEastAsia"/>
                <w:szCs w:val="20"/>
                <w:lang w:eastAsia="en-US"/>
              </w:rPr>
              <w:t xml:space="preserve"> </w:t>
            </w:r>
            <w:r w:rsidR="00097D1F">
              <w:rPr>
                <w:rFonts w:eastAsiaTheme="minorEastAsia"/>
                <w:szCs w:val="20"/>
                <w:lang w:eastAsia="en-US"/>
              </w:rPr>
              <w:fldChar w:fldCharType="begin"/>
            </w:r>
            <w:r w:rsidR="00097D1F">
              <w:rPr>
                <w:rFonts w:eastAsiaTheme="minorEastAsia"/>
                <w:szCs w:val="20"/>
                <w:lang w:eastAsia="en-US"/>
              </w:rPr>
              <w:instrText xml:space="preserve"> REF _Ref195781934 \h </w:instrText>
            </w:r>
            <w:r w:rsidR="00097D1F">
              <w:rPr>
                <w:rFonts w:eastAsiaTheme="minorEastAsia"/>
                <w:szCs w:val="20"/>
                <w:lang w:eastAsia="en-US"/>
              </w:rPr>
            </w:r>
            <w:r w:rsidR="00097D1F">
              <w:rPr>
                <w:rFonts w:eastAsiaTheme="minorEastAsia"/>
                <w:szCs w:val="20"/>
                <w:lang w:eastAsia="en-US"/>
              </w:rPr>
              <w:fldChar w:fldCharType="separate"/>
            </w:r>
            <w:r w:rsidR="00B11DA2" w:rsidRPr="005A7226">
              <w:t xml:space="preserve">Table </w:t>
            </w:r>
            <w:r w:rsidR="00B11DA2">
              <w:rPr>
                <w:noProof/>
              </w:rPr>
              <w:t>16</w:t>
            </w:r>
            <w:r w:rsidR="00097D1F">
              <w:rPr>
                <w:rFonts w:eastAsiaTheme="minorEastAsia"/>
                <w:szCs w:val="20"/>
                <w:lang w:eastAsia="en-US"/>
              </w:rPr>
              <w:fldChar w:fldCharType="end"/>
            </w:r>
            <w:r w:rsidRPr="005A7226">
              <w:rPr>
                <w:rFonts w:eastAsiaTheme="minorEastAsia"/>
                <w:szCs w:val="20"/>
                <w:lang w:eastAsia="en-US"/>
              </w:rPr>
              <w:t>)</w:t>
            </w:r>
          </w:p>
        </w:tc>
      </w:tr>
      <w:tr w:rsidR="004B5A3E" w:rsidRPr="005A7226" w14:paraId="4BD3D2CE" w14:textId="77777777">
        <w:trPr>
          <w:trHeight w:val="20"/>
        </w:trPr>
        <w:tc>
          <w:tcPr>
            <w:tcW w:w="1412" w:type="pct"/>
            <w:shd w:val="clear" w:color="auto" w:fill="auto"/>
            <w:vAlign w:val="center"/>
          </w:tcPr>
          <w:p w14:paraId="1E9252D4" w14:textId="77777777" w:rsidR="004B5A3E" w:rsidRPr="005A7226" w:rsidRDefault="004B5A3E">
            <w:pPr>
              <w:pStyle w:val="TableText0"/>
            </w:pPr>
            <w:r w:rsidRPr="005A7226">
              <w:t>Treatment duration</w:t>
            </w:r>
          </w:p>
        </w:tc>
        <w:tc>
          <w:tcPr>
            <w:tcW w:w="3588" w:type="pct"/>
            <w:shd w:val="clear" w:color="auto" w:fill="auto"/>
            <w:vAlign w:val="center"/>
          </w:tcPr>
          <w:p w14:paraId="6E8051ED" w14:textId="77777777" w:rsidR="004B5A3E" w:rsidRPr="005A7226" w:rsidRDefault="004B5A3E">
            <w:pPr>
              <w:pStyle w:val="TableText0"/>
              <w:rPr>
                <w:rFonts w:eastAsiaTheme="minorEastAsia"/>
                <w:szCs w:val="20"/>
                <w:lang w:eastAsia="en-US"/>
              </w:rPr>
            </w:pPr>
            <w:r w:rsidRPr="005A7226">
              <w:rPr>
                <w:rFonts w:eastAsiaTheme="minorEastAsia"/>
                <w:szCs w:val="20"/>
                <w:lang w:eastAsia="en-US"/>
              </w:rPr>
              <w:t>One month (DPMQ-length)</w:t>
            </w:r>
          </w:p>
        </w:tc>
      </w:tr>
      <w:tr w:rsidR="004B5A3E" w:rsidRPr="005A7226" w14:paraId="4CDBE261" w14:textId="77777777">
        <w:trPr>
          <w:trHeight w:val="20"/>
        </w:trPr>
        <w:tc>
          <w:tcPr>
            <w:tcW w:w="1412" w:type="pct"/>
            <w:shd w:val="clear" w:color="auto" w:fill="auto"/>
            <w:vAlign w:val="center"/>
          </w:tcPr>
          <w:p w14:paraId="184AFD48" w14:textId="77777777" w:rsidR="004B5A3E" w:rsidRPr="005A7226" w:rsidRDefault="004B5A3E">
            <w:pPr>
              <w:pStyle w:val="TableText0"/>
            </w:pPr>
            <w:r w:rsidRPr="005A7226">
              <w:t>Direct medicine costs (DPMQ)</w:t>
            </w:r>
          </w:p>
        </w:tc>
        <w:tc>
          <w:tcPr>
            <w:tcW w:w="3588" w:type="pct"/>
            <w:shd w:val="clear" w:color="auto" w:fill="auto"/>
            <w:vAlign w:val="center"/>
          </w:tcPr>
          <w:p w14:paraId="0FE381D6" w14:textId="461B5D9F" w:rsidR="004B5A3E" w:rsidRPr="005A7226" w:rsidRDefault="004B5A3E">
            <w:pPr>
              <w:pStyle w:val="TableText0"/>
              <w:rPr>
                <w:rFonts w:eastAsiaTheme="minorEastAsia"/>
                <w:szCs w:val="20"/>
                <w:lang w:eastAsia="en-US"/>
              </w:rPr>
            </w:pPr>
            <w:r w:rsidRPr="005A7226">
              <w:rPr>
                <w:rFonts w:eastAsiaTheme="minorEastAsia"/>
                <w:szCs w:val="20"/>
                <w:lang w:eastAsia="en-US"/>
              </w:rPr>
              <w:t>Fezolinetant: $</w:t>
            </w:r>
            <w:r w:rsidR="00CF6E6B" w:rsidRPr="00B24620">
              <w:rPr>
                <w:rFonts w:eastAsiaTheme="minorEastAsia"/>
                <w:color w:val="000000"/>
                <w:spacing w:val="49"/>
                <w:szCs w:val="20"/>
                <w:shd w:val="solid" w:color="000000" w:fill="000000"/>
                <w:fitText w:val="320" w:id="-694454783"/>
                <w:lang w:eastAsia="en-US"/>
                <w14:textFill>
                  <w14:solidFill>
                    <w14:srgbClr w14:val="000000">
                      <w14:alpha w14:val="100000"/>
                    </w14:srgbClr>
                  </w14:solidFill>
                </w14:textFill>
              </w:rPr>
              <w:t>|||</w:t>
            </w:r>
            <w:r w:rsidR="00CF6E6B" w:rsidRPr="00B24620">
              <w:rPr>
                <w:rFonts w:eastAsiaTheme="minorEastAsia"/>
                <w:color w:val="000000"/>
                <w:spacing w:val="3"/>
                <w:szCs w:val="20"/>
                <w:shd w:val="solid" w:color="000000" w:fill="000000"/>
                <w:fitText w:val="320" w:id="-694454783"/>
                <w:lang w:eastAsia="en-US"/>
                <w14:textFill>
                  <w14:solidFill>
                    <w14:srgbClr w14:val="000000">
                      <w14:alpha w14:val="100000"/>
                    </w14:srgbClr>
                  </w14:solidFill>
                </w14:textFill>
              </w:rPr>
              <w:t>|</w:t>
            </w:r>
            <w:r w:rsidRPr="005A7226">
              <w:rPr>
                <w:rFonts w:eastAsiaTheme="minorEastAsia"/>
                <w:szCs w:val="20"/>
                <w:lang w:eastAsia="en-US"/>
              </w:rPr>
              <w:t>, for a maximum quantity of 30 tablets</w:t>
            </w:r>
          </w:p>
          <w:p w14:paraId="25F89794" w14:textId="3AD9D839" w:rsidR="004B5A3E" w:rsidRPr="005A7226" w:rsidRDefault="004B5A3E">
            <w:pPr>
              <w:pStyle w:val="TableText0"/>
              <w:keepNext w:val="0"/>
              <w:widowControl w:val="0"/>
              <w:rPr>
                <w:szCs w:val="20"/>
              </w:rPr>
            </w:pPr>
            <w:r w:rsidRPr="005A7226">
              <w:rPr>
                <w:rFonts w:eastAsiaTheme="minorEastAsia"/>
                <w:szCs w:val="20"/>
                <w:lang w:eastAsia="en-US"/>
              </w:rPr>
              <w:t>MHT: $</w:t>
            </w:r>
            <w:r w:rsidRPr="0009416D">
              <w:rPr>
                <w:rFonts w:eastAsiaTheme="minorEastAsia"/>
                <w:szCs w:val="20"/>
                <w:lang w:eastAsia="en-US"/>
              </w:rPr>
              <w:t>29.56</w:t>
            </w:r>
            <w:r w:rsidRPr="005A7226">
              <w:rPr>
                <w:rFonts w:eastAsiaTheme="minorEastAsia"/>
                <w:szCs w:val="20"/>
                <w:lang w:eastAsia="en-US"/>
              </w:rPr>
              <w:t>, as the weighted average DPMQ of MHTs (see</w:t>
            </w:r>
            <w:r w:rsidR="00097D1F">
              <w:rPr>
                <w:rFonts w:eastAsiaTheme="minorEastAsia"/>
                <w:szCs w:val="20"/>
                <w:lang w:eastAsia="en-US"/>
              </w:rPr>
              <w:t xml:space="preserve"> </w:t>
            </w:r>
            <w:r w:rsidR="00097D1F">
              <w:rPr>
                <w:rFonts w:eastAsiaTheme="minorEastAsia"/>
                <w:szCs w:val="20"/>
                <w:lang w:eastAsia="en-US"/>
              </w:rPr>
              <w:fldChar w:fldCharType="begin"/>
            </w:r>
            <w:r w:rsidR="00097D1F">
              <w:rPr>
                <w:rFonts w:eastAsiaTheme="minorEastAsia"/>
                <w:szCs w:val="20"/>
                <w:lang w:eastAsia="en-US"/>
              </w:rPr>
              <w:instrText xml:space="preserve"> REF _Ref195781934 \h </w:instrText>
            </w:r>
            <w:r w:rsidR="00097D1F">
              <w:rPr>
                <w:rFonts w:eastAsiaTheme="minorEastAsia"/>
                <w:szCs w:val="20"/>
                <w:lang w:eastAsia="en-US"/>
              </w:rPr>
            </w:r>
            <w:r w:rsidR="00097D1F">
              <w:rPr>
                <w:rFonts w:eastAsiaTheme="minorEastAsia"/>
                <w:szCs w:val="20"/>
                <w:lang w:eastAsia="en-US"/>
              </w:rPr>
              <w:fldChar w:fldCharType="separate"/>
            </w:r>
            <w:r w:rsidR="00B11DA2" w:rsidRPr="005A7226">
              <w:t xml:space="preserve">Table </w:t>
            </w:r>
            <w:r w:rsidR="00B11DA2">
              <w:rPr>
                <w:noProof/>
              </w:rPr>
              <w:t>16</w:t>
            </w:r>
            <w:r w:rsidR="00097D1F">
              <w:rPr>
                <w:rFonts w:eastAsiaTheme="minorEastAsia"/>
                <w:szCs w:val="20"/>
                <w:lang w:eastAsia="en-US"/>
              </w:rPr>
              <w:fldChar w:fldCharType="end"/>
            </w:r>
            <w:r w:rsidRPr="005A7226">
              <w:rPr>
                <w:rFonts w:eastAsiaTheme="minorEastAsia"/>
                <w:szCs w:val="20"/>
                <w:lang w:eastAsia="en-US"/>
              </w:rPr>
              <w:t>)</w:t>
            </w:r>
          </w:p>
        </w:tc>
      </w:tr>
      <w:tr w:rsidR="004B5A3E" w:rsidRPr="005A7226" w14:paraId="1F5DD006" w14:textId="77777777">
        <w:trPr>
          <w:trHeight w:val="20"/>
        </w:trPr>
        <w:tc>
          <w:tcPr>
            <w:tcW w:w="1412" w:type="pct"/>
            <w:shd w:val="clear" w:color="auto" w:fill="auto"/>
          </w:tcPr>
          <w:p w14:paraId="2A88865F" w14:textId="77777777" w:rsidR="004B5A3E" w:rsidRPr="005A7226" w:rsidRDefault="004B5A3E">
            <w:pPr>
              <w:pStyle w:val="TableText0"/>
            </w:pPr>
            <w:r w:rsidRPr="005A7226">
              <w:t>Other costs or cost offsets</w:t>
            </w:r>
          </w:p>
        </w:tc>
        <w:tc>
          <w:tcPr>
            <w:tcW w:w="3588" w:type="pct"/>
            <w:shd w:val="clear" w:color="auto" w:fill="auto"/>
          </w:tcPr>
          <w:p w14:paraId="5297A9E6" w14:textId="77777777" w:rsidR="004B5A3E" w:rsidRPr="005A7226" w:rsidRDefault="004B5A3E">
            <w:pPr>
              <w:pStyle w:val="TableText0"/>
            </w:pPr>
            <w:r w:rsidRPr="005A7226">
              <w:t>No other costs were included.</w:t>
            </w:r>
          </w:p>
        </w:tc>
      </w:tr>
    </w:tbl>
    <w:p w14:paraId="6D022622" w14:textId="77777777" w:rsidR="004B5A3E" w:rsidRPr="005A7226" w:rsidRDefault="004B5A3E" w:rsidP="004B5A3E">
      <w:pPr>
        <w:pStyle w:val="TableFigureFooter"/>
      </w:pPr>
      <w:r w:rsidRPr="005A7226">
        <w:t>Source: compiled during the evaluation.</w:t>
      </w:r>
    </w:p>
    <w:p w14:paraId="067DC9C9" w14:textId="77777777" w:rsidR="004B5A3E" w:rsidRPr="005A7226" w:rsidRDefault="004B5A3E" w:rsidP="004B5A3E">
      <w:pPr>
        <w:pStyle w:val="TableFigureFooter"/>
      </w:pPr>
      <w:r w:rsidRPr="005A7226">
        <w:t>MHT=Menopausal hormone therapy, VMS=vasomotor symptoms.</w:t>
      </w:r>
    </w:p>
    <w:p w14:paraId="22B2D8FF" w14:textId="5015C4CF" w:rsidR="004B5A3E" w:rsidRPr="005A7226" w:rsidRDefault="00097D1F" w:rsidP="004B5A3E">
      <w:pPr>
        <w:widowControl w:val="0"/>
        <w:numPr>
          <w:ilvl w:val="1"/>
          <w:numId w:val="1"/>
        </w:numPr>
        <w:spacing w:after="120"/>
        <w:ind w:left="720"/>
      </w:pPr>
      <w:r>
        <w:fldChar w:fldCharType="begin"/>
      </w:r>
      <w:r>
        <w:instrText xml:space="preserve"> REF _Ref195781934 \h </w:instrText>
      </w:r>
      <w:r>
        <w:fldChar w:fldCharType="separate"/>
      </w:r>
      <w:r w:rsidR="00B11DA2" w:rsidRPr="005A7226">
        <w:t xml:space="preserve">Table </w:t>
      </w:r>
      <w:r w:rsidR="00B11DA2">
        <w:rPr>
          <w:noProof/>
        </w:rPr>
        <w:t>16</w:t>
      </w:r>
      <w:r>
        <w:fldChar w:fldCharType="end"/>
      </w:r>
      <w:r>
        <w:t xml:space="preserve"> </w:t>
      </w:r>
      <w:r w:rsidR="004B5A3E" w:rsidRPr="005A7226">
        <w:t xml:space="preserve">lists MHTs that were used in the submission to estimate a weighted average </w:t>
      </w:r>
      <w:r w:rsidR="00C34989">
        <w:t xml:space="preserve">copayment for </w:t>
      </w:r>
      <w:r w:rsidR="004B5A3E" w:rsidRPr="005A7226">
        <w:t>PBS-listed MHTs. The identified MHTs are all unrestricted benefits on PBS. The PBS dispensing volume weighted average DMPQ for PBS-listed MHTs was estimated</w:t>
      </w:r>
      <w:r w:rsidR="007046C7">
        <w:t xml:space="preserve"> in the evaluation</w:t>
      </w:r>
      <w:r w:rsidR="004B5A3E" w:rsidRPr="005A7226">
        <w:t xml:space="preserve"> to be $29.56.</w:t>
      </w:r>
    </w:p>
    <w:p w14:paraId="423B7239" w14:textId="6BC1B135" w:rsidR="004B5A3E" w:rsidRPr="005A7226" w:rsidRDefault="004B5A3E" w:rsidP="004B5A3E">
      <w:pPr>
        <w:pStyle w:val="Caption"/>
      </w:pPr>
      <w:bookmarkStart w:id="66" w:name="_Ref195781934"/>
      <w:r w:rsidRPr="005A7226">
        <w:t xml:space="preserve">Table </w:t>
      </w:r>
      <w:r w:rsidR="004A6B36">
        <w:fldChar w:fldCharType="begin"/>
      </w:r>
      <w:r w:rsidR="004A6B36">
        <w:instrText xml:space="preserve"> SEQ Table \* ARABIC </w:instrText>
      </w:r>
      <w:r w:rsidR="004A6B36">
        <w:fldChar w:fldCharType="separate"/>
      </w:r>
      <w:r w:rsidR="00B11DA2">
        <w:rPr>
          <w:noProof/>
        </w:rPr>
        <w:t>16</w:t>
      </w:r>
      <w:r w:rsidR="004A6B36">
        <w:rPr>
          <w:noProof/>
        </w:rPr>
        <w:fldChar w:fldCharType="end"/>
      </w:r>
      <w:bookmarkEnd w:id="66"/>
      <w:r w:rsidR="000F14D6">
        <w:t>:</w:t>
      </w:r>
      <w:r w:rsidRPr="005A7226">
        <w:t xml:space="preserve"> MHTs included in the weighted average DPMQ calculation: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Caption w:val="Table 16: MHTs included in the weighted average DPMQ calculation:"/>
      </w:tblPr>
      <w:tblGrid>
        <w:gridCol w:w="3681"/>
        <w:gridCol w:w="850"/>
        <w:gridCol w:w="852"/>
        <w:gridCol w:w="852"/>
        <w:gridCol w:w="1418"/>
        <w:gridCol w:w="1368"/>
      </w:tblGrid>
      <w:tr w:rsidR="004B5A3E" w:rsidRPr="005A7226" w14:paraId="59C06740" w14:textId="77777777" w:rsidTr="00755BBD">
        <w:trPr>
          <w:trHeight w:val="20"/>
          <w:tblHeader/>
        </w:trPr>
        <w:tc>
          <w:tcPr>
            <w:tcW w:w="2041" w:type="pct"/>
            <w:tcBorders>
              <w:top w:val="single" w:sz="2" w:space="0" w:color="auto"/>
              <w:left w:val="single" w:sz="2" w:space="0" w:color="auto"/>
              <w:bottom w:val="single" w:sz="2" w:space="0" w:color="auto"/>
              <w:right w:val="single" w:sz="2" w:space="0" w:color="auto"/>
            </w:tcBorders>
            <w:shd w:val="clear" w:color="auto" w:fill="auto"/>
            <w:vAlign w:val="center"/>
            <w:hideMark/>
          </w:tcPr>
          <w:p w14:paraId="7D99C866" w14:textId="77777777" w:rsidR="004B5A3E" w:rsidRPr="005A7226" w:rsidRDefault="004B5A3E">
            <w:pPr>
              <w:pStyle w:val="TableText0"/>
              <w:rPr>
                <w:b/>
                <w:szCs w:val="20"/>
              </w:rPr>
            </w:pPr>
            <w:r w:rsidRPr="005A7226">
              <w:rPr>
                <w:b/>
                <w:szCs w:val="20"/>
              </w:rPr>
              <w:t>Medicine (alphabetic order)</w:t>
            </w:r>
          </w:p>
        </w:tc>
        <w:tc>
          <w:tcPr>
            <w:tcW w:w="471" w:type="pct"/>
            <w:tcBorders>
              <w:top w:val="single" w:sz="2" w:space="0" w:color="auto"/>
              <w:left w:val="single" w:sz="2" w:space="0" w:color="auto"/>
              <w:right w:val="single" w:sz="2" w:space="0" w:color="auto"/>
            </w:tcBorders>
            <w:vAlign w:val="center"/>
          </w:tcPr>
          <w:p w14:paraId="0FA9ED24" w14:textId="77777777" w:rsidR="004B5A3E" w:rsidRPr="005A7226" w:rsidRDefault="004B5A3E">
            <w:pPr>
              <w:pStyle w:val="TableText0"/>
              <w:jc w:val="center"/>
              <w:rPr>
                <w:b/>
                <w:szCs w:val="20"/>
              </w:rPr>
            </w:pPr>
            <w:r w:rsidRPr="005A7226">
              <w:rPr>
                <w:b/>
                <w:szCs w:val="20"/>
              </w:rPr>
              <w:t>Unit/ pack</w:t>
            </w:r>
          </w:p>
        </w:tc>
        <w:tc>
          <w:tcPr>
            <w:tcW w:w="471" w:type="pct"/>
            <w:tcBorders>
              <w:top w:val="single" w:sz="2" w:space="0" w:color="auto"/>
              <w:left w:val="single" w:sz="2" w:space="0" w:color="auto"/>
              <w:right w:val="single" w:sz="2" w:space="0" w:color="auto"/>
            </w:tcBorders>
            <w:shd w:val="clear" w:color="auto" w:fill="auto"/>
            <w:vAlign w:val="center"/>
          </w:tcPr>
          <w:p w14:paraId="04FB29C4" w14:textId="77777777" w:rsidR="004B5A3E" w:rsidRPr="005A7226" w:rsidRDefault="004B5A3E">
            <w:pPr>
              <w:pStyle w:val="TableText0"/>
              <w:jc w:val="center"/>
              <w:rPr>
                <w:b/>
                <w:szCs w:val="20"/>
              </w:rPr>
            </w:pPr>
            <w:r w:rsidRPr="005A7226">
              <w:rPr>
                <w:b/>
                <w:szCs w:val="20"/>
              </w:rPr>
              <w:t>Item code</w:t>
            </w:r>
          </w:p>
        </w:tc>
        <w:tc>
          <w:tcPr>
            <w:tcW w:w="472" w:type="pct"/>
            <w:tcBorders>
              <w:top w:val="single" w:sz="2" w:space="0" w:color="auto"/>
              <w:left w:val="single" w:sz="2" w:space="0" w:color="auto"/>
              <w:right w:val="single" w:sz="2" w:space="0" w:color="auto"/>
            </w:tcBorders>
            <w:shd w:val="clear" w:color="auto" w:fill="auto"/>
            <w:vAlign w:val="center"/>
          </w:tcPr>
          <w:p w14:paraId="327DF3B5" w14:textId="77777777" w:rsidR="004B5A3E" w:rsidRPr="005A7226" w:rsidRDefault="004B5A3E">
            <w:pPr>
              <w:pStyle w:val="TableText0"/>
              <w:jc w:val="center"/>
              <w:rPr>
                <w:b/>
                <w:szCs w:val="20"/>
              </w:rPr>
            </w:pPr>
            <w:r w:rsidRPr="005A7226">
              <w:rPr>
                <w:b/>
                <w:szCs w:val="20"/>
              </w:rPr>
              <w:t>DPMQ</w:t>
            </w:r>
          </w:p>
        </w:tc>
        <w:tc>
          <w:tcPr>
            <w:tcW w:w="786" w:type="pct"/>
            <w:tcBorders>
              <w:top w:val="single" w:sz="2" w:space="0" w:color="auto"/>
              <w:left w:val="single" w:sz="2" w:space="0" w:color="auto"/>
              <w:right w:val="single" w:sz="2" w:space="0" w:color="auto"/>
            </w:tcBorders>
            <w:vAlign w:val="center"/>
          </w:tcPr>
          <w:p w14:paraId="24FB46BD" w14:textId="77777777" w:rsidR="004B5A3E" w:rsidRPr="005A7226" w:rsidRDefault="004B5A3E">
            <w:pPr>
              <w:pStyle w:val="TableText0"/>
              <w:jc w:val="center"/>
              <w:rPr>
                <w:b/>
                <w:szCs w:val="20"/>
              </w:rPr>
            </w:pPr>
            <w:r w:rsidRPr="005A7226">
              <w:rPr>
                <w:rFonts w:cs="Calibri"/>
                <w:b/>
                <w:bCs w:val="0"/>
                <w:color w:val="000000"/>
                <w:szCs w:val="20"/>
              </w:rPr>
              <w:t xml:space="preserve">Service volume </w:t>
            </w:r>
            <w:r w:rsidRPr="005A7226">
              <w:rPr>
                <w:rFonts w:cs="Calibri"/>
                <w:b/>
                <w:bCs w:val="0"/>
                <w:color w:val="000000"/>
                <w:szCs w:val="20"/>
                <w:vertAlign w:val="superscript"/>
              </w:rPr>
              <w:t>a</w:t>
            </w:r>
          </w:p>
        </w:tc>
        <w:tc>
          <w:tcPr>
            <w:tcW w:w="758" w:type="pct"/>
            <w:tcBorders>
              <w:top w:val="single" w:sz="2" w:space="0" w:color="auto"/>
              <w:left w:val="single" w:sz="2" w:space="0" w:color="auto"/>
              <w:right w:val="single" w:sz="2" w:space="0" w:color="auto"/>
            </w:tcBorders>
            <w:vAlign w:val="center"/>
          </w:tcPr>
          <w:p w14:paraId="56D58E49" w14:textId="77777777" w:rsidR="004B5A3E" w:rsidRPr="005A7226" w:rsidRDefault="004B5A3E">
            <w:pPr>
              <w:pStyle w:val="TableText0"/>
              <w:jc w:val="center"/>
              <w:rPr>
                <w:rFonts w:cs="Calibri"/>
                <w:b/>
                <w:bCs w:val="0"/>
                <w:color w:val="000000"/>
                <w:szCs w:val="20"/>
              </w:rPr>
            </w:pPr>
            <w:r w:rsidRPr="005A7226">
              <w:rPr>
                <w:rFonts w:cs="Calibri"/>
                <w:b/>
                <w:bCs w:val="0"/>
                <w:color w:val="000000"/>
                <w:szCs w:val="20"/>
              </w:rPr>
              <w:t xml:space="preserve">Service share </w:t>
            </w:r>
            <w:r w:rsidRPr="005A7226">
              <w:rPr>
                <w:rFonts w:cs="Calibri"/>
                <w:b/>
                <w:bCs w:val="0"/>
                <w:color w:val="000000"/>
                <w:szCs w:val="20"/>
                <w:vertAlign w:val="superscript"/>
              </w:rPr>
              <w:t>a, b</w:t>
            </w:r>
          </w:p>
        </w:tc>
      </w:tr>
      <w:tr w:rsidR="004B5A3E" w:rsidRPr="005A7226" w14:paraId="78169DE0"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4545EF32"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0.1% (1 mg/g) gel, 28 x 1 g sachets</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6F62F0D"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28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D77D00D"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8286D</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87563C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$25.63</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A80C592" w14:textId="77777777" w:rsidR="004B5A3E" w:rsidRPr="005A7226" w:rsidRDefault="004B5A3E">
            <w:pPr>
              <w:pStyle w:val="TableText0"/>
              <w:jc w:val="center"/>
              <w:rPr>
                <w:bCs w:val="0"/>
                <w:szCs w:val="20"/>
              </w:rPr>
            </w:pPr>
            <w:r w:rsidRPr="005A7226">
              <w:rPr>
                <w:rFonts w:cs="Calibri"/>
                <w:color w:val="000000"/>
                <w:szCs w:val="20"/>
              </w:rPr>
              <w:t>2,456,239</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9283F70" w14:textId="77777777" w:rsidR="004B5A3E" w:rsidRPr="005A7226" w:rsidRDefault="004B5A3E">
            <w:pPr>
              <w:pStyle w:val="TableText0"/>
              <w:jc w:val="center"/>
              <w:rPr>
                <w:rFonts w:cs="Calibri"/>
                <w:color w:val="000000"/>
                <w:szCs w:val="20"/>
              </w:rPr>
            </w:pPr>
            <w:r w:rsidRPr="005A7226">
              <w:rPr>
                <w:szCs w:val="20"/>
              </w:rPr>
              <w:t>4%</w:t>
            </w:r>
          </w:p>
        </w:tc>
      </w:tr>
      <w:tr w:rsidR="004B5A3E" w:rsidRPr="005A7226" w14:paraId="5B3B91D4"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6B393B0"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1 mg tablet [14] (&amp;) </w:t>
            </w: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1 mg + </w:t>
            </w:r>
            <w:proofErr w:type="spellStart"/>
            <w:r w:rsidRPr="005A7226">
              <w:rPr>
                <w:rFonts w:ascii="Arial Narrow" w:hAnsi="Arial Narrow"/>
                <w:sz w:val="20"/>
                <w:szCs w:val="20"/>
              </w:rPr>
              <w:t>dydrogesterone</w:t>
            </w:r>
            <w:proofErr w:type="spellEnd"/>
            <w:r w:rsidRPr="005A7226">
              <w:rPr>
                <w:rFonts w:ascii="Arial Narrow" w:hAnsi="Arial Narrow"/>
                <w:sz w:val="20"/>
                <w:szCs w:val="20"/>
              </w:rPr>
              <w:t xml:space="preserve"> 10 mg tablet [14]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357D6A"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28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9190101"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10146B</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F4877BB"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$24.19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A260ECA" w14:textId="77777777" w:rsidR="004B5A3E" w:rsidRPr="005A7226" w:rsidRDefault="004B5A3E">
            <w:pPr>
              <w:pStyle w:val="TableText0"/>
              <w:jc w:val="center"/>
              <w:rPr>
                <w:bCs w:val="0"/>
                <w:szCs w:val="20"/>
              </w:rPr>
            </w:pPr>
            <w:r w:rsidRPr="005A7226">
              <w:rPr>
                <w:rFonts w:cs="Calibri"/>
                <w:color w:val="000000"/>
                <w:szCs w:val="20"/>
              </w:rPr>
              <w:t>600,781</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112044A"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2555EB72"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756511A"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10 microgram modified release pessary</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72192D"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18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653CBF2B"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10203B</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67EBD1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$30.02</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7283D53" w14:textId="77777777" w:rsidR="004B5A3E" w:rsidRPr="005A7226" w:rsidRDefault="004B5A3E">
            <w:pPr>
              <w:pStyle w:val="TableText0"/>
              <w:jc w:val="center"/>
              <w:rPr>
                <w:bCs w:val="0"/>
                <w:szCs w:val="20"/>
              </w:rPr>
            </w:pPr>
            <w:r w:rsidRPr="005A7226">
              <w:rPr>
                <w:rFonts w:cs="Calibri"/>
                <w:color w:val="000000"/>
                <w:szCs w:val="20"/>
              </w:rPr>
              <w:t>30,316,379</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DC54E33" w14:textId="77777777" w:rsidR="004B5A3E" w:rsidRPr="005A7226" w:rsidRDefault="004B5A3E">
            <w:pPr>
              <w:pStyle w:val="TableText0"/>
              <w:jc w:val="center"/>
              <w:rPr>
                <w:rFonts w:cs="Calibri"/>
                <w:color w:val="000000"/>
                <w:szCs w:val="20"/>
              </w:rPr>
            </w:pPr>
            <w:r w:rsidRPr="005A7226">
              <w:rPr>
                <w:szCs w:val="20"/>
              </w:rPr>
              <w:t>50%</w:t>
            </w:r>
          </w:p>
        </w:tc>
      </w:tr>
      <w:tr w:rsidR="004B5A3E" w:rsidRPr="005A7226" w14:paraId="7C4CCF00"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6C3643FC"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100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8DB1700"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080E4FF8"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8312L</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81E7F0A"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$26.82</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4FC60F9" w14:textId="77777777" w:rsidR="004B5A3E" w:rsidRPr="005A7226" w:rsidRDefault="004B5A3E">
            <w:pPr>
              <w:pStyle w:val="TableText0"/>
              <w:jc w:val="center"/>
              <w:rPr>
                <w:bCs w:val="0"/>
                <w:szCs w:val="20"/>
              </w:rPr>
            </w:pPr>
            <w:r w:rsidRPr="005A7226">
              <w:rPr>
                <w:rFonts w:cs="Calibri"/>
                <w:color w:val="000000"/>
                <w:szCs w:val="20"/>
              </w:rPr>
              <w:t>310,578</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1210F17" w14:textId="77777777" w:rsidR="004B5A3E" w:rsidRPr="005A7226" w:rsidRDefault="004B5A3E">
            <w:pPr>
              <w:pStyle w:val="TableText0"/>
              <w:jc w:val="center"/>
              <w:rPr>
                <w:rFonts w:cs="Calibri"/>
                <w:color w:val="000000"/>
                <w:szCs w:val="20"/>
              </w:rPr>
            </w:pPr>
            <w:r w:rsidRPr="005A7226">
              <w:rPr>
                <w:szCs w:val="20"/>
              </w:rPr>
              <w:t>0.5%</w:t>
            </w:r>
          </w:p>
        </w:tc>
      </w:tr>
      <w:tr w:rsidR="004B5A3E" w:rsidRPr="005A7226" w14:paraId="7C8E142F"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29AE378D"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100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B95DC24"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F2B023B"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8126Q</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0017145"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NA</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26323C2" w14:textId="77777777" w:rsidR="004B5A3E" w:rsidRPr="005A7226" w:rsidRDefault="004B5A3E">
            <w:pPr>
              <w:pStyle w:val="TableText0"/>
              <w:jc w:val="center"/>
              <w:rPr>
                <w:bCs w:val="0"/>
                <w:szCs w:val="20"/>
              </w:rPr>
            </w:pPr>
            <w:r w:rsidRPr="005A7226">
              <w:rPr>
                <w:rFonts w:cs="Calibri"/>
                <w:color w:val="000000"/>
                <w:szCs w:val="20"/>
              </w:rPr>
              <w:t>372,393</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05F8C16" w14:textId="77777777" w:rsidR="004B5A3E" w:rsidRPr="005A7226" w:rsidRDefault="004B5A3E">
            <w:pPr>
              <w:pStyle w:val="TableText0"/>
              <w:jc w:val="center"/>
              <w:rPr>
                <w:rFonts w:cs="Calibri"/>
                <w:color w:val="000000"/>
                <w:szCs w:val="20"/>
              </w:rPr>
            </w:pPr>
            <w:r w:rsidRPr="005A7226">
              <w:rPr>
                <w:szCs w:val="20"/>
              </w:rPr>
              <w:t>0%</w:t>
            </w:r>
            <w:r w:rsidRPr="005A7226">
              <w:rPr>
                <w:rFonts w:cs="Calibri"/>
                <w:b/>
                <w:bCs w:val="0"/>
                <w:color w:val="000000"/>
                <w:szCs w:val="20"/>
                <w:vertAlign w:val="superscript"/>
              </w:rPr>
              <w:t xml:space="preserve"> b</w:t>
            </w:r>
          </w:p>
        </w:tc>
      </w:tr>
      <w:tr w:rsidR="004B5A3E" w:rsidRPr="005A7226" w14:paraId="10AEA751"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71A95A5D"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100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8FC9567"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CFC4E62"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8765H</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657E7C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$28.84</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62D55F" w14:textId="77777777" w:rsidR="004B5A3E" w:rsidRPr="005A7226" w:rsidRDefault="004B5A3E">
            <w:pPr>
              <w:pStyle w:val="TableText0"/>
              <w:jc w:val="center"/>
              <w:rPr>
                <w:bCs w:val="0"/>
                <w:szCs w:val="20"/>
              </w:rPr>
            </w:pPr>
            <w:r w:rsidRPr="005A7226">
              <w:rPr>
                <w:rFonts w:cs="Calibri"/>
                <w:color w:val="000000"/>
                <w:szCs w:val="20"/>
              </w:rPr>
              <w:t>1,388,057</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BA05376"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0F6834C3"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75592EA"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2 mg tablet</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8F1CF3C"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56</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FA7FB6C"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8274L</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A655B23"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$19.66</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D664620" w14:textId="77777777" w:rsidR="004B5A3E" w:rsidRPr="005A7226" w:rsidRDefault="004B5A3E">
            <w:pPr>
              <w:pStyle w:val="TableText0"/>
              <w:jc w:val="center"/>
              <w:rPr>
                <w:bCs w:val="0"/>
                <w:szCs w:val="20"/>
              </w:rPr>
            </w:pPr>
            <w:r w:rsidRPr="005A7226">
              <w:rPr>
                <w:rFonts w:cs="Calibri"/>
                <w:color w:val="000000"/>
                <w:szCs w:val="20"/>
              </w:rPr>
              <w:t>1,255,947</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79D0F7E"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4263D6FB"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2BBCC41B"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2 mg tablet [14] (&amp;) </w:t>
            </w: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2 mg + </w:t>
            </w:r>
            <w:proofErr w:type="spellStart"/>
            <w:r w:rsidRPr="005A7226">
              <w:rPr>
                <w:rFonts w:ascii="Arial Narrow" w:hAnsi="Arial Narrow"/>
                <w:sz w:val="20"/>
                <w:szCs w:val="20"/>
              </w:rPr>
              <w:t>dydrogesterone</w:t>
            </w:r>
            <w:proofErr w:type="spellEnd"/>
            <w:r w:rsidRPr="005A7226">
              <w:rPr>
                <w:rFonts w:ascii="Arial Narrow" w:hAnsi="Arial Narrow"/>
                <w:sz w:val="20"/>
                <w:szCs w:val="20"/>
              </w:rPr>
              <w:t xml:space="preserve"> 10 mg tablet [14]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3BBFA2F"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28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D797D4B"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8244X</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8C8842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$24.19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F81D6AE" w14:textId="77777777" w:rsidR="004B5A3E" w:rsidRPr="005A7226" w:rsidRDefault="004B5A3E">
            <w:pPr>
              <w:pStyle w:val="TableText0"/>
              <w:jc w:val="center"/>
              <w:rPr>
                <w:bCs w:val="0"/>
                <w:szCs w:val="20"/>
              </w:rPr>
            </w:pPr>
            <w:r w:rsidRPr="005A7226">
              <w:rPr>
                <w:rFonts w:cs="Calibri"/>
                <w:color w:val="000000"/>
                <w:szCs w:val="20"/>
              </w:rPr>
              <w:t>555,928</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315B23F"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67A5CC64"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0B3B2897"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25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790CE51"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0947F2BD"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8311K</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837F323"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$24.99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773B38" w14:textId="77777777" w:rsidR="004B5A3E" w:rsidRPr="005A7226" w:rsidRDefault="004B5A3E">
            <w:pPr>
              <w:pStyle w:val="TableText0"/>
              <w:jc w:val="center"/>
              <w:rPr>
                <w:bCs w:val="0"/>
                <w:szCs w:val="20"/>
              </w:rPr>
            </w:pPr>
            <w:r w:rsidRPr="005A7226">
              <w:rPr>
                <w:rFonts w:cs="Calibri"/>
                <w:color w:val="000000"/>
                <w:szCs w:val="20"/>
              </w:rPr>
              <w:t>967,042</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A277AFB"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2E53EA97"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5E9F1708"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25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8436DAB"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6DD2F1D7"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8485N</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094B233"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NA</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3853A59" w14:textId="77777777" w:rsidR="004B5A3E" w:rsidRPr="005A7226" w:rsidRDefault="004B5A3E">
            <w:pPr>
              <w:pStyle w:val="TableText0"/>
              <w:jc w:val="center"/>
              <w:rPr>
                <w:bCs w:val="0"/>
                <w:szCs w:val="20"/>
              </w:rPr>
            </w:pPr>
            <w:r w:rsidRPr="005A7226">
              <w:rPr>
                <w:rFonts w:cs="Calibri"/>
                <w:color w:val="000000"/>
                <w:szCs w:val="20"/>
              </w:rPr>
              <w:t>852,696</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91C50C8" w14:textId="77777777" w:rsidR="004B5A3E" w:rsidRPr="005A7226" w:rsidRDefault="004B5A3E">
            <w:pPr>
              <w:pStyle w:val="TableText0"/>
              <w:jc w:val="center"/>
              <w:rPr>
                <w:rFonts w:cs="Calibri"/>
                <w:color w:val="000000"/>
                <w:szCs w:val="20"/>
              </w:rPr>
            </w:pPr>
            <w:r w:rsidRPr="005A7226">
              <w:rPr>
                <w:szCs w:val="20"/>
              </w:rPr>
              <w:t>0%</w:t>
            </w:r>
            <w:r w:rsidRPr="005A7226">
              <w:rPr>
                <w:rFonts w:cs="Calibri"/>
                <w:b/>
                <w:bCs w:val="0"/>
                <w:color w:val="000000"/>
                <w:szCs w:val="20"/>
                <w:vertAlign w:val="superscript"/>
              </w:rPr>
              <w:t xml:space="preserve"> b</w:t>
            </w:r>
          </w:p>
        </w:tc>
      </w:tr>
      <w:tr w:rsidR="004B5A3E" w:rsidRPr="005A7226" w14:paraId="4AD9A643"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645B65D7"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25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15ED1C8"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DA2B5FB"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8761D</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2C2D3B"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$28.93</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7D0227A" w14:textId="77777777" w:rsidR="004B5A3E" w:rsidRPr="005A7226" w:rsidRDefault="004B5A3E">
            <w:pPr>
              <w:pStyle w:val="TableText0"/>
              <w:jc w:val="center"/>
              <w:rPr>
                <w:bCs w:val="0"/>
                <w:szCs w:val="20"/>
              </w:rPr>
            </w:pPr>
            <w:r w:rsidRPr="005A7226">
              <w:rPr>
                <w:rFonts w:cs="Calibri"/>
                <w:color w:val="000000"/>
                <w:szCs w:val="20"/>
              </w:rPr>
              <w:t>1,137,934</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6C7677B"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7F5BC900"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ACC243F"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37.5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4973870"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85CF954"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8762E</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1D5E0CA"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$30.28</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1D4DA0" w14:textId="77777777" w:rsidR="004B5A3E" w:rsidRPr="005A7226" w:rsidRDefault="004B5A3E">
            <w:pPr>
              <w:pStyle w:val="TableText0"/>
              <w:jc w:val="center"/>
              <w:rPr>
                <w:bCs w:val="0"/>
                <w:szCs w:val="20"/>
              </w:rPr>
            </w:pPr>
            <w:r w:rsidRPr="005A7226">
              <w:rPr>
                <w:rFonts w:cs="Calibri"/>
                <w:color w:val="000000"/>
                <w:szCs w:val="20"/>
              </w:rPr>
              <w:t>752,742</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03794FF"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752C24B9"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7F3AF5C3"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 norethisterone acetate 140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3F34848"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728B12B"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8427M</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F21B59B"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$33.73</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B40E63A" w14:textId="77777777" w:rsidR="004B5A3E" w:rsidRPr="005A7226" w:rsidRDefault="004B5A3E">
            <w:pPr>
              <w:pStyle w:val="TableText0"/>
              <w:jc w:val="center"/>
              <w:rPr>
                <w:bCs w:val="0"/>
                <w:szCs w:val="20"/>
              </w:rPr>
            </w:pPr>
            <w:r w:rsidRPr="005A7226">
              <w:rPr>
                <w:rFonts w:cs="Calibri"/>
                <w:color w:val="000000"/>
                <w:szCs w:val="20"/>
              </w:rPr>
              <w:t>2,354,437</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3CD4712" w14:textId="77777777" w:rsidR="004B5A3E" w:rsidRPr="005A7226" w:rsidRDefault="004B5A3E">
            <w:pPr>
              <w:pStyle w:val="TableText0"/>
              <w:jc w:val="center"/>
              <w:rPr>
                <w:rFonts w:cs="Calibri"/>
                <w:color w:val="000000"/>
                <w:szCs w:val="20"/>
              </w:rPr>
            </w:pPr>
            <w:r w:rsidRPr="005A7226">
              <w:rPr>
                <w:szCs w:val="20"/>
              </w:rPr>
              <w:t>4%</w:t>
            </w:r>
          </w:p>
        </w:tc>
      </w:tr>
      <w:tr w:rsidR="004B5A3E" w:rsidRPr="005A7226" w14:paraId="410ACD90"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3989CD56"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 norethisterone acetate 250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972718"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FC3AF2B"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8428N</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123CA61"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$34.73</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517C933" w14:textId="77777777" w:rsidR="004B5A3E" w:rsidRPr="005A7226" w:rsidRDefault="004B5A3E">
            <w:pPr>
              <w:pStyle w:val="TableText0"/>
              <w:jc w:val="center"/>
              <w:rPr>
                <w:bCs w:val="0"/>
                <w:szCs w:val="20"/>
              </w:rPr>
            </w:pPr>
            <w:r w:rsidRPr="005A7226">
              <w:rPr>
                <w:rFonts w:cs="Calibri"/>
                <w:color w:val="000000"/>
                <w:szCs w:val="20"/>
              </w:rPr>
              <w:t>1,051,871</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C8E7AD3"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76D26BF9"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567CF024"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2158553"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EA8785F"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8125P</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01ECFB3"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NA</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912AAD1" w14:textId="77777777" w:rsidR="004B5A3E" w:rsidRPr="005A7226" w:rsidRDefault="004B5A3E">
            <w:pPr>
              <w:pStyle w:val="TableText0"/>
              <w:jc w:val="center"/>
              <w:rPr>
                <w:bCs w:val="0"/>
                <w:szCs w:val="20"/>
              </w:rPr>
            </w:pPr>
            <w:r w:rsidRPr="005A7226">
              <w:rPr>
                <w:rFonts w:cs="Calibri"/>
                <w:color w:val="000000"/>
                <w:szCs w:val="20"/>
              </w:rPr>
              <w:t>1,037,328</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C2FF4E3" w14:textId="77777777" w:rsidR="004B5A3E" w:rsidRPr="005A7226" w:rsidRDefault="004B5A3E">
            <w:pPr>
              <w:pStyle w:val="TableText0"/>
              <w:jc w:val="center"/>
              <w:rPr>
                <w:rFonts w:cs="Calibri"/>
                <w:color w:val="000000"/>
                <w:szCs w:val="20"/>
              </w:rPr>
            </w:pPr>
            <w:r w:rsidRPr="005A7226">
              <w:rPr>
                <w:szCs w:val="20"/>
              </w:rPr>
              <w:t>0%</w:t>
            </w:r>
            <w:r w:rsidRPr="005A7226">
              <w:rPr>
                <w:rFonts w:cs="Calibri"/>
                <w:b/>
                <w:bCs w:val="0"/>
                <w:color w:val="000000"/>
                <w:szCs w:val="20"/>
                <w:vertAlign w:val="superscript"/>
              </w:rPr>
              <w:t xml:space="preserve"> b</w:t>
            </w:r>
          </w:p>
        </w:tc>
      </w:tr>
      <w:tr w:rsidR="004B5A3E" w:rsidRPr="005A7226" w14:paraId="5013E3F2"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0185228D"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B8B2EB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58B5AB3"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8140K</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E2369F4"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$24.99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A4A92F" w14:textId="77777777" w:rsidR="004B5A3E" w:rsidRPr="005A7226" w:rsidRDefault="004B5A3E">
            <w:pPr>
              <w:pStyle w:val="TableText0"/>
              <w:jc w:val="center"/>
              <w:rPr>
                <w:bCs w:val="0"/>
                <w:szCs w:val="20"/>
              </w:rPr>
            </w:pPr>
            <w:r w:rsidRPr="005A7226">
              <w:rPr>
                <w:rFonts w:cs="Calibri"/>
                <w:color w:val="000000"/>
                <w:szCs w:val="20"/>
              </w:rPr>
              <w:t>718,506</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AFB26FF"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3BB162F3"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261C968E"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1C87EAF"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3B0C2C8"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8763F</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F2D703C"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$28.19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D37981E" w14:textId="77777777" w:rsidR="004B5A3E" w:rsidRPr="005A7226" w:rsidRDefault="004B5A3E">
            <w:pPr>
              <w:pStyle w:val="TableText0"/>
              <w:jc w:val="center"/>
              <w:rPr>
                <w:bCs w:val="0"/>
                <w:szCs w:val="20"/>
              </w:rPr>
            </w:pPr>
            <w:r w:rsidRPr="005A7226">
              <w:rPr>
                <w:rFonts w:cs="Calibri"/>
                <w:color w:val="000000"/>
                <w:szCs w:val="20"/>
              </w:rPr>
              <w:t>2,177,075</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8D3AD70" w14:textId="77777777" w:rsidR="004B5A3E" w:rsidRPr="005A7226" w:rsidRDefault="004B5A3E">
            <w:pPr>
              <w:pStyle w:val="TableText0"/>
              <w:jc w:val="center"/>
              <w:rPr>
                <w:rFonts w:cs="Calibri"/>
                <w:color w:val="000000"/>
                <w:szCs w:val="20"/>
              </w:rPr>
            </w:pPr>
            <w:r w:rsidRPr="005A7226">
              <w:rPr>
                <w:szCs w:val="20"/>
              </w:rPr>
              <w:t>4%</w:t>
            </w:r>
          </w:p>
        </w:tc>
      </w:tr>
      <w:tr w:rsidR="004B5A3E" w:rsidRPr="005A7226" w14:paraId="3B0869C7"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F2DE623"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patch [4] (&amp;) </w:t>
            </w: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 norethisterone acetate 140 microgram/24 hours patch [4]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EE288BC"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3A45ABC"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8425K</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33987E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$41.14</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11EBBAB" w14:textId="77777777" w:rsidR="004B5A3E" w:rsidRPr="005A7226" w:rsidRDefault="004B5A3E">
            <w:pPr>
              <w:pStyle w:val="TableText0"/>
              <w:jc w:val="center"/>
              <w:rPr>
                <w:bCs w:val="0"/>
                <w:szCs w:val="20"/>
              </w:rPr>
            </w:pPr>
            <w:r w:rsidRPr="005A7226">
              <w:rPr>
                <w:rFonts w:cs="Calibri"/>
                <w:color w:val="000000"/>
                <w:szCs w:val="20"/>
              </w:rPr>
              <w:t>810,871</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31295C4"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0F0E18ED"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4CCECE82"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patch [4] (&amp;) </w:t>
            </w: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50 microgram/24 hours + norethisterone acetate 250 microgram/24 hours patch [4]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4D53B8D"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35A6065"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8426L</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D30EA2A"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$43.29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894479F" w14:textId="77777777" w:rsidR="004B5A3E" w:rsidRPr="005A7226" w:rsidRDefault="004B5A3E">
            <w:pPr>
              <w:pStyle w:val="TableText0"/>
              <w:jc w:val="center"/>
              <w:rPr>
                <w:bCs w:val="0"/>
                <w:szCs w:val="20"/>
              </w:rPr>
            </w:pPr>
            <w:r w:rsidRPr="005A7226">
              <w:rPr>
                <w:rFonts w:cs="Calibri"/>
                <w:color w:val="000000"/>
                <w:szCs w:val="20"/>
              </w:rPr>
              <w:t>410,709</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B8C43B4"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4A7CD002"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2ADEE8FB"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75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49CB774"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4</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B36C7EA"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8486P</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A02FA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NA</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50023E" w14:textId="77777777" w:rsidR="004B5A3E" w:rsidRPr="005A7226" w:rsidRDefault="004B5A3E">
            <w:pPr>
              <w:pStyle w:val="TableText0"/>
              <w:jc w:val="center"/>
              <w:rPr>
                <w:bCs w:val="0"/>
                <w:szCs w:val="20"/>
              </w:rPr>
            </w:pPr>
            <w:r w:rsidRPr="005A7226">
              <w:rPr>
                <w:rFonts w:cs="Calibri"/>
                <w:color w:val="000000"/>
                <w:szCs w:val="20"/>
              </w:rPr>
              <w:t>401,860</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B72B455" w14:textId="77777777" w:rsidR="004B5A3E" w:rsidRPr="005A7226" w:rsidRDefault="004B5A3E">
            <w:pPr>
              <w:pStyle w:val="TableText0"/>
              <w:jc w:val="center"/>
              <w:rPr>
                <w:rFonts w:cs="Calibri"/>
                <w:color w:val="000000"/>
                <w:szCs w:val="20"/>
              </w:rPr>
            </w:pPr>
            <w:r w:rsidRPr="005A7226">
              <w:rPr>
                <w:szCs w:val="20"/>
              </w:rPr>
              <w:t>0%</w:t>
            </w:r>
            <w:r w:rsidRPr="005A7226">
              <w:rPr>
                <w:rFonts w:cs="Calibri"/>
                <w:b/>
                <w:bCs w:val="0"/>
                <w:color w:val="000000"/>
                <w:szCs w:val="20"/>
                <w:vertAlign w:val="superscript"/>
              </w:rPr>
              <w:t xml:space="preserve"> b</w:t>
            </w:r>
          </w:p>
        </w:tc>
      </w:tr>
      <w:tr w:rsidR="004B5A3E" w:rsidRPr="005A7226" w14:paraId="3AA88055"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3144C03C"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75 microgram/24 hours patch</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58F79AA"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8</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C3B4D9E"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8764G</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A1D7E96"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$29.45</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88E38AE" w14:textId="77777777" w:rsidR="004B5A3E" w:rsidRPr="005A7226" w:rsidRDefault="004B5A3E">
            <w:pPr>
              <w:pStyle w:val="TableText0"/>
              <w:jc w:val="center"/>
              <w:rPr>
                <w:bCs w:val="0"/>
                <w:szCs w:val="20"/>
              </w:rPr>
            </w:pPr>
            <w:r w:rsidRPr="005A7226">
              <w:rPr>
                <w:rFonts w:cs="Calibri"/>
                <w:color w:val="000000"/>
                <w:szCs w:val="20"/>
              </w:rPr>
              <w:t>810,486</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3212C2C"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444524B9"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6D500961"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valerate 1 mg tablet</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284B989"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56</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28CE9ACE"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1663M</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915A91B"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$16.59</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F05233C" w14:textId="77777777" w:rsidR="004B5A3E" w:rsidRPr="005A7226" w:rsidRDefault="004B5A3E">
            <w:pPr>
              <w:pStyle w:val="TableText0"/>
              <w:jc w:val="center"/>
              <w:rPr>
                <w:bCs w:val="0"/>
                <w:szCs w:val="20"/>
              </w:rPr>
            </w:pPr>
            <w:r w:rsidRPr="005A7226">
              <w:rPr>
                <w:rFonts w:cs="Calibri"/>
                <w:color w:val="000000"/>
                <w:szCs w:val="20"/>
              </w:rPr>
              <w:t>1,080,449</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3259801"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020FF569"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2B9E9630" w14:textId="77777777" w:rsidR="004B5A3E" w:rsidRPr="005A7226" w:rsidRDefault="004B5A3E">
            <w:pPr>
              <w:spacing w:line="276" w:lineRule="auto"/>
              <w:jc w:val="left"/>
              <w:rPr>
                <w:rFonts w:ascii="Arial Narrow" w:hAnsi="Arial Narrow" w:cstheme="minorHAnsi"/>
                <w:color w:val="000000"/>
                <w:sz w:val="20"/>
                <w:szCs w:val="20"/>
              </w:rPr>
            </w:pPr>
            <w:proofErr w:type="spellStart"/>
            <w:r w:rsidRPr="005A7226">
              <w:rPr>
                <w:rFonts w:ascii="Arial Narrow" w:hAnsi="Arial Narrow"/>
                <w:sz w:val="20"/>
                <w:szCs w:val="20"/>
              </w:rPr>
              <w:t>estradiol</w:t>
            </w:r>
            <w:proofErr w:type="spellEnd"/>
            <w:r w:rsidRPr="005A7226">
              <w:rPr>
                <w:rFonts w:ascii="Arial Narrow" w:hAnsi="Arial Narrow"/>
                <w:sz w:val="20"/>
                <w:szCs w:val="20"/>
              </w:rPr>
              <w:t xml:space="preserve"> valerate 2 mg tablet</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DF48620"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56</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28CA7FE6"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1664N</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B996135"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$17.91</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6333978" w14:textId="77777777" w:rsidR="004B5A3E" w:rsidRPr="005A7226" w:rsidRDefault="004B5A3E">
            <w:pPr>
              <w:pStyle w:val="TableText0"/>
              <w:jc w:val="center"/>
              <w:rPr>
                <w:bCs w:val="0"/>
                <w:szCs w:val="20"/>
              </w:rPr>
            </w:pPr>
            <w:r w:rsidRPr="005A7226">
              <w:rPr>
                <w:rFonts w:cs="Calibri"/>
                <w:color w:val="000000"/>
                <w:szCs w:val="20"/>
              </w:rPr>
              <w:t>1,366,836</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6309D51" w14:textId="77777777" w:rsidR="004B5A3E" w:rsidRPr="005A7226" w:rsidRDefault="004B5A3E">
            <w:pPr>
              <w:pStyle w:val="TableText0"/>
              <w:jc w:val="center"/>
              <w:rPr>
                <w:rFonts w:cs="Calibri"/>
                <w:color w:val="000000"/>
                <w:szCs w:val="20"/>
              </w:rPr>
            </w:pPr>
            <w:r w:rsidRPr="005A7226">
              <w:rPr>
                <w:szCs w:val="20"/>
              </w:rPr>
              <w:t>2%</w:t>
            </w:r>
          </w:p>
        </w:tc>
      </w:tr>
      <w:tr w:rsidR="004B5A3E" w:rsidRPr="005A7226" w14:paraId="774AF790"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39466D79" w14:textId="77777777" w:rsidR="004B5A3E" w:rsidRPr="005A7226" w:rsidRDefault="004B5A3E">
            <w:pPr>
              <w:spacing w:line="276" w:lineRule="auto"/>
              <w:jc w:val="left"/>
              <w:rPr>
                <w:rFonts w:ascii="Arial Narrow" w:hAnsi="Arial Narrow" w:cstheme="minorHAnsi"/>
                <w:color w:val="000000"/>
                <w:sz w:val="20"/>
                <w:szCs w:val="20"/>
              </w:rPr>
            </w:pPr>
            <w:r w:rsidRPr="005A7226">
              <w:rPr>
                <w:rFonts w:ascii="Arial Narrow" w:hAnsi="Arial Narrow"/>
                <w:sz w:val="20"/>
                <w:szCs w:val="20"/>
              </w:rPr>
              <w:t>estriol 500 microgram pessary</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DE29ADE"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15</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95C144F"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1771F</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C83F67D"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$26.27</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D93E072" w14:textId="77777777" w:rsidR="004B5A3E" w:rsidRPr="005A7226" w:rsidRDefault="004B5A3E">
            <w:pPr>
              <w:pStyle w:val="TableText0"/>
              <w:jc w:val="center"/>
              <w:rPr>
                <w:bCs w:val="0"/>
                <w:szCs w:val="20"/>
              </w:rPr>
            </w:pPr>
            <w:r w:rsidRPr="005A7226">
              <w:rPr>
                <w:rFonts w:cs="Calibri"/>
                <w:color w:val="000000"/>
                <w:szCs w:val="20"/>
              </w:rPr>
              <w:t>1,559,923</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D163063" w14:textId="77777777" w:rsidR="004B5A3E" w:rsidRPr="005A7226" w:rsidRDefault="004B5A3E">
            <w:pPr>
              <w:pStyle w:val="TableText0"/>
              <w:jc w:val="center"/>
              <w:rPr>
                <w:rFonts w:cs="Calibri"/>
                <w:color w:val="000000"/>
                <w:szCs w:val="20"/>
              </w:rPr>
            </w:pPr>
            <w:r w:rsidRPr="005A7226">
              <w:rPr>
                <w:szCs w:val="20"/>
              </w:rPr>
              <w:t>3%</w:t>
            </w:r>
          </w:p>
        </w:tc>
      </w:tr>
      <w:tr w:rsidR="004B5A3E" w:rsidRPr="005A7226" w14:paraId="0B74A240"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20858F5" w14:textId="77777777" w:rsidR="004B5A3E" w:rsidRPr="005A7226" w:rsidRDefault="004B5A3E">
            <w:pPr>
              <w:spacing w:line="276" w:lineRule="auto"/>
              <w:jc w:val="left"/>
              <w:rPr>
                <w:rFonts w:ascii="Arial Narrow" w:hAnsi="Arial Narrow" w:cstheme="minorHAnsi"/>
                <w:color w:val="000000"/>
                <w:sz w:val="20"/>
                <w:szCs w:val="20"/>
              </w:rPr>
            </w:pPr>
            <w:r w:rsidRPr="005A7226">
              <w:rPr>
                <w:rFonts w:ascii="Arial Narrow" w:hAnsi="Arial Narrow"/>
                <w:sz w:val="20"/>
                <w:szCs w:val="20"/>
              </w:rPr>
              <w:t>medroxyprogesterone acetate 10 mg tablet</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497C67"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30</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F366D9C"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2321E</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17CC9D"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$20.33</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A11A62A" w14:textId="77777777" w:rsidR="004B5A3E" w:rsidRPr="005A7226" w:rsidRDefault="004B5A3E">
            <w:pPr>
              <w:pStyle w:val="TableText0"/>
              <w:jc w:val="center"/>
              <w:rPr>
                <w:bCs w:val="0"/>
                <w:szCs w:val="20"/>
              </w:rPr>
            </w:pPr>
            <w:r w:rsidRPr="005A7226">
              <w:rPr>
                <w:rFonts w:cs="Calibri"/>
                <w:color w:val="000000"/>
                <w:szCs w:val="20"/>
              </w:rPr>
              <w:t>420,437</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22047F0"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3F3C3399"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14811F7C" w14:textId="77777777" w:rsidR="004B5A3E" w:rsidRPr="005A7226" w:rsidRDefault="004B5A3E">
            <w:pPr>
              <w:spacing w:line="276" w:lineRule="auto"/>
              <w:jc w:val="left"/>
              <w:rPr>
                <w:rFonts w:ascii="Arial Narrow" w:hAnsi="Arial Narrow" w:cstheme="minorHAnsi"/>
                <w:color w:val="000000"/>
                <w:sz w:val="20"/>
                <w:szCs w:val="20"/>
              </w:rPr>
            </w:pPr>
            <w:r w:rsidRPr="005A7226">
              <w:rPr>
                <w:rFonts w:ascii="Arial Narrow" w:hAnsi="Arial Narrow"/>
                <w:sz w:val="20"/>
                <w:szCs w:val="20"/>
              </w:rPr>
              <w:t>medroxyprogesterone acetate 5 mg tablet</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8A18E4C"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56</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28DCC091"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2323G</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7D4550A"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$18.94</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7CF3CB8" w14:textId="77777777" w:rsidR="004B5A3E" w:rsidRPr="005A7226" w:rsidRDefault="004B5A3E">
            <w:pPr>
              <w:pStyle w:val="TableText0"/>
              <w:jc w:val="center"/>
              <w:rPr>
                <w:bCs w:val="0"/>
                <w:szCs w:val="20"/>
              </w:rPr>
            </w:pPr>
            <w:r w:rsidRPr="005A7226">
              <w:rPr>
                <w:rFonts w:cs="Calibri"/>
                <w:color w:val="000000"/>
                <w:szCs w:val="20"/>
              </w:rPr>
              <w:t>894,520</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45941C1" w14:textId="77777777" w:rsidR="004B5A3E" w:rsidRPr="005A7226" w:rsidRDefault="004B5A3E">
            <w:pPr>
              <w:pStyle w:val="TableText0"/>
              <w:jc w:val="center"/>
              <w:rPr>
                <w:rFonts w:cs="Calibri"/>
                <w:color w:val="000000"/>
                <w:szCs w:val="20"/>
              </w:rPr>
            </w:pPr>
            <w:r w:rsidRPr="005A7226">
              <w:rPr>
                <w:szCs w:val="20"/>
              </w:rPr>
              <w:t>1%</w:t>
            </w:r>
          </w:p>
        </w:tc>
      </w:tr>
      <w:tr w:rsidR="004B5A3E" w:rsidRPr="005A7226" w14:paraId="6BBAB005" w14:textId="77777777" w:rsidTr="00755BBD">
        <w:trPr>
          <w:trHeight w:val="20"/>
        </w:trPr>
        <w:tc>
          <w:tcPr>
            <w:tcW w:w="2041" w:type="pct"/>
            <w:tcBorders>
              <w:top w:val="single" w:sz="2" w:space="0" w:color="auto"/>
              <w:left w:val="single" w:sz="2" w:space="0" w:color="auto"/>
              <w:bottom w:val="single" w:sz="2" w:space="0" w:color="auto"/>
              <w:right w:val="single" w:sz="2" w:space="0" w:color="auto"/>
            </w:tcBorders>
            <w:shd w:val="clear" w:color="auto" w:fill="FFFFFF" w:themeFill="background1"/>
            <w:hideMark/>
          </w:tcPr>
          <w:p w14:paraId="03944E0D" w14:textId="77777777" w:rsidR="004B5A3E" w:rsidRPr="005A7226" w:rsidRDefault="004B5A3E">
            <w:pPr>
              <w:spacing w:line="276" w:lineRule="auto"/>
              <w:jc w:val="left"/>
              <w:rPr>
                <w:rFonts w:ascii="Arial Narrow" w:hAnsi="Arial Narrow" w:cstheme="minorHAnsi"/>
                <w:color w:val="000000"/>
                <w:sz w:val="20"/>
                <w:szCs w:val="20"/>
              </w:rPr>
            </w:pPr>
            <w:r w:rsidRPr="005A7226">
              <w:rPr>
                <w:rFonts w:ascii="Arial Narrow" w:hAnsi="Arial Narrow"/>
                <w:sz w:val="20"/>
                <w:szCs w:val="20"/>
              </w:rPr>
              <w:t xml:space="preserve">norethisterone 5 mg tablet </w:t>
            </w:r>
            <w:r w:rsidRPr="005A7226">
              <w:rPr>
                <w:rFonts w:ascii="Arial Narrow" w:hAnsi="Arial Narrow"/>
                <w:sz w:val="20"/>
                <w:szCs w:val="20"/>
                <w:vertAlign w:val="superscript"/>
              </w:rPr>
              <w:t>c</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B82F78D"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sz w:val="20"/>
                <w:szCs w:val="20"/>
              </w:rPr>
              <w:t>30</w:t>
            </w:r>
          </w:p>
        </w:tc>
        <w:tc>
          <w:tcPr>
            <w:tcW w:w="471" w:type="pct"/>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A5FCA38" w14:textId="77777777" w:rsidR="004B5A3E" w:rsidRPr="005A7226" w:rsidRDefault="004B5A3E">
            <w:pPr>
              <w:spacing w:line="276" w:lineRule="auto"/>
              <w:jc w:val="center"/>
              <w:rPr>
                <w:rFonts w:ascii="Arial Narrow" w:hAnsi="Arial Narrow" w:cstheme="minorHAnsi"/>
                <w:color w:val="000000"/>
                <w:sz w:val="20"/>
                <w:szCs w:val="20"/>
              </w:rPr>
            </w:pPr>
            <w:r w:rsidRPr="005A7226">
              <w:rPr>
                <w:rFonts w:ascii="Arial Narrow" w:hAnsi="Arial Narrow"/>
                <w:sz w:val="20"/>
                <w:szCs w:val="20"/>
              </w:rPr>
              <w:t>2993M</w:t>
            </w:r>
          </w:p>
        </w:tc>
        <w:tc>
          <w:tcPr>
            <w:tcW w:w="47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7DD92B2" w14:textId="77777777" w:rsidR="004B5A3E" w:rsidRPr="005A7226" w:rsidRDefault="004B5A3E">
            <w:pPr>
              <w:spacing w:line="276" w:lineRule="auto"/>
              <w:jc w:val="center"/>
              <w:rPr>
                <w:rFonts w:ascii="Arial Narrow" w:hAnsi="Arial Narrow" w:cstheme="minorHAnsi"/>
                <w:color w:val="000000" w:themeColor="text1"/>
                <w:sz w:val="20"/>
                <w:szCs w:val="20"/>
              </w:rPr>
            </w:pPr>
            <w:r w:rsidRPr="005A7226">
              <w:rPr>
                <w:rFonts w:ascii="Arial Narrow" w:hAnsi="Arial Narrow" w:cs="Calibri"/>
                <w:color w:val="000000"/>
                <w:sz w:val="20"/>
                <w:szCs w:val="20"/>
              </w:rPr>
              <w:t>$35.67</w:t>
            </w:r>
          </w:p>
        </w:tc>
        <w:tc>
          <w:tcPr>
            <w:tcW w:w="78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A519406" w14:textId="77777777" w:rsidR="004B5A3E" w:rsidRPr="005A7226" w:rsidRDefault="004B5A3E">
            <w:pPr>
              <w:pStyle w:val="TableText0"/>
              <w:jc w:val="center"/>
              <w:rPr>
                <w:bCs w:val="0"/>
                <w:szCs w:val="20"/>
              </w:rPr>
            </w:pPr>
            <w:r w:rsidRPr="005A7226">
              <w:rPr>
                <w:rFonts w:cs="Calibri"/>
                <w:color w:val="000000"/>
                <w:szCs w:val="20"/>
              </w:rPr>
              <w:t>7,406,608</w:t>
            </w:r>
          </w:p>
        </w:tc>
        <w:tc>
          <w:tcPr>
            <w:tcW w:w="75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6A89074" w14:textId="77777777" w:rsidR="004B5A3E" w:rsidRPr="005A7226" w:rsidRDefault="004B5A3E">
            <w:pPr>
              <w:pStyle w:val="TableText0"/>
              <w:jc w:val="center"/>
              <w:rPr>
                <w:rFonts w:cs="Calibri"/>
                <w:color w:val="000000"/>
                <w:szCs w:val="20"/>
              </w:rPr>
            </w:pPr>
            <w:r w:rsidRPr="005A7226">
              <w:rPr>
                <w:szCs w:val="20"/>
              </w:rPr>
              <w:t>12%</w:t>
            </w:r>
          </w:p>
        </w:tc>
      </w:tr>
      <w:tr w:rsidR="004B5A3E" w:rsidRPr="005A7226" w14:paraId="0474A0FC" w14:textId="77777777" w:rsidTr="00755BBD">
        <w:trPr>
          <w:trHeight w:val="20"/>
        </w:trPr>
        <w:tc>
          <w:tcPr>
            <w:tcW w:w="2984" w:type="pct"/>
            <w:gridSpan w:val="3"/>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73FF8FA6" w14:textId="77777777" w:rsidR="004B5A3E" w:rsidRPr="005A7226" w:rsidRDefault="004B5A3E">
            <w:pPr>
              <w:spacing w:line="276" w:lineRule="auto"/>
              <w:jc w:val="left"/>
              <w:rPr>
                <w:rFonts w:ascii="Arial Narrow" w:hAnsi="Arial Narrow"/>
                <w:b/>
                <w:bCs/>
                <w:sz w:val="20"/>
                <w:szCs w:val="20"/>
              </w:rPr>
            </w:pPr>
            <w:r w:rsidRPr="005A7226">
              <w:rPr>
                <w:rFonts w:ascii="Arial Narrow" w:hAnsi="Arial Narrow"/>
                <w:b/>
                <w:bCs/>
                <w:sz w:val="20"/>
                <w:szCs w:val="20"/>
              </w:rPr>
              <w:t>Weighted average DPMQ</w:t>
            </w:r>
          </w:p>
        </w:tc>
        <w:tc>
          <w:tcPr>
            <w:tcW w:w="2016" w:type="pct"/>
            <w:gridSpan w:val="3"/>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2E36B96F" w14:textId="77777777" w:rsidR="004B5A3E" w:rsidRPr="005A7226" w:rsidRDefault="004B5A3E">
            <w:pPr>
              <w:pStyle w:val="TableText0"/>
              <w:jc w:val="center"/>
              <w:rPr>
                <w:b/>
                <w:szCs w:val="20"/>
              </w:rPr>
            </w:pPr>
            <w:r w:rsidRPr="005A7226">
              <w:rPr>
                <w:b/>
                <w:szCs w:val="20"/>
              </w:rPr>
              <w:t>$29.56</w:t>
            </w:r>
          </w:p>
        </w:tc>
      </w:tr>
    </w:tbl>
    <w:p w14:paraId="095085DE" w14:textId="77777777" w:rsidR="004B5A3E" w:rsidRPr="005A7226" w:rsidRDefault="004B5A3E" w:rsidP="004B5A3E">
      <w:pPr>
        <w:pStyle w:val="TableFigureFooter"/>
      </w:pPr>
      <w:r w:rsidRPr="005A7226">
        <w:t>Source: Table 4.2-9, p194 and compiled during the evaluation (</w:t>
      </w:r>
      <w:r w:rsidRPr="005A7226">
        <w:rPr>
          <w:i/>
          <w:iCs/>
        </w:rPr>
        <w:t>PBS access date: 21/11/2024</w:t>
      </w:r>
      <w:r w:rsidRPr="005A7226">
        <w:t>).</w:t>
      </w:r>
    </w:p>
    <w:p w14:paraId="712C5077" w14:textId="77777777" w:rsidR="004B5A3E" w:rsidRPr="005A7226" w:rsidRDefault="004B5A3E" w:rsidP="004B5A3E">
      <w:pPr>
        <w:pStyle w:val="TableFigureFooter"/>
      </w:pPr>
      <w:r w:rsidRPr="005A7226">
        <w:t>MHT=Menopausal hormone therapy, NA=not available (in PBS website), NC=not calculatable.</w:t>
      </w:r>
    </w:p>
    <w:p w14:paraId="4C17D59F" w14:textId="77777777" w:rsidR="004B5A3E" w:rsidRPr="005A7226" w:rsidRDefault="004B5A3E" w:rsidP="004B5A3E">
      <w:pPr>
        <w:pStyle w:val="TableFigureFooter"/>
        <w:numPr>
          <w:ilvl w:val="0"/>
          <w:numId w:val="13"/>
        </w:numPr>
      </w:pPr>
      <w:r w:rsidRPr="005A7226">
        <w:t>The total PBS+RPBS service volume was used to calculate the weighted average cost of MHT.</w:t>
      </w:r>
    </w:p>
    <w:p w14:paraId="496B2049" w14:textId="77777777" w:rsidR="004B5A3E" w:rsidRPr="005A7226" w:rsidRDefault="004B5A3E" w:rsidP="004B5A3E">
      <w:pPr>
        <w:pStyle w:val="TableFigureFooter"/>
        <w:numPr>
          <w:ilvl w:val="0"/>
          <w:numId w:val="13"/>
        </w:numPr>
      </w:pPr>
      <w:r w:rsidRPr="005A7226">
        <w:t>Items that were not available on the PBS website (DPMQ is marked as "NA") were excluded from the calculation of the weighted average price.</w:t>
      </w:r>
    </w:p>
    <w:p w14:paraId="2DC25D19" w14:textId="77777777" w:rsidR="004B5A3E" w:rsidRPr="005A7226" w:rsidRDefault="004B5A3E" w:rsidP="004B5A3E">
      <w:pPr>
        <w:pStyle w:val="TableFigureFooter"/>
        <w:numPr>
          <w:ilvl w:val="0"/>
          <w:numId w:val="13"/>
        </w:numPr>
      </w:pPr>
      <w:r w:rsidRPr="005A7226">
        <w:t>Service volume of norethisterone 5 mg tablet, 30 (PBS item: 2993M) was double counted in “2e- Scripts – market” worksheet of Attachment 4 of the Submission (Financial Model).</w:t>
      </w:r>
    </w:p>
    <w:p w14:paraId="147A53FD" w14:textId="34BFFCB0" w:rsidR="004B5A3E" w:rsidRPr="005A7226" w:rsidRDefault="00372CA3" w:rsidP="00372CA3">
      <w:pPr>
        <w:widowControl w:val="0"/>
        <w:numPr>
          <w:ilvl w:val="1"/>
          <w:numId w:val="1"/>
        </w:numPr>
        <w:spacing w:after="120"/>
        <w:ind w:left="720"/>
      </w:pPr>
      <w:r>
        <w:rPr>
          <w:rFonts w:eastAsiaTheme="minorEastAsia"/>
          <w:lang w:eastAsia="en-US"/>
        </w:rPr>
        <w:fldChar w:fldCharType="begin"/>
      </w:r>
      <w:r>
        <w:rPr>
          <w:rFonts w:eastAsiaTheme="minorEastAsia"/>
          <w:lang w:eastAsia="en-US"/>
        </w:rPr>
        <w:instrText xml:space="preserve"> REF _Ref195109832 \h </w:instrText>
      </w:r>
      <w:r>
        <w:rPr>
          <w:rFonts w:eastAsiaTheme="minorEastAsia"/>
          <w:lang w:eastAsia="en-US"/>
        </w:rPr>
      </w:r>
      <w:r>
        <w:rPr>
          <w:rFonts w:eastAsiaTheme="minorEastAsia"/>
          <w:lang w:eastAsia="en-US"/>
        </w:rPr>
        <w:fldChar w:fldCharType="separate"/>
      </w:r>
      <w:r w:rsidR="00B11DA2" w:rsidRPr="005A7226">
        <w:t xml:space="preserve">Table </w:t>
      </w:r>
      <w:r w:rsidR="00B11DA2">
        <w:rPr>
          <w:noProof/>
        </w:rPr>
        <w:t>17</w:t>
      </w:r>
      <w:r>
        <w:rPr>
          <w:rFonts w:eastAsiaTheme="minorEastAsia"/>
          <w:lang w:eastAsia="en-US"/>
        </w:rPr>
        <w:fldChar w:fldCharType="end"/>
      </w:r>
      <w:r w:rsidR="004B5A3E" w:rsidRPr="005A7226">
        <w:rPr>
          <w:rFonts w:eastAsiaTheme="minorEastAsia"/>
          <w:lang w:eastAsia="en-US"/>
        </w:rPr>
        <w:t xml:space="preserve"> shows the results of the CMA conducted during the evaluation.</w:t>
      </w:r>
    </w:p>
    <w:p w14:paraId="33F4C476" w14:textId="75417FEB" w:rsidR="004B5A3E" w:rsidRPr="005A7226" w:rsidRDefault="004B5A3E" w:rsidP="004B5A3E">
      <w:pPr>
        <w:pStyle w:val="Caption"/>
        <w:rPr>
          <w:rStyle w:val="CommentReference"/>
          <w:b/>
        </w:rPr>
      </w:pPr>
      <w:bookmarkStart w:id="67" w:name="_Ref195109832"/>
      <w:r w:rsidRPr="005A7226">
        <w:t xml:space="preserve">Table </w:t>
      </w:r>
      <w:r w:rsidR="004A6B36">
        <w:fldChar w:fldCharType="begin"/>
      </w:r>
      <w:r w:rsidR="004A6B36">
        <w:instrText xml:space="preserve"> SEQ Table \* ARABIC </w:instrText>
      </w:r>
      <w:r w:rsidR="004A6B36">
        <w:fldChar w:fldCharType="separate"/>
      </w:r>
      <w:r w:rsidR="00B11DA2">
        <w:rPr>
          <w:noProof/>
        </w:rPr>
        <w:t>17</w:t>
      </w:r>
      <w:r w:rsidR="004A6B36">
        <w:rPr>
          <w:noProof/>
        </w:rPr>
        <w:fldChar w:fldCharType="end"/>
      </w:r>
      <w:bookmarkEnd w:id="67"/>
      <w:r w:rsidR="000F14D6">
        <w:t>:</w:t>
      </w:r>
      <w:r w:rsidRPr="005A7226">
        <w:t xml:space="preserve"> Results of the cost-minimisation analysis vs MHT</w:t>
      </w:r>
      <w:r w:rsidR="005E383E">
        <w:t xml:space="preserve"> </w:t>
      </w:r>
    </w:p>
    <w:tbl>
      <w:tblPr>
        <w:tblStyle w:val="TableGrid2"/>
        <w:tblW w:w="5000" w:type="pct"/>
        <w:tblCellMar>
          <w:left w:w="28" w:type="dxa"/>
          <w:right w:w="28" w:type="dxa"/>
        </w:tblCellMar>
        <w:tblLook w:val="04A0" w:firstRow="1" w:lastRow="0" w:firstColumn="1" w:lastColumn="0" w:noHBand="0" w:noVBand="1"/>
        <w:tblCaption w:val="Table 17: Results of the cost-minimisation analysis vs MHT "/>
      </w:tblPr>
      <w:tblGrid>
        <w:gridCol w:w="1978"/>
        <w:gridCol w:w="1133"/>
        <w:gridCol w:w="994"/>
        <w:gridCol w:w="4912"/>
      </w:tblGrid>
      <w:tr w:rsidR="004B5A3E" w:rsidRPr="005A7226" w14:paraId="12AD4FE5" w14:textId="77777777">
        <w:trPr>
          <w:trHeight w:val="20"/>
        </w:trPr>
        <w:tc>
          <w:tcPr>
            <w:tcW w:w="1097" w:type="pct"/>
            <w:vAlign w:val="center"/>
          </w:tcPr>
          <w:p w14:paraId="5021BB82" w14:textId="77777777" w:rsidR="004B5A3E" w:rsidRPr="005A7226" w:rsidRDefault="004B5A3E">
            <w:pPr>
              <w:pStyle w:val="TableText0"/>
              <w:jc w:val="center"/>
              <w:rPr>
                <w:b/>
                <w:bCs w:val="0"/>
                <w:sz w:val="20"/>
                <w:szCs w:val="20"/>
              </w:rPr>
            </w:pPr>
          </w:p>
        </w:tc>
        <w:tc>
          <w:tcPr>
            <w:tcW w:w="1179" w:type="pct"/>
            <w:gridSpan w:val="2"/>
            <w:vAlign w:val="center"/>
          </w:tcPr>
          <w:p w14:paraId="39233F7F" w14:textId="77777777" w:rsidR="004B5A3E" w:rsidRPr="005A7226" w:rsidRDefault="004B5A3E">
            <w:pPr>
              <w:pStyle w:val="TableText0"/>
              <w:jc w:val="center"/>
              <w:rPr>
                <w:b/>
                <w:bCs w:val="0"/>
                <w:sz w:val="20"/>
                <w:szCs w:val="20"/>
              </w:rPr>
            </w:pPr>
            <w:r w:rsidRPr="005A7226">
              <w:rPr>
                <w:b/>
                <w:bCs w:val="0"/>
                <w:sz w:val="20"/>
                <w:szCs w:val="20"/>
              </w:rPr>
              <w:t>Treatments</w:t>
            </w:r>
          </w:p>
        </w:tc>
        <w:tc>
          <w:tcPr>
            <w:tcW w:w="2723" w:type="pct"/>
          </w:tcPr>
          <w:p w14:paraId="1847B9BD" w14:textId="77777777" w:rsidR="004B5A3E" w:rsidRPr="005A7226" w:rsidRDefault="004B5A3E">
            <w:pPr>
              <w:pStyle w:val="TableText0"/>
              <w:jc w:val="center"/>
              <w:rPr>
                <w:b/>
                <w:bCs w:val="0"/>
                <w:sz w:val="20"/>
                <w:szCs w:val="20"/>
              </w:rPr>
            </w:pPr>
            <w:r w:rsidRPr="005A7226">
              <w:rPr>
                <w:b/>
                <w:sz w:val="20"/>
                <w:szCs w:val="20"/>
              </w:rPr>
              <w:t>Sources</w:t>
            </w:r>
          </w:p>
        </w:tc>
      </w:tr>
      <w:tr w:rsidR="004B5A3E" w:rsidRPr="005A7226" w14:paraId="4A99CD7E" w14:textId="77777777">
        <w:trPr>
          <w:trHeight w:val="20"/>
        </w:trPr>
        <w:tc>
          <w:tcPr>
            <w:tcW w:w="1097" w:type="pct"/>
            <w:vAlign w:val="center"/>
          </w:tcPr>
          <w:p w14:paraId="1DDEBB91" w14:textId="77777777" w:rsidR="004B5A3E" w:rsidRPr="005A7226" w:rsidRDefault="004B5A3E">
            <w:pPr>
              <w:pStyle w:val="TableText0"/>
              <w:rPr>
                <w:b/>
                <w:bCs w:val="0"/>
                <w:sz w:val="20"/>
                <w:szCs w:val="20"/>
              </w:rPr>
            </w:pPr>
            <w:r w:rsidRPr="005A7226">
              <w:rPr>
                <w:b/>
                <w:sz w:val="20"/>
                <w:szCs w:val="20"/>
              </w:rPr>
              <w:t>Drug</w:t>
            </w:r>
          </w:p>
        </w:tc>
        <w:tc>
          <w:tcPr>
            <w:tcW w:w="628" w:type="pct"/>
            <w:vAlign w:val="center"/>
          </w:tcPr>
          <w:p w14:paraId="04CE6612" w14:textId="77777777" w:rsidR="004B5A3E" w:rsidRPr="005A7226" w:rsidRDefault="004B5A3E">
            <w:pPr>
              <w:pStyle w:val="TableText0"/>
              <w:jc w:val="center"/>
              <w:rPr>
                <w:b/>
                <w:sz w:val="20"/>
                <w:szCs w:val="20"/>
              </w:rPr>
            </w:pPr>
            <w:r w:rsidRPr="005A7226">
              <w:rPr>
                <w:b/>
                <w:sz w:val="20"/>
                <w:szCs w:val="20"/>
              </w:rPr>
              <w:t>Fezolinetant</w:t>
            </w:r>
          </w:p>
        </w:tc>
        <w:tc>
          <w:tcPr>
            <w:tcW w:w="551" w:type="pct"/>
            <w:vAlign w:val="center"/>
          </w:tcPr>
          <w:p w14:paraId="7D2E8372" w14:textId="77777777" w:rsidR="004B5A3E" w:rsidRPr="005A7226" w:rsidRDefault="004B5A3E">
            <w:pPr>
              <w:pStyle w:val="TableText0"/>
              <w:jc w:val="center"/>
              <w:rPr>
                <w:b/>
                <w:sz w:val="20"/>
                <w:szCs w:val="20"/>
              </w:rPr>
            </w:pPr>
            <w:r w:rsidRPr="005A7226">
              <w:rPr>
                <w:b/>
                <w:sz w:val="20"/>
                <w:szCs w:val="20"/>
              </w:rPr>
              <w:t>MHT</w:t>
            </w:r>
          </w:p>
        </w:tc>
        <w:tc>
          <w:tcPr>
            <w:tcW w:w="2723" w:type="pct"/>
          </w:tcPr>
          <w:p w14:paraId="7C75B47B" w14:textId="77777777" w:rsidR="004B5A3E" w:rsidRPr="005A7226" w:rsidRDefault="004B5A3E">
            <w:pPr>
              <w:pStyle w:val="TableText0"/>
              <w:rPr>
                <w:sz w:val="20"/>
                <w:szCs w:val="20"/>
              </w:rPr>
            </w:pPr>
            <w:r w:rsidRPr="005A7226">
              <w:rPr>
                <w:sz w:val="20"/>
                <w:szCs w:val="20"/>
              </w:rPr>
              <w:t>Respective components</w:t>
            </w:r>
          </w:p>
        </w:tc>
      </w:tr>
      <w:tr w:rsidR="004B5A3E" w:rsidRPr="005A7226" w14:paraId="07CAEB44" w14:textId="77777777">
        <w:trPr>
          <w:trHeight w:val="20"/>
        </w:trPr>
        <w:tc>
          <w:tcPr>
            <w:tcW w:w="1097" w:type="pct"/>
            <w:vAlign w:val="center"/>
          </w:tcPr>
          <w:p w14:paraId="096D2987" w14:textId="77777777" w:rsidR="004B5A3E" w:rsidRPr="005A7226" w:rsidRDefault="004B5A3E">
            <w:pPr>
              <w:pStyle w:val="TableText0"/>
              <w:rPr>
                <w:sz w:val="20"/>
                <w:szCs w:val="20"/>
              </w:rPr>
            </w:pPr>
            <w:r w:rsidRPr="005A7226">
              <w:rPr>
                <w:sz w:val="20"/>
                <w:szCs w:val="20"/>
              </w:rPr>
              <w:t>Daily dose (mg)</w:t>
            </w:r>
          </w:p>
        </w:tc>
        <w:tc>
          <w:tcPr>
            <w:tcW w:w="628" w:type="pct"/>
            <w:vAlign w:val="center"/>
          </w:tcPr>
          <w:p w14:paraId="3BDECFD9" w14:textId="77777777" w:rsidR="004B5A3E" w:rsidRPr="005A7226" w:rsidRDefault="004B5A3E">
            <w:pPr>
              <w:pStyle w:val="TableText0"/>
              <w:jc w:val="center"/>
              <w:rPr>
                <w:sz w:val="20"/>
                <w:szCs w:val="20"/>
              </w:rPr>
            </w:pPr>
            <w:r w:rsidRPr="005A7226">
              <w:rPr>
                <w:sz w:val="20"/>
                <w:szCs w:val="20"/>
              </w:rPr>
              <w:t>45</w:t>
            </w:r>
          </w:p>
        </w:tc>
        <w:tc>
          <w:tcPr>
            <w:tcW w:w="551" w:type="pct"/>
            <w:vAlign w:val="center"/>
          </w:tcPr>
          <w:p w14:paraId="6DD88D53" w14:textId="77777777" w:rsidR="004B5A3E" w:rsidRPr="005A7226" w:rsidRDefault="004B5A3E">
            <w:pPr>
              <w:pStyle w:val="TableText0"/>
              <w:jc w:val="center"/>
              <w:rPr>
                <w:sz w:val="20"/>
                <w:szCs w:val="20"/>
              </w:rPr>
            </w:pPr>
            <w:r w:rsidRPr="005A7226">
              <w:rPr>
                <w:sz w:val="20"/>
                <w:szCs w:val="20"/>
              </w:rPr>
              <w:t>Varies</w:t>
            </w:r>
          </w:p>
        </w:tc>
        <w:tc>
          <w:tcPr>
            <w:tcW w:w="2723" w:type="pct"/>
          </w:tcPr>
          <w:p w14:paraId="27B28CA9" w14:textId="77777777" w:rsidR="004B5A3E" w:rsidRPr="005A7226" w:rsidRDefault="004B5A3E">
            <w:pPr>
              <w:pStyle w:val="TableText0"/>
              <w:rPr>
                <w:sz w:val="20"/>
                <w:szCs w:val="20"/>
              </w:rPr>
            </w:pPr>
            <w:r w:rsidRPr="005A7226">
              <w:rPr>
                <w:sz w:val="20"/>
                <w:szCs w:val="20"/>
              </w:rPr>
              <w:t>Respective PI</w:t>
            </w:r>
          </w:p>
        </w:tc>
      </w:tr>
      <w:tr w:rsidR="004B5A3E" w:rsidRPr="005A7226" w14:paraId="121B06FA" w14:textId="77777777">
        <w:trPr>
          <w:trHeight w:val="20"/>
        </w:trPr>
        <w:tc>
          <w:tcPr>
            <w:tcW w:w="1097" w:type="pct"/>
            <w:vAlign w:val="center"/>
          </w:tcPr>
          <w:p w14:paraId="0EB04834" w14:textId="77777777" w:rsidR="004B5A3E" w:rsidRPr="005A7226" w:rsidRDefault="004B5A3E">
            <w:pPr>
              <w:pStyle w:val="TableText0"/>
              <w:rPr>
                <w:sz w:val="20"/>
                <w:szCs w:val="20"/>
              </w:rPr>
            </w:pPr>
            <w:r w:rsidRPr="005A7226">
              <w:rPr>
                <w:sz w:val="20"/>
                <w:szCs w:val="20"/>
              </w:rPr>
              <w:t>Treatment duration (days)</w:t>
            </w:r>
          </w:p>
        </w:tc>
        <w:tc>
          <w:tcPr>
            <w:tcW w:w="628" w:type="pct"/>
            <w:vAlign w:val="center"/>
          </w:tcPr>
          <w:p w14:paraId="1BCEA4B8" w14:textId="77777777" w:rsidR="004B5A3E" w:rsidRPr="005A7226" w:rsidRDefault="004B5A3E">
            <w:pPr>
              <w:pStyle w:val="TableText0"/>
              <w:jc w:val="center"/>
              <w:rPr>
                <w:sz w:val="20"/>
                <w:szCs w:val="20"/>
              </w:rPr>
            </w:pPr>
            <w:r w:rsidRPr="005A7226">
              <w:rPr>
                <w:sz w:val="20"/>
                <w:szCs w:val="20"/>
              </w:rPr>
              <w:t>One month</w:t>
            </w:r>
          </w:p>
        </w:tc>
        <w:tc>
          <w:tcPr>
            <w:tcW w:w="551" w:type="pct"/>
            <w:vAlign w:val="center"/>
          </w:tcPr>
          <w:p w14:paraId="6191F8AA" w14:textId="77777777" w:rsidR="004B5A3E" w:rsidRPr="005A7226" w:rsidRDefault="004B5A3E">
            <w:pPr>
              <w:pStyle w:val="TableText0"/>
              <w:jc w:val="center"/>
              <w:rPr>
                <w:sz w:val="20"/>
                <w:szCs w:val="20"/>
              </w:rPr>
            </w:pPr>
            <w:r w:rsidRPr="005A7226">
              <w:rPr>
                <w:sz w:val="20"/>
                <w:szCs w:val="20"/>
              </w:rPr>
              <w:t>One month</w:t>
            </w:r>
          </w:p>
        </w:tc>
        <w:tc>
          <w:tcPr>
            <w:tcW w:w="2723" w:type="pct"/>
          </w:tcPr>
          <w:p w14:paraId="37FD7916" w14:textId="77777777" w:rsidR="004B5A3E" w:rsidRPr="005A7226" w:rsidRDefault="004B5A3E">
            <w:pPr>
              <w:pStyle w:val="TableText0"/>
              <w:rPr>
                <w:sz w:val="20"/>
                <w:szCs w:val="20"/>
              </w:rPr>
            </w:pPr>
            <w:r w:rsidRPr="005A7226">
              <w:rPr>
                <w:sz w:val="20"/>
                <w:szCs w:val="20"/>
              </w:rPr>
              <w:t>Assumption, DPMQ-length</w:t>
            </w:r>
          </w:p>
        </w:tc>
      </w:tr>
      <w:tr w:rsidR="004B5A3E" w:rsidRPr="005A7226" w14:paraId="6812F5FD" w14:textId="77777777">
        <w:trPr>
          <w:trHeight w:val="20"/>
        </w:trPr>
        <w:tc>
          <w:tcPr>
            <w:tcW w:w="1097" w:type="pct"/>
            <w:vAlign w:val="center"/>
          </w:tcPr>
          <w:p w14:paraId="31E77153" w14:textId="77777777" w:rsidR="004B5A3E" w:rsidRPr="005A7226" w:rsidRDefault="004B5A3E">
            <w:pPr>
              <w:pStyle w:val="TableText0"/>
              <w:rPr>
                <w:sz w:val="20"/>
                <w:szCs w:val="20"/>
              </w:rPr>
            </w:pPr>
            <w:r w:rsidRPr="005A7226">
              <w:rPr>
                <w:sz w:val="20"/>
                <w:szCs w:val="20"/>
              </w:rPr>
              <w:t>DPMQ per pack</w:t>
            </w:r>
          </w:p>
        </w:tc>
        <w:tc>
          <w:tcPr>
            <w:tcW w:w="628" w:type="pct"/>
            <w:vAlign w:val="center"/>
          </w:tcPr>
          <w:p w14:paraId="16F34217" w14:textId="7E1AD998" w:rsidR="004B5A3E" w:rsidRPr="005A7226" w:rsidRDefault="004B5A3E">
            <w:pPr>
              <w:pStyle w:val="TableText0"/>
              <w:jc w:val="center"/>
              <w:rPr>
                <w:sz w:val="20"/>
                <w:szCs w:val="20"/>
              </w:rPr>
            </w:pPr>
            <w:r w:rsidRPr="005A7226">
              <w:rPr>
                <w:sz w:val="20"/>
                <w:szCs w:val="20"/>
              </w:rPr>
              <w:t>$</w:t>
            </w:r>
            <w:r w:rsidR="00CF6E6B" w:rsidRPr="00CF6E6B">
              <w:rPr>
                <w:rFonts w:hint="eastAsia"/>
                <w:color w:val="000000"/>
                <w:w w:val="15"/>
                <w:sz w:val="20"/>
                <w:szCs w:val="20"/>
                <w:shd w:val="solid" w:color="000000" w:fill="000000"/>
                <w:fitText w:val="60" w:id="-694454782"/>
                <w14:textFill>
                  <w14:solidFill>
                    <w14:srgbClr w14:val="000000">
                      <w14:alpha w14:val="100000"/>
                    </w14:srgbClr>
                  </w14:solidFill>
                </w14:textFill>
              </w:rPr>
              <w:t xml:space="preserve">　</w:t>
            </w:r>
            <w:r w:rsidR="00CF6E6B" w:rsidRPr="00CF6E6B">
              <w:rPr>
                <w:color w:val="000000"/>
                <w:w w:val="15"/>
                <w:sz w:val="20"/>
                <w:szCs w:val="20"/>
                <w:shd w:val="solid" w:color="000000" w:fill="000000"/>
                <w:fitText w:val="60" w:id="-694454782"/>
                <w14:textFill>
                  <w14:solidFill>
                    <w14:srgbClr w14:val="000000">
                      <w14:alpha w14:val="100000"/>
                    </w14:srgbClr>
                  </w14:solidFill>
                </w14:textFill>
              </w:rPr>
              <w:t>|</w:t>
            </w:r>
            <w:r w:rsidR="00CF6E6B" w:rsidRPr="00CF6E6B">
              <w:rPr>
                <w:rFonts w:hint="eastAsia"/>
                <w:color w:val="000000"/>
                <w:w w:val="15"/>
                <w:sz w:val="20"/>
                <w:szCs w:val="20"/>
                <w:shd w:val="solid" w:color="000000" w:fill="000000"/>
                <w:fitText w:val="60" w:id="-694454782"/>
                <w14:textFill>
                  <w14:solidFill>
                    <w14:srgbClr w14:val="000000">
                      <w14:alpha w14:val="100000"/>
                    </w14:srgbClr>
                  </w14:solidFill>
                </w14:textFill>
              </w:rPr>
              <w:t xml:space="preserve">　</w:t>
            </w:r>
          </w:p>
        </w:tc>
        <w:tc>
          <w:tcPr>
            <w:tcW w:w="551" w:type="pct"/>
            <w:vAlign w:val="center"/>
          </w:tcPr>
          <w:p w14:paraId="0D3B2408" w14:textId="77777777" w:rsidR="004B5A3E" w:rsidRPr="005A7226" w:rsidRDefault="004B5A3E">
            <w:pPr>
              <w:pStyle w:val="TableText0"/>
              <w:jc w:val="center"/>
              <w:rPr>
                <w:sz w:val="20"/>
                <w:szCs w:val="20"/>
              </w:rPr>
            </w:pPr>
            <w:r w:rsidRPr="005A7226">
              <w:rPr>
                <w:sz w:val="20"/>
                <w:szCs w:val="20"/>
              </w:rPr>
              <w:t>$29.56</w:t>
            </w:r>
          </w:p>
        </w:tc>
        <w:tc>
          <w:tcPr>
            <w:tcW w:w="2723" w:type="pct"/>
          </w:tcPr>
          <w:p w14:paraId="30E1F8CF" w14:textId="77777777" w:rsidR="004B5A3E" w:rsidRPr="005A7226" w:rsidRDefault="004B5A3E">
            <w:pPr>
              <w:pStyle w:val="TableText0"/>
              <w:rPr>
                <w:sz w:val="20"/>
                <w:szCs w:val="20"/>
              </w:rPr>
            </w:pPr>
            <w:r w:rsidRPr="005A7226">
              <w:rPr>
                <w:sz w:val="20"/>
                <w:szCs w:val="20"/>
              </w:rPr>
              <w:t>Fezolinetant: sponsor, MHT: calculated as a weighted average</w:t>
            </w:r>
          </w:p>
        </w:tc>
      </w:tr>
    </w:tbl>
    <w:p w14:paraId="3A73CE1E" w14:textId="77777777" w:rsidR="004B5A3E" w:rsidRPr="005A7226" w:rsidRDefault="004B5A3E" w:rsidP="004B5A3E">
      <w:pPr>
        <w:pStyle w:val="TableFigureFooter"/>
        <w:rPr>
          <w:rFonts w:eastAsiaTheme="minorEastAsia"/>
        </w:rPr>
      </w:pPr>
      <w:r w:rsidRPr="005A7226">
        <w:rPr>
          <w:rFonts w:eastAsiaTheme="minorEastAsia"/>
        </w:rPr>
        <w:t>Source: Compiled during the evaluation.</w:t>
      </w:r>
    </w:p>
    <w:p w14:paraId="07B71B43" w14:textId="77777777" w:rsidR="004B5A3E" w:rsidRPr="005A7226" w:rsidRDefault="004B5A3E" w:rsidP="004B5A3E">
      <w:pPr>
        <w:pStyle w:val="TableFigureFooter"/>
        <w:rPr>
          <w:rFonts w:eastAsiaTheme="minorEastAsia"/>
          <w:i/>
          <w:iCs/>
        </w:rPr>
      </w:pPr>
      <w:r w:rsidRPr="005A7226">
        <w:t>MHT=Menopausal hormone therapy</w:t>
      </w:r>
    </w:p>
    <w:p w14:paraId="169D7BF6" w14:textId="4A61BBA0" w:rsidR="004B5A3E" w:rsidRPr="005A7226" w:rsidRDefault="004B5A3E" w:rsidP="004B5A3E">
      <w:pPr>
        <w:widowControl w:val="0"/>
        <w:numPr>
          <w:ilvl w:val="1"/>
          <w:numId w:val="1"/>
        </w:numPr>
        <w:spacing w:after="120"/>
        <w:ind w:left="720"/>
        <w:rPr>
          <w:i/>
          <w:iCs/>
        </w:rPr>
      </w:pPr>
      <w:r w:rsidRPr="005A7226">
        <w:t xml:space="preserve">The CMA, assuming comparable efficacy and safety between fezolinetant and MHTs, found that the weighted average DPMQ of MHTs (providing roughly 30 days of treatment at approximately $29.56) was </w:t>
      </w:r>
      <w:r w:rsidR="00CF6E6B" w:rsidRPr="00B11DA2">
        <w:rPr>
          <w:color w:val="000000"/>
          <w:w w:val="15"/>
          <w:shd w:val="solid" w:color="000000" w:fill="000000"/>
          <w:fitText w:val="-20" w:id="-694454781"/>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81"/>
          <w14:textFill>
            <w14:solidFill>
              <w14:srgbClr w14:val="000000">
                <w14:alpha w14:val="100000"/>
              </w14:srgbClr>
            </w14:solidFill>
          </w14:textFill>
        </w:rPr>
        <w:t>|</w:t>
      </w:r>
      <w:r w:rsidRPr="005A7226">
        <w:t>% lower than that requested for fezolinetant ($</w:t>
      </w:r>
      <w:r w:rsidR="00CF6E6B" w:rsidRPr="00B11DA2">
        <w:rPr>
          <w:color w:val="000000"/>
          <w:w w:val="15"/>
          <w:shd w:val="solid" w:color="000000" w:fill="000000"/>
          <w:fitText w:val="-20" w:id="-694454780"/>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80"/>
          <w14:textFill>
            <w14:solidFill>
              <w14:srgbClr w14:val="000000">
                <w14:alpha w14:val="100000"/>
              </w14:srgbClr>
            </w14:solidFill>
          </w14:textFill>
        </w:rPr>
        <w:t>|</w:t>
      </w:r>
      <w:r w:rsidRPr="005A7226">
        <w:t xml:space="preserve">). Additionally, the proposed DPMQ for fezolinetant was </w:t>
      </w:r>
      <w:r w:rsidR="00CF6E6B" w:rsidRPr="00B11DA2">
        <w:rPr>
          <w:color w:val="000000"/>
          <w:w w:val="15"/>
          <w:shd w:val="solid" w:color="000000" w:fill="000000"/>
          <w:fitText w:val="-20" w:id="-694454779"/>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779"/>
          <w14:textFill>
            <w14:solidFill>
              <w14:srgbClr w14:val="000000">
                <w14:alpha w14:val="100000"/>
              </w14:srgbClr>
            </w14:solidFill>
          </w14:textFill>
        </w:rPr>
        <w:t>|</w:t>
      </w:r>
      <w:r w:rsidRPr="005A7226">
        <w:t xml:space="preserve">% higher than the most expensive MHTs included in the analysis (i.e., </w:t>
      </w:r>
      <w:proofErr w:type="spellStart"/>
      <w:r w:rsidRPr="005A7226">
        <w:t>estradiol</w:t>
      </w:r>
      <w:proofErr w:type="spellEnd"/>
      <w:r w:rsidRPr="005A7226">
        <w:t xml:space="preserve"> 50 microgram/24 hours </w:t>
      </w:r>
      <w:r w:rsidRPr="00372CA3">
        <w:t xml:space="preserve">patch [4] (&amp;) </w:t>
      </w:r>
      <w:proofErr w:type="spellStart"/>
      <w:r w:rsidRPr="00372CA3">
        <w:t>estradiol</w:t>
      </w:r>
      <w:proofErr w:type="spellEnd"/>
      <w:r w:rsidRPr="00372CA3">
        <w:t xml:space="preserve"> 50 microgram/24 hours + norethisterone acetate 250 microgram/24 hours patch [4], with a DPMQ of $43.29). </w:t>
      </w:r>
    </w:p>
    <w:p w14:paraId="65ADDE2D" w14:textId="3C2AD8A5" w:rsidR="00563EC5" w:rsidRPr="00EF34D2" w:rsidRDefault="00563EC5" w:rsidP="00D93EDF">
      <w:pPr>
        <w:pStyle w:val="4-SubsectionHeading"/>
        <w:rPr>
          <w:iCs/>
        </w:rPr>
      </w:pPr>
      <w:bookmarkStart w:id="68" w:name="_Toc22897646"/>
      <w:bookmarkStart w:id="69" w:name="_Toc188442568"/>
      <w:bookmarkEnd w:id="51"/>
      <w:bookmarkEnd w:id="52"/>
      <w:bookmarkEnd w:id="53"/>
      <w:bookmarkEnd w:id="54"/>
      <w:r w:rsidRPr="00EF34D2">
        <w:rPr>
          <w:iCs/>
        </w:rPr>
        <w:t>Drug cost/patient/year</w:t>
      </w:r>
      <w:bookmarkEnd w:id="68"/>
      <w:bookmarkEnd w:id="69"/>
    </w:p>
    <w:p w14:paraId="6C070E4B" w14:textId="59415AB4" w:rsidR="00563EC5" w:rsidRPr="00EF34D2" w:rsidRDefault="00563EC5" w:rsidP="003E1641">
      <w:pPr>
        <w:widowControl w:val="0"/>
        <w:numPr>
          <w:ilvl w:val="1"/>
          <w:numId w:val="1"/>
        </w:numPr>
        <w:spacing w:after="120"/>
        <w:ind w:left="720"/>
        <w:rPr>
          <w:i/>
          <w:iCs/>
        </w:rPr>
      </w:pPr>
      <w:r w:rsidRPr="00EF34D2">
        <w:fldChar w:fldCharType="begin"/>
      </w:r>
      <w:r w:rsidRPr="00EF34D2">
        <w:instrText xml:space="preserve"> REF _Ref184305764 \h </w:instrText>
      </w:r>
      <w:r w:rsidR="00EF34D2">
        <w:instrText xml:space="preserve"> \* MERGEFORMAT </w:instrText>
      </w:r>
      <w:r w:rsidRPr="00EF34D2">
        <w:fldChar w:fldCharType="separate"/>
      </w:r>
      <w:r w:rsidR="00B11DA2" w:rsidRPr="005A7226">
        <w:t xml:space="preserve">Table </w:t>
      </w:r>
      <w:r w:rsidR="00B11DA2">
        <w:t>18</w:t>
      </w:r>
      <w:r w:rsidRPr="00EF34D2">
        <w:fldChar w:fldCharType="end"/>
      </w:r>
      <w:r w:rsidR="53F95D70" w:rsidRPr="00EF34D2">
        <w:t xml:space="preserve"> </w:t>
      </w:r>
      <w:r w:rsidR="53F95D70" w:rsidRPr="003E1641">
        <w:rPr>
          <w:rFonts w:asciiTheme="minorHAnsi" w:hAnsiTheme="minorHAnsi"/>
          <w:snapToGrid w:val="0"/>
          <w:szCs w:val="20"/>
        </w:rPr>
        <w:t>outlines</w:t>
      </w:r>
      <w:r w:rsidR="53F95D70" w:rsidRPr="00EF34D2">
        <w:t xml:space="preserve"> the drug cost per patient for fezolinetant across the model and the financial estimates.</w:t>
      </w:r>
    </w:p>
    <w:p w14:paraId="65BC4F07" w14:textId="113A558B" w:rsidR="00563EC5" w:rsidRPr="005A7226" w:rsidRDefault="53F95D70" w:rsidP="009C7CA5">
      <w:pPr>
        <w:pStyle w:val="Caption"/>
        <w:rPr>
          <w:rStyle w:val="CommentReference"/>
          <w:b/>
        </w:rPr>
      </w:pPr>
      <w:bookmarkStart w:id="70" w:name="_Ref184305764"/>
      <w:r w:rsidRPr="005A7226">
        <w:t xml:space="preserve">Table </w:t>
      </w:r>
      <w:r w:rsidR="004A6B36">
        <w:fldChar w:fldCharType="begin"/>
      </w:r>
      <w:r w:rsidR="004A6B36">
        <w:instrText xml:space="preserve"> SEQ Table \* ARABIC </w:instrText>
      </w:r>
      <w:r w:rsidR="004A6B36">
        <w:fldChar w:fldCharType="separate"/>
      </w:r>
      <w:r w:rsidR="00B11DA2">
        <w:rPr>
          <w:noProof/>
        </w:rPr>
        <w:t>18</w:t>
      </w:r>
      <w:r w:rsidR="004A6B36">
        <w:rPr>
          <w:noProof/>
        </w:rPr>
        <w:fldChar w:fldCharType="end"/>
      </w:r>
      <w:bookmarkEnd w:id="70"/>
      <w:r w:rsidRPr="005A7226">
        <w:t>:</w:t>
      </w:r>
      <w:r w:rsidRPr="005A7226">
        <w:rPr>
          <w:rStyle w:val="CommentReference"/>
          <w:b/>
        </w:rPr>
        <w:t xml:space="preserve"> Drug cost per patient for </w:t>
      </w:r>
      <w:r w:rsidR="008E3608" w:rsidRPr="005A7226">
        <w:rPr>
          <w:rStyle w:val="CommentReference"/>
          <w:b/>
        </w:rPr>
        <w:t>fezolinetant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Drug cost per patient for fezolinetant"/>
      </w:tblPr>
      <w:tblGrid>
        <w:gridCol w:w="2123"/>
        <w:gridCol w:w="1984"/>
        <w:gridCol w:w="2979"/>
        <w:gridCol w:w="1931"/>
      </w:tblGrid>
      <w:tr w:rsidR="00563EC5" w:rsidRPr="005A7226" w14:paraId="15963EFE" w14:textId="77777777" w:rsidTr="005C62F2">
        <w:trPr>
          <w:cantSplit/>
          <w:tblHeader/>
          <w:jc w:val="center"/>
        </w:trPr>
        <w:tc>
          <w:tcPr>
            <w:tcW w:w="1177" w:type="pct"/>
            <w:shd w:val="clear" w:color="auto" w:fill="auto"/>
            <w:vAlign w:val="center"/>
          </w:tcPr>
          <w:p w14:paraId="04309C15" w14:textId="77777777" w:rsidR="00563EC5" w:rsidRPr="005A7226" w:rsidRDefault="00563EC5" w:rsidP="009C7CA5">
            <w:pPr>
              <w:pStyle w:val="In-tableHeading"/>
              <w:keepLines/>
              <w:rPr>
                <w:lang w:val="en-AU"/>
              </w:rPr>
            </w:pPr>
            <w:r w:rsidRPr="005A7226">
              <w:rPr>
                <w:lang w:val="en-AU"/>
              </w:rPr>
              <w:t xml:space="preserve">Treatment </w:t>
            </w:r>
            <w:r w:rsidRPr="005A7226">
              <w:rPr>
                <w:vertAlign w:val="superscript"/>
                <w:lang w:val="en-AU"/>
              </w:rPr>
              <w:t xml:space="preserve">a </w:t>
            </w:r>
          </w:p>
        </w:tc>
        <w:tc>
          <w:tcPr>
            <w:tcW w:w="1100" w:type="pct"/>
            <w:shd w:val="clear" w:color="auto" w:fill="auto"/>
            <w:vAlign w:val="center"/>
          </w:tcPr>
          <w:p w14:paraId="57E0919E" w14:textId="77777777" w:rsidR="00563EC5" w:rsidRPr="005A7226" w:rsidRDefault="00563EC5" w:rsidP="009C7CA5">
            <w:pPr>
              <w:pStyle w:val="In-tableHeading"/>
              <w:keepLines/>
              <w:jc w:val="center"/>
              <w:rPr>
                <w:lang w:val="en-AU"/>
              </w:rPr>
            </w:pPr>
            <w:r w:rsidRPr="005A7226">
              <w:rPr>
                <w:lang w:val="en-AU"/>
              </w:rPr>
              <w:t>Fezolinetant, trial dose and duration</w:t>
            </w:r>
          </w:p>
        </w:tc>
        <w:tc>
          <w:tcPr>
            <w:tcW w:w="1652" w:type="pct"/>
            <w:shd w:val="clear" w:color="auto" w:fill="auto"/>
            <w:vAlign w:val="center"/>
          </w:tcPr>
          <w:p w14:paraId="5D3F38E2" w14:textId="77777777" w:rsidR="00563EC5" w:rsidRPr="005A7226" w:rsidRDefault="00563EC5" w:rsidP="009C7CA5">
            <w:pPr>
              <w:pStyle w:val="In-tableHeading"/>
              <w:keepLines/>
              <w:jc w:val="center"/>
              <w:rPr>
                <w:lang w:val="en-AU"/>
              </w:rPr>
            </w:pPr>
            <w:r w:rsidRPr="005A7226">
              <w:rPr>
                <w:lang w:val="en-AU"/>
              </w:rPr>
              <w:t>Fezolinetant, model</w:t>
            </w:r>
          </w:p>
        </w:tc>
        <w:tc>
          <w:tcPr>
            <w:tcW w:w="1071" w:type="pct"/>
            <w:shd w:val="clear" w:color="auto" w:fill="auto"/>
            <w:vAlign w:val="center"/>
          </w:tcPr>
          <w:p w14:paraId="5D7611D0" w14:textId="77777777" w:rsidR="00563EC5" w:rsidRPr="005A7226" w:rsidRDefault="00563EC5" w:rsidP="009C7CA5">
            <w:pPr>
              <w:pStyle w:val="In-tableHeading"/>
              <w:keepLines/>
              <w:jc w:val="center"/>
              <w:rPr>
                <w:lang w:val="en-AU"/>
              </w:rPr>
            </w:pPr>
            <w:r w:rsidRPr="005A7226">
              <w:rPr>
                <w:lang w:val="en-AU"/>
              </w:rPr>
              <w:t>Fezolinetant, financial estimates</w:t>
            </w:r>
          </w:p>
        </w:tc>
      </w:tr>
      <w:tr w:rsidR="00563EC5" w:rsidRPr="005A7226" w14:paraId="128A2AA5" w14:textId="77777777" w:rsidTr="005C62F2">
        <w:trPr>
          <w:cantSplit/>
          <w:jc w:val="center"/>
        </w:trPr>
        <w:tc>
          <w:tcPr>
            <w:tcW w:w="1177" w:type="pct"/>
            <w:shd w:val="clear" w:color="auto" w:fill="auto"/>
            <w:vAlign w:val="center"/>
          </w:tcPr>
          <w:p w14:paraId="3FFB555D" w14:textId="77777777" w:rsidR="00563EC5" w:rsidRPr="005A7226" w:rsidRDefault="00563EC5" w:rsidP="009C7CA5">
            <w:pPr>
              <w:pStyle w:val="TableText0"/>
              <w:keepLines/>
            </w:pPr>
            <w:r w:rsidRPr="005A7226">
              <w:t>Mean dose</w:t>
            </w:r>
          </w:p>
        </w:tc>
        <w:tc>
          <w:tcPr>
            <w:tcW w:w="1100" w:type="pct"/>
            <w:shd w:val="clear" w:color="auto" w:fill="auto"/>
            <w:vAlign w:val="center"/>
          </w:tcPr>
          <w:p w14:paraId="2806A861" w14:textId="77777777" w:rsidR="00563EC5" w:rsidRPr="005A7226" w:rsidRDefault="00563EC5" w:rsidP="009C7CA5">
            <w:pPr>
              <w:pStyle w:val="TableText0"/>
              <w:keepLines/>
              <w:jc w:val="center"/>
              <w:rPr>
                <w:bCs w:val="0"/>
              </w:rPr>
            </w:pPr>
            <w:r w:rsidRPr="005A7226">
              <w:rPr>
                <w:bCs w:val="0"/>
              </w:rPr>
              <w:t>45 mg/day</w:t>
            </w:r>
          </w:p>
        </w:tc>
        <w:tc>
          <w:tcPr>
            <w:tcW w:w="1652" w:type="pct"/>
            <w:shd w:val="clear" w:color="auto" w:fill="auto"/>
            <w:vAlign w:val="center"/>
          </w:tcPr>
          <w:p w14:paraId="227651AE" w14:textId="77777777" w:rsidR="00563EC5" w:rsidRPr="005A7226" w:rsidRDefault="00563EC5" w:rsidP="009C7CA5">
            <w:pPr>
              <w:pStyle w:val="TableText0"/>
              <w:keepLines/>
              <w:jc w:val="center"/>
              <w:rPr>
                <w:bCs w:val="0"/>
              </w:rPr>
            </w:pPr>
            <w:r w:rsidRPr="005A7226">
              <w:rPr>
                <w:bCs w:val="0"/>
              </w:rPr>
              <w:t>45 mg/day</w:t>
            </w:r>
          </w:p>
        </w:tc>
        <w:tc>
          <w:tcPr>
            <w:tcW w:w="1071" w:type="pct"/>
            <w:shd w:val="clear" w:color="auto" w:fill="auto"/>
            <w:vAlign w:val="center"/>
          </w:tcPr>
          <w:p w14:paraId="30283BC8" w14:textId="77777777" w:rsidR="00563EC5" w:rsidRPr="005A7226" w:rsidRDefault="00563EC5" w:rsidP="009C7CA5">
            <w:pPr>
              <w:pStyle w:val="TableText0"/>
              <w:keepLines/>
              <w:jc w:val="center"/>
              <w:rPr>
                <w:bCs w:val="0"/>
              </w:rPr>
            </w:pPr>
            <w:r w:rsidRPr="005A7226">
              <w:rPr>
                <w:bCs w:val="0"/>
              </w:rPr>
              <w:t>45 mg/day</w:t>
            </w:r>
          </w:p>
        </w:tc>
      </w:tr>
      <w:tr w:rsidR="00563EC5" w:rsidRPr="005A7226" w14:paraId="10F304FD" w14:textId="77777777" w:rsidTr="005C62F2">
        <w:trPr>
          <w:cantSplit/>
          <w:jc w:val="center"/>
        </w:trPr>
        <w:tc>
          <w:tcPr>
            <w:tcW w:w="1177" w:type="pct"/>
            <w:shd w:val="clear" w:color="auto" w:fill="auto"/>
            <w:vAlign w:val="center"/>
          </w:tcPr>
          <w:p w14:paraId="5992BE40" w14:textId="77777777" w:rsidR="00563EC5" w:rsidRPr="005A7226" w:rsidRDefault="00563EC5" w:rsidP="009C7CA5">
            <w:pPr>
              <w:pStyle w:val="TableText0"/>
              <w:keepLines/>
            </w:pPr>
            <w:r w:rsidRPr="005A7226">
              <w:t>Mean duration</w:t>
            </w:r>
          </w:p>
        </w:tc>
        <w:tc>
          <w:tcPr>
            <w:tcW w:w="1100" w:type="pct"/>
            <w:shd w:val="clear" w:color="auto" w:fill="auto"/>
            <w:vAlign w:val="center"/>
          </w:tcPr>
          <w:p w14:paraId="6D9993EF" w14:textId="77777777" w:rsidR="00563EC5" w:rsidRPr="005A7226" w:rsidRDefault="00563EC5" w:rsidP="009C7CA5">
            <w:pPr>
              <w:pStyle w:val="TableText0"/>
              <w:keepLines/>
              <w:jc w:val="center"/>
              <w:rPr>
                <w:bCs w:val="0"/>
              </w:rPr>
            </w:pPr>
            <w:r w:rsidRPr="005A7226">
              <w:rPr>
                <w:color w:val="222222"/>
                <w:szCs w:val="20"/>
              </w:rPr>
              <w:t xml:space="preserve">157.4 days (5.2 months) </w:t>
            </w:r>
            <w:r w:rsidRPr="005A7226">
              <w:rPr>
                <w:color w:val="222222"/>
                <w:szCs w:val="20"/>
                <w:vertAlign w:val="superscript"/>
              </w:rPr>
              <w:t>b</w:t>
            </w:r>
          </w:p>
        </w:tc>
        <w:tc>
          <w:tcPr>
            <w:tcW w:w="1652" w:type="pct"/>
            <w:shd w:val="clear" w:color="auto" w:fill="auto"/>
            <w:vAlign w:val="center"/>
          </w:tcPr>
          <w:p w14:paraId="00C37497" w14:textId="429FC81E" w:rsidR="005C62F2" w:rsidRPr="005A7226" w:rsidRDefault="005C62F2" w:rsidP="009C7CA5">
            <w:pPr>
              <w:pStyle w:val="TableText0"/>
              <w:keepLines/>
              <w:jc w:val="center"/>
              <w:rPr>
                <w:color w:val="222222"/>
                <w:szCs w:val="20"/>
              </w:rPr>
            </w:pPr>
            <w:r w:rsidRPr="005A7226">
              <w:rPr>
                <w:color w:val="222222"/>
                <w:szCs w:val="20"/>
              </w:rPr>
              <w:t xml:space="preserve">803.0 days (26.4 months) </w:t>
            </w:r>
            <w:r w:rsidRPr="005A7226">
              <w:rPr>
                <w:color w:val="222222"/>
                <w:szCs w:val="20"/>
                <w:vertAlign w:val="superscript"/>
              </w:rPr>
              <w:t>c</w:t>
            </w:r>
            <w:r w:rsidRPr="005A7226">
              <w:rPr>
                <w:color w:val="222222"/>
                <w:szCs w:val="20"/>
              </w:rPr>
              <w:t xml:space="preserve"> </w:t>
            </w:r>
          </w:p>
          <w:p w14:paraId="37CD2D3D" w14:textId="1A9ED091" w:rsidR="00563EC5" w:rsidRPr="005A7226" w:rsidRDefault="005C62F2" w:rsidP="009C7CA5">
            <w:pPr>
              <w:pStyle w:val="TableText0"/>
              <w:keepLines/>
              <w:jc w:val="center"/>
              <w:rPr>
                <w:color w:val="222222"/>
                <w:szCs w:val="20"/>
              </w:rPr>
            </w:pPr>
            <w:r w:rsidRPr="005A7226">
              <w:rPr>
                <w:color w:val="222222"/>
                <w:szCs w:val="20"/>
              </w:rPr>
              <w:t xml:space="preserve">(Median: </w:t>
            </w:r>
            <w:r w:rsidR="00563EC5" w:rsidRPr="005A7226">
              <w:rPr>
                <w:color w:val="222222"/>
                <w:szCs w:val="20"/>
              </w:rPr>
              <w:t>866.9 days (28.5 months)</w:t>
            </w:r>
            <w:r w:rsidRPr="005A7226">
              <w:rPr>
                <w:color w:val="222222"/>
                <w:szCs w:val="20"/>
              </w:rPr>
              <w:t xml:space="preserve">) </w:t>
            </w:r>
          </w:p>
        </w:tc>
        <w:tc>
          <w:tcPr>
            <w:tcW w:w="1071" w:type="pct"/>
            <w:shd w:val="clear" w:color="auto" w:fill="auto"/>
            <w:vAlign w:val="center"/>
          </w:tcPr>
          <w:p w14:paraId="554D48E9" w14:textId="04AB122A" w:rsidR="00563EC5" w:rsidRPr="005A7226" w:rsidRDefault="00930C66" w:rsidP="009C7CA5">
            <w:pPr>
              <w:pStyle w:val="TableText0"/>
              <w:keepLines/>
              <w:jc w:val="center"/>
              <w:rPr>
                <w:color w:val="222222"/>
              </w:rPr>
            </w:pPr>
            <w:r w:rsidRPr="005A7226">
              <w:rPr>
                <w:color w:val="222222"/>
              </w:rPr>
              <w:t>NR</w:t>
            </w:r>
            <w:r w:rsidR="00AC3A75" w:rsidRPr="005A7226">
              <w:rPr>
                <w:color w:val="222222"/>
              </w:rPr>
              <w:t xml:space="preserve"> </w:t>
            </w:r>
            <w:r w:rsidR="00AC3A75" w:rsidRPr="005A7226">
              <w:rPr>
                <w:color w:val="222222"/>
                <w:vertAlign w:val="superscript"/>
              </w:rPr>
              <w:t>d</w:t>
            </w:r>
          </w:p>
        </w:tc>
      </w:tr>
      <w:tr w:rsidR="00563EC5" w:rsidRPr="005A7226" w14:paraId="26D36A36" w14:textId="77777777" w:rsidTr="005C62F2">
        <w:trPr>
          <w:cantSplit/>
          <w:jc w:val="center"/>
        </w:trPr>
        <w:tc>
          <w:tcPr>
            <w:tcW w:w="1177" w:type="pct"/>
            <w:shd w:val="clear" w:color="auto" w:fill="auto"/>
            <w:vAlign w:val="center"/>
          </w:tcPr>
          <w:p w14:paraId="5613186E" w14:textId="77777777" w:rsidR="00563EC5" w:rsidRPr="005A7226" w:rsidRDefault="00563EC5" w:rsidP="009C7CA5">
            <w:pPr>
              <w:pStyle w:val="TableText0"/>
              <w:keepLines/>
            </w:pPr>
            <w:r w:rsidRPr="005A7226">
              <w:rPr>
                <w:color w:val="222222"/>
                <w:szCs w:val="20"/>
              </w:rPr>
              <w:t>Compliance rate</w:t>
            </w:r>
          </w:p>
        </w:tc>
        <w:tc>
          <w:tcPr>
            <w:tcW w:w="1100" w:type="pct"/>
            <w:shd w:val="clear" w:color="auto" w:fill="auto"/>
            <w:vAlign w:val="center"/>
          </w:tcPr>
          <w:p w14:paraId="359D087B" w14:textId="25368CC7" w:rsidR="00563EC5" w:rsidRPr="005A7226" w:rsidRDefault="53F95D70" w:rsidP="009C7CA5">
            <w:pPr>
              <w:pStyle w:val="TableText0"/>
              <w:keepLines/>
              <w:jc w:val="center"/>
              <w:rPr>
                <w:color w:val="222222"/>
              </w:rPr>
            </w:pPr>
            <w:r w:rsidRPr="005A7226">
              <w:rPr>
                <w:color w:val="222222"/>
              </w:rPr>
              <w:t xml:space="preserve">68.1% </w:t>
            </w:r>
            <w:r w:rsidR="00AC3A75" w:rsidRPr="005A7226">
              <w:rPr>
                <w:color w:val="222222"/>
                <w:vertAlign w:val="superscript"/>
              </w:rPr>
              <w:t>e</w:t>
            </w:r>
          </w:p>
        </w:tc>
        <w:tc>
          <w:tcPr>
            <w:tcW w:w="1652" w:type="pct"/>
            <w:shd w:val="clear" w:color="auto" w:fill="auto"/>
            <w:vAlign w:val="center"/>
          </w:tcPr>
          <w:p w14:paraId="645B2C53" w14:textId="38C365AA" w:rsidR="00563EC5" w:rsidRPr="005A7226" w:rsidRDefault="53F95D70" w:rsidP="009C7CA5">
            <w:pPr>
              <w:pStyle w:val="TableText0"/>
              <w:keepLines/>
              <w:jc w:val="center"/>
              <w:rPr>
                <w:color w:val="222222"/>
                <w:vertAlign w:val="superscript"/>
              </w:rPr>
            </w:pPr>
            <w:r w:rsidRPr="005A7226">
              <w:rPr>
                <w:color w:val="222222"/>
              </w:rPr>
              <w:t xml:space="preserve">100% </w:t>
            </w:r>
            <w:r w:rsidR="00AC3A75" w:rsidRPr="005A7226">
              <w:rPr>
                <w:color w:val="222222"/>
                <w:vertAlign w:val="superscript"/>
              </w:rPr>
              <w:t>f</w:t>
            </w:r>
          </w:p>
        </w:tc>
        <w:tc>
          <w:tcPr>
            <w:tcW w:w="1071" w:type="pct"/>
            <w:shd w:val="clear" w:color="auto" w:fill="auto"/>
            <w:vAlign w:val="center"/>
          </w:tcPr>
          <w:p w14:paraId="18C05D99" w14:textId="3B200D84" w:rsidR="00563EC5" w:rsidRPr="005A7226" w:rsidRDefault="53F95D70" w:rsidP="009C7CA5">
            <w:pPr>
              <w:pStyle w:val="TableText0"/>
              <w:keepLines/>
              <w:jc w:val="center"/>
            </w:pPr>
            <w:r w:rsidRPr="005A7226">
              <w:rPr>
                <w:color w:val="222222"/>
              </w:rPr>
              <w:t xml:space="preserve">72.6% </w:t>
            </w:r>
            <w:r w:rsidR="00AC3A75" w:rsidRPr="005A7226">
              <w:rPr>
                <w:color w:val="222222"/>
                <w:vertAlign w:val="superscript"/>
              </w:rPr>
              <w:t>g</w:t>
            </w:r>
          </w:p>
        </w:tc>
      </w:tr>
      <w:tr w:rsidR="00563EC5" w:rsidRPr="005A7226" w14:paraId="06F6AEB5" w14:textId="77777777" w:rsidTr="005C62F2">
        <w:trPr>
          <w:cantSplit/>
          <w:jc w:val="center"/>
        </w:trPr>
        <w:tc>
          <w:tcPr>
            <w:tcW w:w="1177" w:type="pct"/>
            <w:shd w:val="clear" w:color="auto" w:fill="auto"/>
            <w:vAlign w:val="center"/>
          </w:tcPr>
          <w:p w14:paraId="179E52DD" w14:textId="77777777" w:rsidR="00563EC5" w:rsidRPr="005A7226" w:rsidRDefault="00563EC5" w:rsidP="009C7CA5">
            <w:pPr>
              <w:pStyle w:val="TableText0"/>
              <w:keepLines/>
            </w:pPr>
            <w:r w:rsidRPr="005A7226">
              <w:t>Cost/patient/month</w:t>
            </w:r>
          </w:p>
        </w:tc>
        <w:tc>
          <w:tcPr>
            <w:tcW w:w="1100" w:type="pct"/>
            <w:shd w:val="clear" w:color="auto" w:fill="auto"/>
            <w:vAlign w:val="center"/>
          </w:tcPr>
          <w:p w14:paraId="2FDDB96F" w14:textId="77777777" w:rsidR="00563EC5" w:rsidRPr="005A7226" w:rsidRDefault="00563EC5" w:rsidP="009C7CA5">
            <w:pPr>
              <w:pStyle w:val="TableText0"/>
              <w:keepLines/>
              <w:jc w:val="center"/>
              <w:rPr>
                <w:bCs w:val="0"/>
              </w:rPr>
            </w:pPr>
            <w:r w:rsidRPr="005A7226">
              <w:rPr>
                <w:bCs w:val="0"/>
              </w:rPr>
              <w:t>NR</w:t>
            </w:r>
          </w:p>
        </w:tc>
        <w:tc>
          <w:tcPr>
            <w:tcW w:w="1652" w:type="pct"/>
            <w:shd w:val="clear" w:color="auto" w:fill="auto"/>
            <w:vAlign w:val="center"/>
          </w:tcPr>
          <w:p w14:paraId="681FA64C" w14:textId="22150135" w:rsidR="00563EC5" w:rsidRPr="005A7226" w:rsidRDefault="53F95D70" w:rsidP="009C7CA5">
            <w:pPr>
              <w:pStyle w:val="TableText0"/>
              <w:keepLines/>
              <w:jc w:val="center"/>
            </w:pPr>
            <w:r w:rsidRPr="005A7226">
              <w:rPr>
                <w:color w:val="222222"/>
              </w:rPr>
              <w:t>$</w:t>
            </w:r>
            <w:r w:rsidR="00CF6E6B" w:rsidRPr="00CF6E6B">
              <w:rPr>
                <w:color w:val="222222"/>
                <w:shd w:val="solid" w:color="000000" w:fill="000000"/>
                <w14:textFill>
                  <w14:solidFill>
                    <w14:srgbClr w14:val="222222">
                      <w14:alpha w14:val="100000"/>
                    </w14:srgbClr>
                  </w14:solidFill>
                </w14:textFill>
              </w:rPr>
              <w:t>|</w:t>
            </w:r>
            <w:r w:rsidRPr="005A7226">
              <w:rPr>
                <w:color w:val="222222"/>
              </w:rPr>
              <w:t xml:space="preserve"> </w:t>
            </w:r>
            <w:r w:rsidR="00AC3A75" w:rsidRPr="005A7226">
              <w:rPr>
                <w:color w:val="222222"/>
                <w:vertAlign w:val="superscript"/>
              </w:rPr>
              <w:t>h</w:t>
            </w:r>
          </w:p>
        </w:tc>
        <w:tc>
          <w:tcPr>
            <w:tcW w:w="1071" w:type="pct"/>
            <w:shd w:val="clear" w:color="auto" w:fill="auto"/>
            <w:vAlign w:val="center"/>
          </w:tcPr>
          <w:p w14:paraId="213B9CAF" w14:textId="492362C7" w:rsidR="00563EC5" w:rsidRPr="005A7226" w:rsidRDefault="53F95D70" w:rsidP="009C7CA5">
            <w:pPr>
              <w:pStyle w:val="TableText0"/>
              <w:keepLines/>
              <w:jc w:val="center"/>
            </w:pPr>
            <w:r w:rsidRPr="005A7226">
              <w:t>$</w:t>
            </w:r>
            <w:r w:rsidR="00CF6E6B" w:rsidRPr="00CF6E6B">
              <w:rPr>
                <w:color w:val="000000"/>
                <w:shd w:val="solid" w:color="000000" w:fill="000000"/>
                <w14:textFill>
                  <w14:solidFill>
                    <w14:srgbClr w14:val="000000">
                      <w14:alpha w14:val="100000"/>
                    </w14:srgbClr>
                  </w14:solidFill>
                </w14:textFill>
              </w:rPr>
              <w:t>|</w:t>
            </w:r>
            <w:r w:rsidRPr="005A7226">
              <w:rPr>
                <w:vertAlign w:val="superscript"/>
              </w:rPr>
              <w:t xml:space="preserve"> </w:t>
            </w:r>
            <w:r w:rsidR="00AC3A75" w:rsidRPr="005A7226">
              <w:rPr>
                <w:vertAlign w:val="superscript"/>
              </w:rPr>
              <w:t>i</w:t>
            </w:r>
          </w:p>
        </w:tc>
      </w:tr>
      <w:tr w:rsidR="00563EC5" w:rsidRPr="005A7226" w14:paraId="7754BA00" w14:textId="77777777" w:rsidTr="005C62F2">
        <w:trPr>
          <w:cantSplit/>
          <w:jc w:val="center"/>
        </w:trPr>
        <w:tc>
          <w:tcPr>
            <w:tcW w:w="1177" w:type="pct"/>
            <w:shd w:val="clear" w:color="auto" w:fill="auto"/>
            <w:vAlign w:val="center"/>
          </w:tcPr>
          <w:p w14:paraId="40991405" w14:textId="77777777" w:rsidR="00563EC5" w:rsidRPr="005A7226" w:rsidRDefault="00563EC5" w:rsidP="009C7CA5">
            <w:pPr>
              <w:pStyle w:val="TableText0"/>
              <w:keepLines/>
            </w:pPr>
            <w:r w:rsidRPr="005A7226">
              <w:t>Cost/patient/year or course</w:t>
            </w:r>
          </w:p>
        </w:tc>
        <w:tc>
          <w:tcPr>
            <w:tcW w:w="1100" w:type="pct"/>
            <w:shd w:val="clear" w:color="auto" w:fill="auto"/>
            <w:vAlign w:val="center"/>
          </w:tcPr>
          <w:p w14:paraId="4BA1DB7B" w14:textId="77777777" w:rsidR="00563EC5" w:rsidRPr="005A7226" w:rsidRDefault="00563EC5" w:rsidP="009C7CA5">
            <w:pPr>
              <w:pStyle w:val="TableText0"/>
              <w:keepLines/>
              <w:jc w:val="center"/>
              <w:rPr>
                <w:bCs w:val="0"/>
              </w:rPr>
            </w:pPr>
            <w:r w:rsidRPr="005A7226">
              <w:rPr>
                <w:bCs w:val="0"/>
              </w:rPr>
              <w:t>NR</w:t>
            </w:r>
          </w:p>
        </w:tc>
        <w:tc>
          <w:tcPr>
            <w:tcW w:w="1652" w:type="pct"/>
            <w:shd w:val="clear" w:color="auto" w:fill="auto"/>
            <w:vAlign w:val="center"/>
          </w:tcPr>
          <w:p w14:paraId="1B6DEB75" w14:textId="7BD79C4B" w:rsidR="00563EC5" w:rsidRPr="005A7226" w:rsidRDefault="53F95D70" w:rsidP="009C7CA5">
            <w:pPr>
              <w:pStyle w:val="TableText0"/>
              <w:keepLines/>
              <w:jc w:val="center"/>
            </w:pPr>
            <w:r w:rsidRPr="005A7226">
              <w:rPr>
                <w:color w:val="222222"/>
              </w:rPr>
              <w:t>$</w:t>
            </w:r>
            <w:r w:rsidR="00CF6E6B" w:rsidRPr="00CF6E6B">
              <w:rPr>
                <w:color w:val="222222"/>
                <w:shd w:val="solid" w:color="000000" w:fill="000000"/>
                <w14:textFill>
                  <w14:solidFill>
                    <w14:srgbClr w14:val="222222">
                      <w14:alpha w14:val="100000"/>
                    </w14:srgbClr>
                  </w14:solidFill>
                </w14:textFill>
              </w:rPr>
              <w:t>|</w:t>
            </w:r>
            <w:r w:rsidRPr="005A7226">
              <w:rPr>
                <w:color w:val="222222"/>
              </w:rPr>
              <w:t xml:space="preserve"> </w:t>
            </w:r>
            <w:r w:rsidR="00AC3A75" w:rsidRPr="005A7226">
              <w:rPr>
                <w:color w:val="222222"/>
                <w:vertAlign w:val="superscript"/>
              </w:rPr>
              <w:t>j</w:t>
            </w:r>
          </w:p>
        </w:tc>
        <w:tc>
          <w:tcPr>
            <w:tcW w:w="1071" w:type="pct"/>
            <w:shd w:val="clear" w:color="auto" w:fill="auto"/>
            <w:vAlign w:val="center"/>
          </w:tcPr>
          <w:p w14:paraId="62EE9EF3" w14:textId="084696D5" w:rsidR="00563EC5" w:rsidRPr="005A7226" w:rsidRDefault="53F95D70" w:rsidP="009C7CA5">
            <w:pPr>
              <w:pStyle w:val="TableText0"/>
              <w:keepLines/>
              <w:jc w:val="center"/>
              <w:rPr>
                <w:vertAlign w:val="superscript"/>
              </w:rPr>
            </w:pPr>
            <w:r w:rsidRPr="005A7226">
              <w:t>$</w:t>
            </w:r>
            <w:r w:rsidR="00CF6E6B" w:rsidRPr="00CF6E6B">
              <w:rPr>
                <w:color w:val="000000"/>
                <w:shd w:val="solid" w:color="000000" w:fill="000000"/>
                <w14:textFill>
                  <w14:solidFill>
                    <w14:srgbClr w14:val="000000">
                      <w14:alpha w14:val="100000"/>
                    </w14:srgbClr>
                  </w14:solidFill>
                </w14:textFill>
              </w:rPr>
              <w:t>|</w:t>
            </w:r>
            <w:r w:rsidR="00AC3A75" w:rsidRPr="005A7226">
              <w:t xml:space="preserve"> </w:t>
            </w:r>
            <w:r w:rsidR="00AC3A75" w:rsidRPr="005A7226">
              <w:rPr>
                <w:vertAlign w:val="superscript"/>
              </w:rPr>
              <w:t>k</w:t>
            </w:r>
          </w:p>
        </w:tc>
      </w:tr>
    </w:tbl>
    <w:p w14:paraId="08707728" w14:textId="370D508E" w:rsidR="00563EC5" w:rsidRPr="005A7226" w:rsidRDefault="00563EC5" w:rsidP="009C7CA5">
      <w:pPr>
        <w:pStyle w:val="FooterTableFigure"/>
        <w:keepNext/>
        <w:keepLines/>
      </w:pPr>
      <w:r w:rsidRPr="005A7226">
        <w:t>Source: compiled during the evaluation from Table 3.9-2, p176 of the submission and Tables 9, 9.1.1.3.2 and 9.2.1.1.1 of DAYLIGHT CSR.</w:t>
      </w:r>
    </w:p>
    <w:p w14:paraId="5D97F566" w14:textId="77777777" w:rsidR="00563EC5" w:rsidRPr="005A7226" w:rsidRDefault="00563EC5" w:rsidP="009C7CA5">
      <w:pPr>
        <w:pStyle w:val="FooterTableFigure"/>
        <w:keepNext/>
        <w:keepLines/>
        <w:spacing w:after="0"/>
      </w:pPr>
      <w:r w:rsidRPr="005A7226">
        <w:t>NA=not applicable, NR=not reported.</w:t>
      </w:r>
    </w:p>
    <w:p w14:paraId="29AE28EA" w14:textId="77777777" w:rsidR="00563EC5" w:rsidRPr="005A7226" w:rsidRDefault="00563EC5" w:rsidP="001773B1">
      <w:pPr>
        <w:pStyle w:val="TableFooter"/>
        <w:keepNext/>
        <w:keepLines/>
        <w:numPr>
          <w:ilvl w:val="0"/>
          <w:numId w:val="20"/>
        </w:numPr>
        <w:ind w:left="142" w:hanging="142"/>
      </w:pPr>
      <w:r w:rsidRPr="005A7226">
        <w:t>The comparator was no treatment, with no associated costs; therefore, was not presented in this table.</w:t>
      </w:r>
    </w:p>
    <w:p w14:paraId="19647133" w14:textId="5C692F61" w:rsidR="00563EC5" w:rsidRPr="005A7226" w:rsidRDefault="53F95D70" w:rsidP="001773B1">
      <w:pPr>
        <w:pStyle w:val="TableFooter"/>
        <w:keepNext/>
        <w:keepLines/>
        <w:numPr>
          <w:ilvl w:val="0"/>
          <w:numId w:val="20"/>
        </w:numPr>
        <w:ind w:left="142" w:hanging="142"/>
      </w:pPr>
      <w:r w:rsidRPr="005A7226">
        <w:t>Mean treatment duration was 144.3 and 157.4 days in placebo and fezolinetant arms, respectively. Median treatment duration was 168.0 days in both arms (Table 9.2.1.1.1, DAYLIGHT CSR). The median trial duration was 24 weeks plus three weeks safety follow-up.</w:t>
      </w:r>
    </w:p>
    <w:p w14:paraId="4A4B7780" w14:textId="18573DBA" w:rsidR="009679BE" w:rsidRPr="005A7226" w:rsidRDefault="009679BE" w:rsidP="001773B1">
      <w:pPr>
        <w:pStyle w:val="TableFooter"/>
        <w:keepNext/>
        <w:keepLines/>
        <w:numPr>
          <w:ilvl w:val="0"/>
          <w:numId w:val="20"/>
        </w:numPr>
        <w:ind w:left="142" w:hanging="142"/>
      </w:pPr>
      <w:r w:rsidRPr="005A7226">
        <w:t>The half-cycle corrected mean treatment duration was calculated using the economic model</w:t>
      </w:r>
      <w:r w:rsidR="005C62F2" w:rsidRPr="005A7226">
        <w:t>, Fezolinetant Trace</w:t>
      </w:r>
      <w:r w:rsidRPr="005A7226">
        <w:t xml:space="preserve"> worksheet, based on 130 cycles (9.97 years).</w:t>
      </w:r>
    </w:p>
    <w:p w14:paraId="65E7CE07" w14:textId="623E0201" w:rsidR="00AC3A75" w:rsidRPr="005A7226" w:rsidRDefault="00AC3A75" w:rsidP="001773B1">
      <w:pPr>
        <w:pStyle w:val="TableFooter"/>
        <w:keepNext/>
        <w:keepLines/>
        <w:numPr>
          <w:ilvl w:val="0"/>
          <w:numId w:val="20"/>
        </w:numPr>
        <w:ind w:left="142" w:hanging="142"/>
      </w:pPr>
      <w:r w:rsidRPr="005A7226">
        <w:t xml:space="preserve">Patients were assumed to remain on treatment for 12 months during the </w:t>
      </w:r>
      <w:r w:rsidR="00090892" w:rsidRPr="005A7226">
        <w:t>six</w:t>
      </w:r>
      <w:r w:rsidRPr="005A7226">
        <w:t>-year forecast period, with a compliance rate of 72.6% applied to account for discontinuations.</w:t>
      </w:r>
    </w:p>
    <w:p w14:paraId="3D578359" w14:textId="77777777" w:rsidR="00563EC5" w:rsidRPr="005A7226" w:rsidRDefault="00563EC5" w:rsidP="001773B1">
      <w:pPr>
        <w:pStyle w:val="TableFooter"/>
        <w:keepNext/>
        <w:keepLines/>
        <w:numPr>
          <w:ilvl w:val="0"/>
          <w:numId w:val="20"/>
        </w:numPr>
        <w:ind w:left="142" w:hanging="142"/>
      </w:pPr>
      <w:r w:rsidRPr="005A7226">
        <w:t>The proportion of patients with at least 24 weeks of treatment were 68.1% for fezolinetant 45 mg and 65.5% for placebo (Table 9, p29 of DAYLIGHT CSR)</w:t>
      </w:r>
    </w:p>
    <w:p w14:paraId="6156D4A8" w14:textId="77777777" w:rsidR="00563EC5" w:rsidRPr="005A7226" w:rsidRDefault="00563EC5" w:rsidP="001773B1">
      <w:pPr>
        <w:pStyle w:val="TableFooter"/>
        <w:keepNext/>
        <w:keepLines/>
        <w:numPr>
          <w:ilvl w:val="0"/>
          <w:numId w:val="20"/>
        </w:numPr>
        <w:ind w:left="142" w:hanging="142"/>
      </w:pPr>
      <w:r w:rsidRPr="005A7226">
        <w:t>The economic evaluation did not consider compliance rates, and the submission did not provide a rationale for this omission.</w:t>
      </w:r>
    </w:p>
    <w:p w14:paraId="5B291D60" w14:textId="77777777" w:rsidR="00563EC5" w:rsidRPr="005A7226" w:rsidRDefault="53F95D70" w:rsidP="001773B1">
      <w:pPr>
        <w:pStyle w:val="FooterTableFigure"/>
        <w:keepNext/>
        <w:keepLines/>
        <w:numPr>
          <w:ilvl w:val="0"/>
          <w:numId w:val="20"/>
        </w:numPr>
        <w:ind w:left="142" w:hanging="142"/>
      </w:pPr>
      <w:r w:rsidRPr="005A7226">
        <w:t>Compliance rate of 72.6% projected annual discontinuation rate. This was derived from a 13.72% discontinuation rate observed over 24 weeks in the DAYLIGHT trial, extrapolated to a 52-week period, for the 45 mg once-daily fezolinetant treatment (equivalent to 8.84 × 30-tablet scripts per year).</w:t>
      </w:r>
    </w:p>
    <w:p w14:paraId="5358DEBD" w14:textId="081F0B57" w:rsidR="00563EC5" w:rsidRPr="005A7226" w:rsidRDefault="53F95D70" w:rsidP="001773B1">
      <w:pPr>
        <w:pStyle w:val="FooterTableFigure"/>
        <w:keepNext/>
        <w:keepLines/>
        <w:numPr>
          <w:ilvl w:val="0"/>
          <w:numId w:val="20"/>
        </w:numPr>
        <w:ind w:left="142" w:hanging="142"/>
      </w:pPr>
      <w:r w:rsidRPr="005A7226">
        <w:t>Calculated as: per tab cost ($</w:t>
      </w:r>
      <w:r w:rsidR="00CF6E6B" w:rsidRPr="00CF6E6B">
        <w:rPr>
          <w:color w:val="000000"/>
          <w:spacing w:val="40"/>
          <w:shd w:val="solid" w:color="000000" w:fill="000000"/>
          <w:fitText w:val="280" w:id="-694454778"/>
          <w14:textFill>
            <w14:solidFill>
              <w14:srgbClr w14:val="000000">
                <w14:alpha w14:val="100000"/>
              </w14:srgbClr>
            </w14:solidFill>
          </w14:textFill>
        </w:rPr>
        <w:t xml:space="preserve">|  </w:t>
      </w:r>
      <w:r w:rsidR="00CF6E6B" w:rsidRPr="00CF6E6B">
        <w:rPr>
          <w:color w:val="000000"/>
          <w:spacing w:val="2"/>
          <w:shd w:val="solid" w:color="000000" w:fill="000000"/>
          <w:fitText w:val="280" w:id="-694454778"/>
          <w14:textFill>
            <w14:solidFill>
              <w14:srgbClr w14:val="000000">
                <w14:alpha w14:val="100000"/>
              </w14:srgbClr>
            </w14:solidFill>
          </w14:textFill>
        </w:rPr>
        <w:t>|</w:t>
      </w:r>
      <w:r w:rsidRPr="005A7226">
        <w:t>) × month length (30.42 days).</w:t>
      </w:r>
    </w:p>
    <w:p w14:paraId="1365E3F6" w14:textId="77777777" w:rsidR="00563EC5" w:rsidRPr="005A7226" w:rsidRDefault="00563EC5" w:rsidP="001773B1">
      <w:pPr>
        <w:pStyle w:val="FooterTableFigure"/>
        <w:keepNext/>
        <w:keepLines/>
        <w:numPr>
          <w:ilvl w:val="0"/>
          <w:numId w:val="20"/>
        </w:numPr>
        <w:ind w:left="142" w:hanging="142"/>
      </w:pPr>
      <w:r w:rsidRPr="005A7226">
        <w:t>Calculated as 8.843 × 30-tablet scripts per year, accounting for compliance rate, divided by 12 to represent monthly cost of treatment.</w:t>
      </w:r>
    </w:p>
    <w:p w14:paraId="28C5B3E6" w14:textId="6588B1B1" w:rsidR="00563EC5" w:rsidRPr="005A7226" w:rsidRDefault="53F95D70" w:rsidP="001773B1">
      <w:pPr>
        <w:pStyle w:val="FooterTableFigure"/>
        <w:keepNext/>
        <w:keepLines/>
        <w:numPr>
          <w:ilvl w:val="0"/>
          <w:numId w:val="20"/>
        </w:numPr>
        <w:ind w:left="142" w:hanging="142"/>
      </w:pPr>
      <w:r w:rsidRPr="005A7226">
        <w:t>Cost per patient per course of treatment in a 10-year time horizon was calculated using the CEA model with discount rates set to zero</w:t>
      </w:r>
      <w:r w:rsidR="00AC3A75" w:rsidRPr="005A7226">
        <w:rPr>
          <w:lang w:eastAsia="zh-CN"/>
        </w:rPr>
        <w:t>.</w:t>
      </w:r>
      <w:r w:rsidR="00563EC5" w:rsidRPr="005A7226">
        <w:rPr>
          <w:lang w:eastAsia="zh-CN"/>
        </w:rPr>
        <w:t xml:space="preserve"> </w:t>
      </w:r>
    </w:p>
    <w:p w14:paraId="43935758" w14:textId="77777777" w:rsidR="00563EC5" w:rsidRPr="005A7226" w:rsidRDefault="53F95D70" w:rsidP="001773B1">
      <w:pPr>
        <w:pStyle w:val="FooterTableFigure"/>
        <w:numPr>
          <w:ilvl w:val="0"/>
          <w:numId w:val="20"/>
        </w:numPr>
        <w:ind w:left="142" w:hanging="142"/>
      </w:pPr>
      <w:r w:rsidRPr="005A7226">
        <w:t>Cost per patient per year was calculated as 8.843 × 30-tablet scripts per year, accounting for compliance rate.</w:t>
      </w:r>
    </w:p>
    <w:p w14:paraId="268768EF" w14:textId="3626F292" w:rsidR="00B60939" w:rsidRPr="005A7226" w:rsidRDefault="00B60939" w:rsidP="002B05A1">
      <w:pPr>
        <w:pStyle w:val="4-SubsectionHeading"/>
      </w:pPr>
      <w:bookmarkStart w:id="71" w:name="_Toc22897647"/>
      <w:bookmarkStart w:id="72" w:name="_Toc188442569"/>
      <w:r w:rsidRPr="005A7226">
        <w:t>Estimated PBS usage &amp; financial implications</w:t>
      </w:r>
      <w:bookmarkEnd w:id="71"/>
      <w:bookmarkEnd w:id="72"/>
    </w:p>
    <w:p w14:paraId="6B742FAF" w14:textId="1B2B235B" w:rsidR="00A33254" w:rsidRPr="005A7226" w:rsidRDefault="00A33254" w:rsidP="003E1641">
      <w:pPr>
        <w:widowControl w:val="0"/>
        <w:numPr>
          <w:ilvl w:val="1"/>
          <w:numId w:val="1"/>
        </w:numPr>
        <w:spacing w:after="120"/>
        <w:ind w:left="720"/>
      </w:pPr>
      <w:bookmarkStart w:id="73" w:name="_Toc22897648"/>
      <w:bookmarkStart w:id="74" w:name="_Toc188442570"/>
      <w:r w:rsidRPr="005A7226">
        <w:t xml:space="preserve">This </w:t>
      </w:r>
      <w:r w:rsidRPr="003E1641">
        <w:rPr>
          <w:rFonts w:asciiTheme="minorHAnsi" w:hAnsiTheme="minorHAnsi"/>
          <w:snapToGrid w:val="0"/>
          <w:szCs w:val="20"/>
        </w:rPr>
        <w:t>submission</w:t>
      </w:r>
      <w:r w:rsidRPr="005A7226">
        <w:t xml:space="preserve"> was considered by DUSC.</w:t>
      </w:r>
    </w:p>
    <w:p w14:paraId="259A1146" w14:textId="665CBB14" w:rsidR="00523D9A" w:rsidRPr="005A7226" w:rsidRDefault="00523D9A" w:rsidP="003E1641">
      <w:pPr>
        <w:widowControl w:val="0"/>
        <w:numPr>
          <w:ilvl w:val="1"/>
          <w:numId w:val="1"/>
        </w:numPr>
        <w:spacing w:after="120"/>
        <w:ind w:left="720"/>
      </w:pPr>
      <w:r w:rsidRPr="005A7226">
        <w:t xml:space="preserve">The submission used an epidemiological approach based on Australian </w:t>
      </w:r>
      <w:r w:rsidRPr="003E1641">
        <w:rPr>
          <w:rFonts w:asciiTheme="minorHAnsi" w:hAnsiTheme="minorHAnsi"/>
          <w:snapToGrid w:val="0"/>
          <w:szCs w:val="20"/>
        </w:rPr>
        <w:t>survey</w:t>
      </w:r>
      <w:r w:rsidRPr="005A7226">
        <w:t xml:space="preserve">-based studies to estimate the number of patients with moderate to severe VMS unsuitable for MHT therapy. </w:t>
      </w:r>
      <w:r w:rsidR="00C84BD0">
        <w:fldChar w:fldCharType="begin"/>
      </w:r>
      <w:r w:rsidR="00C84BD0">
        <w:instrText xml:space="preserve"> REF _Ref195110243 \h </w:instrText>
      </w:r>
      <w:r w:rsidR="00C84BD0">
        <w:fldChar w:fldCharType="separate"/>
      </w:r>
      <w:r w:rsidR="00B11DA2" w:rsidRPr="005A7226">
        <w:t xml:space="preserve">Table </w:t>
      </w:r>
      <w:r w:rsidR="00B11DA2">
        <w:rPr>
          <w:noProof/>
        </w:rPr>
        <w:t>19</w:t>
      </w:r>
      <w:r w:rsidR="00C84BD0">
        <w:fldChar w:fldCharType="end"/>
      </w:r>
      <w:r w:rsidRPr="005A7226">
        <w:t xml:space="preserve"> summarises the key parameters and data sources applied in </w:t>
      </w:r>
      <w:r w:rsidRPr="003E1641">
        <w:rPr>
          <w:rFonts w:asciiTheme="minorHAnsi" w:hAnsiTheme="minorHAnsi"/>
          <w:snapToGrid w:val="0"/>
          <w:szCs w:val="20"/>
        </w:rPr>
        <w:t>the</w:t>
      </w:r>
      <w:r w:rsidRPr="005A7226">
        <w:t xml:space="preserve"> financial analysis. </w:t>
      </w:r>
    </w:p>
    <w:p w14:paraId="22957895" w14:textId="5D680042" w:rsidR="00523D9A" w:rsidRPr="005A7226" w:rsidRDefault="00523D9A" w:rsidP="00997AC7">
      <w:pPr>
        <w:pStyle w:val="Caption"/>
        <w:rPr>
          <w:rStyle w:val="CommentReference"/>
          <w:b/>
        </w:rPr>
      </w:pPr>
      <w:bookmarkStart w:id="75" w:name="_Ref195110243"/>
      <w:r w:rsidRPr="005A7226">
        <w:t xml:space="preserve">Table </w:t>
      </w:r>
      <w:r w:rsidR="004A6B36">
        <w:fldChar w:fldCharType="begin"/>
      </w:r>
      <w:r w:rsidR="004A6B36">
        <w:instrText xml:space="preserve"> SEQ Table \* ARABIC </w:instrText>
      </w:r>
      <w:r w:rsidR="004A6B36">
        <w:fldChar w:fldCharType="separate"/>
      </w:r>
      <w:r w:rsidR="00B11DA2">
        <w:rPr>
          <w:noProof/>
        </w:rPr>
        <w:t>19</w:t>
      </w:r>
      <w:r w:rsidR="004A6B36">
        <w:rPr>
          <w:noProof/>
        </w:rPr>
        <w:fldChar w:fldCharType="end"/>
      </w:r>
      <w:bookmarkEnd w:id="75"/>
      <w:r w:rsidRPr="005A7226">
        <w:t>:</w:t>
      </w:r>
      <w:r w:rsidRPr="005A7226">
        <w:rPr>
          <w:rStyle w:val="CommentReference"/>
          <w:b/>
        </w:rPr>
        <w:t xml:space="preserve"> Key inputs for financial estimates</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inputs for financial estimates"/>
      </w:tblPr>
      <w:tblGrid>
        <w:gridCol w:w="1131"/>
        <w:gridCol w:w="3783"/>
        <w:gridCol w:w="4179"/>
      </w:tblGrid>
      <w:tr w:rsidR="00523D9A" w:rsidRPr="005A7226" w14:paraId="1DB9D078" w14:textId="77777777" w:rsidTr="00E97B44">
        <w:trPr>
          <w:trHeight w:val="20"/>
          <w:tblHeader/>
        </w:trPr>
        <w:tc>
          <w:tcPr>
            <w:tcW w:w="622" w:type="pct"/>
            <w:shd w:val="clear" w:color="auto" w:fill="auto"/>
            <w:vAlign w:val="center"/>
          </w:tcPr>
          <w:p w14:paraId="5B3FB0E9" w14:textId="77777777" w:rsidR="00523D9A" w:rsidRPr="005A7226" w:rsidRDefault="00523D9A" w:rsidP="00C84BD0">
            <w:pPr>
              <w:pStyle w:val="In-tableHeading"/>
              <w:keepNext w:val="0"/>
              <w:widowControl w:val="0"/>
              <w:rPr>
                <w:lang w:val="en-AU"/>
              </w:rPr>
            </w:pPr>
            <w:r w:rsidRPr="005A7226">
              <w:rPr>
                <w:lang w:val="en-AU"/>
              </w:rPr>
              <w:t>Parameter</w:t>
            </w:r>
          </w:p>
        </w:tc>
        <w:tc>
          <w:tcPr>
            <w:tcW w:w="2080" w:type="pct"/>
            <w:shd w:val="clear" w:color="auto" w:fill="auto"/>
            <w:vAlign w:val="center"/>
          </w:tcPr>
          <w:p w14:paraId="3572D11B" w14:textId="77777777" w:rsidR="00523D9A" w:rsidRPr="005A7226" w:rsidRDefault="00523D9A" w:rsidP="00C84BD0">
            <w:pPr>
              <w:pStyle w:val="In-tableHeading"/>
              <w:keepNext w:val="0"/>
              <w:widowControl w:val="0"/>
              <w:rPr>
                <w:lang w:val="en-AU"/>
              </w:rPr>
            </w:pPr>
            <w:r w:rsidRPr="005A7226">
              <w:rPr>
                <w:lang w:val="en-AU"/>
              </w:rPr>
              <w:t>Value applied and source</w:t>
            </w:r>
          </w:p>
        </w:tc>
        <w:tc>
          <w:tcPr>
            <w:tcW w:w="2297" w:type="pct"/>
            <w:shd w:val="clear" w:color="auto" w:fill="auto"/>
            <w:vAlign w:val="center"/>
          </w:tcPr>
          <w:p w14:paraId="10CCD952" w14:textId="77777777" w:rsidR="00523D9A" w:rsidRPr="005A7226" w:rsidRDefault="00523D9A" w:rsidP="00C84BD0">
            <w:pPr>
              <w:pStyle w:val="In-tableHeading"/>
              <w:keepNext w:val="0"/>
              <w:widowControl w:val="0"/>
              <w:rPr>
                <w:lang w:val="en-AU"/>
              </w:rPr>
            </w:pPr>
            <w:r w:rsidRPr="005A7226">
              <w:rPr>
                <w:lang w:val="en-AU"/>
              </w:rPr>
              <w:t>Comment</w:t>
            </w:r>
          </w:p>
        </w:tc>
      </w:tr>
      <w:tr w:rsidR="009D7BA0" w:rsidRPr="005A7226" w14:paraId="61751F8A" w14:textId="77777777" w:rsidTr="00E97B44">
        <w:trPr>
          <w:trHeight w:val="20"/>
        </w:trPr>
        <w:tc>
          <w:tcPr>
            <w:tcW w:w="5000" w:type="pct"/>
            <w:gridSpan w:val="3"/>
            <w:shd w:val="clear" w:color="auto" w:fill="auto"/>
            <w:vAlign w:val="center"/>
          </w:tcPr>
          <w:p w14:paraId="1E7AA0BC" w14:textId="2C1FE804" w:rsidR="009D7BA0" w:rsidRPr="00833F28" w:rsidRDefault="00833F28" w:rsidP="00C84BD0">
            <w:pPr>
              <w:pStyle w:val="TableText0"/>
              <w:keepNext w:val="0"/>
              <w:widowControl w:val="0"/>
              <w:rPr>
                <w:b/>
                <w:bCs w:val="0"/>
              </w:rPr>
            </w:pPr>
            <w:r w:rsidRPr="00833F28">
              <w:rPr>
                <w:b/>
                <w:bCs w:val="0"/>
              </w:rPr>
              <w:t>Eligible population</w:t>
            </w:r>
          </w:p>
        </w:tc>
      </w:tr>
      <w:tr w:rsidR="00523D9A" w:rsidRPr="005A7226" w14:paraId="62B0E897" w14:textId="77777777" w:rsidTr="00E97B44">
        <w:trPr>
          <w:trHeight w:val="20"/>
        </w:trPr>
        <w:tc>
          <w:tcPr>
            <w:tcW w:w="622" w:type="pct"/>
            <w:shd w:val="clear" w:color="auto" w:fill="auto"/>
            <w:vAlign w:val="center"/>
          </w:tcPr>
          <w:p w14:paraId="7C7F4F7A" w14:textId="77777777" w:rsidR="00523D9A" w:rsidRPr="005A7226" w:rsidRDefault="00523D9A" w:rsidP="00C84BD0">
            <w:pPr>
              <w:pStyle w:val="TableText0"/>
              <w:keepNext w:val="0"/>
              <w:widowControl w:val="0"/>
            </w:pPr>
            <w:r w:rsidRPr="005A7226">
              <w:t>Prevalent population, in each age bracket in the first year (2026)</w:t>
            </w:r>
          </w:p>
        </w:tc>
        <w:tc>
          <w:tcPr>
            <w:tcW w:w="2080" w:type="pct"/>
            <w:shd w:val="clear" w:color="auto" w:fill="auto"/>
            <w:vAlign w:val="center"/>
          </w:tcPr>
          <w:tbl>
            <w:tblPr>
              <w:tblStyle w:val="TableGrid"/>
              <w:tblW w:w="4835" w:type="pct"/>
              <w:tblLayout w:type="fixed"/>
              <w:tblCellMar>
                <w:left w:w="40" w:type="dxa"/>
                <w:right w:w="40" w:type="dxa"/>
              </w:tblCellMar>
              <w:tblLook w:val="04A0" w:firstRow="1" w:lastRow="0" w:firstColumn="1" w:lastColumn="0" w:noHBand="0" w:noVBand="1"/>
            </w:tblPr>
            <w:tblGrid>
              <w:gridCol w:w="754"/>
              <w:gridCol w:w="961"/>
              <w:gridCol w:w="960"/>
              <w:gridCol w:w="919"/>
            </w:tblGrid>
            <w:tr w:rsidR="00E97B44" w:rsidRPr="00E97B44" w14:paraId="253A0A33" w14:textId="77777777" w:rsidTr="00E97B44">
              <w:trPr>
                <w:trHeight w:val="20"/>
              </w:trPr>
              <w:tc>
                <w:tcPr>
                  <w:tcW w:w="1049" w:type="pct"/>
                </w:tcPr>
                <w:p w14:paraId="3B18EAE4" w14:textId="77777777" w:rsidR="00E97B44" w:rsidRPr="00E97B44" w:rsidRDefault="00E97B44" w:rsidP="00C84BD0">
                  <w:pPr>
                    <w:pStyle w:val="TableText0"/>
                    <w:keepNext w:val="0"/>
                    <w:widowControl w:val="0"/>
                    <w:rPr>
                      <w:szCs w:val="20"/>
                    </w:rPr>
                  </w:pPr>
                  <w:r w:rsidRPr="00E97B44">
                    <w:rPr>
                      <w:szCs w:val="20"/>
                    </w:rPr>
                    <w:t>Age</w:t>
                  </w:r>
                </w:p>
              </w:tc>
              <w:tc>
                <w:tcPr>
                  <w:tcW w:w="1337" w:type="pct"/>
                </w:tcPr>
                <w:p w14:paraId="45F7F223" w14:textId="43113434" w:rsidR="00E97B44" w:rsidRPr="00E97B44" w:rsidRDefault="00E97B44" w:rsidP="00C84BD0">
                  <w:pPr>
                    <w:pStyle w:val="TableText0"/>
                    <w:keepNext w:val="0"/>
                    <w:widowControl w:val="0"/>
                    <w:rPr>
                      <w:szCs w:val="20"/>
                    </w:rPr>
                  </w:pPr>
                  <w:r>
                    <w:rPr>
                      <w:szCs w:val="20"/>
                    </w:rPr>
                    <w:t>F</w:t>
                  </w:r>
                  <w:r w:rsidRPr="00E97B44">
                    <w:rPr>
                      <w:szCs w:val="20"/>
                    </w:rPr>
                    <w:t>emales</w:t>
                  </w:r>
                </w:p>
                <w:p w14:paraId="5411033A" w14:textId="77777777" w:rsidR="00E97B44" w:rsidRPr="00E97B44" w:rsidRDefault="00E97B44" w:rsidP="00C84BD0">
                  <w:pPr>
                    <w:pStyle w:val="TableText0"/>
                    <w:keepNext w:val="0"/>
                    <w:widowControl w:val="0"/>
                    <w:rPr>
                      <w:szCs w:val="20"/>
                    </w:rPr>
                  </w:pPr>
                  <w:r w:rsidRPr="00E97B44">
                    <w:rPr>
                      <w:szCs w:val="20"/>
                    </w:rPr>
                    <w:t>aged 40-79 years (2026)</w:t>
                  </w:r>
                </w:p>
              </w:tc>
              <w:tc>
                <w:tcPr>
                  <w:tcW w:w="1336" w:type="pct"/>
                </w:tcPr>
                <w:p w14:paraId="2BB5B218" w14:textId="020E03AE" w:rsidR="00E97B44" w:rsidRPr="00E97B44" w:rsidRDefault="00E97B44" w:rsidP="00C84BD0">
                  <w:pPr>
                    <w:pStyle w:val="TableText0"/>
                    <w:keepNext w:val="0"/>
                    <w:widowControl w:val="0"/>
                    <w:rPr>
                      <w:szCs w:val="20"/>
                    </w:rPr>
                  </w:pPr>
                  <w:r w:rsidRPr="00E97B44">
                    <w:rPr>
                      <w:szCs w:val="20"/>
                    </w:rPr>
                    <w:t>Menopause prevalence (%)</w:t>
                  </w:r>
                </w:p>
              </w:tc>
              <w:tc>
                <w:tcPr>
                  <w:tcW w:w="1279" w:type="pct"/>
                </w:tcPr>
                <w:p w14:paraId="747E1D61" w14:textId="77777777" w:rsidR="00E97B44" w:rsidRPr="00E97B44" w:rsidRDefault="00E97B44" w:rsidP="00C84BD0">
                  <w:pPr>
                    <w:pStyle w:val="TableText0"/>
                    <w:keepNext w:val="0"/>
                    <w:widowControl w:val="0"/>
                    <w:rPr>
                      <w:rFonts w:cstheme="minorHAnsi"/>
                      <w:color w:val="000000" w:themeColor="text1"/>
                      <w:szCs w:val="20"/>
                    </w:rPr>
                  </w:pPr>
                  <w:r w:rsidRPr="00E97B44">
                    <w:rPr>
                      <w:rFonts w:cstheme="minorHAnsi"/>
                      <w:color w:val="000000" w:themeColor="text1"/>
                      <w:szCs w:val="20"/>
                    </w:rPr>
                    <w:t>M-S VMS prevalence (%)</w:t>
                  </w:r>
                </w:p>
              </w:tc>
            </w:tr>
            <w:tr w:rsidR="00E97B44" w:rsidRPr="00E97B44" w14:paraId="1E281B6E" w14:textId="77777777" w:rsidTr="00E97B44">
              <w:trPr>
                <w:trHeight w:val="20"/>
              </w:trPr>
              <w:tc>
                <w:tcPr>
                  <w:tcW w:w="1049" w:type="pct"/>
                </w:tcPr>
                <w:p w14:paraId="3EA61906" w14:textId="77777777" w:rsidR="00E97B44" w:rsidRPr="00E97B44" w:rsidRDefault="00E97B44" w:rsidP="00C84BD0">
                  <w:pPr>
                    <w:pStyle w:val="TableText0"/>
                    <w:keepNext w:val="0"/>
                    <w:widowControl w:val="0"/>
                    <w:rPr>
                      <w:szCs w:val="20"/>
                    </w:rPr>
                  </w:pPr>
                  <w:r w:rsidRPr="00E97B44">
                    <w:rPr>
                      <w:szCs w:val="20"/>
                    </w:rPr>
                    <w:t>40-44</w:t>
                  </w:r>
                </w:p>
              </w:tc>
              <w:tc>
                <w:tcPr>
                  <w:tcW w:w="1337" w:type="pct"/>
                </w:tcPr>
                <w:p w14:paraId="051AD480" w14:textId="4BC48F63"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7"/>
                      <w14:textFill>
                        <w14:solidFill>
                          <w14:srgbClr w14:val="000000">
                            <w14:alpha w14:val="100000"/>
                          </w14:srgbClr>
                        </w14:solidFill>
                      </w14:textFill>
                    </w:rPr>
                    <w:t>|||</w:t>
                  </w:r>
                  <w:r w:rsidRPr="00CF6E6B">
                    <w:rPr>
                      <w:color w:val="000000"/>
                      <w:spacing w:val="1"/>
                      <w:szCs w:val="20"/>
                      <w:shd w:val="solid" w:color="000000" w:fill="000000"/>
                      <w:fitText w:val="330" w:id="-694454777"/>
                      <w14:textFill>
                        <w14:solidFill>
                          <w14:srgbClr w14:val="000000">
                            <w14:alpha w14:val="100000"/>
                          </w14:srgbClr>
                        </w14:solidFill>
                      </w14:textFill>
                    </w:rPr>
                    <w:t>|</w:t>
                  </w:r>
                  <w:r w:rsidR="004E0649" w:rsidRPr="004E0649">
                    <w:rPr>
                      <w:szCs w:val="20"/>
                      <w:vertAlign w:val="superscript"/>
                    </w:rPr>
                    <w:t>1</w:t>
                  </w:r>
                </w:p>
              </w:tc>
              <w:tc>
                <w:tcPr>
                  <w:tcW w:w="1336" w:type="pct"/>
                </w:tcPr>
                <w:p w14:paraId="7156D364" w14:textId="7A3E0AB5" w:rsidR="00E97B44" w:rsidRPr="00E97B44" w:rsidRDefault="00E97B44" w:rsidP="00C84BD0">
                  <w:pPr>
                    <w:pStyle w:val="TableText0"/>
                    <w:keepNext w:val="0"/>
                    <w:widowControl w:val="0"/>
                    <w:rPr>
                      <w:szCs w:val="20"/>
                    </w:rPr>
                  </w:pPr>
                  <w:r w:rsidRPr="00E97B44">
                    <w:rPr>
                      <w:rFonts w:eastAsia="Calibri" w:cstheme="minorHAnsi"/>
                      <w:szCs w:val="20"/>
                    </w:rPr>
                    <w:t>4.34%</w:t>
                  </w:r>
                </w:p>
              </w:tc>
              <w:tc>
                <w:tcPr>
                  <w:tcW w:w="1279" w:type="pct"/>
                </w:tcPr>
                <w:p w14:paraId="2AF89991" w14:textId="77777777" w:rsidR="00E97B44" w:rsidRPr="00E97B44" w:rsidRDefault="00E97B44" w:rsidP="00C84BD0">
                  <w:pPr>
                    <w:pStyle w:val="TableText0"/>
                    <w:keepNext w:val="0"/>
                    <w:widowControl w:val="0"/>
                    <w:rPr>
                      <w:rFonts w:cstheme="minorHAnsi"/>
                      <w:szCs w:val="20"/>
                    </w:rPr>
                  </w:pPr>
                  <w:r w:rsidRPr="00E97B44">
                    <w:rPr>
                      <w:szCs w:val="20"/>
                    </w:rPr>
                    <w:t>28.50%</w:t>
                  </w:r>
                </w:p>
              </w:tc>
            </w:tr>
            <w:tr w:rsidR="00E97B44" w:rsidRPr="00E97B44" w14:paraId="57A631CC" w14:textId="77777777" w:rsidTr="00E97B44">
              <w:trPr>
                <w:trHeight w:val="20"/>
              </w:trPr>
              <w:tc>
                <w:tcPr>
                  <w:tcW w:w="1049" w:type="pct"/>
                </w:tcPr>
                <w:p w14:paraId="03B116F1" w14:textId="77777777" w:rsidR="00E97B44" w:rsidRPr="00E97B44" w:rsidRDefault="00E97B44" w:rsidP="00C84BD0">
                  <w:pPr>
                    <w:pStyle w:val="TableText0"/>
                    <w:keepNext w:val="0"/>
                    <w:widowControl w:val="0"/>
                    <w:rPr>
                      <w:szCs w:val="20"/>
                    </w:rPr>
                  </w:pPr>
                  <w:r w:rsidRPr="00E97B44">
                    <w:rPr>
                      <w:szCs w:val="20"/>
                    </w:rPr>
                    <w:t>45-49</w:t>
                  </w:r>
                </w:p>
              </w:tc>
              <w:tc>
                <w:tcPr>
                  <w:tcW w:w="1337" w:type="pct"/>
                </w:tcPr>
                <w:p w14:paraId="3BC9D612" w14:textId="31B8AD1D"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6"/>
                      <w14:textFill>
                        <w14:solidFill>
                          <w14:srgbClr w14:val="000000">
                            <w14:alpha w14:val="100000"/>
                          </w14:srgbClr>
                        </w14:solidFill>
                      </w14:textFill>
                    </w:rPr>
                    <w:t>|||</w:t>
                  </w:r>
                  <w:r w:rsidRPr="00CF6E6B">
                    <w:rPr>
                      <w:color w:val="000000"/>
                      <w:spacing w:val="1"/>
                      <w:szCs w:val="20"/>
                      <w:shd w:val="solid" w:color="000000" w:fill="000000"/>
                      <w:fitText w:val="330" w:id="-694454776"/>
                      <w14:textFill>
                        <w14:solidFill>
                          <w14:srgbClr w14:val="000000">
                            <w14:alpha w14:val="100000"/>
                          </w14:srgbClr>
                        </w14:solidFill>
                      </w14:textFill>
                    </w:rPr>
                    <w:t>|</w:t>
                  </w:r>
                  <w:r w:rsidR="00A97D09" w:rsidRPr="00A97D09">
                    <w:rPr>
                      <w:szCs w:val="20"/>
                      <w:vertAlign w:val="superscript"/>
                    </w:rPr>
                    <w:t>2</w:t>
                  </w:r>
                </w:p>
              </w:tc>
              <w:tc>
                <w:tcPr>
                  <w:tcW w:w="1336" w:type="pct"/>
                </w:tcPr>
                <w:p w14:paraId="4926450F" w14:textId="0A80F7B9" w:rsidR="00E97B44" w:rsidRPr="00E97B44" w:rsidRDefault="00E97B44" w:rsidP="00C84BD0">
                  <w:pPr>
                    <w:pStyle w:val="TableText0"/>
                    <w:keepNext w:val="0"/>
                    <w:widowControl w:val="0"/>
                    <w:rPr>
                      <w:szCs w:val="20"/>
                    </w:rPr>
                  </w:pPr>
                  <w:r w:rsidRPr="00E97B44">
                    <w:rPr>
                      <w:rFonts w:eastAsia="Calibri" w:cstheme="minorHAnsi"/>
                      <w:szCs w:val="20"/>
                    </w:rPr>
                    <w:t>10.80%</w:t>
                  </w:r>
                </w:p>
              </w:tc>
              <w:tc>
                <w:tcPr>
                  <w:tcW w:w="1279" w:type="pct"/>
                </w:tcPr>
                <w:p w14:paraId="5C342617" w14:textId="77777777" w:rsidR="00E97B44" w:rsidRPr="00E97B44" w:rsidRDefault="00E97B44" w:rsidP="00C84BD0">
                  <w:pPr>
                    <w:pStyle w:val="TableText0"/>
                    <w:keepNext w:val="0"/>
                    <w:widowControl w:val="0"/>
                    <w:rPr>
                      <w:rFonts w:cstheme="minorHAnsi"/>
                      <w:szCs w:val="20"/>
                    </w:rPr>
                  </w:pPr>
                  <w:r w:rsidRPr="00E97B44">
                    <w:rPr>
                      <w:szCs w:val="20"/>
                    </w:rPr>
                    <w:t>28.50%</w:t>
                  </w:r>
                </w:p>
              </w:tc>
            </w:tr>
            <w:tr w:rsidR="00E97B44" w:rsidRPr="00E97B44" w14:paraId="133220B2" w14:textId="77777777" w:rsidTr="00E97B44">
              <w:trPr>
                <w:trHeight w:val="20"/>
              </w:trPr>
              <w:tc>
                <w:tcPr>
                  <w:tcW w:w="1049" w:type="pct"/>
                </w:tcPr>
                <w:p w14:paraId="1DD1391A" w14:textId="77777777" w:rsidR="00E97B44" w:rsidRPr="00E97B44" w:rsidRDefault="00E97B44" w:rsidP="00C84BD0">
                  <w:pPr>
                    <w:pStyle w:val="TableText0"/>
                    <w:keepNext w:val="0"/>
                    <w:widowControl w:val="0"/>
                    <w:rPr>
                      <w:szCs w:val="20"/>
                    </w:rPr>
                  </w:pPr>
                  <w:r w:rsidRPr="00E97B44">
                    <w:rPr>
                      <w:szCs w:val="20"/>
                    </w:rPr>
                    <w:t>50-54</w:t>
                  </w:r>
                </w:p>
              </w:tc>
              <w:tc>
                <w:tcPr>
                  <w:tcW w:w="1337" w:type="pct"/>
                </w:tcPr>
                <w:p w14:paraId="7E8853B0" w14:textId="545A1736"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5"/>
                      <w14:textFill>
                        <w14:solidFill>
                          <w14:srgbClr w14:val="000000">
                            <w14:alpha w14:val="100000"/>
                          </w14:srgbClr>
                        </w14:solidFill>
                      </w14:textFill>
                    </w:rPr>
                    <w:t>|||</w:t>
                  </w:r>
                  <w:r w:rsidRPr="00CF6E6B">
                    <w:rPr>
                      <w:color w:val="000000"/>
                      <w:spacing w:val="1"/>
                      <w:szCs w:val="20"/>
                      <w:shd w:val="solid" w:color="000000" w:fill="000000"/>
                      <w:fitText w:val="330" w:id="-694454775"/>
                      <w14:textFill>
                        <w14:solidFill>
                          <w14:srgbClr w14:val="000000">
                            <w14:alpha w14:val="100000"/>
                          </w14:srgbClr>
                        </w14:solidFill>
                      </w14:textFill>
                    </w:rPr>
                    <w:t>|</w:t>
                  </w:r>
                  <w:r w:rsidR="00A26465" w:rsidRPr="00A97D09">
                    <w:rPr>
                      <w:szCs w:val="20"/>
                      <w:vertAlign w:val="superscript"/>
                    </w:rPr>
                    <w:t>2</w:t>
                  </w:r>
                </w:p>
              </w:tc>
              <w:tc>
                <w:tcPr>
                  <w:tcW w:w="1336" w:type="pct"/>
                </w:tcPr>
                <w:p w14:paraId="4EFF7E73" w14:textId="4938D58F" w:rsidR="00E97B44" w:rsidRPr="00E97B44" w:rsidRDefault="00E97B44" w:rsidP="00C84BD0">
                  <w:pPr>
                    <w:pStyle w:val="TableText0"/>
                    <w:keepNext w:val="0"/>
                    <w:widowControl w:val="0"/>
                    <w:rPr>
                      <w:szCs w:val="20"/>
                    </w:rPr>
                  </w:pPr>
                  <w:r w:rsidRPr="00E97B44">
                    <w:rPr>
                      <w:rFonts w:eastAsia="Calibri" w:cstheme="minorHAnsi"/>
                      <w:szCs w:val="20"/>
                    </w:rPr>
                    <w:t>52.95%</w:t>
                  </w:r>
                </w:p>
              </w:tc>
              <w:tc>
                <w:tcPr>
                  <w:tcW w:w="1279" w:type="pct"/>
                </w:tcPr>
                <w:p w14:paraId="3AA2D0D4" w14:textId="77777777" w:rsidR="00E97B44" w:rsidRPr="00E97B44" w:rsidRDefault="00E97B44" w:rsidP="00C84BD0">
                  <w:pPr>
                    <w:pStyle w:val="TableText0"/>
                    <w:keepNext w:val="0"/>
                    <w:widowControl w:val="0"/>
                    <w:rPr>
                      <w:rFonts w:cstheme="minorHAnsi"/>
                      <w:szCs w:val="20"/>
                    </w:rPr>
                  </w:pPr>
                  <w:r w:rsidRPr="00E97B44">
                    <w:rPr>
                      <w:szCs w:val="20"/>
                    </w:rPr>
                    <w:t>28.50%</w:t>
                  </w:r>
                </w:p>
              </w:tc>
            </w:tr>
            <w:tr w:rsidR="00E97B44" w:rsidRPr="00E97B44" w14:paraId="7D94C46E" w14:textId="77777777" w:rsidTr="00E97B44">
              <w:trPr>
                <w:trHeight w:val="20"/>
              </w:trPr>
              <w:tc>
                <w:tcPr>
                  <w:tcW w:w="1049" w:type="pct"/>
                </w:tcPr>
                <w:p w14:paraId="051D11AD" w14:textId="77777777" w:rsidR="00E97B44" w:rsidRPr="00E97B44" w:rsidRDefault="00E97B44" w:rsidP="00C84BD0">
                  <w:pPr>
                    <w:pStyle w:val="TableText0"/>
                    <w:keepNext w:val="0"/>
                    <w:widowControl w:val="0"/>
                    <w:rPr>
                      <w:szCs w:val="20"/>
                    </w:rPr>
                  </w:pPr>
                  <w:r w:rsidRPr="00E97B44">
                    <w:rPr>
                      <w:szCs w:val="20"/>
                    </w:rPr>
                    <w:t>55-59</w:t>
                  </w:r>
                </w:p>
              </w:tc>
              <w:tc>
                <w:tcPr>
                  <w:tcW w:w="1337" w:type="pct"/>
                </w:tcPr>
                <w:p w14:paraId="473BD87D" w14:textId="5C8410EC"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4"/>
                      <w14:textFill>
                        <w14:solidFill>
                          <w14:srgbClr w14:val="000000">
                            <w14:alpha w14:val="100000"/>
                          </w14:srgbClr>
                        </w14:solidFill>
                      </w14:textFill>
                    </w:rPr>
                    <w:t>|||</w:t>
                  </w:r>
                  <w:r w:rsidRPr="00CF6E6B">
                    <w:rPr>
                      <w:color w:val="000000"/>
                      <w:spacing w:val="1"/>
                      <w:szCs w:val="20"/>
                      <w:shd w:val="solid" w:color="000000" w:fill="000000"/>
                      <w:fitText w:val="330" w:id="-694454774"/>
                      <w14:textFill>
                        <w14:solidFill>
                          <w14:srgbClr w14:val="000000">
                            <w14:alpha w14:val="100000"/>
                          </w14:srgbClr>
                        </w14:solidFill>
                      </w14:textFill>
                    </w:rPr>
                    <w:t>|</w:t>
                  </w:r>
                  <w:r w:rsidR="00A26465" w:rsidRPr="00A97D09">
                    <w:rPr>
                      <w:szCs w:val="20"/>
                      <w:vertAlign w:val="superscript"/>
                    </w:rPr>
                    <w:t>2</w:t>
                  </w:r>
                </w:p>
              </w:tc>
              <w:tc>
                <w:tcPr>
                  <w:tcW w:w="1336" w:type="pct"/>
                </w:tcPr>
                <w:p w14:paraId="5DED078E" w14:textId="43759374" w:rsidR="00E97B44" w:rsidRPr="00E97B44" w:rsidRDefault="00E97B44" w:rsidP="00C84BD0">
                  <w:pPr>
                    <w:pStyle w:val="TableText0"/>
                    <w:keepNext w:val="0"/>
                    <w:widowControl w:val="0"/>
                    <w:rPr>
                      <w:szCs w:val="20"/>
                    </w:rPr>
                  </w:pPr>
                  <w:r w:rsidRPr="00E97B44">
                    <w:rPr>
                      <w:rFonts w:eastAsia="Calibri" w:cstheme="minorHAnsi"/>
                      <w:szCs w:val="20"/>
                    </w:rPr>
                    <w:t>95.32%</w:t>
                  </w:r>
                </w:p>
              </w:tc>
              <w:tc>
                <w:tcPr>
                  <w:tcW w:w="1279" w:type="pct"/>
                </w:tcPr>
                <w:p w14:paraId="6947ABC0" w14:textId="77777777" w:rsidR="00E97B44" w:rsidRPr="00E97B44" w:rsidRDefault="00E97B44" w:rsidP="00C84BD0">
                  <w:pPr>
                    <w:pStyle w:val="TableText0"/>
                    <w:keepNext w:val="0"/>
                    <w:widowControl w:val="0"/>
                    <w:rPr>
                      <w:rFonts w:cstheme="minorHAnsi"/>
                      <w:szCs w:val="20"/>
                    </w:rPr>
                  </w:pPr>
                  <w:r w:rsidRPr="00E97B44">
                    <w:rPr>
                      <w:szCs w:val="20"/>
                    </w:rPr>
                    <w:t>15.10%</w:t>
                  </w:r>
                </w:p>
              </w:tc>
            </w:tr>
            <w:tr w:rsidR="00E97B44" w:rsidRPr="00E97B44" w14:paraId="4CD76D3E" w14:textId="77777777" w:rsidTr="00E97B44">
              <w:trPr>
                <w:trHeight w:val="20"/>
              </w:trPr>
              <w:tc>
                <w:tcPr>
                  <w:tcW w:w="1049" w:type="pct"/>
                </w:tcPr>
                <w:p w14:paraId="4F40AE70" w14:textId="77777777" w:rsidR="00E97B44" w:rsidRPr="00E97B44" w:rsidRDefault="00E97B44" w:rsidP="00C84BD0">
                  <w:pPr>
                    <w:pStyle w:val="TableText0"/>
                    <w:keepNext w:val="0"/>
                    <w:widowControl w:val="0"/>
                    <w:rPr>
                      <w:szCs w:val="20"/>
                    </w:rPr>
                  </w:pPr>
                  <w:r w:rsidRPr="00E97B44">
                    <w:rPr>
                      <w:szCs w:val="20"/>
                    </w:rPr>
                    <w:t>60-64</w:t>
                  </w:r>
                </w:p>
              </w:tc>
              <w:tc>
                <w:tcPr>
                  <w:tcW w:w="1337" w:type="pct"/>
                </w:tcPr>
                <w:p w14:paraId="7F70EFE7" w14:textId="042968E7"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3"/>
                      <w14:textFill>
                        <w14:solidFill>
                          <w14:srgbClr w14:val="000000">
                            <w14:alpha w14:val="100000"/>
                          </w14:srgbClr>
                        </w14:solidFill>
                      </w14:textFill>
                    </w:rPr>
                    <w:t>|||</w:t>
                  </w:r>
                  <w:r w:rsidRPr="00CF6E6B">
                    <w:rPr>
                      <w:color w:val="000000"/>
                      <w:spacing w:val="1"/>
                      <w:szCs w:val="20"/>
                      <w:shd w:val="solid" w:color="000000" w:fill="000000"/>
                      <w:fitText w:val="330" w:id="-694454773"/>
                      <w14:textFill>
                        <w14:solidFill>
                          <w14:srgbClr w14:val="000000">
                            <w14:alpha w14:val="100000"/>
                          </w14:srgbClr>
                        </w14:solidFill>
                      </w14:textFill>
                    </w:rPr>
                    <w:t>|</w:t>
                  </w:r>
                  <w:r w:rsidR="008D410D" w:rsidRPr="008D410D">
                    <w:rPr>
                      <w:szCs w:val="20"/>
                      <w:vertAlign w:val="superscript"/>
                    </w:rPr>
                    <w:t>3</w:t>
                  </w:r>
                </w:p>
              </w:tc>
              <w:tc>
                <w:tcPr>
                  <w:tcW w:w="1336" w:type="pct"/>
                </w:tcPr>
                <w:p w14:paraId="2AB05C5E" w14:textId="43771FAA" w:rsidR="00E97B44" w:rsidRPr="00E97B44" w:rsidRDefault="00E97B44" w:rsidP="00C84BD0">
                  <w:pPr>
                    <w:pStyle w:val="TableText0"/>
                    <w:keepNext w:val="0"/>
                    <w:widowControl w:val="0"/>
                    <w:rPr>
                      <w:szCs w:val="20"/>
                    </w:rPr>
                  </w:pPr>
                  <w:r w:rsidRPr="00E97B44">
                    <w:rPr>
                      <w:rFonts w:eastAsia="Calibri" w:cstheme="minorHAnsi"/>
                      <w:szCs w:val="20"/>
                    </w:rPr>
                    <w:t>100%</w:t>
                  </w:r>
                </w:p>
              </w:tc>
              <w:tc>
                <w:tcPr>
                  <w:tcW w:w="1279" w:type="pct"/>
                </w:tcPr>
                <w:p w14:paraId="4AD447E8" w14:textId="77777777" w:rsidR="00E97B44" w:rsidRPr="00E97B44" w:rsidRDefault="00E97B44" w:rsidP="00C84BD0">
                  <w:pPr>
                    <w:pStyle w:val="TableText0"/>
                    <w:keepNext w:val="0"/>
                    <w:widowControl w:val="0"/>
                    <w:rPr>
                      <w:rFonts w:cstheme="minorHAnsi"/>
                      <w:szCs w:val="20"/>
                    </w:rPr>
                  </w:pPr>
                  <w:r w:rsidRPr="00E97B44">
                    <w:rPr>
                      <w:szCs w:val="20"/>
                    </w:rPr>
                    <w:t>6.50%</w:t>
                  </w:r>
                </w:p>
              </w:tc>
            </w:tr>
            <w:tr w:rsidR="00E97B44" w:rsidRPr="00E97B44" w14:paraId="12084A82" w14:textId="77777777" w:rsidTr="00E97B44">
              <w:trPr>
                <w:trHeight w:val="20"/>
              </w:trPr>
              <w:tc>
                <w:tcPr>
                  <w:tcW w:w="1049" w:type="pct"/>
                </w:tcPr>
                <w:p w14:paraId="7F86B4D1" w14:textId="77777777" w:rsidR="00E97B44" w:rsidRPr="00E97B44" w:rsidRDefault="00E97B44" w:rsidP="00C84BD0">
                  <w:pPr>
                    <w:pStyle w:val="TableText0"/>
                    <w:keepNext w:val="0"/>
                    <w:widowControl w:val="0"/>
                    <w:rPr>
                      <w:szCs w:val="20"/>
                    </w:rPr>
                  </w:pPr>
                  <w:r w:rsidRPr="00E97B44">
                    <w:rPr>
                      <w:szCs w:val="20"/>
                    </w:rPr>
                    <w:t>65-69</w:t>
                  </w:r>
                </w:p>
              </w:tc>
              <w:tc>
                <w:tcPr>
                  <w:tcW w:w="1337" w:type="pct"/>
                </w:tcPr>
                <w:p w14:paraId="6DD3B933" w14:textId="47146420"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2"/>
                      <w14:textFill>
                        <w14:solidFill>
                          <w14:srgbClr w14:val="000000">
                            <w14:alpha w14:val="100000"/>
                          </w14:srgbClr>
                        </w14:solidFill>
                      </w14:textFill>
                    </w:rPr>
                    <w:t>|||</w:t>
                  </w:r>
                  <w:r w:rsidRPr="00CF6E6B">
                    <w:rPr>
                      <w:color w:val="000000"/>
                      <w:spacing w:val="1"/>
                      <w:szCs w:val="20"/>
                      <w:shd w:val="solid" w:color="000000" w:fill="000000"/>
                      <w:fitText w:val="330" w:id="-694454772"/>
                      <w14:textFill>
                        <w14:solidFill>
                          <w14:srgbClr w14:val="000000">
                            <w14:alpha w14:val="100000"/>
                          </w14:srgbClr>
                        </w14:solidFill>
                      </w14:textFill>
                    </w:rPr>
                    <w:t>|</w:t>
                  </w:r>
                  <w:r w:rsidR="008D410D" w:rsidRPr="008D410D">
                    <w:rPr>
                      <w:szCs w:val="20"/>
                      <w:vertAlign w:val="superscript"/>
                    </w:rPr>
                    <w:t>3</w:t>
                  </w:r>
                </w:p>
              </w:tc>
              <w:tc>
                <w:tcPr>
                  <w:tcW w:w="1336" w:type="pct"/>
                </w:tcPr>
                <w:p w14:paraId="6E74BC5B" w14:textId="398B8C13" w:rsidR="00E97B44" w:rsidRPr="00E97B44" w:rsidRDefault="00E97B44" w:rsidP="00C84BD0">
                  <w:pPr>
                    <w:pStyle w:val="TableText0"/>
                    <w:keepNext w:val="0"/>
                    <w:widowControl w:val="0"/>
                    <w:rPr>
                      <w:szCs w:val="20"/>
                    </w:rPr>
                  </w:pPr>
                  <w:r w:rsidRPr="00E97B44">
                    <w:rPr>
                      <w:rFonts w:eastAsia="Calibri" w:cstheme="minorHAnsi"/>
                      <w:szCs w:val="20"/>
                    </w:rPr>
                    <w:t>100%</w:t>
                  </w:r>
                </w:p>
              </w:tc>
              <w:tc>
                <w:tcPr>
                  <w:tcW w:w="1279" w:type="pct"/>
                </w:tcPr>
                <w:p w14:paraId="0F6ADF61" w14:textId="77777777" w:rsidR="00E97B44" w:rsidRPr="00E97B44" w:rsidRDefault="00E97B44" w:rsidP="00C84BD0">
                  <w:pPr>
                    <w:pStyle w:val="TableText0"/>
                    <w:keepNext w:val="0"/>
                    <w:widowControl w:val="0"/>
                    <w:rPr>
                      <w:rFonts w:cstheme="minorHAnsi"/>
                      <w:szCs w:val="20"/>
                    </w:rPr>
                  </w:pPr>
                  <w:r w:rsidRPr="00E97B44">
                    <w:rPr>
                      <w:szCs w:val="20"/>
                    </w:rPr>
                    <w:t>4.30%</w:t>
                  </w:r>
                </w:p>
              </w:tc>
            </w:tr>
            <w:tr w:rsidR="00E97B44" w:rsidRPr="00E97B44" w14:paraId="1CB0F7F4" w14:textId="77777777" w:rsidTr="00E97B44">
              <w:trPr>
                <w:trHeight w:val="20"/>
              </w:trPr>
              <w:tc>
                <w:tcPr>
                  <w:tcW w:w="1049" w:type="pct"/>
                </w:tcPr>
                <w:p w14:paraId="631F0E87" w14:textId="77777777" w:rsidR="00E97B44" w:rsidRPr="00E97B44" w:rsidRDefault="00E97B44" w:rsidP="00C84BD0">
                  <w:pPr>
                    <w:pStyle w:val="TableText0"/>
                    <w:keepNext w:val="0"/>
                    <w:widowControl w:val="0"/>
                    <w:rPr>
                      <w:szCs w:val="20"/>
                    </w:rPr>
                  </w:pPr>
                  <w:r w:rsidRPr="00E97B44">
                    <w:rPr>
                      <w:szCs w:val="20"/>
                    </w:rPr>
                    <w:t>70-74</w:t>
                  </w:r>
                </w:p>
              </w:tc>
              <w:tc>
                <w:tcPr>
                  <w:tcW w:w="1337" w:type="pct"/>
                </w:tcPr>
                <w:p w14:paraId="397D3ED0" w14:textId="2E0ECDF6" w:rsidR="00E97B44" w:rsidRPr="00B521B3" w:rsidRDefault="00CF6E6B" w:rsidP="00C84BD0">
                  <w:pPr>
                    <w:pStyle w:val="TableText0"/>
                    <w:keepNext w:val="0"/>
                    <w:widowControl w:val="0"/>
                    <w:rPr>
                      <w:rFonts w:eastAsia="Calibri" w:cstheme="minorHAnsi"/>
                      <w:szCs w:val="20"/>
                      <w:highlight w:val="darkGray"/>
                    </w:rPr>
                  </w:pPr>
                  <w:r w:rsidRPr="00CF6E6B">
                    <w:rPr>
                      <w:color w:val="000000"/>
                      <w:spacing w:val="53"/>
                      <w:szCs w:val="20"/>
                      <w:shd w:val="solid" w:color="000000" w:fill="000000"/>
                      <w:fitText w:val="330" w:id="-694454771"/>
                      <w14:textFill>
                        <w14:solidFill>
                          <w14:srgbClr w14:val="000000">
                            <w14:alpha w14:val="100000"/>
                          </w14:srgbClr>
                        </w14:solidFill>
                      </w14:textFill>
                    </w:rPr>
                    <w:t>|||</w:t>
                  </w:r>
                  <w:r w:rsidRPr="00CF6E6B">
                    <w:rPr>
                      <w:color w:val="000000"/>
                      <w:spacing w:val="1"/>
                      <w:szCs w:val="20"/>
                      <w:shd w:val="solid" w:color="000000" w:fill="000000"/>
                      <w:fitText w:val="330" w:id="-694454771"/>
                      <w14:textFill>
                        <w14:solidFill>
                          <w14:srgbClr w14:val="000000">
                            <w14:alpha w14:val="100000"/>
                          </w14:srgbClr>
                        </w14:solidFill>
                      </w14:textFill>
                    </w:rPr>
                    <w:t>|</w:t>
                  </w:r>
                  <w:r w:rsidR="008D410D" w:rsidRPr="008D410D">
                    <w:rPr>
                      <w:szCs w:val="20"/>
                      <w:vertAlign w:val="superscript"/>
                    </w:rPr>
                    <w:t>4</w:t>
                  </w:r>
                </w:p>
              </w:tc>
              <w:tc>
                <w:tcPr>
                  <w:tcW w:w="1336" w:type="pct"/>
                </w:tcPr>
                <w:p w14:paraId="14DF8F60" w14:textId="1BE16030" w:rsidR="00E97B44" w:rsidRPr="00E97B44" w:rsidRDefault="00E97B44" w:rsidP="00C84BD0">
                  <w:pPr>
                    <w:pStyle w:val="TableText0"/>
                    <w:keepNext w:val="0"/>
                    <w:widowControl w:val="0"/>
                    <w:rPr>
                      <w:szCs w:val="20"/>
                    </w:rPr>
                  </w:pPr>
                  <w:r w:rsidRPr="00E97B44">
                    <w:rPr>
                      <w:rFonts w:eastAsia="Calibri" w:cstheme="minorHAnsi"/>
                      <w:szCs w:val="20"/>
                    </w:rPr>
                    <w:t>100%</w:t>
                  </w:r>
                </w:p>
              </w:tc>
              <w:tc>
                <w:tcPr>
                  <w:tcW w:w="1279" w:type="pct"/>
                </w:tcPr>
                <w:p w14:paraId="5F8C193C" w14:textId="77777777" w:rsidR="00E97B44" w:rsidRPr="00E97B44" w:rsidRDefault="00E97B44" w:rsidP="00C84BD0">
                  <w:pPr>
                    <w:pStyle w:val="TableText0"/>
                    <w:keepNext w:val="0"/>
                    <w:widowControl w:val="0"/>
                    <w:rPr>
                      <w:rFonts w:cstheme="minorHAnsi"/>
                      <w:szCs w:val="20"/>
                    </w:rPr>
                  </w:pPr>
                  <w:r w:rsidRPr="00E97B44">
                    <w:rPr>
                      <w:szCs w:val="20"/>
                    </w:rPr>
                    <w:t>3.20%</w:t>
                  </w:r>
                </w:p>
              </w:tc>
            </w:tr>
            <w:tr w:rsidR="00E97B44" w:rsidRPr="00E97B44" w14:paraId="490A32C8" w14:textId="77777777" w:rsidTr="00E97B44">
              <w:trPr>
                <w:trHeight w:val="20"/>
              </w:trPr>
              <w:tc>
                <w:tcPr>
                  <w:tcW w:w="1049" w:type="pct"/>
                </w:tcPr>
                <w:p w14:paraId="4C25075C" w14:textId="77777777" w:rsidR="00E97B44" w:rsidRPr="00E97B44" w:rsidRDefault="00E97B44" w:rsidP="00C84BD0">
                  <w:pPr>
                    <w:pStyle w:val="TableText0"/>
                    <w:keepNext w:val="0"/>
                    <w:widowControl w:val="0"/>
                    <w:rPr>
                      <w:szCs w:val="20"/>
                    </w:rPr>
                  </w:pPr>
                  <w:r w:rsidRPr="00E97B44">
                    <w:rPr>
                      <w:szCs w:val="20"/>
                    </w:rPr>
                    <w:t>75-79</w:t>
                  </w:r>
                </w:p>
              </w:tc>
              <w:tc>
                <w:tcPr>
                  <w:tcW w:w="1337" w:type="pct"/>
                </w:tcPr>
                <w:p w14:paraId="43982558" w14:textId="0171427C" w:rsidR="00E97B44" w:rsidRPr="008D410D" w:rsidRDefault="00CF6E6B" w:rsidP="00C84BD0">
                  <w:pPr>
                    <w:pStyle w:val="TableText0"/>
                    <w:keepNext w:val="0"/>
                    <w:widowControl w:val="0"/>
                    <w:rPr>
                      <w:rFonts w:eastAsia="Calibri" w:cstheme="minorHAnsi"/>
                      <w:szCs w:val="20"/>
                      <w:highlight w:val="darkGray"/>
                      <w:vertAlign w:val="superscript"/>
                    </w:rPr>
                  </w:pPr>
                  <w:r w:rsidRPr="00CF6E6B">
                    <w:rPr>
                      <w:color w:val="000000"/>
                      <w:spacing w:val="53"/>
                      <w:szCs w:val="20"/>
                      <w:shd w:val="solid" w:color="000000" w:fill="000000"/>
                      <w:fitText w:val="330" w:id="-694454770"/>
                      <w14:textFill>
                        <w14:solidFill>
                          <w14:srgbClr w14:val="000000">
                            <w14:alpha w14:val="100000"/>
                          </w14:srgbClr>
                        </w14:solidFill>
                      </w14:textFill>
                    </w:rPr>
                    <w:t>|||</w:t>
                  </w:r>
                  <w:r w:rsidRPr="00CF6E6B">
                    <w:rPr>
                      <w:color w:val="000000"/>
                      <w:spacing w:val="1"/>
                      <w:szCs w:val="20"/>
                      <w:shd w:val="solid" w:color="000000" w:fill="000000"/>
                      <w:fitText w:val="330" w:id="-694454770"/>
                      <w14:textFill>
                        <w14:solidFill>
                          <w14:srgbClr w14:val="000000">
                            <w14:alpha w14:val="100000"/>
                          </w14:srgbClr>
                        </w14:solidFill>
                      </w14:textFill>
                    </w:rPr>
                    <w:t>|</w:t>
                  </w:r>
                  <w:r w:rsidR="008D410D" w:rsidRPr="008D410D">
                    <w:rPr>
                      <w:szCs w:val="20"/>
                      <w:vertAlign w:val="superscript"/>
                    </w:rPr>
                    <w:t>5</w:t>
                  </w:r>
                </w:p>
              </w:tc>
              <w:tc>
                <w:tcPr>
                  <w:tcW w:w="1336" w:type="pct"/>
                </w:tcPr>
                <w:p w14:paraId="3EDD8167" w14:textId="06D32B8C" w:rsidR="00E97B44" w:rsidRPr="00E97B44" w:rsidRDefault="00E97B44" w:rsidP="00C84BD0">
                  <w:pPr>
                    <w:pStyle w:val="TableText0"/>
                    <w:keepNext w:val="0"/>
                    <w:widowControl w:val="0"/>
                    <w:rPr>
                      <w:szCs w:val="20"/>
                    </w:rPr>
                  </w:pPr>
                  <w:r w:rsidRPr="00E97B44">
                    <w:rPr>
                      <w:rFonts w:eastAsia="Calibri" w:cstheme="minorHAnsi"/>
                      <w:szCs w:val="20"/>
                    </w:rPr>
                    <w:t>100%</w:t>
                  </w:r>
                </w:p>
              </w:tc>
              <w:tc>
                <w:tcPr>
                  <w:tcW w:w="1279" w:type="pct"/>
                </w:tcPr>
                <w:p w14:paraId="52BA1D7D" w14:textId="77777777" w:rsidR="00E97B44" w:rsidRPr="00E97B44" w:rsidRDefault="00E97B44" w:rsidP="00C84BD0">
                  <w:pPr>
                    <w:pStyle w:val="TableText0"/>
                    <w:keepNext w:val="0"/>
                    <w:widowControl w:val="0"/>
                    <w:rPr>
                      <w:rFonts w:cstheme="minorHAnsi"/>
                      <w:szCs w:val="20"/>
                    </w:rPr>
                  </w:pPr>
                  <w:r w:rsidRPr="00E97B44">
                    <w:rPr>
                      <w:szCs w:val="20"/>
                    </w:rPr>
                    <w:t>2.00%</w:t>
                  </w:r>
                </w:p>
              </w:tc>
            </w:tr>
            <w:tr w:rsidR="00E97B44" w:rsidRPr="00E97B44" w14:paraId="53E9440E" w14:textId="77777777" w:rsidTr="00E97B44">
              <w:trPr>
                <w:trHeight w:val="20"/>
              </w:trPr>
              <w:tc>
                <w:tcPr>
                  <w:tcW w:w="2386" w:type="pct"/>
                  <w:gridSpan w:val="2"/>
                </w:tcPr>
                <w:p w14:paraId="274AEB7D" w14:textId="77777777" w:rsidR="00E97B44" w:rsidRPr="00E97B44" w:rsidRDefault="00E97B44" w:rsidP="00C84BD0">
                  <w:pPr>
                    <w:pStyle w:val="TableText0"/>
                    <w:keepNext w:val="0"/>
                    <w:widowControl w:val="0"/>
                    <w:rPr>
                      <w:rFonts w:eastAsia="Calibri" w:cstheme="minorHAnsi"/>
                      <w:b/>
                      <w:bCs w:val="0"/>
                      <w:szCs w:val="20"/>
                    </w:rPr>
                  </w:pPr>
                  <w:r w:rsidRPr="00E97B44">
                    <w:rPr>
                      <w:b/>
                      <w:bCs w:val="0"/>
                      <w:szCs w:val="20"/>
                    </w:rPr>
                    <w:t>Weighted average</w:t>
                  </w:r>
                </w:p>
              </w:tc>
              <w:tc>
                <w:tcPr>
                  <w:tcW w:w="1336" w:type="pct"/>
                </w:tcPr>
                <w:p w14:paraId="0038E32B" w14:textId="6C870F46" w:rsidR="00E97B44" w:rsidRPr="00E97B44" w:rsidRDefault="00E97B44" w:rsidP="00C84BD0">
                  <w:pPr>
                    <w:pStyle w:val="TableText0"/>
                    <w:keepNext w:val="0"/>
                    <w:widowControl w:val="0"/>
                    <w:rPr>
                      <w:rFonts w:eastAsia="Calibri" w:cstheme="minorHAnsi"/>
                      <w:b/>
                      <w:bCs w:val="0"/>
                      <w:szCs w:val="20"/>
                    </w:rPr>
                  </w:pPr>
                  <w:r w:rsidRPr="00E97B44">
                    <w:rPr>
                      <w:rFonts w:eastAsia="Calibri" w:cstheme="minorHAnsi"/>
                      <w:b/>
                      <w:bCs w:val="0"/>
                      <w:szCs w:val="20"/>
                    </w:rPr>
                    <w:t>65.4%</w:t>
                  </w:r>
                </w:p>
              </w:tc>
              <w:tc>
                <w:tcPr>
                  <w:tcW w:w="1279" w:type="pct"/>
                </w:tcPr>
                <w:p w14:paraId="216FAA69" w14:textId="77777777" w:rsidR="00E97B44" w:rsidRPr="00E97B44" w:rsidRDefault="00E97B44" w:rsidP="00C84BD0">
                  <w:pPr>
                    <w:pStyle w:val="TableText0"/>
                    <w:keepNext w:val="0"/>
                    <w:widowControl w:val="0"/>
                    <w:rPr>
                      <w:b/>
                      <w:bCs w:val="0"/>
                      <w:szCs w:val="20"/>
                    </w:rPr>
                  </w:pPr>
                  <w:r w:rsidRPr="00E97B44">
                    <w:rPr>
                      <w:b/>
                      <w:bCs w:val="0"/>
                      <w:szCs w:val="20"/>
                    </w:rPr>
                    <w:t>9.8%</w:t>
                  </w:r>
                </w:p>
              </w:tc>
            </w:tr>
          </w:tbl>
          <w:p w14:paraId="36E4A102" w14:textId="77777777" w:rsidR="00523D9A" w:rsidRPr="005A7226" w:rsidRDefault="00523D9A" w:rsidP="00C84BD0">
            <w:pPr>
              <w:pStyle w:val="TableText0"/>
              <w:keepNext w:val="0"/>
              <w:widowControl w:val="0"/>
            </w:pPr>
          </w:p>
        </w:tc>
        <w:tc>
          <w:tcPr>
            <w:tcW w:w="2297" w:type="pct"/>
            <w:shd w:val="clear" w:color="auto" w:fill="auto"/>
            <w:vAlign w:val="center"/>
          </w:tcPr>
          <w:p w14:paraId="7C018DFC" w14:textId="77777777" w:rsidR="00523D9A" w:rsidRPr="005A7226" w:rsidRDefault="00523D9A" w:rsidP="00C84BD0">
            <w:pPr>
              <w:pStyle w:val="TableText0"/>
              <w:keepNext w:val="0"/>
              <w:widowControl w:val="0"/>
            </w:pPr>
            <w:r w:rsidRPr="005A7226">
              <w:t>The submission calculated the average prevalence of menopause and M-S VMS as weighted averages based on the number of Australian women in each age bracket, in 2026. This approach was uncertain, as the pattern of use may change over time, i.e. initially, prevalent patients are likely older and have had menopause for longer, but over time as incident patients get treated the average age of patients starting treatment may get younger. Minor disparities (</w:t>
            </w:r>
            <w:r w:rsidRPr="005A7226">
              <w:rPr>
                <w:rFonts w:ascii="Calibri" w:hAnsi="Calibri" w:cs="Calibri"/>
              </w:rPr>
              <w:t>~</w:t>
            </w:r>
            <w:r w:rsidRPr="005A7226">
              <w:t>2%) were identified in the number of AU females aged 40-79 years between the submission and ABS. Additionally, 100% of women were assumed to be post-menopausal by age 60. It was unclear whether the women aged 40–79 in the ABS population accurately represent the intended patient cohort for treatment.</w:t>
            </w:r>
          </w:p>
        </w:tc>
      </w:tr>
      <w:tr w:rsidR="00523D9A" w:rsidRPr="005A7226" w14:paraId="3068708A" w14:textId="77777777" w:rsidTr="00E97B44">
        <w:trPr>
          <w:trHeight w:val="20"/>
        </w:trPr>
        <w:tc>
          <w:tcPr>
            <w:tcW w:w="622" w:type="pct"/>
            <w:shd w:val="clear" w:color="auto" w:fill="auto"/>
          </w:tcPr>
          <w:p w14:paraId="37D7E65C" w14:textId="77777777" w:rsidR="00523D9A" w:rsidRPr="005A7226" w:rsidRDefault="00523D9A" w:rsidP="00C84BD0">
            <w:pPr>
              <w:pStyle w:val="TableText0"/>
              <w:keepNext w:val="0"/>
              <w:widowControl w:val="0"/>
            </w:pPr>
            <w:r w:rsidRPr="005A7226">
              <w:t xml:space="preserve">Eligible population: </w:t>
            </w:r>
            <w:r w:rsidRPr="005A7226">
              <w:rPr>
                <w:szCs w:val="20"/>
              </w:rPr>
              <w:t>Australian females aged 40–79 years with M-S VMS, unsuitable for MHT</w:t>
            </w:r>
          </w:p>
        </w:tc>
        <w:tc>
          <w:tcPr>
            <w:tcW w:w="2080" w:type="pct"/>
            <w:shd w:val="clear" w:color="auto" w:fill="auto"/>
          </w:tcPr>
          <w:tbl>
            <w:tblPr>
              <w:tblStyle w:val="TableGrid"/>
              <w:tblW w:w="3274" w:type="dxa"/>
              <w:tblLayout w:type="fixed"/>
              <w:tblLook w:val="04A0" w:firstRow="1" w:lastRow="0" w:firstColumn="1" w:lastColumn="0" w:noHBand="0" w:noVBand="1"/>
            </w:tblPr>
            <w:tblGrid>
              <w:gridCol w:w="1834"/>
              <w:gridCol w:w="1440"/>
            </w:tblGrid>
            <w:tr w:rsidR="00523D9A" w:rsidRPr="005A7226" w14:paraId="701A39AA" w14:textId="77777777" w:rsidTr="00E97B44">
              <w:trPr>
                <w:trHeight w:val="53"/>
              </w:trPr>
              <w:tc>
                <w:tcPr>
                  <w:tcW w:w="2801" w:type="pct"/>
                </w:tcPr>
                <w:p w14:paraId="70AD3AC6" w14:textId="77777777" w:rsidR="00523D9A" w:rsidRPr="00E97B44" w:rsidRDefault="00523D9A" w:rsidP="00C84BD0">
                  <w:pPr>
                    <w:widowControl w:val="0"/>
                    <w:jc w:val="left"/>
                    <w:rPr>
                      <w:rFonts w:ascii="Arial Narrow" w:hAnsi="Arial Narrow"/>
                      <w:b/>
                      <w:bCs/>
                      <w:sz w:val="20"/>
                      <w:szCs w:val="20"/>
                    </w:rPr>
                  </w:pPr>
                  <w:r w:rsidRPr="00E97B44">
                    <w:rPr>
                      <w:rFonts w:ascii="Arial Narrow" w:hAnsi="Arial Narrow"/>
                      <w:b/>
                      <w:bCs/>
                      <w:sz w:val="20"/>
                      <w:szCs w:val="20"/>
                    </w:rPr>
                    <w:t>Population criteria</w:t>
                  </w:r>
                </w:p>
              </w:tc>
              <w:tc>
                <w:tcPr>
                  <w:tcW w:w="2199" w:type="pct"/>
                </w:tcPr>
                <w:p w14:paraId="40B4B896" w14:textId="77777777" w:rsidR="00523D9A" w:rsidRPr="00E97B44" w:rsidRDefault="00523D9A" w:rsidP="00C84BD0">
                  <w:pPr>
                    <w:widowControl w:val="0"/>
                    <w:jc w:val="left"/>
                    <w:rPr>
                      <w:rFonts w:ascii="Arial Narrow" w:hAnsi="Arial Narrow"/>
                      <w:b/>
                      <w:bCs/>
                      <w:sz w:val="20"/>
                      <w:szCs w:val="20"/>
                    </w:rPr>
                  </w:pPr>
                  <w:r w:rsidRPr="00E97B44">
                    <w:rPr>
                      <w:rFonts w:ascii="Arial Narrow" w:hAnsi="Arial Narrow"/>
                      <w:b/>
                      <w:bCs/>
                      <w:sz w:val="20"/>
                      <w:szCs w:val="20"/>
                    </w:rPr>
                    <w:t>Assumption</w:t>
                  </w:r>
                </w:p>
              </w:tc>
            </w:tr>
            <w:tr w:rsidR="00523D9A" w:rsidRPr="005A7226" w14:paraId="4A71455A" w14:textId="77777777" w:rsidTr="00E97B44">
              <w:tc>
                <w:tcPr>
                  <w:tcW w:w="2801" w:type="pct"/>
                </w:tcPr>
                <w:p w14:paraId="39233388"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Age</w:t>
                  </w:r>
                </w:p>
              </w:tc>
              <w:tc>
                <w:tcPr>
                  <w:tcW w:w="2199" w:type="pct"/>
                </w:tcPr>
                <w:p w14:paraId="167CBD27"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40-79 years</w:t>
                  </w:r>
                </w:p>
              </w:tc>
            </w:tr>
            <w:tr w:rsidR="00523D9A" w:rsidRPr="005A7226" w14:paraId="3AFD080A" w14:textId="77777777" w:rsidTr="00E97B44">
              <w:tc>
                <w:tcPr>
                  <w:tcW w:w="2801" w:type="pct"/>
                </w:tcPr>
                <w:p w14:paraId="767E72C5"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Having menopause</w:t>
                  </w:r>
                </w:p>
              </w:tc>
              <w:tc>
                <w:tcPr>
                  <w:tcW w:w="2199" w:type="pct"/>
                </w:tcPr>
                <w:p w14:paraId="6C05F10A"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65.4%</w:t>
                  </w:r>
                </w:p>
              </w:tc>
            </w:tr>
            <w:tr w:rsidR="00523D9A" w:rsidRPr="005A7226" w14:paraId="66BA08B1" w14:textId="77777777" w:rsidTr="00E97B44">
              <w:tc>
                <w:tcPr>
                  <w:tcW w:w="2801" w:type="pct"/>
                </w:tcPr>
                <w:p w14:paraId="182A47C5"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Having M-S VMS</w:t>
                  </w:r>
                </w:p>
              </w:tc>
              <w:tc>
                <w:tcPr>
                  <w:tcW w:w="2199" w:type="pct"/>
                </w:tcPr>
                <w:p w14:paraId="291005C4"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9.80%</w:t>
                  </w:r>
                </w:p>
              </w:tc>
            </w:tr>
            <w:tr w:rsidR="00523D9A" w:rsidRPr="005A7226" w14:paraId="3F5B622A" w14:textId="77777777" w:rsidTr="00E97B44">
              <w:tc>
                <w:tcPr>
                  <w:tcW w:w="2801" w:type="pct"/>
                </w:tcPr>
                <w:p w14:paraId="09EC5C00"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MHT unsuitable</w:t>
                  </w:r>
                </w:p>
              </w:tc>
              <w:tc>
                <w:tcPr>
                  <w:tcW w:w="2199" w:type="pct"/>
                </w:tcPr>
                <w:p w14:paraId="4B921C7A" w14:textId="77777777" w:rsidR="00523D9A" w:rsidRPr="00E97B44" w:rsidRDefault="00523D9A" w:rsidP="00C84BD0">
                  <w:pPr>
                    <w:widowControl w:val="0"/>
                    <w:jc w:val="left"/>
                    <w:rPr>
                      <w:rFonts w:ascii="Arial Narrow" w:hAnsi="Arial Narrow"/>
                      <w:sz w:val="20"/>
                      <w:szCs w:val="20"/>
                    </w:rPr>
                  </w:pPr>
                  <w:r w:rsidRPr="00E97B44">
                    <w:rPr>
                      <w:rFonts w:ascii="Arial Narrow" w:hAnsi="Arial Narrow"/>
                      <w:sz w:val="20"/>
                      <w:szCs w:val="20"/>
                    </w:rPr>
                    <w:t>75.0%</w:t>
                  </w:r>
                </w:p>
              </w:tc>
            </w:tr>
          </w:tbl>
          <w:p w14:paraId="2FD1CA0A" w14:textId="77777777" w:rsidR="00523D9A" w:rsidRPr="005A7226" w:rsidRDefault="00523D9A" w:rsidP="00C84BD0"/>
        </w:tc>
        <w:tc>
          <w:tcPr>
            <w:tcW w:w="2297" w:type="pct"/>
            <w:shd w:val="clear" w:color="auto" w:fill="auto"/>
            <w:vAlign w:val="center"/>
          </w:tcPr>
          <w:p w14:paraId="1E40A0E0" w14:textId="20F9457B" w:rsidR="00523D9A" w:rsidRPr="005A7226" w:rsidRDefault="00523D9A" w:rsidP="00C84BD0">
            <w:pPr>
              <w:pStyle w:val="TableText0"/>
              <w:keepNext w:val="0"/>
              <w:widowControl w:val="0"/>
            </w:pPr>
            <w:r w:rsidRPr="005A7226">
              <w:t xml:space="preserve">The submission stated that it applied a prevalent approach to estimate patient numbers, estimating at a population level the expected number of patients each year that would be MHT unsuitable. However, all eligibility criteria in the model did not vary over time and therefore were not used to adjust the prevalent pool to account for patients who start and remain on treatment. While a discontinuation rate was applied as an annual compliance rate, affecting script volumes, it did not prevent patients from returning to treatment the following year. The submission also did not account for the proportion of women who would seek medical advice and consequently receive medication (i.e., 60%, based on Todorova et al., 2023). </w:t>
            </w:r>
            <w:r w:rsidR="00360141" w:rsidRPr="00360141">
              <w:t xml:space="preserve">DUSC noted some patients may cease the medication early due to </w:t>
            </w:r>
            <w:r w:rsidR="00360141">
              <w:t>AEs</w:t>
            </w:r>
            <w:r w:rsidR="00360141" w:rsidRPr="00360141">
              <w:t xml:space="preserve"> or to determine whether VMS have resolved. </w:t>
            </w:r>
            <w:r w:rsidRPr="005A7226">
              <w:t xml:space="preserve">Proportion of women </w:t>
            </w:r>
            <w:r w:rsidR="00AF3513">
              <w:t xml:space="preserve"> </w:t>
            </w:r>
            <w:r w:rsidRPr="005A7226">
              <w:t xml:space="preserve">unsuitable for MHT </w:t>
            </w:r>
            <w:r w:rsidR="005E383E">
              <w:t xml:space="preserve">and having M-S </w:t>
            </w:r>
            <w:r w:rsidR="005B4B6C">
              <w:t xml:space="preserve">VMS </w:t>
            </w:r>
            <w:r w:rsidRPr="005A7226">
              <w:t>(i.e., 75%) could not be verified and was likely overestimated.</w:t>
            </w:r>
          </w:p>
        </w:tc>
      </w:tr>
      <w:tr w:rsidR="00674329" w:rsidRPr="005A7226" w14:paraId="693D9027" w14:textId="77777777" w:rsidTr="0084046E">
        <w:trPr>
          <w:trHeight w:val="20"/>
        </w:trPr>
        <w:tc>
          <w:tcPr>
            <w:tcW w:w="5000" w:type="pct"/>
            <w:gridSpan w:val="3"/>
            <w:shd w:val="clear" w:color="auto" w:fill="auto"/>
          </w:tcPr>
          <w:p w14:paraId="4A6D96C3" w14:textId="50581E18" w:rsidR="00674329" w:rsidRPr="00674329" w:rsidRDefault="00674329" w:rsidP="00C84BD0">
            <w:pPr>
              <w:pStyle w:val="TableText0"/>
              <w:keepNext w:val="0"/>
              <w:widowControl w:val="0"/>
              <w:rPr>
                <w:b/>
                <w:bCs w:val="0"/>
              </w:rPr>
            </w:pPr>
            <w:r w:rsidRPr="00674329">
              <w:rPr>
                <w:b/>
                <w:bCs w:val="0"/>
              </w:rPr>
              <w:t>Treatment utilisation</w:t>
            </w:r>
          </w:p>
        </w:tc>
      </w:tr>
      <w:tr w:rsidR="00674329" w:rsidRPr="005A7226" w14:paraId="50549232" w14:textId="77777777" w:rsidTr="00AF31E6">
        <w:trPr>
          <w:trHeight w:val="20"/>
        </w:trPr>
        <w:tc>
          <w:tcPr>
            <w:tcW w:w="622" w:type="pct"/>
            <w:shd w:val="clear" w:color="auto" w:fill="auto"/>
            <w:vAlign w:val="center"/>
          </w:tcPr>
          <w:p w14:paraId="31B23CB2" w14:textId="1DBC320B" w:rsidR="00674329" w:rsidRPr="005A7226" w:rsidRDefault="00674329" w:rsidP="00C84BD0">
            <w:pPr>
              <w:pStyle w:val="TableText0"/>
              <w:keepNext w:val="0"/>
              <w:widowControl w:val="0"/>
            </w:pPr>
            <w:r w:rsidRPr="005A7226">
              <w:t xml:space="preserve">Initiating patients </w:t>
            </w:r>
          </w:p>
        </w:tc>
        <w:tc>
          <w:tcPr>
            <w:tcW w:w="2080" w:type="pct"/>
            <w:shd w:val="clear" w:color="auto" w:fill="auto"/>
          </w:tcPr>
          <w:tbl>
            <w:tblPr>
              <w:tblStyle w:val="TableGrid"/>
              <w:tblW w:w="3751" w:type="dxa"/>
              <w:tblLayout w:type="fixed"/>
              <w:tblCellMar>
                <w:left w:w="28" w:type="dxa"/>
                <w:right w:w="28" w:type="dxa"/>
              </w:tblCellMar>
              <w:tblLook w:val="04A0" w:firstRow="1" w:lastRow="0" w:firstColumn="1" w:lastColumn="0" w:noHBand="0" w:noVBand="1"/>
            </w:tblPr>
            <w:tblGrid>
              <w:gridCol w:w="271"/>
              <w:gridCol w:w="647"/>
              <w:gridCol w:w="673"/>
              <w:gridCol w:w="720"/>
              <w:gridCol w:w="720"/>
              <w:gridCol w:w="720"/>
            </w:tblGrid>
            <w:tr w:rsidR="00A7130D" w:rsidRPr="00A7130D" w14:paraId="433029FD" w14:textId="77777777" w:rsidTr="00DE165A">
              <w:trPr>
                <w:trHeight w:val="20"/>
              </w:trPr>
              <w:tc>
                <w:tcPr>
                  <w:tcW w:w="361" w:type="pct"/>
                  <w:tcMar>
                    <w:left w:w="0" w:type="dxa"/>
                    <w:right w:w="0" w:type="dxa"/>
                  </w:tcMar>
                </w:tcPr>
                <w:p w14:paraId="1DCF34FC" w14:textId="77777777" w:rsidR="00674329" w:rsidRPr="00A7130D" w:rsidRDefault="00674329" w:rsidP="00C84BD0">
                  <w:pPr>
                    <w:widowControl w:val="0"/>
                    <w:jc w:val="left"/>
                    <w:rPr>
                      <w:rFonts w:ascii="Arial Narrow" w:hAnsi="Arial Narrow"/>
                      <w:b/>
                      <w:bCs/>
                      <w:sz w:val="20"/>
                      <w:szCs w:val="20"/>
                    </w:rPr>
                  </w:pPr>
                </w:p>
              </w:tc>
              <w:tc>
                <w:tcPr>
                  <w:tcW w:w="862" w:type="pct"/>
                  <w:tcMar>
                    <w:left w:w="0" w:type="dxa"/>
                    <w:right w:w="0" w:type="dxa"/>
                  </w:tcMar>
                </w:tcPr>
                <w:p w14:paraId="3130637E" w14:textId="29B2A8AD" w:rsidR="00674329" w:rsidRPr="00A7130D" w:rsidRDefault="00674329" w:rsidP="00C84BD0">
                  <w:pPr>
                    <w:widowControl w:val="0"/>
                    <w:jc w:val="left"/>
                    <w:rPr>
                      <w:rFonts w:ascii="Arial Narrow" w:hAnsi="Arial Narrow"/>
                      <w:b/>
                      <w:bCs/>
                      <w:sz w:val="20"/>
                      <w:szCs w:val="20"/>
                    </w:rPr>
                  </w:pPr>
                  <w:r w:rsidRPr="00A7130D">
                    <w:rPr>
                      <w:rFonts w:ascii="Arial Narrow" w:hAnsi="Arial Narrow"/>
                      <w:b/>
                      <w:bCs/>
                      <w:sz w:val="20"/>
                      <w:szCs w:val="20"/>
                    </w:rPr>
                    <w:t>Eligible pop</w:t>
                  </w:r>
                </w:p>
              </w:tc>
              <w:tc>
                <w:tcPr>
                  <w:tcW w:w="897" w:type="pct"/>
                  <w:tcMar>
                    <w:left w:w="0" w:type="dxa"/>
                    <w:right w:w="0" w:type="dxa"/>
                  </w:tcMar>
                </w:tcPr>
                <w:p w14:paraId="2865983D" w14:textId="77777777" w:rsidR="00674329" w:rsidRPr="00A7130D" w:rsidRDefault="00674329" w:rsidP="00C84BD0">
                  <w:pPr>
                    <w:widowControl w:val="0"/>
                    <w:jc w:val="left"/>
                    <w:rPr>
                      <w:rFonts w:ascii="Arial Narrow" w:hAnsi="Arial Narrow"/>
                      <w:b/>
                      <w:bCs/>
                      <w:sz w:val="20"/>
                      <w:szCs w:val="20"/>
                    </w:rPr>
                  </w:pPr>
                  <w:r w:rsidRPr="00A7130D">
                    <w:rPr>
                      <w:rFonts w:ascii="Arial Narrow" w:hAnsi="Arial Narrow"/>
                      <w:b/>
                      <w:bCs/>
                      <w:sz w:val="20"/>
                      <w:szCs w:val="20"/>
                    </w:rPr>
                    <w:t>Uptake rate</w:t>
                  </w:r>
                </w:p>
              </w:tc>
              <w:tc>
                <w:tcPr>
                  <w:tcW w:w="960" w:type="pct"/>
                  <w:tcMar>
                    <w:left w:w="0" w:type="dxa"/>
                    <w:right w:w="0" w:type="dxa"/>
                  </w:tcMar>
                </w:tcPr>
                <w:p w14:paraId="5C8E303A" w14:textId="77777777" w:rsidR="00674329" w:rsidRPr="00A7130D" w:rsidRDefault="00674329" w:rsidP="00C84BD0">
                  <w:pPr>
                    <w:widowControl w:val="0"/>
                    <w:jc w:val="left"/>
                    <w:rPr>
                      <w:rFonts w:ascii="Arial Narrow" w:hAnsi="Arial Narrow"/>
                      <w:b/>
                      <w:bCs/>
                      <w:sz w:val="20"/>
                      <w:szCs w:val="20"/>
                    </w:rPr>
                  </w:pPr>
                  <w:r w:rsidRPr="00A7130D">
                    <w:rPr>
                      <w:rFonts w:ascii="Arial Narrow" w:hAnsi="Arial Narrow"/>
                      <w:b/>
                      <w:bCs/>
                      <w:sz w:val="20"/>
                      <w:szCs w:val="20"/>
                    </w:rPr>
                    <w:t>New patients</w:t>
                  </w:r>
                </w:p>
              </w:tc>
              <w:tc>
                <w:tcPr>
                  <w:tcW w:w="960" w:type="pct"/>
                  <w:tcMar>
                    <w:left w:w="0" w:type="dxa"/>
                    <w:right w:w="0" w:type="dxa"/>
                  </w:tcMar>
                </w:tcPr>
                <w:p w14:paraId="55DD19A1" w14:textId="48D378F0" w:rsidR="00674329" w:rsidRPr="00A7130D" w:rsidRDefault="00674329" w:rsidP="00C84BD0">
                  <w:pPr>
                    <w:widowControl w:val="0"/>
                    <w:jc w:val="left"/>
                    <w:rPr>
                      <w:rFonts w:ascii="Arial Narrow" w:hAnsi="Arial Narrow"/>
                      <w:b/>
                      <w:bCs/>
                      <w:sz w:val="20"/>
                      <w:szCs w:val="20"/>
                    </w:rPr>
                  </w:pPr>
                  <w:r w:rsidRPr="00A7130D">
                    <w:rPr>
                      <w:rFonts w:ascii="Arial Narrow" w:hAnsi="Arial Narrow"/>
                      <w:b/>
                      <w:bCs/>
                      <w:sz w:val="20"/>
                      <w:szCs w:val="20"/>
                    </w:rPr>
                    <w:t>Grand</w:t>
                  </w:r>
                  <w:r w:rsidR="00A7130D">
                    <w:rPr>
                      <w:rFonts w:ascii="Arial Narrow" w:hAnsi="Arial Narrow"/>
                      <w:b/>
                      <w:bCs/>
                      <w:sz w:val="20"/>
                      <w:szCs w:val="20"/>
                    </w:rPr>
                    <w:t>-</w:t>
                  </w:r>
                  <w:r w:rsidRPr="00A7130D">
                    <w:rPr>
                      <w:rFonts w:ascii="Arial Narrow" w:hAnsi="Arial Narrow"/>
                      <w:b/>
                      <w:bCs/>
                      <w:sz w:val="20"/>
                      <w:szCs w:val="20"/>
                    </w:rPr>
                    <w:t>fathered patients</w:t>
                  </w:r>
                </w:p>
              </w:tc>
              <w:tc>
                <w:tcPr>
                  <w:tcW w:w="960" w:type="pct"/>
                  <w:tcMar>
                    <w:left w:w="0" w:type="dxa"/>
                    <w:right w:w="0" w:type="dxa"/>
                  </w:tcMar>
                </w:tcPr>
                <w:p w14:paraId="1E2D194C" w14:textId="77777777" w:rsidR="00674329" w:rsidRPr="00A7130D" w:rsidRDefault="00674329" w:rsidP="00C84BD0">
                  <w:pPr>
                    <w:widowControl w:val="0"/>
                    <w:jc w:val="left"/>
                    <w:rPr>
                      <w:rFonts w:ascii="Arial Narrow" w:hAnsi="Arial Narrow"/>
                      <w:b/>
                      <w:bCs/>
                      <w:sz w:val="20"/>
                      <w:szCs w:val="20"/>
                    </w:rPr>
                  </w:pPr>
                  <w:r w:rsidRPr="00A7130D">
                    <w:rPr>
                      <w:rFonts w:ascii="Arial Narrow" w:hAnsi="Arial Narrow"/>
                      <w:b/>
                      <w:bCs/>
                      <w:sz w:val="20"/>
                      <w:szCs w:val="20"/>
                    </w:rPr>
                    <w:t>Total</w:t>
                  </w:r>
                </w:p>
              </w:tc>
            </w:tr>
            <w:tr w:rsidR="00A7130D" w:rsidRPr="00A7130D" w14:paraId="15C7AB5E" w14:textId="77777777" w:rsidTr="00DE165A">
              <w:trPr>
                <w:trHeight w:val="20"/>
              </w:trPr>
              <w:tc>
                <w:tcPr>
                  <w:tcW w:w="361" w:type="pct"/>
                  <w:tcMar>
                    <w:left w:w="0" w:type="dxa"/>
                    <w:right w:w="0" w:type="dxa"/>
                  </w:tcMar>
                </w:tcPr>
                <w:p w14:paraId="29C79D49"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Y1</w:t>
                  </w:r>
                </w:p>
              </w:tc>
              <w:tc>
                <w:tcPr>
                  <w:tcW w:w="862" w:type="pct"/>
                  <w:tcMar>
                    <w:left w:w="0" w:type="dxa"/>
                    <w:right w:w="0" w:type="dxa"/>
                  </w:tcMar>
                </w:tcPr>
                <w:p w14:paraId="69E9D335" w14:textId="0E8B3E62"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olor w:val="000000"/>
                      <w:spacing w:val="53"/>
                      <w:sz w:val="20"/>
                      <w:szCs w:val="20"/>
                      <w:shd w:val="solid" w:color="000000" w:fill="000000"/>
                      <w:fitText w:val="330" w:id="-694454769"/>
                      <w14:textFill>
                        <w14:solidFill>
                          <w14:srgbClr w14:val="000000">
                            <w14:alpha w14:val="100000"/>
                          </w14:srgbClr>
                        </w14:solidFill>
                      </w14:textFill>
                    </w:rPr>
                    <w:t>|||</w:t>
                  </w:r>
                  <w:r w:rsidRPr="00CF6E6B">
                    <w:rPr>
                      <w:rFonts w:ascii="Arial Narrow" w:hAnsi="Arial Narrow"/>
                      <w:color w:val="000000"/>
                      <w:spacing w:val="1"/>
                      <w:sz w:val="20"/>
                      <w:szCs w:val="20"/>
                      <w:shd w:val="solid" w:color="000000" w:fill="000000"/>
                      <w:fitText w:val="330" w:id="-694454769"/>
                      <w14:textFill>
                        <w14:solidFill>
                          <w14:srgbClr w14:val="000000">
                            <w14:alpha w14:val="100000"/>
                          </w14:srgbClr>
                        </w14:solidFill>
                      </w14:textFill>
                    </w:rPr>
                    <w:t>|</w:t>
                  </w:r>
                  <w:r w:rsidR="0096222E" w:rsidRPr="0096222E">
                    <w:rPr>
                      <w:rFonts w:ascii="Arial Narrow" w:hAnsi="Arial Narrow"/>
                      <w:sz w:val="20"/>
                      <w:szCs w:val="20"/>
                      <w:vertAlign w:val="superscript"/>
                    </w:rPr>
                    <w:t>6</w:t>
                  </w:r>
                </w:p>
              </w:tc>
              <w:tc>
                <w:tcPr>
                  <w:tcW w:w="897" w:type="pct"/>
                  <w:tcMar>
                    <w:left w:w="0" w:type="dxa"/>
                    <w:right w:w="0" w:type="dxa"/>
                  </w:tcMar>
                </w:tcPr>
                <w:p w14:paraId="4A58825A"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31%</w:t>
                  </w:r>
                </w:p>
              </w:tc>
              <w:tc>
                <w:tcPr>
                  <w:tcW w:w="960" w:type="pct"/>
                  <w:tcMar>
                    <w:left w:w="0" w:type="dxa"/>
                    <w:right w:w="0" w:type="dxa"/>
                  </w:tcMar>
                </w:tcPr>
                <w:p w14:paraId="408D9854" w14:textId="4869CB40" w:rsidR="00674329" w:rsidRPr="00A7130D" w:rsidRDefault="00CF6E6B" w:rsidP="00C84BD0">
                  <w:pPr>
                    <w:widowControl w:val="0"/>
                    <w:jc w:val="left"/>
                    <w:rPr>
                      <w:rFonts w:ascii="Arial Narrow" w:hAnsi="Arial Narrow"/>
                      <w:sz w:val="20"/>
                      <w:szCs w:val="20"/>
                    </w:rPr>
                  </w:pPr>
                  <w:r w:rsidRPr="00CF6E6B">
                    <w:rPr>
                      <w:rFonts w:ascii="Arial Narrow" w:hAnsi="Arial Narrow" w:cstheme="minorHAnsi"/>
                      <w:color w:val="000000"/>
                      <w:spacing w:val="53"/>
                      <w:sz w:val="20"/>
                      <w:szCs w:val="20"/>
                      <w:shd w:val="solid" w:color="000000" w:fill="000000"/>
                      <w:fitText w:val="330" w:id="-694454768"/>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768"/>
                      <w14:textFill>
                        <w14:solidFill>
                          <w14:srgbClr w14:val="000000">
                            <w14:alpha w14:val="100000"/>
                          </w14:srgbClr>
                        </w14:solidFill>
                      </w14:textFill>
                    </w:rPr>
                    <w:t>|</w:t>
                  </w:r>
                  <w:r w:rsidR="001D6551" w:rsidRPr="001D6551">
                    <w:rPr>
                      <w:rFonts w:ascii="Arial Narrow" w:hAnsi="Arial Narrow" w:cstheme="minorHAnsi"/>
                      <w:sz w:val="20"/>
                      <w:szCs w:val="20"/>
                      <w:vertAlign w:val="superscript"/>
                    </w:rPr>
                    <w:t>7</w:t>
                  </w:r>
                  <w:r w:rsidR="00674329" w:rsidRPr="00A7130D">
                    <w:rPr>
                      <w:rFonts w:ascii="Arial Narrow" w:hAnsi="Arial Narrow" w:cstheme="minorHAnsi"/>
                      <w:sz w:val="20"/>
                      <w:szCs w:val="20"/>
                      <w:vertAlign w:val="superscript"/>
                    </w:rPr>
                    <w:t>a</w:t>
                  </w:r>
                </w:p>
              </w:tc>
              <w:tc>
                <w:tcPr>
                  <w:tcW w:w="960" w:type="pct"/>
                  <w:tcMar>
                    <w:left w:w="0" w:type="dxa"/>
                    <w:right w:w="0" w:type="dxa"/>
                  </w:tcMar>
                </w:tcPr>
                <w:p w14:paraId="13199BFF" w14:textId="29C677EF" w:rsidR="00674329" w:rsidRPr="00A7130D" w:rsidRDefault="00CF6E6B" w:rsidP="00C84BD0">
                  <w:pPr>
                    <w:widowControl w:val="0"/>
                    <w:jc w:val="left"/>
                    <w:rPr>
                      <w:rFonts w:ascii="Arial Narrow" w:hAnsi="Arial Narrow" w:cstheme="minorHAnsi"/>
                      <w:sz w:val="20"/>
                      <w:szCs w:val="20"/>
                    </w:rPr>
                  </w:pPr>
                  <w:r w:rsidRPr="00CF6E6B">
                    <w:rPr>
                      <w:rFonts w:ascii="Arial Narrow" w:hAnsi="Arial Narrow" w:cstheme="minorHAnsi"/>
                      <w:color w:val="000000"/>
                      <w:spacing w:val="53"/>
                      <w:sz w:val="20"/>
                      <w:szCs w:val="20"/>
                      <w:shd w:val="solid" w:color="000000" w:fill="000000"/>
                      <w:fitText w:val="330" w:id="-694454784"/>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784"/>
                      <w14:textFill>
                        <w14:solidFill>
                          <w14:srgbClr w14:val="000000">
                            <w14:alpha w14:val="100000"/>
                          </w14:srgbClr>
                        </w14:solidFill>
                      </w14:textFill>
                    </w:rPr>
                    <w:t>|</w:t>
                  </w:r>
                  <w:r w:rsidR="00FF7822" w:rsidRPr="00FF7822">
                    <w:rPr>
                      <w:rFonts w:ascii="Arial Narrow" w:hAnsi="Arial Narrow" w:cstheme="minorHAnsi"/>
                      <w:sz w:val="20"/>
                      <w:szCs w:val="20"/>
                      <w:vertAlign w:val="superscript"/>
                    </w:rPr>
                    <w:t>8</w:t>
                  </w:r>
                  <w:r w:rsidR="00674329" w:rsidRPr="00A7130D">
                    <w:rPr>
                      <w:rFonts w:ascii="Arial Narrow" w:hAnsi="Arial Narrow" w:cstheme="minorHAnsi"/>
                      <w:sz w:val="20"/>
                      <w:szCs w:val="20"/>
                    </w:rPr>
                    <w:t xml:space="preserve"> </w:t>
                  </w:r>
                  <w:r w:rsidR="00674329" w:rsidRPr="00A7130D">
                    <w:rPr>
                      <w:rFonts w:ascii="Arial Narrow" w:hAnsi="Arial Narrow" w:cstheme="minorHAnsi"/>
                      <w:sz w:val="20"/>
                      <w:szCs w:val="20"/>
                      <w:vertAlign w:val="superscript"/>
                    </w:rPr>
                    <w:t>b</w:t>
                  </w:r>
                </w:p>
              </w:tc>
              <w:tc>
                <w:tcPr>
                  <w:tcW w:w="960" w:type="pct"/>
                  <w:tcMar>
                    <w:left w:w="0" w:type="dxa"/>
                    <w:right w:w="0" w:type="dxa"/>
                  </w:tcMar>
                </w:tcPr>
                <w:p w14:paraId="58823211" w14:textId="6F5B8C59" w:rsidR="00674329" w:rsidRPr="001859C7" w:rsidRDefault="00CF6E6B" w:rsidP="00C84BD0">
                  <w:pPr>
                    <w:widowControl w:val="0"/>
                    <w:jc w:val="left"/>
                    <w:rPr>
                      <w:rFonts w:ascii="Arial Narrow" w:hAnsi="Arial Narrow" w:cstheme="minorHAnsi"/>
                      <w:sz w:val="20"/>
                      <w:szCs w:val="20"/>
                      <w:highlight w:val="darkGray"/>
                    </w:rPr>
                  </w:pPr>
                  <w:r w:rsidRPr="00CF6E6B">
                    <w:rPr>
                      <w:rFonts w:ascii="Arial Narrow" w:hAnsi="Arial Narrow" w:cstheme="minorHAnsi"/>
                      <w:color w:val="000000"/>
                      <w:spacing w:val="53"/>
                      <w:sz w:val="20"/>
                      <w:szCs w:val="20"/>
                      <w:shd w:val="solid" w:color="000000" w:fill="000000"/>
                      <w:fitText w:val="330" w:id="-694454783"/>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783"/>
                      <w14:textFill>
                        <w14:solidFill>
                          <w14:srgbClr w14:val="000000">
                            <w14:alpha w14:val="100000"/>
                          </w14:srgbClr>
                        </w14:solidFill>
                      </w14:textFill>
                    </w:rPr>
                    <w:t>|</w:t>
                  </w:r>
                  <w:r w:rsidR="006A23E8" w:rsidRPr="006A23E8">
                    <w:rPr>
                      <w:rFonts w:ascii="Arial Narrow" w:hAnsi="Arial Narrow" w:cstheme="minorHAnsi"/>
                      <w:sz w:val="20"/>
                      <w:szCs w:val="20"/>
                      <w:vertAlign w:val="superscript"/>
                    </w:rPr>
                    <w:t>9</w:t>
                  </w:r>
                </w:p>
              </w:tc>
            </w:tr>
            <w:tr w:rsidR="00A7130D" w:rsidRPr="00A7130D" w14:paraId="6419C6AA" w14:textId="77777777" w:rsidTr="00DE165A">
              <w:trPr>
                <w:trHeight w:val="20"/>
              </w:trPr>
              <w:tc>
                <w:tcPr>
                  <w:tcW w:w="361" w:type="pct"/>
                  <w:tcMar>
                    <w:left w:w="0" w:type="dxa"/>
                    <w:right w:w="0" w:type="dxa"/>
                  </w:tcMar>
                </w:tcPr>
                <w:p w14:paraId="2805EBEC"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Y2</w:t>
                  </w:r>
                </w:p>
              </w:tc>
              <w:tc>
                <w:tcPr>
                  <w:tcW w:w="862" w:type="pct"/>
                  <w:tcMar>
                    <w:left w:w="0" w:type="dxa"/>
                    <w:right w:w="0" w:type="dxa"/>
                  </w:tcMar>
                </w:tcPr>
                <w:p w14:paraId="06388E1C" w14:textId="1AB4A37E"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olor w:val="000000"/>
                      <w:spacing w:val="53"/>
                      <w:sz w:val="20"/>
                      <w:szCs w:val="20"/>
                      <w:shd w:val="solid" w:color="000000" w:fill="000000"/>
                      <w:fitText w:val="330" w:id="-694454528"/>
                      <w14:textFill>
                        <w14:solidFill>
                          <w14:srgbClr w14:val="000000">
                            <w14:alpha w14:val="100000"/>
                          </w14:srgbClr>
                        </w14:solidFill>
                      </w14:textFill>
                    </w:rPr>
                    <w:t>|||</w:t>
                  </w:r>
                  <w:r w:rsidRPr="00CF6E6B">
                    <w:rPr>
                      <w:rFonts w:ascii="Arial Narrow" w:hAnsi="Arial Narrow"/>
                      <w:color w:val="000000"/>
                      <w:spacing w:val="1"/>
                      <w:sz w:val="20"/>
                      <w:szCs w:val="20"/>
                      <w:shd w:val="solid" w:color="000000" w:fill="000000"/>
                      <w:fitText w:val="330" w:id="-694454528"/>
                      <w14:textFill>
                        <w14:solidFill>
                          <w14:srgbClr w14:val="000000">
                            <w14:alpha w14:val="100000"/>
                          </w14:srgbClr>
                        </w14:solidFill>
                      </w14:textFill>
                    </w:rPr>
                    <w:t>|</w:t>
                  </w:r>
                  <w:r w:rsidR="0096222E" w:rsidRPr="0096222E">
                    <w:rPr>
                      <w:rFonts w:ascii="Arial Narrow" w:hAnsi="Arial Narrow"/>
                      <w:sz w:val="20"/>
                      <w:szCs w:val="20"/>
                      <w:vertAlign w:val="superscript"/>
                    </w:rPr>
                    <w:t>6</w:t>
                  </w:r>
                </w:p>
              </w:tc>
              <w:tc>
                <w:tcPr>
                  <w:tcW w:w="897" w:type="pct"/>
                  <w:tcMar>
                    <w:left w:w="0" w:type="dxa"/>
                    <w:right w:w="0" w:type="dxa"/>
                  </w:tcMar>
                </w:tcPr>
                <w:p w14:paraId="42B085B0"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38%</w:t>
                  </w:r>
                </w:p>
              </w:tc>
              <w:tc>
                <w:tcPr>
                  <w:tcW w:w="960" w:type="pct"/>
                  <w:tcMar>
                    <w:left w:w="0" w:type="dxa"/>
                    <w:right w:w="0" w:type="dxa"/>
                  </w:tcMar>
                </w:tcPr>
                <w:p w14:paraId="09058FA7" w14:textId="7B383147"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stheme="minorHAnsi"/>
                      <w:color w:val="000000"/>
                      <w:spacing w:val="53"/>
                      <w:sz w:val="20"/>
                      <w:szCs w:val="20"/>
                      <w:shd w:val="solid" w:color="000000" w:fill="000000"/>
                      <w:fitText w:val="330" w:id="-694454527"/>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7"/>
                      <w14:textFill>
                        <w14:solidFill>
                          <w14:srgbClr w14:val="000000">
                            <w14:alpha w14:val="100000"/>
                          </w14:srgbClr>
                        </w14:solidFill>
                      </w14:textFill>
                    </w:rPr>
                    <w:t>|</w:t>
                  </w:r>
                  <w:r w:rsidR="00BB450C" w:rsidRPr="00BB450C">
                    <w:rPr>
                      <w:rFonts w:ascii="Arial Narrow" w:hAnsi="Arial Narrow" w:cstheme="minorHAnsi"/>
                      <w:sz w:val="20"/>
                      <w:szCs w:val="20"/>
                      <w:vertAlign w:val="superscript"/>
                    </w:rPr>
                    <w:t>10</w:t>
                  </w:r>
                </w:p>
              </w:tc>
              <w:tc>
                <w:tcPr>
                  <w:tcW w:w="960" w:type="pct"/>
                  <w:tcMar>
                    <w:left w:w="0" w:type="dxa"/>
                    <w:right w:w="0" w:type="dxa"/>
                  </w:tcMar>
                </w:tcPr>
                <w:p w14:paraId="35649D8F" w14:textId="77777777" w:rsidR="00674329" w:rsidRPr="00A7130D" w:rsidRDefault="00674329" w:rsidP="00C84BD0">
                  <w:pPr>
                    <w:widowControl w:val="0"/>
                    <w:jc w:val="left"/>
                    <w:rPr>
                      <w:rFonts w:ascii="Arial Narrow" w:hAnsi="Arial Narrow" w:cstheme="minorHAnsi"/>
                      <w:sz w:val="20"/>
                      <w:szCs w:val="20"/>
                    </w:rPr>
                  </w:pPr>
                  <w:r w:rsidRPr="00A7130D">
                    <w:rPr>
                      <w:rFonts w:ascii="Arial Narrow" w:hAnsi="Arial Narrow" w:cstheme="minorHAnsi"/>
                      <w:sz w:val="20"/>
                      <w:szCs w:val="20"/>
                    </w:rPr>
                    <w:t>0</w:t>
                  </w:r>
                </w:p>
              </w:tc>
              <w:tc>
                <w:tcPr>
                  <w:tcW w:w="960" w:type="pct"/>
                  <w:tcMar>
                    <w:left w:w="0" w:type="dxa"/>
                    <w:right w:w="0" w:type="dxa"/>
                  </w:tcMar>
                </w:tcPr>
                <w:p w14:paraId="6FFD5103" w14:textId="45F5D277" w:rsidR="00674329" w:rsidRPr="001859C7" w:rsidRDefault="00CF6E6B" w:rsidP="00C84BD0">
                  <w:pPr>
                    <w:widowControl w:val="0"/>
                    <w:jc w:val="left"/>
                    <w:rPr>
                      <w:rFonts w:ascii="Arial Narrow" w:hAnsi="Arial Narrow" w:cstheme="minorHAnsi"/>
                      <w:sz w:val="20"/>
                      <w:szCs w:val="20"/>
                      <w:highlight w:val="darkGray"/>
                    </w:rPr>
                  </w:pPr>
                  <w:r w:rsidRPr="00CF6E6B">
                    <w:rPr>
                      <w:rFonts w:ascii="Arial Narrow" w:hAnsi="Arial Narrow" w:cstheme="minorHAnsi"/>
                      <w:color w:val="000000"/>
                      <w:spacing w:val="53"/>
                      <w:sz w:val="20"/>
                      <w:szCs w:val="20"/>
                      <w:shd w:val="solid" w:color="000000" w:fill="000000"/>
                      <w:fitText w:val="330" w:id="-694454526"/>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6"/>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r>
            <w:tr w:rsidR="00A7130D" w:rsidRPr="00A7130D" w14:paraId="68EA7502" w14:textId="77777777" w:rsidTr="00DE165A">
              <w:trPr>
                <w:trHeight w:val="20"/>
              </w:trPr>
              <w:tc>
                <w:tcPr>
                  <w:tcW w:w="361" w:type="pct"/>
                  <w:tcMar>
                    <w:left w:w="0" w:type="dxa"/>
                    <w:right w:w="0" w:type="dxa"/>
                  </w:tcMar>
                </w:tcPr>
                <w:p w14:paraId="4BE75B39"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Y3</w:t>
                  </w:r>
                </w:p>
              </w:tc>
              <w:tc>
                <w:tcPr>
                  <w:tcW w:w="862" w:type="pct"/>
                  <w:tcMar>
                    <w:left w:w="0" w:type="dxa"/>
                    <w:right w:w="0" w:type="dxa"/>
                  </w:tcMar>
                </w:tcPr>
                <w:p w14:paraId="05A37007" w14:textId="09B46255"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olor w:val="000000"/>
                      <w:spacing w:val="53"/>
                      <w:sz w:val="20"/>
                      <w:szCs w:val="20"/>
                      <w:shd w:val="solid" w:color="000000" w:fill="000000"/>
                      <w:fitText w:val="330" w:id="-694454525"/>
                      <w14:textFill>
                        <w14:solidFill>
                          <w14:srgbClr w14:val="000000">
                            <w14:alpha w14:val="100000"/>
                          </w14:srgbClr>
                        </w14:solidFill>
                      </w14:textFill>
                    </w:rPr>
                    <w:t>|||</w:t>
                  </w:r>
                  <w:r w:rsidRPr="00CF6E6B">
                    <w:rPr>
                      <w:rFonts w:ascii="Arial Narrow" w:hAnsi="Arial Narrow"/>
                      <w:color w:val="000000"/>
                      <w:spacing w:val="1"/>
                      <w:sz w:val="20"/>
                      <w:szCs w:val="20"/>
                      <w:shd w:val="solid" w:color="000000" w:fill="000000"/>
                      <w:fitText w:val="330" w:id="-694454525"/>
                      <w14:textFill>
                        <w14:solidFill>
                          <w14:srgbClr w14:val="000000">
                            <w14:alpha w14:val="100000"/>
                          </w14:srgbClr>
                        </w14:solidFill>
                      </w14:textFill>
                    </w:rPr>
                    <w:t>|</w:t>
                  </w:r>
                  <w:r w:rsidR="00A1193E">
                    <w:rPr>
                      <w:rFonts w:ascii="Arial Narrow" w:hAnsi="Arial Narrow"/>
                      <w:sz w:val="20"/>
                      <w:szCs w:val="20"/>
                      <w:vertAlign w:val="superscript"/>
                    </w:rPr>
                    <w:t>11</w:t>
                  </w:r>
                </w:p>
              </w:tc>
              <w:tc>
                <w:tcPr>
                  <w:tcW w:w="897" w:type="pct"/>
                  <w:tcMar>
                    <w:left w:w="0" w:type="dxa"/>
                    <w:right w:w="0" w:type="dxa"/>
                  </w:tcMar>
                </w:tcPr>
                <w:p w14:paraId="6A0D799B"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43%</w:t>
                  </w:r>
                </w:p>
              </w:tc>
              <w:tc>
                <w:tcPr>
                  <w:tcW w:w="960" w:type="pct"/>
                  <w:tcMar>
                    <w:left w:w="0" w:type="dxa"/>
                    <w:right w:w="0" w:type="dxa"/>
                  </w:tcMar>
                </w:tcPr>
                <w:p w14:paraId="21FF30F0" w14:textId="316F5EC3"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stheme="minorHAnsi"/>
                      <w:color w:val="000000"/>
                      <w:spacing w:val="53"/>
                      <w:sz w:val="20"/>
                      <w:szCs w:val="20"/>
                      <w:shd w:val="solid" w:color="000000" w:fill="000000"/>
                      <w:fitText w:val="330" w:id="-694454524"/>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4"/>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c>
                <w:tcPr>
                  <w:tcW w:w="960" w:type="pct"/>
                  <w:tcMar>
                    <w:left w:w="0" w:type="dxa"/>
                    <w:right w:w="0" w:type="dxa"/>
                  </w:tcMar>
                </w:tcPr>
                <w:p w14:paraId="560523CE" w14:textId="77777777" w:rsidR="00674329" w:rsidRPr="00A7130D" w:rsidRDefault="00674329" w:rsidP="00C84BD0">
                  <w:pPr>
                    <w:widowControl w:val="0"/>
                    <w:jc w:val="left"/>
                    <w:rPr>
                      <w:rFonts w:ascii="Arial Narrow" w:hAnsi="Arial Narrow" w:cstheme="minorHAnsi"/>
                      <w:sz w:val="20"/>
                      <w:szCs w:val="20"/>
                    </w:rPr>
                  </w:pPr>
                  <w:r w:rsidRPr="00A7130D">
                    <w:rPr>
                      <w:rFonts w:ascii="Arial Narrow" w:hAnsi="Arial Narrow" w:cstheme="minorHAnsi"/>
                      <w:sz w:val="20"/>
                      <w:szCs w:val="20"/>
                    </w:rPr>
                    <w:t>0</w:t>
                  </w:r>
                </w:p>
              </w:tc>
              <w:tc>
                <w:tcPr>
                  <w:tcW w:w="960" w:type="pct"/>
                  <w:tcMar>
                    <w:left w:w="0" w:type="dxa"/>
                    <w:right w:w="0" w:type="dxa"/>
                  </w:tcMar>
                </w:tcPr>
                <w:p w14:paraId="1E3B6DA7" w14:textId="2B5579EE" w:rsidR="00674329" w:rsidRPr="001859C7" w:rsidRDefault="00CF6E6B" w:rsidP="00C84BD0">
                  <w:pPr>
                    <w:widowControl w:val="0"/>
                    <w:jc w:val="left"/>
                    <w:rPr>
                      <w:rFonts w:ascii="Arial Narrow" w:hAnsi="Arial Narrow" w:cstheme="minorHAnsi"/>
                      <w:sz w:val="20"/>
                      <w:szCs w:val="20"/>
                      <w:highlight w:val="darkGray"/>
                    </w:rPr>
                  </w:pPr>
                  <w:r w:rsidRPr="00CF6E6B">
                    <w:rPr>
                      <w:rFonts w:ascii="Arial Narrow" w:hAnsi="Arial Narrow" w:cstheme="minorHAnsi"/>
                      <w:color w:val="000000"/>
                      <w:spacing w:val="53"/>
                      <w:sz w:val="20"/>
                      <w:szCs w:val="20"/>
                      <w:shd w:val="solid" w:color="000000" w:fill="000000"/>
                      <w:fitText w:val="330" w:id="-694454523"/>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3"/>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r>
            <w:tr w:rsidR="00A7130D" w:rsidRPr="00A7130D" w14:paraId="4BFEBBAF" w14:textId="77777777" w:rsidTr="00DE165A">
              <w:trPr>
                <w:trHeight w:val="20"/>
              </w:trPr>
              <w:tc>
                <w:tcPr>
                  <w:tcW w:w="361" w:type="pct"/>
                  <w:tcMar>
                    <w:left w:w="0" w:type="dxa"/>
                    <w:right w:w="0" w:type="dxa"/>
                  </w:tcMar>
                </w:tcPr>
                <w:p w14:paraId="0597C9A9"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Y4</w:t>
                  </w:r>
                </w:p>
              </w:tc>
              <w:tc>
                <w:tcPr>
                  <w:tcW w:w="862" w:type="pct"/>
                  <w:tcMar>
                    <w:left w:w="0" w:type="dxa"/>
                    <w:right w:w="0" w:type="dxa"/>
                  </w:tcMar>
                </w:tcPr>
                <w:p w14:paraId="2B201C82" w14:textId="2FA0B003"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olor w:val="000000"/>
                      <w:spacing w:val="53"/>
                      <w:sz w:val="20"/>
                      <w:szCs w:val="20"/>
                      <w:shd w:val="solid" w:color="000000" w:fill="000000"/>
                      <w:fitText w:val="330" w:id="-694454522"/>
                      <w14:textFill>
                        <w14:solidFill>
                          <w14:srgbClr w14:val="000000">
                            <w14:alpha w14:val="100000"/>
                          </w14:srgbClr>
                        </w14:solidFill>
                      </w14:textFill>
                    </w:rPr>
                    <w:t>|||</w:t>
                  </w:r>
                  <w:r w:rsidRPr="00CF6E6B">
                    <w:rPr>
                      <w:rFonts w:ascii="Arial Narrow" w:hAnsi="Arial Narrow"/>
                      <w:color w:val="000000"/>
                      <w:spacing w:val="1"/>
                      <w:sz w:val="20"/>
                      <w:szCs w:val="20"/>
                      <w:shd w:val="solid" w:color="000000" w:fill="000000"/>
                      <w:fitText w:val="330" w:id="-694454522"/>
                      <w14:textFill>
                        <w14:solidFill>
                          <w14:srgbClr w14:val="000000">
                            <w14:alpha w14:val="100000"/>
                          </w14:srgbClr>
                        </w14:solidFill>
                      </w14:textFill>
                    </w:rPr>
                    <w:t>|</w:t>
                  </w:r>
                  <w:r w:rsidR="00A1193E">
                    <w:rPr>
                      <w:rFonts w:ascii="Arial Narrow" w:hAnsi="Arial Narrow"/>
                      <w:sz w:val="20"/>
                      <w:szCs w:val="20"/>
                      <w:vertAlign w:val="superscript"/>
                    </w:rPr>
                    <w:t>11</w:t>
                  </w:r>
                </w:p>
              </w:tc>
              <w:tc>
                <w:tcPr>
                  <w:tcW w:w="897" w:type="pct"/>
                  <w:tcMar>
                    <w:left w:w="0" w:type="dxa"/>
                    <w:right w:w="0" w:type="dxa"/>
                  </w:tcMar>
                </w:tcPr>
                <w:p w14:paraId="09F25EFA"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50%</w:t>
                  </w:r>
                </w:p>
              </w:tc>
              <w:tc>
                <w:tcPr>
                  <w:tcW w:w="960" w:type="pct"/>
                  <w:tcMar>
                    <w:left w:w="0" w:type="dxa"/>
                    <w:right w:w="0" w:type="dxa"/>
                  </w:tcMar>
                </w:tcPr>
                <w:p w14:paraId="323255B1" w14:textId="27A58384"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stheme="minorHAnsi"/>
                      <w:color w:val="000000"/>
                      <w:spacing w:val="53"/>
                      <w:sz w:val="20"/>
                      <w:szCs w:val="20"/>
                      <w:shd w:val="solid" w:color="000000" w:fill="000000"/>
                      <w:fitText w:val="330" w:id="-694454521"/>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1"/>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c>
                <w:tcPr>
                  <w:tcW w:w="960" w:type="pct"/>
                  <w:tcMar>
                    <w:left w:w="0" w:type="dxa"/>
                    <w:right w:w="0" w:type="dxa"/>
                  </w:tcMar>
                </w:tcPr>
                <w:p w14:paraId="500E3BF8" w14:textId="77777777" w:rsidR="00674329" w:rsidRPr="00A7130D" w:rsidRDefault="00674329" w:rsidP="00C84BD0">
                  <w:pPr>
                    <w:widowControl w:val="0"/>
                    <w:jc w:val="left"/>
                    <w:rPr>
                      <w:rFonts w:ascii="Arial Narrow" w:hAnsi="Arial Narrow" w:cstheme="minorHAnsi"/>
                      <w:sz w:val="20"/>
                      <w:szCs w:val="20"/>
                    </w:rPr>
                  </w:pPr>
                  <w:r w:rsidRPr="00A7130D">
                    <w:rPr>
                      <w:rFonts w:ascii="Arial Narrow" w:hAnsi="Arial Narrow" w:cstheme="minorHAnsi"/>
                      <w:sz w:val="20"/>
                      <w:szCs w:val="20"/>
                    </w:rPr>
                    <w:t>0</w:t>
                  </w:r>
                </w:p>
              </w:tc>
              <w:tc>
                <w:tcPr>
                  <w:tcW w:w="960" w:type="pct"/>
                  <w:tcMar>
                    <w:left w:w="0" w:type="dxa"/>
                    <w:right w:w="0" w:type="dxa"/>
                  </w:tcMar>
                </w:tcPr>
                <w:p w14:paraId="4D1F7CAC" w14:textId="75F7D24D" w:rsidR="00674329" w:rsidRPr="001859C7" w:rsidRDefault="00CF6E6B" w:rsidP="00C84BD0">
                  <w:pPr>
                    <w:widowControl w:val="0"/>
                    <w:jc w:val="left"/>
                    <w:rPr>
                      <w:rFonts w:ascii="Arial Narrow" w:hAnsi="Arial Narrow" w:cstheme="minorHAnsi"/>
                      <w:sz w:val="20"/>
                      <w:szCs w:val="20"/>
                      <w:highlight w:val="darkGray"/>
                    </w:rPr>
                  </w:pPr>
                  <w:r w:rsidRPr="00CF6E6B">
                    <w:rPr>
                      <w:rFonts w:ascii="Arial Narrow" w:hAnsi="Arial Narrow" w:cstheme="minorHAnsi"/>
                      <w:color w:val="000000"/>
                      <w:spacing w:val="53"/>
                      <w:sz w:val="20"/>
                      <w:szCs w:val="20"/>
                      <w:shd w:val="solid" w:color="000000" w:fill="000000"/>
                      <w:fitText w:val="330" w:id="-694454520"/>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0"/>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r>
            <w:tr w:rsidR="00A7130D" w:rsidRPr="00A7130D" w14:paraId="3D124666" w14:textId="77777777" w:rsidTr="00DE165A">
              <w:trPr>
                <w:trHeight w:val="20"/>
              </w:trPr>
              <w:tc>
                <w:tcPr>
                  <w:tcW w:w="361" w:type="pct"/>
                  <w:tcMar>
                    <w:left w:w="0" w:type="dxa"/>
                    <w:right w:w="0" w:type="dxa"/>
                  </w:tcMar>
                </w:tcPr>
                <w:p w14:paraId="06730351"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Y5</w:t>
                  </w:r>
                </w:p>
              </w:tc>
              <w:tc>
                <w:tcPr>
                  <w:tcW w:w="862" w:type="pct"/>
                  <w:tcMar>
                    <w:left w:w="0" w:type="dxa"/>
                    <w:right w:w="0" w:type="dxa"/>
                  </w:tcMar>
                </w:tcPr>
                <w:p w14:paraId="0552ECA2" w14:textId="38AAAF22"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olor w:val="000000"/>
                      <w:spacing w:val="53"/>
                      <w:sz w:val="20"/>
                      <w:szCs w:val="20"/>
                      <w:shd w:val="solid" w:color="000000" w:fill="000000"/>
                      <w:fitText w:val="330" w:id="-694454519"/>
                      <w14:textFill>
                        <w14:solidFill>
                          <w14:srgbClr w14:val="000000">
                            <w14:alpha w14:val="100000"/>
                          </w14:srgbClr>
                        </w14:solidFill>
                      </w14:textFill>
                    </w:rPr>
                    <w:t>|||</w:t>
                  </w:r>
                  <w:r w:rsidRPr="00CF6E6B">
                    <w:rPr>
                      <w:rFonts w:ascii="Arial Narrow" w:hAnsi="Arial Narrow"/>
                      <w:color w:val="000000"/>
                      <w:spacing w:val="1"/>
                      <w:sz w:val="20"/>
                      <w:szCs w:val="20"/>
                      <w:shd w:val="solid" w:color="000000" w:fill="000000"/>
                      <w:fitText w:val="330" w:id="-694454519"/>
                      <w14:textFill>
                        <w14:solidFill>
                          <w14:srgbClr w14:val="000000">
                            <w14:alpha w14:val="100000"/>
                          </w14:srgbClr>
                        </w14:solidFill>
                      </w14:textFill>
                    </w:rPr>
                    <w:t>|</w:t>
                  </w:r>
                  <w:r w:rsidR="00A1193E">
                    <w:rPr>
                      <w:rFonts w:ascii="Arial Narrow" w:hAnsi="Arial Narrow"/>
                      <w:sz w:val="20"/>
                      <w:szCs w:val="20"/>
                      <w:vertAlign w:val="superscript"/>
                    </w:rPr>
                    <w:t>11</w:t>
                  </w:r>
                </w:p>
              </w:tc>
              <w:tc>
                <w:tcPr>
                  <w:tcW w:w="897" w:type="pct"/>
                  <w:tcMar>
                    <w:left w:w="0" w:type="dxa"/>
                    <w:right w:w="0" w:type="dxa"/>
                  </w:tcMar>
                </w:tcPr>
                <w:p w14:paraId="594CAACA"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58%</w:t>
                  </w:r>
                </w:p>
              </w:tc>
              <w:tc>
                <w:tcPr>
                  <w:tcW w:w="960" w:type="pct"/>
                  <w:tcMar>
                    <w:left w:w="0" w:type="dxa"/>
                    <w:right w:w="0" w:type="dxa"/>
                  </w:tcMar>
                </w:tcPr>
                <w:p w14:paraId="6D40DA1A" w14:textId="5C3EE571"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stheme="minorHAnsi"/>
                      <w:color w:val="000000"/>
                      <w:spacing w:val="53"/>
                      <w:sz w:val="20"/>
                      <w:szCs w:val="20"/>
                      <w:shd w:val="solid" w:color="000000" w:fill="000000"/>
                      <w:fitText w:val="330" w:id="-694454518"/>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18"/>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c>
                <w:tcPr>
                  <w:tcW w:w="960" w:type="pct"/>
                  <w:tcMar>
                    <w:left w:w="0" w:type="dxa"/>
                    <w:right w:w="0" w:type="dxa"/>
                  </w:tcMar>
                </w:tcPr>
                <w:p w14:paraId="6BFC05AA" w14:textId="77777777" w:rsidR="00674329" w:rsidRPr="00A7130D" w:rsidRDefault="00674329" w:rsidP="00C84BD0">
                  <w:pPr>
                    <w:widowControl w:val="0"/>
                    <w:jc w:val="left"/>
                    <w:rPr>
                      <w:rFonts w:ascii="Arial Narrow" w:hAnsi="Arial Narrow" w:cstheme="minorHAnsi"/>
                      <w:sz w:val="20"/>
                      <w:szCs w:val="20"/>
                    </w:rPr>
                  </w:pPr>
                  <w:r w:rsidRPr="00A7130D">
                    <w:rPr>
                      <w:rFonts w:ascii="Arial Narrow" w:hAnsi="Arial Narrow" w:cstheme="minorHAnsi"/>
                      <w:sz w:val="20"/>
                      <w:szCs w:val="20"/>
                    </w:rPr>
                    <w:t>0</w:t>
                  </w:r>
                </w:p>
              </w:tc>
              <w:tc>
                <w:tcPr>
                  <w:tcW w:w="960" w:type="pct"/>
                  <w:tcMar>
                    <w:left w:w="0" w:type="dxa"/>
                    <w:right w:w="0" w:type="dxa"/>
                  </w:tcMar>
                </w:tcPr>
                <w:p w14:paraId="3E722C17" w14:textId="2268E6DD" w:rsidR="00674329" w:rsidRPr="001859C7" w:rsidRDefault="00CF6E6B" w:rsidP="00C84BD0">
                  <w:pPr>
                    <w:widowControl w:val="0"/>
                    <w:jc w:val="left"/>
                    <w:rPr>
                      <w:rFonts w:ascii="Arial Narrow" w:hAnsi="Arial Narrow" w:cstheme="minorHAnsi"/>
                      <w:sz w:val="20"/>
                      <w:szCs w:val="20"/>
                      <w:highlight w:val="darkGray"/>
                    </w:rPr>
                  </w:pPr>
                  <w:r w:rsidRPr="00CF6E6B">
                    <w:rPr>
                      <w:rFonts w:ascii="Arial Narrow" w:hAnsi="Arial Narrow" w:cstheme="minorHAnsi"/>
                      <w:color w:val="000000"/>
                      <w:spacing w:val="53"/>
                      <w:sz w:val="20"/>
                      <w:szCs w:val="20"/>
                      <w:shd w:val="solid" w:color="000000" w:fill="000000"/>
                      <w:fitText w:val="330" w:id="-694454517"/>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17"/>
                      <w14:textFill>
                        <w14:solidFill>
                          <w14:srgbClr w14:val="000000">
                            <w14:alpha w14:val="100000"/>
                          </w14:srgbClr>
                        </w14:solidFill>
                      </w14:textFill>
                    </w:rPr>
                    <w:t>|</w:t>
                  </w:r>
                  <w:r w:rsidR="002728F5" w:rsidRPr="00BB450C">
                    <w:rPr>
                      <w:rFonts w:ascii="Arial Narrow" w:hAnsi="Arial Narrow" w:cstheme="minorHAnsi"/>
                      <w:sz w:val="20"/>
                      <w:szCs w:val="20"/>
                      <w:vertAlign w:val="superscript"/>
                    </w:rPr>
                    <w:t>10</w:t>
                  </w:r>
                </w:p>
              </w:tc>
            </w:tr>
            <w:tr w:rsidR="00A7130D" w:rsidRPr="00A7130D" w14:paraId="0ADB4061" w14:textId="77777777" w:rsidTr="00DE165A">
              <w:trPr>
                <w:trHeight w:val="20"/>
              </w:trPr>
              <w:tc>
                <w:tcPr>
                  <w:tcW w:w="361" w:type="pct"/>
                  <w:tcMar>
                    <w:left w:w="0" w:type="dxa"/>
                    <w:right w:w="0" w:type="dxa"/>
                  </w:tcMar>
                </w:tcPr>
                <w:p w14:paraId="01237AF2"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Y6</w:t>
                  </w:r>
                </w:p>
              </w:tc>
              <w:tc>
                <w:tcPr>
                  <w:tcW w:w="862" w:type="pct"/>
                  <w:tcMar>
                    <w:left w:w="0" w:type="dxa"/>
                    <w:right w:w="0" w:type="dxa"/>
                  </w:tcMar>
                </w:tcPr>
                <w:p w14:paraId="493038C1" w14:textId="7299FEEA"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olor w:val="000000"/>
                      <w:spacing w:val="53"/>
                      <w:sz w:val="20"/>
                      <w:szCs w:val="20"/>
                      <w:shd w:val="solid" w:color="000000" w:fill="000000"/>
                      <w:fitText w:val="330" w:id="-694454516"/>
                      <w14:textFill>
                        <w14:solidFill>
                          <w14:srgbClr w14:val="000000">
                            <w14:alpha w14:val="100000"/>
                          </w14:srgbClr>
                        </w14:solidFill>
                      </w14:textFill>
                    </w:rPr>
                    <w:t>|||</w:t>
                  </w:r>
                  <w:r w:rsidRPr="00CF6E6B">
                    <w:rPr>
                      <w:rFonts w:ascii="Arial Narrow" w:hAnsi="Arial Narrow"/>
                      <w:color w:val="000000"/>
                      <w:spacing w:val="1"/>
                      <w:sz w:val="20"/>
                      <w:szCs w:val="20"/>
                      <w:shd w:val="solid" w:color="000000" w:fill="000000"/>
                      <w:fitText w:val="330" w:id="-694454516"/>
                      <w14:textFill>
                        <w14:solidFill>
                          <w14:srgbClr w14:val="000000">
                            <w14:alpha w14:val="100000"/>
                          </w14:srgbClr>
                        </w14:solidFill>
                      </w14:textFill>
                    </w:rPr>
                    <w:t>|</w:t>
                  </w:r>
                  <w:r w:rsidR="00A1193E">
                    <w:rPr>
                      <w:rFonts w:ascii="Arial Narrow" w:hAnsi="Arial Narrow"/>
                      <w:sz w:val="20"/>
                      <w:szCs w:val="20"/>
                      <w:vertAlign w:val="superscript"/>
                    </w:rPr>
                    <w:t>11</w:t>
                  </w:r>
                  <w:r w:rsidRPr="00CF6E6B">
                    <w:rPr>
                      <w:rFonts w:ascii="Arial Narrow" w:hAnsi="Arial Narrow" w:hint="eastAsia"/>
                      <w:color w:val="000000"/>
                      <w:spacing w:val="41"/>
                      <w:w w:val="16"/>
                      <w:sz w:val="20"/>
                      <w:szCs w:val="20"/>
                      <w:shd w:val="solid" w:color="000000" w:fill="000000"/>
                      <w:fitText w:val="60" w:id="-694454515"/>
                      <w:vertAlign w:val="superscript"/>
                      <w14:textFill>
                        <w14:solidFill>
                          <w14:srgbClr w14:val="000000">
                            <w14:alpha w14:val="100000"/>
                          </w14:srgbClr>
                        </w14:solidFill>
                      </w14:textFill>
                    </w:rPr>
                    <w:t xml:space="preserve">　</w:t>
                  </w:r>
                  <w:r w:rsidRPr="00CF6E6B">
                    <w:rPr>
                      <w:rFonts w:ascii="Arial Narrow" w:hAnsi="Arial Narrow" w:hint="eastAsia"/>
                      <w:color w:val="000000"/>
                      <w:spacing w:val="10"/>
                      <w:w w:val="15"/>
                      <w:sz w:val="20"/>
                      <w:szCs w:val="20"/>
                      <w:shd w:val="solid" w:color="000000" w:fill="000000"/>
                      <w:fitText w:val="40" w:id="-694454514"/>
                      <w14:textFill>
                        <w14:solidFill>
                          <w14:srgbClr w14:val="000000">
                            <w14:alpha w14:val="100000"/>
                          </w14:srgbClr>
                        </w14:solidFill>
                      </w14:textFill>
                    </w:rPr>
                    <w:t xml:space="preserve">　</w:t>
                  </w:r>
                  <w:r w:rsidRPr="00CF6E6B">
                    <w:rPr>
                      <w:rFonts w:ascii="Arial Narrow" w:hAnsi="Arial Narrow" w:hint="eastAsia"/>
                      <w:color w:val="000000"/>
                      <w:w w:val="33"/>
                      <w:sz w:val="20"/>
                      <w:szCs w:val="20"/>
                      <w:shd w:val="solid" w:color="000000" w:fill="000000"/>
                      <w:fitText w:val="150" w:id="-694454512"/>
                      <w14:textFill>
                        <w14:solidFill>
                          <w14:srgbClr w14:val="000000">
                            <w14:alpha w14:val="100000"/>
                          </w14:srgbClr>
                        </w14:solidFill>
                      </w14:textFill>
                    </w:rPr>
                    <w:t xml:space="preserve">　</w:t>
                  </w:r>
                  <w:r w:rsidRPr="00CF6E6B">
                    <w:rPr>
                      <w:rFonts w:ascii="Arial Narrow" w:hAnsi="Arial Narrow"/>
                      <w:color w:val="000000"/>
                      <w:w w:val="33"/>
                      <w:sz w:val="20"/>
                      <w:szCs w:val="20"/>
                      <w:shd w:val="solid" w:color="000000" w:fill="000000"/>
                      <w:fitText w:val="150" w:id="-694454512"/>
                      <w14:textFill>
                        <w14:solidFill>
                          <w14:srgbClr w14:val="000000">
                            <w14:alpha w14:val="100000"/>
                          </w14:srgbClr>
                        </w14:solidFill>
                      </w14:textFill>
                    </w:rPr>
                    <w:t>|</w:t>
                  </w:r>
                  <w:r w:rsidRPr="00CF6E6B">
                    <w:rPr>
                      <w:rFonts w:ascii="Arial Narrow" w:hAnsi="Arial Narrow" w:hint="eastAsia"/>
                      <w:color w:val="000000"/>
                      <w:spacing w:val="4"/>
                      <w:w w:val="33"/>
                      <w:sz w:val="20"/>
                      <w:szCs w:val="20"/>
                      <w:shd w:val="solid" w:color="000000" w:fill="000000"/>
                      <w:fitText w:val="150" w:id="-694454512"/>
                      <w14:textFill>
                        <w14:solidFill>
                          <w14:srgbClr w14:val="000000">
                            <w14:alpha w14:val="100000"/>
                          </w14:srgbClr>
                        </w14:solidFill>
                      </w14:textFill>
                    </w:rPr>
                    <w:t xml:space="preserve">　</w:t>
                  </w:r>
                </w:p>
              </w:tc>
              <w:tc>
                <w:tcPr>
                  <w:tcW w:w="897" w:type="pct"/>
                  <w:tcMar>
                    <w:left w:w="0" w:type="dxa"/>
                    <w:right w:w="0" w:type="dxa"/>
                  </w:tcMar>
                </w:tcPr>
                <w:p w14:paraId="59FE2FB6" w14:textId="77777777" w:rsidR="00674329" w:rsidRPr="00A7130D" w:rsidRDefault="00674329" w:rsidP="00C84BD0">
                  <w:pPr>
                    <w:widowControl w:val="0"/>
                    <w:jc w:val="left"/>
                    <w:rPr>
                      <w:rFonts w:ascii="Arial Narrow" w:hAnsi="Arial Narrow"/>
                      <w:sz w:val="20"/>
                      <w:szCs w:val="20"/>
                    </w:rPr>
                  </w:pPr>
                  <w:r w:rsidRPr="00A7130D">
                    <w:rPr>
                      <w:rFonts w:ascii="Arial Narrow" w:hAnsi="Arial Narrow"/>
                      <w:sz w:val="20"/>
                      <w:szCs w:val="20"/>
                    </w:rPr>
                    <w:t>65%</w:t>
                  </w:r>
                </w:p>
              </w:tc>
              <w:tc>
                <w:tcPr>
                  <w:tcW w:w="960" w:type="pct"/>
                  <w:tcMar>
                    <w:left w:w="0" w:type="dxa"/>
                    <w:right w:w="0" w:type="dxa"/>
                  </w:tcMar>
                </w:tcPr>
                <w:p w14:paraId="07793821" w14:textId="3272E2E4" w:rsidR="00674329" w:rsidRPr="001859C7" w:rsidRDefault="00CF6E6B" w:rsidP="00C84BD0">
                  <w:pPr>
                    <w:widowControl w:val="0"/>
                    <w:jc w:val="left"/>
                    <w:rPr>
                      <w:rFonts w:ascii="Arial Narrow" w:hAnsi="Arial Narrow"/>
                      <w:sz w:val="20"/>
                      <w:szCs w:val="20"/>
                      <w:highlight w:val="darkGray"/>
                    </w:rPr>
                  </w:pPr>
                  <w:r w:rsidRPr="00CF6E6B">
                    <w:rPr>
                      <w:rFonts w:ascii="Arial Narrow" w:hAnsi="Arial Narrow" w:cstheme="minorHAnsi"/>
                      <w:color w:val="000000"/>
                      <w:spacing w:val="53"/>
                      <w:sz w:val="20"/>
                      <w:szCs w:val="20"/>
                      <w:shd w:val="solid" w:color="000000" w:fill="000000"/>
                      <w:fitText w:val="330" w:id="-694454528"/>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8"/>
                      <w14:textFill>
                        <w14:solidFill>
                          <w14:srgbClr w14:val="000000">
                            <w14:alpha w14:val="100000"/>
                          </w14:srgbClr>
                        </w14:solidFill>
                      </w14:textFill>
                    </w:rPr>
                    <w:t>|</w:t>
                  </w:r>
                  <w:r w:rsidR="00A1193E" w:rsidRPr="00A1193E">
                    <w:rPr>
                      <w:rFonts w:ascii="Arial Narrow" w:hAnsi="Arial Narrow" w:cstheme="minorHAnsi"/>
                      <w:sz w:val="20"/>
                      <w:szCs w:val="20"/>
                      <w:vertAlign w:val="superscript"/>
                    </w:rPr>
                    <w:t>6</w:t>
                  </w:r>
                </w:p>
              </w:tc>
              <w:tc>
                <w:tcPr>
                  <w:tcW w:w="960" w:type="pct"/>
                  <w:tcMar>
                    <w:left w:w="0" w:type="dxa"/>
                    <w:right w:w="0" w:type="dxa"/>
                  </w:tcMar>
                </w:tcPr>
                <w:p w14:paraId="506B09C0" w14:textId="77777777" w:rsidR="00674329" w:rsidRPr="00A7130D" w:rsidRDefault="00674329" w:rsidP="00C84BD0">
                  <w:pPr>
                    <w:widowControl w:val="0"/>
                    <w:jc w:val="left"/>
                    <w:rPr>
                      <w:rFonts w:ascii="Arial Narrow" w:hAnsi="Arial Narrow" w:cstheme="minorHAnsi"/>
                      <w:sz w:val="20"/>
                      <w:szCs w:val="20"/>
                    </w:rPr>
                  </w:pPr>
                  <w:r w:rsidRPr="00A7130D">
                    <w:rPr>
                      <w:rFonts w:ascii="Arial Narrow" w:hAnsi="Arial Narrow" w:cstheme="minorHAnsi"/>
                      <w:sz w:val="20"/>
                      <w:szCs w:val="20"/>
                    </w:rPr>
                    <w:t>0</w:t>
                  </w:r>
                </w:p>
              </w:tc>
              <w:tc>
                <w:tcPr>
                  <w:tcW w:w="960" w:type="pct"/>
                  <w:tcMar>
                    <w:left w:w="0" w:type="dxa"/>
                    <w:right w:w="0" w:type="dxa"/>
                  </w:tcMar>
                </w:tcPr>
                <w:p w14:paraId="3561FAB2" w14:textId="685F6995" w:rsidR="00674329" w:rsidRPr="001859C7" w:rsidRDefault="00CF6E6B" w:rsidP="00C84BD0">
                  <w:pPr>
                    <w:widowControl w:val="0"/>
                    <w:jc w:val="left"/>
                    <w:rPr>
                      <w:rFonts w:ascii="Arial Narrow" w:hAnsi="Arial Narrow" w:cstheme="minorHAnsi"/>
                      <w:sz w:val="20"/>
                      <w:szCs w:val="20"/>
                      <w:highlight w:val="darkGray"/>
                    </w:rPr>
                  </w:pPr>
                  <w:r w:rsidRPr="00CF6E6B">
                    <w:rPr>
                      <w:rFonts w:ascii="Arial Narrow" w:hAnsi="Arial Narrow" w:cstheme="minorHAnsi"/>
                      <w:color w:val="000000"/>
                      <w:spacing w:val="53"/>
                      <w:sz w:val="20"/>
                      <w:szCs w:val="20"/>
                      <w:shd w:val="solid" w:color="000000" w:fill="000000"/>
                      <w:fitText w:val="330" w:id="-694454527"/>
                      <w14:textFill>
                        <w14:solidFill>
                          <w14:srgbClr w14:val="000000">
                            <w14:alpha w14:val="100000"/>
                          </w14:srgbClr>
                        </w14:solidFill>
                      </w14:textFill>
                    </w:rPr>
                    <w:t>|||</w:t>
                  </w:r>
                  <w:r w:rsidRPr="00CF6E6B">
                    <w:rPr>
                      <w:rFonts w:ascii="Arial Narrow" w:hAnsi="Arial Narrow" w:cstheme="minorHAnsi"/>
                      <w:color w:val="000000"/>
                      <w:spacing w:val="1"/>
                      <w:sz w:val="20"/>
                      <w:szCs w:val="20"/>
                      <w:shd w:val="solid" w:color="000000" w:fill="000000"/>
                      <w:fitText w:val="330" w:id="-694454527"/>
                      <w14:textFill>
                        <w14:solidFill>
                          <w14:srgbClr w14:val="000000">
                            <w14:alpha w14:val="100000"/>
                          </w14:srgbClr>
                        </w14:solidFill>
                      </w14:textFill>
                    </w:rPr>
                    <w:t>|</w:t>
                  </w:r>
                  <w:r w:rsidR="00A1193E" w:rsidRPr="00A1193E">
                    <w:rPr>
                      <w:rFonts w:ascii="Arial Narrow" w:hAnsi="Arial Narrow" w:cstheme="minorHAnsi"/>
                      <w:sz w:val="20"/>
                      <w:szCs w:val="20"/>
                      <w:vertAlign w:val="superscript"/>
                    </w:rPr>
                    <w:t>6</w:t>
                  </w:r>
                </w:p>
              </w:tc>
            </w:tr>
          </w:tbl>
          <w:p w14:paraId="1841882E" w14:textId="6E725612" w:rsidR="00674329" w:rsidRPr="005A7226" w:rsidRDefault="00674329" w:rsidP="00C84BD0">
            <w:pPr>
              <w:pStyle w:val="ListParagraph"/>
              <w:widowControl w:val="0"/>
              <w:numPr>
                <w:ilvl w:val="0"/>
                <w:numId w:val="28"/>
              </w:numPr>
              <w:spacing w:after="0"/>
              <w:jc w:val="left"/>
              <w:rPr>
                <w:rFonts w:ascii="Arial Narrow" w:hAnsi="Arial Narrow"/>
                <w:sz w:val="18"/>
                <w:szCs w:val="18"/>
              </w:rPr>
            </w:pPr>
            <w:r w:rsidRPr="005A7226">
              <w:rPr>
                <w:rFonts w:ascii="Arial Narrow" w:hAnsi="Arial Narrow"/>
                <w:sz w:val="18"/>
                <w:szCs w:val="18"/>
              </w:rPr>
              <w:t xml:space="preserve">This is a total of </w:t>
            </w:r>
            <w:r w:rsidR="00CF6E6B" w:rsidRPr="00CF6E6B">
              <w:rPr>
                <w:rFonts w:ascii="Arial Narrow" w:hAnsi="Arial Narrow"/>
                <w:color w:val="000000"/>
                <w:spacing w:val="223"/>
                <w:sz w:val="18"/>
                <w:szCs w:val="18"/>
                <w:shd w:val="solid" w:color="000000" w:fill="000000"/>
                <w:fitText w:val="300" w:id="-694454526"/>
                <w14:textFill>
                  <w14:solidFill>
                    <w14:srgbClr w14:val="000000">
                      <w14:alpha w14:val="100000"/>
                    </w14:srgbClr>
                  </w14:solidFill>
                </w14:textFill>
              </w:rPr>
              <w:t>|</w:t>
            </w:r>
            <w:r w:rsidR="00CF6E6B" w:rsidRPr="00CF6E6B">
              <w:rPr>
                <w:rFonts w:ascii="Arial Narrow" w:hAnsi="Arial Narrow"/>
                <w:color w:val="000000"/>
                <w:spacing w:val="1"/>
                <w:sz w:val="18"/>
                <w:szCs w:val="18"/>
                <w:shd w:val="solid" w:color="000000" w:fill="000000"/>
                <w:fitText w:val="300" w:id="-694454526"/>
                <w14:textFill>
                  <w14:solidFill>
                    <w14:srgbClr w14:val="000000">
                      <w14:alpha w14:val="100000"/>
                    </w14:srgbClr>
                  </w14:solidFill>
                </w14:textFill>
              </w:rPr>
              <w:t>|</w:t>
            </w:r>
            <w:r w:rsidRPr="005A7226">
              <w:rPr>
                <w:rFonts w:ascii="Arial Narrow" w:hAnsi="Arial Narrow"/>
                <w:sz w:val="18"/>
                <w:szCs w:val="18"/>
              </w:rPr>
              <w:t xml:space="preserve"> </w:t>
            </w:r>
            <w:r w:rsidR="008D4A56" w:rsidRPr="008D4A56">
              <w:rPr>
                <w:rFonts w:ascii="Arial Narrow" w:hAnsi="Arial Narrow"/>
                <w:sz w:val="18"/>
                <w:szCs w:val="18"/>
                <w:vertAlign w:val="superscript"/>
              </w:rPr>
              <w:t>12</w:t>
            </w:r>
            <w:r w:rsidR="008D4A56">
              <w:rPr>
                <w:rFonts w:ascii="Arial Narrow" w:hAnsi="Arial Narrow"/>
                <w:sz w:val="18"/>
                <w:szCs w:val="18"/>
              </w:rPr>
              <w:t xml:space="preserve"> </w:t>
            </w:r>
            <w:r w:rsidRPr="005A7226">
              <w:rPr>
                <w:rFonts w:ascii="Arial Narrow" w:hAnsi="Arial Narrow"/>
                <w:sz w:val="18"/>
                <w:szCs w:val="18"/>
              </w:rPr>
              <w:t xml:space="preserve">prevalent patients, minus </w:t>
            </w:r>
            <w:r w:rsidR="00CF6E6B" w:rsidRPr="00CF6E6B">
              <w:rPr>
                <w:rFonts w:ascii="Arial Narrow" w:hAnsi="Arial Narrow"/>
                <w:color w:val="000000"/>
                <w:sz w:val="18"/>
                <w:szCs w:val="18"/>
                <w:shd w:val="solid" w:color="000000" w:fill="000000"/>
                <w14:textFill>
                  <w14:solidFill>
                    <w14:srgbClr w14:val="000000">
                      <w14:alpha w14:val="100000"/>
                    </w14:srgbClr>
                  </w14:solidFill>
                </w14:textFill>
              </w:rPr>
              <w:t>|</w:t>
            </w:r>
            <w:r w:rsidR="00943DFB" w:rsidRPr="00943DFB">
              <w:rPr>
                <w:rFonts w:ascii="Arial Narrow" w:hAnsi="Arial Narrow"/>
                <w:sz w:val="18"/>
                <w:szCs w:val="18"/>
                <w:vertAlign w:val="superscript"/>
              </w:rPr>
              <w:t>13</w:t>
            </w:r>
            <w:r w:rsidRPr="005A7226">
              <w:rPr>
                <w:rFonts w:ascii="Arial Narrow" w:hAnsi="Arial Narrow"/>
                <w:sz w:val="18"/>
                <w:szCs w:val="18"/>
              </w:rPr>
              <w:t xml:space="preserve"> GF pts.</w:t>
            </w:r>
          </w:p>
          <w:p w14:paraId="2512165E" w14:textId="37933EED" w:rsidR="00674329" w:rsidRPr="005A7226" w:rsidRDefault="00674329" w:rsidP="00C84BD0">
            <w:pPr>
              <w:pStyle w:val="ListParagraph"/>
              <w:widowControl w:val="0"/>
              <w:numPr>
                <w:ilvl w:val="0"/>
                <w:numId w:val="28"/>
              </w:numPr>
              <w:spacing w:after="0"/>
              <w:jc w:val="left"/>
              <w:rPr>
                <w:rFonts w:ascii="Arial Narrow" w:hAnsi="Arial Narrow"/>
                <w:sz w:val="18"/>
                <w:szCs w:val="18"/>
              </w:rPr>
            </w:pPr>
            <w:r w:rsidRPr="005A7226">
              <w:rPr>
                <w:rFonts w:ascii="Arial Narrow" w:hAnsi="Arial Narrow"/>
                <w:sz w:val="18"/>
                <w:szCs w:val="18"/>
              </w:rPr>
              <w:t xml:space="preserve">The submission assumed that </w:t>
            </w:r>
            <w:r w:rsidR="00CF6E6B" w:rsidRPr="00CF6E6B">
              <w:rPr>
                <w:rFonts w:ascii="Arial Narrow" w:hAnsi="Arial Narrow"/>
                <w:color w:val="000000"/>
                <w:spacing w:val="223"/>
                <w:sz w:val="18"/>
                <w:szCs w:val="18"/>
                <w:shd w:val="solid" w:color="000000" w:fill="000000"/>
                <w:fitText w:val="300" w:id="-694454525"/>
                <w14:textFill>
                  <w14:solidFill>
                    <w14:srgbClr w14:val="000000">
                      <w14:alpha w14:val="100000"/>
                    </w14:srgbClr>
                  </w14:solidFill>
                </w14:textFill>
              </w:rPr>
              <w:t>|</w:t>
            </w:r>
            <w:r w:rsidR="00CF6E6B" w:rsidRPr="00CF6E6B">
              <w:rPr>
                <w:rFonts w:ascii="Arial Narrow" w:hAnsi="Arial Narrow"/>
                <w:color w:val="000000"/>
                <w:spacing w:val="1"/>
                <w:sz w:val="18"/>
                <w:szCs w:val="18"/>
                <w:shd w:val="solid" w:color="000000" w:fill="000000"/>
                <w:fitText w:val="300" w:id="-694454525"/>
                <w14:textFill>
                  <w14:solidFill>
                    <w14:srgbClr w14:val="000000">
                      <w14:alpha w14:val="100000"/>
                    </w14:srgbClr>
                  </w14:solidFill>
                </w14:textFill>
              </w:rPr>
              <w:t>|</w:t>
            </w:r>
            <w:r w:rsidR="00943DFB" w:rsidRPr="00943DFB">
              <w:rPr>
                <w:rFonts w:ascii="Arial Narrow" w:hAnsi="Arial Narrow"/>
                <w:sz w:val="18"/>
                <w:szCs w:val="18"/>
                <w:vertAlign w:val="superscript"/>
              </w:rPr>
              <w:t>13</w:t>
            </w:r>
            <w:r w:rsidRPr="005A7226">
              <w:rPr>
                <w:rFonts w:ascii="Arial Narrow" w:hAnsi="Arial Narrow"/>
                <w:sz w:val="18"/>
                <w:szCs w:val="18"/>
              </w:rPr>
              <w:t xml:space="preserve"> GF patients would transition from private treatment to PBS in mid-2026 and receive the PBS-listed treatment for only six months (</w:t>
            </w:r>
            <w:r w:rsidR="00CF6E6B" w:rsidRPr="00CF6E6B">
              <w:rPr>
                <w:rFonts w:ascii="Arial Narrow" w:hAnsi="Arial Narrow"/>
                <w:color w:val="000000"/>
                <w:sz w:val="18"/>
                <w:szCs w:val="18"/>
                <w:shd w:val="solid" w:color="000000" w:fill="000000"/>
                <w14:textFill>
                  <w14:solidFill>
                    <w14:srgbClr w14:val="000000">
                      <w14:alpha w14:val="100000"/>
                    </w14:srgbClr>
                  </w14:solidFill>
                </w14:textFill>
              </w:rPr>
              <w:t>|</w:t>
            </w:r>
            <w:r w:rsidR="00943DFB" w:rsidRPr="00943DFB">
              <w:rPr>
                <w:rFonts w:ascii="Arial Narrow" w:hAnsi="Arial Narrow"/>
                <w:sz w:val="18"/>
                <w:szCs w:val="18"/>
                <w:vertAlign w:val="superscript"/>
              </w:rPr>
              <w:t>13</w:t>
            </w:r>
            <w:r w:rsidRPr="005A7226">
              <w:rPr>
                <w:rFonts w:ascii="Arial Narrow" w:hAnsi="Arial Narrow"/>
                <w:sz w:val="18"/>
                <w:szCs w:val="18"/>
              </w:rPr>
              <w:t xml:space="preserve"> patients × 0.5 year). This was based on Astellas private market forecast (Assumption).</w:t>
            </w:r>
          </w:p>
        </w:tc>
        <w:tc>
          <w:tcPr>
            <w:tcW w:w="2297" w:type="pct"/>
            <w:shd w:val="clear" w:color="auto" w:fill="auto"/>
          </w:tcPr>
          <w:p w14:paraId="41F0DCD4" w14:textId="4CE325C9" w:rsidR="00674329" w:rsidRPr="005A7226" w:rsidRDefault="009450FD" w:rsidP="00AF31E6">
            <w:pPr>
              <w:pStyle w:val="TableText0"/>
              <w:keepNext w:val="0"/>
              <w:widowControl w:val="0"/>
            </w:pPr>
            <w:r>
              <w:t>The evaluation considered that u</w:t>
            </w:r>
            <w:r w:rsidR="00674329" w:rsidRPr="005A7226">
              <w:t xml:space="preserve">ptake rates were likely underestimated. </w:t>
            </w:r>
            <w:r w:rsidR="00674329" w:rsidRPr="005A7226">
              <w:rPr>
                <w:szCs w:val="20"/>
              </w:rPr>
              <w:t xml:space="preserve">GF patient numbers were hard coded with no supporting evidence </w:t>
            </w:r>
            <w:r w:rsidR="00F67A7E">
              <w:rPr>
                <w:szCs w:val="20"/>
              </w:rPr>
              <w:t xml:space="preserve">or rationale </w:t>
            </w:r>
            <w:r w:rsidR="00674329" w:rsidRPr="005A7226">
              <w:rPr>
                <w:szCs w:val="20"/>
              </w:rPr>
              <w:t>provided. They appeared to be patient-level forecasts; however, it was not possible to validate these numbers. GF were correctly removed from the “prevalent/eligible population”.</w:t>
            </w:r>
            <w:r w:rsidR="00F67A7E">
              <w:rPr>
                <w:szCs w:val="20"/>
              </w:rPr>
              <w:t xml:space="preserve"> </w:t>
            </w:r>
            <w:r w:rsidR="00F67A7E" w:rsidRPr="00F67A7E">
              <w:rPr>
                <w:szCs w:val="20"/>
              </w:rPr>
              <w:t xml:space="preserve">DUSC </w:t>
            </w:r>
            <w:r w:rsidR="00F67A7E">
              <w:rPr>
                <w:szCs w:val="20"/>
              </w:rPr>
              <w:t>considered it unclear</w:t>
            </w:r>
            <w:r w:rsidR="00F67A7E" w:rsidRPr="00F67A7E">
              <w:rPr>
                <w:szCs w:val="20"/>
              </w:rPr>
              <w:t xml:space="preserve"> why the submission assumed </w:t>
            </w:r>
            <w:r w:rsidR="00F67A7E">
              <w:rPr>
                <w:szCs w:val="20"/>
              </w:rPr>
              <w:t>GF</w:t>
            </w:r>
            <w:r w:rsidR="00F67A7E" w:rsidRPr="00F67A7E">
              <w:rPr>
                <w:szCs w:val="20"/>
              </w:rPr>
              <w:t xml:space="preserve"> patients would receive treatment for only </w:t>
            </w:r>
            <w:r w:rsidR="00F67A7E">
              <w:rPr>
                <w:szCs w:val="20"/>
              </w:rPr>
              <w:t>6</w:t>
            </w:r>
            <w:r w:rsidR="00F67A7E" w:rsidRPr="00F67A7E">
              <w:rPr>
                <w:szCs w:val="20"/>
              </w:rPr>
              <w:t xml:space="preserve"> months in private market before transitioning to PBS. </w:t>
            </w:r>
            <w:r w:rsidR="00A8799B">
              <w:rPr>
                <w:szCs w:val="20"/>
              </w:rPr>
              <w:t>The pre-PBAC response indicated that the uptake rates incorporate wome</w:t>
            </w:r>
            <w:r w:rsidR="00744DB4">
              <w:rPr>
                <w:szCs w:val="20"/>
              </w:rPr>
              <w:t>n who choose not to seek treatment.</w:t>
            </w:r>
            <w:r w:rsidR="00F67A7E" w:rsidRPr="00F67A7E">
              <w:rPr>
                <w:szCs w:val="20"/>
              </w:rPr>
              <w:t xml:space="preserve"> </w:t>
            </w:r>
          </w:p>
        </w:tc>
      </w:tr>
      <w:tr w:rsidR="00674329" w:rsidRPr="005A7226" w14:paraId="13AA3AA8" w14:textId="77777777" w:rsidTr="00AF31E6">
        <w:trPr>
          <w:trHeight w:val="20"/>
        </w:trPr>
        <w:tc>
          <w:tcPr>
            <w:tcW w:w="622" w:type="pct"/>
            <w:shd w:val="clear" w:color="auto" w:fill="auto"/>
            <w:vAlign w:val="center"/>
          </w:tcPr>
          <w:p w14:paraId="5779788E" w14:textId="77777777" w:rsidR="00674329" w:rsidRPr="005A7226" w:rsidRDefault="00674329" w:rsidP="00C84BD0">
            <w:pPr>
              <w:pStyle w:val="TableText0"/>
              <w:keepNext w:val="0"/>
              <w:widowControl w:val="0"/>
            </w:pPr>
            <w:r w:rsidRPr="005A7226">
              <w:t>Compliance rate</w:t>
            </w:r>
          </w:p>
        </w:tc>
        <w:tc>
          <w:tcPr>
            <w:tcW w:w="2080" w:type="pct"/>
            <w:shd w:val="clear" w:color="auto" w:fill="auto"/>
            <w:vAlign w:val="center"/>
          </w:tcPr>
          <w:p w14:paraId="6A12CB1B" w14:textId="77777777" w:rsidR="00674329" w:rsidRPr="005A7226" w:rsidRDefault="00674329" w:rsidP="00C84BD0">
            <w:pPr>
              <w:pStyle w:val="TableText0"/>
              <w:keepNext w:val="0"/>
              <w:widowControl w:val="0"/>
            </w:pPr>
            <w:r w:rsidRPr="005A7226">
              <w:t>A compliance rate of 72.6% projected the annual discontinuation rate. This was derived from a 13.72% discontinuation rate observed over 24 weeks in the DAYLIGHT trial, extrapolated to a 52-week period, for the 45 mg once-daily fezolinetant treatment (equivalent to 8.84 × 30-tablet scripts per year).</w:t>
            </w:r>
          </w:p>
        </w:tc>
        <w:tc>
          <w:tcPr>
            <w:tcW w:w="2297" w:type="pct"/>
            <w:shd w:val="clear" w:color="auto" w:fill="auto"/>
          </w:tcPr>
          <w:p w14:paraId="6E06BDBF" w14:textId="10328510" w:rsidR="00674329" w:rsidRPr="005A7226" w:rsidRDefault="00674329" w:rsidP="00AF31E6">
            <w:pPr>
              <w:widowControl w:val="0"/>
              <w:jc w:val="left"/>
              <w:rPr>
                <w:rFonts w:ascii="Arial Narrow" w:hAnsi="Arial Narrow"/>
                <w:sz w:val="20"/>
                <w:szCs w:val="20"/>
              </w:rPr>
            </w:pPr>
            <w:r w:rsidRPr="005A7226">
              <w:rPr>
                <w:rFonts w:ascii="Arial Narrow" w:hAnsi="Arial Narrow"/>
                <w:sz w:val="20"/>
                <w:szCs w:val="20"/>
              </w:rPr>
              <w:t>Th</w:t>
            </w:r>
            <w:r w:rsidR="001B6604">
              <w:rPr>
                <w:rFonts w:ascii="Arial Narrow" w:hAnsi="Arial Narrow"/>
                <w:sz w:val="20"/>
                <w:szCs w:val="20"/>
              </w:rPr>
              <w:t xml:space="preserve">e evaluation </w:t>
            </w:r>
            <w:r w:rsidR="00782DC7">
              <w:rPr>
                <w:rFonts w:ascii="Arial Narrow" w:hAnsi="Arial Narrow"/>
                <w:sz w:val="20"/>
                <w:szCs w:val="20"/>
              </w:rPr>
              <w:t xml:space="preserve">and DUSC </w:t>
            </w:r>
            <w:r w:rsidR="001B6604">
              <w:rPr>
                <w:rFonts w:ascii="Arial Narrow" w:hAnsi="Arial Narrow"/>
                <w:sz w:val="20"/>
                <w:szCs w:val="20"/>
              </w:rPr>
              <w:t>considered th</w:t>
            </w:r>
            <w:r w:rsidRPr="005A7226">
              <w:rPr>
                <w:rFonts w:ascii="Arial Narrow" w:hAnsi="Arial Narrow"/>
                <w:sz w:val="20"/>
                <w:szCs w:val="20"/>
              </w:rPr>
              <w:t>is was not appropriate</w:t>
            </w:r>
            <w:r w:rsidRPr="005A7226">
              <w:rPr>
                <w:szCs w:val="20"/>
              </w:rPr>
              <w:t xml:space="preserve"> </w:t>
            </w:r>
            <w:r w:rsidRPr="005A7226">
              <w:rPr>
                <w:rFonts w:ascii="Arial Narrow" w:hAnsi="Arial Narrow"/>
                <w:sz w:val="20"/>
                <w:szCs w:val="20"/>
              </w:rPr>
              <w:t>and may have underestimated the script volume. The submission’s approach would not prevent patients returning to treatment in the following year.</w:t>
            </w:r>
          </w:p>
        </w:tc>
      </w:tr>
      <w:tr w:rsidR="00674329" w:rsidRPr="005A7226" w14:paraId="6A5E289E" w14:textId="77777777" w:rsidTr="00AF31E6">
        <w:trPr>
          <w:trHeight w:val="20"/>
        </w:trPr>
        <w:tc>
          <w:tcPr>
            <w:tcW w:w="622" w:type="pct"/>
            <w:shd w:val="clear" w:color="auto" w:fill="auto"/>
            <w:vAlign w:val="center"/>
          </w:tcPr>
          <w:p w14:paraId="0498F2A9" w14:textId="77777777" w:rsidR="00674329" w:rsidRPr="005A7226" w:rsidRDefault="00674329" w:rsidP="00C84BD0">
            <w:pPr>
              <w:pStyle w:val="TableText0"/>
              <w:keepNext w:val="0"/>
              <w:widowControl w:val="0"/>
            </w:pPr>
            <w:r w:rsidRPr="005A7226">
              <w:t>Dose/duration</w:t>
            </w:r>
          </w:p>
        </w:tc>
        <w:tc>
          <w:tcPr>
            <w:tcW w:w="2080" w:type="pct"/>
            <w:shd w:val="clear" w:color="auto" w:fill="auto"/>
            <w:vAlign w:val="center"/>
          </w:tcPr>
          <w:p w14:paraId="7AA1F6A3" w14:textId="77777777" w:rsidR="00674329" w:rsidRPr="005A7226" w:rsidRDefault="00674329" w:rsidP="00C84BD0">
            <w:pPr>
              <w:pStyle w:val="TableText0"/>
              <w:keepNext w:val="0"/>
              <w:widowControl w:val="0"/>
            </w:pPr>
            <w:r w:rsidRPr="005A7226">
              <w:t>45 mg once daily, for one continuing year</w:t>
            </w:r>
          </w:p>
        </w:tc>
        <w:tc>
          <w:tcPr>
            <w:tcW w:w="2297" w:type="pct"/>
            <w:shd w:val="clear" w:color="auto" w:fill="auto"/>
          </w:tcPr>
          <w:p w14:paraId="327FC2BA" w14:textId="77777777" w:rsidR="00674329" w:rsidRPr="005A7226" w:rsidRDefault="00674329" w:rsidP="00AF31E6">
            <w:pPr>
              <w:pStyle w:val="TableText0"/>
              <w:keepNext w:val="0"/>
              <w:widowControl w:val="0"/>
            </w:pPr>
            <w:r w:rsidRPr="005A7226">
              <w:t>Consistent with the dose/duration in the economic evaluation. As the treatment is daily, duration should be changed from months to days in the model.</w:t>
            </w:r>
          </w:p>
        </w:tc>
      </w:tr>
      <w:tr w:rsidR="00674329" w:rsidRPr="005A7226" w14:paraId="1D12614A" w14:textId="77777777" w:rsidTr="00AF31E6">
        <w:trPr>
          <w:trHeight w:val="20"/>
        </w:trPr>
        <w:tc>
          <w:tcPr>
            <w:tcW w:w="622" w:type="pct"/>
            <w:shd w:val="clear" w:color="auto" w:fill="auto"/>
            <w:vAlign w:val="center"/>
          </w:tcPr>
          <w:p w14:paraId="39492771" w14:textId="77777777" w:rsidR="00674329" w:rsidRPr="005A7226" w:rsidRDefault="00674329" w:rsidP="00C84BD0">
            <w:pPr>
              <w:pStyle w:val="TableText0"/>
              <w:keepNext w:val="0"/>
              <w:widowControl w:val="0"/>
            </w:pPr>
            <w:r w:rsidRPr="005A7226">
              <w:t>Changes in the market</w:t>
            </w:r>
          </w:p>
        </w:tc>
        <w:tc>
          <w:tcPr>
            <w:tcW w:w="2080" w:type="pct"/>
            <w:shd w:val="clear" w:color="auto" w:fill="auto"/>
            <w:vAlign w:val="center"/>
          </w:tcPr>
          <w:p w14:paraId="467ADF0F" w14:textId="77777777" w:rsidR="00674329" w:rsidRPr="005A7226" w:rsidRDefault="00674329" w:rsidP="00C84BD0">
            <w:pPr>
              <w:pStyle w:val="TableText0"/>
              <w:keepNext w:val="0"/>
              <w:widowControl w:val="0"/>
            </w:pPr>
            <w:r w:rsidRPr="005A7226">
              <w:t xml:space="preserve">Not included. </w:t>
            </w:r>
            <w:r w:rsidRPr="005A7226">
              <w:rPr>
                <w:rFonts w:cs="Times New Roman"/>
                <w:lang w:eastAsia="en-GB"/>
              </w:rPr>
              <w:t>The submission reported that displacement of non-MHTs were excluded due to their small utilisation (&lt;1%) amongst Australian women experiencing VMS associated with menopause (Worsley et. al., 2016</w:t>
            </w:r>
            <w:r w:rsidRPr="005A7226">
              <w:rPr>
                <w:rStyle w:val="FootnoteReference"/>
                <w:rFonts w:cs="Times New Roman"/>
                <w:lang w:eastAsia="en-GB"/>
              </w:rPr>
              <w:footnoteReference w:id="29"/>
            </w:r>
            <w:r w:rsidRPr="005A7226">
              <w:rPr>
                <w:rFonts w:cs="Times New Roman"/>
                <w:lang w:eastAsia="en-GB"/>
              </w:rPr>
              <w:t>). The submission did not include potential MHT substitution.</w:t>
            </w:r>
          </w:p>
        </w:tc>
        <w:tc>
          <w:tcPr>
            <w:tcW w:w="2297" w:type="pct"/>
            <w:shd w:val="clear" w:color="auto" w:fill="auto"/>
          </w:tcPr>
          <w:p w14:paraId="72CC2773" w14:textId="0278230E" w:rsidR="00674329" w:rsidRPr="005A7226" w:rsidRDefault="00B05224" w:rsidP="00AF31E6">
            <w:pPr>
              <w:pStyle w:val="TableText0"/>
              <w:keepNext w:val="0"/>
              <w:widowControl w:val="0"/>
            </w:pPr>
            <w:r>
              <w:rPr>
                <w:rFonts w:cs="Times New Roman"/>
                <w:lang w:eastAsia="en-GB"/>
              </w:rPr>
              <w:t>The evaluation and DUSC considered that e</w:t>
            </w:r>
            <w:r w:rsidR="00674329" w:rsidRPr="005A7226">
              <w:rPr>
                <w:rFonts w:cs="Times New Roman"/>
                <w:lang w:eastAsia="en-GB"/>
              </w:rPr>
              <w:t>xcluding MHT substitution may not be entirely appropriate</w:t>
            </w:r>
            <w:r w:rsidR="0079419D">
              <w:rPr>
                <w:rFonts w:cs="Times New Roman"/>
                <w:lang w:eastAsia="en-GB"/>
              </w:rPr>
              <w:t xml:space="preserve"> for the proposed population</w:t>
            </w:r>
            <w:r w:rsidR="00674329" w:rsidRPr="005A7226">
              <w:rPr>
                <w:rFonts w:cs="Times New Roman"/>
                <w:lang w:eastAsia="en-GB"/>
              </w:rPr>
              <w:t>. MHT-averse group defined in the submission do not have any medical contraindication or caution against using MHT and these patients will be substituting away from MHT to fezolinetant in practice.</w:t>
            </w:r>
          </w:p>
        </w:tc>
      </w:tr>
      <w:tr w:rsidR="00674329" w:rsidRPr="005A7226" w14:paraId="3435BEC7" w14:textId="77777777" w:rsidTr="00AF31E6">
        <w:trPr>
          <w:trHeight w:val="20"/>
        </w:trPr>
        <w:tc>
          <w:tcPr>
            <w:tcW w:w="622" w:type="pct"/>
            <w:shd w:val="clear" w:color="auto" w:fill="auto"/>
            <w:vAlign w:val="center"/>
          </w:tcPr>
          <w:p w14:paraId="652B06C2" w14:textId="77777777" w:rsidR="00674329" w:rsidRPr="005A7226" w:rsidRDefault="00674329" w:rsidP="00C84BD0">
            <w:pPr>
              <w:pStyle w:val="TableText0"/>
              <w:keepNext w:val="0"/>
              <w:widowControl w:val="0"/>
            </w:pPr>
            <w:r w:rsidRPr="005A7226">
              <w:t>MBS items (GP and specialist visits)</w:t>
            </w:r>
          </w:p>
        </w:tc>
        <w:tc>
          <w:tcPr>
            <w:tcW w:w="2080" w:type="pct"/>
            <w:shd w:val="clear" w:color="auto" w:fill="auto"/>
            <w:vAlign w:val="center"/>
          </w:tcPr>
          <w:p w14:paraId="3EAF2721" w14:textId="77777777" w:rsidR="00674329" w:rsidRPr="005A7226" w:rsidRDefault="00674329" w:rsidP="00C84BD0">
            <w:pPr>
              <w:pStyle w:val="TableText0"/>
              <w:keepNext w:val="0"/>
              <w:widowControl w:val="0"/>
            </w:pPr>
            <w:r w:rsidRPr="005A7226">
              <w:t>The total number of GP and specialist visits per patient per year was calculated based on the number of visits for each VMS frequency-based health state (based on an Australian GP survey) and the average time spent in each treatment arm within that state during the first year (informed by economic model results).</w:t>
            </w:r>
          </w:p>
        </w:tc>
        <w:tc>
          <w:tcPr>
            <w:tcW w:w="2297" w:type="pct"/>
            <w:shd w:val="clear" w:color="auto" w:fill="auto"/>
          </w:tcPr>
          <w:p w14:paraId="607CF0FB" w14:textId="59746E2D" w:rsidR="00674329" w:rsidRPr="005A7226" w:rsidRDefault="00674329" w:rsidP="00AF31E6">
            <w:pPr>
              <w:pStyle w:val="TableText0"/>
              <w:keepNext w:val="0"/>
              <w:widowControl w:val="0"/>
            </w:pPr>
            <w:r w:rsidRPr="005A7226">
              <w:t>MBS items 23 (GP visit) and 36 (specialist visits) should not be included in the calculation for savings in MBS given any reductions in demand will be met by other patients and thus will not results in savings to the MBS.</w:t>
            </w:r>
            <w:r w:rsidR="004571B4">
              <w:t xml:space="preserve"> </w:t>
            </w:r>
            <w:r w:rsidR="004571B4" w:rsidRPr="004571B4">
              <w:t xml:space="preserve">DUSC considered demand from menopause patients </w:t>
            </w:r>
            <w:r w:rsidR="00584349">
              <w:t>for</w:t>
            </w:r>
            <w:r w:rsidR="004571B4" w:rsidRPr="004571B4">
              <w:t xml:space="preserve"> consults may increase due to follow up appointments required to monitor liver function and longer initial consults</w:t>
            </w:r>
            <w:r w:rsidR="00584349">
              <w:t>.</w:t>
            </w:r>
          </w:p>
        </w:tc>
      </w:tr>
      <w:tr w:rsidR="00674329" w:rsidRPr="005A7226" w14:paraId="539528DE" w14:textId="77777777" w:rsidTr="00AF31E6">
        <w:trPr>
          <w:trHeight w:val="2983"/>
        </w:trPr>
        <w:tc>
          <w:tcPr>
            <w:tcW w:w="622" w:type="pct"/>
            <w:shd w:val="clear" w:color="auto" w:fill="auto"/>
          </w:tcPr>
          <w:p w14:paraId="0CE499DC" w14:textId="77777777" w:rsidR="00674329" w:rsidRPr="005A7226" w:rsidRDefault="00674329" w:rsidP="00C84BD0">
            <w:pPr>
              <w:pStyle w:val="TableText0"/>
              <w:keepNext w:val="0"/>
              <w:widowControl w:val="0"/>
            </w:pPr>
            <w:r w:rsidRPr="005A7226">
              <w:rPr>
                <w:rFonts w:cs="Times New Roman"/>
                <w:lang w:eastAsia="en-GB"/>
              </w:rPr>
              <w:t>PBS/RPBS split and patient co-payment</w:t>
            </w:r>
          </w:p>
        </w:tc>
        <w:tc>
          <w:tcPr>
            <w:tcW w:w="2080" w:type="pct"/>
            <w:shd w:val="clear" w:color="auto" w:fill="auto"/>
          </w:tcPr>
          <w:p w14:paraId="38EF3DED" w14:textId="77777777" w:rsidR="00674329" w:rsidRPr="005A7226" w:rsidRDefault="00674329" w:rsidP="00C84BD0">
            <w:pPr>
              <w:widowControl w:val="0"/>
              <w:jc w:val="left"/>
              <w:rPr>
                <w:rFonts w:ascii="Arial Narrow" w:hAnsi="Arial Narrow" w:cs="Times New Roman"/>
                <w:sz w:val="20"/>
                <w:lang w:eastAsia="en-GB"/>
              </w:rPr>
            </w:pPr>
            <w:r w:rsidRPr="005A7226">
              <w:rPr>
                <w:rFonts w:ascii="Arial Narrow" w:hAnsi="Arial Narrow" w:cs="Times New Roman"/>
                <w:sz w:val="20"/>
                <w:lang w:eastAsia="en-GB"/>
              </w:rPr>
              <w:t>The script data for MHTs were taken from the PBS Item Reports, and the scripts from the calendar years 2022 and 2023 were used to estimate the co-payment and PBS/RPBS split percentage for MHT in Australia.</w:t>
            </w:r>
          </w:p>
          <w:p w14:paraId="4D277EFE" w14:textId="77777777" w:rsidR="00674329" w:rsidRPr="005A7226" w:rsidRDefault="00674329" w:rsidP="00C84BD0">
            <w:pPr>
              <w:widowControl w:val="0"/>
              <w:jc w:val="left"/>
              <w:rPr>
                <w:rFonts w:ascii="Arial Narrow" w:hAnsi="Arial Narrow" w:cs="Times New Roman"/>
                <w:sz w:val="20"/>
                <w:lang w:eastAsia="en-GB"/>
              </w:rPr>
            </w:pPr>
            <w:r w:rsidRPr="005A7226">
              <w:rPr>
                <w:rFonts w:ascii="Arial Narrow" w:hAnsi="Arial Narrow" w:cs="Times New Roman"/>
                <w:sz w:val="20"/>
                <w:lang w:eastAsia="en-GB"/>
              </w:rPr>
              <w:t>PBS/RPBS split: PBS: 98.95% / RPBS: 1.05%</w:t>
            </w:r>
          </w:p>
          <w:p w14:paraId="7F3FC490" w14:textId="77777777" w:rsidR="00674329" w:rsidRPr="005A7226" w:rsidRDefault="00674329" w:rsidP="00C84BD0">
            <w:pPr>
              <w:pStyle w:val="TableText0"/>
              <w:keepNext w:val="0"/>
              <w:widowControl w:val="0"/>
              <w:rPr>
                <w:rFonts w:eastAsia="Times New Roman" w:cs="Times New Roman"/>
                <w:bCs w:val="0"/>
                <w:lang w:eastAsia="en-GB"/>
              </w:rPr>
            </w:pPr>
            <w:r w:rsidRPr="005A7226">
              <w:rPr>
                <w:rFonts w:cs="Times New Roman"/>
                <w:lang w:eastAsia="en-GB"/>
              </w:rPr>
              <w:t xml:space="preserve">Patient co-payment: </w:t>
            </w:r>
            <w:r w:rsidRPr="005A7226">
              <w:rPr>
                <w:rFonts w:eastAsia="Times New Roman" w:cs="Times New Roman"/>
                <w:bCs w:val="0"/>
                <w:lang w:eastAsia="en-GB"/>
              </w:rPr>
              <w:t xml:space="preserve">PBS: $7.08 / </w:t>
            </w:r>
            <w:r w:rsidRPr="005A7226">
              <w:rPr>
                <w:rFonts w:eastAsia="Times New Roman" w:cs="Times New Roman"/>
                <w:bCs w:val="0"/>
                <w:szCs w:val="20"/>
                <w:lang w:eastAsia="en-GB"/>
              </w:rPr>
              <w:t>RPBS: $5.33</w:t>
            </w:r>
          </w:p>
        </w:tc>
        <w:tc>
          <w:tcPr>
            <w:tcW w:w="2297" w:type="pct"/>
            <w:shd w:val="clear" w:color="auto" w:fill="auto"/>
          </w:tcPr>
          <w:p w14:paraId="4C64D6E7" w14:textId="35333C03" w:rsidR="00674329" w:rsidRPr="005A7226" w:rsidRDefault="00674329" w:rsidP="00AF31E6">
            <w:pPr>
              <w:pStyle w:val="TableText0"/>
              <w:keepNext w:val="0"/>
              <w:widowControl w:val="0"/>
            </w:pPr>
            <w:r w:rsidRPr="005A7226">
              <w:rPr>
                <w:rFonts w:cs="Times New Roman"/>
                <w:lang w:eastAsia="en-GB"/>
              </w:rPr>
              <w:t>A duplication error was identified in the calculation of the service volume for norethisterone 5 mg tablets (PBS item: 2993M). This duplication may have overstated the PBS proportion and the PBS co-payment. Additionally, many of the included medicines were under the general co-payment, therefore their script volumes would not be included in the Medicare data. This may have distorted the co-payment calculations.</w:t>
            </w:r>
          </w:p>
        </w:tc>
      </w:tr>
    </w:tbl>
    <w:p w14:paraId="1C4DBB65" w14:textId="77777777" w:rsidR="00523D9A" w:rsidRPr="005A7226" w:rsidRDefault="00523D9A" w:rsidP="00523D9A">
      <w:pPr>
        <w:pStyle w:val="TableFigureFooter"/>
        <w:keepLines/>
        <w:widowControl w:val="0"/>
      </w:pPr>
      <w:r w:rsidRPr="005A7226">
        <w:t>Source: Table 4.1-1, p186, Tables 4.2-1 &amp; 4.2-2, p190, Table 4.2-3, p191, Table 4.2-4, p192, Table 4.2-5, p192, Table 4.2-6, p193, Table 4.2-8, p194, Table 4.2-9, pp194-196, Table 4.2-10, p196, Table 4.5-3, p201 of the submission.</w:t>
      </w:r>
    </w:p>
    <w:p w14:paraId="09322EF3" w14:textId="77777777" w:rsidR="0079378E" w:rsidRDefault="00523D9A" w:rsidP="00523D9A">
      <w:pPr>
        <w:pStyle w:val="TableFigureFooter"/>
        <w:keepLines/>
        <w:widowControl w:val="0"/>
      </w:pPr>
      <w:r w:rsidRPr="005A7226">
        <w:t xml:space="preserve">ABS= Australian bureau of statistics, </w:t>
      </w:r>
      <w:r w:rsidR="00360141">
        <w:t>AEs = adverse events</w:t>
      </w:r>
      <w:r w:rsidR="005038C8">
        <w:t xml:space="preserve">, </w:t>
      </w:r>
      <w:r w:rsidRPr="005A7226">
        <w:t>GF=grandfathered, GP=general physician, MBS=Medicare Benefits Schedule; MHT=Menopausal hormone therapy, M-S VMS=moderate to severe vasomotor symptoms, PBS=Pharmaceutical Benefits Scheme; pts=patients, RPBS=Repatriation Schedule of Pharmaceutical Benefits, VMS=vasomotor symptoms, y=year.</w:t>
      </w:r>
      <w:r w:rsidR="0079378E" w:rsidRPr="0079378E">
        <w:t xml:space="preserve"> </w:t>
      </w:r>
    </w:p>
    <w:p w14:paraId="55A343A0" w14:textId="6B0AD875" w:rsidR="006D0E89" w:rsidRPr="00532F85" w:rsidRDefault="0079378E" w:rsidP="006D0E89">
      <w:pPr>
        <w:pStyle w:val="TableFigureFooter"/>
        <w:keepLines/>
        <w:widowControl w:val="0"/>
        <w:rPr>
          <w:i/>
          <w:iCs/>
        </w:rPr>
      </w:pPr>
      <w:r w:rsidRPr="00532F85">
        <w:rPr>
          <w:i/>
          <w:iCs/>
        </w:rPr>
        <w:t>The redacted values correspond to the following ranges</w:t>
      </w:r>
      <w:r w:rsidR="00532F85" w:rsidRPr="00532F85">
        <w:rPr>
          <w:i/>
          <w:iCs/>
        </w:rPr>
        <w:t>:</w:t>
      </w:r>
    </w:p>
    <w:p w14:paraId="5AAB63E3" w14:textId="77777777" w:rsidR="00A26465" w:rsidRPr="00532F85" w:rsidRDefault="004E0649" w:rsidP="006D0E89">
      <w:pPr>
        <w:pStyle w:val="TableFigureFooter"/>
        <w:keepLines/>
        <w:widowControl w:val="0"/>
        <w:rPr>
          <w:i/>
          <w:iCs/>
        </w:rPr>
      </w:pPr>
      <w:r w:rsidRPr="00532F85">
        <w:rPr>
          <w:i/>
          <w:iCs/>
          <w:vertAlign w:val="superscript"/>
        </w:rPr>
        <w:t>1</w:t>
      </w:r>
      <w:r w:rsidRPr="00532F85">
        <w:rPr>
          <w:i/>
          <w:iCs/>
        </w:rPr>
        <w:t xml:space="preserve"> </w:t>
      </w:r>
      <w:r w:rsidR="006D0E89" w:rsidRPr="00532F85">
        <w:rPr>
          <w:i/>
          <w:iCs/>
        </w:rPr>
        <w:t>900,000 to &lt; 1,000,000</w:t>
      </w:r>
      <w:r w:rsidR="00A26465" w:rsidRPr="00532F85">
        <w:rPr>
          <w:i/>
          <w:iCs/>
        </w:rPr>
        <w:t xml:space="preserve"> </w:t>
      </w:r>
    </w:p>
    <w:p w14:paraId="718F87BE" w14:textId="77777777" w:rsidR="00670630" w:rsidRPr="00532F85" w:rsidRDefault="00A26465" w:rsidP="006D0E89">
      <w:pPr>
        <w:pStyle w:val="TableFigureFooter"/>
        <w:keepLines/>
        <w:widowControl w:val="0"/>
        <w:rPr>
          <w:i/>
          <w:iCs/>
        </w:rPr>
      </w:pPr>
      <w:r w:rsidRPr="00532F85">
        <w:rPr>
          <w:i/>
          <w:iCs/>
          <w:vertAlign w:val="superscript"/>
        </w:rPr>
        <w:t>2</w:t>
      </w:r>
      <w:r w:rsidRPr="00532F85">
        <w:rPr>
          <w:i/>
          <w:iCs/>
        </w:rPr>
        <w:t xml:space="preserve"> 800,000 to &lt; 900,000</w:t>
      </w:r>
    </w:p>
    <w:p w14:paraId="5C26AAEE" w14:textId="77777777" w:rsidR="00192D16" w:rsidRPr="00532F85" w:rsidRDefault="00670630" w:rsidP="006D0E89">
      <w:pPr>
        <w:pStyle w:val="TableFigureFooter"/>
        <w:keepLines/>
        <w:widowControl w:val="0"/>
        <w:rPr>
          <w:i/>
          <w:iCs/>
        </w:rPr>
      </w:pPr>
      <w:r w:rsidRPr="00532F85">
        <w:rPr>
          <w:i/>
          <w:iCs/>
          <w:vertAlign w:val="superscript"/>
        </w:rPr>
        <w:t xml:space="preserve">3 </w:t>
      </w:r>
      <w:r w:rsidRPr="00532F85">
        <w:rPr>
          <w:i/>
          <w:iCs/>
        </w:rPr>
        <w:t>700,000 to &lt; 800,000</w:t>
      </w:r>
      <w:r w:rsidR="00192D16" w:rsidRPr="00532F85">
        <w:rPr>
          <w:i/>
          <w:iCs/>
        </w:rPr>
        <w:t xml:space="preserve"> </w:t>
      </w:r>
    </w:p>
    <w:p w14:paraId="4938A1EF" w14:textId="77777777" w:rsidR="00913230" w:rsidRDefault="00192D16" w:rsidP="006D0E89">
      <w:pPr>
        <w:pStyle w:val="TableFigureFooter"/>
        <w:keepLines/>
        <w:widowControl w:val="0"/>
      </w:pPr>
      <w:r w:rsidRPr="00192D16">
        <w:rPr>
          <w:vertAlign w:val="superscript"/>
        </w:rPr>
        <w:t>4</w:t>
      </w:r>
      <w:r>
        <w:t xml:space="preserve"> </w:t>
      </w:r>
      <w:r w:rsidRPr="00192D16">
        <w:t>600,000 to &lt; 700,000</w:t>
      </w:r>
      <w:r w:rsidR="00297604">
        <w:t xml:space="preserve"> </w:t>
      </w:r>
    </w:p>
    <w:p w14:paraId="14460EE9" w14:textId="77777777" w:rsidR="0096222E" w:rsidRDefault="00297604" w:rsidP="006D0E89">
      <w:pPr>
        <w:pStyle w:val="TableFigureFooter"/>
        <w:keepLines/>
        <w:widowControl w:val="0"/>
      </w:pPr>
      <w:r w:rsidRPr="00913230">
        <w:rPr>
          <w:vertAlign w:val="superscript"/>
        </w:rPr>
        <w:t>5</w:t>
      </w:r>
      <w:r>
        <w:t xml:space="preserve"> </w:t>
      </w:r>
      <w:r w:rsidRPr="00297604">
        <w:t>500,000 to &lt; 600,000</w:t>
      </w:r>
      <w:r w:rsidR="0096222E">
        <w:t xml:space="preserve"> </w:t>
      </w:r>
    </w:p>
    <w:p w14:paraId="658E8482" w14:textId="77777777" w:rsidR="00FF7822" w:rsidRDefault="0096222E" w:rsidP="006D0E89">
      <w:pPr>
        <w:pStyle w:val="TableFigureFooter"/>
        <w:keepLines/>
        <w:widowControl w:val="0"/>
      </w:pPr>
      <w:r w:rsidRPr="0096222E">
        <w:rPr>
          <w:vertAlign w:val="superscript"/>
        </w:rPr>
        <w:t>6</w:t>
      </w:r>
      <w:r>
        <w:t xml:space="preserve"> </w:t>
      </w:r>
      <w:r w:rsidRPr="0096222E">
        <w:t>200,000 to &lt; 300,000</w:t>
      </w:r>
      <w:r w:rsidR="008138BA">
        <w:t xml:space="preserve"> </w:t>
      </w:r>
    </w:p>
    <w:p w14:paraId="26EAC06A" w14:textId="77777777" w:rsidR="009410B6" w:rsidRDefault="00FF7822" w:rsidP="006D0E89">
      <w:pPr>
        <w:pStyle w:val="TableFigureFooter"/>
        <w:keepLines/>
        <w:widowControl w:val="0"/>
      </w:pPr>
      <w:r w:rsidRPr="00FF7822">
        <w:rPr>
          <w:vertAlign w:val="superscript"/>
        </w:rPr>
        <w:t>7</w:t>
      </w:r>
      <w:r>
        <w:t xml:space="preserve"> </w:t>
      </w:r>
      <w:r w:rsidRPr="00FF7822">
        <w:t>60,000 to &lt; 70,000</w:t>
      </w:r>
      <w:r w:rsidR="009410B6">
        <w:t xml:space="preserve"> </w:t>
      </w:r>
    </w:p>
    <w:p w14:paraId="04C70675" w14:textId="77777777" w:rsidR="00BB450C" w:rsidRDefault="009410B6" w:rsidP="006D0E89">
      <w:pPr>
        <w:pStyle w:val="TableFigureFooter"/>
        <w:keepLines/>
        <w:widowControl w:val="0"/>
      </w:pPr>
      <w:r w:rsidRPr="009410B6">
        <w:rPr>
          <w:vertAlign w:val="superscript"/>
        </w:rPr>
        <w:t>8</w:t>
      </w:r>
      <w:r>
        <w:t xml:space="preserve"> </w:t>
      </w:r>
      <w:r w:rsidRPr="009410B6">
        <w:t>10,000 to &lt; 20,000</w:t>
      </w:r>
      <w:r w:rsidR="00BB450C">
        <w:t xml:space="preserve"> </w:t>
      </w:r>
    </w:p>
    <w:p w14:paraId="356AC7E5" w14:textId="77777777" w:rsidR="002728F5" w:rsidRDefault="00BB450C" w:rsidP="006D0E89">
      <w:pPr>
        <w:pStyle w:val="TableFigureFooter"/>
        <w:keepLines/>
        <w:widowControl w:val="0"/>
      </w:pPr>
      <w:r w:rsidRPr="00BB450C">
        <w:rPr>
          <w:vertAlign w:val="superscript"/>
        </w:rPr>
        <w:t>9</w:t>
      </w:r>
      <w:r>
        <w:t xml:space="preserve"> </w:t>
      </w:r>
      <w:r w:rsidRPr="00BB450C">
        <w:t>70,000 to &lt; 80,000</w:t>
      </w:r>
      <w:r w:rsidR="002728F5">
        <w:t xml:space="preserve"> </w:t>
      </w:r>
    </w:p>
    <w:p w14:paraId="6C582CE3" w14:textId="300470DE" w:rsidR="008138BA" w:rsidRDefault="002728F5" w:rsidP="006D0E89">
      <w:pPr>
        <w:pStyle w:val="TableFigureFooter"/>
        <w:keepLines/>
        <w:widowControl w:val="0"/>
      </w:pPr>
      <w:r w:rsidRPr="002728F5">
        <w:rPr>
          <w:vertAlign w:val="superscript"/>
        </w:rPr>
        <w:t>10</w:t>
      </w:r>
      <w:r>
        <w:t xml:space="preserve"> </w:t>
      </w:r>
      <w:r w:rsidRPr="002728F5">
        <w:t>100,000 to &lt; 200,000</w:t>
      </w:r>
    </w:p>
    <w:p w14:paraId="55949464" w14:textId="77777777" w:rsidR="00644099" w:rsidRDefault="00A1193E" w:rsidP="006D0E89">
      <w:pPr>
        <w:pStyle w:val="TableFigureFooter"/>
        <w:keepLines/>
        <w:widowControl w:val="0"/>
      </w:pPr>
      <w:r>
        <w:rPr>
          <w:vertAlign w:val="superscript"/>
        </w:rPr>
        <w:t>11</w:t>
      </w:r>
      <w:r w:rsidR="008138BA">
        <w:t xml:space="preserve"> </w:t>
      </w:r>
      <w:r w:rsidR="008138BA" w:rsidRPr="008138BA">
        <w:t>300,000 to &lt; 400,000</w:t>
      </w:r>
      <w:r w:rsidR="00644099">
        <w:t xml:space="preserve"> </w:t>
      </w:r>
    </w:p>
    <w:p w14:paraId="5DF05B4C" w14:textId="77777777" w:rsidR="00B50863" w:rsidRDefault="00644099" w:rsidP="006D0E89">
      <w:pPr>
        <w:pStyle w:val="TableFigureFooter"/>
        <w:keepLines/>
        <w:widowControl w:val="0"/>
      </w:pPr>
      <w:r w:rsidRPr="00644099">
        <w:rPr>
          <w:vertAlign w:val="superscript"/>
        </w:rPr>
        <w:t>12</w:t>
      </w:r>
      <w:r>
        <w:t xml:space="preserve"> </w:t>
      </w:r>
      <w:r w:rsidRPr="00644099">
        <w:t>90,000 to &lt; 100,000</w:t>
      </w:r>
      <w:r w:rsidR="00B50863">
        <w:t xml:space="preserve"> </w:t>
      </w:r>
    </w:p>
    <w:p w14:paraId="689B2292" w14:textId="6E9B7BFC" w:rsidR="006D0E89" w:rsidRDefault="00B50863" w:rsidP="006D0E89">
      <w:pPr>
        <w:pStyle w:val="TableFigureFooter"/>
        <w:keepLines/>
        <w:widowControl w:val="0"/>
      </w:pPr>
      <w:r>
        <w:t xml:space="preserve">13 </w:t>
      </w:r>
      <w:r w:rsidRPr="00B50863">
        <w:t>20,000 to &lt; 30,000</w:t>
      </w:r>
    </w:p>
    <w:p w14:paraId="39B6F584" w14:textId="6AC66569" w:rsidR="00523D9A" w:rsidRPr="005A7226" w:rsidRDefault="00523D9A" w:rsidP="00B53879">
      <w:pPr>
        <w:widowControl w:val="0"/>
        <w:numPr>
          <w:ilvl w:val="1"/>
          <w:numId w:val="1"/>
        </w:numPr>
        <w:spacing w:after="120"/>
        <w:ind w:left="720"/>
      </w:pPr>
      <w:r w:rsidRPr="005A7226">
        <w:fldChar w:fldCharType="begin"/>
      </w:r>
      <w:r w:rsidRPr="005A7226">
        <w:instrText xml:space="preserve"> REF _Ref184903462 \h </w:instrText>
      </w:r>
      <w:r w:rsidRPr="005A7226">
        <w:fldChar w:fldCharType="separate"/>
      </w:r>
      <w:r w:rsidR="00B11DA2" w:rsidRPr="005A7226">
        <w:t xml:space="preserve">Table </w:t>
      </w:r>
      <w:r w:rsidR="00B11DA2">
        <w:rPr>
          <w:noProof/>
        </w:rPr>
        <w:t>20</w:t>
      </w:r>
      <w:r w:rsidRPr="005A7226">
        <w:fldChar w:fldCharType="end"/>
      </w:r>
      <w:r w:rsidRPr="005A7226">
        <w:t xml:space="preserve"> presents the estimated use and financial impact of fezolinetant.</w:t>
      </w:r>
    </w:p>
    <w:p w14:paraId="3AF58C9D" w14:textId="005C0039" w:rsidR="00523D9A" w:rsidRPr="005A7226" w:rsidRDefault="00523D9A" w:rsidP="00523D9A">
      <w:pPr>
        <w:pStyle w:val="Caption"/>
      </w:pPr>
      <w:bookmarkStart w:id="76" w:name="_Ref184903462"/>
      <w:r w:rsidRPr="005A7226">
        <w:t xml:space="preserve">Table </w:t>
      </w:r>
      <w:r w:rsidR="004A6B36">
        <w:fldChar w:fldCharType="begin"/>
      </w:r>
      <w:r w:rsidR="004A6B36">
        <w:instrText xml:space="preserve"> SEQ Table \* ARABIC </w:instrText>
      </w:r>
      <w:r w:rsidR="004A6B36">
        <w:fldChar w:fldCharType="separate"/>
      </w:r>
      <w:r w:rsidR="00B11DA2">
        <w:rPr>
          <w:noProof/>
        </w:rPr>
        <w:t>20</w:t>
      </w:r>
      <w:r w:rsidR="004A6B36">
        <w:rPr>
          <w:noProof/>
        </w:rPr>
        <w:fldChar w:fldCharType="end"/>
      </w:r>
      <w:bookmarkEnd w:id="76"/>
      <w:r w:rsidRPr="005A7226">
        <w:t>:</w:t>
      </w:r>
      <w:r w:rsidRPr="005A7226">
        <w:rPr>
          <w:rStyle w:val="CommentReference"/>
          <w:b/>
        </w:rPr>
        <w:t xml:space="preserve"> Estimated use and financial implications</w:t>
      </w:r>
    </w:p>
    <w:tbl>
      <w:tblPr>
        <w:tblStyle w:val="ASDTable2"/>
        <w:tblW w:w="0" w:type="auto"/>
        <w:tblInd w:w="0" w:type="dxa"/>
        <w:tblLayout w:type="fixed"/>
        <w:tblCellMar>
          <w:left w:w="28" w:type="dxa"/>
          <w:right w:w="28" w:type="dxa"/>
        </w:tblCellMar>
        <w:tblLook w:val="04A0" w:firstRow="1" w:lastRow="0" w:firstColumn="1" w:lastColumn="0" w:noHBand="0" w:noVBand="1"/>
        <w:tblCaption w:val="Table 20: Estimated use and financial implications"/>
      </w:tblPr>
      <w:tblGrid>
        <w:gridCol w:w="1980"/>
        <w:gridCol w:w="992"/>
        <w:gridCol w:w="992"/>
        <w:gridCol w:w="993"/>
        <w:gridCol w:w="992"/>
        <w:gridCol w:w="992"/>
        <w:gridCol w:w="992"/>
        <w:gridCol w:w="1084"/>
      </w:tblGrid>
      <w:tr w:rsidR="00523D9A" w:rsidRPr="005A7226" w14:paraId="1FA0AD3B" w14:textId="77777777" w:rsidTr="005257AC">
        <w:trPr>
          <w:trHeight w:val="20"/>
          <w:tblHeader/>
        </w:trPr>
        <w:tc>
          <w:tcPr>
            <w:tcW w:w="1980" w:type="dxa"/>
            <w:tcBorders>
              <w:top w:val="single" w:sz="4" w:space="0" w:color="auto"/>
              <w:left w:val="single" w:sz="4" w:space="0" w:color="auto"/>
              <w:bottom w:val="single" w:sz="4" w:space="0" w:color="auto"/>
              <w:right w:val="single" w:sz="4" w:space="0" w:color="auto"/>
            </w:tcBorders>
            <w:vAlign w:val="center"/>
          </w:tcPr>
          <w:p w14:paraId="79203DB2" w14:textId="77777777" w:rsidR="00523D9A" w:rsidRPr="005A7226" w:rsidRDefault="00523D9A" w:rsidP="005257AC">
            <w:pPr>
              <w:keepNext/>
              <w:keepLines/>
              <w:widowControl w:val="0"/>
              <w:rPr>
                <w:rFonts w:ascii="Arial Narrow" w:hAnsi="Arial Narrow" w:cs="Times New Roman"/>
                <w:sz w:val="19"/>
                <w:szCs w:val="19"/>
                <w:lang w:eastAsia="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4EBCD9F"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2026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3C459F"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2027</w:t>
            </w:r>
          </w:p>
        </w:tc>
        <w:tc>
          <w:tcPr>
            <w:tcW w:w="993" w:type="dxa"/>
            <w:tcBorders>
              <w:top w:val="single" w:sz="4" w:space="0" w:color="auto"/>
              <w:left w:val="single" w:sz="4" w:space="0" w:color="auto"/>
              <w:bottom w:val="single" w:sz="4" w:space="0" w:color="auto"/>
              <w:right w:val="single" w:sz="4" w:space="0" w:color="auto"/>
            </w:tcBorders>
            <w:vAlign w:val="center"/>
            <w:hideMark/>
          </w:tcPr>
          <w:p w14:paraId="3447BE14"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2028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53CC86"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2029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DA008F"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2030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541331"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2031</w:t>
            </w:r>
          </w:p>
        </w:tc>
        <w:tc>
          <w:tcPr>
            <w:tcW w:w="1084" w:type="dxa"/>
            <w:tcBorders>
              <w:top w:val="single" w:sz="4" w:space="0" w:color="auto"/>
              <w:left w:val="single" w:sz="4" w:space="0" w:color="auto"/>
              <w:bottom w:val="single" w:sz="4" w:space="0" w:color="auto"/>
              <w:right w:val="single" w:sz="4" w:space="0" w:color="auto"/>
            </w:tcBorders>
            <w:hideMark/>
          </w:tcPr>
          <w:p w14:paraId="0E70FCD8" w14:textId="77777777" w:rsidR="00523D9A" w:rsidRPr="005A7226" w:rsidRDefault="00523D9A" w:rsidP="005257AC">
            <w:pPr>
              <w:keepNext/>
              <w:keepLines/>
              <w:widowControl w:val="0"/>
              <w:jc w:val="center"/>
              <w:rPr>
                <w:rFonts w:ascii="Arial Narrow" w:hAnsi="Arial Narrow" w:cs="Times New Roman"/>
                <w:b/>
                <w:sz w:val="19"/>
                <w:szCs w:val="19"/>
                <w:lang w:eastAsia="en-GB"/>
              </w:rPr>
            </w:pPr>
            <w:r w:rsidRPr="005A7226">
              <w:rPr>
                <w:rFonts w:ascii="Arial Narrow" w:hAnsi="Arial Narrow" w:cs="Times New Roman"/>
                <w:b/>
                <w:sz w:val="19"/>
                <w:szCs w:val="19"/>
                <w:lang w:eastAsia="en-GB"/>
              </w:rPr>
              <w:t>Total</w:t>
            </w:r>
          </w:p>
        </w:tc>
      </w:tr>
      <w:tr w:rsidR="00523D9A" w:rsidRPr="005A7226" w14:paraId="31369B94" w14:textId="77777777" w:rsidTr="005257AC">
        <w:trPr>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72228433" w14:textId="77777777" w:rsidR="00523D9A" w:rsidRPr="005A7226" w:rsidRDefault="00523D9A" w:rsidP="005257AC">
            <w:pPr>
              <w:keepNext/>
              <w:keepLines/>
              <w:widowControl w:val="0"/>
              <w:rPr>
                <w:rFonts w:ascii="Arial Narrow" w:hAnsi="Arial Narrow" w:cs="Times New Roman"/>
                <w:b/>
                <w:sz w:val="19"/>
                <w:szCs w:val="19"/>
                <w:lang w:eastAsia="en-GB"/>
              </w:rPr>
            </w:pPr>
            <w:r w:rsidRPr="005A7226">
              <w:rPr>
                <w:rFonts w:ascii="Arial Narrow" w:hAnsi="Arial Narrow" w:cs="Times New Roman"/>
                <w:b/>
                <w:sz w:val="19"/>
                <w:szCs w:val="19"/>
                <w:lang w:eastAsia="en-GB"/>
              </w:rPr>
              <w:t>Estimation of number of treated patients</w:t>
            </w:r>
          </w:p>
        </w:tc>
      </w:tr>
      <w:tr w:rsidR="00523D9A" w:rsidRPr="005A7226" w14:paraId="4ABC2FD9"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16FB4AC5" w14:textId="77777777" w:rsidR="00523D9A" w:rsidRPr="005A7226" w:rsidRDefault="00523D9A" w:rsidP="005257AC">
            <w:pPr>
              <w:keepNext/>
              <w:keepLines/>
              <w:widowControl w:val="0"/>
              <w:jc w:val="left"/>
              <w:rPr>
                <w:rFonts w:ascii="Arial Narrow" w:hAnsi="Arial Narrow" w:cs="Times New Roman"/>
                <w:bCs/>
                <w:sz w:val="19"/>
                <w:szCs w:val="19"/>
                <w:lang w:eastAsia="en-GB"/>
              </w:rPr>
            </w:pPr>
            <w:r w:rsidRPr="005A7226">
              <w:rPr>
                <w:rFonts w:ascii="Arial Narrow" w:hAnsi="Arial Narrow" w:cs="Times New Roman"/>
                <w:bCs/>
                <w:sz w:val="19"/>
                <w:szCs w:val="19"/>
                <w:lang w:eastAsia="en-GB"/>
              </w:rPr>
              <w:t xml:space="preserve">Australian females 40-79 </w:t>
            </w:r>
            <w:proofErr w:type="spellStart"/>
            <w:r w:rsidRPr="005A7226">
              <w:rPr>
                <w:rFonts w:ascii="Arial Narrow" w:hAnsi="Arial Narrow" w:cs="Times New Roman"/>
                <w:bCs/>
                <w:sz w:val="19"/>
                <w:szCs w:val="19"/>
                <w:lang w:eastAsia="en-GB"/>
              </w:rPr>
              <w:t>ys</w:t>
            </w:r>
            <w:proofErr w:type="spellEnd"/>
          </w:p>
        </w:tc>
        <w:tc>
          <w:tcPr>
            <w:tcW w:w="992" w:type="dxa"/>
            <w:tcBorders>
              <w:top w:val="single" w:sz="4" w:space="0" w:color="auto"/>
              <w:left w:val="single" w:sz="4" w:space="0" w:color="auto"/>
              <w:bottom w:val="single" w:sz="4" w:space="0" w:color="auto"/>
              <w:right w:val="single" w:sz="4" w:space="0" w:color="auto"/>
            </w:tcBorders>
          </w:tcPr>
          <w:p w14:paraId="41701E6A" w14:textId="037B4505" w:rsidR="00523D9A" w:rsidRPr="00B847DA" w:rsidRDefault="00CF6E6B" w:rsidP="005257AC">
            <w:pPr>
              <w:pStyle w:val="TableText0"/>
              <w:keepLines/>
              <w:jc w:val="center"/>
              <w:rPr>
                <w:rFonts w:cs="Times New Roman"/>
                <w:sz w:val="18"/>
                <w:szCs w:val="18"/>
                <w:highlight w:val="darkGray"/>
                <w:lang w:eastAsia="en-GB"/>
              </w:rPr>
            </w:pP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4"/>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00074E84" w:rsidRPr="008D24A5">
              <w:rPr>
                <w:sz w:val="18"/>
                <w:szCs w:val="18"/>
                <w:vertAlign w:val="superscript"/>
              </w:rPr>
              <w:t>1</w:t>
            </w:r>
          </w:p>
        </w:tc>
        <w:tc>
          <w:tcPr>
            <w:tcW w:w="992" w:type="dxa"/>
            <w:tcBorders>
              <w:top w:val="single" w:sz="4" w:space="0" w:color="auto"/>
              <w:left w:val="single" w:sz="4" w:space="0" w:color="auto"/>
              <w:bottom w:val="single" w:sz="4" w:space="0" w:color="auto"/>
              <w:right w:val="single" w:sz="4" w:space="0" w:color="auto"/>
            </w:tcBorders>
          </w:tcPr>
          <w:p w14:paraId="054BA0DA" w14:textId="4506E8DD" w:rsidR="00523D9A" w:rsidRPr="00B847DA" w:rsidRDefault="00CF6E6B" w:rsidP="005257AC">
            <w:pPr>
              <w:pStyle w:val="TableText0"/>
              <w:keepLines/>
              <w:jc w:val="center"/>
              <w:rPr>
                <w:rFonts w:cs="Times New Roman"/>
                <w:sz w:val="18"/>
                <w:szCs w:val="18"/>
                <w:highlight w:val="darkGray"/>
                <w:lang w:eastAsia="en-GB"/>
              </w:rPr>
            </w:pP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3"/>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008D24A5" w:rsidRPr="008D24A5">
              <w:rPr>
                <w:sz w:val="18"/>
                <w:szCs w:val="18"/>
                <w:vertAlign w:val="superscript"/>
              </w:rPr>
              <w:t>1</w:t>
            </w:r>
          </w:p>
        </w:tc>
        <w:tc>
          <w:tcPr>
            <w:tcW w:w="993" w:type="dxa"/>
            <w:tcBorders>
              <w:top w:val="single" w:sz="4" w:space="0" w:color="auto"/>
              <w:left w:val="single" w:sz="4" w:space="0" w:color="auto"/>
              <w:bottom w:val="single" w:sz="4" w:space="0" w:color="auto"/>
              <w:right w:val="single" w:sz="4" w:space="0" w:color="auto"/>
            </w:tcBorders>
          </w:tcPr>
          <w:p w14:paraId="41668497" w14:textId="63F9C9ED" w:rsidR="00523D9A" w:rsidRPr="00B847DA" w:rsidRDefault="00CF6E6B" w:rsidP="005257AC">
            <w:pPr>
              <w:pStyle w:val="TableText0"/>
              <w:keepLines/>
              <w:jc w:val="center"/>
              <w:rPr>
                <w:rFonts w:cs="Times New Roman"/>
                <w:sz w:val="18"/>
                <w:szCs w:val="18"/>
                <w:highlight w:val="darkGray"/>
                <w:lang w:eastAsia="en-GB"/>
              </w:rPr>
            </w:pPr>
            <w:r w:rsidRPr="00CF6E6B">
              <w:rPr>
                <w:rFonts w:hint="eastAsia"/>
                <w:color w:val="000000"/>
                <w:w w:val="15"/>
                <w:sz w:val="18"/>
                <w:szCs w:val="18"/>
                <w:shd w:val="solid" w:color="000000" w:fill="000000"/>
                <w:fitText w:val="60" w:id="-694454522"/>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2"/>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2"/>
                <w14:textFill>
                  <w14:solidFill>
                    <w14:srgbClr w14:val="000000">
                      <w14:alpha w14:val="100000"/>
                    </w14:srgbClr>
                  </w14:solidFill>
                </w14:textFill>
              </w:rPr>
              <w:t xml:space="preserve">　</w:t>
            </w:r>
            <w:r w:rsidR="008D24A5" w:rsidRPr="008D24A5">
              <w:rPr>
                <w:sz w:val="18"/>
                <w:szCs w:val="18"/>
                <w:vertAlign w:val="superscript"/>
              </w:rPr>
              <w:t>1</w:t>
            </w:r>
          </w:p>
        </w:tc>
        <w:tc>
          <w:tcPr>
            <w:tcW w:w="992" w:type="dxa"/>
            <w:tcBorders>
              <w:top w:val="single" w:sz="4" w:space="0" w:color="auto"/>
              <w:left w:val="single" w:sz="4" w:space="0" w:color="auto"/>
              <w:bottom w:val="single" w:sz="4" w:space="0" w:color="auto"/>
              <w:right w:val="single" w:sz="4" w:space="0" w:color="auto"/>
            </w:tcBorders>
          </w:tcPr>
          <w:p w14:paraId="14F973F1" w14:textId="13CB89E2" w:rsidR="00523D9A" w:rsidRPr="00B847DA" w:rsidRDefault="00CF6E6B" w:rsidP="005257AC">
            <w:pPr>
              <w:pStyle w:val="TableText0"/>
              <w:keepLines/>
              <w:jc w:val="center"/>
              <w:rPr>
                <w:rFonts w:cs="Times New Roman"/>
                <w:sz w:val="18"/>
                <w:szCs w:val="18"/>
                <w:highlight w:val="darkGray"/>
                <w:lang w:eastAsia="en-GB"/>
              </w:rPr>
            </w:pPr>
            <w:r w:rsidRPr="00CF6E6B">
              <w:rPr>
                <w:rFonts w:hint="eastAsia"/>
                <w:color w:val="000000"/>
                <w:w w:val="15"/>
                <w:sz w:val="18"/>
                <w:szCs w:val="18"/>
                <w:shd w:val="solid" w:color="000000" w:fill="000000"/>
                <w:fitText w:val="60" w:id="-694454521"/>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1"/>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1"/>
                <w14:textFill>
                  <w14:solidFill>
                    <w14:srgbClr w14:val="000000">
                      <w14:alpha w14:val="100000"/>
                    </w14:srgbClr>
                  </w14:solidFill>
                </w14:textFill>
              </w:rPr>
              <w:t xml:space="preserve">　</w:t>
            </w:r>
            <w:r w:rsidR="008D24A5" w:rsidRPr="008D24A5">
              <w:rPr>
                <w:sz w:val="18"/>
                <w:szCs w:val="18"/>
                <w:vertAlign w:val="superscript"/>
              </w:rPr>
              <w:t>1</w:t>
            </w:r>
          </w:p>
        </w:tc>
        <w:tc>
          <w:tcPr>
            <w:tcW w:w="992" w:type="dxa"/>
            <w:tcBorders>
              <w:top w:val="single" w:sz="4" w:space="0" w:color="auto"/>
              <w:left w:val="single" w:sz="4" w:space="0" w:color="auto"/>
              <w:bottom w:val="single" w:sz="4" w:space="0" w:color="auto"/>
              <w:right w:val="single" w:sz="4" w:space="0" w:color="auto"/>
            </w:tcBorders>
          </w:tcPr>
          <w:p w14:paraId="40E1AB49" w14:textId="72C12CE5" w:rsidR="00523D9A" w:rsidRPr="00B847DA" w:rsidRDefault="00CF6E6B" w:rsidP="005257AC">
            <w:pPr>
              <w:pStyle w:val="TableText0"/>
              <w:keepLines/>
              <w:jc w:val="center"/>
              <w:rPr>
                <w:rFonts w:cs="Times New Roman"/>
                <w:sz w:val="18"/>
                <w:szCs w:val="18"/>
                <w:highlight w:val="darkGray"/>
                <w:lang w:eastAsia="en-GB"/>
              </w:rPr>
            </w:pPr>
            <w:r w:rsidRPr="00CF6E6B">
              <w:rPr>
                <w:rFonts w:hint="eastAsia"/>
                <w:color w:val="000000"/>
                <w:w w:val="15"/>
                <w:sz w:val="18"/>
                <w:szCs w:val="18"/>
                <w:shd w:val="solid" w:color="000000" w:fill="000000"/>
                <w:fitText w:val="60" w:id="-694454520"/>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0"/>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0"/>
                <w14:textFill>
                  <w14:solidFill>
                    <w14:srgbClr w14:val="000000">
                      <w14:alpha w14:val="100000"/>
                    </w14:srgbClr>
                  </w14:solidFill>
                </w14:textFill>
              </w:rPr>
              <w:t xml:space="preserve">　</w:t>
            </w:r>
            <w:r w:rsidR="008D24A5" w:rsidRPr="008D24A5">
              <w:rPr>
                <w:sz w:val="18"/>
                <w:szCs w:val="18"/>
                <w:vertAlign w:val="superscript"/>
              </w:rPr>
              <w:t>1</w:t>
            </w:r>
          </w:p>
        </w:tc>
        <w:tc>
          <w:tcPr>
            <w:tcW w:w="992" w:type="dxa"/>
            <w:tcBorders>
              <w:top w:val="single" w:sz="4" w:space="0" w:color="auto"/>
              <w:left w:val="single" w:sz="4" w:space="0" w:color="auto"/>
              <w:bottom w:val="single" w:sz="4" w:space="0" w:color="auto"/>
              <w:right w:val="single" w:sz="4" w:space="0" w:color="auto"/>
            </w:tcBorders>
          </w:tcPr>
          <w:p w14:paraId="2C74D4FB" w14:textId="68CB52BE" w:rsidR="00523D9A" w:rsidRPr="00B847DA" w:rsidRDefault="00CF6E6B" w:rsidP="005257AC">
            <w:pPr>
              <w:pStyle w:val="TableText0"/>
              <w:keepLines/>
              <w:jc w:val="center"/>
              <w:rPr>
                <w:rFonts w:cs="Times New Roman"/>
                <w:sz w:val="18"/>
                <w:szCs w:val="18"/>
                <w:highlight w:val="darkGray"/>
                <w:lang w:eastAsia="en-GB"/>
              </w:rPr>
            </w:pPr>
            <w:r w:rsidRPr="00CF6E6B">
              <w:rPr>
                <w:rFonts w:hint="eastAsia"/>
                <w:color w:val="000000"/>
                <w:w w:val="15"/>
                <w:sz w:val="18"/>
                <w:szCs w:val="18"/>
                <w:shd w:val="solid" w:color="000000" w:fill="000000"/>
                <w:fitText w:val="60" w:id="-694454519"/>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9"/>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9"/>
                <w14:textFill>
                  <w14:solidFill>
                    <w14:srgbClr w14:val="000000">
                      <w14:alpha w14:val="100000"/>
                    </w14:srgbClr>
                  </w14:solidFill>
                </w14:textFill>
              </w:rPr>
              <w:t xml:space="preserve">　</w:t>
            </w:r>
            <w:r w:rsidR="008D24A5" w:rsidRPr="008D24A5">
              <w:rPr>
                <w:sz w:val="18"/>
                <w:szCs w:val="18"/>
                <w:vertAlign w:val="superscript"/>
              </w:rPr>
              <w:t>1</w:t>
            </w:r>
          </w:p>
        </w:tc>
        <w:tc>
          <w:tcPr>
            <w:tcW w:w="1084" w:type="dxa"/>
            <w:tcBorders>
              <w:top w:val="single" w:sz="4" w:space="0" w:color="auto"/>
              <w:left w:val="single" w:sz="4" w:space="0" w:color="auto"/>
              <w:bottom w:val="single" w:sz="4" w:space="0" w:color="auto"/>
              <w:right w:val="single" w:sz="4" w:space="0" w:color="auto"/>
            </w:tcBorders>
          </w:tcPr>
          <w:p w14:paraId="191B6346" w14:textId="77777777" w:rsidR="00523D9A" w:rsidRPr="005A7226" w:rsidRDefault="00523D9A" w:rsidP="005257AC">
            <w:pPr>
              <w:pStyle w:val="TableText0"/>
              <w:keepLines/>
              <w:jc w:val="center"/>
              <w:rPr>
                <w:rFonts w:cs="Times New Roman"/>
                <w:i/>
                <w:iCs/>
                <w:sz w:val="18"/>
                <w:szCs w:val="18"/>
                <w:lang w:eastAsia="en-GB"/>
              </w:rPr>
            </w:pPr>
            <w:r w:rsidRPr="005A7226">
              <w:rPr>
                <w:rFonts w:cs="Times New Roman"/>
                <w:i/>
                <w:iCs/>
                <w:sz w:val="18"/>
                <w:szCs w:val="18"/>
                <w:lang w:eastAsia="en-GB"/>
              </w:rPr>
              <w:t>-</w:t>
            </w:r>
          </w:p>
        </w:tc>
      </w:tr>
      <w:tr w:rsidR="00523D9A" w:rsidRPr="005A7226" w14:paraId="104B12B9"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3084733F"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Post-menopausal</w:t>
            </w:r>
          </w:p>
        </w:tc>
        <w:tc>
          <w:tcPr>
            <w:tcW w:w="992" w:type="dxa"/>
            <w:tcBorders>
              <w:top w:val="single" w:sz="4" w:space="0" w:color="auto"/>
              <w:left w:val="single" w:sz="4" w:space="0" w:color="auto"/>
              <w:bottom w:val="single" w:sz="4" w:space="0" w:color="auto"/>
              <w:right w:val="single" w:sz="4" w:space="0" w:color="auto"/>
            </w:tcBorders>
          </w:tcPr>
          <w:p w14:paraId="64460270" w14:textId="2F0D1865"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8"/>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8"/>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8"/>
                <w14:textFill>
                  <w14:solidFill>
                    <w14:srgbClr w14:val="000000">
                      <w14:alpha w14:val="100000"/>
                    </w14:srgbClr>
                  </w14:solidFill>
                </w14:textFill>
              </w:rPr>
              <w:t xml:space="preserve">　</w:t>
            </w:r>
            <w:r w:rsidR="009E3577" w:rsidRPr="009E3577">
              <w:rPr>
                <w:sz w:val="18"/>
                <w:szCs w:val="18"/>
                <w:vertAlign w:val="superscript"/>
              </w:rPr>
              <w:t>2</w:t>
            </w:r>
          </w:p>
        </w:tc>
        <w:tc>
          <w:tcPr>
            <w:tcW w:w="992" w:type="dxa"/>
            <w:tcBorders>
              <w:top w:val="single" w:sz="4" w:space="0" w:color="auto"/>
              <w:left w:val="single" w:sz="4" w:space="0" w:color="auto"/>
              <w:bottom w:val="single" w:sz="4" w:space="0" w:color="auto"/>
              <w:right w:val="single" w:sz="4" w:space="0" w:color="auto"/>
            </w:tcBorders>
          </w:tcPr>
          <w:p w14:paraId="6CD8789F" w14:textId="7D4D9143"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7"/>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7"/>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7"/>
                <w14:textFill>
                  <w14:solidFill>
                    <w14:srgbClr w14:val="000000">
                      <w14:alpha w14:val="100000"/>
                    </w14:srgbClr>
                  </w14:solidFill>
                </w14:textFill>
              </w:rPr>
              <w:t xml:space="preserve">　</w:t>
            </w:r>
            <w:r w:rsidR="009E3577" w:rsidRPr="009E3577">
              <w:rPr>
                <w:sz w:val="18"/>
                <w:szCs w:val="18"/>
                <w:vertAlign w:val="superscript"/>
              </w:rPr>
              <w:t>2</w:t>
            </w:r>
          </w:p>
        </w:tc>
        <w:tc>
          <w:tcPr>
            <w:tcW w:w="993" w:type="dxa"/>
            <w:tcBorders>
              <w:top w:val="single" w:sz="4" w:space="0" w:color="auto"/>
              <w:left w:val="single" w:sz="4" w:space="0" w:color="auto"/>
              <w:bottom w:val="single" w:sz="4" w:space="0" w:color="auto"/>
              <w:right w:val="single" w:sz="4" w:space="0" w:color="auto"/>
            </w:tcBorders>
          </w:tcPr>
          <w:p w14:paraId="47986838" w14:textId="003AEEB6"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6"/>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6"/>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6"/>
                <w14:textFill>
                  <w14:solidFill>
                    <w14:srgbClr w14:val="000000">
                      <w14:alpha w14:val="100000"/>
                    </w14:srgbClr>
                  </w14:solidFill>
                </w14:textFill>
              </w:rPr>
              <w:t xml:space="preserve">　</w:t>
            </w:r>
            <w:r w:rsidR="009E3577" w:rsidRPr="009E3577">
              <w:rPr>
                <w:sz w:val="18"/>
                <w:szCs w:val="18"/>
                <w:vertAlign w:val="superscript"/>
              </w:rPr>
              <w:t>2</w:t>
            </w:r>
          </w:p>
        </w:tc>
        <w:tc>
          <w:tcPr>
            <w:tcW w:w="992" w:type="dxa"/>
            <w:tcBorders>
              <w:top w:val="single" w:sz="4" w:space="0" w:color="auto"/>
              <w:left w:val="single" w:sz="4" w:space="0" w:color="auto"/>
              <w:bottom w:val="single" w:sz="4" w:space="0" w:color="auto"/>
              <w:right w:val="single" w:sz="4" w:space="0" w:color="auto"/>
            </w:tcBorders>
          </w:tcPr>
          <w:p w14:paraId="3CE2FAF2" w14:textId="735EB87D"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5"/>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5"/>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5"/>
                <w14:textFill>
                  <w14:solidFill>
                    <w14:srgbClr w14:val="000000">
                      <w14:alpha w14:val="100000"/>
                    </w14:srgbClr>
                  </w14:solidFill>
                </w14:textFill>
              </w:rPr>
              <w:t xml:space="preserve">　</w:t>
            </w:r>
            <w:r w:rsidR="009E3577" w:rsidRPr="009E3577">
              <w:rPr>
                <w:sz w:val="18"/>
                <w:szCs w:val="18"/>
                <w:vertAlign w:val="superscript"/>
              </w:rPr>
              <w:t>2</w:t>
            </w:r>
          </w:p>
        </w:tc>
        <w:tc>
          <w:tcPr>
            <w:tcW w:w="992" w:type="dxa"/>
            <w:tcBorders>
              <w:top w:val="single" w:sz="4" w:space="0" w:color="auto"/>
              <w:left w:val="single" w:sz="4" w:space="0" w:color="auto"/>
              <w:bottom w:val="single" w:sz="4" w:space="0" w:color="auto"/>
              <w:right w:val="single" w:sz="4" w:space="0" w:color="auto"/>
            </w:tcBorders>
          </w:tcPr>
          <w:p w14:paraId="6AC1DE25" w14:textId="61565BF1"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4"/>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4"/>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4"/>
                <w14:textFill>
                  <w14:solidFill>
                    <w14:srgbClr w14:val="000000">
                      <w14:alpha w14:val="100000"/>
                    </w14:srgbClr>
                  </w14:solidFill>
                </w14:textFill>
              </w:rPr>
              <w:t xml:space="preserve">　</w:t>
            </w:r>
            <w:r w:rsidR="009E3577" w:rsidRPr="009E3577">
              <w:rPr>
                <w:sz w:val="18"/>
                <w:szCs w:val="18"/>
                <w:vertAlign w:val="superscript"/>
              </w:rPr>
              <w:t>2</w:t>
            </w:r>
          </w:p>
        </w:tc>
        <w:tc>
          <w:tcPr>
            <w:tcW w:w="992" w:type="dxa"/>
            <w:tcBorders>
              <w:top w:val="single" w:sz="4" w:space="0" w:color="auto"/>
              <w:left w:val="single" w:sz="4" w:space="0" w:color="auto"/>
              <w:bottom w:val="single" w:sz="4" w:space="0" w:color="auto"/>
              <w:right w:val="single" w:sz="4" w:space="0" w:color="auto"/>
            </w:tcBorders>
          </w:tcPr>
          <w:p w14:paraId="2A740F2E" w14:textId="2EEBA527"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3"/>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3"/>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3"/>
                <w14:textFill>
                  <w14:solidFill>
                    <w14:srgbClr w14:val="000000">
                      <w14:alpha w14:val="100000"/>
                    </w14:srgbClr>
                  </w14:solidFill>
                </w14:textFill>
              </w:rPr>
              <w:t xml:space="preserve">　</w:t>
            </w:r>
            <w:r w:rsidR="009E3577" w:rsidRPr="009E3577">
              <w:rPr>
                <w:sz w:val="18"/>
                <w:szCs w:val="18"/>
                <w:vertAlign w:val="superscript"/>
              </w:rPr>
              <w:t>2</w:t>
            </w:r>
          </w:p>
        </w:tc>
        <w:tc>
          <w:tcPr>
            <w:tcW w:w="1084" w:type="dxa"/>
            <w:tcBorders>
              <w:top w:val="single" w:sz="4" w:space="0" w:color="auto"/>
              <w:left w:val="single" w:sz="4" w:space="0" w:color="auto"/>
              <w:bottom w:val="single" w:sz="4" w:space="0" w:color="auto"/>
              <w:right w:val="single" w:sz="4" w:space="0" w:color="auto"/>
            </w:tcBorders>
          </w:tcPr>
          <w:p w14:paraId="4177141A" w14:textId="77777777" w:rsidR="00523D9A" w:rsidRPr="005A7226" w:rsidRDefault="00523D9A" w:rsidP="005257AC">
            <w:pPr>
              <w:pStyle w:val="TableText0"/>
              <w:keepLines/>
              <w:jc w:val="center"/>
              <w:rPr>
                <w:rFonts w:cs="Times New Roman"/>
                <w:i/>
                <w:iCs/>
                <w:sz w:val="18"/>
                <w:szCs w:val="22"/>
                <w:lang w:eastAsia="en-GB"/>
              </w:rPr>
            </w:pPr>
            <w:r w:rsidRPr="005A7226">
              <w:rPr>
                <w:i/>
                <w:iCs/>
                <w:sz w:val="18"/>
                <w:szCs w:val="22"/>
              </w:rPr>
              <w:t>-</w:t>
            </w:r>
          </w:p>
        </w:tc>
      </w:tr>
      <w:tr w:rsidR="00523D9A" w:rsidRPr="005A7226" w14:paraId="6373D141"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2B19FE8D"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Experiencing M-S VMS</w:t>
            </w:r>
          </w:p>
        </w:tc>
        <w:tc>
          <w:tcPr>
            <w:tcW w:w="992" w:type="dxa"/>
            <w:tcBorders>
              <w:top w:val="single" w:sz="4" w:space="0" w:color="auto"/>
              <w:left w:val="single" w:sz="4" w:space="0" w:color="auto"/>
              <w:bottom w:val="single" w:sz="4" w:space="0" w:color="auto"/>
              <w:right w:val="single" w:sz="4" w:space="0" w:color="auto"/>
            </w:tcBorders>
          </w:tcPr>
          <w:p w14:paraId="1F473BAB" w14:textId="1049E291"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2"/>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2"/>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2"/>
                <w14:textFill>
                  <w14:solidFill>
                    <w14:srgbClr w14:val="000000">
                      <w14:alpha w14:val="100000"/>
                    </w14:srgbClr>
                  </w14:solidFill>
                </w14:textFill>
              </w:rPr>
              <w:t xml:space="preserve">　</w:t>
            </w:r>
            <w:r w:rsidR="009E3577" w:rsidRPr="009E3577">
              <w:rPr>
                <w:sz w:val="18"/>
                <w:szCs w:val="18"/>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0AC8DDCD" w14:textId="7B3CC3F9"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8"/>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8"/>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8"/>
                <w14:textFill>
                  <w14:solidFill>
                    <w14:srgbClr w14:val="000000">
                      <w14:alpha w14:val="100000"/>
                    </w14:srgbClr>
                  </w14:solidFill>
                </w14:textFill>
              </w:rPr>
              <w:t xml:space="preserve">　</w:t>
            </w:r>
            <w:r w:rsidR="004C1AB1" w:rsidRPr="009E3577">
              <w:rPr>
                <w:sz w:val="18"/>
                <w:szCs w:val="18"/>
                <w:vertAlign w:val="superscript"/>
              </w:rPr>
              <w:t>3</w:t>
            </w:r>
          </w:p>
        </w:tc>
        <w:tc>
          <w:tcPr>
            <w:tcW w:w="993" w:type="dxa"/>
            <w:tcBorders>
              <w:top w:val="single" w:sz="4" w:space="0" w:color="auto"/>
              <w:left w:val="single" w:sz="4" w:space="0" w:color="auto"/>
              <w:bottom w:val="single" w:sz="4" w:space="0" w:color="auto"/>
              <w:right w:val="single" w:sz="4" w:space="0" w:color="auto"/>
            </w:tcBorders>
          </w:tcPr>
          <w:p w14:paraId="56F1AA4F" w14:textId="1241C84A"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7"/>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7"/>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7"/>
                <w14:textFill>
                  <w14:solidFill>
                    <w14:srgbClr w14:val="000000">
                      <w14:alpha w14:val="100000"/>
                    </w14:srgbClr>
                  </w14:solidFill>
                </w14:textFill>
              </w:rPr>
              <w:t xml:space="preserve">　</w:t>
            </w:r>
            <w:r w:rsidR="00CD3483" w:rsidRPr="00CD3483">
              <w:rPr>
                <w:sz w:val="18"/>
                <w:szCs w:val="18"/>
                <w:vertAlign w:val="superscript"/>
              </w:rPr>
              <w:t>4</w:t>
            </w:r>
          </w:p>
        </w:tc>
        <w:tc>
          <w:tcPr>
            <w:tcW w:w="992" w:type="dxa"/>
            <w:tcBorders>
              <w:top w:val="single" w:sz="4" w:space="0" w:color="auto"/>
              <w:left w:val="single" w:sz="4" w:space="0" w:color="auto"/>
              <w:bottom w:val="single" w:sz="4" w:space="0" w:color="auto"/>
              <w:right w:val="single" w:sz="4" w:space="0" w:color="auto"/>
            </w:tcBorders>
          </w:tcPr>
          <w:p w14:paraId="101F7251" w14:textId="1F6108DF"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6"/>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6"/>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6"/>
                <w14:textFill>
                  <w14:solidFill>
                    <w14:srgbClr w14:val="000000">
                      <w14:alpha w14:val="100000"/>
                    </w14:srgbClr>
                  </w14:solidFill>
                </w14:textFill>
              </w:rPr>
              <w:t xml:space="preserve">　</w:t>
            </w:r>
            <w:r w:rsidR="0036169A" w:rsidRPr="00CD3483">
              <w:rPr>
                <w:sz w:val="18"/>
                <w:szCs w:val="18"/>
                <w:vertAlign w:val="superscript"/>
              </w:rPr>
              <w:t>4</w:t>
            </w:r>
          </w:p>
        </w:tc>
        <w:tc>
          <w:tcPr>
            <w:tcW w:w="992" w:type="dxa"/>
            <w:tcBorders>
              <w:top w:val="single" w:sz="4" w:space="0" w:color="auto"/>
              <w:left w:val="single" w:sz="4" w:space="0" w:color="auto"/>
              <w:bottom w:val="single" w:sz="4" w:space="0" w:color="auto"/>
              <w:right w:val="single" w:sz="4" w:space="0" w:color="auto"/>
            </w:tcBorders>
          </w:tcPr>
          <w:p w14:paraId="21714A32" w14:textId="0E198FCA"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5"/>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5"/>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5"/>
                <w14:textFill>
                  <w14:solidFill>
                    <w14:srgbClr w14:val="000000">
                      <w14:alpha w14:val="100000"/>
                    </w14:srgbClr>
                  </w14:solidFill>
                </w14:textFill>
              </w:rPr>
              <w:t xml:space="preserve">　</w:t>
            </w:r>
            <w:r w:rsidR="0036169A" w:rsidRPr="00CD3483">
              <w:rPr>
                <w:sz w:val="18"/>
                <w:szCs w:val="18"/>
                <w:vertAlign w:val="superscript"/>
              </w:rPr>
              <w:t>4</w:t>
            </w:r>
          </w:p>
        </w:tc>
        <w:tc>
          <w:tcPr>
            <w:tcW w:w="992" w:type="dxa"/>
            <w:tcBorders>
              <w:top w:val="single" w:sz="4" w:space="0" w:color="auto"/>
              <w:left w:val="single" w:sz="4" w:space="0" w:color="auto"/>
              <w:bottom w:val="single" w:sz="4" w:space="0" w:color="auto"/>
              <w:right w:val="single" w:sz="4" w:space="0" w:color="auto"/>
            </w:tcBorders>
          </w:tcPr>
          <w:p w14:paraId="12381F8E" w14:textId="30A6EA51"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4"/>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0036169A" w:rsidRPr="00CD3483">
              <w:rPr>
                <w:sz w:val="18"/>
                <w:szCs w:val="18"/>
                <w:vertAlign w:val="superscript"/>
              </w:rPr>
              <w:t>4</w:t>
            </w:r>
          </w:p>
        </w:tc>
        <w:tc>
          <w:tcPr>
            <w:tcW w:w="1084" w:type="dxa"/>
            <w:tcBorders>
              <w:top w:val="single" w:sz="4" w:space="0" w:color="auto"/>
              <w:left w:val="single" w:sz="4" w:space="0" w:color="auto"/>
              <w:bottom w:val="single" w:sz="4" w:space="0" w:color="auto"/>
              <w:right w:val="single" w:sz="4" w:space="0" w:color="auto"/>
            </w:tcBorders>
          </w:tcPr>
          <w:p w14:paraId="0E1F57B1" w14:textId="77777777" w:rsidR="00523D9A" w:rsidRPr="005A7226" w:rsidRDefault="00523D9A" w:rsidP="005257AC">
            <w:pPr>
              <w:pStyle w:val="TableText0"/>
              <w:keepLines/>
              <w:jc w:val="center"/>
              <w:rPr>
                <w:rFonts w:cs="Times New Roman"/>
                <w:i/>
                <w:iCs/>
                <w:sz w:val="18"/>
                <w:szCs w:val="22"/>
                <w:lang w:eastAsia="en-GB"/>
              </w:rPr>
            </w:pPr>
            <w:r w:rsidRPr="005A7226">
              <w:rPr>
                <w:i/>
                <w:iCs/>
                <w:sz w:val="18"/>
                <w:szCs w:val="22"/>
              </w:rPr>
              <w:t>-</w:t>
            </w:r>
          </w:p>
        </w:tc>
      </w:tr>
      <w:tr w:rsidR="00523D9A" w:rsidRPr="005A7226" w14:paraId="6D9F57CE"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6D2F8E0A"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Unsuitable for MHT</w:t>
            </w:r>
          </w:p>
        </w:tc>
        <w:tc>
          <w:tcPr>
            <w:tcW w:w="992" w:type="dxa"/>
            <w:tcBorders>
              <w:top w:val="single" w:sz="4" w:space="0" w:color="auto"/>
              <w:left w:val="single" w:sz="4" w:space="0" w:color="auto"/>
              <w:bottom w:val="single" w:sz="4" w:space="0" w:color="auto"/>
              <w:right w:val="single" w:sz="4" w:space="0" w:color="auto"/>
            </w:tcBorders>
          </w:tcPr>
          <w:p w14:paraId="54691742" w14:textId="2905EB37"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3"/>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001774C3" w:rsidRPr="001774C3">
              <w:rPr>
                <w:sz w:val="18"/>
                <w:szCs w:val="18"/>
                <w:vertAlign w:val="superscript"/>
              </w:rPr>
              <w:t>5</w:t>
            </w:r>
          </w:p>
        </w:tc>
        <w:tc>
          <w:tcPr>
            <w:tcW w:w="992" w:type="dxa"/>
            <w:tcBorders>
              <w:top w:val="single" w:sz="4" w:space="0" w:color="auto"/>
              <w:left w:val="single" w:sz="4" w:space="0" w:color="auto"/>
              <w:bottom w:val="single" w:sz="4" w:space="0" w:color="auto"/>
              <w:right w:val="single" w:sz="4" w:space="0" w:color="auto"/>
            </w:tcBorders>
          </w:tcPr>
          <w:p w14:paraId="5EAE221B" w14:textId="578112AC"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2"/>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2"/>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2"/>
                <w14:textFill>
                  <w14:solidFill>
                    <w14:srgbClr w14:val="000000">
                      <w14:alpha w14:val="100000"/>
                    </w14:srgbClr>
                  </w14:solidFill>
                </w14:textFill>
              </w:rPr>
              <w:t xml:space="preserve">　</w:t>
            </w:r>
            <w:r w:rsidR="001774C3" w:rsidRPr="001774C3">
              <w:rPr>
                <w:sz w:val="18"/>
                <w:szCs w:val="18"/>
                <w:vertAlign w:val="superscript"/>
              </w:rPr>
              <w:t>5</w:t>
            </w:r>
          </w:p>
        </w:tc>
        <w:tc>
          <w:tcPr>
            <w:tcW w:w="993" w:type="dxa"/>
            <w:tcBorders>
              <w:top w:val="single" w:sz="4" w:space="0" w:color="auto"/>
              <w:left w:val="single" w:sz="4" w:space="0" w:color="auto"/>
              <w:bottom w:val="single" w:sz="4" w:space="0" w:color="auto"/>
              <w:right w:val="single" w:sz="4" w:space="0" w:color="auto"/>
            </w:tcBorders>
          </w:tcPr>
          <w:p w14:paraId="595F4B8F" w14:textId="4CCAB6EA"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1"/>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1"/>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1"/>
                <w14:textFill>
                  <w14:solidFill>
                    <w14:srgbClr w14:val="000000">
                      <w14:alpha w14:val="100000"/>
                    </w14:srgbClr>
                  </w14:solidFill>
                </w14:textFill>
              </w:rPr>
              <w:t xml:space="preserve">　</w:t>
            </w:r>
            <w:r w:rsidR="004C1AB1" w:rsidRPr="009E3577">
              <w:rPr>
                <w:sz w:val="18"/>
                <w:szCs w:val="18"/>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37E2A06A" w14:textId="5AF9080E"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0"/>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0"/>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0"/>
                <w14:textFill>
                  <w14:solidFill>
                    <w14:srgbClr w14:val="000000">
                      <w14:alpha w14:val="100000"/>
                    </w14:srgbClr>
                  </w14:solidFill>
                </w14:textFill>
              </w:rPr>
              <w:t xml:space="preserve">　</w:t>
            </w:r>
            <w:r w:rsidR="004C1AB1" w:rsidRPr="009E3577">
              <w:rPr>
                <w:sz w:val="18"/>
                <w:szCs w:val="18"/>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0C30D8D4" w14:textId="225F8195"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9"/>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9"/>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9"/>
                <w14:textFill>
                  <w14:solidFill>
                    <w14:srgbClr w14:val="000000">
                      <w14:alpha w14:val="100000"/>
                    </w14:srgbClr>
                  </w14:solidFill>
                </w14:textFill>
              </w:rPr>
              <w:t xml:space="preserve">　</w:t>
            </w:r>
            <w:r w:rsidR="004C1AB1" w:rsidRPr="009E3577">
              <w:rPr>
                <w:sz w:val="18"/>
                <w:szCs w:val="18"/>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48FAFA15" w14:textId="34AB04F8"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18"/>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18"/>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18"/>
                <w14:textFill>
                  <w14:solidFill>
                    <w14:srgbClr w14:val="000000">
                      <w14:alpha w14:val="100000"/>
                    </w14:srgbClr>
                  </w14:solidFill>
                </w14:textFill>
              </w:rPr>
              <w:t xml:space="preserve">　</w:t>
            </w:r>
            <w:r w:rsidR="004C1AB1" w:rsidRPr="009E3577">
              <w:rPr>
                <w:sz w:val="18"/>
                <w:szCs w:val="18"/>
                <w:vertAlign w:val="superscript"/>
              </w:rPr>
              <w:t>3</w:t>
            </w:r>
          </w:p>
        </w:tc>
        <w:tc>
          <w:tcPr>
            <w:tcW w:w="1084" w:type="dxa"/>
            <w:tcBorders>
              <w:top w:val="single" w:sz="4" w:space="0" w:color="auto"/>
              <w:left w:val="single" w:sz="4" w:space="0" w:color="auto"/>
              <w:bottom w:val="single" w:sz="4" w:space="0" w:color="auto"/>
              <w:right w:val="single" w:sz="4" w:space="0" w:color="auto"/>
            </w:tcBorders>
          </w:tcPr>
          <w:p w14:paraId="5F58D2E4" w14:textId="77777777" w:rsidR="00523D9A" w:rsidRPr="005A7226" w:rsidRDefault="00523D9A" w:rsidP="005257AC">
            <w:pPr>
              <w:pStyle w:val="TableText0"/>
              <w:keepLines/>
              <w:jc w:val="center"/>
              <w:rPr>
                <w:rFonts w:cs="Times New Roman"/>
                <w:i/>
                <w:iCs/>
                <w:sz w:val="18"/>
                <w:szCs w:val="22"/>
                <w:lang w:eastAsia="en-GB"/>
              </w:rPr>
            </w:pPr>
            <w:r w:rsidRPr="005A7226">
              <w:rPr>
                <w:i/>
                <w:iCs/>
                <w:sz w:val="18"/>
                <w:szCs w:val="22"/>
              </w:rPr>
              <w:t>-</w:t>
            </w:r>
          </w:p>
        </w:tc>
      </w:tr>
      <w:tr w:rsidR="00523D9A" w:rsidRPr="005A7226" w14:paraId="56F5B83F"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14F87805"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 xml:space="preserve">Women electing treatment </w:t>
            </w:r>
          </w:p>
        </w:tc>
        <w:tc>
          <w:tcPr>
            <w:tcW w:w="992" w:type="dxa"/>
            <w:tcBorders>
              <w:top w:val="single" w:sz="4" w:space="0" w:color="auto"/>
              <w:left w:val="single" w:sz="4" w:space="0" w:color="auto"/>
              <w:bottom w:val="single" w:sz="4" w:space="0" w:color="auto"/>
              <w:right w:val="single" w:sz="4" w:space="0" w:color="auto"/>
            </w:tcBorders>
          </w:tcPr>
          <w:p w14:paraId="1B2106CD" w14:textId="5ACAE1B2" w:rsidR="00523D9A" w:rsidRPr="005A7226" w:rsidRDefault="00CF6E6B" w:rsidP="005257AC">
            <w:pPr>
              <w:pStyle w:val="TableText0"/>
              <w:keepLines/>
              <w:jc w:val="center"/>
              <w:rPr>
                <w:sz w:val="18"/>
                <w:szCs w:val="22"/>
              </w:rPr>
            </w:pPr>
            <w:r w:rsidRPr="00CF6E6B">
              <w:rPr>
                <w:rFonts w:hint="eastAsia"/>
                <w:color w:val="000000"/>
                <w:w w:val="25"/>
                <w:sz w:val="18"/>
                <w:szCs w:val="22"/>
                <w:shd w:val="solid" w:color="000000" w:fill="000000"/>
                <w:fitText w:val="100" w:id="-694454517"/>
                <w14:textFill>
                  <w14:solidFill>
                    <w14:srgbClr w14:val="000000">
                      <w14:alpha w14:val="100000"/>
                    </w14:srgbClr>
                  </w14:solidFill>
                </w14:textFill>
              </w:rPr>
              <w:t xml:space="preserve">　</w:t>
            </w:r>
            <w:r w:rsidRPr="00CF6E6B">
              <w:rPr>
                <w:color w:val="000000"/>
                <w:w w:val="25"/>
                <w:sz w:val="18"/>
                <w:szCs w:val="22"/>
                <w:shd w:val="solid" w:color="000000" w:fill="000000"/>
                <w:fitText w:val="100" w:id="-694454517"/>
                <w14:textFill>
                  <w14:solidFill>
                    <w14:srgbClr w14:val="000000">
                      <w14:alpha w14:val="100000"/>
                    </w14:srgbClr>
                  </w14:solidFill>
                </w14:textFill>
              </w:rPr>
              <w:t>|</w:t>
            </w:r>
            <w:r w:rsidRPr="00CF6E6B">
              <w:rPr>
                <w:rFonts w:hint="eastAsia"/>
                <w:color w:val="000000"/>
                <w:w w:val="25"/>
                <w:sz w:val="18"/>
                <w:szCs w:val="22"/>
                <w:shd w:val="solid" w:color="000000" w:fill="000000"/>
                <w:fitText w:val="100" w:id="-694454517"/>
                <w14:textFill>
                  <w14:solidFill>
                    <w14:srgbClr w14:val="000000">
                      <w14:alpha w14:val="100000"/>
                    </w14:srgbClr>
                  </w14:solidFill>
                </w14:textFill>
              </w:rPr>
              <w:t xml:space="preserve">　</w:t>
            </w:r>
            <w:r w:rsidR="00605171" w:rsidRPr="00605171">
              <w:rPr>
                <w:sz w:val="18"/>
                <w:szCs w:val="22"/>
                <w:vertAlign w:val="superscript"/>
              </w:rPr>
              <w:t>6</w:t>
            </w:r>
            <w:r w:rsidR="00523D9A" w:rsidRPr="005A7226">
              <w:rPr>
                <w:sz w:val="18"/>
                <w:szCs w:val="22"/>
              </w:rPr>
              <w:t xml:space="preserve"> </w:t>
            </w:r>
            <w:r w:rsidR="00523D9A" w:rsidRPr="005A7226">
              <w:rPr>
                <w:rFonts w:cs="Times New Roman"/>
                <w:sz w:val="19"/>
                <w:szCs w:val="19"/>
                <w:vertAlign w:val="superscript"/>
                <w:lang w:eastAsia="en-GB"/>
              </w:rPr>
              <w:t>a</w:t>
            </w:r>
          </w:p>
        </w:tc>
        <w:tc>
          <w:tcPr>
            <w:tcW w:w="992" w:type="dxa"/>
            <w:tcBorders>
              <w:top w:val="single" w:sz="4" w:space="0" w:color="auto"/>
              <w:left w:val="single" w:sz="4" w:space="0" w:color="auto"/>
              <w:bottom w:val="single" w:sz="4" w:space="0" w:color="auto"/>
              <w:right w:val="single" w:sz="4" w:space="0" w:color="auto"/>
            </w:tcBorders>
          </w:tcPr>
          <w:p w14:paraId="5D0E95AD" w14:textId="63F0F903" w:rsidR="00523D9A" w:rsidRPr="00B847DA" w:rsidRDefault="00CF6E6B" w:rsidP="005257AC">
            <w:pPr>
              <w:pStyle w:val="TableText0"/>
              <w:keepLines/>
              <w:jc w:val="center"/>
              <w:rPr>
                <w:sz w:val="18"/>
                <w:szCs w:val="22"/>
                <w:highlight w:val="darkGray"/>
              </w:rPr>
            </w:pPr>
            <w:r w:rsidRPr="00CF6E6B">
              <w:rPr>
                <w:rFonts w:hint="eastAsia"/>
                <w:color w:val="000000"/>
                <w:w w:val="15"/>
                <w:sz w:val="18"/>
                <w:szCs w:val="22"/>
                <w:shd w:val="solid" w:color="000000" w:fill="000000"/>
                <w:fitText w:val="60" w:id="-694454516"/>
                <w14:textFill>
                  <w14:solidFill>
                    <w14:srgbClr w14:val="000000">
                      <w14:alpha w14:val="100000"/>
                    </w14:srgbClr>
                  </w14:solidFill>
                </w14:textFill>
              </w:rPr>
              <w:t xml:space="preserve">　</w:t>
            </w:r>
            <w:r w:rsidRPr="00CF6E6B">
              <w:rPr>
                <w:color w:val="000000"/>
                <w:w w:val="15"/>
                <w:sz w:val="18"/>
                <w:szCs w:val="22"/>
                <w:shd w:val="solid" w:color="000000" w:fill="000000"/>
                <w:fitText w:val="60" w:id="-694454516"/>
                <w14:textFill>
                  <w14:solidFill>
                    <w14:srgbClr w14:val="000000">
                      <w14:alpha w14:val="100000"/>
                    </w14:srgbClr>
                  </w14:solidFill>
                </w14:textFill>
              </w:rPr>
              <w:t>|</w:t>
            </w:r>
            <w:r w:rsidRPr="00CF6E6B">
              <w:rPr>
                <w:rFonts w:hint="eastAsia"/>
                <w:color w:val="000000"/>
                <w:w w:val="15"/>
                <w:sz w:val="18"/>
                <w:szCs w:val="22"/>
                <w:shd w:val="solid" w:color="000000" w:fill="000000"/>
                <w:fitText w:val="60" w:id="-694454516"/>
                <w14:textFill>
                  <w14:solidFill>
                    <w14:srgbClr w14:val="000000">
                      <w14:alpha w14:val="100000"/>
                    </w14:srgbClr>
                  </w14:solidFill>
                </w14:textFill>
              </w:rPr>
              <w:t xml:space="preserve">　</w:t>
            </w:r>
            <w:r w:rsidR="005559B3" w:rsidRPr="005559B3">
              <w:rPr>
                <w:sz w:val="18"/>
                <w:szCs w:val="22"/>
                <w:vertAlign w:val="superscript"/>
              </w:rPr>
              <w:t>7</w:t>
            </w:r>
          </w:p>
        </w:tc>
        <w:tc>
          <w:tcPr>
            <w:tcW w:w="993" w:type="dxa"/>
            <w:tcBorders>
              <w:top w:val="single" w:sz="4" w:space="0" w:color="auto"/>
              <w:left w:val="single" w:sz="4" w:space="0" w:color="auto"/>
              <w:bottom w:val="single" w:sz="4" w:space="0" w:color="auto"/>
              <w:right w:val="single" w:sz="4" w:space="0" w:color="auto"/>
            </w:tcBorders>
          </w:tcPr>
          <w:p w14:paraId="1390F853" w14:textId="117ECB2A" w:rsidR="00523D9A" w:rsidRPr="00B847DA" w:rsidRDefault="00CF6E6B" w:rsidP="005257AC">
            <w:pPr>
              <w:pStyle w:val="TableText0"/>
              <w:keepLines/>
              <w:jc w:val="center"/>
              <w:rPr>
                <w:sz w:val="18"/>
                <w:szCs w:val="22"/>
                <w:highlight w:val="darkGray"/>
              </w:rPr>
            </w:pPr>
            <w:r w:rsidRPr="00CF6E6B">
              <w:rPr>
                <w:rFonts w:hint="eastAsia"/>
                <w:color w:val="000000"/>
                <w:w w:val="15"/>
                <w:sz w:val="18"/>
                <w:szCs w:val="22"/>
                <w:shd w:val="solid" w:color="000000" w:fill="000000"/>
                <w:fitText w:val="60" w:id="-694454515"/>
                <w14:textFill>
                  <w14:solidFill>
                    <w14:srgbClr w14:val="000000">
                      <w14:alpha w14:val="100000"/>
                    </w14:srgbClr>
                  </w14:solidFill>
                </w14:textFill>
              </w:rPr>
              <w:t xml:space="preserve">　</w:t>
            </w:r>
            <w:r w:rsidRPr="00CF6E6B">
              <w:rPr>
                <w:color w:val="000000"/>
                <w:w w:val="15"/>
                <w:sz w:val="18"/>
                <w:szCs w:val="22"/>
                <w:shd w:val="solid" w:color="000000" w:fill="000000"/>
                <w:fitText w:val="60" w:id="-694454515"/>
                <w14:textFill>
                  <w14:solidFill>
                    <w14:srgbClr w14:val="000000">
                      <w14:alpha w14:val="100000"/>
                    </w14:srgbClr>
                  </w14:solidFill>
                </w14:textFill>
              </w:rPr>
              <w:t>|</w:t>
            </w:r>
            <w:r w:rsidRPr="00CF6E6B">
              <w:rPr>
                <w:rFonts w:hint="eastAsia"/>
                <w:color w:val="000000"/>
                <w:w w:val="15"/>
                <w:sz w:val="18"/>
                <w:szCs w:val="22"/>
                <w:shd w:val="solid" w:color="000000" w:fill="000000"/>
                <w:fitText w:val="60" w:id="-694454515"/>
                <w14:textFill>
                  <w14:solidFill>
                    <w14:srgbClr w14:val="000000">
                      <w14:alpha w14:val="100000"/>
                    </w14:srgbClr>
                  </w14:solidFill>
                </w14:textFill>
              </w:rPr>
              <w:t xml:space="preserve">　</w:t>
            </w:r>
            <w:r w:rsidR="001713C1" w:rsidRPr="005559B3">
              <w:rPr>
                <w:sz w:val="18"/>
                <w:szCs w:val="22"/>
                <w:vertAlign w:val="superscript"/>
              </w:rPr>
              <w:t>7</w:t>
            </w:r>
          </w:p>
        </w:tc>
        <w:tc>
          <w:tcPr>
            <w:tcW w:w="992" w:type="dxa"/>
            <w:tcBorders>
              <w:top w:val="single" w:sz="4" w:space="0" w:color="auto"/>
              <w:left w:val="single" w:sz="4" w:space="0" w:color="auto"/>
              <w:bottom w:val="single" w:sz="4" w:space="0" w:color="auto"/>
              <w:right w:val="single" w:sz="4" w:space="0" w:color="auto"/>
            </w:tcBorders>
          </w:tcPr>
          <w:p w14:paraId="3B933FE6" w14:textId="7A748622" w:rsidR="00523D9A" w:rsidRPr="00B847DA" w:rsidRDefault="00CF6E6B" w:rsidP="005257AC">
            <w:pPr>
              <w:pStyle w:val="TableText0"/>
              <w:keepLines/>
              <w:jc w:val="center"/>
              <w:rPr>
                <w:sz w:val="18"/>
                <w:szCs w:val="22"/>
                <w:highlight w:val="darkGray"/>
              </w:rPr>
            </w:pPr>
            <w:r w:rsidRPr="00CF6E6B">
              <w:rPr>
                <w:rFonts w:hint="eastAsia"/>
                <w:color w:val="000000"/>
                <w:w w:val="15"/>
                <w:sz w:val="18"/>
                <w:szCs w:val="22"/>
                <w:shd w:val="solid" w:color="000000" w:fill="000000"/>
                <w:fitText w:val="60" w:id="-694454514"/>
                <w14:textFill>
                  <w14:solidFill>
                    <w14:srgbClr w14:val="000000">
                      <w14:alpha w14:val="100000"/>
                    </w14:srgbClr>
                  </w14:solidFill>
                </w14:textFill>
              </w:rPr>
              <w:t xml:space="preserve">　</w:t>
            </w:r>
            <w:r w:rsidRPr="00CF6E6B">
              <w:rPr>
                <w:color w:val="000000"/>
                <w:w w:val="15"/>
                <w:sz w:val="18"/>
                <w:szCs w:val="22"/>
                <w:shd w:val="solid" w:color="000000" w:fill="000000"/>
                <w:fitText w:val="60" w:id="-694454514"/>
                <w14:textFill>
                  <w14:solidFill>
                    <w14:srgbClr w14:val="000000">
                      <w14:alpha w14:val="100000"/>
                    </w14:srgbClr>
                  </w14:solidFill>
                </w14:textFill>
              </w:rPr>
              <w:t>|</w:t>
            </w:r>
            <w:r w:rsidRPr="00CF6E6B">
              <w:rPr>
                <w:rFonts w:hint="eastAsia"/>
                <w:color w:val="000000"/>
                <w:w w:val="15"/>
                <w:sz w:val="18"/>
                <w:szCs w:val="22"/>
                <w:shd w:val="solid" w:color="000000" w:fill="000000"/>
                <w:fitText w:val="60" w:id="-694454514"/>
                <w14:textFill>
                  <w14:solidFill>
                    <w14:srgbClr w14:val="000000">
                      <w14:alpha w14:val="100000"/>
                    </w14:srgbClr>
                  </w14:solidFill>
                </w14:textFill>
              </w:rPr>
              <w:t xml:space="preserve">　</w:t>
            </w:r>
            <w:r w:rsidR="001713C1" w:rsidRPr="005559B3">
              <w:rPr>
                <w:sz w:val="18"/>
                <w:szCs w:val="22"/>
                <w:vertAlign w:val="superscript"/>
              </w:rPr>
              <w:t>7</w:t>
            </w:r>
          </w:p>
        </w:tc>
        <w:tc>
          <w:tcPr>
            <w:tcW w:w="992" w:type="dxa"/>
            <w:tcBorders>
              <w:top w:val="single" w:sz="4" w:space="0" w:color="auto"/>
              <w:left w:val="single" w:sz="4" w:space="0" w:color="auto"/>
              <w:bottom w:val="single" w:sz="4" w:space="0" w:color="auto"/>
              <w:right w:val="single" w:sz="4" w:space="0" w:color="auto"/>
            </w:tcBorders>
          </w:tcPr>
          <w:p w14:paraId="1B0739CB" w14:textId="4C7359A3" w:rsidR="00523D9A" w:rsidRPr="00B847DA" w:rsidRDefault="00CF6E6B" w:rsidP="005257AC">
            <w:pPr>
              <w:pStyle w:val="TableText0"/>
              <w:keepLines/>
              <w:jc w:val="center"/>
              <w:rPr>
                <w:sz w:val="18"/>
                <w:szCs w:val="22"/>
                <w:highlight w:val="darkGray"/>
              </w:rPr>
            </w:pPr>
            <w:r w:rsidRPr="00CF6E6B">
              <w:rPr>
                <w:rFonts w:hint="eastAsia"/>
                <w:color w:val="000000"/>
                <w:w w:val="15"/>
                <w:sz w:val="18"/>
                <w:szCs w:val="22"/>
                <w:shd w:val="solid" w:color="000000" w:fill="000000"/>
                <w:fitText w:val="60" w:id="-694454513"/>
                <w14:textFill>
                  <w14:solidFill>
                    <w14:srgbClr w14:val="000000">
                      <w14:alpha w14:val="100000"/>
                    </w14:srgbClr>
                  </w14:solidFill>
                </w14:textFill>
              </w:rPr>
              <w:t xml:space="preserve">　</w:t>
            </w:r>
            <w:r w:rsidRPr="00CF6E6B">
              <w:rPr>
                <w:color w:val="000000"/>
                <w:w w:val="15"/>
                <w:sz w:val="18"/>
                <w:szCs w:val="22"/>
                <w:shd w:val="solid" w:color="000000" w:fill="000000"/>
                <w:fitText w:val="60" w:id="-694454513"/>
                <w14:textFill>
                  <w14:solidFill>
                    <w14:srgbClr w14:val="000000">
                      <w14:alpha w14:val="100000"/>
                    </w14:srgbClr>
                  </w14:solidFill>
                </w14:textFill>
              </w:rPr>
              <w:t>|</w:t>
            </w:r>
            <w:r w:rsidRPr="00CF6E6B">
              <w:rPr>
                <w:rFonts w:hint="eastAsia"/>
                <w:color w:val="000000"/>
                <w:w w:val="15"/>
                <w:sz w:val="18"/>
                <w:szCs w:val="22"/>
                <w:shd w:val="solid" w:color="000000" w:fill="000000"/>
                <w:fitText w:val="60" w:id="-694454513"/>
                <w14:textFill>
                  <w14:solidFill>
                    <w14:srgbClr w14:val="000000">
                      <w14:alpha w14:val="100000"/>
                    </w14:srgbClr>
                  </w14:solidFill>
                </w14:textFill>
              </w:rPr>
              <w:t xml:space="preserve">　</w:t>
            </w:r>
            <w:r w:rsidR="001713C1" w:rsidRPr="005559B3">
              <w:rPr>
                <w:sz w:val="18"/>
                <w:szCs w:val="22"/>
                <w:vertAlign w:val="superscript"/>
              </w:rPr>
              <w:t>7</w:t>
            </w:r>
          </w:p>
        </w:tc>
        <w:tc>
          <w:tcPr>
            <w:tcW w:w="992" w:type="dxa"/>
            <w:tcBorders>
              <w:top w:val="single" w:sz="4" w:space="0" w:color="auto"/>
              <w:left w:val="single" w:sz="4" w:space="0" w:color="auto"/>
              <w:bottom w:val="single" w:sz="4" w:space="0" w:color="auto"/>
              <w:right w:val="single" w:sz="4" w:space="0" w:color="auto"/>
            </w:tcBorders>
          </w:tcPr>
          <w:p w14:paraId="7F40CF0C" w14:textId="6DDE7CB0" w:rsidR="00523D9A" w:rsidRPr="00B847DA" w:rsidRDefault="00CF6E6B" w:rsidP="005257AC">
            <w:pPr>
              <w:pStyle w:val="TableText0"/>
              <w:keepLines/>
              <w:jc w:val="center"/>
              <w:rPr>
                <w:sz w:val="18"/>
                <w:szCs w:val="22"/>
                <w:highlight w:val="darkGray"/>
              </w:rPr>
            </w:pPr>
            <w:r w:rsidRPr="00CF6E6B">
              <w:rPr>
                <w:rFonts w:hint="eastAsia"/>
                <w:color w:val="000000"/>
                <w:w w:val="15"/>
                <w:sz w:val="18"/>
                <w:szCs w:val="22"/>
                <w:shd w:val="solid" w:color="000000" w:fill="000000"/>
                <w:fitText w:val="60" w:id="-694454512"/>
                <w14:textFill>
                  <w14:solidFill>
                    <w14:srgbClr w14:val="000000">
                      <w14:alpha w14:val="100000"/>
                    </w14:srgbClr>
                  </w14:solidFill>
                </w14:textFill>
              </w:rPr>
              <w:t xml:space="preserve">　</w:t>
            </w:r>
            <w:r w:rsidRPr="00CF6E6B">
              <w:rPr>
                <w:color w:val="000000"/>
                <w:w w:val="15"/>
                <w:sz w:val="18"/>
                <w:szCs w:val="22"/>
                <w:shd w:val="solid" w:color="000000" w:fill="000000"/>
                <w:fitText w:val="60" w:id="-694454512"/>
                <w14:textFill>
                  <w14:solidFill>
                    <w14:srgbClr w14:val="000000">
                      <w14:alpha w14:val="100000"/>
                    </w14:srgbClr>
                  </w14:solidFill>
                </w14:textFill>
              </w:rPr>
              <w:t>|</w:t>
            </w:r>
            <w:r w:rsidRPr="00CF6E6B">
              <w:rPr>
                <w:rFonts w:hint="eastAsia"/>
                <w:color w:val="000000"/>
                <w:w w:val="15"/>
                <w:sz w:val="18"/>
                <w:szCs w:val="22"/>
                <w:shd w:val="solid" w:color="000000" w:fill="000000"/>
                <w:fitText w:val="60" w:id="-694454512"/>
                <w14:textFill>
                  <w14:solidFill>
                    <w14:srgbClr w14:val="000000">
                      <w14:alpha w14:val="100000"/>
                    </w14:srgbClr>
                  </w14:solidFill>
                </w14:textFill>
              </w:rPr>
              <w:t xml:space="preserve">　</w:t>
            </w:r>
            <w:r w:rsidR="009A78CC" w:rsidRPr="009A78CC">
              <w:rPr>
                <w:sz w:val="18"/>
                <w:szCs w:val="22"/>
                <w:vertAlign w:val="superscript"/>
              </w:rPr>
              <w:t>5</w:t>
            </w:r>
          </w:p>
        </w:tc>
        <w:tc>
          <w:tcPr>
            <w:tcW w:w="1084" w:type="dxa"/>
            <w:tcBorders>
              <w:top w:val="single" w:sz="4" w:space="0" w:color="auto"/>
              <w:left w:val="single" w:sz="4" w:space="0" w:color="auto"/>
              <w:bottom w:val="single" w:sz="4" w:space="0" w:color="auto"/>
              <w:right w:val="single" w:sz="4" w:space="0" w:color="auto"/>
            </w:tcBorders>
          </w:tcPr>
          <w:p w14:paraId="7454094D" w14:textId="77777777" w:rsidR="00523D9A" w:rsidRPr="005A7226" w:rsidRDefault="00523D9A" w:rsidP="005257AC">
            <w:pPr>
              <w:pStyle w:val="TableText0"/>
              <w:keepLines/>
              <w:jc w:val="center"/>
              <w:rPr>
                <w:i/>
                <w:iCs/>
                <w:sz w:val="18"/>
                <w:szCs w:val="22"/>
              </w:rPr>
            </w:pPr>
            <w:r w:rsidRPr="005A7226">
              <w:rPr>
                <w:i/>
                <w:iCs/>
                <w:sz w:val="18"/>
                <w:szCs w:val="22"/>
              </w:rPr>
              <w:t>-</w:t>
            </w:r>
          </w:p>
        </w:tc>
      </w:tr>
      <w:tr w:rsidR="00523D9A" w:rsidRPr="005A7226" w14:paraId="2DBA60B6"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2BAA2AAB"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GF patients (patient-year)</w:t>
            </w:r>
            <w:r w:rsidRPr="005A7226">
              <w:rPr>
                <w:rFonts w:ascii="Arial Narrow" w:hAnsi="Arial Narrow" w:cs="Times New Roman"/>
                <w:sz w:val="19"/>
                <w:szCs w:val="19"/>
                <w:vertAlign w:val="superscript"/>
                <w:lang w:eastAsia="en-GB"/>
              </w:rPr>
              <w:t xml:space="preserve"> b</w:t>
            </w:r>
          </w:p>
        </w:tc>
        <w:tc>
          <w:tcPr>
            <w:tcW w:w="992" w:type="dxa"/>
            <w:tcBorders>
              <w:top w:val="single" w:sz="4" w:space="0" w:color="auto"/>
              <w:left w:val="single" w:sz="4" w:space="0" w:color="auto"/>
              <w:bottom w:val="single" w:sz="4" w:space="0" w:color="auto"/>
              <w:right w:val="single" w:sz="4" w:space="0" w:color="auto"/>
            </w:tcBorders>
          </w:tcPr>
          <w:p w14:paraId="3A33BD89" w14:textId="0B9D9E13"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8"/>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8"/>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8"/>
                <w14:textFill>
                  <w14:solidFill>
                    <w14:srgbClr w14:val="000000">
                      <w14:alpha w14:val="100000"/>
                    </w14:srgbClr>
                  </w14:solidFill>
                </w14:textFill>
              </w:rPr>
              <w:t xml:space="preserve">　</w:t>
            </w:r>
            <w:r w:rsidR="00DB7742" w:rsidRPr="00DB7742">
              <w:rPr>
                <w:sz w:val="18"/>
                <w:szCs w:val="18"/>
                <w:vertAlign w:val="superscript"/>
              </w:rPr>
              <w:t>8</w:t>
            </w:r>
          </w:p>
        </w:tc>
        <w:tc>
          <w:tcPr>
            <w:tcW w:w="992" w:type="dxa"/>
            <w:tcBorders>
              <w:top w:val="single" w:sz="4" w:space="0" w:color="auto"/>
              <w:left w:val="single" w:sz="4" w:space="0" w:color="auto"/>
              <w:bottom w:val="single" w:sz="4" w:space="0" w:color="auto"/>
              <w:right w:val="single" w:sz="4" w:space="0" w:color="auto"/>
            </w:tcBorders>
          </w:tcPr>
          <w:p w14:paraId="6DFAFB52" w14:textId="5B05C6F9"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7"/>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7"/>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7"/>
                <w14:textFill>
                  <w14:solidFill>
                    <w14:srgbClr w14:val="000000">
                      <w14:alpha w14:val="100000"/>
                    </w14:srgbClr>
                  </w14:solidFill>
                </w14:textFill>
              </w:rPr>
              <w:t xml:space="preserve">　</w:t>
            </w:r>
            <w:r w:rsidR="00D9265C" w:rsidRPr="00D9265C">
              <w:rPr>
                <w:sz w:val="18"/>
                <w:szCs w:val="18"/>
                <w:vertAlign w:val="superscript"/>
              </w:rPr>
              <w:t>9</w:t>
            </w:r>
          </w:p>
        </w:tc>
        <w:tc>
          <w:tcPr>
            <w:tcW w:w="993" w:type="dxa"/>
            <w:tcBorders>
              <w:top w:val="single" w:sz="4" w:space="0" w:color="auto"/>
              <w:left w:val="single" w:sz="4" w:space="0" w:color="auto"/>
              <w:bottom w:val="single" w:sz="4" w:space="0" w:color="auto"/>
              <w:right w:val="single" w:sz="4" w:space="0" w:color="auto"/>
            </w:tcBorders>
          </w:tcPr>
          <w:p w14:paraId="50886EBA" w14:textId="65798BF4"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6"/>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6"/>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6"/>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tcPr>
          <w:p w14:paraId="1D0CABD1" w14:textId="0E33A867"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5"/>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5"/>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5"/>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tcPr>
          <w:p w14:paraId="0A282707" w14:textId="4DEF895F"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4"/>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tcPr>
          <w:p w14:paraId="416DF090" w14:textId="4CC47220" w:rsidR="00523D9A" w:rsidRPr="00B847DA" w:rsidRDefault="00CF6E6B" w:rsidP="005257AC">
            <w:pPr>
              <w:pStyle w:val="TableText0"/>
              <w:keepLines/>
              <w:jc w:val="center"/>
              <w:rPr>
                <w:rFonts w:cs="Times New Roman"/>
                <w:iCs/>
                <w:sz w:val="18"/>
                <w:szCs w:val="18"/>
                <w:highlight w:val="darkGray"/>
                <w:lang w:eastAsia="en-GB"/>
              </w:rPr>
            </w:pP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3"/>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00D9265C" w:rsidRPr="00D9265C">
              <w:rPr>
                <w:sz w:val="18"/>
                <w:szCs w:val="18"/>
                <w:vertAlign w:val="superscript"/>
              </w:rPr>
              <w:t>9</w:t>
            </w:r>
          </w:p>
        </w:tc>
        <w:tc>
          <w:tcPr>
            <w:tcW w:w="1084" w:type="dxa"/>
            <w:tcBorders>
              <w:top w:val="single" w:sz="4" w:space="0" w:color="auto"/>
              <w:left w:val="single" w:sz="4" w:space="0" w:color="auto"/>
              <w:bottom w:val="single" w:sz="4" w:space="0" w:color="auto"/>
              <w:right w:val="single" w:sz="4" w:space="0" w:color="auto"/>
            </w:tcBorders>
          </w:tcPr>
          <w:p w14:paraId="31B2A6EB" w14:textId="77777777" w:rsidR="00523D9A" w:rsidRPr="005A7226" w:rsidRDefault="00523D9A" w:rsidP="005257AC">
            <w:pPr>
              <w:pStyle w:val="TableText0"/>
              <w:keepLines/>
              <w:jc w:val="center"/>
              <w:rPr>
                <w:rFonts w:cs="Times New Roman"/>
                <w:i/>
                <w:iCs/>
                <w:sz w:val="18"/>
                <w:szCs w:val="18"/>
                <w:lang w:eastAsia="en-GB"/>
              </w:rPr>
            </w:pPr>
            <w:r w:rsidRPr="005A7226">
              <w:rPr>
                <w:rFonts w:cs="Times New Roman"/>
                <w:i/>
                <w:iCs/>
                <w:sz w:val="18"/>
                <w:szCs w:val="18"/>
                <w:lang w:eastAsia="en-GB"/>
              </w:rPr>
              <w:t>-</w:t>
            </w:r>
          </w:p>
        </w:tc>
      </w:tr>
      <w:tr w:rsidR="00523D9A" w:rsidRPr="005A7226" w14:paraId="7DA4DB8C"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621CE9B3" w14:textId="77777777" w:rsidR="00523D9A" w:rsidRPr="005A7226" w:rsidRDefault="00523D9A" w:rsidP="005257AC">
            <w:pPr>
              <w:keepNext/>
              <w:keepLines/>
              <w:widowControl w:val="0"/>
              <w:jc w:val="left"/>
              <w:rPr>
                <w:rFonts w:ascii="Arial Narrow" w:hAnsi="Arial Narrow" w:cs="Times New Roman"/>
                <w:b/>
                <w:bCs/>
                <w:sz w:val="19"/>
                <w:szCs w:val="19"/>
                <w:lang w:eastAsia="en-GB"/>
              </w:rPr>
            </w:pPr>
            <w:r w:rsidRPr="005A7226">
              <w:rPr>
                <w:rFonts w:ascii="Arial Narrow" w:hAnsi="Arial Narrow" w:cs="Times New Roman"/>
                <w:b/>
                <w:bCs/>
                <w:sz w:val="19"/>
                <w:szCs w:val="19"/>
                <w:lang w:eastAsia="en-GB"/>
              </w:rPr>
              <w:t>Total patients on fezolinetant</w:t>
            </w:r>
          </w:p>
        </w:tc>
        <w:tc>
          <w:tcPr>
            <w:tcW w:w="992" w:type="dxa"/>
            <w:tcBorders>
              <w:top w:val="single" w:sz="4" w:space="0" w:color="auto"/>
              <w:left w:val="single" w:sz="4" w:space="0" w:color="auto"/>
              <w:bottom w:val="single" w:sz="4" w:space="0" w:color="auto"/>
              <w:right w:val="single" w:sz="4" w:space="0" w:color="auto"/>
            </w:tcBorders>
          </w:tcPr>
          <w:p w14:paraId="0A3E7217" w14:textId="008A8ABA" w:rsidR="00523D9A" w:rsidRPr="00B847DA" w:rsidRDefault="00CF6E6B" w:rsidP="005257AC">
            <w:pPr>
              <w:pStyle w:val="TableText0"/>
              <w:keepLines/>
              <w:jc w:val="center"/>
              <w:rPr>
                <w:rFonts w:cs="Arial"/>
                <w:b/>
                <w:color w:val="000000"/>
                <w:sz w:val="18"/>
                <w:szCs w:val="18"/>
                <w:highlight w:val="darkGray"/>
              </w:rPr>
            </w:pPr>
            <w:r w:rsidRPr="00CF6E6B">
              <w:rPr>
                <w:rFonts w:hint="eastAsia"/>
                <w:b/>
                <w:color w:val="000000"/>
                <w:w w:val="29"/>
                <w:sz w:val="18"/>
                <w:szCs w:val="18"/>
                <w:shd w:val="solid" w:color="000000" w:fill="000000"/>
                <w:fitText w:val="120" w:id="-694454522"/>
                <w14:textFill>
                  <w14:solidFill>
                    <w14:srgbClr w14:val="000000">
                      <w14:alpha w14:val="100000"/>
                    </w14:srgbClr>
                  </w14:solidFill>
                </w14:textFill>
              </w:rPr>
              <w:t xml:space="preserve">　</w:t>
            </w:r>
            <w:r w:rsidRPr="00CF6E6B">
              <w:rPr>
                <w:b/>
                <w:color w:val="000000"/>
                <w:w w:val="29"/>
                <w:sz w:val="18"/>
                <w:szCs w:val="18"/>
                <w:shd w:val="solid" w:color="000000" w:fill="000000"/>
                <w:fitText w:val="120" w:id="-694454522"/>
                <w14:textFill>
                  <w14:solidFill>
                    <w14:srgbClr w14:val="000000">
                      <w14:alpha w14:val="100000"/>
                    </w14:srgbClr>
                  </w14:solidFill>
                </w14:textFill>
              </w:rPr>
              <w:t>|</w:t>
            </w:r>
            <w:r w:rsidRPr="00CF6E6B">
              <w:rPr>
                <w:rFonts w:hint="eastAsia"/>
                <w:b/>
                <w:color w:val="000000"/>
                <w:spacing w:val="3"/>
                <w:w w:val="29"/>
                <w:sz w:val="18"/>
                <w:szCs w:val="18"/>
                <w:shd w:val="solid" w:color="000000" w:fill="000000"/>
                <w:fitText w:val="120" w:id="-694454522"/>
                <w14:textFill>
                  <w14:solidFill>
                    <w14:srgbClr w14:val="000000">
                      <w14:alpha w14:val="100000"/>
                    </w14:srgbClr>
                  </w14:solidFill>
                </w14:textFill>
              </w:rPr>
              <w:t xml:space="preserve">　</w:t>
            </w:r>
            <w:r w:rsidR="00E860CE">
              <w:rPr>
                <w:b/>
                <w:sz w:val="18"/>
                <w:szCs w:val="18"/>
                <w:vertAlign w:val="superscript"/>
              </w:rPr>
              <w:t>10</w:t>
            </w:r>
          </w:p>
        </w:tc>
        <w:tc>
          <w:tcPr>
            <w:tcW w:w="992" w:type="dxa"/>
            <w:tcBorders>
              <w:top w:val="single" w:sz="4" w:space="0" w:color="auto"/>
              <w:left w:val="single" w:sz="4" w:space="0" w:color="auto"/>
              <w:bottom w:val="single" w:sz="4" w:space="0" w:color="auto"/>
              <w:right w:val="single" w:sz="4" w:space="0" w:color="auto"/>
            </w:tcBorders>
          </w:tcPr>
          <w:p w14:paraId="18AB8BB6" w14:textId="17A26464" w:rsidR="00523D9A" w:rsidRPr="00B847DA" w:rsidRDefault="00CF6E6B" w:rsidP="005257AC">
            <w:pPr>
              <w:pStyle w:val="TableText0"/>
              <w:keepLines/>
              <w:jc w:val="center"/>
              <w:rPr>
                <w:rFonts w:cs="Arial"/>
                <w:b/>
                <w:color w:val="000000"/>
                <w:sz w:val="18"/>
                <w:szCs w:val="18"/>
                <w:highlight w:val="darkGray"/>
              </w:rPr>
            </w:pPr>
            <w:r w:rsidRPr="00CF6E6B">
              <w:rPr>
                <w:rFonts w:hint="eastAsia"/>
                <w:b/>
                <w:color w:val="000000"/>
                <w:w w:val="22"/>
                <w:sz w:val="18"/>
                <w:szCs w:val="18"/>
                <w:shd w:val="solid" w:color="000000" w:fill="000000"/>
                <w:fitText w:val="90" w:id="-694454521"/>
                <w14:textFill>
                  <w14:solidFill>
                    <w14:srgbClr w14:val="000000">
                      <w14:alpha w14:val="100000"/>
                    </w14:srgbClr>
                  </w14:solidFill>
                </w14:textFill>
              </w:rPr>
              <w:t xml:space="preserve">　</w:t>
            </w:r>
            <w:r w:rsidRPr="00CF6E6B">
              <w:rPr>
                <w:b/>
                <w:color w:val="000000"/>
                <w:w w:val="22"/>
                <w:sz w:val="18"/>
                <w:szCs w:val="18"/>
                <w:shd w:val="solid" w:color="000000" w:fill="000000"/>
                <w:fitText w:val="90" w:id="-694454521"/>
                <w14:textFill>
                  <w14:solidFill>
                    <w14:srgbClr w14:val="000000">
                      <w14:alpha w14:val="100000"/>
                    </w14:srgbClr>
                  </w14:solidFill>
                </w14:textFill>
              </w:rPr>
              <w:t>|</w:t>
            </w:r>
            <w:r w:rsidRPr="00CF6E6B">
              <w:rPr>
                <w:rFonts w:hint="eastAsia"/>
                <w:b/>
                <w:color w:val="000000"/>
                <w:spacing w:val="2"/>
                <w:w w:val="22"/>
                <w:sz w:val="18"/>
                <w:szCs w:val="18"/>
                <w:shd w:val="solid" w:color="000000" w:fill="000000"/>
                <w:fitText w:val="90" w:id="-694454521"/>
                <w14:textFill>
                  <w14:solidFill>
                    <w14:srgbClr w14:val="000000">
                      <w14:alpha w14:val="100000"/>
                    </w14:srgbClr>
                  </w14:solidFill>
                </w14:textFill>
              </w:rPr>
              <w:t xml:space="preserve">　</w:t>
            </w:r>
            <w:r w:rsidR="001713C1" w:rsidRPr="005559B3">
              <w:rPr>
                <w:sz w:val="18"/>
                <w:szCs w:val="22"/>
                <w:vertAlign w:val="superscript"/>
              </w:rPr>
              <w:t>7</w:t>
            </w:r>
          </w:p>
        </w:tc>
        <w:tc>
          <w:tcPr>
            <w:tcW w:w="993" w:type="dxa"/>
            <w:tcBorders>
              <w:top w:val="single" w:sz="4" w:space="0" w:color="auto"/>
              <w:left w:val="single" w:sz="4" w:space="0" w:color="auto"/>
              <w:bottom w:val="single" w:sz="4" w:space="0" w:color="auto"/>
              <w:right w:val="single" w:sz="4" w:space="0" w:color="auto"/>
            </w:tcBorders>
          </w:tcPr>
          <w:p w14:paraId="081B972B" w14:textId="68ECC613" w:rsidR="00523D9A" w:rsidRPr="00B847DA" w:rsidRDefault="00CF6E6B" w:rsidP="005257AC">
            <w:pPr>
              <w:pStyle w:val="TableText0"/>
              <w:keepLines/>
              <w:jc w:val="center"/>
              <w:rPr>
                <w:rFonts w:cs="Arial"/>
                <w:b/>
                <w:color w:val="000000"/>
                <w:sz w:val="18"/>
                <w:szCs w:val="18"/>
                <w:highlight w:val="darkGray"/>
              </w:rPr>
            </w:pPr>
            <w:r w:rsidRPr="00CF6E6B">
              <w:rPr>
                <w:rFonts w:hint="eastAsia"/>
                <w:b/>
                <w:color w:val="000000"/>
                <w:w w:val="22"/>
                <w:sz w:val="18"/>
                <w:szCs w:val="18"/>
                <w:shd w:val="solid" w:color="000000" w:fill="000000"/>
                <w:fitText w:val="90" w:id="-694454520"/>
                <w14:textFill>
                  <w14:solidFill>
                    <w14:srgbClr w14:val="000000">
                      <w14:alpha w14:val="100000"/>
                    </w14:srgbClr>
                  </w14:solidFill>
                </w14:textFill>
              </w:rPr>
              <w:t xml:space="preserve">　</w:t>
            </w:r>
            <w:r w:rsidRPr="00CF6E6B">
              <w:rPr>
                <w:b/>
                <w:color w:val="000000"/>
                <w:w w:val="22"/>
                <w:sz w:val="18"/>
                <w:szCs w:val="18"/>
                <w:shd w:val="solid" w:color="000000" w:fill="000000"/>
                <w:fitText w:val="90" w:id="-694454520"/>
                <w14:textFill>
                  <w14:solidFill>
                    <w14:srgbClr w14:val="000000">
                      <w14:alpha w14:val="100000"/>
                    </w14:srgbClr>
                  </w14:solidFill>
                </w14:textFill>
              </w:rPr>
              <w:t>|</w:t>
            </w:r>
            <w:r w:rsidRPr="00CF6E6B">
              <w:rPr>
                <w:rFonts w:hint="eastAsia"/>
                <w:b/>
                <w:color w:val="000000"/>
                <w:spacing w:val="2"/>
                <w:w w:val="22"/>
                <w:sz w:val="18"/>
                <w:szCs w:val="18"/>
                <w:shd w:val="solid" w:color="000000" w:fill="000000"/>
                <w:fitText w:val="90" w:id="-694454520"/>
                <w14:textFill>
                  <w14:solidFill>
                    <w14:srgbClr w14:val="000000">
                      <w14:alpha w14:val="100000"/>
                    </w14:srgbClr>
                  </w14:solidFill>
                </w14:textFill>
              </w:rPr>
              <w:t xml:space="preserve">　</w:t>
            </w:r>
            <w:r w:rsidR="001713C1" w:rsidRPr="005559B3">
              <w:rPr>
                <w:sz w:val="18"/>
                <w:szCs w:val="22"/>
                <w:vertAlign w:val="superscript"/>
              </w:rPr>
              <w:t>7</w:t>
            </w:r>
          </w:p>
        </w:tc>
        <w:tc>
          <w:tcPr>
            <w:tcW w:w="992" w:type="dxa"/>
            <w:tcBorders>
              <w:top w:val="single" w:sz="4" w:space="0" w:color="auto"/>
              <w:left w:val="single" w:sz="4" w:space="0" w:color="auto"/>
              <w:bottom w:val="single" w:sz="4" w:space="0" w:color="auto"/>
              <w:right w:val="single" w:sz="4" w:space="0" w:color="auto"/>
            </w:tcBorders>
          </w:tcPr>
          <w:p w14:paraId="2582FC21" w14:textId="0FB1D5B7" w:rsidR="00523D9A" w:rsidRPr="00B847DA" w:rsidRDefault="00CF6E6B" w:rsidP="005257AC">
            <w:pPr>
              <w:pStyle w:val="TableText0"/>
              <w:keepLines/>
              <w:jc w:val="center"/>
              <w:rPr>
                <w:rFonts w:cs="Arial"/>
                <w:b/>
                <w:color w:val="000000"/>
                <w:sz w:val="18"/>
                <w:szCs w:val="18"/>
                <w:highlight w:val="darkGray"/>
              </w:rPr>
            </w:pPr>
            <w:r w:rsidRPr="00CF6E6B">
              <w:rPr>
                <w:rFonts w:hint="eastAsia"/>
                <w:b/>
                <w:color w:val="000000"/>
                <w:w w:val="22"/>
                <w:sz w:val="18"/>
                <w:szCs w:val="18"/>
                <w:shd w:val="solid" w:color="000000" w:fill="000000"/>
                <w:fitText w:val="90" w:id="-694454519"/>
                <w14:textFill>
                  <w14:solidFill>
                    <w14:srgbClr w14:val="000000">
                      <w14:alpha w14:val="100000"/>
                    </w14:srgbClr>
                  </w14:solidFill>
                </w14:textFill>
              </w:rPr>
              <w:t xml:space="preserve">　</w:t>
            </w:r>
            <w:r w:rsidRPr="00CF6E6B">
              <w:rPr>
                <w:b/>
                <w:color w:val="000000"/>
                <w:w w:val="22"/>
                <w:sz w:val="18"/>
                <w:szCs w:val="18"/>
                <w:shd w:val="solid" w:color="000000" w:fill="000000"/>
                <w:fitText w:val="90" w:id="-694454519"/>
                <w14:textFill>
                  <w14:solidFill>
                    <w14:srgbClr w14:val="000000">
                      <w14:alpha w14:val="100000"/>
                    </w14:srgbClr>
                  </w14:solidFill>
                </w14:textFill>
              </w:rPr>
              <w:t>|</w:t>
            </w:r>
            <w:r w:rsidRPr="00CF6E6B">
              <w:rPr>
                <w:rFonts w:hint="eastAsia"/>
                <w:b/>
                <w:color w:val="000000"/>
                <w:spacing w:val="2"/>
                <w:w w:val="22"/>
                <w:sz w:val="18"/>
                <w:szCs w:val="18"/>
                <w:shd w:val="solid" w:color="000000" w:fill="000000"/>
                <w:fitText w:val="90" w:id="-694454519"/>
                <w14:textFill>
                  <w14:solidFill>
                    <w14:srgbClr w14:val="000000">
                      <w14:alpha w14:val="100000"/>
                    </w14:srgbClr>
                  </w14:solidFill>
                </w14:textFill>
              </w:rPr>
              <w:t xml:space="preserve">　</w:t>
            </w:r>
            <w:r w:rsidR="001713C1" w:rsidRPr="005559B3">
              <w:rPr>
                <w:sz w:val="18"/>
                <w:szCs w:val="22"/>
                <w:vertAlign w:val="superscript"/>
              </w:rPr>
              <w:t>7</w:t>
            </w:r>
          </w:p>
        </w:tc>
        <w:tc>
          <w:tcPr>
            <w:tcW w:w="992" w:type="dxa"/>
            <w:tcBorders>
              <w:top w:val="single" w:sz="4" w:space="0" w:color="auto"/>
              <w:left w:val="single" w:sz="4" w:space="0" w:color="auto"/>
              <w:bottom w:val="single" w:sz="4" w:space="0" w:color="auto"/>
              <w:right w:val="single" w:sz="4" w:space="0" w:color="auto"/>
            </w:tcBorders>
          </w:tcPr>
          <w:p w14:paraId="2D0F379C" w14:textId="482FD656" w:rsidR="00523D9A" w:rsidRPr="00B847DA" w:rsidRDefault="00CF6E6B" w:rsidP="005257AC">
            <w:pPr>
              <w:pStyle w:val="TableText0"/>
              <w:keepLines/>
              <w:jc w:val="center"/>
              <w:rPr>
                <w:rFonts w:cs="Arial"/>
                <w:b/>
                <w:color w:val="000000"/>
                <w:sz w:val="18"/>
                <w:szCs w:val="18"/>
                <w:highlight w:val="darkGray"/>
              </w:rPr>
            </w:pPr>
            <w:r w:rsidRPr="00CF6E6B">
              <w:rPr>
                <w:rFonts w:hint="eastAsia"/>
                <w:b/>
                <w:color w:val="000000"/>
                <w:w w:val="22"/>
                <w:sz w:val="18"/>
                <w:szCs w:val="18"/>
                <w:shd w:val="solid" w:color="000000" w:fill="000000"/>
                <w:fitText w:val="90" w:id="-694454518"/>
                <w14:textFill>
                  <w14:solidFill>
                    <w14:srgbClr w14:val="000000">
                      <w14:alpha w14:val="100000"/>
                    </w14:srgbClr>
                  </w14:solidFill>
                </w14:textFill>
              </w:rPr>
              <w:t xml:space="preserve">　</w:t>
            </w:r>
            <w:r w:rsidRPr="00CF6E6B">
              <w:rPr>
                <w:b/>
                <w:color w:val="000000"/>
                <w:w w:val="22"/>
                <w:sz w:val="18"/>
                <w:szCs w:val="18"/>
                <w:shd w:val="solid" w:color="000000" w:fill="000000"/>
                <w:fitText w:val="90" w:id="-694454518"/>
                <w14:textFill>
                  <w14:solidFill>
                    <w14:srgbClr w14:val="000000">
                      <w14:alpha w14:val="100000"/>
                    </w14:srgbClr>
                  </w14:solidFill>
                </w14:textFill>
              </w:rPr>
              <w:t>|</w:t>
            </w:r>
            <w:r w:rsidRPr="00CF6E6B">
              <w:rPr>
                <w:rFonts w:hint="eastAsia"/>
                <w:b/>
                <w:color w:val="000000"/>
                <w:spacing w:val="2"/>
                <w:w w:val="22"/>
                <w:sz w:val="18"/>
                <w:szCs w:val="18"/>
                <w:shd w:val="solid" w:color="000000" w:fill="000000"/>
                <w:fitText w:val="90" w:id="-694454518"/>
                <w14:textFill>
                  <w14:solidFill>
                    <w14:srgbClr w14:val="000000">
                      <w14:alpha w14:val="100000"/>
                    </w14:srgbClr>
                  </w14:solidFill>
                </w14:textFill>
              </w:rPr>
              <w:t xml:space="preserve">　</w:t>
            </w:r>
            <w:r w:rsidR="001713C1" w:rsidRPr="005559B3">
              <w:rPr>
                <w:sz w:val="18"/>
                <w:szCs w:val="22"/>
                <w:vertAlign w:val="superscript"/>
              </w:rPr>
              <w:t>7</w:t>
            </w:r>
          </w:p>
        </w:tc>
        <w:tc>
          <w:tcPr>
            <w:tcW w:w="992" w:type="dxa"/>
            <w:tcBorders>
              <w:top w:val="single" w:sz="4" w:space="0" w:color="auto"/>
              <w:left w:val="single" w:sz="4" w:space="0" w:color="auto"/>
              <w:bottom w:val="single" w:sz="4" w:space="0" w:color="auto"/>
              <w:right w:val="single" w:sz="4" w:space="0" w:color="auto"/>
            </w:tcBorders>
          </w:tcPr>
          <w:p w14:paraId="3BD5294C" w14:textId="05B024D7" w:rsidR="00523D9A" w:rsidRPr="00B847DA" w:rsidRDefault="00CF6E6B" w:rsidP="005257AC">
            <w:pPr>
              <w:pStyle w:val="TableText0"/>
              <w:keepLines/>
              <w:jc w:val="center"/>
              <w:rPr>
                <w:rFonts w:cs="Arial"/>
                <w:b/>
                <w:color w:val="000000"/>
                <w:sz w:val="18"/>
                <w:szCs w:val="18"/>
                <w:highlight w:val="darkGray"/>
              </w:rPr>
            </w:pPr>
            <w:r w:rsidRPr="00CF6E6B">
              <w:rPr>
                <w:rFonts w:hint="eastAsia"/>
                <w:b/>
                <w:color w:val="000000"/>
                <w:w w:val="22"/>
                <w:sz w:val="18"/>
                <w:szCs w:val="18"/>
                <w:shd w:val="solid" w:color="000000" w:fill="000000"/>
                <w:fitText w:val="90" w:id="-694454517"/>
                <w14:textFill>
                  <w14:solidFill>
                    <w14:srgbClr w14:val="000000">
                      <w14:alpha w14:val="100000"/>
                    </w14:srgbClr>
                  </w14:solidFill>
                </w14:textFill>
              </w:rPr>
              <w:t xml:space="preserve">　</w:t>
            </w:r>
            <w:r w:rsidRPr="00CF6E6B">
              <w:rPr>
                <w:b/>
                <w:color w:val="000000"/>
                <w:w w:val="22"/>
                <w:sz w:val="18"/>
                <w:szCs w:val="18"/>
                <w:shd w:val="solid" w:color="000000" w:fill="000000"/>
                <w:fitText w:val="90" w:id="-694454517"/>
                <w14:textFill>
                  <w14:solidFill>
                    <w14:srgbClr w14:val="000000">
                      <w14:alpha w14:val="100000"/>
                    </w14:srgbClr>
                  </w14:solidFill>
                </w14:textFill>
              </w:rPr>
              <w:t>|</w:t>
            </w:r>
            <w:r w:rsidRPr="00CF6E6B">
              <w:rPr>
                <w:rFonts w:hint="eastAsia"/>
                <w:b/>
                <w:color w:val="000000"/>
                <w:spacing w:val="2"/>
                <w:w w:val="22"/>
                <w:sz w:val="18"/>
                <w:szCs w:val="18"/>
                <w:shd w:val="solid" w:color="000000" w:fill="000000"/>
                <w:fitText w:val="90" w:id="-694454517"/>
                <w14:textFill>
                  <w14:solidFill>
                    <w14:srgbClr w14:val="000000">
                      <w14:alpha w14:val="100000"/>
                    </w14:srgbClr>
                  </w14:solidFill>
                </w14:textFill>
              </w:rPr>
              <w:t xml:space="preserve">　</w:t>
            </w:r>
            <w:r w:rsidR="001774C3" w:rsidRPr="001774C3">
              <w:rPr>
                <w:sz w:val="18"/>
                <w:szCs w:val="18"/>
                <w:vertAlign w:val="superscript"/>
              </w:rPr>
              <w:t>5</w:t>
            </w:r>
          </w:p>
        </w:tc>
        <w:tc>
          <w:tcPr>
            <w:tcW w:w="1084" w:type="dxa"/>
            <w:tcBorders>
              <w:top w:val="single" w:sz="4" w:space="0" w:color="auto"/>
              <w:left w:val="single" w:sz="4" w:space="0" w:color="auto"/>
              <w:bottom w:val="single" w:sz="4" w:space="0" w:color="auto"/>
              <w:right w:val="single" w:sz="4" w:space="0" w:color="auto"/>
            </w:tcBorders>
          </w:tcPr>
          <w:p w14:paraId="7B9E2957" w14:textId="77777777" w:rsidR="00523D9A" w:rsidRPr="005A7226" w:rsidRDefault="00523D9A" w:rsidP="005257AC">
            <w:pPr>
              <w:pStyle w:val="TableText0"/>
              <w:keepLines/>
              <w:jc w:val="center"/>
              <w:rPr>
                <w:rFonts w:cs="Arial"/>
                <w:b/>
                <w:i/>
                <w:iCs/>
                <w:color w:val="000000"/>
                <w:sz w:val="18"/>
                <w:szCs w:val="18"/>
              </w:rPr>
            </w:pPr>
            <w:r w:rsidRPr="005A7226">
              <w:rPr>
                <w:rFonts w:cs="Arial"/>
                <w:b/>
                <w:i/>
                <w:iCs/>
                <w:color w:val="000000"/>
                <w:sz w:val="18"/>
                <w:szCs w:val="18"/>
              </w:rPr>
              <w:t>-</w:t>
            </w:r>
          </w:p>
        </w:tc>
      </w:tr>
      <w:tr w:rsidR="00523D9A" w:rsidRPr="005A7226" w14:paraId="66B81876"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38878E42" w14:textId="77777777" w:rsidR="00523D9A" w:rsidRPr="005A7226" w:rsidRDefault="00523D9A" w:rsidP="005257AC">
            <w:pPr>
              <w:keepNext/>
              <w:keepLines/>
              <w:widowControl w:val="0"/>
              <w:jc w:val="left"/>
              <w:rPr>
                <w:rFonts w:ascii="Arial Narrow" w:hAnsi="Arial Narrow" w:cs="Times New Roman"/>
                <w:bCs/>
                <w:sz w:val="19"/>
                <w:szCs w:val="19"/>
                <w:lang w:eastAsia="en-GB"/>
              </w:rPr>
            </w:pPr>
            <w:r w:rsidRPr="005A7226">
              <w:rPr>
                <w:rFonts w:ascii="Arial Narrow" w:hAnsi="Arial Narrow" w:cs="Times New Roman"/>
                <w:bCs/>
                <w:sz w:val="19"/>
                <w:szCs w:val="19"/>
                <w:lang w:eastAsia="en-GB"/>
              </w:rPr>
              <w:t>Fezolinetant scripts (PBS)</w:t>
            </w:r>
          </w:p>
        </w:tc>
        <w:tc>
          <w:tcPr>
            <w:tcW w:w="992" w:type="dxa"/>
            <w:tcBorders>
              <w:top w:val="single" w:sz="4" w:space="0" w:color="auto"/>
              <w:left w:val="single" w:sz="4" w:space="0" w:color="auto"/>
              <w:bottom w:val="single" w:sz="4" w:space="0" w:color="auto"/>
              <w:right w:val="single" w:sz="4" w:space="0" w:color="auto"/>
            </w:tcBorders>
          </w:tcPr>
          <w:p w14:paraId="43695251" w14:textId="6E7C1D2C"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20"/>
                <w:sz w:val="18"/>
                <w:szCs w:val="18"/>
                <w:shd w:val="solid" w:color="000000" w:fill="000000"/>
                <w:fitText w:val="80" w:id="-694454516"/>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6"/>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6"/>
                <w14:textFill>
                  <w14:solidFill>
                    <w14:srgbClr w14:val="000000">
                      <w14:alpha w14:val="100000"/>
                    </w14:srgbClr>
                  </w14:solidFill>
                </w14:textFill>
              </w:rPr>
              <w:t xml:space="preserve">　</w:t>
            </w:r>
            <w:r w:rsidR="00E860CE">
              <w:rPr>
                <w:sz w:val="18"/>
                <w:szCs w:val="18"/>
                <w:vertAlign w:val="superscript"/>
              </w:rPr>
              <w:t>11</w:t>
            </w:r>
          </w:p>
        </w:tc>
        <w:tc>
          <w:tcPr>
            <w:tcW w:w="992" w:type="dxa"/>
            <w:tcBorders>
              <w:top w:val="single" w:sz="4" w:space="0" w:color="auto"/>
              <w:left w:val="single" w:sz="4" w:space="0" w:color="auto"/>
              <w:bottom w:val="single" w:sz="4" w:space="0" w:color="auto"/>
              <w:right w:val="single" w:sz="4" w:space="0" w:color="auto"/>
            </w:tcBorders>
          </w:tcPr>
          <w:p w14:paraId="3A87CD2F" w14:textId="3A2FC150"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20"/>
                <w:sz w:val="18"/>
                <w:szCs w:val="18"/>
                <w:shd w:val="solid" w:color="000000" w:fill="000000"/>
                <w:fitText w:val="80" w:id="-694454515"/>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5"/>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5"/>
                <w14:textFill>
                  <w14:solidFill>
                    <w14:srgbClr w14:val="000000">
                      <w14:alpha w14:val="100000"/>
                    </w14:srgbClr>
                  </w14:solidFill>
                </w14:textFill>
              </w:rPr>
              <w:t xml:space="preserve">　</w:t>
            </w:r>
            <w:r w:rsidR="00B6338F">
              <w:rPr>
                <w:sz w:val="18"/>
                <w:szCs w:val="18"/>
                <w:vertAlign w:val="superscript"/>
              </w:rPr>
              <w:t>12</w:t>
            </w:r>
          </w:p>
        </w:tc>
        <w:tc>
          <w:tcPr>
            <w:tcW w:w="993" w:type="dxa"/>
            <w:tcBorders>
              <w:top w:val="single" w:sz="4" w:space="0" w:color="auto"/>
              <w:left w:val="single" w:sz="4" w:space="0" w:color="auto"/>
              <w:bottom w:val="single" w:sz="4" w:space="0" w:color="auto"/>
              <w:right w:val="single" w:sz="4" w:space="0" w:color="auto"/>
            </w:tcBorders>
          </w:tcPr>
          <w:p w14:paraId="06D76329" w14:textId="6DC7C102"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17"/>
                <w:sz w:val="18"/>
                <w:szCs w:val="18"/>
                <w:shd w:val="solid" w:color="000000" w:fill="000000"/>
                <w:fitText w:val="70" w:id="-694454514"/>
                <w14:textFill>
                  <w14:solidFill>
                    <w14:srgbClr w14:val="000000">
                      <w14:alpha w14:val="100000"/>
                    </w14:srgbClr>
                  </w14:solidFill>
                </w14:textFill>
              </w:rPr>
              <w:t xml:space="preserve">　</w:t>
            </w:r>
            <w:r w:rsidRPr="00CF6E6B">
              <w:rPr>
                <w:color w:val="000000"/>
                <w:w w:val="17"/>
                <w:sz w:val="18"/>
                <w:szCs w:val="18"/>
                <w:shd w:val="solid" w:color="000000" w:fill="000000"/>
                <w:fitText w:val="70" w:id="-694454514"/>
                <w14:textFill>
                  <w14:solidFill>
                    <w14:srgbClr w14:val="000000">
                      <w14:alpha w14:val="100000"/>
                    </w14:srgbClr>
                  </w14:solidFill>
                </w14:textFill>
              </w:rPr>
              <w:t>|</w:t>
            </w:r>
            <w:r w:rsidRPr="00CF6E6B">
              <w:rPr>
                <w:rFonts w:hint="eastAsia"/>
                <w:color w:val="000000"/>
                <w:spacing w:val="4"/>
                <w:w w:val="17"/>
                <w:sz w:val="18"/>
                <w:szCs w:val="18"/>
                <w:shd w:val="solid" w:color="000000" w:fill="000000"/>
                <w:fitText w:val="70" w:id="-694454514"/>
                <w14:textFill>
                  <w14:solidFill>
                    <w14:srgbClr w14:val="000000">
                      <w14:alpha w14:val="100000"/>
                    </w14:srgbClr>
                  </w14:solidFill>
                </w14:textFill>
              </w:rPr>
              <w:t xml:space="preserve">　</w:t>
            </w:r>
            <w:r w:rsidR="00E54A92" w:rsidRPr="00B6338F">
              <w:rPr>
                <w:sz w:val="18"/>
                <w:szCs w:val="18"/>
                <w:vertAlign w:val="superscript"/>
              </w:rPr>
              <w:t>1</w:t>
            </w:r>
            <w:r w:rsidR="00B6338F" w:rsidRPr="00B6338F">
              <w:rPr>
                <w:sz w:val="18"/>
                <w:szCs w:val="18"/>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1003E2A1" w14:textId="5A0363C5"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20"/>
                <w:sz w:val="18"/>
                <w:szCs w:val="18"/>
                <w:shd w:val="solid" w:color="000000" w:fill="000000"/>
                <w:fitText w:val="80" w:id="-694454513"/>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3"/>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3"/>
                <w14:textFill>
                  <w14:solidFill>
                    <w14:srgbClr w14:val="000000">
                      <w14:alpha w14:val="100000"/>
                    </w14:srgbClr>
                  </w14:solidFill>
                </w14:textFill>
              </w:rPr>
              <w:t xml:space="preserve">　</w:t>
            </w:r>
            <w:r w:rsidR="00B146B8"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0019FFF3" w14:textId="316AE3F2"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20"/>
                <w:sz w:val="18"/>
                <w:szCs w:val="18"/>
                <w:shd w:val="solid" w:color="000000" w:fill="000000"/>
                <w:fitText w:val="80" w:id="-694454512"/>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2"/>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2"/>
                <w14:textFill>
                  <w14:solidFill>
                    <w14:srgbClr w14:val="000000">
                      <w14:alpha w14:val="100000"/>
                    </w14:srgbClr>
                  </w14:solidFill>
                </w14:textFill>
              </w:rPr>
              <w:t xml:space="preserve">　</w:t>
            </w:r>
            <w:r w:rsidR="00B146B8"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007CCF5E" w14:textId="2F8E98AF"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20"/>
                <w:sz w:val="18"/>
                <w:szCs w:val="18"/>
                <w:shd w:val="solid" w:color="000000" w:fill="000000"/>
                <w:fitText w:val="80" w:id="-694454528"/>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8"/>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8"/>
                <w14:textFill>
                  <w14:solidFill>
                    <w14:srgbClr w14:val="000000">
                      <w14:alpha w14:val="100000"/>
                    </w14:srgbClr>
                  </w14:solidFill>
                </w14:textFill>
              </w:rPr>
              <w:t xml:space="preserve">　</w:t>
            </w:r>
            <w:r w:rsidR="00B146B8" w:rsidRPr="00B6338F">
              <w:rPr>
                <w:sz w:val="18"/>
                <w:szCs w:val="18"/>
                <w:vertAlign w:val="superscript"/>
              </w:rPr>
              <w:t>13</w:t>
            </w:r>
          </w:p>
        </w:tc>
        <w:tc>
          <w:tcPr>
            <w:tcW w:w="1084" w:type="dxa"/>
            <w:tcBorders>
              <w:top w:val="single" w:sz="4" w:space="0" w:color="auto"/>
              <w:left w:val="single" w:sz="4" w:space="0" w:color="auto"/>
              <w:bottom w:val="single" w:sz="4" w:space="0" w:color="auto"/>
              <w:right w:val="single" w:sz="4" w:space="0" w:color="auto"/>
            </w:tcBorders>
          </w:tcPr>
          <w:p w14:paraId="4F2C0491" w14:textId="6679C5F8" w:rsidR="00523D9A" w:rsidRPr="00B847DA" w:rsidRDefault="00CF6E6B" w:rsidP="005257AC">
            <w:pPr>
              <w:pStyle w:val="TableText0"/>
              <w:keepLines/>
              <w:jc w:val="center"/>
              <w:rPr>
                <w:rFonts w:cs="Arial"/>
                <w:bCs w:val="0"/>
                <w:i/>
                <w:iCs/>
                <w:color w:val="000000"/>
                <w:sz w:val="18"/>
                <w:szCs w:val="18"/>
                <w:highlight w:val="darkGray"/>
              </w:rPr>
            </w:pPr>
            <w:r w:rsidRPr="00CF6E6B">
              <w:rPr>
                <w:rFonts w:cs="Arial" w:hint="eastAsia"/>
                <w:bCs w:val="0"/>
                <w:i/>
                <w:iCs/>
                <w:color w:val="000000"/>
                <w:w w:val="15"/>
                <w:sz w:val="18"/>
                <w:szCs w:val="18"/>
                <w:shd w:val="solid" w:color="000000" w:fill="000000"/>
                <w:fitText w:val="40" w:id="-694454527"/>
                <w14:textFill>
                  <w14:solidFill>
                    <w14:srgbClr w14:val="000000">
                      <w14:alpha w14:val="100000"/>
                    </w14:srgbClr>
                  </w14:solidFill>
                </w14:textFill>
              </w:rPr>
              <w:t xml:space="preserve">　</w:t>
            </w:r>
            <w:r w:rsidRPr="00CF6E6B">
              <w:rPr>
                <w:rFonts w:cs="Arial"/>
                <w:bCs w:val="0"/>
                <w:i/>
                <w:iCs/>
                <w:color w:val="000000"/>
                <w:w w:val="15"/>
                <w:sz w:val="18"/>
                <w:szCs w:val="18"/>
                <w:shd w:val="solid" w:color="000000" w:fill="000000"/>
                <w:fitText w:val="40" w:id="-694454527"/>
                <w14:textFill>
                  <w14:solidFill>
                    <w14:srgbClr w14:val="000000">
                      <w14:alpha w14:val="100000"/>
                    </w14:srgbClr>
                  </w14:solidFill>
                </w14:textFill>
              </w:rPr>
              <w:t>|</w:t>
            </w:r>
            <w:r w:rsidRPr="00CF6E6B">
              <w:rPr>
                <w:rFonts w:cs="Arial" w:hint="eastAsia"/>
                <w:bCs w:val="0"/>
                <w:i/>
                <w:iCs/>
                <w:color w:val="000000"/>
                <w:spacing w:val="-19"/>
                <w:w w:val="15"/>
                <w:sz w:val="18"/>
                <w:szCs w:val="18"/>
                <w:shd w:val="solid" w:color="000000" w:fill="000000"/>
                <w:fitText w:val="40" w:id="-694454527"/>
                <w14:textFill>
                  <w14:solidFill>
                    <w14:srgbClr w14:val="000000">
                      <w14:alpha w14:val="100000"/>
                    </w14:srgbClr>
                  </w14:solidFill>
                </w14:textFill>
              </w:rPr>
              <w:t xml:space="preserve">　</w:t>
            </w:r>
            <w:r w:rsidR="00D301A4" w:rsidRPr="00D301A4">
              <w:rPr>
                <w:rFonts w:cs="Arial"/>
                <w:bCs w:val="0"/>
                <w:i/>
                <w:iCs/>
                <w:color w:val="000000"/>
                <w:sz w:val="18"/>
                <w:szCs w:val="18"/>
                <w:vertAlign w:val="superscript"/>
              </w:rPr>
              <w:t>14</w:t>
            </w:r>
          </w:p>
        </w:tc>
      </w:tr>
      <w:tr w:rsidR="00523D9A" w:rsidRPr="005A7226" w14:paraId="31A49807"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3F8F479A" w14:textId="77777777" w:rsidR="00523D9A" w:rsidRPr="005A7226" w:rsidRDefault="00523D9A" w:rsidP="005257AC">
            <w:pPr>
              <w:keepNext/>
              <w:keepLines/>
              <w:widowControl w:val="0"/>
              <w:jc w:val="left"/>
              <w:rPr>
                <w:rFonts w:ascii="Arial Narrow" w:hAnsi="Arial Narrow" w:cs="Times New Roman"/>
                <w:bCs/>
                <w:sz w:val="19"/>
                <w:szCs w:val="19"/>
                <w:lang w:eastAsia="en-GB"/>
              </w:rPr>
            </w:pPr>
            <w:r w:rsidRPr="005A7226">
              <w:rPr>
                <w:rFonts w:ascii="Arial Narrow" w:hAnsi="Arial Narrow" w:cs="Times New Roman"/>
                <w:bCs/>
                <w:sz w:val="19"/>
                <w:szCs w:val="19"/>
                <w:lang w:eastAsia="en-GB"/>
              </w:rPr>
              <w:t>Fezolinetant scripts (RPBS)</w:t>
            </w:r>
          </w:p>
        </w:tc>
        <w:tc>
          <w:tcPr>
            <w:tcW w:w="992" w:type="dxa"/>
            <w:tcBorders>
              <w:top w:val="single" w:sz="4" w:space="0" w:color="auto"/>
              <w:left w:val="single" w:sz="4" w:space="0" w:color="auto"/>
              <w:bottom w:val="single" w:sz="4" w:space="0" w:color="auto"/>
              <w:right w:val="single" w:sz="4" w:space="0" w:color="auto"/>
            </w:tcBorders>
          </w:tcPr>
          <w:p w14:paraId="76BAA586" w14:textId="57D406A9"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20"/>
                <w:sz w:val="18"/>
                <w:szCs w:val="18"/>
                <w:shd w:val="solid" w:color="000000" w:fill="000000"/>
                <w:fitText w:val="80" w:id="-694454526"/>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6"/>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6"/>
                <w14:textFill>
                  <w14:solidFill>
                    <w14:srgbClr w14:val="000000">
                      <w14:alpha w14:val="100000"/>
                    </w14:srgbClr>
                  </w14:solidFill>
                </w14:textFill>
              </w:rPr>
              <w:t xml:space="preserve">　</w:t>
            </w:r>
            <w:r w:rsidR="00353C40" w:rsidRPr="00353C40">
              <w:rPr>
                <w:sz w:val="18"/>
                <w:szCs w:val="18"/>
                <w:vertAlign w:val="superscript"/>
              </w:rPr>
              <w:t>15</w:t>
            </w:r>
          </w:p>
        </w:tc>
        <w:tc>
          <w:tcPr>
            <w:tcW w:w="992" w:type="dxa"/>
            <w:tcBorders>
              <w:top w:val="single" w:sz="4" w:space="0" w:color="auto"/>
              <w:left w:val="single" w:sz="4" w:space="0" w:color="auto"/>
              <w:bottom w:val="single" w:sz="4" w:space="0" w:color="auto"/>
              <w:right w:val="single" w:sz="4" w:space="0" w:color="auto"/>
            </w:tcBorders>
          </w:tcPr>
          <w:p w14:paraId="716D09ED" w14:textId="4F58B979"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15"/>
                <w:sz w:val="18"/>
                <w:szCs w:val="18"/>
                <w:shd w:val="solid" w:color="000000" w:fill="000000"/>
                <w:fitText w:val="60" w:id="-694454525"/>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5"/>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5"/>
                <w14:textFill>
                  <w14:solidFill>
                    <w14:srgbClr w14:val="000000">
                      <w14:alpha w14:val="100000"/>
                    </w14:srgbClr>
                  </w14:solidFill>
                </w14:textFill>
              </w:rPr>
              <w:t xml:space="preserve">　</w:t>
            </w:r>
            <w:r w:rsidR="00213082" w:rsidRPr="00DB7742">
              <w:rPr>
                <w:sz w:val="18"/>
                <w:szCs w:val="18"/>
                <w:vertAlign w:val="superscript"/>
              </w:rPr>
              <w:t>8</w:t>
            </w:r>
          </w:p>
        </w:tc>
        <w:tc>
          <w:tcPr>
            <w:tcW w:w="993" w:type="dxa"/>
            <w:tcBorders>
              <w:top w:val="single" w:sz="4" w:space="0" w:color="auto"/>
              <w:left w:val="single" w:sz="4" w:space="0" w:color="auto"/>
              <w:bottom w:val="single" w:sz="4" w:space="0" w:color="auto"/>
              <w:right w:val="single" w:sz="4" w:space="0" w:color="auto"/>
            </w:tcBorders>
          </w:tcPr>
          <w:p w14:paraId="7F22B9DC" w14:textId="01E46712"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4"/>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4"/>
                <w14:textFill>
                  <w14:solidFill>
                    <w14:srgbClr w14:val="000000">
                      <w14:alpha w14:val="100000"/>
                    </w14:srgbClr>
                  </w14:solidFill>
                </w14:textFill>
              </w:rPr>
              <w:t xml:space="preserve">　</w:t>
            </w:r>
            <w:r w:rsidR="00213082" w:rsidRPr="00DB7742">
              <w:rPr>
                <w:sz w:val="18"/>
                <w:szCs w:val="18"/>
                <w:vertAlign w:val="superscript"/>
              </w:rPr>
              <w:t>8</w:t>
            </w:r>
          </w:p>
        </w:tc>
        <w:tc>
          <w:tcPr>
            <w:tcW w:w="992" w:type="dxa"/>
            <w:tcBorders>
              <w:top w:val="single" w:sz="4" w:space="0" w:color="auto"/>
              <w:left w:val="single" w:sz="4" w:space="0" w:color="auto"/>
              <w:bottom w:val="single" w:sz="4" w:space="0" w:color="auto"/>
              <w:right w:val="single" w:sz="4" w:space="0" w:color="auto"/>
            </w:tcBorders>
          </w:tcPr>
          <w:p w14:paraId="72413B5C" w14:textId="528D8C72"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3"/>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3"/>
                <w14:textFill>
                  <w14:solidFill>
                    <w14:srgbClr w14:val="000000">
                      <w14:alpha w14:val="100000"/>
                    </w14:srgbClr>
                  </w14:solidFill>
                </w14:textFill>
              </w:rPr>
              <w:t xml:space="preserve">　</w:t>
            </w:r>
            <w:r w:rsidR="00213082" w:rsidRPr="00DB7742">
              <w:rPr>
                <w:sz w:val="18"/>
                <w:szCs w:val="18"/>
                <w:vertAlign w:val="superscript"/>
              </w:rPr>
              <w:t>8</w:t>
            </w:r>
          </w:p>
        </w:tc>
        <w:tc>
          <w:tcPr>
            <w:tcW w:w="992" w:type="dxa"/>
            <w:tcBorders>
              <w:top w:val="single" w:sz="4" w:space="0" w:color="auto"/>
              <w:left w:val="single" w:sz="4" w:space="0" w:color="auto"/>
              <w:bottom w:val="single" w:sz="4" w:space="0" w:color="auto"/>
              <w:right w:val="single" w:sz="4" w:space="0" w:color="auto"/>
            </w:tcBorders>
          </w:tcPr>
          <w:p w14:paraId="4B8F1DCD" w14:textId="11525298"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15"/>
                <w:sz w:val="18"/>
                <w:szCs w:val="18"/>
                <w:shd w:val="solid" w:color="000000" w:fill="000000"/>
                <w:fitText w:val="60" w:id="-694454522"/>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2"/>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2"/>
                <w14:textFill>
                  <w14:solidFill>
                    <w14:srgbClr w14:val="000000">
                      <w14:alpha w14:val="100000"/>
                    </w14:srgbClr>
                  </w14:solidFill>
                </w14:textFill>
              </w:rPr>
              <w:t xml:space="preserve">　</w:t>
            </w:r>
            <w:r w:rsidR="00213082" w:rsidRPr="00DB7742">
              <w:rPr>
                <w:sz w:val="18"/>
                <w:szCs w:val="18"/>
                <w:vertAlign w:val="superscript"/>
              </w:rPr>
              <w:t>8</w:t>
            </w:r>
          </w:p>
        </w:tc>
        <w:tc>
          <w:tcPr>
            <w:tcW w:w="992" w:type="dxa"/>
            <w:tcBorders>
              <w:top w:val="single" w:sz="4" w:space="0" w:color="auto"/>
              <w:left w:val="single" w:sz="4" w:space="0" w:color="auto"/>
              <w:bottom w:val="single" w:sz="4" w:space="0" w:color="auto"/>
              <w:right w:val="single" w:sz="4" w:space="0" w:color="auto"/>
            </w:tcBorders>
          </w:tcPr>
          <w:p w14:paraId="4C77122C" w14:textId="7CDAEBD7" w:rsidR="00523D9A" w:rsidRPr="00B847DA" w:rsidRDefault="00CF6E6B" w:rsidP="005257AC">
            <w:pPr>
              <w:pStyle w:val="TableText0"/>
              <w:keepLines/>
              <w:jc w:val="center"/>
              <w:rPr>
                <w:rFonts w:cs="Arial"/>
                <w:bCs w:val="0"/>
                <w:color w:val="000000"/>
                <w:sz w:val="18"/>
                <w:szCs w:val="18"/>
                <w:highlight w:val="darkGray"/>
              </w:rPr>
            </w:pPr>
            <w:r w:rsidRPr="00CF6E6B">
              <w:rPr>
                <w:rFonts w:hint="eastAsia"/>
                <w:color w:val="000000"/>
                <w:w w:val="15"/>
                <w:sz w:val="18"/>
                <w:szCs w:val="18"/>
                <w:shd w:val="solid" w:color="000000" w:fill="000000"/>
                <w:fitText w:val="60" w:id="-694454521"/>
                <w14:textFill>
                  <w14:solidFill>
                    <w14:srgbClr w14:val="000000">
                      <w14:alpha w14:val="100000"/>
                    </w14:srgbClr>
                  </w14:solidFill>
                </w14:textFill>
              </w:rPr>
              <w:t xml:space="preserve">　</w:t>
            </w:r>
            <w:r w:rsidRPr="00CF6E6B">
              <w:rPr>
                <w:color w:val="000000"/>
                <w:w w:val="15"/>
                <w:sz w:val="18"/>
                <w:szCs w:val="18"/>
                <w:shd w:val="solid" w:color="000000" w:fill="000000"/>
                <w:fitText w:val="60" w:id="-694454521"/>
                <w14:textFill>
                  <w14:solidFill>
                    <w14:srgbClr w14:val="000000">
                      <w14:alpha w14:val="100000"/>
                    </w14:srgbClr>
                  </w14:solidFill>
                </w14:textFill>
              </w:rPr>
              <w:t>|</w:t>
            </w:r>
            <w:r w:rsidRPr="00CF6E6B">
              <w:rPr>
                <w:rFonts w:hint="eastAsia"/>
                <w:color w:val="000000"/>
                <w:w w:val="15"/>
                <w:sz w:val="18"/>
                <w:szCs w:val="18"/>
                <w:shd w:val="solid" w:color="000000" w:fill="000000"/>
                <w:fitText w:val="60" w:id="-694454521"/>
                <w14:textFill>
                  <w14:solidFill>
                    <w14:srgbClr w14:val="000000">
                      <w14:alpha w14:val="100000"/>
                    </w14:srgbClr>
                  </w14:solidFill>
                </w14:textFill>
              </w:rPr>
              <w:t xml:space="preserve">　</w:t>
            </w:r>
            <w:r w:rsidR="00213082" w:rsidRPr="00DB7742">
              <w:rPr>
                <w:sz w:val="18"/>
                <w:szCs w:val="18"/>
                <w:vertAlign w:val="superscript"/>
              </w:rPr>
              <w:t>8</w:t>
            </w:r>
          </w:p>
        </w:tc>
        <w:tc>
          <w:tcPr>
            <w:tcW w:w="1084" w:type="dxa"/>
            <w:tcBorders>
              <w:top w:val="single" w:sz="4" w:space="0" w:color="auto"/>
              <w:left w:val="single" w:sz="4" w:space="0" w:color="auto"/>
              <w:bottom w:val="single" w:sz="4" w:space="0" w:color="auto"/>
              <w:right w:val="single" w:sz="4" w:space="0" w:color="auto"/>
            </w:tcBorders>
          </w:tcPr>
          <w:p w14:paraId="0F00ED84" w14:textId="5910BEA2" w:rsidR="00523D9A" w:rsidRPr="00B847DA" w:rsidRDefault="00CF6E6B" w:rsidP="005257AC">
            <w:pPr>
              <w:pStyle w:val="TableText0"/>
              <w:keepLines/>
              <w:jc w:val="center"/>
              <w:rPr>
                <w:rFonts w:cs="Arial"/>
                <w:bCs w:val="0"/>
                <w:i/>
                <w:iCs/>
                <w:color w:val="000000"/>
                <w:sz w:val="18"/>
                <w:szCs w:val="18"/>
                <w:highlight w:val="darkGray"/>
              </w:rPr>
            </w:pPr>
            <w:r w:rsidRPr="00CF6E6B">
              <w:rPr>
                <w:rFonts w:cs="Arial" w:hint="eastAsia"/>
                <w:bCs w:val="0"/>
                <w:i/>
                <w:iCs/>
                <w:color w:val="000000"/>
                <w:w w:val="15"/>
                <w:sz w:val="18"/>
                <w:szCs w:val="18"/>
                <w:shd w:val="solid" w:color="000000" w:fill="000000"/>
                <w:fitText w:val="40" w:id="-694454520"/>
                <w14:textFill>
                  <w14:solidFill>
                    <w14:srgbClr w14:val="000000">
                      <w14:alpha w14:val="100000"/>
                    </w14:srgbClr>
                  </w14:solidFill>
                </w14:textFill>
              </w:rPr>
              <w:t xml:space="preserve">　</w:t>
            </w:r>
            <w:r w:rsidRPr="00CF6E6B">
              <w:rPr>
                <w:rFonts w:cs="Arial"/>
                <w:bCs w:val="0"/>
                <w:i/>
                <w:iCs/>
                <w:color w:val="000000"/>
                <w:w w:val="15"/>
                <w:sz w:val="18"/>
                <w:szCs w:val="18"/>
                <w:shd w:val="solid" w:color="000000" w:fill="000000"/>
                <w:fitText w:val="40" w:id="-694454520"/>
                <w14:textFill>
                  <w14:solidFill>
                    <w14:srgbClr w14:val="000000">
                      <w14:alpha w14:val="100000"/>
                    </w14:srgbClr>
                  </w14:solidFill>
                </w14:textFill>
              </w:rPr>
              <w:t>|</w:t>
            </w:r>
            <w:r w:rsidRPr="00CF6E6B">
              <w:rPr>
                <w:rFonts w:cs="Arial" w:hint="eastAsia"/>
                <w:bCs w:val="0"/>
                <w:i/>
                <w:iCs/>
                <w:color w:val="000000"/>
                <w:spacing w:val="-19"/>
                <w:w w:val="15"/>
                <w:sz w:val="18"/>
                <w:szCs w:val="18"/>
                <w:shd w:val="solid" w:color="000000" w:fill="000000"/>
                <w:fitText w:val="40" w:id="-694454520"/>
                <w14:textFill>
                  <w14:solidFill>
                    <w14:srgbClr w14:val="000000">
                      <w14:alpha w14:val="100000"/>
                    </w14:srgbClr>
                  </w14:solidFill>
                </w14:textFill>
              </w:rPr>
              <w:t xml:space="preserve">　</w:t>
            </w:r>
            <w:r w:rsidR="00004380">
              <w:rPr>
                <w:rFonts w:cs="Arial"/>
                <w:bCs w:val="0"/>
                <w:i/>
                <w:iCs/>
                <w:color w:val="000000"/>
                <w:sz w:val="18"/>
                <w:szCs w:val="18"/>
                <w:vertAlign w:val="superscript"/>
              </w:rPr>
              <w:t>16</w:t>
            </w:r>
          </w:p>
        </w:tc>
      </w:tr>
      <w:tr w:rsidR="00523D9A" w:rsidRPr="005A7226" w14:paraId="14AD4C94"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12690B6E" w14:textId="77777777" w:rsidR="00523D9A" w:rsidRPr="005A7226" w:rsidRDefault="00523D9A" w:rsidP="005257AC">
            <w:pPr>
              <w:keepNext/>
              <w:keepLines/>
              <w:widowControl w:val="0"/>
              <w:jc w:val="left"/>
              <w:rPr>
                <w:rFonts w:ascii="Arial Narrow" w:hAnsi="Arial Narrow" w:cs="Times New Roman"/>
                <w:b/>
                <w:sz w:val="19"/>
                <w:szCs w:val="19"/>
                <w:lang w:eastAsia="en-GB"/>
              </w:rPr>
            </w:pPr>
            <w:r w:rsidRPr="005A7226">
              <w:rPr>
                <w:rFonts w:ascii="Arial Narrow" w:hAnsi="Arial Narrow" w:cs="Times New Roman"/>
                <w:b/>
                <w:sz w:val="19"/>
                <w:szCs w:val="19"/>
                <w:lang w:eastAsia="en-GB"/>
              </w:rPr>
              <w:t xml:space="preserve">Total fezolinetant scripts (PBS/RPBS) </w:t>
            </w:r>
            <w:r w:rsidRPr="005A7226">
              <w:rPr>
                <w:rFonts w:ascii="Arial Narrow" w:hAnsi="Arial Narrow" w:cs="Times New Roman"/>
                <w:b/>
                <w:sz w:val="19"/>
                <w:szCs w:val="19"/>
                <w:vertAlign w:val="superscript"/>
                <w:lang w:eastAsia="en-GB"/>
              </w:rPr>
              <w:t>c</w:t>
            </w:r>
          </w:p>
        </w:tc>
        <w:tc>
          <w:tcPr>
            <w:tcW w:w="992" w:type="dxa"/>
            <w:tcBorders>
              <w:top w:val="single" w:sz="4" w:space="0" w:color="auto"/>
              <w:left w:val="single" w:sz="4" w:space="0" w:color="auto"/>
              <w:bottom w:val="single" w:sz="4" w:space="0" w:color="auto"/>
              <w:right w:val="single" w:sz="4" w:space="0" w:color="auto"/>
            </w:tcBorders>
          </w:tcPr>
          <w:p w14:paraId="62E827FE" w14:textId="39221ED2"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29"/>
                <w:sz w:val="18"/>
                <w:szCs w:val="18"/>
                <w:shd w:val="solid" w:color="000000" w:fill="000000"/>
                <w:fitText w:val="120" w:id="-694454519"/>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9"/>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9"/>
                <w14:textFill>
                  <w14:solidFill>
                    <w14:srgbClr w14:val="000000">
                      <w14:alpha w14:val="100000"/>
                    </w14:srgbClr>
                  </w14:solidFill>
                </w14:textFill>
              </w:rPr>
              <w:t xml:space="preserve">　</w:t>
            </w:r>
            <w:r w:rsidR="00546938" w:rsidRPr="00546938">
              <w:rPr>
                <w:b/>
                <w:bCs w:val="0"/>
                <w:sz w:val="18"/>
                <w:szCs w:val="18"/>
                <w:vertAlign w:val="superscript"/>
              </w:rPr>
              <w:t>11</w:t>
            </w:r>
          </w:p>
        </w:tc>
        <w:tc>
          <w:tcPr>
            <w:tcW w:w="992" w:type="dxa"/>
            <w:tcBorders>
              <w:top w:val="single" w:sz="4" w:space="0" w:color="auto"/>
              <w:left w:val="single" w:sz="4" w:space="0" w:color="auto"/>
              <w:bottom w:val="single" w:sz="4" w:space="0" w:color="auto"/>
              <w:right w:val="single" w:sz="4" w:space="0" w:color="auto"/>
            </w:tcBorders>
          </w:tcPr>
          <w:p w14:paraId="7F531B7A" w14:textId="36F3133C"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29"/>
                <w:sz w:val="18"/>
                <w:szCs w:val="18"/>
                <w:shd w:val="solid" w:color="000000" w:fill="000000"/>
                <w:fitText w:val="120" w:id="-694454518"/>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8"/>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8"/>
                <w14:textFill>
                  <w14:solidFill>
                    <w14:srgbClr w14:val="000000">
                      <w14:alpha w14:val="100000"/>
                    </w14:srgbClr>
                  </w14:solidFill>
                </w14:textFill>
              </w:rPr>
              <w:t xml:space="preserve">　</w:t>
            </w:r>
            <w:r w:rsidR="00D77DFA" w:rsidRPr="00B6338F">
              <w:rPr>
                <w:sz w:val="18"/>
                <w:szCs w:val="18"/>
                <w:vertAlign w:val="superscript"/>
              </w:rPr>
              <w:t>13</w:t>
            </w:r>
          </w:p>
        </w:tc>
        <w:tc>
          <w:tcPr>
            <w:tcW w:w="993" w:type="dxa"/>
            <w:tcBorders>
              <w:top w:val="single" w:sz="4" w:space="0" w:color="auto"/>
              <w:left w:val="single" w:sz="4" w:space="0" w:color="auto"/>
              <w:bottom w:val="single" w:sz="4" w:space="0" w:color="auto"/>
              <w:right w:val="single" w:sz="4" w:space="0" w:color="auto"/>
            </w:tcBorders>
          </w:tcPr>
          <w:p w14:paraId="32522037" w14:textId="27A56AAB"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29"/>
                <w:sz w:val="18"/>
                <w:szCs w:val="18"/>
                <w:shd w:val="solid" w:color="000000" w:fill="000000"/>
                <w:fitText w:val="120" w:id="-694454517"/>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7"/>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7"/>
                <w14:textFill>
                  <w14:solidFill>
                    <w14:srgbClr w14:val="000000">
                      <w14:alpha w14:val="100000"/>
                    </w14:srgbClr>
                  </w14:solidFill>
                </w14:textFill>
              </w:rPr>
              <w:t xml:space="preserve">　</w:t>
            </w:r>
            <w:r w:rsidR="00D77DFA"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13AAB26D" w14:textId="4F8A9068"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29"/>
                <w:sz w:val="18"/>
                <w:szCs w:val="18"/>
                <w:shd w:val="solid" w:color="000000" w:fill="000000"/>
                <w:fitText w:val="120" w:id="-694454516"/>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6"/>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6"/>
                <w14:textFill>
                  <w14:solidFill>
                    <w14:srgbClr w14:val="000000">
                      <w14:alpha w14:val="100000"/>
                    </w14:srgbClr>
                  </w14:solidFill>
                </w14:textFill>
              </w:rPr>
              <w:t xml:space="preserve">　</w:t>
            </w:r>
            <w:r w:rsidR="00D77DFA"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168BCE46" w14:textId="255EA84C"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29"/>
                <w:sz w:val="18"/>
                <w:szCs w:val="18"/>
                <w:shd w:val="solid" w:color="000000" w:fill="000000"/>
                <w:fitText w:val="120" w:id="-694454515"/>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5"/>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5"/>
                <w14:textFill>
                  <w14:solidFill>
                    <w14:srgbClr w14:val="000000">
                      <w14:alpha w14:val="100000"/>
                    </w14:srgbClr>
                  </w14:solidFill>
                </w14:textFill>
              </w:rPr>
              <w:t xml:space="preserve">　</w:t>
            </w:r>
            <w:r w:rsidR="00D77DFA"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0C7522A2" w14:textId="71E4EEB9"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29"/>
                <w:sz w:val="18"/>
                <w:szCs w:val="18"/>
                <w:shd w:val="solid" w:color="000000" w:fill="000000"/>
                <w:fitText w:val="120" w:id="-694454514"/>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4"/>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4"/>
                <w14:textFill>
                  <w14:solidFill>
                    <w14:srgbClr w14:val="000000">
                      <w14:alpha w14:val="100000"/>
                    </w14:srgbClr>
                  </w14:solidFill>
                </w14:textFill>
              </w:rPr>
              <w:t xml:space="preserve">　</w:t>
            </w:r>
            <w:r w:rsidR="00D77DFA" w:rsidRPr="00B6338F">
              <w:rPr>
                <w:sz w:val="18"/>
                <w:szCs w:val="18"/>
                <w:vertAlign w:val="superscript"/>
              </w:rPr>
              <w:t>13</w:t>
            </w:r>
          </w:p>
        </w:tc>
        <w:tc>
          <w:tcPr>
            <w:tcW w:w="1084" w:type="dxa"/>
            <w:tcBorders>
              <w:top w:val="single" w:sz="4" w:space="0" w:color="auto"/>
              <w:left w:val="single" w:sz="4" w:space="0" w:color="auto"/>
              <w:bottom w:val="single" w:sz="4" w:space="0" w:color="auto"/>
              <w:right w:val="single" w:sz="4" w:space="0" w:color="auto"/>
            </w:tcBorders>
          </w:tcPr>
          <w:p w14:paraId="04BE541B" w14:textId="01A16BC5" w:rsidR="00523D9A" w:rsidRPr="00B847DA" w:rsidRDefault="00CF6E6B" w:rsidP="005257AC">
            <w:pPr>
              <w:pStyle w:val="TableText0"/>
              <w:keepLines/>
              <w:jc w:val="center"/>
              <w:rPr>
                <w:rFonts w:cs="Arial"/>
                <w:b/>
                <w:bCs w:val="0"/>
                <w:color w:val="000000"/>
                <w:sz w:val="18"/>
                <w:szCs w:val="18"/>
                <w:highlight w:val="darkGray"/>
              </w:rPr>
            </w:pPr>
            <w:r w:rsidRPr="00CF6E6B">
              <w:rPr>
                <w:rFonts w:cs="Arial" w:hint="eastAsia"/>
                <w:b/>
                <w:bCs w:val="0"/>
                <w:color w:val="000000"/>
                <w:w w:val="17"/>
                <w:sz w:val="18"/>
                <w:szCs w:val="18"/>
                <w:shd w:val="solid" w:color="000000" w:fill="000000"/>
                <w:fitText w:val="70" w:id="-694454513"/>
                <w14:textFill>
                  <w14:solidFill>
                    <w14:srgbClr w14:val="000000">
                      <w14:alpha w14:val="100000"/>
                    </w14:srgbClr>
                  </w14:solidFill>
                </w14:textFill>
              </w:rPr>
              <w:t xml:space="preserve">　</w:t>
            </w:r>
            <w:r w:rsidRPr="00CF6E6B">
              <w:rPr>
                <w:rFonts w:cs="Arial"/>
                <w:b/>
                <w:bCs w:val="0"/>
                <w:color w:val="000000"/>
                <w:w w:val="17"/>
                <w:sz w:val="18"/>
                <w:szCs w:val="18"/>
                <w:shd w:val="solid" w:color="000000" w:fill="000000"/>
                <w:fitText w:val="70" w:id="-694454513"/>
                <w14:textFill>
                  <w14:solidFill>
                    <w14:srgbClr w14:val="000000">
                      <w14:alpha w14:val="100000"/>
                    </w14:srgbClr>
                  </w14:solidFill>
                </w14:textFill>
              </w:rPr>
              <w:t>|</w:t>
            </w:r>
            <w:r w:rsidRPr="00CF6E6B">
              <w:rPr>
                <w:rFonts w:cs="Arial" w:hint="eastAsia"/>
                <w:b/>
                <w:bCs w:val="0"/>
                <w:color w:val="000000"/>
                <w:spacing w:val="3"/>
                <w:w w:val="17"/>
                <w:sz w:val="18"/>
                <w:szCs w:val="18"/>
                <w:shd w:val="solid" w:color="000000" w:fill="000000"/>
                <w:fitText w:val="70" w:id="-694454513"/>
                <w14:textFill>
                  <w14:solidFill>
                    <w14:srgbClr w14:val="000000">
                      <w14:alpha w14:val="100000"/>
                    </w14:srgbClr>
                  </w14:solidFill>
                </w14:textFill>
              </w:rPr>
              <w:t xml:space="preserve">　</w:t>
            </w:r>
            <w:r w:rsidR="007E7FF7" w:rsidRPr="00D301A4">
              <w:rPr>
                <w:rFonts w:cs="Arial"/>
                <w:bCs w:val="0"/>
                <w:i/>
                <w:iCs/>
                <w:color w:val="000000"/>
                <w:sz w:val="18"/>
                <w:szCs w:val="18"/>
                <w:vertAlign w:val="superscript"/>
              </w:rPr>
              <w:t>14</w:t>
            </w:r>
          </w:p>
        </w:tc>
      </w:tr>
      <w:tr w:rsidR="00523D9A" w:rsidRPr="005A7226" w14:paraId="21059246"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575F8927" w14:textId="77777777" w:rsidR="00523D9A" w:rsidRPr="005A7226" w:rsidRDefault="00523D9A" w:rsidP="005257AC">
            <w:pPr>
              <w:keepNext/>
              <w:keepLines/>
              <w:widowControl w:val="0"/>
              <w:jc w:val="left"/>
              <w:rPr>
                <w:rFonts w:ascii="Arial Narrow" w:hAnsi="Arial Narrow" w:cs="Times New Roman"/>
                <w:bCs/>
                <w:sz w:val="19"/>
                <w:szCs w:val="19"/>
                <w:lang w:eastAsia="en-GB"/>
              </w:rPr>
            </w:pPr>
            <w:r w:rsidRPr="005A7226">
              <w:rPr>
                <w:rFonts w:ascii="Arial Narrow" w:hAnsi="Arial Narrow" w:cs="Times New Roman"/>
                <w:bCs/>
                <w:sz w:val="19"/>
                <w:szCs w:val="19"/>
                <w:lang w:eastAsia="en-GB"/>
              </w:rPr>
              <w:t xml:space="preserve">Net cost of fezolinetant to PBS </w:t>
            </w:r>
          </w:p>
        </w:tc>
        <w:tc>
          <w:tcPr>
            <w:tcW w:w="992" w:type="dxa"/>
            <w:tcBorders>
              <w:top w:val="single" w:sz="4" w:space="0" w:color="auto"/>
              <w:left w:val="single" w:sz="4" w:space="0" w:color="auto"/>
              <w:bottom w:val="single" w:sz="4" w:space="0" w:color="auto"/>
              <w:right w:val="single" w:sz="4" w:space="0" w:color="auto"/>
            </w:tcBorders>
          </w:tcPr>
          <w:p w14:paraId="071D90A3" w14:textId="39981934"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12"/>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2"/>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2"/>
                <w14:textFill>
                  <w14:solidFill>
                    <w14:srgbClr w14:val="000000">
                      <w14:alpha w14:val="100000"/>
                    </w14:srgbClr>
                  </w14:solidFill>
                </w14:textFill>
              </w:rPr>
              <w:t xml:space="preserve">　</w:t>
            </w:r>
            <w:r w:rsidR="00EE2466" w:rsidRPr="00EE2466">
              <w:rPr>
                <w:sz w:val="18"/>
                <w:szCs w:val="18"/>
                <w:vertAlign w:val="superscript"/>
              </w:rPr>
              <w:t>17</w:t>
            </w:r>
          </w:p>
        </w:tc>
        <w:tc>
          <w:tcPr>
            <w:tcW w:w="992" w:type="dxa"/>
            <w:tcBorders>
              <w:top w:val="single" w:sz="4" w:space="0" w:color="auto"/>
              <w:left w:val="single" w:sz="4" w:space="0" w:color="auto"/>
              <w:bottom w:val="single" w:sz="4" w:space="0" w:color="auto"/>
              <w:right w:val="single" w:sz="4" w:space="0" w:color="auto"/>
            </w:tcBorders>
          </w:tcPr>
          <w:p w14:paraId="14426D2C" w14:textId="3CB75149"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28"/>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8"/>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8"/>
                <w14:textFill>
                  <w14:solidFill>
                    <w14:srgbClr w14:val="000000">
                      <w14:alpha w14:val="100000"/>
                    </w14:srgbClr>
                  </w14:solidFill>
                </w14:textFill>
              </w:rPr>
              <w:t xml:space="preserve">　</w:t>
            </w:r>
            <w:r w:rsidR="00F67DDB" w:rsidRPr="00F67DDB">
              <w:rPr>
                <w:sz w:val="18"/>
                <w:szCs w:val="18"/>
                <w:vertAlign w:val="superscript"/>
              </w:rPr>
              <w:t>18</w:t>
            </w:r>
          </w:p>
        </w:tc>
        <w:tc>
          <w:tcPr>
            <w:tcW w:w="993" w:type="dxa"/>
            <w:tcBorders>
              <w:top w:val="single" w:sz="4" w:space="0" w:color="auto"/>
              <w:left w:val="single" w:sz="4" w:space="0" w:color="auto"/>
              <w:bottom w:val="single" w:sz="4" w:space="0" w:color="auto"/>
              <w:right w:val="single" w:sz="4" w:space="0" w:color="auto"/>
            </w:tcBorders>
          </w:tcPr>
          <w:p w14:paraId="5362EE0D" w14:textId="77776FD4" w:rsidR="00523D9A" w:rsidRPr="00B847DA" w:rsidRDefault="00CF6E6B" w:rsidP="005257AC">
            <w:pPr>
              <w:pStyle w:val="TableText0"/>
              <w:keepLines/>
              <w:jc w:val="center"/>
              <w:rPr>
                <w:b/>
                <w:bCs w:val="0"/>
                <w:sz w:val="18"/>
                <w:szCs w:val="18"/>
                <w:highlight w:val="darkGray"/>
              </w:rPr>
            </w:pPr>
            <w:r w:rsidRPr="00CF6E6B">
              <w:rPr>
                <w:rFonts w:hint="eastAsia"/>
                <w:color w:val="000000"/>
                <w:w w:val="17"/>
                <w:sz w:val="18"/>
                <w:szCs w:val="18"/>
                <w:shd w:val="solid" w:color="000000" w:fill="000000"/>
                <w:fitText w:val="70" w:id="-694454527"/>
                <w14:textFill>
                  <w14:solidFill>
                    <w14:srgbClr w14:val="000000">
                      <w14:alpha w14:val="100000"/>
                    </w14:srgbClr>
                  </w14:solidFill>
                </w14:textFill>
              </w:rPr>
              <w:t xml:space="preserve">　</w:t>
            </w:r>
            <w:r w:rsidRPr="00CF6E6B">
              <w:rPr>
                <w:color w:val="000000"/>
                <w:w w:val="17"/>
                <w:sz w:val="18"/>
                <w:szCs w:val="18"/>
                <w:shd w:val="solid" w:color="000000" w:fill="000000"/>
                <w:fitText w:val="70" w:id="-694454527"/>
                <w14:textFill>
                  <w14:solidFill>
                    <w14:srgbClr w14:val="000000">
                      <w14:alpha w14:val="100000"/>
                    </w14:srgbClr>
                  </w14:solidFill>
                </w14:textFill>
              </w:rPr>
              <w:t>|</w:t>
            </w:r>
            <w:r w:rsidRPr="00CF6E6B">
              <w:rPr>
                <w:rFonts w:hint="eastAsia"/>
                <w:color w:val="000000"/>
                <w:spacing w:val="4"/>
                <w:w w:val="17"/>
                <w:sz w:val="18"/>
                <w:szCs w:val="18"/>
                <w:shd w:val="solid" w:color="000000" w:fill="000000"/>
                <w:fitText w:val="70" w:id="-694454527"/>
                <w14:textFill>
                  <w14:solidFill>
                    <w14:srgbClr w14:val="000000">
                      <w14:alpha w14:val="100000"/>
                    </w14:srgbClr>
                  </w14:solidFill>
                </w14:textFill>
              </w:rPr>
              <w:t xml:space="preserve">　</w:t>
            </w:r>
            <w:r w:rsidR="00B05BE7"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tcPr>
          <w:p w14:paraId="155343FD" w14:textId="426ED5B6"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26"/>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6"/>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6"/>
                <w14:textFill>
                  <w14:solidFill>
                    <w14:srgbClr w14:val="000000">
                      <w14:alpha w14:val="100000"/>
                    </w14:srgbClr>
                  </w14:solidFill>
                </w14:textFill>
              </w:rPr>
              <w:t xml:space="preserve">　</w:t>
            </w:r>
            <w:r w:rsidR="00B05BE7"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tcPr>
          <w:p w14:paraId="3663FD87" w14:textId="4D08F2AA"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25"/>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5"/>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5"/>
                <w14:textFill>
                  <w14:solidFill>
                    <w14:srgbClr w14:val="000000">
                      <w14:alpha w14:val="100000"/>
                    </w14:srgbClr>
                  </w14:solidFill>
                </w14:textFill>
              </w:rPr>
              <w:t xml:space="preserve">　</w:t>
            </w:r>
            <w:r w:rsidR="00B05BE7"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tcPr>
          <w:p w14:paraId="3501FBDC" w14:textId="41B3D81C"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24"/>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4"/>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4"/>
                <w14:textFill>
                  <w14:solidFill>
                    <w14:srgbClr w14:val="000000">
                      <w14:alpha w14:val="100000"/>
                    </w14:srgbClr>
                  </w14:solidFill>
                </w14:textFill>
              </w:rPr>
              <w:t xml:space="preserve">　</w:t>
            </w:r>
            <w:r w:rsidR="008212AA" w:rsidRPr="00F67DDB">
              <w:rPr>
                <w:sz w:val="18"/>
                <w:szCs w:val="18"/>
                <w:vertAlign w:val="superscript"/>
              </w:rPr>
              <w:t>18</w:t>
            </w:r>
          </w:p>
        </w:tc>
        <w:tc>
          <w:tcPr>
            <w:tcW w:w="1084" w:type="dxa"/>
            <w:tcBorders>
              <w:top w:val="single" w:sz="4" w:space="0" w:color="auto"/>
              <w:left w:val="single" w:sz="4" w:space="0" w:color="auto"/>
              <w:bottom w:val="single" w:sz="4" w:space="0" w:color="auto"/>
              <w:right w:val="single" w:sz="4" w:space="0" w:color="auto"/>
            </w:tcBorders>
          </w:tcPr>
          <w:p w14:paraId="2827FC44" w14:textId="52CF773F"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color w:val="000000"/>
                <w:w w:val="15"/>
                <w:sz w:val="18"/>
                <w:szCs w:val="18"/>
                <w:shd w:val="solid" w:color="000000" w:fill="000000"/>
                <w:fitText w:val="40" w:id="-694454523"/>
                <w14:textFill>
                  <w14:solidFill>
                    <w14:srgbClr w14:val="000000">
                      <w14:alpha w14:val="100000"/>
                    </w14:srgbClr>
                  </w14:solidFill>
                </w14:textFill>
              </w:rPr>
              <w:t xml:space="preserve">　</w:t>
            </w:r>
            <w:r w:rsidRPr="00CF6E6B">
              <w:rPr>
                <w:color w:val="000000"/>
                <w:w w:val="15"/>
                <w:sz w:val="18"/>
                <w:szCs w:val="18"/>
                <w:shd w:val="solid" w:color="000000" w:fill="000000"/>
                <w:fitText w:val="40" w:id="-694454523"/>
                <w14:textFill>
                  <w14:solidFill>
                    <w14:srgbClr w14:val="000000">
                      <w14:alpha w14:val="100000"/>
                    </w14:srgbClr>
                  </w14:solidFill>
                </w14:textFill>
              </w:rPr>
              <w:t>|</w:t>
            </w:r>
            <w:r w:rsidRPr="00CF6E6B">
              <w:rPr>
                <w:rFonts w:hint="eastAsia"/>
                <w:color w:val="000000"/>
                <w:spacing w:val="-19"/>
                <w:w w:val="15"/>
                <w:sz w:val="18"/>
                <w:szCs w:val="18"/>
                <w:shd w:val="solid" w:color="000000" w:fill="000000"/>
                <w:fitText w:val="40" w:id="-694454523"/>
                <w14:textFill>
                  <w14:solidFill>
                    <w14:srgbClr w14:val="000000">
                      <w14:alpha w14:val="100000"/>
                    </w14:srgbClr>
                  </w14:solidFill>
                </w14:textFill>
              </w:rPr>
              <w:t xml:space="preserve">　</w:t>
            </w:r>
            <w:r w:rsidR="00FB5CD3" w:rsidRPr="00FB5CD3">
              <w:rPr>
                <w:sz w:val="18"/>
                <w:szCs w:val="18"/>
                <w:vertAlign w:val="superscript"/>
              </w:rPr>
              <w:t>19</w:t>
            </w:r>
          </w:p>
        </w:tc>
      </w:tr>
      <w:tr w:rsidR="00523D9A" w:rsidRPr="005A7226" w14:paraId="79D03EA7"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6DC94B89" w14:textId="77777777" w:rsidR="00523D9A" w:rsidRPr="005A7226" w:rsidRDefault="00523D9A" w:rsidP="005257AC">
            <w:pPr>
              <w:keepNext/>
              <w:keepLines/>
              <w:widowControl w:val="0"/>
              <w:jc w:val="left"/>
              <w:rPr>
                <w:rFonts w:ascii="Arial Narrow" w:hAnsi="Arial Narrow" w:cs="Times New Roman"/>
                <w:bCs/>
                <w:sz w:val="19"/>
                <w:szCs w:val="19"/>
                <w:lang w:eastAsia="en-GB"/>
              </w:rPr>
            </w:pPr>
            <w:r w:rsidRPr="005A7226">
              <w:rPr>
                <w:rFonts w:ascii="Arial Narrow" w:hAnsi="Arial Narrow" w:cs="Times New Roman"/>
                <w:bCs/>
                <w:sz w:val="19"/>
                <w:szCs w:val="19"/>
                <w:lang w:eastAsia="en-GB"/>
              </w:rPr>
              <w:t>Net cost of fezolinetant to RPBS</w:t>
            </w:r>
          </w:p>
        </w:tc>
        <w:tc>
          <w:tcPr>
            <w:tcW w:w="992" w:type="dxa"/>
            <w:tcBorders>
              <w:top w:val="single" w:sz="4" w:space="0" w:color="auto"/>
              <w:left w:val="single" w:sz="4" w:space="0" w:color="auto"/>
              <w:bottom w:val="single" w:sz="4" w:space="0" w:color="auto"/>
              <w:right w:val="single" w:sz="4" w:space="0" w:color="auto"/>
            </w:tcBorders>
          </w:tcPr>
          <w:p w14:paraId="5E63CB3E" w14:textId="1709E089"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22"/>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2"/>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2"/>
                <w14:textFill>
                  <w14:solidFill>
                    <w14:srgbClr w14:val="000000">
                      <w14:alpha w14:val="100000"/>
                    </w14:srgbClr>
                  </w14:solidFill>
                </w14:textFill>
              </w:rPr>
              <w:t xml:space="preserve">　</w:t>
            </w:r>
            <w:r w:rsidR="009D437B"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tcPr>
          <w:p w14:paraId="3578E8C2" w14:textId="5FC38CB2"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21"/>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21"/>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21"/>
                <w14:textFill>
                  <w14:solidFill>
                    <w14:srgbClr w14:val="000000">
                      <w14:alpha w14:val="100000"/>
                    </w14:srgbClr>
                  </w14:solidFill>
                </w14:textFill>
              </w:rPr>
              <w:t xml:space="preserve">　</w:t>
            </w:r>
            <w:r w:rsidR="0023571C" w:rsidRPr="009D437B">
              <w:rPr>
                <w:sz w:val="18"/>
                <w:szCs w:val="18"/>
                <w:vertAlign w:val="superscript"/>
              </w:rPr>
              <w:t>20</w:t>
            </w:r>
          </w:p>
        </w:tc>
        <w:tc>
          <w:tcPr>
            <w:tcW w:w="993" w:type="dxa"/>
            <w:tcBorders>
              <w:top w:val="single" w:sz="4" w:space="0" w:color="auto"/>
              <w:left w:val="single" w:sz="4" w:space="0" w:color="auto"/>
              <w:bottom w:val="single" w:sz="4" w:space="0" w:color="auto"/>
              <w:right w:val="single" w:sz="4" w:space="0" w:color="auto"/>
            </w:tcBorders>
          </w:tcPr>
          <w:p w14:paraId="7A862F24" w14:textId="72E89C13" w:rsidR="00523D9A" w:rsidRPr="00B847DA" w:rsidRDefault="00CF6E6B" w:rsidP="005257AC">
            <w:pPr>
              <w:pStyle w:val="TableText0"/>
              <w:keepLines/>
              <w:jc w:val="center"/>
              <w:rPr>
                <w:b/>
                <w:bCs w:val="0"/>
                <w:sz w:val="18"/>
                <w:szCs w:val="18"/>
                <w:highlight w:val="darkGray"/>
              </w:rPr>
            </w:pPr>
            <w:r w:rsidRPr="00CF6E6B">
              <w:rPr>
                <w:rFonts w:hint="eastAsia"/>
                <w:color w:val="000000"/>
                <w:w w:val="17"/>
                <w:sz w:val="18"/>
                <w:szCs w:val="18"/>
                <w:shd w:val="solid" w:color="000000" w:fill="000000"/>
                <w:fitText w:val="70" w:id="-694454520"/>
                <w14:textFill>
                  <w14:solidFill>
                    <w14:srgbClr w14:val="000000">
                      <w14:alpha w14:val="100000"/>
                    </w14:srgbClr>
                  </w14:solidFill>
                </w14:textFill>
              </w:rPr>
              <w:t xml:space="preserve">　</w:t>
            </w:r>
            <w:r w:rsidRPr="00CF6E6B">
              <w:rPr>
                <w:color w:val="000000"/>
                <w:w w:val="17"/>
                <w:sz w:val="18"/>
                <w:szCs w:val="18"/>
                <w:shd w:val="solid" w:color="000000" w:fill="000000"/>
                <w:fitText w:val="70" w:id="-694454520"/>
                <w14:textFill>
                  <w14:solidFill>
                    <w14:srgbClr w14:val="000000">
                      <w14:alpha w14:val="100000"/>
                    </w14:srgbClr>
                  </w14:solidFill>
                </w14:textFill>
              </w:rPr>
              <w:t>|</w:t>
            </w:r>
            <w:r w:rsidRPr="00CF6E6B">
              <w:rPr>
                <w:rFonts w:hint="eastAsia"/>
                <w:color w:val="000000"/>
                <w:spacing w:val="4"/>
                <w:w w:val="17"/>
                <w:sz w:val="18"/>
                <w:szCs w:val="18"/>
                <w:shd w:val="solid" w:color="000000" w:fill="000000"/>
                <w:fitText w:val="70" w:id="-694454520"/>
                <w14:textFill>
                  <w14:solidFill>
                    <w14:srgbClr w14:val="000000">
                      <w14:alpha w14:val="100000"/>
                    </w14:srgbClr>
                  </w14:solidFill>
                </w14:textFill>
              </w:rPr>
              <w:t xml:space="preserve">　</w:t>
            </w:r>
            <w:r w:rsidR="0023571C"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tcPr>
          <w:p w14:paraId="08CB8206" w14:textId="1DCF5B4E"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19"/>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9"/>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9"/>
                <w14:textFill>
                  <w14:solidFill>
                    <w14:srgbClr w14:val="000000">
                      <w14:alpha w14:val="100000"/>
                    </w14:srgbClr>
                  </w14:solidFill>
                </w14:textFill>
              </w:rPr>
              <w:t xml:space="preserve">　</w:t>
            </w:r>
            <w:r w:rsidR="0023571C"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tcPr>
          <w:p w14:paraId="0247E318" w14:textId="60CF51B6"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18"/>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8"/>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8"/>
                <w14:textFill>
                  <w14:solidFill>
                    <w14:srgbClr w14:val="000000">
                      <w14:alpha w14:val="100000"/>
                    </w14:srgbClr>
                  </w14:solidFill>
                </w14:textFill>
              </w:rPr>
              <w:t xml:space="preserve">　</w:t>
            </w:r>
            <w:r w:rsidR="0023571C"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tcPr>
          <w:p w14:paraId="1ADFCB11" w14:textId="784EEDE9" w:rsidR="00523D9A" w:rsidRPr="00B847DA" w:rsidRDefault="00CF6E6B" w:rsidP="005257AC">
            <w:pPr>
              <w:pStyle w:val="TableText0"/>
              <w:keepLines/>
              <w:jc w:val="center"/>
              <w:rPr>
                <w:b/>
                <w:bCs w:val="0"/>
                <w:sz w:val="18"/>
                <w:szCs w:val="18"/>
                <w:highlight w:val="darkGray"/>
              </w:rPr>
            </w:pPr>
            <w:r w:rsidRPr="00CF6E6B">
              <w:rPr>
                <w:rFonts w:hint="eastAsia"/>
                <w:color w:val="000000"/>
                <w:w w:val="20"/>
                <w:sz w:val="18"/>
                <w:szCs w:val="18"/>
                <w:shd w:val="solid" w:color="000000" w:fill="000000"/>
                <w:fitText w:val="80" w:id="-694454517"/>
                <w14:textFill>
                  <w14:solidFill>
                    <w14:srgbClr w14:val="000000">
                      <w14:alpha w14:val="100000"/>
                    </w14:srgbClr>
                  </w14:solidFill>
                </w14:textFill>
              </w:rPr>
              <w:t xml:space="preserve">　</w:t>
            </w:r>
            <w:r w:rsidRPr="00CF6E6B">
              <w:rPr>
                <w:color w:val="000000"/>
                <w:w w:val="20"/>
                <w:sz w:val="18"/>
                <w:szCs w:val="18"/>
                <w:shd w:val="solid" w:color="000000" w:fill="000000"/>
                <w:fitText w:val="80" w:id="-694454517"/>
                <w14:textFill>
                  <w14:solidFill>
                    <w14:srgbClr w14:val="000000">
                      <w14:alpha w14:val="100000"/>
                    </w14:srgbClr>
                  </w14:solidFill>
                </w14:textFill>
              </w:rPr>
              <w:t>|</w:t>
            </w:r>
            <w:r w:rsidRPr="00CF6E6B">
              <w:rPr>
                <w:rFonts w:hint="eastAsia"/>
                <w:color w:val="000000"/>
                <w:spacing w:val="2"/>
                <w:w w:val="20"/>
                <w:sz w:val="18"/>
                <w:szCs w:val="18"/>
                <w:shd w:val="solid" w:color="000000" w:fill="000000"/>
                <w:fitText w:val="80" w:id="-694454517"/>
                <w14:textFill>
                  <w14:solidFill>
                    <w14:srgbClr w14:val="000000">
                      <w14:alpha w14:val="100000"/>
                    </w14:srgbClr>
                  </w14:solidFill>
                </w14:textFill>
              </w:rPr>
              <w:t xml:space="preserve">　</w:t>
            </w:r>
            <w:r w:rsidR="0023571C" w:rsidRPr="009D437B">
              <w:rPr>
                <w:sz w:val="18"/>
                <w:szCs w:val="18"/>
                <w:vertAlign w:val="superscript"/>
              </w:rPr>
              <w:t>20</w:t>
            </w:r>
          </w:p>
        </w:tc>
        <w:tc>
          <w:tcPr>
            <w:tcW w:w="1084" w:type="dxa"/>
            <w:tcBorders>
              <w:top w:val="single" w:sz="4" w:space="0" w:color="auto"/>
              <w:left w:val="single" w:sz="4" w:space="0" w:color="auto"/>
              <w:bottom w:val="single" w:sz="4" w:space="0" w:color="auto"/>
              <w:right w:val="single" w:sz="4" w:space="0" w:color="auto"/>
            </w:tcBorders>
          </w:tcPr>
          <w:p w14:paraId="167DF943" w14:textId="0AE9DCBE"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color w:val="000000"/>
                <w:w w:val="15"/>
                <w:sz w:val="18"/>
                <w:szCs w:val="18"/>
                <w:shd w:val="solid" w:color="000000" w:fill="000000"/>
                <w:fitText w:val="40" w:id="-694454516"/>
                <w14:textFill>
                  <w14:solidFill>
                    <w14:srgbClr w14:val="000000">
                      <w14:alpha w14:val="100000"/>
                    </w14:srgbClr>
                  </w14:solidFill>
                </w14:textFill>
              </w:rPr>
              <w:t xml:space="preserve">　</w:t>
            </w:r>
            <w:r w:rsidRPr="00CF6E6B">
              <w:rPr>
                <w:color w:val="000000"/>
                <w:w w:val="15"/>
                <w:sz w:val="18"/>
                <w:szCs w:val="18"/>
                <w:shd w:val="solid" w:color="000000" w:fill="000000"/>
                <w:fitText w:val="40" w:id="-694454516"/>
                <w14:textFill>
                  <w14:solidFill>
                    <w14:srgbClr w14:val="000000">
                      <w14:alpha w14:val="100000"/>
                    </w14:srgbClr>
                  </w14:solidFill>
                </w14:textFill>
              </w:rPr>
              <w:t>|</w:t>
            </w:r>
            <w:r w:rsidRPr="00CF6E6B">
              <w:rPr>
                <w:rFonts w:hint="eastAsia"/>
                <w:color w:val="000000"/>
                <w:spacing w:val="-19"/>
                <w:w w:val="15"/>
                <w:sz w:val="18"/>
                <w:szCs w:val="18"/>
                <w:shd w:val="solid" w:color="000000" w:fill="000000"/>
                <w:fitText w:val="40" w:id="-694454516"/>
                <w14:textFill>
                  <w14:solidFill>
                    <w14:srgbClr w14:val="000000">
                      <w14:alpha w14:val="100000"/>
                    </w14:srgbClr>
                  </w14:solidFill>
                </w14:textFill>
              </w:rPr>
              <w:t xml:space="preserve">　</w:t>
            </w:r>
            <w:r w:rsidR="0023571C" w:rsidRPr="009D437B">
              <w:rPr>
                <w:sz w:val="18"/>
                <w:szCs w:val="18"/>
                <w:vertAlign w:val="superscript"/>
              </w:rPr>
              <w:t>20</w:t>
            </w:r>
          </w:p>
        </w:tc>
      </w:tr>
      <w:tr w:rsidR="00523D9A" w:rsidRPr="005A7226" w14:paraId="3D566FD8"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4500792A" w14:textId="77777777" w:rsidR="00523D9A" w:rsidRPr="005A7226" w:rsidRDefault="00523D9A" w:rsidP="005257AC">
            <w:pPr>
              <w:keepNext/>
              <w:keepLines/>
              <w:widowControl w:val="0"/>
              <w:jc w:val="left"/>
              <w:rPr>
                <w:rFonts w:ascii="Arial Narrow" w:hAnsi="Arial Narrow" w:cs="Times New Roman"/>
                <w:b/>
                <w:sz w:val="19"/>
                <w:szCs w:val="19"/>
                <w:lang w:eastAsia="en-GB"/>
              </w:rPr>
            </w:pPr>
            <w:r w:rsidRPr="005A7226">
              <w:rPr>
                <w:rFonts w:ascii="Arial Narrow" w:hAnsi="Arial Narrow" w:cs="Times New Roman"/>
                <w:b/>
                <w:sz w:val="19"/>
                <w:szCs w:val="19"/>
                <w:lang w:eastAsia="en-GB"/>
              </w:rPr>
              <w:t>Total net cost of fezolinetant to PBS/RPBS</w:t>
            </w:r>
          </w:p>
        </w:tc>
        <w:tc>
          <w:tcPr>
            <w:tcW w:w="992" w:type="dxa"/>
            <w:tcBorders>
              <w:top w:val="single" w:sz="4" w:space="0" w:color="auto"/>
              <w:left w:val="single" w:sz="4" w:space="0" w:color="auto"/>
              <w:bottom w:val="single" w:sz="4" w:space="0" w:color="auto"/>
              <w:right w:val="single" w:sz="4" w:space="0" w:color="auto"/>
            </w:tcBorders>
          </w:tcPr>
          <w:p w14:paraId="3E351AB2" w14:textId="5FB7FAA4" w:rsidR="00523D9A" w:rsidRPr="00B847DA" w:rsidRDefault="00CF6E6B" w:rsidP="005257AC">
            <w:pPr>
              <w:pStyle w:val="TableText0"/>
              <w:keepLines/>
              <w:jc w:val="center"/>
              <w:rPr>
                <w:b/>
                <w:bCs w:val="0"/>
                <w:sz w:val="18"/>
                <w:szCs w:val="18"/>
                <w:highlight w:val="darkGray"/>
              </w:rPr>
            </w:pPr>
            <w:r w:rsidRPr="00CF6E6B">
              <w:rPr>
                <w:rFonts w:hint="eastAsia"/>
                <w:b/>
                <w:bCs w:val="0"/>
                <w:color w:val="000000"/>
                <w:w w:val="29"/>
                <w:sz w:val="18"/>
                <w:szCs w:val="18"/>
                <w:shd w:val="solid" w:color="000000" w:fill="000000"/>
                <w:fitText w:val="120" w:id="-694454515"/>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5"/>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5"/>
                <w14:textFill>
                  <w14:solidFill>
                    <w14:srgbClr w14:val="000000">
                      <w14:alpha w14:val="100000"/>
                    </w14:srgbClr>
                  </w14:solidFill>
                </w14:textFill>
              </w:rPr>
              <w:t xml:space="preserve">　</w:t>
            </w:r>
            <w:r w:rsidR="00554523" w:rsidRPr="00EE2466">
              <w:rPr>
                <w:sz w:val="18"/>
                <w:szCs w:val="18"/>
                <w:vertAlign w:val="superscript"/>
              </w:rPr>
              <w:t>17</w:t>
            </w:r>
          </w:p>
        </w:tc>
        <w:tc>
          <w:tcPr>
            <w:tcW w:w="992" w:type="dxa"/>
            <w:tcBorders>
              <w:top w:val="single" w:sz="4" w:space="0" w:color="auto"/>
              <w:left w:val="single" w:sz="4" w:space="0" w:color="auto"/>
              <w:bottom w:val="single" w:sz="4" w:space="0" w:color="auto"/>
              <w:right w:val="single" w:sz="4" w:space="0" w:color="auto"/>
            </w:tcBorders>
          </w:tcPr>
          <w:p w14:paraId="164E01B9" w14:textId="79FA2C56" w:rsidR="00523D9A" w:rsidRPr="00B847DA" w:rsidRDefault="00CF6E6B" w:rsidP="005257AC">
            <w:pPr>
              <w:pStyle w:val="TableText0"/>
              <w:keepLines/>
              <w:jc w:val="center"/>
              <w:rPr>
                <w:b/>
                <w:bCs w:val="0"/>
                <w:sz w:val="18"/>
                <w:szCs w:val="18"/>
                <w:highlight w:val="darkGray"/>
              </w:rPr>
            </w:pPr>
            <w:r w:rsidRPr="00CF6E6B">
              <w:rPr>
                <w:rFonts w:hint="eastAsia"/>
                <w:b/>
                <w:bCs w:val="0"/>
                <w:color w:val="000000"/>
                <w:w w:val="29"/>
                <w:sz w:val="18"/>
                <w:szCs w:val="18"/>
                <w:shd w:val="solid" w:color="000000" w:fill="000000"/>
                <w:fitText w:val="120" w:id="-694454514"/>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4"/>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4"/>
                <w14:textFill>
                  <w14:solidFill>
                    <w14:srgbClr w14:val="000000">
                      <w14:alpha w14:val="100000"/>
                    </w14:srgbClr>
                  </w14:solidFill>
                </w14:textFill>
              </w:rPr>
              <w:t xml:space="preserve">　</w:t>
            </w:r>
            <w:r w:rsidR="008212AA" w:rsidRPr="00F67DDB">
              <w:rPr>
                <w:sz w:val="18"/>
                <w:szCs w:val="18"/>
                <w:vertAlign w:val="superscript"/>
              </w:rPr>
              <w:t>18</w:t>
            </w:r>
          </w:p>
        </w:tc>
        <w:tc>
          <w:tcPr>
            <w:tcW w:w="993" w:type="dxa"/>
            <w:tcBorders>
              <w:top w:val="single" w:sz="4" w:space="0" w:color="auto"/>
              <w:left w:val="single" w:sz="4" w:space="0" w:color="auto"/>
              <w:bottom w:val="single" w:sz="4" w:space="0" w:color="auto"/>
              <w:right w:val="single" w:sz="4" w:space="0" w:color="auto"/>
            </w:tcBorders>
          </w:tcPr>
          <w:p w14:paraId="49A4CEA1" w14:textId="31C4B0AE" w:rsidR="00523D9A" w:rsidRPr="00B847DA" w:rsidRDefault="00CF6E6B" w:rsidP="005257AC">
            <w:pPr>
              <w:pStyle w:val="TableText0"/>
              <w:keepLines/>
              <w:jc w:val="center"/>
              <w:rPr>
                <w:b/>
                <w:bCs w:val="0"/>
                <w:sz w:val="18"/>
                <w:szCs w:val="18"/>
                <w:highlight w:val="darkGray"/>
              </w:rPr>
            </w:pPr>
            <w:r w:rsidRPr="00CF6E6B">
              <w:rPr>
                <w:rFonts w:hint="eastAsia"/>
                <w:b/>
                <w:bCs w:val="0"/>
                <w:color w:val="000000"/>
                <w:w w:val="29"/>
                <w:sz w:val="18"/>
                <w:szCs w:val="18"/>
                <w:shd w:val="solid" w:color="000000" w:fill="000000"/>
                <w:fitText w:val="120" w:id="-694454513"/>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3"/>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3"/>
                <w14:textFill>
                  <w14:solidFill>
                    <w14:srgbClr w14:val="000000">
                      <w14:alpha w14:val="100000"/>
                    </w14:srgbClr>
                  </w14:solidFill>
                </w14:textFill>
              </w:rPr>
              <w:t xml:space="preserve">　</w:t>
            </w:r>
            <w:r w:rsidR="008212AA"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tcPr>
          <w:p w14:paraId="5297C7B6" w14:textId="365CDCE0" w:rsidR="00523D9A" w:rsidRPr="00B847DA" w:rsidRDefault="00CF6E6B" w:rsidP="005257AC">
            <w:pPr>
              <w:pStyle w:val="TableText0"/>
              <w:keepLines/>
              <w:jc w:val="center"/>
              <w:rPr>
                <w:b/>
                <w:bCs w:val="0"/>
                <w:sz w:val="18"/>
                <w:szCs w:val="18"/>
                <w:highlight w:val="darkGray"/>
              </w:rPr>
            </w:pPr>
            <w:r w:rsidRPr="00CF6E6B">
              <w:rPr>
                <w:rFonts w:hint="eastAsia"/>
                <w:b/>
                <w:bCs w:val="0"/>
                <w:color w:val="000000"/>
                <w:w w:val="29"/>
                <w:sz w:val="18"/>
                <w:szCs w:val="18"/>
                <w:shd w:val="solid" w:color="000000" w:fill="000000"/>
                <w:fitText w:val="120" w:id="-694454512"/>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12"/>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12"/>
                <w14:textFill>
                  <w14:solidFill>
                    <w14:srgbClr w14:val="000000">
                      <w14:alpha w14:val="100000"/>
                    </w14:srgbClr>
                  </w14:solidFill>
                </w14:textFill>
              </w:rPr>
              <w:t xml:space="preserve">　</w:t>
            </w:r>
            <w:r w:rsidR="008212AA"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tcPr>
          <w:p w14:paraId="23D56710" w14:textId="28EDACB1" w:rsidR="00523D9A" w:rsidRPr="00B847DA" w:rsidRDefault="00CF6E6B" w:rsidP="005257AC">
            <w:pPr>
              <w:pStyle w:val="TableText0"/>
              <w:keepLines/>
              <w:jc w:val="center"/>
              <w:rPr>
                <w:b/>
                <w:bCs w:val="0"/>
                <w:sz w:val="18"/>
                <w:szCs w:val="18"/>
                <w:highlight w:val="darkGray"/>
              </w:rPr>
            </w:pPr>
            <w:r w:rsidRPr="00CF6E6B">
              <w:rPr>
                <w:rFonts w:hint="eastAsia"/>
                <w:b/>
                <w:bCs w:val="0"/>
                <w:color w:val="000000"/>
                <w:w w:val="29"/>
                <w:sz w:val="18"/>
                <w:szCs w:val="18"/>
                <w:shd w:val="solid" w:color="000000" w:fill="000000"/>
                <w:fitText w:val="120" w:id="-694454528"/>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28"/>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28"/>
                <w14:textFill>
                  <w14:solidFill>
                    <w14:srgbClr w14:val="000000">
                      <w14:alpha w14:val="100000"/>
                    </w14:srgbClr>
                  </w14:solidFill>
                </w14:textFill>
              </w:rPr>
              <w:t xml:space="preserve">　</w:t>
            </w:r>
            <w:r w:rsidR="008212AA"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tcPr>
          <w:p w14:paraId="4CDF9166" w14:textId="2D2545E3" w:rsidR="00523D9A" w:rsidRPr="00B847DA" w:rsidRDefault="00CF6E6B" w:rsidP="005257AC">
            <w:pPr>
              <w:pStyle w:val="TableText0"/>
              <w:keepLines/>
              <w:jc w:val="center"/>
              <w:rPr>
                <w:b/>
                <w:bCs w:val="0"/>
                <w:sz w:val="18"/>
                <w:szCs w:val="18"/>
                <w:highlight w:val="darkGray"/>
              </w:rPr>
            </w:pPr>
            <w:r w:rsidRPr="00CF6E6B">
              <w:rPr>
                <w:rFonts w:hint="eastAsia"/>
                <w:b/>
                <w:bCs w:val="0"/>
                <w:color w:val="000000"/>
                <w:w w:val="29"/>
                <w:sz w:val="18"/>
                <w:szCs w:val="18"/>
                <w:shd w:val="solid" w:color="000000" w:fill="000000"/>
                <w:fitText w:val="120" w:id="-694454527"/>
                <w14:textFill>
                  <w14:solidFill>
                    <w14:srgbClr w14:val="000000">
                      <w14:alpha w14:val="100000"/>
                    </w14:srgbClr>
                  </w14:solidFill>
                </w14:textFill>
              </w:rPr>
              <w:t xml:space="preserve">　</w:t>
            </w:r>
            <w:r w:rsidRPr="00CF6E6B">
              <w:rPr>
                <w:b/>
                <w:bCs w:val="0"/>
                <w:color w:val="000000"/>
                <w:w w:val="29"/>
                <w:sz w:val="18"/>
                <w:szCs w:val="18"/>
                <w:shd w:val="solid" w:color="000000" w:fill="000000"/>
                <w:fitText w:val="120" w:id="-694454527"/>
                <w14:textFill>
                  <w14:solidFill>
                    <w14:srgbClr w14:val="000000">
                      <w14:alpha w14:val="100000"/>
                    </w14:srgbClr>
                  </w14:solidFill>
                </w14:textFill>
              </w:rPr>
              <w:t>|</w:t>
            </w:r>
            <w:r w:rsidRPr="00CF6E6B">
              <w:rPr>
                <w:rFonts w:hint="eastAsia"/>
                <w:b/>
                <w:bCs w:val="0"/>
                <w:color w:val="000000"/>
                <w:spacing w:val="3"/>
                <w:w w:val="29"/>
                <w:sz w:val="18"/>
                <w:szCs w:val="18"/>
                <w:shd w:val="solid" w:color="000000" w:fill="000000"/>
                <w:fitText w:val="120" w:id="-694454527"/>
                <w14:textFill>
                  <w14:solidFill>
                    <w14:srgbClr w14:val="000000">
                      <w14:alpha w14:val="100000"/>
                    </w14:srgbClr>
                  </w14:solidFill>
                </w14:textFill>
              </w:rPr>
              <w:t xml:space="preserve">　</w:t>
            </w:r>
            <w:r w:rsidR="00D64C57" w:rsidRPr="00D64C57">
              <w:rPr>
                <w:b/>
                <w:bCs w:val="0"/>
                <w:sz w:val="18"/>
                <w:szCs w:val="18"/>
                <w:vertAlign w:val="superscript"/>
              </w:rPr>
              <w:t>21</w:t>
            </w:r>
          </w:p>
        </w:tc>
        <w:tc>
          <w:tcPr>
            <w:tcW w:w="1084" w:type="dxa"/>
            <w:tcBorders>
              <w:top w:val="single" w:sz="4" w:space="0" w:color="auto"/>
              <w:left w:val="single" w:sz="4" w:space="0" w:color="auto"/>
              <w:bottom w:val="single" w:sz="4" w:space="0" w:color="auto"/>
              <w:right w:val="single" w:sz="4" w:space="0" w:color="auto"/>
            </w:tcBorders>
          </w:tcPr>
          <w:p w14:paraId="37D9E5EC" w14:textId="75EB2207" w:rsidR="00523D9A" w:rsidRPr="00B847DA" w:rsidRDefault="00CF6E6B" w:rsidP="005257AC">
            <w:pPr>
              <w:pStyle w:val="TableText0"/>
              <w:keepLines/>
              <w:jc w:val="center"/>
              <w:rPr>
                <w:rFonts w:cs="Arial"/>
                <w:b/>
                <w:bCs w:val="0"/>
                <w:color w:val="000000"/>
                <w:sz w:val="18"/>
                <w:szCs w:val="18"/>
                <w:highlight w:val="darkGray"/>
              </w:rPr>
            </w:pPr>
            <w:r w:rsidRPr="00CF6E6B">
              <w:rPr>
                <w:rFonts w:hint="eastAsia"/>
                <w:b/>
                <w:bCs w:val="0"/>
                <w:color w:val="000000"/>
                <w:w w:val="17"/>
                <w:sz w:val="18"/>
                <w:szCs w:val="18"/>
                <w:shd w:val="solid" w:color="000000" w:fill="000000"/>
                <w:fitText w:val="70" w:id="-694454526"/>
                <w14:textFill>
                  <w14:solidFill>
                    <w14:srgbClr w14:val="000000">
                      <w14:alpha w14:val="100000"/>
                    </w14:srgbClr>
                  </w14:solidFill>
                </w14:textFill>
              </w:rPr>
              <w:t xml:space="preserve">　</w:t>
            </w:r>
            <w:r w:rsidRPr="00CF6E6B">
              <w:rPr>
                <w:b/>
                <w:bCs w:val="0"/>
                <w:color w:val="000000"/>
                <w:w w:val="17"/>
                <w:sz w:val="18"/>
                <w:szCs w:val="18"/>
                <w:shd w:val="solid" w:color="000000" w:fill="000000"/>
                <w:fitText w:val="70" w:id="-694454526"/>
                <w14:textFill>
                  <w14:solidFill>
                    <w14:srgbClr w14:val="000000">
                      <w14:alpha w14:val="100000"/>
                    </w14:srgbClr>
                  </w14:solidFill>
                </w14:textFill>
              </w:rPr>
              <w:t>|</w:t>
            </w:r>
            <w:r w:rsidRPr="00CF6E6B">
              <w:rPr>
                <w:rFonts w:hint="eastAsia"/>
                <w:b/>
                <w:bCs w:val="0"/>
                <w:color w:val="000000"/>
                <w:spacing w:val="3"/>
                <w:w w:val="17"/>
                <w:sz w:val="18"/>
                <w:szCs w:val="18"/>
                <w:shd w:val="solid" w:color="000000" w:fill="000000"/>
                <w:fitText w:val="70" w:id="-694454526"/>
                <w14:textFill>
                  <w14:solidFill>
                    <w14:srgbClr w14:val="000000">
                      <w14:alpha w14:val="100000"/>
                    </w14:srgbClr>
                  </w14:solidFill>
                </w14:textFill>
              </w:rPr>
              <w:t xml:space="preserve">　</w:t>
            </w:r>
            <w:r w:rsidR="00B4785E" w:rsidRPr="00FB5CD3">
              <w:rPr>
                <w:sz w:val="18"/>
                <w:szCs w:val="18"/>
                <w:vertAlign w:val="superscript"/>
              </w:rPr>
              <w:t>19</w:t>
            </w:r>
          </w:p>
        </w:tc>
      </w:tr>
      <w:tr w:rsidR="00523D9A" w:rsidRPr="005A7226" w14:paraId="773C4EAF" w14:textId="77777777" w:rsidTr="005257AC">
        <w:trPr>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380D7488" w14:textId="77777777" w:rsidR="00523D9A" w:rsidRPr="005A7226" w:rsidRDefault="00523D9A" w:rsidP="005257AC">
            <w:pPr>
              <w:keepNext/>
              <w:keepLines/>
              <w:widowControl w:val="0"/>
              <w:jc w:val="left"/>
              <w:rPr>
                <w:rFonts w:ascii="Arial Narrow" w:hAnsi="Arial Narrow" w:cs="Times New Roman"/>
                <w:b/>
                <w:sz w:val="19"/>
                <w:szCs w:val="19"/>
                <w:lang w:eastAsia="en-GB"/>
              </w:rPr>
            </w:pPr>
            <w:r w:rsidRPr="005A7226">
              <w:rPr>
                <w:rFonts w:ascii="Arial Narrow" w:hAnsi="Arial Narrow" w:cs="Times New Roman"/>
                <w:b/>
                <w:sz w:val="19"/>
                <w:szCs w:val="19"/>
                <w:lang w:eastAsia="en-GB"/>
              </w:rPr>
              <w:t>Estimation changes in use and financial impact of currently listed treatments (PBS/RPBS)</w:t>
            </w:r>
          </w:p>
        </w:tc>
      </w:tr>
      <w:tr w:rsidR="00523D9A" w:rsidRPr="001825DB" w14:paraId="2A0C3DAA"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5FA38223" w14:textId="77777777" w:rsidR="00523D9A" w:rsidRPr="001825DB" w:rsidRDefault="00523D9A" w:rsidP="005257AC">
            <w:pPr>
              <w:keepNext/>
              <w:keepLines/>
              <w:widowControl w:val="0"/>
              <w:ind w:left="-38"/>
              <w:jc w:val="left"/>
              <w:rPr>
                <w:rFonts w:ascii="Arial Narrow" w:hAnsi="Arial Narrow" w:cs="Times New Roman"/>
                <w:b/>
                <w:bCs/>
                <w:sz w:val="19"/>
                <w:szCs w:val="19"/>
                <w:lang w:eastAsia="en-GB"/>
              </w:rPr>
            </w:pPr>
            <w:r w:rsidRPr="001825DB">
              <w:rPr>
                <w:rFonts w:ascii="Arial Narrow" w:hAnsi="Arial Narrow" w:cs="Times New Roman"/>
                <w:b/>
                <w:bCs/>
                <w:sz w:val="19"/>
                <w:szCs w:val="19"/>
                <w:lang w:eastAsia="en-GB"/>
              </w:rPr>
              <w:t xml:space="preserve">Net financial impact of changes in listing </w:t>
            </w:r>
            <w:r w:rsidRPr="001825DB">
              <w:rPr>
                <w:rFonts w:ascii="Arial Narrow" w:hAnsi="Arial Narrow" w:cs="Times New Roman"/>
                <w:b/>
                <w:bCs/>
                <w:sz w:val="19"/>
                <w:szCs w:val="19"/>
                <w:vertAlign w:val="superscript"/>
                <w:lang w:eastAsia="en-GB"/>
              </w:rPr>
              <w:t>d</w:t>
            </w:r>
            <w:r w:rsidRPr="001825DB">
              <w:rPr>
                <w:rFonts w:ascii="Arial Narrow" w:hAnsi="Arial Narrow" w:cs="Times New Roman"/>
                <w:b/>
                <w:bCs/>
                <w:sz w:val="19"/>
                <w:szCs w:val="19"/>
                <w:lang w:eastAsia="en-GB"/>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EC46E94" w14:textId="0388F4D8"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20"/>
                <w:sz w:val="18"/>
                <w:szCs w:val="18"/>
                <w:shd w:val="solid" w:color="000000" w:fill="000000"/>
                <w:fitText w:val="80" w:id="-694454525"/>
                <w14:textFill>
                  <w14:solidFill>
                    <w14:srgbClr w14:val="000000">
                      <w14:alpha w14:val="100000"/>
                    </w14:srgbClr>
                  </w14:solidFill>
                </w14:textFill>
              </w:rPr>
              <w:t xml:space="preserve">　</w:t>
            </w:r>
            <w:r w:rsidRPr="00CF6E6B">
              <w:rPr>
                <w:rFonts w:cs="Arial"/>
                <w:color w:val="000000"/>
                <w:w w:val="20"/>
                <w:sz w:val="18"/>
                <w:szCs w:val="18"/>
                <w:shd w:val="solid" w:color="000000" w:fill="000000"/>
                <w:fitText w:val="80" w:id="-694454525"/>
                <w14:textFill>
                  <w14:solidFill>
                    <w14:srgbClr w14:val="000000">
                      <w14:alpha w14:val="100000"/>
                    </w14:srgbClr>
                  </w14:solidFill>
                </w14:textFill>
              </w:rPr>
              <w:t>|</w:t>
            </w:r>
            <w:r w:rsidRPr="00CF6E6B">
              <w:rPr>
                <w:rFonts w:cs="Arial" w:hint="eastAsia"/>
                <w:color w:val="000000"/>
                <w:spacing w:val="2"/>
                <w:w w:val="20"/>
                <w:sz w:val="18"/>
                <w:szCs w:val="18"/>
                <w:shd w:val="solid" w:color="000000" w:fill="000000"/>
                <w:fitText w:val="80" w:id="-694454525"/>
                <w14:textFill>
                  <w14:solidFill>
                    <w14:srgbClr w14:val="000000">
                      <w14:alpha w14:val="100000"/>
                    </w14:srgbClr>
                  </w14:solidFill>
                </w14:textFill>
              </w:rPr>
              <w:t xml:space="preserve">　</w:t>
            </w:r>
            <w:r w:rsidR="008902DB"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vAlign w:val="center"/>
          </w:tcPr>
          <w:p w14:paraId="70D2F2E3" w14:textId="1E5207A4"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20"/>
                <w:sz w:val="18"/>
                <w:szCs w:val="18"/>
                <w:shd w:val="solid" w:color="000000" w:fill="000000"/>
                <w:fitText w:val="80" w:id="-694454272"/>
                <w14:textFill>
                  <w14:solidFill>
                    <w14:srgbClr w14:val="000000">
                      <w14:alpha w14:val="100000"/>
                    </w14:srgbClr>
                  </w14:solidFill>
                </w14:textFill>
              </w:rPr>
              <w:t xml:space="preserve">　</w:t>
            </w:r>
            <w:r w:rsidRPr="00CF6E6B">
              <w:rPr>
                <w:rFonts w:cs="Arial"/>
                <w:color w:val="000000"/>
                <w:w w:val="20"/>
                <w:sz w:val="18"/>
                <w:szCs w:val="18"/>
                <w:shd w:val="solid" w:color="000000" w:fill="000000"/>
                <w:fitText w:val="80" w:id="-694454272"/>
                <w14:textFill>
                  <w14:solidFill>
                    <w14:srgbClr w14:val="000000">
                      <w14:alpha w14:val="100000"/>
                    </w14:srgbClr>
                  </w14:solidFill>
                </w14:textFill>
              </w:rPr>
              <w:t>|</w:t>
            </w:r>
            <w:r w:rsidRPr="00CF6E6B">
              <w:rPr>
                <w:rFonts w:cs="Arial" w:hint="eastAsia"/>
                <w:color w:val="000000"/>
                <w:spacing w:val="2"/>
                <w:w w:val="20"/>
                <w:sz w:val="18"/>
                <w:szCs w:val="18"/>
                <w:shd w:val="solid" w:color="000000" w:fill="000000"/>
                <w:fitText w:val="80" w:id="-694454272"/>
                <w14:textFill>
                  <w14:solidFill>
                    <w14:srgbClr w14:val="000000">
                      <w14:alpha w14:val="100000"/>
                    </w14:srgbClr>
                  </w14:solidFill>
                </w14:textFill>
              </w:rPr>
              <w:t xml:space="preserve">　</w:t>
            </w:r>
            <w:r w:rsidR="008902DB" w:rsidRPr="009D437B">
              <w:rPr>
                <w:sz w:val="18"/>
                <w:szCs w:val="18"/>
                <w:vertAlign w:val="superscript"/>
              </w:rPr>
              <w:t>20</w:t>
            </w:r>
          </w:p>
        </w:tc>
        <w:tc>
          <w:tcPr>
            <w:tcW w:w="993" w:type="dxa"/>
            <w:tcBorders>
              <w:top w:val="single" w:sz="4" w:space="0" w:color="auto"/>
              <w:left w:val="single" w:sz="4" w:space="0" w:color="auto"/>
              <w:bottom w:val="single" w:sz="4" w:space="0" w:color="auto"/>
              <w:right w:val="single" w:sz="4" w:space="0" w:color="auto"/>
            </w:tcBorders>
            <w:vAlign w:val="center"/>
          </w:tcPr>
          <w:p w14:paraId="67BCE779" w14:textId="25AEEB2D"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17"/>
                <w:sz w:val="18"/>
                <w:szCs w:val="18"/>
                <w:shd w:val="solid" w:color="000000" w:fill="000000"/>
                <w:fitText w:val="70" w:id="-694454271"/>
                <w14:textFill>
                  <w14:solidFill>
                    <w14:srgbClr w14:val="000000">
                      <w14:alpha w14:val="100000"/>
                    </w14:srgbClr>
                  </w14:solidFill>
                </w14:textFill>
              </w:rPr>
              <w:t xml:space="preserve">　</w:t>
            </w:r>
            <w:r w:rsidRPr="00CF6E6B">
              <w:rPr>
                <w:rFonts w:cs="Arial"/>
                <w:color w:val="000000"/>
                <w:w w:val="17"/>
                <w:sz w:val="18"/>
                <w:szCs w:val="18"/>
                <w:shd w:val="solid" w:color="000000" w:fill="000000"/>
                <w:fitText w:val="70" w:id="-694454271"/>
                <w14:textFill>
                  <w14:solidFill>
                    <w14:srgbClr w14:val="000000">
                      <w14:alpha w14:val="100000"/>
                    </w14:srgbClr>
                  </w14:solidFill>
                </w14:textFill>
              </w:rPr>
              <w:t>|</w:t>
            </w:r>
            <w:r w:rsidRPr="00CF6E6B">
              <w:rPr>
                <w:rFonts w:cs="Arial" w:hint="eastAsia"/>
                <w:color w:val="000000"/>
                <w:spacing w:val="4"/>
                <w:w w:val="17"/>
                <w:sz w:val="18"/>
                <w:szCs w:val="18"/>
                <w:shd w:val="solid" w:color="000000" w:fill="000000"/>
                <w:fitText w:val="70" w:id="-694454271"/>
                <w14:textFill>
                  <w14:solidFill>
                    <w14:srgbClr w14:val="000000">
                      <w14:alpha w14:val="100000"/>
                    </w14:srgbClr>
                  </w14:solidFill>
                </w14:textFill>
              </w:rPr>
              <w:t xml:space="preserve">　</w:t>
            </w:r>
            <w:r w:rsidR="008902DB"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vAlign w:val="center"/>
          </w:tcPr>
          <w:p w14:paraId="5508F448" w14:textId="1675F177"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20"/>
                <w:sz w:val="18"/>
                <w:szCs w:val="18"/>
                <w:shd w:val="solid" w:color="000000" w:fill="000000"/>
                <w:fitText w:val="80" w:id="-694454270"/>
                <w14:textFill>
                  <w14:solidFill>
                    <w14:srgbClr w14:val="000000">
                      <w14:alpha w14:val="100000"/>
                    </w14:srgbClr>
                  </w14:solidFill>
                </w14:textFill>
              </w:rPr>
              <w:t xml:space="preserve">　</w:t>
            </w:r>
            <w:r w:rsidRPr="00CF6E6B">
              <w:rPr>
                <w:rFonts w:cs="Arial"/>
                <w:color w:val="000000"/>
                <w:w w:val="20"/>
                <w:sz w:val="18"/>
                <w:szCs w:val="18"/>
                <w:shd w:val="solid" w:color="000000" w:fill="000000"/>
                <w:fitText w:val="80" w:id="-694454270"/>
                <w14:textFill>
                  <w14:solidFill>
                    <w14:srgbClr w14:val="000000">
                      <w14:alpha w14:val="100000"/>
                    </w14:srgbClr>
                  </w14:solidFill>
                </w14:textFill>
              </w:rPr>
              <w:t>|</w:t>
            </w:r>
            <w:r w:rsidRPr="00CF6E6B">
              <w:rPr>
                <w:rFonts w:cs="Arial" w:hint="eastAsia"/>
                <w:color w:val="000000"/>
                <w:spacing w:val="2"/>
                <w:w w:val="20"/>
                <w:sz w:val="18"/>
                <w:szCs w:val="18"/>
                <w:shd w:val="solid" w:color="000000" w:fill="000000"/>
                <w:fitText w:val="80" w:id="-694454270"/>
                <w14:textFill>
                  <w14:solidFill>
                    <w14:srgbClr w14:val="000000">
                      <w14:alpha w14:val="100000"/>
                    </w14:srgbClr>
                  </w14:solidFill>
                </w14:textFill>
              </w:rPr>
              <w:t xml:space="preserve">　</w:t>
            </w:r>
            <w:r w:rsidR="008902DB"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vAlign w:val="center"/>
          </w:tcPr>
          <w:p w14:paraId="53905A80" w14:textId="7214E9A5"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20"/>
                <w:sz w:val="18"/>
                <w:szCs w:val="18"/>
                <w:shd w:val="solid" w:color="000000" w:fill="000000"/>
                <w:fitText w:val="80" w:id="-694454269"/>
                <w14:textFill>
                  <w14:solidFill>
                    <w14:srgbClr w14:val="000000">
                      <w14:alpha w14:val="100000"/>
                    </w14:srgbClr>
                  </w14:solidFill>
                </w14:textFill>
              </w:rPr>
              <w:t xml:space="preserve">　</w:t>
            </w:r>
            <w:r w:rsidRPr="00CF6E6B">
              <w:rPr>
                <w:rFonts w:cs="Arial"/>
                <w:color w:val="000000"/>
                <w:w w:val="20"/>
                <w:sz w:val="18"/>
                <w:szCs w:val="18"/>
                <w:shd w:val="solid" w:color="000000" w:fill="000000"/>
                <w:fitText w:val="80" w:id="-694454269"/>
                <w14:textFill>
                  <w14:solidFill>
                    <w14:srgbClr w14:val="000000">
                      <w14:alpha w14:val="100000"/>
                    </w14:srgbClr>
                  </w14:solidFill>
                </w14:textFill>
              </w:rPr>
              <w:t>|</w:t>
            </w:r>
            <w:r w:rsidRPr="00CF6E6B">
              <w:rPr>
                <w:rFonts w:cs="Arial" w:hint="eastAsia"/>
                <w:color w:val="000000"/>
                <w:spacing w:val="2"/>
                <w:w w:val="20"/>
                <w:sz w:val="18"/>
                <w:szCs w:val="18"/>
                <w:shd w:val="solid" w:color="000000" w:fill="000000"/>
                <w:fitText w:val="80" w:id="-694454269"/>
                <w14:textFill>
                  <w14:solidFill>
                    <w14:srgbClr w14:val="000000">
                      <w14:alpha w14:val="100000"/>
                    </w14:srgbClr>
                  </w14:solidFill>
                </w14:textFill>
              </w:rPr>
              <w:t xml:space="preserve">　</w:t>
            </w:r>
            <w:r w:rsidR="008902DB" w:rsidRPr="009D437B">
              <w:rPr>
                <w:sz w:val="18"/>
                <w:szCs w:val="18"/>
                <w:vertAlign w:val="superscript"/>
              </w:rPr>
              <w:t>20</w:t>
            </w:r>
          </w:p>
        </w:tc>
        <w:tc>
          <w:tcPr>
            <w:tcW w:w="992" w:type="dxa"/>
            <w:tcBorders>
              <w:top w:val="single" w:sz="4" w:space="0" w:color="auto"/>
              <w:left w:val="single" w:sz="4" w:space="0" w:color="auto"/>
              <w:bottom w:val="single" w:sz="4" w:space="0" w:color="auto"/>
              <w:right w:val="single" w:sz="4" w:space="0" w:color="auto"/>
            </w:tcBorders>
            <w:vAlign w:val="center"/>
          </w:tcPr>
          <w:p w14:paraId="63ECD35D" w14:textId="42933F35"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20"/>
                <w:sz w:val="18"/>
                <w:szCs w:val="18"/>
                <w:shd w:val="solid" w:color="000000" w:fill="000000"/>
                <w:fitText w:val="80" w:id="-694454268"/>
                <w14:textFill>
                  <w14:solidFill>
                    <w14:srgbClr w14:val="000000">
                      <w14:alpha w14:val="100000"/>
                    </w14:srgbClr>
                  </w14:solidFill>
                </w14:textFill>
              </w:rPr>
              <w:t xml:space="preserve">　</w:t>
            </w:r>
            <w:r w:rsidRPr="00CF6E6B">
              <w:rPr>
                <w:rFonts w:cs="Arial"/>
                <w:color w:val="000000"/>
                <w:w w:val="20"/>
                <w:sz w:val="18"/>
                <w:szCs w:val="18"/>
                <w:shd w:val="solid" w:color="000000" w:fill="000000"/>
                <w:fitText w:val="80" w:id="-694454268"/>
                <w14:textFill>
                  <w14:solidFill>
                    <w14:srgbClr w14:val="000000">
                      <w14:alpha w14:val="100000"/>
                    </w14:srgbClr>
                  </w14:solidFill>
                </w14:textFill>
              </w:rPr>
              <w:t>|</w:t>
            </w:r>
            <w:r w:rsidRPr="00CF6E6B">
              <w:rPr>
                <w:rFonts w:cs="Arial" w:hint="eastAsia"/>
                <w:color w:val="000000"/>
                <w:spacing w:val="2"/>
                <w:w w:val="20"/>
                <w:sz w:val="18"/>
                <w:szCs w:val="18"/>
                <w:shd w:val="solid" w:color="000000" w:fill="000000"/>
                <w:fitText w:val="80" w:id="-694454268"/>
                <w14:textFill>
                  <w14:solidFill>
                    <w14:srgbClr w14:val="000000">
                      <w14:alpha w14:val="100000"/>
                    </w14:srgbClr>
                  </w14:solidFill>
                </w14:textFill>
              </w:rPr>
              <w:t xml:space="preserve">　</w:t>
            </w:r>
            <w:r w:rsidR="008902DB" w:rsidRPr="009D437B">
              <w:rPr>
                <w:sz w:val="18"/>
                <w:szCs w:val="18"/>
                <w:vertAlign w:val="superscript"/>
              </w:rPr>
              <w:t>20</w:t>
            </w:r>
          </w:p>
        </w:tc>
        <w:tc>
          <w:tcPr>
            <w:tcW w:w="1084" w:type="dxa"/>
            <w:tcBorders>
              <w:top w:val="single" w:sz="4" w:space="0" w:color="auto"/>
              <w:left w:val="single" w:sz="4" w:space="0" w:color="auto"/>
              <w:bottom w:val="single" w:sz="4" w:space="0" w:color="auto"/>
              <w:right w:val="single" w:sz="4" w:space="0" w:color="auto"/>
            </w:tcBorders>
            <w:vAlign w:val="center"/>
          </w:tcPr>
          <w:p w14:paraId="0F758216" w14:textId="4ED433DB" w:rsidR="00523D9A" w:rsidRPr="00B847DA" w:rsidRDefault="00CF6E6B" w:rsidP="005257AC">
            <w:pPr>
              <w:pStyle w:val="TableText0"/>
              <w:keepLines/>
              <w:jc w:val="center"/>
              <w:rPr>
                <w:rFonts w:cs="Arial"/>
                <w:color w:val="000000"/>
                <w:sz w:val="18"/>
                <w:szCs w:val="18"/>
                <w:highlight w:val="darkGray"/>
              </w:rPr>
            </w:pPr>
            <w:r w:rsidRPr="00CF6E6B">
              <w:rPr>
                <w:rFonts w:cs="Arial" w:hint="eastAsia"/>
                <w:color w:val="000000"/>
                <w:w w:val="15"/>
                <w:sz w:val="18"/>
                <w:szCs w:val="18"/>
                <w:shd w:val="solid" w:color="000000" w:fill="000000"/>
                <w:fitText w:val="40" w:id="-694454267"/>
                <w14:textFill>
                  <w14:solidFill>
                    <w14:srgbClr w14:val="000000">
                      <w14:alpha w14:val="100000"/>
                    </w14:srgbClr>
                  </w14:solidFill>
                </w14:textFill>
              </w:rPr>
              <w:t xml:space="preserve">　</w:t>
            </w:r>
            <w:r w:rsidRPr="00CF6E6B">
              <w:rPr>
                <w:rFonts w:cs="Arial"/>
                <w:color w:val="000000"/>
                <w:w w:val="15"/>
                <w:sz w:val="18"/>
                <w:szCs w:val="18"/>
                <w:shd w:val="solid" w:color="000000" w:fill="000000"/>
                <w:fitText w:val="40" w:id="-694454267"/>
                <w14:textFill>
                  <w14:solidFill>
                    <w14:srgbClr w14:val="000000">
                      <w14:alpha w14:val="100000"/>
                    </w14:srgbClr>
                  </w14:solidFill>
                </w14:textFill>
              </w:rPr>
              <w:t>|</w:t>
            </w:r>
            <w:r w:rsidRPr="00CF6E6B">
              <w:rPr>
                <w:rFonts w:cs="Arial" w:hint="eastAsia"/>
                <w:color w:val="000000"/>
                <w:spacing w:val="-19"/>
                <w:w w:val="15"/>
                <w:sz w:val="18"/>
                <w:szCs w:val="18"/>
                <w:shd w:val="solid" w:color="000000" w:fill="000000"/>
                <w:fitText w:val="40" w:id="-694454267"/>
                <w14:textFill>
                  <w14:solidFill>
                    <w14:srgbClr w14:val="000000">
                      <w14:alpha w14:val="100000"/>
                    </w14:srgbClr>
                  </w14:solidFill>
                </w14:textFill>
              </w:rPr>
              <w:t xml:space="preserve">　</w:t>
            </w:r>
            <w:r w:rsidR="008902DB" w:rsidRPr="009D437B">
              <w:rPr>
                <w:sz w:val="18"/>
                <w:szCs w:val="18"/>
                <w:vertAlign w:val="superscript"/>
              </w:rPr>
              <w:t>20</w:t>
            </w:r>
          </w:p>
        </w:tc>
      </w:tr>
      <w:tr w:rsidR="00523D9A" w:rsidRPr="005A7226" w14:paraId="37CA6DF8" w14:textId="77777777" w:rsidTr="005257AC">
        <w:trPr>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32A67B06" w14:textId="77777777" w:rsidR="00523D9A" w:rsidRPr="005A7226" w:rsidRDefault="00523D9A" w:rsidP="005257AC">
            <w:pPr>
              <w:keepNext/>
              <w:keepLines/>
              <w:widowControl w:val="0"/>
              <w:jc w:val="left"/>
              <w:rPr>
                <w:rFonts w:ascii="Arial Narrow" w:hAnsi="Arial Narrow" w:cs="Times New Roman"/>
                <w:b/>
                <w:sz w:val="19"/>
                <w:szCs w:val="19"/>
                <w:lang w:eastAsia="en-GB"/>
              </w:rPr>
            </w:pPr>
            <w:r w:rsidRPr="005A7226">
              <w:rPr>
                <w:rFonts w:ascii="Arial Narrow" w:hAnsi="Arial Narrow" w:cs="Times New Roman"/>
                <w:b/>
                <w:sz w:val="19"/>
                <w:szCs w:val="19"/>
                <w:lang w:eastAsia="en-GB"/>
              </w:rPr>
              <w:t>Estimated financial implications for the PBS/RPBS and the health budget</w:t>
            </w:r>
          </w:p>
        </w:tc>
      </w:tr>
      <w:tr w:rsidR="00523D9A" w:rsidRPr="005A7226" w14:paraId="114E5687"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6BE9A64C"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 xml:space="preserve">Net changes in scripts </w:t>
            </w:r>
          </w:p>
        </w:tc>
        <w:tc>
          <w:tcPr>
            <w:tcW w:w="992" w:type="dxa"/>
            <w:tcBorders>
              <w:top w:val="single" w:sz="4" w:space="0" w:color="auto"/>
              <w:left w:val="single" w:sz="4" w:space="0" w:color="auto"/>
              <w:bottom w:val="single" w:sz="4" w:space="0" w:color="auto"/>
              <w:right w:val="single" w:sz="4" w:space="0" w:color="auto"/>
            </w:tcBorders>
          </w:tcPr>
          <w:p w14:paraId="7D9D9E54" w14:textId="1EE5DB01"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6"/>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6"/>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6"/>
                <w14:textFill>
                  <w14:solidFill>
                    <w14:srgbClr w14:val="000000">
                      <w14:alpha w14:val="100000"/>
                    </w14:srgbClr>
                  </w14:solidFill>
                </w14:textFill>
              </w:rPr>
              <w:t xml:space="preserve">　</w:t>
            </w:r>
            <w:r w:rsidR="00E67B8F" w:rsidRPr="00E67B8F">
              <w:rPr>
                <w:sz w:val="18"/>
                <w:szCs w:val="22"/>
                <w:vertAlign w:val="superscript"/>
              </w:rPr>
              <w:t>10</w:t>
            </w:r>
          </w:p>
        </w:tc>
        <w:tc>
          <w:tcPr>
            <w:tcW w:w="992" w:type="dxa"/>
            <w:tcBorders>
              <w:top w:val="single" w:sz="4" w:space="0" w:color="auto"/>
              <w:left w:val="single" w:sz="4" w:space="0" w:color="auto"/>
              <w:bottom w:val="single" w:sz="4" w:space="0" w:color="auto"/>
              <w:right w:val="single" w:sz="4" w:space="0" w:color="auto"/>
            </w:tcBorders>
          </w:tcPr>
          <w:p w14:paraId="22CFEBF0" w14:textId="27A55029"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5"/>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5"/>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5"/>
                <w14:textFill>
                  <w14:solidFill>
                    <w14:srgbClr w14:val="000000">
                      <w14:alpha w14:val="100000"/>
                    </w14:srgbClr>
                  </w14:solidFill>
                </w14:textFill>
              </w:rPr>
              <w:t xml:space="preserve">　</w:t>
            </w:r>
            <w:r w:rsidR="0053190C" w:rsidRPr="00B6338F">
              <w:rPr>
                <w:sz w:val="18"/>
                <w:szCs w:val="18"/>
                <w:vertAlign w:val="superscript"/>
              </w:rPr>
              <w:t>13</w:t>
            </w:r>
          </w:p>
        </w:tc>
        <w:tc>
          <w:tcPr>
            <w:tcW w:w="993" w:type="dxa"/>
            <w:tcBorders>
              <w:top w:val="single" w:sz="4" w:space="0" w:color="auto"/>
              <w:left w:val="single" w:sz="4" w:space="0" w:color="auto"/>
              <w:bottom w:val="single" w:sz="4" w:space="0" w:color="auto"/>
              <w:right w:val="single" w:sz="4" w:space="0" w:color="auto"/>
            </w:tcBorders>
          </w:tcPr>
          <w:p w14:paraId="1D9B0D90" w14:textId="6D2978AA"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17"/>
                <w:sz w:val="18"/>
                <w:szCs w:val="22"/>
                <w:shd w:val="solid" w:color="000000" w:fill="000000"/>
                <w:fitText w:val="70" w:id="-694454264"/>
                <w14:textFill>
                  <w14:solidFill>
                    <w14:srgbClr w14:val="000000">
                      <w14:alpha w14:val="100000"/>
                    </w14:srgbClr>
                  </w14:solidFill>
                </w14:textFill>
              </w:rPr>
              <w:t xml:space="preserve">　</w:t>
            </w:r>
            <w:r w:rsidRPr="00CF6E6B">
              <w:rPr>
                <w:color w:val="000000"/>
                <w:w w:val="17"/>
                <w:sz w:val="18"/>
                <w:szCs w:val="22"/>
                <w:shd w:val="solid" w:color="000000" w:fill="000000"/>
                <w:fitText w:val="70" w:id="-694454264"/>
                <w14:textFill>
                  <w14:solidFill>
                    <w14:srgbClr w14:val="000000">
                      <w14:alpha w14:val="100000"/>
                    </w14:srgbClr>
                  </w14:solidFill>
                </w14:textFill>
              </w:rPr>
              <w:t>|</w:t>
            </w:r>
            <w:r w:rsidRPr="00CF6E6B">
              <w:rPr>
                <w:rFonts w:hint="eastAsia"/>
                <w:color w:val="000000"/>
                <w:spacing w:val="4"/>
                <w:w w:val="17"/>
                <w:sz w:val="18"/>
                <w:szCs w:val="22"/>
                <w:shd w:val="solid" w:color="000000" w:fill="000000"/>
                <w:fitText w:val="70" w:id="-694454264"/>
                <w14:textFill>
                  <w14:solidFill>
                    <w14:srgbClr w14:val="000000">
                      <w14:alpha w14:val="100000"/>
                    </w14:srgbClr>
                  </w14:solidFill>
                </w14:textFill>
              </w:rPr>
              <w:t xml:space="preserve">　</w:t>
            </w:r>
            <w:r w:rsidR="0053190C"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606409B4" w14:textId="37880562"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3"/>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3"/>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3"/>
                <w14:textFill>
                  <w14:solidFill>
                    <w14:srgbClr w14:val="000000">
                      <w14:alpha w14:val="100000"/>
                    </w14:srgbClr>
                  </w14:solidFill>
                </w14:textFill>
              </w:rPr>
              <w:t xml:space="preserve">　</w:t>
            </w:r>
            <w:r w:rsidR="0053190C"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78D527A9" w14:textId="043CAAAA"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2"/>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2"/>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2"/>
                <w14:textFill>
                  <w14:solidFill>
                    <w14:srgbClr w14:val="000000">
                      <w14:alpha w14:val="100000"/>
                    </w14:srgbClr>
                  </w14:solidFill>
                </w14:textFill>
              </w:rPr>
              <w:t xml:space="preserve">　</w:t>
            </w:r>
            <w:r w:rsidR="0053190C" w:rsidRPr="00B6338F">
              <w:rPr>
                <w:sz w:val="18"/>
                <w:szCs w:val="18"/>
                <w:vertAlign w:val="superscript"/>
              </w:rPr>
              <w:t>13</w:t>
            </w:r>
          </w:p>
        </w:tc>
        <w:tc>
          <w:tcPr>
            <w:tcW w:w="992" w:type="dxa"/>
            <w:tcBorders>
              <w:top w:val="single" w:sz="4" w:space="0" w:color="auto"/>
              <w:left w:val="single" w:sz="4" w:space="0" w:color="auto"/>
              <w:bottom w:val="single" w:sz="4" w:space="0" w:color="auto"/>
              <w:right w:val="single" w:sz="4" w:space="0" w:color="auto"/>
            </w:tcBorders>
          </w:tcPr>
          <w:p w14:paraId="245F8677" w14:textId="3F69CDA2"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1"/>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1"/>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1"/>
                <w14:textFill>
                  <w14:solidFill>
                    <w14:srgbClr w14:val="000000">
                      <w14:alpha w14:val="100000"/>
                    </w14:srgbClr>
                  </w14:solidFill>
                </w14:textFill>
              </w:rPr>
              <w:t xml:space="preserve">　</w:t>
            </w:r>
            <w:r w:rsidR="0053190C" w:rsidRPr="00B6338F">
              <w:rPr>
                <w:sz w:val="18"/>
                <w:szCs w:val="18"/>
                <w:vertAlign w:val="superscript"/>
              </w:rPr>
              <w:t>13</w:t>
            </w:r>
          </w:p>
        </w:tc>
        <w:tc>
          <w:tcPr>
            <w:tcW w:w="1084" w:type="dxa"/>
            <w:tcBorders>
              <w:top w:val="single" w:sz="4" w:space="0" w:color="auto"/>
              <w:left w:val="single" w:sz="4" w:space="0" w:color="auto"/>
              <w:bottom w:val="single" w:sz="4" w:space="0" w:color="auto"/>
              <w:right w:val="single" w:sz="4" w:space="0" w:color="auto"/>
            </w:tcBorders>
            <w:vAlign w:val="center"/>
          </w:tcPr>
          <w:p w14:paraId="7FB657AC" w14:textId="293C5610" w:rsidR="00523D9A" w:rsidRPr="00B847DA" w:rsidRDefault="00CF6E6B" w:rsidP="005257AC">
            <w:pPr>
              <w:pStyle w:val="TableText0"/>
              <w:keepLines/>
              <w:jc w:val="center"/>
              <w:rPr>
                <w:rFonts w:cs="Arial"/>
                <w:i/>
                <w:iCs/>
                <w:color w:val="000000"/>
                <w:sz w:val="18"/>
                <w:szCs w:val="22"/>
                <w:highlight w:val="darkGray"/>
              </w:rPr>
            </w:pPr>
            <w:r w:rsidRPr="00CF6E6B">
              <w:rPr>
                <w:rFonts w:cs="Arial" w:hint="eastAsia"/>
                <w:i/>
                <w:iCs/>
                <w:color w:val="000000"/>
                <w:w w:val="15"/>
                <w:sz w:val="18"/>
                <w:szCs w:val="22"/>
                <w:shd w:val="solid" w:color="000000" w:fill="000000"/>
                <w:fitText w:val="40" w:id="-694454260"/>
                <w14:textFill>
                  <w14:solidFill>
                    <w14:srgbClr w14:val="000000">
                      <w14:alpha w14:val="100000"/>
                    </w14:srgbClr>
                  </w14:solidFill>
                </w14:textFill>
              </w:rPr>
              <w:t xml:space="preserve">　</w:t>
            </w:r>
            <w:r w:rsidRPr="00CF6E6B">
              <w:rPr>
                <w:rFonts w:cs="Arial"/>
                <w:i/>
                <w:iCs/>
                <w:color w:val="000000"/>
                <w:w w:val="15"/>
                <w:sz w:val="18"/>
                <w:szCs w:val="22"/>
                <w:shd w:val="solid" w:color="000000" w:fill="000000"/>
                <w:fitText w:val="40" w:id="-694454260"/>
                <w14:textFill>
                  <w14:solidFill>
                    <w14:srgbClr w14:val="000000">
                      <w14:alpha w14:val="100000"/>
                    </w14:srgbClr>
                  </w14:solidFill>
                </w14:textFill>
              </w:rPr>
              <w:t>|</w:t>
            </w:r>
            <w:r w:rsidRPr="00CF6E6B">
              <w:rPr>
                <w:rFonts w:cs="Arial" w:hint="eastAsia"/>
                <w:i/>
                <w:iCs/>
                <w:color w:val="000000"/>
                <w:spacing w:val="-19"/>
                <w:w w:val="15"/>
                <w:sz w:val="18"/>
                <w:szCs w:val="22"/>
                <w:shd w:val="solid" w:color="000000" w:fill="000000"/>
                <w:fitText w:val="40" w:id="-694454260"/>
                <w14:textFill>
                  <w14:solidFill>
                    <w14:srgbClr w14:val="000000">
                      <w14:alpha w14:val="100000"/>
                    </w14:srgbClr>
                  </w14:solidFill>
                </w14:textFill>
              </w:rPr>
              <w:t xml:space="preserve">　</w:t>
            </w:r>
            <w:r w:rsidR="00537732" w:rsidRPr="00D301A4">
              <w:rPr>
                <w:rFonts w:cs="Arial"/>
                <w:bCs w:val="0"/>
                <w:i/>
                <w:iCs/>
                <w:color w:val="000000"/>
                <w:sz w:val="18"/>
                <w:szCs w:val="18"/>
                <w:vertAlign w:val="superscript"/>
              </w:rPr>
              <w:t>14</w:t>
            </w:r>
          </w:p>
        </w:tc>
      </w:tr>
      <w:tr w:rsidR="00523D9A" w:rsidRPr="005A7226" w14:paraId="5A6CFD2B"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055A2208"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 xml:space="preserve">Net change in authorities processed </w:t>
            </w:r>
            <w:r w:rsidRPr="005A7226">
              <w:rPr>
                <w:rFonts w:ascii="Arial Narrow" w:hAnsi="Arial Narrow" w:cs="Times New Roman"/>
                <w:sz w:val="19"/>
                <w:szCs w:val="19"/>
                <w:vertAlign w:val="superscript"/>
                <w:lang w:eastAsia="en-GB"/>
              </w:rPr>
              <w:t>e</w:t>
            </w:r>
          </w:p>
        </w:tc>
        <w:tc>
          <w:tcPr>
            <w:tcW w:w="992" w:type="dxa"/>
            <w:tcBorders>
              <w:top w:val="single" w:sz="4" w:space="0" w:color="auto"/>
              <w:left w:val="single" w:sz="4" w:space="0" w:color="auto"/>
              <w:bottom w:val="single" w:sz="4" w:space="0" w:color="auto"/>
              <w:right w:val="single" w:sz="4" w:space="0" w:color="auto"/>
            </w:tcBorders>
            <w:vAlign w:val="center"/>
          </w:tcPr>
          <w:p w14:paraId="6DD84E17" w14:textId="5EE0E967" w:rsidR="00523D9A" w:rsidRPr="00B847DA" w:rsidRDefault="00CF6E6B" w:rsidP="005257AC">
            <w:pPr>
              <w:pStyle w:val="TableText0"/>
              <w:keepLines/>
              <w:jc w:val="center"/>
              <w:rPr>
                <w:rFonts w:cs="Arial"/>
                <w:color w:val="000000"/>
                <w:sz w:val="18"/>
                <w:szCs w:val="22"/>
                <w:highlight w:val="darkGray"/>
              </w:rPr>
            </w:pPr>
            <w:r w:rsidRPr="00CF6E6B">
              <w:rPr>
                <w:rFonts w:cs="Arial" w:hint="eastAsia"/>
                <w:color w:val="000000"/>
                <w:w w:val="15"/>
                <w:sz w:val="18"/>
                <w:szCs w:val="22"/>
                <w:shd w:val="solid" w:color="000000" w:fill="000000"/>
                <w:fitText w:val="60" w:id="-694454259"/>
                <w14:textFill>
                  <w14:solidFill>
                    <w14:srgbClr w14:val="000000">
                      <w14:alpha w14:val="100000"/>
                    </w14:srgbClr>
                  </w14:solidFill>
                </w14:textFill>
              </w:rPr>
              <w:t xml:space="preserve">　</w:t>
            </w:r>
            <w:r w:rsidRPr="00CF6E6B">
              <w:rPr>
                <w:rFonts w:cs="Arial"/>
                <w:color w:val="000000"/>
                <w:w w:val="15"/>
                <w:sz w:val="18"/>
                <w:szCs w:val="22"/>
                <w:shd w:val="solid" w:color="000000" w:fill="000000"/>
                <w:fitText w:val="60" w:id="-694454259"/>
                <w14:textFill>
                  <w14:solidFill>
                    <w14:srgbClr w14:val="000000">
                      <w14:alpha w14:val="100000"/>
                    </w14:srgbClr>
                  </w14:solidFill>
                </w14:textFill>
              </w:rPr>
              <w:t>|</w:t>
            </w:r>
            <w:r w:rsidRPr="00CF6E6B">
              <w:rPr>
                <w:rFonts w:cs="Arial" w:hint="eastAsia"/>
                <w:color w:val="000000"/>
                <w:w w:val="15"/>
                <w:sz w:val="18"/>
                <w:szCs w:val="22"/>
                <w:shd w:val="solid" w:color="000000" w:fill="000000"/>
                <w:fitText w:val="60" w:id="-694454259"/>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vAlign w:val="center"/>
          </w:tcPr>
          <w:p w14:paraId="1E38C99C" w14:textId="63FB91BC" w:rsidR="00523D9A" w:rsidRPr="00B847DA" w:rsidRDefault="00CF6E6B" w:rsidP="005257AC">
            <w:pPr>
              <w:pStyle w:val="TableText0"/>
              <w:keepLines/>
              <w:jc w:val="center"/>
              <w:rPr>
                <w:rFonts w:cs="Arial"/>
                <w:color w:val="000000"/>
                <w:sz w:val="18"/>
                <w:szCs w:val="22"/>
                <w:highlight w:val="darkGray"/>
              </w:rPr>
            </w:pPr>
            <w:r w:rsidRPr="00CF6E6B">
              <w:rPr>
                <w:rFonts w:cs="Arial" w:hint="eastAsia"/>
                <w:color w:val="000000"/>
                <w:w w:val="15"/>
                <w:sz w:val="18"/>
                <w:szCs w:val="22"/>
                <w:shd w:val="solid" w:color="000000" w:fill="000000"/>
                <w:fitText w:val="60" w:id="-694454258"/>
                <w14:textFill>
                  <w14:solidFill>
                    <w14:srgbClr w14:val="000000">
                      <w14:alpha w14:val="100000"/>
                    </w14:srgbClr>
                  </w14:solidFill>
                </w14:textFill>
              </w:rPr>
              <w:t xml:space="preserve">　</w:t>
            </w:r>
            <w:r w:rsidRPr="00CF6E6B">
              <w:rPr>
                <w:rFonts w:cs="Arial"/>
                <w:color w:val="000000"/>
                <w:w w:val="15"/>
                <w:sz w:val="18"/>
                <w:szCs w:val="22"/>
                <w:shd w:val="solid" w:color="000000" w:fill="000000"/>
                <w:fitText w:val="60" w:id="-694454258"/>
                <w14:textFill>
                  <w14:solidFill>
                    <w14:srgbClr w14:val="000000">
                      <w14:alpha w14:val="100000"/>
                    </w14:srgbClr>
                  </w14:solidFill>
                </w14:textFill>
              </w:rPr>
              <w:t>|</w:t>
            </w:r>
            <w:r w:rsidRPr="00CF6E6B">
              <w:rPr>
                <w:rFonts w:cs="Arial" w:hint="eastAsia"/>
                <w:color w:val="000000"/>
                <w:w w:val="15"/>
                <w:sz w:val="18"/>
                <w:szCs w:val="22"/>
                <w:shd w:val="solid" w:color="000000" w:fill="000000"/>
                <w:fitText w:val="60" w:id="-694454258"/>
                <w14:textFill>
                  <w14:solidFill>
                    <w14:srgbClr w14:val="000000">
                      <w14:alpha w14:val="100000"/>
                    </w14:srgbClr>
                  </w14:solidFill>
                </w14:textFill>
              </w:rPr>
              <w:t xml:space="preserve">　</w:t>
            </w:r>
            <w:r w:rsidR="00D9265C" w:rsidRPr="00D9265C">
              <w:rPr>
                <w:sz w:val="18"/>
                <w:szCs w:val="18"/>
                <w:vertAlign w:val="superscript"/>
              </w:rPr>
              <w:t>9</w:t>
            </w:r>
          </w:p>
        </w:tc>
        <w:tc>
          <w:tcPr>
            <w:tcW w:w="993" w:type="dxa"/>
            <w:tcBorders>
              <w:top w:val="single" w:sz="4" w:space="0" w:color="auto"/>
              <w:left w:val="single" w:sz="4" w:space="0" w:color="auto"/>
              <w:bottom w:val="single" w:sz="4" w:space="0" w:color="auto"/>
              <w:right w:val="single" w:sz="4" w:space="0" w:color="auto"/>
            </w:tcBorders>
            <w:vAlign w:val="center"/>
          </w:tcPr>
          <w:p w14:paraId="039B25E4" w14:textId="2DB32D81" w:rsidR="00523D9A" w:rsidRPr="00B847DA" w:rsidRDefault="00CF6E6B" w:rsidP="005257AC">
            <w:pPr>
              <w:pStyle w:val="TableText0"/>
              <w:keepLines/>
              <w:jc w:val="center"/>
              <w:rPr>
                <w:rFonts w:cs="Arial"/>
                <w:color w:val="000000"/>
                <w:sz w:val="18"/>
                <w:szCs w:val="22"/>
                <w:highlight w:val="darkGray"/>
              </w:rPr>
            </w:pPr>
            <w:r w:rsidRPr="00CF6E6B">
              <w:rPr>
                <w:rFonts w:cs="Arial" w:hint="eastAsia"/>
                <w:color w:val="000000"/>
                <w:w w:val="15"/>
                <w:sz w:val="18"/>
                <w:szCs w:val="22"/>
                <w:shd w:val="solid" w:color="000000" w:fill="000000"/>
                <w:fitText w:val="60" w:id="-694454257"/>
                <w14:textFill>
                  <w14:solidFill>
                    <w14:srgbClr w14:val="000000">
                      <w14:alpha w14:val="100000"/>
                    </w14:srgbClr>
                  </w14:solidFill>
                </w14:textFill>
              </w:rPr>
              <w:t xml:space="preserve">　</w:t>
            </w:r>
            <w:r w:rsidRPr="00CF6E6B">
              <w:rPr>
                <w:rFonts w:cs="Arial"/>
                <w:color w:val="000000"/>
                <w:w w:val="15"/>
                <w:sz w:val="18"/>
                <w:szCs w:val="22"/>
                <w:shd w:val="solid" w:color="000000" w:fill="000000"/>
                <w:fitText w:val="60" w:id="-694454257"/>
                <w14:textFill>
                  <w14:solidFill>
                    <w14:srgbClr w14:val="000000">
                      <w14:alpha w14:val="100000"/>
                    </w14:srgbClr>
                  </w14:solidFill>
                </w14:textFill>
              </w:rPr>
              <w:t>|</w:t>
            </w:r>
            <w:r w:rsidRPr="00CF6E6B">
              <w:rPr>
                <w:rFonts w:cs="Arial" w:hint="eastAsia"/>
                <w:color w:val="000000"/>
                <w:w w:val="15"/>
                <w:sz w:val="18"/>
                <w:szCs w:val="22"/>
                <w:shd w:val="solid" w:color="000000" w:fill="000000"/>
                <w:fitText w:val="60" w:id="-694454257"/>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vAlign w:val="center"/>
          </w:tcPr>
          <w:p w14:paraId="7209427D" w14:textId="59F03BBF" w:rsidR="00523D9A" w:rsidRPr="00B847DA" w:rsidRDefault="00CF6E6B" w:rsidP="005257AC">
            <w:pPr>
              <w:pStyle w:val="TableText0"/>
              <w:keepLines/>
              <w:jc w:val="center"/>
              <w:rPr>
                <w:rFonts w:cs="Arial"/>
                <w:color w:val="000000"/>
                <w:sz w:val="18"/>
                <w:szCs w:val="22"/>
                <w:highlight w:val="darkGray"/>
              </w:rPr>
            </w:pPr>
            <w:r w:rsidRPr="00CF6E6B">
              <w:rPr>
                <w:rFonts w:cs="Arial" w:hint="eastAsia"/>
                <w:color w:val="000000"/>
                <w:w w:val="15"/>
                <w:sz w:val="18"/>
                <w:szCs w:val="22"/>
                <w:shd w:val="solid" w:color="000000" w:fill="000000"/>
                <w:fitText w:val="60" w:id="-694454256"/>
                <w14:textFill>
                  <w14:solidFill>
                    <w14:srgbClr w14:val="000000">
                      <w14:alpha w14:val="100000"/>
                    </w14:srgbClr>
                  </w14:solidFill>
                </w14:textFill>
              </w:rPr>
              <w:t xml:space="preserve">　</w:t>
            </w:r>
            <w:r w:rsidRPr="00CF6E6B">
              <w:rPr>
                <w:rFonts w:cs="Arial"/>
                <w:color w:val="000000"/>
                <w:w w:val="15"/>
                <w:sz w:val="18"/>
                <w:szCs w:val="22"/>
                <w:shd w:val="solid" w:color="000000" w:fill="000000"/>
                <w:fitText w:val="60" w:id="-694454256"/>
                <w14:textFill>
                  <w14:solidFill>
                    <w14:srgbClr w14:val="000000">
                      <w14:alpha w14:val="100000"/>
                    </w14:srgbClr>
                  </w14:solidFill>
                </w14:textFill>
              </w:rPr>
              <w:t>|</w:t>
            </w:r>
            <w:r w:rsidRPr="00CF6E6B">
              <w:rPr>
                <w:rFonts w:cs="Arial" w:hint="eastAsia"/>
                <w:color w:val="000000"/>
                <w:w w:val="15"/>
                <w:sz w:val="18"/>
                <w:szCs w:val="22"/>
                <w:shd w:val="solid" w:color="000000" w:fill="000000"/>
                <w:fitText w:val="60" w:id="-694454256"/>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vAlign w:val="center"/>
          </w:tcPr>
          <w:p w14:paraId="6848AB1F" w14:textId="5E3A85F9" w:rsidR="00523D9A" w:rsidRPr="00B847DA" w:rsidRDefault="00CF6E6B" w:rsidP="005257AC">
            <w:pPr>
              <w:pStyle w:val="TableText0"/>
              <w:keepLines/>
              <w:jc w:val="center"/>
              <w:rPr>
                <w:rFonts w:cs="Arial"/>
                <w:color w:val="000000"/>
                <w:sz w:val="18"/>
                <w:szCs w:val="22"/>
                <w:highlight w:val="darkGray"/>
              </w:rPr>
            </w:pPr>
            <w:r w:rsidRPr="00CF6E6B">
              <w:rPr>
                <w:rFonts w:cs="Arial" w:hint="eastAsia"/>
                <w:color w:val="000000"/>
                <w:w w:val="15"/>
                <w:sz w:val="18"/>
                <w:szCs w:val="22"/>
                <w:shd w:val="solid" w:color="000000" w:fill="000000"/>
                <w:fitText w:val="60" w:id="-694454272"/>
                <w14:textFill>
                  <w14:solidFill>
                    <w14:srgbClr w14:val="000000">
                      <w14:alpha w14:val="100000"/>
                    </w14:srgbClr>
                  </w14:solidFill>
                </w14:textFill>
              </w:rPr>
              <w:t xml:space="preserve">　</w:t>
            </w:r>
            <w:r w:rsidRPr="00CF6E6B">
              <w:rPr>
                <w:rFonts w:cs="Arial"/>
                <w:color w:val="000000"/>
                <w:w w:val="15"/>
                <w:sz w:val="18"/>
                <w:szCs w:val="22"/>
                <w:shd w:val="solid" w:color="000000" w:fill="000000"/>
                <w:fitText w:val="60" w:id="-694454272"/>
                <w14:textFill>
                  <w14:solidFill>
                    <w14:srgbClr w14:val="000000">
                      <w14:alpha w14:val="100000"/>
                    </w14:srgbClr>
                  </w14:solidFill>
                </w14:textFill>
              </w:rPr>
              <w:t>|</w:t>
            </w:r>
            <w:r w:rsidRPr="00CF6E6B">
              <w:rPr>
                <w:rFonts w:cs="Arial" w:hint="eastAsia"/>
                <w:color w:val="000000"/>
                <w:w w:val="15"/>
                <w:sz w:val="18"/>
                <w:szCs w:val="22"/>
                <w:shd w:val="solid" w:color="000000" w:fill="000000"/>
                <w:fitText w:val="60" w:id="-694454272"/>
                <w14:textFill>
                  <w14:solidFill>
                    <w14:srgbClr w14:val="000000">
                      <w14:alpha w14:val="100000"/>
                    </w14:srgbClr>
                  </w14:solidFill>
                </w14:textFill>
              </w:rPr>
              <w:t xml:space="preserve">　</w:t>
            </w:r>
            <w:r w:rsidR="00D9265C" w:rsidRPr="00D9265C">
              <w:rPr>
                <w:sz w:val="18"/>
                <w:szCs w:val="18"/>
                <w:vertAlign w:val="superscript"/>
              </w:rPr>
              <w:t>9</w:t>
            </w:r>
          </w:p>
        </w:tc>
        <w:tc>
          <w:tcPr>
            <w:tcW w:w="992" w:type="dxa"/>
            <w:tcBorders>
              <w:top w:val="single" w:sz="4" w:space="0" w:color="auto"/>
              <w:left w:val="single" w:sz="4" w:space="0" w:color="auto"/>
              <w:bottom w:val="single" w:sz="4" w:space="0" w:color="auto"/>
              <w:right w:val="single" w:sz="4" w:space="0" w:color="auto"/>
            </w:tcBorders>
            <w:vAlign w:val="center"/>
          </w:tcPr>
          <w:p w14:paraId="46D9ABE3" w14:textId="5816F3A5" w:rsidR="00523D9A" w:rsidRPr="00B847DA" w:rsidRDefault="00CF6E6B" w:rsidP="005257AC">
            <w:pPr>
              <w:pStyle w:val="TableText0"/>
              <w:keepLines/>
              <w:jc w:val="center"/>
              <w:rPr>
                <w:rFonts w:cs="Arial"/>
                <w:color w:val="000000"/>
                <w:sz w:val="18"/>
                <w:szCs w:val="22"/>
                <w:highlight w:val="darkGray"/>
              </w:rPr>
            </w:pPr>
            <w:r w:rsidRPr="00CF6E6B">
              <w:rPr>
                <w:rFonts w:cs="Arial" w:hint="eastAsia"/>
                <w:color w:val="000000"/>
                <w:w w:val="15"/>
                <w:sz w:val="18"/>
                <w:szCs w:val="22"/>
                <w:shd w:val="solid" w:color="000000" w:fill="000000"/>
                <w:fitText w:val="60" w:id="-694454271"/>
                <w14:textFill>
                  <w14:solidFill>
                    <w14:srgbClr w14:val="000000">
                      <w14:alpha w14:val="100000"/>
                    </w14:srgbClr>
                  </w14:solidFill>
                </w14:textFill>
              </w:rPr>
              <w:t xml:space="preserve">　</w:t>
            </w:r>
            <w:r w:rsidRPr="00CF6E6B">
              <w:rPr>
                <w:rFonts w:cs="Arial"/>
                <w:color w:val="000000"/>
                <w:w w:val="15"/>
                <w:sz w:val="18"/>
                <w:szCs w:val="22"/>
                <w:shd w:val="solid" w:color="000000" w:fill="000000"/>
                <w:fitText w:val="60" w:id="-694454271"/>
                <w14:textFill>
                  <w14:solidFill>
                    <w14:srgbClr w14:val="000000">
                      <w14:alpha w14:val="100000"/>
                    </w14:srgbClr>
                  </w14:solidFill>
                </w14:textFill>
              </w:rPr>
              <w:t>|</w:t>
            </w:r>
            <w:r w:rsidRPr="00CF6E6B">
              <w:rPr>
                <w:rFonts w:cs="Arial" w:hint="eastAsia"/>
                <w:color w:val="000000"/>
                <w:w w:val="15"/>
                <w:sz w:val="18"/>
                <w:szCs w:val="22"/>
                <w:shd w:val="solid" w:color="000000" w:fill="000000"/>
                <w:fitText w:val="60" w:id="-694454271"/>
                <w14:textFill>
                  <w14:solidFill>
                    <w14:srgbClr w14:val="000000">
                      <w14:alpha w14:val="100000"/>
                    </w14:srgbClr>
                  </w14:solidFill>
                </w14:textFill>
              </w:rPr>
              <w:t xml:space="preserve">　</w:t>
            </w:r>
            <w:r w:rsidR="00D9265C" w:rsidRPr="00D9265C">
              <w:rPr>
                <w:sz w:val="18"/>
                <w:szCs w:val="18"/>
                <w:vertAlign w:val="superscript"/>
              </w:rPr>
              <w:t>9</w:t>
            </w:r>
          </w:p>
        </w:tc>
        <w:tc>
          <w:tcPr>
            <w:tcW w:w="1084" w:type="dxa"/>
            <w:tcBorders>
              <w:top w:val="single" w:sz="4" w:space="0" w:color="auto"/>
              <w:left w:val="single" w:sz="4" w:space="0" w:color="auto"/>
              <w:bottom w:val="single" w:sz="4" w:space="0" w:color="auto"/>
              <w:right w:val="single" w:sz="4" w:space="0" w:color="auto"/>
            </w:tcBorders>
            <w:vAlign w:val="center"/>
          </w:tcPr>
          <w:p w14:paraId="27A40553" w14:textId="5FBA852F" w:rsidR="00523D9A" w:rsidRPr="00B847DA" w:rsidRDefault="00CF6E6B" w:rsidP="005257AC">
            <w:pPr>
              <w:pStyle w:val="TableText0"/>
              <w:keepLines/>
              <w:jc w:val="center"/>
              <w:rPr>
                <w:rFonts w:cs="Arial"/>
                <w:color w:val="000000"/>
                <w:sz w:val="18"/>
                <w:szCs w:val="22"/>
                <w:highlight w:val="darkGray"/>
              </w:rPr>
            </w:pPr>
            <w:r w:rsidRPr="00CF6E6B">
              <w:rPr>
                <w:rFonts w:cs="Arial"/>
                <w:color w:val="000000"/>
                <w:sz w:val="18"/>
                <w:szCs w:val="22"/>
                <w:shd w:val="solid" w:color="000000" w:fill="000000"/>
                <w14:textFill>
                  <w14:solidFill>
                    <w14:srgbClr w14:val="000000">
                      <w14:alpha w14:val="100000"/>
                    </w14:srgbClr>
                  </w14:solidFill>
                </w14:textFill>
              </w:rPr>
              <w:t>|</w:t>
            </w:r>
            <w:r w:rsidR="00D9265C" w:rsidRPr="00D9265C">
              <w:rPr>
                <w:sz w:val="18"/>
                <w:szCs w:val="18"/>
                <w:vertAlign w:val="superscript"/>
              </w:rPr>
              <w:t>9</w:t>
            </w:r>
          </w:p>
        </w:tc>
      </w:tr>
      <w:tr w:rsidR="00523D9A" w:rsidRPr="005A7226" w14:paraId="4163D787"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2239476B"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Net cost to PBS/RPBS</w:t>
            </w:r>
          </w:p>
        </w:tc>
        <w:tc>
          <w:tcPr>
            <w:tcW w:w="992" w:type="dxa"/>
            <w:tcBorders>
              <w:top w:val="single" w:sz="4" w:space="0" w:color="auto"/>
              <w:left w:val="single" w:sz="4" w:space="0" w:color="auto"/>
              <w:bottom w:val="single" w:sz="4" w:space="0" w:color="auto"/>
              <w:right w:val="single" w:sz="4" w:space="0" w:color="auto"/>
            </w:tcBorders>
            <w:vAlign w:val="center"/>
          </w:tcPr>
          <w:p w14:paraId="0A75A3D3" w14:textId="7ECDDC16"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70"/>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70"/>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70"/>
                <w14:textFill>
                  <w14:solidFill>
                    <w14:srgbClr w14:val="000000">
                      <w14:alpha w14:val="100000"/>
                    </w14:srgbClr>
                  </w14:solidFill>
                </w14:textFill>
              </w:rPr>
              <w:t xml:space="preserve">　</w:t>
            </w:r>
            <w:r w:rsidR="00554523" w:rsidRPr="00EE2466">
              <w:rPr>
                <w:sz w:val="18"/>
                <w:szCs w:val="18"/>
                <w:vertAlign w:val="superscript"/>
              </w:rPr>
              <w:t>17</w:t>
            </w:r>
          </w:p>
        </w:tc>
        <w:tc>
          <w:tcPr>
            <w:tcW w:w="992" w:type="dxa"/>
            <w:tcBorders>
              <w:top w:val="single" w:sz="4" w:space="0" w:color="auto"/>
              <w:left w:val="single" w:sz="4" w:space="0" w:color="auto"/>
              <w:bottom w:val="single" w:sz="4" w:space="0" w:color="auto"/>
              <w:right w:val="single" w:sz="4" w:space="0" w:color="auto"/>
            </w:tcBorders>
            <w:vAlign w:val="center"/>
          </w:tcPr>
          <w:p w14:paraId="5E1A81DC" w14:textId="162CA23B"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9"/>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9"/>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9"/>
                <w14:textFill>
                  <w14:solidFill>
                    <w14:srgbClr w14:val="000000">
                      <w14:alpha w14:val="100000"/>
                    </w14:srgbClr>
                  </w14:solidFill>
                </w14:textFill>
              </w:rPr>
              <w:t xml:space="preserve">　</w:t>
            </w:r>
            <w:r w:rsidR="008212AA" w:rsidRPr="00F67DDB">
              <w:rPr>
                <w:sz w:val="18"/>
                <w:szCs w:val="18"/>
                <w:vertAlign w:val="superscript"/>
              </w:rPr>
              <w:t>18</w:t>
            </w:r>
          </w:p>
        </w:tc>
        <w:tc>
          <w:tcPr>
            <w:tcW w:w="993" w:type="dxa"/>
            <w:tcBorders>
              <w:top w:val="single" w:sz="4" w:space="0" w:color="auto"/>
              <w:left w:val="single" w:sz="4" w:space="0" w:color="auto"/>
              <w:bottom w:val="single" w:sz="4" w:space="0" w:color="auto"/>
              <w:right w:val="single" w:sz="4" w:space="0" w:color="auto"/>
            </w:tcBorders>
            <w:vAlign w:val="center"/>
          </w:tcPr>
          <w:p w14:paraId="39F4B535" w14:textId="155CBCC3"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17"/>
                <w:sz w:val="18"/>
                <w:szCs w:val="22"/>
                <w:shd w:val="solid" w:color="000000" w:fill="000000"/>
                <w:fitText w:val="70" w:id="-694454268"/>
                <w14:textFill>
                  <w14:solidFill>
                    <w14:srgbClr w14:val="000000">
                      <w14:alpha w14:val="100000"/>
                    </w14:srgbClr>
                  </w14:solidFill>
                </w14:textFill>
              </w:rPr>
              <w:t xml:space="preserve">　</w:t>
            </w:r>
            <w:r w:rsidRPr="00CF6E6B">
              <w:rPr>
                <w:color w:val="000000"/>
                <w:w w:val="17"/>
                <w:sz w:val="18"/>
                <w:szCs w:val="22"/>
                <w:shd w:val="solid" w:color="000000" w:fill="000000"/>
                <w:fitText w:val="70" w:id="-694454268"/>
                <w14:textFill>
                  <w14:solidFill>
                    <w14:srgbClr w14:val="000000">
                      <w14:alpha w14:val="100000"/>
                    </w14:srgbClr>
                  </w14:solidFill>
                </w14:textFill>
              </w:rPr>
              <w:t>|</w:t>
            </w:r>
            <w:r w:rsidRPr="00CF6E6B">
              <w:rPr>
                <w:rFonts w:hint="eastAsia"/>
                <w:color w:val="000000"/>
                <w:spacing w:val="4"/>
                <w:w w:val="17"/>
                <w:sz w:val="18"/>
                <w:szCs w:val="22"/>
                <w:shd w:val="solid" w:color="000000" w:fill="000000"/>
                <w:fitText w:val="70" w:id="-694454268"/>
                <w14:textFill>
                  <w14:solidFill>
                    <w14:srgbClr w14:val="000000">
                      <w14:alpha w14:val="100000"/>
                    </w14:srgbClr>
                  </w14:solidFill>
                </w14:textFill>
              </w:rPr>
              <w:t xml:space="preserve">　</w:t>
            </w:r>
            <w:r w:rsidR="002847D2"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center"/>
          </w:tcPr>
          <w:p w14:paraId="7BD87563" w14:textId="1B423134"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7"/>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7"/>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7"/>
                <w14:textFill>
                  <w14:solidFill>
                    <w14:srgbClr w14:val="000000">
                      <w14:alpha w14:val="100000"/>
                    </w14:srgbClr>
                  </w14:solidFill>
                </w14:textFill>
              </w:rPr>
              <w:t xml:space="preserve">　</w:t>
            </w:r>
            <w:r w:rsidR="002847D2"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center"/>
          </w:tcPr>
          <w:p w14:paraId="3A1C4D94" w14:textId="05198E21"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6"/>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6"/>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6"/>
                <w14:textFill>
                  <w14:solidFill>
                    <w14:srgbClr w14:val="000000">
                      <w14:alpha w14:val="100000"/>
                    </w14:srgbClr>
                  </w14:solidFill>
                </w14:textFill>
              </w:rPr>
              <w:t xml:space="preserve">　</w:t>
            </w:r>
            <w:r w:rsidR="002847D2"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center"/>
          </w:tcPr>
          <w:p w14:paraId="6AD8EEEB" w14:textId="0E51FC17"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5"/>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5"/>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5"/>
                <w14:textFill>
                  <w14:solidFill>
                    <w14:srgbClr w14:val="000000">
                      <w14:alpha w14:val="100000"/>
                    </w14:srgbClr>
                  </w14:solidFill>
                </w14:textFill>
              </w:rPr>
              <w:t xml:space="preserve">　</w:t>
            </w:r>
            <w:r w:rsidR="00735FA6" w:rsidRPr="00D64C57">
              <w:rPr>
                <w:b/>
                <w:bCs w:val="0"/>
                <w:sz w:val="18"/>
                <w:szCs w:val="18"/>
                <w:vertAlign w:val="superscript"/>
              </w:rPr>
              <w:t>21</w:t>
            </w:r>
          </w:p>
        </w:tc>
        <w:tc>
          <w:tcPr>
            <w:tcW w:w="1084" w:type="dxa"/>
            <w:tcBorders>
              <w:top w:val="single" w:sz="4" w:space="0" w:color="auto"/>
              <w:left w:val="single" w:sz="4" w:space="0" w:color="auto"/>
              <w:bottom w:val="single" w:sz="4" w:space="0" w:color="auto"/>
              <w:right w:val="single" w:sz="4" w:space="0" w:color="auto"/>
            </w:tcBorders>
            <w:vAlign w:val="center"/>
          </w:tcPr>
          <w:p w14:paraId="1F52AA81" w14:textId="13095D52"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15"/>
                <w:sz w:val="18"/>
                <w:szCs w:val="22"/>
                <w:shd w:val="solid" w:color="000000" w:fill="000000"/>
                <w:fitText w:val="40" w:id="-694454264"/>
                <w14:textFill>
                  <w14:solidFill>
                    <w14:srgbClr w14:val="000000">
                      <w14:alpha w14:val="100000"/>
                    </w14:srgbClr>
                  </w14:solidFill>
                </w14:textFill>
              </w:rPr>
              <w:t xml:space="preserve">　</w:t>
            </w:r>
            <w:r w:rsidRPr="00CF6E6B">
              <w:rPr>
                <w:color w:val="000000"/>
                <w:w w:val="15"/>
                <w:sz w:val="18"/>
                <w:szCs w:val="22"/>
                <w:shd w:val="solid" w:color="000000" w:fill="000000"/>
                <w:fitText w:val="40" w:id="-694454264"/>
                <w14:textFill>
                  <w14:solidFill>
                    <w14:srgbClr w14:val="000000">
                      <w14:alpha w14:val="100000"/>
                    </w14:srgbClr>
                  </w14:solidFill>
                </w14:textFill>
              </w:rPr>
              <w:t>|</w:t>
            </w:r>
            <w:r w:rsidRPr="00CF6E6B">
              <w:rPr>
                <w:rFonts w:hint="eastAsia"/>
                <w:color w:val="000000"/>
                <w:spacing w:val="-19"/>
                <w:w w:val="15"/>
                <w:sz w:val="18"/>
                <w:szCs w:val="22"/>
                <w:shd w:val="solid" w:color="000000" w:fill="000000"/>
                <w:fitText w:val="40" w:id="-694454264"/>
                <w14:textFill>
                  <w14:solidFill>
                    <w14:srgbClr w14:val="000000">
                      <w14:alpha w14:val="100000"/>
                    </w14:srgbClr>
                  </w14:solidFill>
                </w14:textFill>
              </w:rPr>
              <w:t xml:space="preserve">　</w:t>
            </w:r>
            <w:r w:rsidR="006E7C70" w:rsidRPr="00FB5CD3">
              <w:rPr>
                <w:sz w:val="18"/>
                <w:szCs w:val="18"/>
                <w:vertAlign w:val="superscript"/>
              </w:rPr>
              <w:t>19</w:t>
            </w:r>
          </w:p>
        </w:tc>
      </w:tr>
      <w:tr w:rsidR="00523D9A" w:rsidRPr="005A7226" w14:paraId="55155CD4"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2E502684" w14:textId="77777777" w:rsidR="00523D9A" w:rsidRPr="005A7226" w:rsidRDefault="00523D9A" w:rsidP="005257AC">
            <w:pPr>
              <w:keepNext/>
              <w:keepLines/>
              <w:widowControl w:val="0"/>
              <w:jc w:val="left"/>
              <w:rPr>
                <w:rFonts w:ascii="Arial Narrow" w:hAnsi="Arial Narrow" w:cs="Times New Roman"/>
                <w:sz w:val="19"/>
                <w:szCs w:val="19"/>
                <w:lang w:eastAsia="en-GB"/>
              </w:rPr>
            </w:pPr>
            <w:r w:rsidRPr="005A7226">
              <w:rPr>
                <w:rFonts w:ascii="Arial Narrow" w:hAnsi="Arial Narrow" w:cs="Times New Roman"/>
                <w:sz w:val="19"/>
                <w:szCs w:val="19"/>
                <w:lang w:eastAsia="en-GB"/>
              </w:rPr>
              <w:t>Net cost to MBS</w:t>
            </w:r>
          </w:p>
        </w:tc>
        <w:tc>
          <w:tcPr>
            <w:tcW w:w="992" w:type="dxa"/>
            <w:tcBorders>
              <w:top w:val="single" w:sz="4" w:space="0" w:color="auto"/>
              <w:left w:val="single" w:sz="4" w:space="0" w:color="auto"/>
              <w:bottom w:val="single" w:sz="4" w:space="0" w:color="auto"/>
              <w:right w:val="single" w:sz="4" w:space="0" w:color="auto"/>
            </w:tcBorders>
            <w:vAlign w:val="center"/>
          </w:tcPr>
          <w:p w14:paraId="53E272F0" w14:textId="109CC12D"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3"/>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3"/>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3"/>
                <w14:textFill>
                  <w14:solidFill>
                    <w14:srgbClr w14:val="000000">
                      <w14:alpha w14:val="100000"/>
                    </w14:srgbClr>
                  </w14:solidFill>
                </w14:textFill>
              </w:rPr>
              <w:t xml:space="preserve">　</w:t>
            </w:r>
            <w:r w:rsidR="001F202C" w:rsidRPr="001F202C">
              <w:rPr>
                <w:sz w:val="18"/>
                <w:szCs w:val="22"/>
                <w:vertAlign w:val="superscript"/>
              </w:rPr>
              <w:t>22</w:t>
            </w:r>
          </w:p>
        </w:tc>
        <w:tc>
          <w:tcPr>
            <w:tcW w:w="992" w:type="dxa"/>
            <w:tcBorders>
              <w:top w:val="single" w:sz="4" w:space="0" w:color="auto"/>
              <w:left w:val="single" w:sz="4" w:space="0" w:color="auto"/>
              <w:bottom w:val="single" w:sz="4" w:space="0" w:color="auto"/>
              <w:right w:val="single" w:sz="4" w:space="0" w:color="auto"/>
            </w:tcBorders>
            <w:vAlign w:val="center"/>
          </w:tcPr>
          <w:p w14:paraId="31604AFD" w14:textId="33EFD2F8"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2"/>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2"/>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2"/>
                <w14:textFill>
                  <w14:solidFill>
                    <w14:srgbClr w14:val="000000">
                      <w14:alpha w14:val="100000"/>
                    </w14:srgbClr>
                  </w14:solidFill>
                </w14:textFill>
              </w:rPr>
              <w:t xml:space="preserve">　</w:t>
            </w:r>
            <w:r w:rsidR="001F202C" w:rsidRPr="001F202C">
              <w:rPr>
                <w:sz w:val="18"/>
                <w:szCs w:val="22"/>
                <w:vertAlign w:val="superscript"/>
              </w:rPr>
              <w:t>22</w:t>
            </w:r>
          </w:p>
        </w:tc>
        <w:tc>
          <w:tcPr>
            <w:tcW w:w="993" w:type="dxa"/>
            <w:tcBorders>
              <w:top w:val="single" w:sz="4" w:space="0" w:color="auto"/>
              <w:left w:val="single" w:sz="4" w:space="0" w:color="auto"/>
              <w:bottom w:val="single" w:sz="4" w:space="0" w:color="auto"/>
              <w:right w:val="single" w:sz="4" w:space="0" w:color="auto"/>
            </w:tcBorders>
            <w:vAlign w:val="center"/>
          </w:tcPr>
          <w:p w14:paraId="562991AB" w14:textId="1226CF33"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17"/>
                <w:sz w:val="18"/>
                <w:szCs w:val="22"/>
                <w:shd w:val="solid" w:color="000000" w:fill="000000"/>
                <w:fitText w:val="70" w:id="-694454261"/>
                <w14:textFill>
                  <w14:solidFill>
                    <w14:srgbClr w14:val="000000">
                      <w14:alpha w14:val="100000"/>
                    </w14:srgbClr>
                  </w14:solidFill>
                </w14:textFill>
              </w:rPr>
              <w:t xml:space="preserve">　</w:t>
            </w:r>
            <w:r w:rsidRPr="00CF6E6B">
              <w:rPr>
                <w:color w:val="000000"/>
                <w:w w:val="17"/>
                <w:sz w:val="18"/>
                <w:szCs w:val="22"/>
                <w:shd w:val="solid" w:color="000000" w:fill="000000"/>
                <w:fitText w:val="70" w:id="-694454261"/>
                <w14:textFill>
                  <w14:solidFill>
                    <w14:srgbClr w14:val="000000">
                      <w14:alpha w14:val="100000"/>
                    </w14:srgbClr>
                  </w14:solidFill>
                </w14:textFill>
              </w:rPr>
              <w:t>|</w:t>
            </w:r>
            <w:r w:rsidRPr="00CF6E6B">
              <w:rPr>
                <w:rFonts w:hint="eastAsia"/>
                <w:color w:val="000000"/>
                <w:spacing w:val="4"/>
                <w:w w:val="17"/>
                <w:sz w:val="18"/>
                <w:szCs w:val="22"/>
                <w:shd w:val="solid" w:color="000000" w:fill="000000"/>
                <w:fitText w:val="70" w:id="-694454261"/>
                <w14:textFill>
                  <w14:solidFill>
                    <w14:srgbClr w14:val="000000">
                      <w14:alpha w14:val="100000"/>
                    </w14:srgbClr>
                  </w14:solidFill>
                </w14:textFill>
              </w:rPr>
              <w:t xml:space="preserve">　</w:t>
            </w:r>
            <w:r w:rsidR="001F202C" w:rsidRPr="001F202C">
              <w:rPr>
                <w:sz w:val="18"/>
                <w:szCs w:val="22"/>
                <w:vertAlign w:val="superscript"/>
              </w:rPr>
              <w:t>22</w:t>
            </w:r>
          </w:p>
        </w:tc>
        <w:tc>
          <w:tcPr>
            <w:tcW w:w="992" w:type="dxa"/>
            <w:tcBorders>
              <w:top w:val="single" w:sz="4" w:space="0" w:color="auto"/>
              <w:left w:val="single" w:sz="4" w:space="0" w:color="auto"/>
              <w:bottom w:val="single" w:sz="4" w:space="0" w:color="auto"/>
              <w:right w:val="single" w:sz="4" w:space="0" w:color="auto"/>
            </w:tcBorders>
            <w:vAlign w:val="center"/>
          </w:tcPr>
          <w:p w14:paraId="13C62B16" w14:textId="36A0AE67"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60"/>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0"/>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0"/>
                <w14:textFill>
                  <w14:solidFill>
                    <w14:srgbClr w14:val="000000">
                      <w14:alpha w14:val="100000"/>
                    </w14:srgbClr>
                  </w14:solidFill>
                </w14:textFill>
              </w:rPr>
              <w:t xml:space="preserve">　</w:t>
            </w:r>
            <w:r w:rsidR="001F202C" w:rsidRPr="001F202C">
              <w:rPr>
                <w:sz w:val="18"/>
                <w:szCs w:val="22"/>
                <w:vertAlign w:val="superscript"/>
              </w:rPr>
              <w:t>22</w:t>
            </w:r>
          </w:p>
        </w:tc>
        <w:tc>
          <w:tcPr>
            <w:tcW w:w="992" w:type="dxa"/>
            <w:tcBorders>
              <w:top w:val="single" w:sz="4" w:space="0" w:color="auto"/>
              <w:left w:val="single" w:sz="4" w:space="0" w:color="auto"/>
              <w:bottom w:val="single" w:sz="4" w:space="0" w:color="auto"/>
              <w:right w:val="single" w:sz="4" w:space="0" w:color="auto"/>
            </w:tcBorders>
            <w:vAlign w:val="center"/>
          </w:tcPr>
          <w:p w14:paraId="346F95ED" w14:textId="79A51BCE"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59"/>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59"/>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59"/>
                <w14:textFill>
                  <w14:solidFill>
                    <w14:srgbClr w14:val="000000">
                      <w14:alpha w14:val="100000"/>
                    </w14:srgbClr>
                  </w14:solidFill>
                </w14:textFill>
              </w:rPr>
              <w:t xml:space="preserve">　</w:t>
            </w:r>
            <w:r w:rsidR="001F202C" w:rsidRPr="001F202C">
              <w:rPr>
                <w:sz w:val="18"/>
                <w:szCs w:val="22"/>
                <w:vertAlign w:val="superscript"/>
              </w:rPr>
              <w:t>22</w:t>
            </w:r>
          </w:p>
        </w:tc>
        <w:tc>
          <w:tcPr>
            <w:tcW w:w="992" w:type="dxa"/>
            <w:tcBorders>
              <w:top w:val="single" w:sz="4" w:space="0" w:color="auto"/>
              <w:left w:val="single" w:sz="4" w:space="0" w:color="auto"/>
              <w:bottom w:val="single" w:sz="4" w:space="0" w:color="auto"/>
              <w:right w:val="single" w:sz="4" w:space="0" w:color="auto"/>
            </w:tcBorders>
            <w:vAlign w:val="center"/>
          </w:tcPr>
          <w:p w14:paraId="37D78202" w14:textId="1B3E8287"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20"/>
                <w:sz w:val="18"/>
                <w:szCs w:val="22"/>
                <w:shd w:val="solid" w:color="000000" w:fill="000000"/>
                <w:fitText w:val="80" w:id="-694454258"/>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58"/>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58"/>
                <w14:textFill>
                  <w14:solidFill>
                    <w14:srgbClr w14:val="000000">
                      <w14:alpha w14:val="100000"/>
                    </w14:srgbClr>
                  </w14:solidFill>
                </w14:textFill>
              </w:rPr>
              <w:t xml:space="preserve">　</w:t>
            </w:r>
            <w:r w:rsidR="001F202C" w:rsidRPr="001F202C">
              <w:rPr>
                <w:sz w:val="18"/>
                <w:szCs w:val="22"/>
                <w:vertAlign w:val="superscript"/>
              </w:rPr>
              <w:t>22</w:t>
            </w:r>
          </w:p>
        </w:tc>
        <w:tc>
          <w:tcPr>
            <w:tcW w:w="1084" w:type="dxa"/>
            <w:tcBorders>
              <w:top w:val="single" w:sz="4" w:space="0" w:color="auto"/>
              <w:left w:val="single" w:sz="4" w:space="0" w:color="auto"/>
              <w:bottom w:val="single" w:sz="4" w:space="0" w:color="auto"/>
              <w:right w:val="single" w:sz="4" w:space="0" w:color="auto"/>
            </w:tcBorders>
            <w:vAlign w:val="center"/>
          </w:tcPr>
          <w:p w14:paraId="61A3698E" w14:textId="460DB5CA" w:rsidR="00523D9A" w:rsidRPr="00B847DA" w:rsidRDefault="00CF6E6B" w:rsidP="005257AC">
            <w:pPr>
              <w:pStyle w:val="TableText0"/>
              <w:keepLines/>
              <w:jc w:val="center"/>
              <w:rPr>
                <w:rFonts w:cs="Arial"/>
                <w:color w:val="000000"/>
                <w:sz w:val="18"/>
                <w:szCs w:val="22"/>
                <w:highlight w:val="darkGray"/>
              </w:rPr>
            </w:pPr>
            <w:r w:rsidRPr="00CF6E6B">
              <w:rPr>
                <w:rFonts w:hint="eastAsia"/>
                <w:color w:val="000000"/>
                <w:w w:val="15"/>
                <w:sz w:val="18"/>
                <w:szCs w:val="22"/>
                <w:shd w:val="solid" w:color="000000" w:fill="000000"/>
                <w:fitText w:val="40" w:id="-694454257"/>
                <w14:textFill>
                  <w14:solidFill>
                    <w14:srgbClr w14:val="000000">
                      <w14:alpha w14:val="100000"/>
                    </w14:srgbClr>
                  </w14:solidFill>
                </w14:textFill>
              </w:rPr>
              <w:t xml:space="preserve">　</w:t>
            </w:r>
            <w:r w:rsidRPr="00CF6E6B">
              <w:rPr>
                <w:color w:val="000000"/>
                <w:w w:val="15"/>
                <w:sz w:val="18"/>
                <w:szCs w:val="22"/>
                <w:shd w:val="solid" w:color="000000" w:fill="000000"/>
                <w:fitText w:val="40" w:id="-694454257"/>
                <w14:textFill>
                  <w14:solidFill>
                    <w14:srgbClr w14:val="000000">
                      <w14:alpha w14:val="100000"/>
                    </w14:srgbClr>
                  </w14:solidFill>
                </w14:textFill>
              </w:rPr>
              <w:t>|</w:t>
            </w:r>
            <w:r w:rsidRPr="00CF6E6B">
              <w:rPr>
                <w:rFonts w:hint="eastAsia"/>
                <w:color w:val="000000"/>
                <w:spacing w:val="-19"/>
                <w:w w:val="15"/>
                <w:sz w:val="18"/>
                <w:szCs w:val="22"/>
                <w:shd w:val="solid" w:color="000000" w:fill="000000"/>
                <w:fitText w:val="40" w:id="-694454257"/>
                <w14:textFill>
                  <w14:solidFill>
                    <w14:srgbClr w14:val="000000">
                      <w14:alpha w14:val="100000"/>
                    </w14:srgbClr>
                  </w14:solidFill>
                </w14:textFill>
              </w:rPr>
              <w:t xml:space="preserve">　</w:t>
            </w:r>
            <w:r w:rsidR="001F202C" w:rsidRPr="001F202C">
              <w:rPr>
                <w:sz w:val="18"/>
                <w:szCs w:val="22"/>
                <w:vertAlign w:val="superscript"/>
              </w:rPr>
              <w:t>22</w:t>
            </w:r>
          </w:p>
        </w:tc>
      </w:tr>
      <w:tr w:rsidR="00523D9A" w:rsidRPr="005A7226" w14:paraId="5A7C21EA" w14:textId="77777777" w:rsidTr="005257AC">
        <w:trPr>
          <w:trHeight w:val="20"/>
        </w:trPr>
        <w:tc>
          <w:tcPr>
            <w:tcW w:w="1980" w:type="dxa"/>
            <w:tcBorders>
              <w:top w:val="single" w:sz="4" w:space="0" w:color="auto"/>
              <w:left w:val="single" w:sz="4" w:space="0" w:color="auto"/>
              <w:bottom w:val="single" w:sz="4" w:space="0" w:color="auto"/>
              <w:right w:val="single" w:sz="4" w:space="0" w:color="auto"/>
            </w:tcBorders>
            <w:vAlign w:val="center"/>
            <w:hideMark/>
          </w:tcPr>
          <w:p w14:paraId="2F970E9A" w14:textId="77777777" w:rsidR="00523D9A" w:rsidRPr="005A7226" w:rsidRDefault="00523D9A" w:rsidP="005257AC">
            <w:pPr>
              <w:keepNext/>
              <w:keepLines/>
              <w:widowControl w:val="0"/>
              <w:jc w:val="left"/>
              <w:rPr>
                <w:rFonts w:ascii="Arial Narrow" w:hAnsi="Arial Narrow" w:cs="Times New Roman"/>
                <w:b/>
                <w:sz w:val="19"/>
                <w:szCs w:val="19"/>
                <w:lang w:eastAsia="en-GB"/>
              </w:rPr>
            </w:pPr>
            <w:r w:rsidRPr="005A7226">
              <w:rPr>
                <w:rFonts w:ascii="Arial Narrow" w:hAnsi="Arial Narrow" w:cs="Times New Roman"/>
                <w:b/>
                <w:sz w:val="19"/>
                <w:szCs w:val="19"/>
                <w:lang w:eastAsia="en-GB"/>
              </w:rPr>
              <w:t xml:space="preserve">Net change to health budget </w:t>
            </w:r>
          </w:p>
        </w:tc>
        <w:tc>
          <w:tcPr>
            <w:tcW w:w="992" w:type="dxa"/>
            <w:tcBorders>
              <w:top w:val="single" w:sz="4" w:space="0" w:color="auto"/>
              <w:left w:val="single" w:sz="4" w:space="0" w:color="auto"/>
              <w:bottom w:val="single" w:sz="4" w:space="0" w:color="auto"/>
              <w:right w:val="single" w:sz="4" w:space="0" w:color="auto"/>
            </w:tcBorders>
            <w:vAlign w:val="center"/>
          </w:tcPr>
          <w:p w14:paraId="5117FEC3" w14:textId="6D2810FB" w:rsidR="00523D9A" w:rsidRPr="00B847DA" w:rsidRDefault="00CF6E6B" w:rsidP="005257AC">
            <w:pPr>
              <w:pStyle w:val="TableText0"/>
              <w:keepLines/>
              <w:jc w:val="center"/>
              <w:rPr>
                <w:rFonts w:cs="Arial"/>
                <w:b/>
                <w:bCs w:val="0"/>
                <w:color w:val="000000"/>
                <w:sz w:val="18"/>
                <w:szCs w:val="22"/>
                <w:highlight w:val="darkGray"/>
              </w:rPr>
            </w:pPr>
            <w:r w:rsidRPr="00CF6E6B">
              <w:rPr>
                <w:rFonts w:hint="eastAsia"/>
                <w:color w:val="000000"/>
                <w:w w:val="20"/>
                <w:sz w:val="18"/>
                <w:szCs w:val="22"/>
                <w:shd w:val="solid" w:color="000000" w:fill="000000"/>
                <w:fitText w:val="80" w:id="-694454256"/>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56"/>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56"/>
                <w14:textFill>
                  <w14:solidFill>
                    <w14:srgbClr w14:val="000000">
                      <w14:alpha w14:val="100000"/>
                    </w14:srgbClr>
                  </w14:solidFill>
                </w14:textFill>
              </w:rPr>
              <w:t xml:space="preserve">　</w:t>
            </w:r>
            <w:r w:rsidR="00554523" w:rsidRPr="00EE2466">
              <w:rPr>
                <w:sz w:val="18"/>
                <w:szCs w:val="18"/>
                <w:vertAlign w:val="superscript"/>
              </w:rPr>
              <w:t>17</w:t>
            </w:r>
          </w:p>
        </w:tc>
        <w:tc>
          <w:tcPr>
            <w:tcW w:w="992" w:type="dxa"/>
            <w:tcBorders>
              <w:top w:val="single" w:sz="4" w:space="0" w:color="auto"/>
              <w:left w:val="single" w:sz="4" w:space="0" w:color="auto"/>
              <w:bottom w:val="single" w:sz="4" w:space="0" w:color="auto"/>
              <w:right w:val="single" w:sz="4" w:space="0" w:color="auto"/>
            </w:tcBorders>
            <w:vAlign w:val="center"/>
          </w:tcPr>
          <w:p w14:paraId="2095705C" w14:textId="20F9A3AE" w:rsidR="00523D9A" w:rsidRPr="00B847DA" w:rsidRDefault="00CF6E6B" w:rsidP="005257AC">
            <w:pPr>
              <w:pStyle w:val="TableText0"/>
              <w:keepLines/>
              <w:jc w:val="center"/>
              <w:rPr>
                <w:rFonts w:cs="Arial"/>
                <w:b/>
                <w:bCs w:val="0"/>
                <w:color w:val="000000"/>
                <w:sz w:val="18"/>
                <w:szCs w:val="22"/>
                <w:highlight w:val="darkGray"/>
              </w:rPr>
            </w:pPr>
            <w:r w:rsidRPr="00CF6E6B">
              <w:rPr>
                <w:rFonts w:hint="eastAsia"/>
                <w:color w:val="000000"/>
                <w:w w:val="20"/>
                <w:sz w:val="18"/>
                <w:szCs w:val="22"/>
                <w:shd w:val="solid" w:color="000000" w:fill="000000"/>
                <w:fitText w:val="80" w:id="-694454272"/>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72"/>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72"/>
                <w14:textFill>
                  <w14:solidFill>
                    <w14:srgbClr w14:val="000000">
                      <w14:alpha w14:val="100000"/>
                    </w14:srgbClr>
                  </w14:solidFill>
                </w14:textFill>
              </w:rPr>
              <w:t xml:space="preserve">　</w:t>
            </w:r>
            <w:r w:rsidR="002847D2" w:rsidRPr="00F67DDB">
              <w:rPr>
                <w:sz w:val="18"/>
                <w:szCs w:val="18"/>
                <w:vertAlign w:val="superscript"/>
              </w:rPr>
              <w:t>18</w:t>
            </w:r>
          </w:p>
        </w:tc>
        <w:tc>
          <w:tcPr>
            <w:tcW w:w="993" w:type="dxa"/>
            <w:tcBorders>
              <w:top w:val="single" w:sz="4" w:space="0" w:color="auto"/>
              <w:left w:val="single" w:sz="4" w:space="0" w:color="auto"/>
              <w:bottom w:val="single" w:sz="4" w:space="0" w:color="auto"/>
              <w:right w:val="single" w:sz="4" w:space="0" w:color="auto"/>
            </w:tcBorders>
            <w:vAlign w:val="center"/>
          </w:tcPr>
          <w:p w14:paraId="20043405" w14:textId="174A7616" w:rsidR="00523D9A" w:rsidRPr="00B847DA" w:rsidRDefault="00CF6E6B" w:rsidP="005257AC">
            <w:pPr>
              <w:pStyle w:val="TableText0"/>
              <w:keepLines/>
              <w:jc w:val="center"/>
              <w:rPr>
                <w:rFonts w:cs="Arial"/>
                <w:b/>
                <w:bCs w:val="0"/>
                <w:color w:val="000000"/>
                <w:sz w:val="18"/>
                <w:szCs w:val="22"/>
                <w:highlight w:val="darkGray"/>
              </w:rPr>
            </w:pPr>
            <w:r w:rsidRPr="00CF6E6B">
              <w:rPr>
                <w:rFonts w:hint="eastAsia"/>
                <w:color w:val="000000"/>
                <w:w w:val="17"/>
                <w:sz w:val="18"/>
                <w:szCs w:val="22"/>
                <w:shd w:val="solid" w:color="000000" w:fill="000000"/>
                <w:fitText w:val="70" w:id="-694454271"/>
                <w14:textFill>
                  <w14:solidFill>
                    <w14:srgbClr w14:val="000000">
                      <w14:alpha w14:val="100000"/>
                    </w14:srgbClr>
                  </w14:solidFill>
                </w14:textFill>
              </w:rPr>
              <w:t xml:space="preserve">　</w:t>
            </w:r>
            <w:r w:rsidRPr="00CF6E6B">
              <w:rPr>
                <w:color w:val="000000"/>
                <w:w w:val="17"/>
                <w:sz w:val="18"/>
                <w:szCs w:val="22"/>
                <w:shd w:val="solid" w:color="000000" w:fill="000000"/>
                <w:fitText w:val="70" w:id="-694454271"/>
                <w14:textFill>
                  <w14:solidFill>
                    <w14:srgbClr w14:val="000000">
                      <w14:alpha w14:val="100000"/>
                    </w14:srgbClr>
                  </w14:solidFill>
                </w14:textFill>
              </w:rPr>
              <w:t>|</w:t>
            </w:r>
            <w:r w:rsidRPr="00CF6E6B">
              <w:rPr>
                <w:rFonts w:hint="eastAsia"/>
                <w:color w:val="000000"/>
                <w:spacing w:val="4"/>
                <w:w w:val="17"/>
                <w:sz w:val="18"/>
                <w:szCs w:val="22"/>
                <w:shd w:val="solid" w:color="000000" w:fill="000000"/>
                <w:fitText w:val="70" w:id="-694454271"/>
                <w14:textFill>
                  <w14:solidFill>
                    <w14:srgbClr w14:val="000000">
                      <w14:alpha w14:val="100000"/>
                    </w14:srgbClr>
                  </w14:solidFill>
                </w14:textFill>
              </w:rPr>
              <w:t xml:space="preserve">　</w:t>
            </w:r>
            <w:r w:rsidR="002847D2"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center"/>
          </w:tcPr>
          <w:p w14:paraId="5C4C58F0" w14:textId="0453C5E9" w:rsidR="00523D9A" w:rsidRPr="00B847DA" w:rsidRDefault="00CF6E6B" w:rsidP="005257AC">
            <w:pPr>
              <w:pStyle w:val="TableText0"/>
              <w:keepLines/>
              <w:jc w:val="center"/>
              <w:rPr>
                <w:rFonts w:cs="Arial"/>
                <w:b/>
                <w:bCs w:val="0"/>
                <w:color w:val="000000"/>
                <w:sz w:val="18"/>
                <w:szCs w:val="22"/>
                <w:highlight w:val="darkGray"/>
              </w:rPr>
            </w:pPr>
            <w:r w:rsidRPr="00CF6E6B">
              <w:rPr>
                <w:rFonts w:hint="eastAsia"/>
                <w:color w:val="000000"/>
                <w:w w:val="20"/>
                <w:sz w:val="18"/>
                <w:szCs w:val="22"/>
                <w:shd w:val="solid" w:color="000000" w:fill="000000"/>
                <w:fitText w:val="80" w:id="-694454270"/>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70"/>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70"/>
                <w14:textFill>
                  <w14:solidFill>
                    <w14:srgbClr w14:val="000000">
                      <w14:alpha w14:val="100000"/>
                    </w14:srgbClr>
                  </w14:solidFill>
                </w14:textFill>
              </w:rPr>
              <w:t xml:space="preserve">　</w:t>
            </w:r>
            <w:r w:rsidR="002847D2"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center"/>
          </w:tcPr>
          <w:p w14:paraId="77FCE712" w14:textId="0FFA70DE" w:rsidR="00523D9A" w:rsidRPr="00B847DA" w:rsidRDefault="00CF6E6B" w:rsidP="005257AC">
            <w:pPr>
              <w:pStyle w:val="TableText0"/>
              <w:keepLines/>
              <w:jc w:val="center"/>
              <w:rPr>
                <w:rFonts w:cs="Arial"/>
                <w:b/>
                <w:bCs w:val="0"/>
                <w:color w:val="000000"/>
                <w:sz w:val="18"/>
                <w:szCs w:val="22"/>
                <w:highlight w:val="darkGray"/>
              </w:rPr>
            </w:pPr>
            <w:r w:rsidRPr="00CF6E6B">
              <w:rPr>
                <w:rFonts w:hint="eastAsia"/>
                <w:color w:val="000000"/>
                <w:w w:val="20"/>
                <w:sz w:val="18"/>
                <w:szCs w:val="22"/>
                <w:shd w:val="solid" w:color="000000" w:fill="000000"/>
                <w:fitText w:val="80" w:id="-694454269"/>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9"/>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9"/>
                <w14:textFill>
                  <w14:solidFill>
                    <w14:srgbClr w14:val="000000">
                      <w14:alpha w14:val="100000"/>
                    </w14:srgbClr>
                  </w14:solidFill>
                </w14:textFill>
              </w:rPr>
              <w:t xml:space="preserve">　</w:t>
            </w:r>
            <w:r w:rsidR="002847D2" w:rsidRPr="00F67DDB">
              <w:rPr>
                <w:sz w:val="18"/>
                <w:szCs w:val="18"/>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center"/>
          </w:tcPr>
          <w:p w14:paraId="3C398F5B" w14:textId="160EECF7" w:rsidR="00523D9A" w:rsidRPr="00B847DA" w:rsidRDefault="00CF6E6B" w:rsidP="005257AC">
            <w:pPr>
              <w:pStyle w:val="TableText0"/>
              <w:keepLines/>
              <w:jc w:val="center"/>
              <w:rPr>
                <w:rFonts w:cs="Arial"/>
                <w:b/>
                <w:bCs w:val="0"/>
                <w:color w:val="000000"/>
                <w:sz w:val="18"/>
                <w:szCs w:val="22"/>
                <w:highlight w:val="darkGray"/>
              </w:rPr>
            </w:pPr>
            <w:r w:rsidRPr="00CF6E6B">
              <w:rPr>
                <w:rFonts w:hint="eastAsia"/>
                <w:color w:val="000000"/>
                <w:w w:val="20"/>
                <w:sz w:val="18"/>
                <w:szCs w:val="22"/>
                <w:shd w:val="solid" w:color="000000" w:fill="000000"/>
                <w:fitText w:val="80" w:id="-694454268"/>
                <w14:textFill>
                  <w14:solidFill>
                    <w14:srgbClr w14:val="000000">
                      <w14:alpha w14:val="100000"/>
                    </w14:srgbClr>
                  </w14:solidFill>
                </w14:textFill>
              </w:rPr>
              <w:t xml:space="preserve">　</w:t>
            </w:r>
            <w:r w:rsidRPr="00CF6E6B">
              <w:rPr>
                <w:color w:val="000000"/>
                <w:w w:val="20"/>
                <w:sz w:val="18"/>
                <w:szCs w:val="22"/>
                <w:shd w:val="solid" w:color="000000" w:fill="000000"/>
                <w:fitText w:val="80" w:id="-694454268"/>
                <w14:textFill>
                  <w14:solidFill>
                    <w14:srgbClr w14:val="000000">
                      <w14:alpha w14:val="100000"/>
                    </w14:srgbClr>
                  </w14:solidFill>
                </w14:textFill>
              </w:rPr>
              <w:t>|</w:t>
            </w:r>
            <w:r w:rsidRPr="00CF6E6B">
              <w:rPr>
                <w:rFonts w:hint="eastAsia"/>
                <w:color w:val="000000"/>
                <w:spacing w:val="2"/>
                <w:w w:val="20"/>
                <w:sz w:val="18"/>
                <w:szCs w:val="22"/>
                <w:shd w:val="solid" w:color="000000" w:fill="000000"/>
                <w:fitText w:val="80" w:id="-694454268"/>
                <w14:textFill>
                  <w14:solidFill>
                    <w14:srgbClr w14:val="000000">
                      <w14:alpha w14:val="100000"/>
                    </w14:srgbClr>
                  </w14:solidFill>
                </w14:textFill>
              </w:rPr>
              <w:t xml:space="preserve">　</w:t>
            </w:r>
            <w:r w:rsidR="002847D2" w:rsidRPr="00F67DDB">
              <w:rPr>
                <w:sz w:val="18"/>
                <w:szCs w:val="18"/>
                <w:vertAlign w:val="superscript"/>
              </w:rPr>
              <w:t>18</w:t>
            </w:r>
          </w:p>
        </w:tc>
        <w:tc>
          <w:tcPr>
            <w:tcW w:w="1084" w:type="dxa"/>
            <w:tcBorders>
              <w:top w:val="single" w:sz="4" w:space="0" w:color="auto"/>
              <w:left w:val="single" w:sz="4" w:space="0" w:color="auto"/>
              <w:bottom w:val="single" w:sz="4" w:space="0" w:color="auto"/>
              <w:right w:val="single" w:sz="4" w:space="0" w:color="auto"/>
            </w:tcBorders>
            <w:vAlign w:val="center"/>
          </w:tcPr>
          <w:p w14:paraId="073D6C9B" w14:textId="2CC02C29" w:rsidR="00523D9A" w:rsidRPr="00B847DA" w:rsidRDefault="00CF6E6B" w:rsidP="005257AC">
            <w:pPr>
              <w:pStyle w:val="TableText0"/>
              <w:keepLines/>
              <w:jc w:val="center"/>
              <w:rPr>
                <w:rFonts w:cs="Arial"/>
                <w:b/>
                <w:bCs w:val="0"/>
                <w:color w:val="000000"/>
                <w:sz w:val="18"/>
                <w:szCs w:val="22"/>
                <w:highlight w:val="darkGray"/>
              </w:rPr>
            </w:pPr>
            <w:r w:rsidRPr="00B24620">
              <w:rPr>
                <w:rFonts w:hint="eastAsia"/>
                <w:color w:val="000000"/>
                <w:w w:val="15"/>
                <w:sz w:val="18"/>
                <w:szCs w:val="22"/>
                <w:shd w:val="solid" w:color="000000" w:fill="000000"/>
                <w:fitText w:val="40" w:id="-694454267"/>
                <w14:textFill>
                  <w14:solidFill>
                    <w14:srgbClr w14:val="000000">
                      <w14:alpha w14:val="100000"/>
                    </w14:srgbClr>
                  </w14:solidFill>
                </w14:textFill>
              </w:rPr>
              <w:t xml:space="preserve">　</w:t>
            </w:r>
            <w:r w:rsidRPr="00B24620">
              <w:rPr>
                <w:color w:val="000000"/>
                <w:w w:val="15"/>
                <w:sz w:val="18"/>
                <w:szCs w:val="22"/>
                <w:shd w:val="solid" w:color="000000" w:fill="000000"/>
                <w:fitText w:val="40" w:id="-694454267"/>
                <w14:textFill>
                  <w14:solidFill>
                    <w14:srgbClr w14:val="000000">
                      <w14:alpha w14:val="100000"/>
                    </w14:srgbClr>
                  </w14:solidFill>
                </w14:textFill>
              </w:rPr>
              <w:t>|</w:t>
            </w:r>
            <w:r w:rsidRPr="00B24620">
              <w:rPr>
                <w:rFonts w:hint="eastAsia"/>
                <w:color w:val="000000"/>
                <w:spacing w:val="-19"/>
                <w:w w:val="15"/>
                <w:sz w:val="18"/>
                <w:szCs w:val="22"/>
                <w:shd w:val="solid" w:color="000000" w:fill="000000"/>
                <w:fitText w:val="40" w:id="-694454267"/>
                <w14:textFill>
                  <w14:solidFill>
                    <w14:srgbClr w14:val="000000">
                      <w14:alpha w14:val="100000"/>
                    </w14:srgbClr>
                  </w14:solidFill>
                </w14:textFill>
              </w:rPr>
              <w:t xml:space="preserve">　</w:t>
            </w:r>
            <w:r w:rsidR="006E7C70" w:rsidRPr="00FB5CD3">
              <w:rPr>
                <w:sz w:val="18"/>
                <w:szCs w:val="18"/>
                <w:vertAlign w:val="superscript"/>
              </w:rPr>
              <w:t>19</w:t>
            </w:r>
          </w:p>
        </w:tc>
      </w:tr>
    </w:tbl>
    <w:p w14:paraId="672E0345" w14:textId="77777777" w:rsidR="00523D9A" w:rsidRPr="005A7226" w:rsidRDefault="00523D9A" w:rsidP="00523D9A">
      <w:pPr>
        <w:pStyle w:val="FooterTableFigure"/>
        <w:keepNext/>
        <w:keepLines/>
        <w:rPr>
          <w:rStyle w:val="CommentReference"/>
        </w:rPr>
      </w:pPr>
      <w:r w:rsidRPr="005A7226">
        <w:t>Source: Table 4.2-2, p190, Table 4.2-3, p191, Table 4.2-4, p192, Table 4.2-5, p192, Table 4.2-6, p193, Table 4.2-8, p194, Table 4.5-1, p200, Table 4.5-4, p202 and Table 4.5-5, p203 of the submission.</w:t>
      </w:r>
    </w:p>
    <w:p w14:paraId="6B40522B" w14:textId="77777777" w:rsidR="00523D9A" w:rsidRPr="005A7226" w:rsidRDefault="00523D9A" w:rsidP="00523D9A">
      <w:pPr>
        <w:pStyle w:val="FooterTableFigure"/>
        <w:keepNext/>
        <w:keepLines/>
        <w:spacing w:after="0"/>
      </w:pPr>
      <w:r w:rsidRPr="005A7226">
        <w:t>GF=grandfathered, MBS=Medicare Benefits Schedule; MHT=Menopausal hormone therapy, M-S VMS=moderate to severe vasomotor symptoms, PBS=Pharmaceutical Benefits Scheme; RPBS=Repatriation Schedule of Pharmaceutical Benefits, VMS=vasomotor symptoms.</w:t>
      </w:r>
    </w:p>
    <w:p w14:paraId="1D9D2F3D" w14:textId="77777777" w:rsidR="00523D9A" w:rsidRPr="005A7226" w:rsidRDefault="00523D9A" w:rsidP="001773B1">
      <w:pPr>
        <w:pStyle w:val="ListParagraph"/>
        <w:keepNext/>
        <w:keepLines/>
        <w:widowControl w:val="0"/>
        <w:numPr>
          <w:ilvl w:val="0"/>
          <w:numId w:val="27"/>
        </w:numPr>
        <w:spacing w:after="0"/>
        <w:jc w:val="left"/>
        <w:rPr>
          <w:rFonts w:ascii="Arial Narrow" w:hAnsi="Arial Narrow"/>
          <w:sz w:val="18"/>
          <w:szCs w:val="18"/>
        </w:rPr>
      </w:pPr>
      <w:r w:rsidRPr="005A7226">
        <w:rPr>
          <w:rFonts w:ascii="Arial Narrow" w:hAnsi="Arial Narrow"/>
          <w:sz w:val="18"/>
          <w:szCs w:val="18"/>
        </w:rPr>
        <w:t>This is a total of 91,767 prevalent patients, minus 29,313 grandfathered patients.</w:t>
      </w:r>
    </w:p>
    <w:p w14:paraId="3229F521" w14:textId="77777777" w:rsidR="00523D9A" w:rsidRPr="005A7226" w:rsidRDefault="00523D9A" w:rsidP="001773B1">
      <w:pPr>
        <w:pStyle w:val="TableFigureFooter"/>
        <w:keepNext/>
        <w:keepLines/>
        <w:numPr>
          <w:ilvl w:val="0"/>
          <w:numId w:val="27"/>
        </w:numPr>
        <w:rPr>
          <w:sz w:val="16"/>
          <w:szCs w:val="20"/>
        </w:rPr>
      </w:pPr>
      <w:r w:rsidRPr="005A7226">
        <w:rPr>
          <w:szCs w:val="18"/>
        </w:rPr>
        <w:t>The submission assumed that 29,313 GF patients would transition from private treatment to PBS in mid-2026 and receive the PBS-listed treatment for only six months (29,313 patients × 0.5 year).</w:t>
      </w:r>
    </w:p>
    <w:p w14:paraId="0EADAEC9" w14:textId="77777777" w:rsidR="00523D9A" w:rsidRPr="005A7226" w:rsidRDefault="00523D9A" w:rsidP="001773B1">
      <w:pPr>
        <w:pStyle w:val="TableFigureFooter"/>
        <w:keepNext/>
        <w:keepLines/>
        <w:numPr>
          <w:ilvl w:val="0"/>
          <w:numId w:val="27"/>
        </w:numPr>
      </w:pPr>
      <w:r w:rsidRPr="005A7226">
        <w:t>Assuming 8.84 × 30-tablet scripts per year, accounting for the compliance rate, as estimated by the submission.</w:t>
      </w:r>
    </w:p>
    <w:p w14:paraId="3817068C" w14:textId="77777777" w:rsidR="00523D9A" w:rsidRPr="005A7226" w:rsidRDefault="00523D9A" w:rsidP="001773B1">
      <w:pPr>
        <w:pStyle w:val="TableFigureFooter"/>
        <w:keepNext/>
        <w:keepLines/>
        <w:numPr>
          <w:ilvl w:val="0"/>
          <w:numId w:val="27"/>
        </w:numPr>
        <w:spacing w:after="0"/>
      </w:pPr>
      <w:r w:rsidRPr="005A7226">
        <w:t>The submission did not include hormonal and non-hormonal therapies that could potentially be replaced by fezolinetant. Non-hormonal therapies were excluded due to their low utilisation rates. The submission did not provide a rationale for excluding MHTs in MHT-averse patients who might be willing to switch from MHT to fezolinetant.</w:t>
      </w:r>
    </w:p>
    <w:p w14:paraId="1A568722" w14:textId="77777777" w:rsidR="00D54B55" w:rsidRDefault="00523D9A" w:rsidP="001773B1">
      <w:pPr>
        <w:pStyle w:val="ListParagraph"/>
        <w:numPr>
          <w:ilvl w:val="0"/>
          <w:numId w:val="27"/>
        </w:numPr>
        <w:spacing w:after="0"/>
        <w:rPr>
          <w:rFonts w:ascii="Arial Narrow" w:hAnsi="Arial Narrow"/>
          <w:sz w:val="18"/>
          <w:szCs w:val="22"/>
        </w:rPr>
      </w:pPr>
      <w:r w:rsidRPr="005A7226">
        <w:rPr>
          <w:rFonts w:ascii="Arial Narrow" w:hAnsi="Arial Narrow"/>
          <w:sz w:val="18"/>
          <w:szCs w:val="22"/>
        </w:rPr>
        <w:t>Net changes to the Services Australia were not included. Given the large script volume, this was not appropriate.</w:t>
      </w:r>
    </w:p>
    <w:p w14:paraId="2B749920" w14:textId="6A59FBFD" w:rsidR="00451584" w:rsidRPr="00867801" w:rsidRDefault="001301BE" w:rsidP="00867801">
      <w:pPr>
        <w:rPr>
          <w:rFonts w:ascii="Arial Narrow" w:hAnsi="Arial Narrow"/>
          <w:i/>
          <w:iCs/>
          <w:sz w:val="18"/>
          <w:szCs w:val="22"/>
        </w:rPr>
      </w:pPr>
      <w:r w:rsidRPr="00867801">
        <w:rPr>
          <w:rFonts w:ascii="Arial Narrow" w:hAnsi="Arial Narrow"/>
          <w:i/>
          <w:iCs/>
          <w:sz w:val="18"/>
          <w:szCs w:val="22"/>
        </w:rPr>
        <w:t>The redacted values correspond to the following ranges</w:t>
      </w:r>
      <w:r w:rsidR="00867801" w:rsidRPr="00867801">
        <w:rPr>
          <w:rFonts w:ascii="Arial Narrow" w:hAnsi="Arial Narrow"/>
          <w:i/>
          <w:iCs/>
          <w:sz w:val="18"/>
          <w:szCs w:val="22"/>
        </w:rPr>
        <w:t>:</w:t>
      </w:r>
    </w:p>
    <w:p w14:paraId="0F4EC2E2" w14:textId="77777777" w:rsidR="009E3577" w:rsidRPr="00867801" w:rsidRDefault="00451584" w:rsidP="00867801">
      <w:pPr>
        <w:rPr>
          <w:rFonts w:ascii="Arial Narrow" w:hAnsi="Arial Narrow"/>
          <w:i/>
          <w:iCs/>
          <w:sz w:val="18"/>
          <w:szCs w:val="22"/>
        </w:rPr>
      </w:pPr>
      <w:r w:rsidRPr="00867801">
        <w:rPr>
          <w:rFonts w:ascii="Arial Narrow" w:hAnsi="Arial Narrow"/>
          <w:i/>
          <w:iCs/>
          <w:sz w:val="18"/>
          <w:szCs w:val="22"/>
          <w:vertAlign w:val="superscript"/>
        </w:rPr>
        <w:t>1</w:t>
      </w:r>
      <w:r w:rsidRPr="00867801">
        <w:rPr>
          <w:rFonts w:ascii="Arial Narrow" w:hAnsi="Arial Narrow"/>
          <w:i/>
          <w:iCs/>
          <w:sz w:val="18"/>
          <w:szCs w:val="22"/>
        </w:rPr>
        <w:t xml:space="preserve"> 6,000,000 to &lt; 7,000,000</w:t>
      </w:r>
      <w:r w:rsidR="009E3577" w:rsidRPr="00867801">
        <w:rPr>
          <w:rFonts w:ascii="Arial Narrow" w:hAnsi="Arial Narrow"/>
          <w:i/>
          <w:iCs/>
          <w:sz w:val="18"/>
          <w:szCs w:val="22"/>
        </w:rPr>
        <w:t xml:space="preserve"> </w:t>
      </w:r>
    </w:p>
    <w:p w14:paraId="26E74447" w14:textId="77777777" w:rsidR="004C1AB1" w:rsidRPr="00507116" w:rsidRDefault="009E3577"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2</w:t>
      </w:r>
      <w:r w:rsidRPr="00507116">
        <w:rPr>
          <w:rFonts w:ascii="Arial Narrow" w:hAnsi="Arial Narrow"/>
          <w:i/>
          <w:iCs/>
          <w:sz w:val="18"/>
          <w:szCs w:val="22"/>
        </w:rPr>
        <w:t xml:space="preserve"> 4,000,000 to &lt; 6,000,000 </w:t>
      </w:r>
    </w:p>
    <w:p w14:paraId="36F718BA" w14:textId="77777777" w:rsidR="00D92E0E" w:rsidRPr="00507116" w:rsidRDefault="004C1AB1"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 xml:space="preserve">3 </w:t>
      </w:r>
      <w:r w:rsidRPr="00507116">
        <w:rPr>
          <w:rFonts w:ascii="Arial Narrow" w:hAnsi="Arial Narrow"/>
          <w:i/>
          <w:iCs/>
          <w:sz w:val="18"/>
          <w:szCs w:val="22"/>
        </w:rPr>
        <w:t>300,000 to &lt; 400,000</w:t>
      </w:r>
      <w:r w:rsidR="00D92E0E" w:rsidRPr="00507116">
        <w:rPr>
          <w:rFonts w:ascii="Arial Narrow" w:hAnsi="Arial Narrow"/>
          <w:i/>
          <w:iCs/>
          <w:sz w:val="18"/>
          <w:szCs w:val="22"/>
        </w:rPr>
        <w:t xml:space="preserve"> </w:t>
      </w:r>
    </w:p>
    <w:p w14:paraId="1C5FA974" w14:textId="77777777" w:rsidR="00B54F26" w:rsidRPr="00507116" w:rsidRDefault="00D92E0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4</w:t>
      </w:r>
      <w:r w:rsidRPr="00507116">
        <w:rPr>
          <w:rFonts w:ascii="Arial Narrow" w:hAnsi="Arial Narrow"/>
          <w:i/>
          <w:iCs/>
          <w:sz w:val="18"/>
          <w:szCs w:val="22"/>
        </w:rPr>
        <w:t xml:space="preserve"> 400,000 to &lt; 500,000 </w:t>
      </w:r>
    </w:p>
    <w:p w14:paraId="13D392F0" w14:textId="77777777" w:rsidR="00E457C2" w:rsidRPr="00507116" w:rsidRDefault="00B54F26"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5</w:t>
      </w:r>
      <w:r w:rsidRPr="00507116">
        <w:rPr>
          <w:rFonts w:ascii="Arial Narrow" w:hAnsi="Arial Narrow"/>
          <w:i/>
          <w:iCs/>
          <w:sz w:val="18"/>
          <w:szCs w:val="22"/>
        </w:rPr>
        <w:t xml:space="preserve"> 200,000 to &lt; 300,000</w:t>
      </w:r>
      <w:r w:rsidR="00E457C2" w:rsidRPr="00507116">
        <w:rPr>
          <w:rFonts w:ascii="Arial Narrow" w:hAnsi="Arial Narrow"/>
          <w:i/>
          <w:iCs/>
          <w:sz w:val="18"/>
          <w:szCs w:val="22"/>
        </w:rPr>
        <w:t xml:space="preserve"> </w:t>
      </w:r>
    </w:p>
    <w:p w14:paraId="1DD591AB" w14:textId="77777777" w:rsidR="00513C1B" w:rsidRPr="00507116" w:rsidRDefault="00E457C2"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6</w:t>
      </w:r>
      <w:r w:rsidRPr="00507116">
        <w:rPr>
          <w:rFonts w:ascii="Arial Narrow" w:hAnsi="Arial Narrow"/>
          <w:i/>
          <w:iCs/>
          <w:sz w:val="18"/>
          <w:szCs w:val="22"/>
        </w:rPr>
        <w:t xml:space="preserve"> 60,000 to &lt; 70,000</w:t>
      </w:r>
      <w:r w:rsidR="00513C1B" w:rsidRPr="00507116">
        <w:rPr>
          <w:rFonts w:ascii="Arial Narrow" w:hAnsi="Arial Narrow"/>
          <w:i/>
          <w:iCs/>
          <w:sz w:val="18"/>
          <w:szCs w:val="22"/>
        </w:rPr>
        <w:t xml:space="preserve"> </w:t>
      </w:r>
    </w:p>
    <w:p w14:paraId="0567A2D3" w14:textId="77777777" w:rsidR="00213082" w:rsidRPr="00507116" w:rsidRDefault="00513C1B"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 xml:space="preserve">7 </w:t>
      </w:r>
      <w:r w:rsidRPr="00507116">
        <w:rPr>
          <w:rFonts w:ascii="Arial Narrow" w:hAnsi="Arial Narrow"/>
          <w:i/>
          <w:iCs/>
          <w:sz w:val="18"/>
          <w:szCs w:val="22"/>
        </w:rPr>
        <w:t>100,000 to &lt; 200,000</w:t>
      </w:r>
      <w:r w:rsidR="00213082" w:rsidRPr="00507116">
        <w:rPr>
          <w:rFonts w:ascii="Arial Narrow" w:hAnsi="Arial Narrow"/>
          <w:i/>
          <w:iCs/>
          <w:sz w:val="18"/>
          <w:szCs w:val="22"/>
        </w:rPr>
        <w:t xml:space="preserve"> </w:t>
      </w:r>
    </w:p>
    <w:p w14:paraId="081781EF" w14:textId="77777777" w:rsidR="00E860CE" w:rsidRPr="00507116" w:rsidRDefault="00213082"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8</w:t>
      </w:r>
      <w:r w:rsidRPr="00507116">
        <w:rPr>
          <w:rFonts w:ascii="Arial Narrow" w:hAnsi="Arial Narrow"/>
          <w:i/>
          <w:iCs/>
          <w:sz w:val="18"/>
          <w:szCs w:val="22"/>
        </w:rPr>
        <w:t xml:space="preserve"> 10,000 to &lt; 20,000</w:t>
      </w:r>
      <w:r w:rsidR="000145D5" w:rsidRPr="00507116">
        <w:rPr>
          <w:rFonts w:ascii="Arial Narrow" w:hAnsi="Arial Narrow"/>
          <w:i/>
          <w:iCs/>
          <w:sz w:val="18"/>
          <w:szCs w:val="22"/>
        </w:rPr>
        <w:t xml:space="preserve"> </w:t>
      </w:r>
    </w:p>
    <w:p w14:paraId="14459698" w14:textId="3B74A1D4" w:rsidR="000145D5" w:rsidRPr="00507116" w:rsidRDefault="00E860C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9</w:t>
      </w:r>
      <w:r w:rsidRPr="00507116">
        <w:rPr>
          <w:rFonts w:ascii="Arial Narrow" w:hAnsi="Arial Narrow"/>
          <w:i/>
          <w:iCs/>
          <w:sz w:val="18"/>
          <w:szCs w:val="22"/>
        </w:rPr>
        <w:t xml:space="preserve"> &lt; 500</w:t>
      </w:r>
    </w:p>
    <w:p w14:paraId="6F1C387A" w14:textId="47492B74" w:rsidR="00FC20E5" w:rsidRPr="00507116" w:rsidRDefault="00E860C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10</w:t>
      </w:r>
      <w:r w:rsidR="000145D5" w:rsidRPr="00507116">
        <w:rPr>
          <w:rFonts w:ascii="Arial Narrow" w:hAnsi="Arial Narrow"/>
          <w:i/>
          <w:iCs/>
          <w:sz w:val="18"/>
          <w:szCs w:val="22"/>
        </w:rPr>
        <w:t xml:space="preserve"> 70,000 to &lt; 80,000</w:t>
      </w:r>
      <w:r w:rsidR="00FC20E5" w:rsidRPr="00507116">
        <w:rPr>
          <w:rFonts w:ascii="Arial Narrow" w:hAnsi="Arial Narrow"/>
          <w:i/>
          <w:iCs/>
          <w:sz w:val="18"/>
          <w:szCs w:val="22"/>
        </w:rPr>
        <w:t xml:space="preserve"> </w:t>
      </w:r>
    </w:p>
    <w:p w14:paraId="040D2CE7" w14:textId="6A87038F" w:rsidR="00620C97" w:rsidRPr="00507116" w:rsidRDefault="00E860C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11</w:t>
      </w:r>
      <w:r w:rsidR="00FC20E5" w:rsidRPr="00507116">
        <w:rPr>
          <w:rFonts w:ascii="Arial Narrow" w:hAnsi="Arial Narrow"/>
          <w:i/>
          <w:iCs/>
          <w:sz w:val="18"/>
          <w:szCs w:val="22"/>
        </w:rPr>
        <w:t xml:space="preserve"> 600,000 to &lt; 700,000</w:t>
      </w:r>
      <w:r w:rsidR="00620C97" w:rsidRPr="00507116">
        <w:rPr>
          <w:rFonts w:ascii="Arial Narrow" w:hAnsi="Arial Narrow"/>
          <w:i/>
          <w:iCs/>
          <w:sz w:val="18"/>
          <w:szCs w:val="22"/>
        </w:rPr>
        <w:t xml:space="preserve"> </w:t>
      </w:r>
    </w:p>
    <w:p w14:paraId="3FA341CD" w14:textId="77777777" w:rsidR="00B146B8" w:rsidRPr="00507116" w:rsidRDefault="00E860C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12</w:t>
      </w:r>
      <w:r w:rsidR="00620C97" w:rsidRPr="00507116">
        <w:rPr>
          <w:rFonts w:ascii="Arial Narrow" w:hAnsi="Arial Narrow"/>
          <w:i/>
          <w:iCs/>
          <w:sz w:val="18"/>
          <w:szCs w:val="22"/>
        </w:rPr>
        <w:t xml:space="preserve"> 900,000 to &lt; 1,000,000</w:t>
      </w:r>
      <w:r w:rsidR="00B146B8" w:rsidRPr="00507116">
        <w:rPr>
          <w:rFonts w:ascii="Arial Narrow" w:hAnsi="Arial Narrow"/>
          <w:i/>
          <w:iCs/>
          <w:sz w:val="18"/>
          <w:szCs w:val="22"/>
        </w:rPr>
        <w:t xml:space="preserve"> </w:t>
      </w:r>
    </w:p>
    <w:p w14:paraId="56BECEFE" w14:textId="77777777" w:rsidR="0027140E" w:rsidRPr="00507116" w:rsidRDefault="00B146B8"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13</w:t>
      </w:r>
      <w:r w:rsidRPr="00507116">
        <w:rPr>
          <w:rFonts w:ascii="Arial Narrow" w:hAnsi="Arial Narrow"/>
          <w:i/>
          <w:iCs/>
          <w:sz w:val="18"/>
          <w:szCs w:val="22"/>
        </w:rPr>
        <w:t xml:space="preserve"> 1,000,000 to &lt; 2,000,000</w:t>
      </w:r>
      <w:r w:rsidR="0027140E" w:rsidRPr="00507116">
        <w:rPr>
          <w:rFonts w:ascii="Arial Narrow" w:hAnsi="Arial Narrow"/>
          <w:i/>
          <w:iCs/>
          <w:sz w:val="18"/>
          <w:szCs w:val="22"/>
        </w:rPr>
        <w:t xml:space="preserve"> </w:t>
      </w:r>
    </w:p>
    <w:p w14:paraId="153BEB92" w14:textId="77777777" w:rsidR="00D47DD4" w:rsidRPr="00507116" w:rsidRDefault="0027140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14</w:t>
      </w:r>
      <w:r w:rsidRPr="00507116">
        <w:rPr>
          <w:rFonts w:ascii="Arial Narrow" w:hAnsi="Arial Narrow"/>
          <w:i/>
          <w:iCs/>
          <w:sz w:val="18"/>
          <w:szCs w:val="22"/>
        </w:rPr>
        <w:t xml:space="preserve"> 7,000,000 to &lt; 8,000,000</w:t>
      </w:r>
      <w:r w:rsidR="00D47DD4" w:rsidRPr="00507116">
        <w:rPr>
          <w:rFonts w:ascii="Arial Narrow" w:hAnsi="Arial Narrow"/>
          <w:i/>
          <w:iCs/>
          <w:sz w:val="18"/>
          <w:szCs w:val="22"/>
        </w:rPr>
        <w:t xml:space="preserve"> </w:t>
      </w:r>
    </w:p>
    <w:p w14:paraId="5C51D08D" w14:textId="5622E668" w:rsidR="00EA0998" w:rsidRPr="00507116" w:rsidRDefault="00D47DD4"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15</w:t>
      </w:r>
      <w:r w:rsidRPr="00507116">
        <w:rPr>
          <w:rFonts w:ascii="Arial Narrow" w:hAnsi="Arial Narrow"/>
          <w:i/>
          <w:iCs/>
          <w:sz w:val="18"/>
          <w:szCs w:val="22"/>
        </w:rPr>
        <w:t xml:space="preserve"> 5,000 to &lt; 10,000</w:t>
      </w:r>
    </w:p>
    <w:p w14:paraId="009673D9" w14:textId="77777777" w:rsidR="00955A42" w:rsidRPr="00507116" w:rsidRDefault="00EA0998"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w:t>
      </w:r>
      <w:r w:rsidR="00D47DD4" w:rsidRPr="00507116">
        <w:rPr>
          <w:rFonts w:ascii="Arial Narrow" w:hAnsi="Arial Narrow"/>
          <w:i/>
          <w:iCs/>
          <w:sz w:val="18"/>
          <w:szCs w:val="22"/>
          <w:vertAlign w:val="superscript"/>
        </w:rPr>
        <w:t>6</w:t>
      </w:r>
      <w:r w:rsidRPr="00507116">
        <w:rPr>
          <w:rFonts w:ascii="Arial Narrow" w:hAnsi="Arial Narrow"/>
          <w:i/>
          <w:iCs/>
          <w:sz w:val="18"/>
          <w:szCs w:val="22"/>
        </w:rPr>
        <w:t xml:space="preserve"> 80,000 to &lt; 90,000 </w:t>
      </w:r>
    </w:p>
    <w:p w14:paraId="7250F448" w14:textId="77777777" w:rsidR="008323B7" w:rsidRPr="00507116" w:rsidRDefault="00955A42"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17</w:t>
      </w:r>
      <w:r w:rsidRPr="00507116">
        <w:rPr>
          <w:rFonts w:ascii="Arial Narrow" w:hAnsi="Arial Narrow"/>
          <w:i/>
          <w:iCs/>
          <w:sz w:val="18"/>
          <w:szCs w:val="22"/>
        </w:rPr>
        <w:t xml:space="preserve"> $70 million to &lt; $80 million</w:t>
      </w:r>
      <w:r w:rsidR="008323B7" w:rsidRPr="00507116">
        <w:rPr>
          <w:rFonts w:ascii="Arial Narrow" w:hAnsi="Arial Narrow"/>
          <w:i/>
          <w:iCs/>
          <w:sz w:val="18"/>
          <w:szCs w:val="22"/>
        </w:rPr>
        <w:t xml:space="preserve"> </w:t>
      </w:r>
    </w:p>
    <w:p w14:paraId="79455853" w14:textId="77777777" w:rsidR="00B4785E" w:rsidRPr="00507116" w:rsidRDefault="008323B7"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18</w:t>
      </w:r>
      <w:r w:rsidRPr="00507116">
        <w:rPr>
          <w:rFonts w:ascii="Arial Narrow" w:hAnsi="Arial Narrow"/>
          <w:i/>
          <w:iCs/>
          <w:sz w:val="18"/>
          <w:szCs w:val="22"/>
        </w:rPr>
        <w:t xml:space="preserve"> $100 million to &lt; $200 million</w:t>
      </w:r>
      <w:r w:rsidR="00B4785E" w:rsidRPr="00507116">
        <w:rPr>
          <w:rFonts w:ascii="Arial Narrow" w:hAnsi="Arial Narrow"/>
          <w:i/>
          <w:iCs/>
          <w:sz w:val="18"/>
          <w:szCs w:val="22"/>
        </w:rPr>
        <w:t xml:space="preserve"> </w:t>
      </w:r>
    </w:p>
    <w:p w14:paraId="685F939E" w14:textId="77777777" w:rsidR="00820D00" w:rsidRPr="00507116" w:rsidRDefault="00B4785E"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19</w:t>
      </w:r>
      <w:r w:rsidRPr="00507116">
        <w:rPr>
          <w:rFonts w:ascii="Arial Narrow" w:hAnsi="Arial Narrow"/>
          <w:i/>
          <w:iCs/>
          <w:sz w:val="18"/>
          <w:szCs w:val="22"/>
        </w:rPr>
        <w:t xml:space="preserve"> $800 million to &lt; $900 million</w:t>
      </w:r>
      <w:r w:rsidR="00820D00" w:rsidRPr="00507116">
        <w:rPr>
          <w:rFonts w:ascii="Arial Narrow" w:hAnsi="Arial Narrow"/>
          <w:i/>
          <w:iCs/>
          <w:sz w:val="18"/>
          <w:szCs w:val="22"/>
        </w:rPr>
        <w:t xml:space="preserve"> </w:t>
      </w:r>
    </w:p>
    <w:p w14:paraId="41CDE4F4" w14:textId="77777777" w:rsidR="000C6F37" w:rsidRPr="00507116" w:rsidRDefault="00820D00"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 xml:space="preserve">20 </w:t>
      </w:r>
      <w:r w:rsidRPr="00507116">
        <w:rPr>
          <w:rFonts w:ascii="Arial Narrow" w:hAnsi="Arial Narrow"/>
          <w:i/>
          <w:iCs/>
          <w:sz w:val="18"/>
          <w:szCs w:val="22"/>
        </w:rPr>
        <w:t>$0 to &lt; $10 million</w:t>
      </w:r>
      <w:r w:rsidR="000C6F37" w:rsidRPr="00507116">
        <w:rPr>
          <w:rFonts w:ascii="Arial Narrow" w:hAnsi="Arial Narrow"/>
          <w:i/>
          <w:iCs/>
          <w:sz w:val="18"/>
          <w:szCs w:val="22"/>
        </w:rPr>
        <w:t xml:space="preserve"> </w:t>
      </w:r>
    </w:p>
    <w:p w14:paraId="6E9DF4B8" w14:textId="77777777" w:rsidR="002054BD" w:rsidRPr="00507116" w:rsidRDefault="000C6F37" w:rsidP="00D54B55">
      <w:pPr>
        <w:pStyle w:val="ListParagraph"/>
        <w:spacing w:after="0"/>
        <w:ind w:left="360"/>
        <w:rPr>
          <w:rFonts w:ascii="Arial Narrow" w:hAnsi="Arial Narrow"/>
          <w:i/>
          <w:iCs/>
          <w:sz w:val="18"/>
          <w:szCs w:val="22"/>
        </w:rPr>
      </w:pPr>
      <w:r w:rsidRPr="00507116">
        <w:rPr>
          <w:rFonts w:ascii="Arial Narrow" w:hAnsi="Arial Narrow"/>
          <w:i/>
          <w:iCs/>
          <w:sz w:val="18"/>
          <w:szCs w:val="22"/>
          <w:vertAlign w:val="superscript"/>
        </w:rPr>
        <w:t>21</w:t>
      </w:r>
      <w:r w:rsidRPr="00507116">
        <w:rPr>
          <w:rFonts w:ascii="Arial Narrow" w:hAnsi="Arial Narrow"/>
          <w:i/>
          <w:iCs/>
          <w:sz w:val="18"/>
          <w:szCs w:val="22"/>
        </w:rPr>
        <w:t xml:space="preserve"> $200 million to &lt; $300 million</w:t>
      </w:r>
      <w:r w:rsidR="002054BD" w:rsidRPr="00507116">
        <w:rPr>
          <w:rFonts w:ascii="Arial Narrow" w:hAnsi="Arial Narrow"/>
          <w:i/>
          <w:iCs/>
          <w:sz w:val="18"/>
          <w:szCs w:val="22"/>
        </w:rPr>
        <w:t xml:space="preserve"> </w:t>
      </w:r>
    </w:p>
    <w:p w14:paraId="17A73EDC" w14:textId="12BF1CD6" w:rsidR="008323B7" w:rsidRPr="00507116" w:rsidRDefault="002054BD" w:rsidP="000E136C">
      <w:pPr>
        <w:pStyle w:val="ListParagraph"/>
        <w:ind w:left="360"/>
        <w:rPr>
          <w:rFonts w:ascii="Arial Narrow" w:hAnsi="Arial Narrow"/>
          <w:i/>
          <w:iCs/>
          <w:sz w:val="18"/>
          <w:szCs w:val="22"/>
        </w:rPr>
      </w:pPr>
      <w:r w:rsidRPr="00507116">
        <w:rPr>
          <w:rFonts w:ascii="Arial Narrow" w:hAnsi="Arial Narrow"/>
          <w:i/>
          <w:iCs/>
          <w:sz w:val="18"/>
          <w:szCs w:val="22"/>
          <w:vertAlign w:val="superscript"/>
        </w:rPr>
        <w:t>22</w:t>
      </w:r>
      <w:r w:rsidRPr="00507116">
        <w:rPr>
          <w:rFonts w:ascii="Arial Narrow" w:hAnsi="Arial Narrow"/>
          <w:i/>
          <w:iCs/>
          <w:sz w:val="18"/>
          <w:szCs w:val="22"/>
        </w:rPr>
        <w:t xml:space="preserve"> net cost saving</w:t>
      </w:r>
    </w:p>
    <w:p w14:paraId="7FCA3A6E" w14:textId="074FB4EA" w:rsidR="00523D9A" w:rsidRPr="005A7226" w:rsidRDefault="00523D9A" w:rsidP="00313E7C">
      <w:pPr>
        <w:widowControl w:val="0"/>
        <w:numPr>
          <w:ilvl w:val="1"/>
          <w:numId w:val="1"/>
        </w:numPr>
        <w:spacing w:after="120"/>
        <w:ind w:left="720"/>
      </w:pPr>
      <w:r w:rsidRPr="005A7226">
        <w:t xml:space="preserve">The total cost to the PBS/RPBS of listing fezolinetant was </w:t>
      </w:r>
      <w:r w:rsidRPr="00313E7C">
        <w:rPr>
          <w:rFonts w:asciiTheme="minorHAnsi" w:hAnsiTheme="minorHAnsi"/>
          <w:snapToGrid w:val="0"/>
          <w:szCs w:val="20"/>
        </w:rPr>
        <w:t>estimated</w:t>
      </w:r>
      <w:r w:rsidRPr="005A7226">
        <w:t xml:space="preserve"> to be $</w:t>
      </w:r>
      <w:r w:rsidR="00D71178" w:rsidRPr="00D71178">
        <w:t>200</w:t>
      </w:r>
      <w:r w:rsidR="000E136C">
        <w:t> </w:t>
      </w:r>
      <w:r w:rsidR="00D71178" w:rsidRPr="00D71178">
        <w:t>million</w:t>
      </w:r>
      <w:r w:rsidR="000E136C">
        <w:t> </w:t>
      </w:r>
      <w:r w:rsidR="00D71178" w:rsidRPr="00D71178">
        <w:t>to &lt; $300 million</w:t>
      </w:r>
      <w:r w:rsidR="00AF3513">
        <w:t xml:space="preserve"> </w:t>
      </w:r>
      <w:r w:rsidRPr="005A7226">
        <w:t>in Year 6, and a total of $</w:t>
      </w:r>
      <w:r w:rsidR="008A5167" w:rsidRPr="008A5167">
        <w:t>800 million to</w:t>
      </w:r>
      <w:r w:rsidR="000E136C">
        <w:t> </w:t>
      </w:r>
      <w:r w:rsidR="008A5167" w:rsidRPr="008A5167">
        <w:t>&lt;</w:t>
      </w:r>
      <w:r w:rsidR="000E136C">
        <w:t> </w:t>
      </w:r>
      <w:r w:rsidR="008A5167" w:rsidRPr="008A5167">
        <w:t>$900</w:t>
      </w:r>
      <w:r w:rsidR="000E136C">
        <w:t> </w:t>
      </w:r>
      <w:r w:rsidR="008A5167" w:rsidRPr="008A5167">
        <w:t>million</w:t>
      </w:r>
      <w:r w:rsidR="00AF3513">
        <w:t xml:space="preserve"> </w:t>
      </w:r>
      <w:r w:rsidRPr="005A7226">
        <w:t>in the first 6 years of listing.</w:t>
      </w:r>
    </w:p>
    <w:p w14:paraId="0C3078D0" w14:textId="4CCB84CE" w:rsidR="00523D9A" w:rsidRPr="005A7226" w:rsidRDefault="00523D9A" w:rsidP="00313E7C">
      <w:pPr>
        <w:widowControl w:val="0"/>
        <w:numPr>
          <w:ilvl w:val="1"/>
          <w:numId w:val="1"/>
        </w:numPr>
        <w:spacing w:after="120"/>
        <w:ind w:left="720"/>
        <w:rPr>
          <w:iCs/>
        </w:rPr>
      </w:pPr>
      <w:r w:rsidRPr="005A7226">
        <w:rPr>
          <w:iCs/>
        </w:rPr>
        <w:t>The</w:t>
      </w:r>
      <w:r w:rsidR="0032768C">
        <w:rPr>
          <w:iCs/>
        </w:rPr>
        <w:t xml:space="preserve"> DUSC agreed with the</w:t>
      </w:r>
      <w:r w:rsidRPr="005A7226">
        <w:rPr>
          <w:iCs/>
        </w:rPr>
        <w:t xml:space="preserve"> evaluation that the financial estimates </w:t>
      </w:r>
      <w:r w:rsidR="00E13861">
        <w:rPr>
          <w:iCs/>
        </w:rPr>
        <w:t>are</w:t>
      </w:r>
      <w:r w:rsidRPr="005A7226">
        <w:rPr>
          <w:iCs/>
        </w:rPr>
        <w:t xml:space="preserve"> uncertain due to the following factors:</w:t>
      </w:r>
    </w:p>
    <w:p w14:paraId="6ED353C5" w14:textId="4214464A" w:rsidR="00B46A04" w:rsidRPr="00B46A04" w:rsidRDefault="00B46A04" w:rsidP="001773B1">
      <w:pPr>
        <w:pStyle w:val="ListParagraph"/>
        <w:numPr>
          <w:ilvl w:val="0"/>
          <w:numId w:val="26"/>
        </w:numPr>
        <w:rPr>
          <w:iCs/>
        </w:rPr>
      </w:pPr>
      <w:r>
        <w:rPr>
          <w:iCs/>
        </w:rPr>
        <w:t>T</w:t>
      </w:r>
      <w:r w:rsidRPr="00B46A04">
        <w:rPr>
          <w:iCs/>
        </w:rPr>
        <w:t xml:space="preserve">he number of patients eligible for treatment was uncertain and will depend on the final wording of the PBS restrictions, and whether </w:t>
      </w:r>
      <w:r w:rsidR="00702D77">
        <w:rPr>
          <w:iCs/>
        </w:rPr>
        <w:t>the listing</w:t>
      </w:r>
      <w:r w:rsidRPr="00B46A04">
        <w:rPr>
          <w:iCs/>
        </w:rPr>
        <w:t xml:space="preserve"> would allow treatment of MHT-averse patients using fezolinetant as first-line therapy. The PSCR </w:t>
      </w:r>
      <w:r w:rsidR="007A6CFE">
        <w:rPr>
          <w:iCs/>
        </w:rPr>
        <w:t>and pre-PBAC response</w:t>
      </w:r>
      <w:r w:rsidRPr="00B46A04">
        <w:rPr>
          <w:iCs/>
        </w:rPr>
        <w:t xml:space="preserve"> asserted that the number of patients was not uncertain as the restriction is intended to encompass all patients ‘unsuitable’ to have MHT (including those unwilling/adverse), which it </w:t>
      </w:r>
      <w:r w:rsidR="007A6CFE">
        <w:rPr>
          <w:iCs/>
        </w:rPr>
        <w:t>argued</w:t>
      </w:r>
      <w:r w:rsidRPr="00B46A04">
        <w:rPr>
          <w:iCs/>
        </w:rPr>
        <w:t xml:space="preserve"> was appropriate as these patients are not currently being treated by MHT on the PBS. However, the DUSC and the ESCs agreed with the evaluation that the number of patients eligible for treatment is uncertain and overestimated. </w:t>
      </w:r>
    </w:p>
    <w:p w14:paraId="3A9777F0" w14:textId="51585C21" w:rsidR="00523D9A" w:rsidRPr="005A7226" w:rsidRDefault="00523D9A" w:rsidP="001773B1">
      <w:pPr>
        <w:pStyle w:val="ListParagraph"/>
        <w:numPr>
          <w:ilvl w:val="0"/>
          <w:numId w:val="26"/>
        </w:numPr>
        <w:rPr>
          <w:iCs/>
        </w:rPr>
      </w:pPr>
      <w:r w:rsidRPr="005A7226">
        <w:rPr>
          <w:iCs/>
        </w:rPr>
        <w:t>The population did not start treatment and then track across time with the discontinuation being applied to them. The discontinuation rate has been applied as an annual compliance rate</w:t>
      </w:r>
      <w:r w:rsidR="00D4402A">
        <w:rPr>
          <w:iCs/>
        </w:rPr>
        <w:t>, which</w:t>
      </w:r>
      <w:r w:rsidR="009D765F">
        <w:rPr>
          <w:iCs/>
        </w:rPr>
        <w:t xml:space="preserve"> the DUSC and the evaluation considered</w:t>
      </w:r>
      <w:r w:rsidR="00D4402A">
        <w:rPr>
          <w:iCs/>
        </w:rPr>
        <w:t xml:space="preserve"> is not appropriate</w:t>
      </w:r>
      <w:r w:rsidRPr="005A7226">
        <w:rPr>
          <w:iCs/>
        </w:rPr>
        <w:t>.</w:t>
      </w:r>
    </w:p>
    <w:p w14:paraId="5FE10AC0" w14:textId="48BE74EB" w:rsidR="00523D9A" w:rsidRPr="005A7226" w:rsidRDefault="00523D9A" w:rsidP="001773B1">
      <w:pPr>
        <w:pStyle w:val="ListParagraph"/>
        <w:numPr>
          <w:ilvl w:val="0"/>
          <w:numId w:val="26"/>
        </w:numPr>
        <w:rPr>
          <w:iCs/>
        </w:rPr>
      </w:pPr>
      <w:r w:rsidRPr="005A7226">
        <w:rPr>
          <w:iCs/>
        </w:rPr>
        <w:t xml:space="preserve">The submission did not account for post-menopausal patients with moderate-to-severe VMS who may not wish to be treated. </w:t>
      </w:r>
      <w:r w:rsidR="00F52EFB">
        <w:rPr>
          <w:iCs/>
        </w:rPr>
        <w:t>T</w:t>
      </w:r>
      <w:r w:rsidRPr="005A7226">
        <w:rPr>
          <w:iCs/>
        </w:rPr>
        <w:t>h</w:t>
      </w:r>
      <w:r w:rsidR="00DD3307">
        <w:rPr>
          <w:iCs/>
        </w:rPr>
        <w:t xml:space="preserve">e pre-PBAC argued that this was </w:t>
      </w:r>
      <w:r w:rsidRPr="005A7226">
        <w:rPr>
          <w:iCs/>
        </w:rPr>
        <w:t>incorporated into the proposed uptake rates; however, this was not explicitly addressed in the submission.</w:t>
      </w:r>
    </w:p>
    <w:p w14:paraId="57665C6A" w14:textId="4DCD7107" w:rsidR="00523D9A" w:rsidRPr="005A7226" w:rsidRDefault="00523D9A" w:rsidP="001773B1">
      <w:pPr>
        <w:pStyle w:val="ListParagraph"/>
        <w:numPr>
          <w:ilvl w:val="0"/>
          <w:numId w:val="26"/>
        </w:numPr>
        <w:rPr>
          <w:iCs/>
        </w:rPr>
      </w:pPr>
      <w:r w:rsidRPr="005A7226">
        <w:rPr>
          <w:iCs/>
        </w:rPr>
        <w:t>The assumed proportion of women unsuitable for MHT of 75% appeared high and could not be verified.</w:t>
      </w:r>
      <w:r w:rsidR="002B211D">
        <w:rPr>
          <w:iCs/>
        </w:rPr>
        <w:t xml:space="preserve"> The PSCR </w:t>
      </w:r>
      <w:r w:rsidR="0097004A">
        <w:rPr>
          <w:iCs/>
        </w:rPr>
        <w:t>and pre-PBAC response</w:t>
      </w:r>
      <w:r w:rsidR="002B211D">
        <w:rPr>
          <w:iCs/>
        </w:rPr>
        <w:t xml:space="preserve"> </w:t>
      </w:r>
      <w:r w:rsidR="0086005B">
        <w:rPr>
          <w:iCs/>
        </w:rPr>
        <w:t>noted that this figure was derived from</w:t>
      </w:r>
      <w:r w:rsidR="00AC7A0F">
        <w:rPr>
          <w:iCs/>
        </w:rPr>
        <w:t xml:space="preserve"> a</w:t>
      </w:r>
      <w:r w:rsidR="0086005B">
        <w:rPr>
          <w:iCs/>
        </w:rPr>
        <w:t xml:space="preserve"> </w:t>
      </w:r>
      <w:r w:rsidR="00AC7A0F" w:rsidRPr="00AC7A0F">
        <w:rPr>
          <w:iCs/>
        </w:rPr>
        <w:t>study by Todorova et al. (2023)</w:t>
      </w:r>
      <w:r w:rsidR="00AC7A0F" w:rsidRPr="0097004A">
        <w:rPr>
          <w:iCs/>
          <w:vertAlign w:val="superscript"/>
        </w:rPr>
        <w:t>8</w:t>
      </w:r>
      <w:r w:rsidR="00AC7A0F" w:rsidRPr="00AC7A0F">
        <w:rPr>
          <w:iCs/>
        </w:rPr>
        <w:t xml:space="preserve"> </w:t>
      </w:r>
      <w:r w:rsidR="00AC7A0F">
        <w:rPr>
          <w:iCs/>
        </w:rPr>
        <w:t>which</w:t>
      </w:r>
      <w:r w:rsidR="00AC7A0F" w:rsidRPr="00AC7A0F">
        <w:rPr>
          <w:iCs/>
        </w:rPr>
        <w:t xml:space="preserve"> found that 64.1% of women were ‘MHT cautious’, 21.2% were ‘MHT averse’, 4.6% as ‘MHT contraindicated’, and 6.3% (n = 120) as ‘MHT stoppers’</w:t>
      </w:r>
      <w:r w:rsidR="00A720EF">
        <w:rPr>
          <w:iCs/>
        </w:rPr>
        <w:t>. H</w:t>
      </w:r>
      <w:r w:rsidR="00B15076">
        <w:rPr>
          <w:iCs/>
        </w:rPr>
        <w:t xml:space="preserve">owever </w:t>
      </w:r>
      <w:r w:rsidR="007503E8">
        <w:rPr>
          <w:iCs/>
        </w:rPr>
        <w:t xml:space="preserve">the PBAC noted that </w:t>
      </w:r>
      <w:r w:rsidR="00B15076">
        <w:rPr>
          <w:iCs/>
        </w:rPr>
        <w:t>‘</w:t>
      </w:r>
      <w:r w:rsidR="00B15076" w:rsidRPr="00AC7A0F">
        <w:rPr>
          <w:iCs/>
        </w:rPr>
        <w:t>MHT cautious</w:t>
      </w:r>
      <w:r w:rsidR="00B15076">
        <w:rPr>
          <w:iCs/>
        </w:rPr>
        <w:t xml:space="preserve">’ does not align with any of the </w:t>
      </w:r>
      <w:r w:rsidR="00010EBA">
        <w:rPr>
          <w:iCs/>
        </w:rPr>
        <w:t>sponsor’s proposed eligibility categories</w:t>
      </w:r>
      <w:r w:rsidR="0059229E">
        <w:rPr>
          <w:iCs/>
        </w:rPr>
        <w:t xml:space="preserve">, </w:t>
      </w:r>
      <w:r w:rsidR="00A720EF">
        <w:rPr>
          <w:iCs/>
        </w:rPr>
        <w:t>the categories were not mutually exclusive</w:t>
      </w:r>
      <w:r w:rsidR="0059229E">
        <w:rPr>
          <w:iCs/>
        </w:rPr>
        <w:t xml:space="preserve">, and it was unclear whether patients in this study reflect the overall </w:t>
      </w:r>
      <w:r w:rsidR="001B3058">
        <w:rPr>
          <w:iCs/>
        </w:rPr>
        <w:t xml:space="preserve">prevalent </w:t>
      </w:r>
      <w:r w:rsidR="00E5191A">
        <w:rPr>
          <w:iCs/>
        </w:rPr>
        <w:t>population of patients with moderate to severe VMS associated with menopause</w:t>
      </w:r>
      <w:r w:rsidR="00010EBA">
        <w:rPr>
          <w:iCs/>
        </w:rPr>
        <w:t xml:space="preserve">. </w:t>
      </w:r>
    </w:p>
    <w:p w14:paraId="62735E71" w14:textId="475C1686" w:rsidR="00CB4F4C" w:rsidRPr="00B53879" w:rsidRDefault="00523D9A" w:rsidP="001773B1">
      <w:pPr>
        <w:pStyle w:val="ListParagraph"/>
        <w:numPr>
          <w:ilvl w:val="0"/>
          <w:numId w:val="26"/>
        </w:numPr>
        <w:rPr>
          <w:iCs/>
        </w:rPr>
      </w:pPr>
      <w:r w:rsidRPr="00CB4F4C">
        <w:rPr>
          <w:iCs/>
        </w:rPr>
        <w:t xml:space="preserve">Substitution of MHTs and </w:t>
      </w:r>
      <w:r w:rsidR="00A841A7">
        <w:rPr>
          <w:iCs/>
        </w:rPr>
        <w:t>the</w:t>
      </w:r>
      <w:r w:rsidRPr="00CB4F4C">
        <w:rPr>
          <w:iCs/>
        </w:rPr>
        <w:t xml:space="preserve"> market implications were not considered in the submission’s analysis. </w:t>
      </w:r>
      <w:r w:rsidR="00A65795">
        <w:rPr>
          <w:iCs/>
        </w:rPr>
        <w:t>T</w:t>
      </w:r>
      <w:r w:rsidR="00817DBC" w:rsidRPr="00CB4F4C">
        <w:rPr>
          <w:iCs/>
        </w:rPr>
        <w:t xml:space="preserve">he PSCR </w:t>
      </w:r>
      <w:r w:rsidR="00A65795">
        <w:rPr>
          <w:iCs/>
        </w:rPr>
        <w:t>and pre-PBAC response</w:t>
      </w:r>
      <w:r w:rsidR="00E952E8" w:rsidRPr="00CB4F4C">
        <w:rPr>
          <w:iCs/>
        </w:rPr>
        <w:t xml:space="preserve"> claimed tha</w:t>
      </w:r>
      <w:r w:rsidR="001D294D" w:rsidRPr="00CB4F4C">
        <w:rPr>
          <w:iCs/>
        </w:rPr>
        <w:t>t fezolinetant is not expected to substitute for MHTs</w:t>
      </w:r>
      <w:r w:rsidR="00A65795">
        <w:rPr>
          <w:iCs/>
        </w:rPr>
        <w:t xml:space="preserve">, </w:t>
      </w:r>
      <w:r w:rsidR="00966365" w:rsidRPr="00CB4F4C">
        <w:rPr>
          <w:iCs/>
        </w:rPr>
        <w:t>maintaining the view the MHTs are not an appropriate comparator</w:t>
      </w:r>
      <w:r w:rsidR="001D294D" w:rsidRPr="00CB4F4C">
        <w:rPr>
          <w:iCs/>
        </w:rPr>
        <w:t xml:space="preserve">, and </w:t>
      </w:r>
      <w:r w:rsidR="00966365" w:rsidRPr="00CB4F4C">
        <w:rPr>
          <w:iCs/>
        </w:rPr>
        <w:t xml:space="preserve">therefore </w:t>
      </w:r>
      <w:r w:rsidR="00155611" w:rsidRPr="00CB4F4C">
        <w:rPr>
          <w:iCs/>
        </w:rPr>
        <w:t xml:space="preserve">asserted that it was </w:t>
      </w:r>
      <w:r w:rsidR="001D294D" w:rsidRPr="00CB4F4C">
        <w:rPr>
          <w:iCs/>
        </w:rPr>
        <w:t>appropriate</w:t>
      </w:r>
      <w:r w:rsidR="00155611" w:rsidRPr="00CB4F4C">
        <w:rPr>
          <w:iCs/>
        </w:rPr>
        <w:t xml:space="preserve"> that</w:t>
      </w:r>
      <w:r w:rsidR="001D294D" w:rsidRPr="00CB4F4C">
        <w:rPr>
          <w:iCs/>
        </w:rPr>
        <w:t xml:space="preserve"> potential market implications were not included in the </w:t>
      </w:r>
      <w:r w:rsidR="00E44B63">
        <w:rPr>
          <w:iCs/>
        </w:rPr>
        <w:t>estimates</w:t>
      </w:r>
      <w:r w:rsidR="00155611" w:rsidRPr="00CB4F4C">
        <w:rPr>
          <w:iCs/>
        </w:rPr>
        <w:t>.</w:t>
      </w:r>
      <w:r w:rsidR="00CB4F4C" w:rsidRPr="00CB4F4C">
        <w:t xml:space="preserve"> </w:t>
      </w:r>
      <w:r w:rsidR="00CB4F4C">
        <w:t xml:space="preserve">However, </w:t>
      </w:r>
      <w:r w:rsidR="00CB4F4C" w:rsidRPr="00CB4F4C">
        <w:rPr>
          <w:iCs/>
        </w:rPr>
        <w:t xml:space="preserve">DUSC </w:t>
      </w:r>
      <w:r w:rsidR="00CB4F4C">
        <w:rPr>
          <w:iCs/>
        </w:rPr>
        <w:t>agreed with the evaluation</w:t>
      </w:r>
      <w:r w:rsidR="00CB4F4C" w:rsidRPr="00CB4F4C">
        <w:rPr>
          <w:iCs/>
        </w:rPr>
        <w:t xml:space="preserve"> that there may be some substitution of fezolinetant for MHTs and that </w:t>
      </w:r>
      <w:r w:rsidR="00CB4F4C" w:rsidRPr="00B53879">
        <w:rPr>
          <w:iCs/>
        </w:rPr>
        <w:t xml:space="preserve">this needs to be reflected in </w:t>
      </w:r>
      <w:r w:rsidR="007F6B70">
        <w:rPr>
          <w:iCs/>
        </w:rPr>
        <w:t>financial</w:t>
      </w:r>
      <w:r w:rsidR="00CB4F4C" w:rsidRPr="00B53879">
        <w:rPr>
          <w:iCs/>
        </w:rPr>
        <w:t xml:space="preserve"> estimates. </w:t>
      </w:r>
    </w:p>
    <w:p w14:paraId="5D01FFC1" w14:textId="69E89D77" w:rsidR="00234570" w:rsidRPr="00B53879" w:rsidRDefault="00523D9A" w:rsidP="00056136">
      <w:pPr>
        <w:widowControl w:val="0"/>
        <w:numPr>
          <w:ilvl w:val="1"/>
          <w:numId w:val="1"/>
        </w:numPr>
        <w:spacing w:after="120"/>
        <w:ind w:left="720"/>
        <w:rPr>
          <w:iCs/>
        </w:rPr>
      </w:pPr>
      <w:r w:rsidRPr="00B53879">
        <w:rPr>
          <w:iCs/>
        </w:rPr>
        <w:t xml:space="preserve">Overall, </w:t>
      </w:r>
      <w:r w:rsidR="003D68B5" w:rsidRPr="00B53879">
        <w:rPr>
          <w:iCs/>
        </w:rPr>
        <w:t>the DUSC agreed with t</w:t>
      </w:r>
      <w:r w:rsidRPr="00B53879">
        <w:rPr>
          <w:iCs/>
        </w:rPr>
        <w:t>he evaluation that the net costs associated with the PBS listing of fezolinetant were uncertain and most likely overestimated.</w:t>
      </w:r>
    </w:p>
    <w:p w14:paraId="5E4EC23E" w14:textId="4A035576" w:rsidR="00685D71" w:rsidRPr="00B53879" w:rsidRDefault="00685D71" w:rsidP="00056136">
      <w:pPr>
        <w:widowControl w:val="0"/>
        <w:numPr>
          <w:ilvl w:val="1"/>
          <w:numId w:val="1"/>
        </w:numPr>
        <w:spacing w:after="120"/>
        <w:ind w:left="720"/>
      </w:pPr>
      <w:r w:rsidRPr="00B53879">
        <w:t xml:space="preserve">DUSC </w:t>
      </w:r>
      <w:r w:rsidRPr="00B53879">
        <w:rPr>
          <w:iCs/>
        </w:rPr>
        <w:t>considered</w:t>
      </w:r>
      <w:r w:rsidRPr="00B53879">
        <w:t xml:space="preserve"> the utilisation and financial estimates presented in th</w:t>
      </w:r>
      <w:r w:rsidR="009B6F1A" w:rsidRPr="00B53879">
        <w:t>e</w:t>
      </w:r>
      <w:r w:rsidRPr="00B53879">
        <w:t xml:space="preserve"> submission were complex </w:t>
      </w:r>
      <w:r w:rsidR="009B6F1A" w:rsidRPr="00B53879">
        <w:t>as fezolinetant is a n</w:t>
      </w:r>
      <w:r w:rsidRPr="00B53879">
        <w:t>ovel drug where the place in therapy is unclear with no established treatment algorithm</w:t>
      </w:r>
      <w:r w:rsidR="00BF7D39">
        <w:t xml:space="preserve"> and</w:t>
      </w:r>
      <w:r w:rsidR="009B6F1A" w:rsidRPr="00B53879">
        <w:t xml:space="preserve"> the t</w:t>
      </w:r>
      <w:r w:rsidRPr="00B53879">
        <w:t>reatment setting is unclear</w:t>
      </w:r>
      <w:r w:rsidR="00D439CB" w:rsidRPr="00B53879">
        <w:t xml:space="preserve">, and </w:t>
      </w:r>
      <w:r w:rsidR="00BF7D39" w:rsidRPr="00B53879">
        <w:t>require substantial changes</w:t>
      </w:r>
      <w:r w:rsidR="00881E54">
        <w:t xml:space="preserve"> as</w:t>
      </w:r>
      <w:r w:rsidR="00BF7D39" w:rsidRPr="00B53879">
        <w:t xml:space="preserve"> </w:t>
      </w:r>
      <w:r w:rsidR="00D439CB" w:rsidRPr="00B53879">
        <w:t>the m</w:t>
      </w:r>
      <w:r w:rsidRPr="00B53879">
        <w:t>odelling approach is inconsistent with the proposed, or expected treatment algorithm.</w:t>
      </w:r>
    </w:p>
    <w:p w14:paraId="3B28F5E4" w14:textId="1B540AC9" w:rsidR="00D439CB" w:rsidRPr="00B53879" w:rsidRDefault="00ED3AAC" w:rsidP="00D439CB">
      <w:pPr>
        <w:widowControl w:val="0"/>
        <w:numPr>
          <w:ilvl w:val="1"/>
          <w:numId w:val="1"/>
        </w:numPr>
        <w:spacing w:after="120"/>
        <w:ind w:left="720"/>
      </w:pPr>
      <w:r w:rsidRPr="00B53879">
        <w:t>The pre-PBAC response disputed the above points, however the PBAC considered that was no appropriate or reasonable proposals to address the issues raised in the evaluation</w:t>
      </w:r>
      <w:r w:rsidR="00153E0C">
        <w:t xml:space="preserve"> and</w:t>
      </w:r>
      <w:r w:rsidRPr="00B53879">
        <w:t xml:space="preserve"> DUSC advice. </w:t>
      </w:r>
    </w:p>
    <w:p w14:paraId="2238DEE9" w14:textId="12754745" w:rsidR="00576972" w:rsidRPr="005A7226" w:rsidRDefault="00576972" w:rsidP="00606FBA">
      <w:pPr>
        <w:pStyle w:val="4-SubsectionHeading"/>
      </w:pPr>
      <w:r w:rsidRPr="005A7226">
        <w:t>Quality Use of Medicines</w:t>
      </w:r>
      <w:bookmarkEnd w:id="73"/>
      <w:bookmarkEnd w:id="74"/>
    </w:p>
    <w:p w14:paraId="75BDD0A6" w14:textId="656F6E1C" w:rsidR="00563EC5" w:rsidRPr="000D631E" w:rsidRDefault="00563EC5" w:rsidP="000D631E">
      <w:pPr>
        <w:widowControl w:val="0"/>
        <w:numPr>
          <w:ilvl w:val="1"/>
          <w:numId w:val="1"/>
        </w:numPr>
        <w:spacing w:after="120"/>
        <w:ind w:left="720"/>
        <w:rPr>
          <w:rFonts w:asciiTheme="minorHAnsi" w:hAnsiTheme="minorHAnsi"/>
          <w:snapToGrid w:val="0"/>
        </w:rPr>
      </w:pPr>
      <w:bookmarkStart w:id="77" w:name="_Toc22897649"/>
      <w:r w:rsidRPr="005A7226">
        <w:t xml:space="preserve">The submission outlined activities to support the quality use of medicines, including: </w:t>
      </w:r>
      <w:r w:rsidRPr="005A7226">
        <w:rPr>
          <w:iCs/>
        </w:rPr>
        <w:t xml:space="preserve">(i) </w:t>
      </w:r>
      <w:r w:rsidRPr="000D631E">
        <w:rPr>
          <w:rFonts w:asciiTheme="minorHAnsi" w:hAnsiTheme="minorHAnsi"/>
          <w:snapToGrid w:val="0"/>
        </w:rPr>
        <w:t>presenting educational materials and activities in compliance with the Medicines Australia Code of Conduct, (ii) providing patient brochures with QR codes on the packaging to direct patients to the Consumer Medicines Information, and (iii) ensuring that the packaging aligns with the approved PI and TGA requirements.</w:t>
      </w:r>
    </w:p>
    <w:p w14:paraId="3A2CA1EC" w14:textId="6F1A9CFB" w:rsidR="009850FF" w:rsidRPr="00677BE1" w:rsidRDefault="009850FF">
      <w:pPr>
        <w:widowControl w:val="0"/>
        <w:numPr>
          <w:ilvl w:val="1"/>
          <w:numId w:val="1"/>
        </w:numPr>
        <w:spacing w:after="120"/>
        <w:ind w:left="720"/>
        <w:rPr>
          <w:rFonts w:asciiTheme="minorHAnsi" w:hAnsiTheme="minorHAnsi"/>
          <w:snapToGrid w:val="0"/>
        </w:rPr>
      </w:pPr>
      <w:r w:rsidRPr="00677BE1">
        <w:rPr>
          <w:rFonts w:asciiTheme="minorHAnsi" w:hAnsiTheme="minorHAnsi"/>
          <w:snapToGrid w:val="0"/>
        </w:rPr>
        <w:t>DUSC considered the suggested QUM activities in the submission needed to be expanded considering fezolinetant is a first in class drug with potential severe side effects</w:t>
      </w:r>
      <w:r w:rsidR="00415DF8" w:rsidRPr="00677BE1">
        <w:rPr>
          <w:rFonts w:asciiTheme="minorHAnsi" w:hAnsiTheme="minorHAnsi"/>
          <w:snapToGrid w:val="0"/>
        </w:rPr>
        <w:t>.</w:t>
      </w:r>
      <w:r w:rsidR="00677BE1" w:rsidRPr="00677BE1">
        <w:rPr>
          <w:rFonts w:asciiTheme="minorHAnsi" w:hAnsiTheme="minorHAnsi"/>
          <w:snapToGrid w:val="0"/>
        </w:rPr>
        <w:t xml:space="preserve"> </w:t>
      </w:r>
      <w:r w:rsidRPr="00677BE1">
        <w:rPr>
          <w:rFonts w:asciiTheme="minorHAnsi" w:hAnsiTheme="minorHAnsi"/>
          <w:snapToGrid w:val="0"/>
        </w:rPr>
        <w:t xml:space="preserve">DUSC noted the Periodic Safety Update Report (July 2024) stating that fezolinetant was associated with symptomatic hepatotoxicity i.e., increase in serum aspartate aminotransferase (AST) and/or alanine aminotransferase (ALT) was considered as an adverse drug reaction. DUSC noted regular liver function tests and safety, and monitoring of adverse effects will be required. </w:t>
      </w:r>
    </w:p>
    <w:p w14:paraId="7B4550CC" w14:textId="42DD66DC" w:rsidR="0073377B" w:rsidRDefault="009850FF" w:rsidP="000D631E">
      <w:pPr>
        <w:widowControl w:val="0"/>
        <w:numPr>
          <w:ilvl w:val="1"/>
          <w:numId w:val="1"/>
        </w:numPr>
        <w:spacing w:after="120"/>
        <w:ind w:left="720"/>
      </w:pPr>
      <w:r w:rsidRPr="000D631E">
        <w:rPr>
          <w:rFonts w:asciiTheme="minorHAnsi" w:hAnsiTheme="minorHAnsi"/>
          <w:snapToGrid w:val="0"/>
        </w:rPr>
        <w:t>DUSC</w:t>
      </w:r>
      <w:r>
        <w:t xml:space="preserve"> noted that through social media there is increasing awareness of the menopause products and devices available</w:t>
      </w:r>
      <w:r w:rsidR="007A4ACE">
        <w:t xml:space="preserve">, which </w:t>
      </w:r>
      <w:r>
        <w:t xml:space="preserve">could lead to an increased demand for medicines such as fezolinetant. </w:t>
      </w:r>
    </w:p>
    <w:p w14:paraId="6015A395" w14:textId="2EDB6A4E" w:rsidR="00576972" w:rsidRPr="005A7226" w:rsidRDefault="00576972" w:rsidP="00606FBA">
      <w:pPr>
        <w:pStyle w:val="4-SubsectionHeading"/>
      </w:pPr>
      <w:bookmarkStart w:id="78" w:name="_Toc188442571"/>
      <w:r w:rsidRPr="005A7226">
        <w:t>Financial Management – Risk Sharing Arrangements</w:t>
      </w:r>
      <w:bookmarkEnd w:id="77"/>
      <w:bookmarkEnd w:id="78"/>
    </w:p>
    <w:p w14:paraId="1B3121BF" w14:textId="27E9D8E3" w:rsidR="00A2797D" w:rsidRDefault="00563EC5">
      <w:pPr>
        <w:widowControl w:val="0"/>
        <w:numPr>
          <w:ilvl w:val="1"/>
          <w:numId w:val="1"/>
        </w:numPr>
        <w:spacing w:after="120"/>
        <w:ind w:left="720"/>
      </w:pPr>
      <w:r w:rsidRPr="005A7226">
        <w:t xml:space="preserve">The submission did not include a proposal for a risk-sharing arrangement (RSA) for fezolinetant therapy in post-menopausal women with moderate to severe VMS who are unsuitable for MHT. However, it expressed openness to any RSAs recommended by the PBAC and </w:t>
      </w:r>
      <w:r w:rsidRPr="00482618">
        <w:rPr>
          <w:rFonts w:asciiTheme="minorHAnsi" w:hAnsiTheme="minorHAnsi"/>
          <w:snapToGrid w:val="0"/>
        </w:rPr>
        <w:t>indicated</w:t>
      </w:r>
      <w:r w:rsidRPr="005A7226">
        <w:t xml:space="preserve"> a willingness to work with the Department to implement such arrangements.</w:t>
      </w:r>
      <w:bookmarkStart w:id="79" w:name="_Hlk103934877"/>
      <w:r w:rsidR="00F44D03">
        <w:t xml:space="preserve"> </w:t>
      </w:r>
      <w:r w:rsidR="0052460B">
        <w:t xml:space="preserve">In the Pre-PBAC response </w:t>
      </w:r>
      <w:r w:rsidR="006E3B44">
        <w:t xml:space="preserve">the sponsor </w:t>
      </w:r>
      <w:r w:rsidR="001D787F">
        <w:t xml:space="preserve">expressed </w:t>
      </w:r>
      <w:r w:rsidR="00482618">
        <w:t xml:space="preserve">openness to an RSA and </w:t>
      </w:r>
      <w:r w:rsidR="006E3B44">
        <w:t>proposed</w:t>
      </w:r>
      <w:r w:rsidR="00AD5E06">
        <w:t xml:space="preserve"> </w:t>
      </w:r>
      <w:r w:rsidR="00482618">
        <w:t>caps with</w:t>
      </w:r>
      <w:r w:rsidR="00B54BB5" w:rsidRPr="00B54BB5">
        <w:t xml:space="preserve"> tiered rebates</w:t>
      </w:r>
      <w:r w:rsidR="00482618">
        <w:t>.</w:t>
      </w:r>
    </w:p>
    <w:p w14:paraId="47A5DE74" w14:textId="77777777" w:rsidR="00BC00E1" w:rsidRPr="000D631E" w:rsidRDefault="00BC00E1" w:rsidP="00BC00E1">
      <w:pPr>
        <w:rPr>
          <w:rFonts w:asciiTheme="minorHAnsi" w:hAnsiTheme="minorHAnsi"/>
          <w:i/>
        </w:rPr>
      </w:pPr>
      <w:bookmarkStart w:id="80" w:name="_Toc188442573"/>
      <w:bookmarkEnd w:id="79"/>
      <w:r w:rsidRPr="000D631E">
        <w:rPr>
          <w:rFonts w:asciiTheme="minorHAnsi" w:hAnsiTheme="minorHAnsi"/>
          <w:i/>
        </w:rPr>
        <w:t>For more detail on PBAC’s view, see section 7 PBAC outcome.</w:t>
      </w:r>
    </w:p>
    <w:p w14:paraId="7FE5C9A9" w14:textId="77777777" w:rsidR="00353D1A" w:rsidRPr="000D631E" w:rsidRDefault="00353D1A" w:rsidP="00353D1A">
      <w:pPr>
        <w:pStyle w:val="2-SectionHeading"/>
        <w:numPr>
          <w:ilvl w:val="0"/>
          <w:numId w:val="1"/>
        </w:numPr>
      </w:pPr>
      <w:bookmarkStart w:id="81" w:name="_Hlk76381249"/>
      <w:bookmarkStart w:id="82" w:name="_Hlk76377955"/>
      <w:r w:rsidRPr="000D631E">
        <w:t>PBAC Outcome</w:t>
      </w:r>
    </w:p>
    <w:p w14:paraId="122222B9" w14:textId="2FB1E0AB" w:rsidR="001B7610" w:rsidRDefault="001B7610" w:rsidP="009F7164">
      <w:pPr>
        <w:widowControl w:val="0"/>
        <w:numPr>
          <w:ilvl w:val="1"/>
          <w:numId w:val="1"/>
        </w:numPr>
        <w:spacing w:after="120"/>
        <w:ind w:left="720"/>
      </w:pPr>
      <w:bookmarkStart w:id="83" w:name="_Ref195028135"/>
      <w:r w:rsidRPr="00E336F9">
        <w:t xml:space="preserve">The PBAC did not recommend fezolinetant for the treatment of moderate to severe menopause-related VMS. The PBAC considered that there is a clinical need for </w:t>
      </w:r>
      <w:r w:rsidR="00214278" w:rsidRPr="00E336F9">
        <w:t>non</w:t>
      </w:r>
      <w:r w:rsidR="007B13E4" w:rsidRPr="00E336F9">
        <w:t>-</w:t>
      </w:r>
      <w:r w:rsidR="00214278" w:rsidRPr="00E336F9">
        <w:t>hormonal</w:t>
      </w:r>
      <w:r w:rsidRPr="00E336F9">
        <w:t xml:space="preserve"> treatments</w:t>
      </w:r>
      <w:r w:rsidR="00214278" w:rsidRPr="00E336F9">
        <w:t xml:space="preserve"> for VMS associated with menopause, and potentially perimenopause,</w:t>
      </w:r>
      <w:r w:rsidRPr="00E336F9">
        <w:t xml:space="preserve"> in a small </w:t>
      </w:r>
      <w:r w:rsidR="004F60E3" w:rsidRPr="00E336F9">
        <w:t xml:space="preserve">proportion </w:t>
      </w:r>
      <w:r w:rsidRPr="00E336F9">
        <w:t>of patients contraindicated to MHT</w:t>
      </w:r>
      <w:r w:rsidR="00986CEE" w:rsidRPr="00E336F9">
        <w:t xml:space="preserve">. The PBAC </w:t>
      </w:r>
      <w:r w:rsidRPr="00E336F9">
        <w:t xml:space="preserve">considered that the clinical place for fezolinetant was </w:t>
      </w:r>
      <w:r w:rsidR="001E67B3" w:rsidRPr="00E336F9">
        <w:t>not well-defined</w:t>
      </w:r>
      <w:r w:rsidRPr="00E336F9">
        <w:t xml:space="preserve"> </w:t>
      </w:r>
      <w:r w:rsidR="00BD717C" w:rsidRPr="00E336F9">
        <w:t xml:space="preserve">in the submission </w:t>
      </w:r>
      <w:r w:rsidR="0040124D" w:rsidRPr="00E336F9">
        <w:t xml:space="preserve">and </w:t>
      </w:r>
      <w:r w:rsidRPr="00E336F9">
        <w:t xml:space="preserve">the </w:t>
      </w:r>
      <w:r w:rsidR="00BD717C" w:rsidRPr="00E336F9">
        <w:t xml:space="preserve">proposed </w:t>
      </w:r>
      <w:r w:rsidRPr="00E336F9">
        <w:t xml:space="preserve">population eligible for fezolinetant </w:t>
      </w:r>
      <w:r w:rsidR="001E67B3" w:rsidRPr="00E336F9">
        <w:t>was broader than is clinically appropriate</w:t>
      </w:r>
      <w:r w:rsidR="00587231" w:rsidRPr="00E336F9">
        <w:t xml:space="preserve">, including patients who could be treated with </w:t>
      </w:r>
      <w:r w:rsidR="00355710" w:rsidRPr="00E336F9">
        <w:t>MHT</w:t>
      </w:r>
      <w:r w:rsidRPr="00E336F9">
        <w:t xml:space="preserve">. </w:t>
      </w:r>
      <w:r w:rsidR="00481F0C">
        <w:t xml:space="preserve">The PBAC noted the increasing safety </w:t>
      </w:r>
      <w:r w:rsidR="000762A3">
        <w:t>concern of</w:t>
      </w:r>
      <w:r w:rsidR="00E31400">
        <w:t xml:space="preserve"> </w:t>
      </w:r>
      <w:r w:rsidR="00E31400" w:rsidRPr="00DC3E78">
        <w:t>drug induced liver disease</w:t>
      </w:r>
      <w:r w:rsidR="00E31400">
        <w:t xml:space="preserve"> with the use of </w:t>
      </w:r>
      <w:r w:rsidR="00E31400" w:rsidRPr="008A30CD">
        <w:t>fezolinetant</w:t>
      </w:r>
      <w:r w:rsidR="00E31400">
        <w:t xml:space="preserve"> since TGA approval in May 2024, and that this had not been adequately addressed in the submission</w:t>
      </w:r>
      <w:r w:rsidR="00481F0C">
        <w:t xml:space="preserve">. </w:t>
      </w:r>
      <w:r w:rsidRPr="00E336F9">
        <w:t xml:space="preserve">The </w:t>
      </w:r>
      <w:r w:rsidR="0009251A" w:rsidRPr="00E336F9">
        <w:t xml:space="preserve">PBAC noted that </w:t>
      </w:r>
      <w:r w:rsidR="0009251A" w:rsidRPr="002142F6">
        <w:t>MHT, which is less costly than fezolinetant, is the most effective and current mainstay treatment for VMS and other symptoms associated with menopause</w:t>
      </w:r>
      <w:r w:rsidR="00CE5824" w:rsidRPr="002142F6">
        <w:t xml:space="preserve">. </w:t>
      </w:r>
      <w:r w:rsidR="00E336F9" w:rsidRPr="00E336F9">
        <w:t xml:space="preserve">The PBAC also noted a number of viable (off-label) non-hormonal treatments </w:t>
      </w:r>
      <w:r w:rsidR="00414F1B">
        <w:t>that reduce</w:t>
      </w:r>
      <w:r w:rsidR="000762A3">
        <w:t xml:space="preserve"> </w:t>
      </w:r>
      <w:r w:rsidR="000762A3" w:rsidRPr="00E336F9">
        <w:t>menopause-related VMS</w:t>
      </w:r>
      <w:r w:rsidR="00414F1B">
        <w:t>,</w:t>
      </w:r>
      <w:r w:rsidR="000762A3" w:rsidRPr="00E336F9">
        <w:t xml:space="preserve"> </w:t>
      </w:r>
      <w:r w:rsidR="008D7859">
        <w:t>are less costly than fezolinetant</w:t>
      </w:r>
      <w:r w:rsidR="00414F1B">
        <w:t>,</w:t>
      </w:r>
      <w:r w:rsidR="008D7859">
        <w:t xml:space="preserve"> and</w:t>
      </w:r>
      <w:r w:rsidR="00E31400">
        <w:t xml:space="preserve"> </w:t>
      </w:r>
      <w:r w:rsidR="00A00BB6">
        <w:t>are</w:t>
      </w:r>
      <w:r w:rsidR="00481F0C">
        <w:t xml:space="preserve"> in established use for women with contraindications to estrogen based MHT </w:t>
      </w:r>
      <w:r w:rsidR="00E336F9" w:rsidRPr="00E336F9">
        <w:t xml:space="preserve">are available but were not considered by the submission. </w:t>
      </w:r>
      <w:bookmarkEnd w:id="83"/>
    </w:p>
    <w:p w14:paraId="487DF8D1" w14:textId="3C80BB57" w:rsidR="00B05A2A" w:rsidRPr="00430E98" w:rsidRDefault="00513B7F">
      <w:pPr>
        <w:widowControl w:val="0"/>
        <w:numPr>
          <w:ilvl w:val="1"/>
          <w:numId w:val="1"/>
        </w:numPr>
        <w:spacing w:after="120"/>
        <w:ind w:left="720"/>
        <w:rPr>
          <w:rFonts w:asciiTheme="minorHAnsi" w:hAnsiTheme="minorHAnsi"/>
          <w:snapToGrid w:val="0"/>
        </w:rPr>
      </w:pPr>
      <w:bookmarkStart w:id="84" w:name="_Ref195018450"/>
      <w:r>
        <w:t>T</w:t>
      </w:r>
      <w:r w:rsidRPr="00DE5856">
        <w:t xml:space="preserve">he PBAC considered that the clinical place for fezolinetant </w:t>
      </w:r>
      <w:r>
        <w:t>as proposed in the submission was inappropriate,</w:t>
      </w:r>
      <w:r w:rsidRPr="00DE5856">
        <w:t xml:space="preserve"> and the population eligible for fezolinetant would need to be more appropriately </w:t>
      </w:r>
      <w:r>
        <w:t xml:space="preserve">and tightly </w:t>
      </w:r>
      <w:r w:rsidRPr="00DE5856">
        <w:t xml:space="preserve">defined. </w:t>
      </w:r>
      <w:r w:rsidR="00912818" w:rsidRPr="002142F6">
        <w:t xml:space="preserve">The PBAC considered that there is </w:t>
      </w:r>
      <w:r w:rsidR="00912818" w:rsidRPr="00A8575F">
        <w:t xml:space="preserve">a </w:t>
      </w:r>
      <w:r w:rsidR="00724A5F">
        <w:t xml:space="preserve">high </w:t>
      </w:r>
      <w:r w:rsidR="00912818" w:rsidRPr="00A8575F">
        <w:t>clinical need</w:t>
      </w:r>
      <w:r w:rsidR="00912818" w:rsidRPr="002142F6">
        <w:t xml:space="preserve"> for non</w:t>
      </w:r>
      <w:r w:rsidR="007C0799">
        <w:t>-</w:t>
      </w:r>
      <w:r w:rsidR="00912818" w:rsidRPr="002142F6">
        <w:t>hormonal treatments for VMS associated with menopause</w:t>
      </w:r>
      <w:r w:rsidR="00724A5F">
        <w:t xml:space="preserve"> </w:t>
      </w:r>
      <w:r w:rsidR="00912818" w:rsidRPr="002142F6">
        <w:t xml:space="preserve">in </w:t>
      </w:r>
      <w:r w:rsidR="00712F0C" w:rsidRPr="002142F6">
        <w:t>patients who are</w:t>
      </w:r>
      <w:r w:rsidR="00912818" w:rsidRPr="002142F6">
        <w:t xml:space="preserve"> contraindicated to MHT</w:t>
      </w:r>
      <w:r w:rsidR="00804752" w:rsidRPr="002142F6">
        <w:t xml:space="preserve"> (“MHT contraindicated”)</w:t>
      </w:r>
      <w:r w:rsidR="00724A5F">
        <w:t>. However</w:t>
      </w:r>
      <w:r w:rsidR="00724A5F" w:rsidRPr="00890720">
        <w:t xml:space="preserve">, the PBAC noted that </w:t>
      </w:r>
      <w:r w:rsidR="00724A5F">
        <w:t xml:space="preserve">fezolinetant </w:t>
      </w:r>
      <w:r w:rsidR="00724A5F" w:rsidRPr="00890720">
        <w:t xml:space="preserve">has not been studied in a number of </w:t>
      </w:r>
      <w:r w:rsidR="00724A5F">
        <w:t>“</w:t>
      </w:r>
      <w:r w:rsidR="00724A5F" w:rsidRPr="00890720">
        <w:t>MHT contraindicated</w:t>
      </w:r>
      <w:r w:rsidR="00724A5F">
        <w:t>”</w:t>
      </w:r>
      <w:r w:rsidR="00724A5F" w:rsidRPr="00890720">
        <w:t xml:space="preserve"> groups, </w:t>
      </w:r>
      <w:r w:rsidR="00724A5F">
        <w:t>including:</w:t>
      </w:r>
      <w:r w:rsidR="00724A5F" w:rsidRPr="00890720">
        <w:t xml:space="preserve"> patients </w:t>
      </w:r>
      <w:r w:rsidR="00090842">
        <w:t>with severe hepatic impairment</w:t>
      </w:r>
      <w:r w:rsidR="00724A5F" w:rsidRPr="00890720">
        <w:t xml:space="preserve">, patients with current or previous breast cancer or estrogen-dependant tumours, </w:t>
      </w:r>
      <w:r w:rsidR="00430E98">
        <w:t xml:space="preserve">and </w:t>
      </w:r>
      <w:r w:rsidR="00724A5F" w:rsidRPr="00890720">
        <w:t>pharmacologically induced menopause (which the PBAC considered to be a sub-population of greatest clinical need)</w:t>
      </w:r>
      <w:r w:rsidR="00724A5F">
        <w:t xml:space="preserve">. The PBAC considered that there may </w:t>
      </w:r>
      <w:r w:rsidR="00430E98">
        <w:t xml:space="preserve">also </w:t>
      </w:r>
      <w:r w:rsidR="00724A5F">
        <w:t>be a cli</w:t>
      </w:r>
      <w:r w:rsidR="00285F5B">
        <w:t xml:space="preserve">nical place for fezolinetant in patients </w:t>
      </w:r>
      <w:r w:rsidR="00C419E2" w:rsidRPr="002142F6">
        <w:t xml:space="preserve">who discontinue MHT due to serious AEs </w:t>
      </w:r>
      <w:r w:rsidR="00285F5B">
        <w:t xml:space="preserve">and in </w:t>
      </w:r>
      <w:r w:rsidR="00912818" w:rsidRPr="00890720">
        <w:t xml:space="preserve">some patients with </w:t>
      </w:r>
      <w:r w:rsidR="00FD056B">
        <w:t xml:space="preserve">cautions to using </w:t>
      </w:r>
      <w:r w:rsidR="00912818" w:rsidRPr="00890720">
        <w:t xml:space="preserve">MHT </w:t>
      </w:r>
      <w:r w:rsidR="00FD056B">
        <w:t xml:space="preserve">(“MHT </w:t>
      </w:r>
      <w:r w:rsidR="00912818" w:rsidRPr="00890720">
        <w:t>caution</w:t>
      </w:r>
      <w:r w:rsidR="00FD056B">
        <w:t>”)</w:t>
      </w:r>
      <w:r w:rsidR="00C419E2" w:rsidRPr="00890720">
        <w:t xml:space="preserve">, noting that some </w:t>
      </w:r>
      <w:r w:rsidR="00835673">
        <w:t>of these</w:t>
      </w:r>
      <w:r w:rsidR="00C419E2" w:rsidRPr="00890720">
        <w:t xml:space="preserve"> patients might still elect to be treated with MHT based on individual views regarding risks and benefits. </w:t>
      </w:r>
      <w:r w:rsidR="002E134D">
        <w:t>Importantly</w:t>
      </w:r>
      <w:r w:rsidR="00912818">
        <w:t xml:space="preserve">, the PBAC considered that as </w:t>
      </w:r>
      <w:r w:rsidR="00912818" w:rsidRPr="00C074B6">
        <w:t>MHT</w:t>
      </w:r>
      <w:r w:rsidR="00912818">
        <w:t>, which is less costly than fezolinetant,</w:t>
      </w:r>
      <w:r w:rsidR="00912818" w:rsidRPr="00C074B6">
        <w:t xml:space="preserve"> is the most effective treatment for menopausal symptoms and the recommended first-line treatment for VM</w:t>
      </w:r>
      <w:r w:rsidR="00912818">
        <w:t xml:space="preserve">S. </w:t>
      </w:r>
      <w:bookmarkEnd w:id="84"/>
    </w:p>
    <w:p w14:paraId="01691224" w14:textId="77777777" w:rsidR="00822FC7" w:rsidRPr="008A30CD" w:rsidRDefault="00822FC7" w:rsidP="00822FC7">
      <w:pPr>
        <w:widowControl w:val="0"/>
        <w:numPr>
          <w:ilvl w:val="1"/>
          <w:numId w:val="1"/>
        </w:numPr>
        <w:spacing w:after="120"/>
        <w:ind w:left="720"/>
        <w:rPr>
          <w:i/>
          <w:iCs/>
        </w:rPr>
      </w:pPr>
      <w:bookmarkStart w:id="85" w:name="_Ref195018488"/>
      <w:bookmarkStart w:id="86" w:name="_Ref195609732"/>
      <w:bookmarkStart w:id="87" w:name="_Ref195026535"/>
      <w:r>
        <w:t xml:space="preserve">The PBAC noted the increasing safety signals internationally concerning </w:t>
      </w:r>
      <w:r w:rsidRPr="00DC3E78">
        <w:t>drug induced liver disease</w:t>
      </w:r>
      <w:r>
        <w:t xml:space="preserve"> with the use of </w:t>
      </w:r>
      <w:r w:rsidRPr="008A30CD">
        <w:t>fezolinetant</w:t>
      </w:r>
      <w:r>
        <w:t xml:space="preserve"> since TGA approval in May 2024. This has resulted in both the FDA (USA) and Medicines and Healthcare products Regulation Agency (MHPRA, United Kingdom) adding boxed warnings (USA in December 2024 and UK in April 2025), with the FDA recommending liver function tests at baseline, 1, 2, 3, 6, 9 months and MHPRA at baseline, 1, 2, 3 and then based on clinical judgement. The PBAC noted that the cost of these tests and care provision was not adequately considered in the submission. The PBAC noted that the risks of and mitigation for inadequate surveillance had not been considered.</w:t>
      </w:r>
    </w:p>
    <w:p w14:paraId="4ABE78BE" w14:textId="2E9A317E" w:rsidR="00193DF7" w:rsidRDefault="00EB1692" w:rsidP="00193DF7">
      <w:pPr>
        <w:widowControl w:val="0"/>
        <w:numPr>
          <w:ilvl w:val="1"/>
          <w:numId w:val="1"/>
        </w:numPr>
        <w:spacing w:after="120"/>
        <w:ind w:left="720"/>
      </w:pPr>
      <w:bookmarkStart w:id="88" w:name="_Ref195782042"/>
      <w:r w:rsidRPr="008E45F6">
        <w:t xml:space="preserve">The PBAC considered that the requested restriction </w:t>
      </w:r>
      <w:r w:rsidRPr="000A64A9">
        <w:t>would not limit first-line access to patients with medical reasons to avoid MHT</w:t>
      </w:r>
      <w:r w:rsidRPr="00904013">
        <w:t xml:space="preserve">. Rather, it would </w:t>
      </w:r>
      <w:r w:rsidR="00D431B6" w:rsidRPr="00D431B6">
        <w:t xml:space="preserve">potentially allow for </w:t>
      </w:r>
      <w:r w:rsidRPr="00904013">
        <w:t xml:space="preserve">fezolinetant to as be used </w:t>
      </w:r>
      <w:r w:rsidR="00D431B6" w:rsidRPr="00D431B6">
        <w:t>first</w:t>
      </w:r>
      <w:r w:rsidRPr="00904013">
        <w:t>-</w:t>
      </w:r>
      <w:r w:rsidR="00D431B6" w:rsidRPr="00D431B6">
        <w:t>line</w:t>
      </w:r>
      <w:r w:rsidRPr="00904013">
        <w:t xml:space="preserve"> treatment over MHT based on patient preference, which is </w:t>
      </w:r>
      <w:r w:rsidR="005B10EB" w:rsidRPr="00904013">
        <w:t xml:space="preserve">not </w:t>
      </w:r>
      <w:r w:rsidR="00B10213" w:rsidRPr="00904013">
        <w:t>appropriate</w:t>
      </w:r>
      <w:r w:rsidR="005B10EB" w:rsidRPr="00904013">
        <w:t xml:space="preserve"> as it is </w:t>
      </w:r>
      <w:r w:rsidRPr="00904013">
        <w:t>contrary to the current clinical treatment guidelines</w:t>
      </w:r>
      <w:r w:rsidR="00A625C9" w:rsidRPr="00904013">
        <w:t xml:space="preserve"> for VMS</w:t>
      </w:r>
      <w:r w:rsidR="003A2FAA">
        <w:t xml:space="preserve"> </w:t>
      </w:r>
      <w:r w:rsidR="003A2FAA" w:rsidRPr="00F71ADC">
        <w:t>and the relative</w:t>
      </w:r>
      <w:r w:rsidR="003A2FAA">
        <w:t xml:space="preserve"> effectiveness </w:t>
      </w:r>
      <w:r w:rsidR="005A6E0E">
        <w:t xml:space="preserve">and cost-effectiveness </w:t>
      </w:r>
      <w:r w:rsidR="003A2FAA">
        <w:t xml:space="preserve">of fezolinetant has not been evaluated against </w:t>
      </w:r>
      <w:r w:rsidR="003A2FAA" w:rsidRPr="00F71ADC">
        <w:t>MHT</w:t>
      </w:r>
      <w:r w:rsidR="00904013" w:rsidRPr="00F71ADC">
        <w:t>.</w:t>
      </w:r>
      <w:bookmarkEnd w:id="85"/>
      <w:r w:rsidRPr="00F71ADC">
        <w:t xml:space="preserve"> </w:t>
      </w:r>
      <w:r w:rsidR="00481F0C">
        <w:t xml:space="preserve">This is compounded by the liver function test surveillance required. </w:t>
      </w:r>
      <w:r w:rsidR="00193DF7">
        <w:t xml:space="preserve">The PBAC considered it would be essential to more clearly articulate sub-populations </w:t>
      </w:r>
      <w:r w:rsidR="00193DF7" w:rsidRPr="005C0F21">
        <w:t>‘unsuitable for MHT’</w:t>
      </w:r>
      <w:r w:rsidR="00193DF7">
        <w:t xml:space="preserve"> in order to exclude patients without a medical reason to avoid MHT. The PBAC considered</w:t>
      </w:r>
      <w:r w:rsidR="00193DF7" w:rsidRPr="0007635D">
        <w:t xml:space="preserve"> that </w:t>
      </w:r>
      <w:r w:rsidR="00193DF7">
        <w:t>definitions for “</w:t>
      </w:r>
      <w:r w:rsidR="00193DF7" w:rsidRPr="0007635D">
        <w:t>MHT caution</w:t>
      </w:r>
      <w:r w:rsidR="00193DF7">
        <w:t xml:space="preserve">” and “MHT </w:t>
      </w:r>
      <w:r w:rsidR="00193DF7" w:rsidRPr="0007635D">
        <w:t>contraindication</w:t>
      </w:r>
      <w:r w:rsidR="00193DF7">
        <w:t>” should</w:t>
      </w:r>
      <w:r w:rsidR="00193DF7" w:rsidRPr="0007635D">
        <w:t xml:space="preserve"> be explicit (e.g. </w:t>
      </w:r>
      <w:r w:rsidR="00193DF7">
        <w:t xml:space="preserve">as </w:t>
      </w:r>
      <w:r w:rsidR="00193DF7" w:rsidRPr="0007635D">
        <w:t xml:space="preserve">defined in </w:t>
      </w:r>
      <w:r w:rsidR="00193DF7">
        <w:t xml:space="preserve">the </w:t>
      </w:r>
      <w:r w:rsidR="00193DF7" w:rsidRPr="0007635D">
        <w:t xml:space="preserve">Toolkit </w:t>
      </w:r>
      <w:r w:rsidR="00193DF7">
        <w:t>and</w:t>
      </w:r>
      <w:r w:rsidR="00193DF7" w:rsidRPr="0007635D">
        <w:t xml:space="preserve"> Guidelines), rather than referring to </w:t>
      </w:r>
      <w:r w:rsidR="00193DF7">
        <w:t>product information (</w:t>
      </w:r>
      <w:r w:rsidR="00193DF7" w:rsidRPr="0007635D">
        <w:t>PIs</w:t>
      </w:r>
      <w:r w:rsidR="00193DF7">
        <w:t xml:space="preserve">) for </w:t>
      </w:r>
      <w:r w:rsidR="00193DF7" w:rsidRPr="0007635D">
        <w:t>MHT</w:t>
      </w:r>
      <w:r w:rsidR="00193DF7">
        <w:t xml:space="preserve">. </w:t>
      </w:r>
      <w:r w:rsidR="00193DF7" w:rsidRPr="005C0F21">
        <w:t xml:space="preserve">The PBAC considered that it may be preferable for the requested restriction to clearly define </w:t>
      </w:r>
      <w:r w:rsidR="00193DF7">
        <w:t>“</w:t>
      </w:r>
      <w:r w:rsidR="00193DF7" w:rsidRPr="005C0F21">
        <w:t>MHT caution</w:t>
      </w:r>
      <w:r w:rsidR="00193DF7">
        <w:t>”</w:t>
      </w:r>
      <w:r w:rsidR="00193DF7" w:rsidRPr="005C0F21">
        <w:t xml:space="preserve"> in terms of underlying medical conditions (e.g. high risk of breast cancer, high cholesterol or triglycerides, migraine, diabetes) that require an assessment of the risk of MHT treatment.</w:t>
      </w:r>
      <w:r w:rsidR="00193DF7">
        <w:t xml:space="preserve"> The PBAC noted that the cautions other than </w:t>
      </w:r>
      <w:r w:rsidR="00193DF7" w:rsidRPr="002266C8">
        <w:t>high risk of breast or endometrial cancer</w:t>
      </w:r>
      <w:r w:rsidR="00193DF7">
        <w:t xml:space="preserve"> are related to oral, rather than transdermal estrogen, and queried the extent to which MHT cautions and contraindications noted in the submission were based on risks associated with oral estrogen. The PBAC considered that the population and listing may require further refinement, but it may be appropriate to include:</w:t>
      </w:r>
      <w:bookmarkEnd w:id="86"/>
      <w:bookmarkEnd w:id="88"/>
    </w:p>
    <w:p w14:paraId="082AF668" w14:textId="77777777" w:rsidR="00193DF7" w:rsidRDefault="00193DF7" w:rsidP="00193DF7">
      <w:pPr>
        <w:pStyle w:val="ListParagraph"/>
        <w:numPr>
          <w:ilvl w:val="0"/>
          <w:numId w:val="41"/>
        </w:numPr>
        <w:spacing w:after="0"/>
        <w:ind w:left="1080"/>
      </w:pPr>
      <w:r>
        <w:t>F</w:t>
      </w:r>
      <w:r w:rsidRPr="00E7037C">
        <w:t>irst-line treatment for moderate to severe menopause-related VMS in patients with a MHT contraindication</w:t>
      </w:r>
      <w:r>
        <w:t>.</w:t>
      </w:r>
      <w:r w:rsidRPr="00E7037C">
        <w:t xml:space="preserve"> </w:t>
      </w:r>
    </w:p>
    <w:p w14:paraId="7B536ED9" w14:textId="77003773" w:rsidR="0035531F" w:rsidRDefault="00193DF7" w:rsidP="00193DF7">
      <w:pPr>
        <w:pStyle w:val="ListParagraph"/>
        <w:numPr>
          <w:ilvl w:val="0"/>
          <w:numId w:val="41"/>
        </w:numPr>
        <w:spacing w:after="0"/>
        <w:ind w:left="1080"/>
      </w:pPr>
      <w:r>
        <w:t xml:space="preserve">Treatment for patients </w:t>
      </w:r>
      <w:r w:rsidRPr="00E7037C">
        <w:t>who have discontinued MHT due to side</w:t>
      </w:r>
      <w:r w:rsidR="00F221C1">
        <w:t xml:space="preserve"> effects.</w:t>
      </w:r>
    </w:p>
    <w:p w14:paraId="512AD08E" w14:textId="35A0F7E9" w:rsidR="00193DF7" w:rsidRDefault="00193DF7" w:rsidP="00193DF7">
      <w:pPr>
        <w:pStyle w:val="ListParagraph"/>
        <w:numPr>
          <w:ilvl w:val="0"/>
          <w:numId w:val="41"/>
        </w:numPr>
        <w:spacing w:after="0"/>
        <w:ind w:left="1080"/>
      </w:pPr>
      <w:r>
        <w:t>Treatment for patients with</w:t>
      </w:r>
      <w:r w:rsidRPr="00E7037C">
        <w:t xml:space="preserve"> high risk of breast or endometrial cancer</w:t>
      </w:r>
      <w:r>
        <w:t xml:space="preserve">. </w:t>
      </w:r>
    </w:p>
    <w:p w14:paraId="728FB937" w14:textId="77777777" w:rsidR="00193DF7" w:rsidRDefault="00193DF7" w:rsidP="00F034D7">
      <w:pPr>
        <w:pStyle w:val="ListParagraph"/>
        <w:numPr>
          <w:ilvl w:val="0"/>
          <w:numId w:val="41"/>
        </w:numPr>
        <w:ind w:left="1080"/>
      </w:pPr>
      <w:r>
        <w:t>S</w:t>
      </w:r>
      <w:r w:rsidRPr="00E7037C">
        <w:t xml:space="preserve">econd-line treatment </w:t>
      </w:r>
      <w:r w:rsidRPr="00DE6151">
        <w:t>after at least 3 months trial</w:t>
      </w:r>
      <w:r w:rsidRPr="00E7037C">
        <w:t xml:space="preserve"> of transdermal MHT if comorbidities have been exacerbated by MHT. </w:t>
      </w:r>
    </w:p>
    <w:p w14:paraId="388CE4CC" w14:textId="77777777" w:rsidR="0050027C" w:rsidRDefault="0050027C" w:rsidP="00AD0C25">
      <w:pPr>
        <w:pStyle w:val="3-BodyText"/>
        <w:widowControl w:val="0"/>
        <w:ind w:left="720"/>
      </w:pPr>
      <w:r>
        <w:t>The PBAC made the following additional comments with regard to the restrictions:</w:t>
      </w:r>
    </w:p>
    <w:p w14:paraId="5A41970F" w14:textId="07F40C6A" w:rsidR="00AD0C25" w:rsidRDefault="00AD0C25" w:rsidP="0050027C">
      <w:pPr>
        <w:pStyle w:val="ListParagraph"/>
        <w:numPr>
          <w:ilvl w:val="0"/>
          <w:numId w:val="41"/>
        </w:numPr>
        <w:spacing w:after="0"/>
        <w:ind w:left="1080"/>
      </w:pPr>
      <w:r w:rsidRPr="00F71ADC">
        <w:t>The</w:t>
      </w:r>
      <w:r>
        <w:t xml:space="preserve"> PBAC noted that some perimenopausal women also experience VMS, but that these patients were excluded from clinical trials, and considered that it is was unclear if the proposed restriction would exclude these patients.</w:t>
      </w:r>
      <w:bookmarkEnd w:id="87"/>
      <w:r>
        <w:t xml:space="preserve"> </w:t>
      </w:r>
    </w:p>
    <w:p w14:paraId="7057CBE0" w14:textId="77777777" w:rsidR="00637B8C" w:rsidRDefault="00EB1692" w:rsidP="0050027C">
      <w:pPr>
        <w:pStyle w:val="ListParagraph"/>
        <w:numPr>
          <w:ilvl w:val="0"/>
          <w:numId w:val="41"/>
        </w:numPr>
        <w:spacing w:after="0"/>
        <w:ind w:left="1080"/>
      </w:pPr>
      <w:bookmarkStart w:id="89" w:name="_Ref195252587"/>
      <w:bookmarkStart w:id="90" w:name="_Ref195018490"/>
      <w:bookmarkStart w:id="91" w:name="_Ref195026158"/>
      <w:r w:rsidRPr="005C0F21">
        <w:t>The PBAC considered that</w:t>
      </w:r>
      <w:r w:rsidR="00A538A8" w:rsidRPr="005C0F21">
        <w:t xml:space="preserve"> </w:t>
      </w:r>
      <w:r w:rsidR="0007635D">
        <w:t xml:space="preserve">it would be appropriate to define </w:t>
      </w:r>
      <w:r w:rsidR="005C0F21" w:rsidRPr="005C0F21">
        <w:t>moderate to severe VMS</w:t>
      </w:r>
      <w:r w:rsidR="00AD0C25">
        <w:t xml:space="preserve"> in the restriction</w:t>
      </w:r>
      <w:r w:rsidR="00AA0087">
        <w:t xml:space="preserve">, consistent with </w:t>
      </w:r>
      <w:r w:rsidR="006D7D20">
        <w:t xml:space="preserve">definitions in </w:t>
      </w:r>
      <w:r w:rsidR="00AA0087">
        <w:t>guidelines</w:t>
      </w:r>
      <w:r w:rsidR="0007635D" w:rsidRPr="005C0F21">
        <w:t>.</w:t>
      </w:r>
      <w:r w:rsidR="0007635D">
        <w:t xml:space="preserve"> </w:t>
      </w:r>
    </w:p>
    <w:bookmarkEnd w:id="89"/>
    <w:bookmarkEnd w:id="90"/>
    <w:p w14:paraId="4F05EDB8" w14:textId="3DC277F6" w:rsidR="00203567" w:rsidRPr="00E7037C" w:rsidRDefault="00210EB7" w:rsidP="0050027C">
      <w:pPr>
        <w:pStyle w:val="ListParagraph"/>
        <w:numPr>
          <w:ilvl w:val="0"/>
          <w:numId w:val="41"/>
        </w:numPr>
        <w:spacing w:after="0"/>
        <w:ind w:left="1080"/>
      </w:pPr>
      <w:r>
        <w:t>T</w:t>
      </w:r>
      <w:r w:rsidR="00FA288B" w:rsidRPr="00E7037C">
        <w:t>he PBAC considered that it would be appropriate to add a caution to the restriction regarding hepatotoxicity and recommended LFT</w:t>
      </w:r>
      <w:bookmarkEnd w:id="91"/>
      <w:r w:rsidR="006E0FB1" w:rsidRPr="00E7037C">
        <w:t xml:space="preserve">. </w:t>
      </w:r>
    </w:p>
    <w:p w14:paraId="6120E8CD" w14:textId="5E5F7BFC" w:rsidR="005E4567" w:rsidRPr="000D631E" w:rsidRDefault="005E4567" w:rsidP="00F034D7">
      <w:pPr>
        <w:pStyle w:val="ListParagraph"/>
        <w:numPr>
          <w:ilvl w:val="0"/>
          <w:numId w:val="41"/>
        </w:numPr>
        <w:ind w:left="1080"/>
      </w:pPr>
      <w:bookmarkStart w:id="92" w:name="_Ref195026420"/>
      <w:r w:rsidRPr="00BC2CFE">
        <w:t xml:space="preserve">The submission requested an Authority Required (STREAMLINED) listing, however the PBAC considered that a written or telephone authority required listing may be more appropriate for initial treatment to </w:t>
      </w:r>
      <w:r w:rsidR="006F257E">
        <w:t>ensure that</w:t>
      </w:r>
      <w:r w:rsidRPr="00BC2CFE">
        <w:t xml:space="preserve"> </w:t>
      </w:r>
      <w:r w:rsidR="00C7570C">
        <w:t xml:space="preserve">treatment </w:t>
      </w:r>
      <w:r w:rsidR="006F257E">
        <w:t xml:space="preserve">is limited </w:t>
      </w:r>
      <w:r w:rsidR="00C7570C">
        <w:t>to the intended population.</w:t>
      </w:r>
    </w:p>
    <w:p w14:paraId="1290A500" w14:textId="63F55A80" w:rsidR="003E1061" w:rsidRPr="008D7859" w:rsidRDefault="00912818" w:rsidP="004F63D0">
      <w:pPr>
        <w:widowControl w:val="0"/>
        <w:numPr>
          <w:ilvl w:val="1"/>
          <w:numId w:val="1"/>
        </w:numPr>
        <w:spacing w:after="120"/>
        <w:ind w:left="720"/>
        <w:rPr>
          <w:i/>
          <w:iCs/>
        </w:rPr>
      </w:pPr>
      <w:bookmarkStart w:id="93" w:name="_Ref195532321"/>
      <w:bookmarkStart w:id="94" w:name="_Ref195252557"/>
      <w:r w:rsidRPr="008A30CD">
        <w:t xml:space="preserve">The PBAC considered that the nomination of ‘no treatment’ as the main comparator </w:t>
      </w:r>
      <w:r w:rsidR="008D7859">
        <w:t xml:space="preserve">is not appropriate </w:t>
      </w:r>
      <w:r w:rsidRPr="008A30CD">
        <w:t xml:space="preserve">for requested PBS patients who are contraindicated to MHT, or who have discontinued MHT due to adverse effects (AEs). </w:t>
      </w:r>
      <w:r w:rsidR="008D7859" w:rsidRPr="00E7285C">
        <w:rPr>
          <w:rFonts w:asciiTheme="minorHAnsi" w:hAnsiTheme="minorHAnsi"/>
          <w:snapToGrid w:val="0"/>
        </w:rPr>
        <w:t>The</w:t>
      </w:r>
      <w:r w:rsidR="008D7859">
        <w:t xml:space="preserve"> </w:t>
      </w:r>
      <w:r w:rsidR="008D7859" w:rsidRPr="008138C2">
        <w:t xml:space="preserve">PBAC noted </w:t>
      </w:r>
      <w:r w:rsidR="008D7859">
        <w:t xml:space="preserve">that there are </w:t>
      </w:r>
      <w:r w:rsidR="008D7859" w:rsidRPr="008138C2">
        <w:t>a number of non</w:t>
      </w:r>
      <w:r w:rsidR="008D7859">
        <w:t>-hormonal</w:t>
      </w:r>
      <w:r w:rsidR="008D7859" w:rsidRPr="008138C2">
        <w:t xml:space="preserve"> </w:t>
      </w:r>
      <w:r w:rsidR="008D7859">
        <w:t>medicines</w:t>
      </w:r>
      <w:r w:rsidR="008D7859" w:rsidRPr="008138C2">
        <w:t xml:space="preserve"> </w:t>
      </w:r>
      <w:r w:rsidR="008D7859">
        <w:t xml:space="preserve">currently used </w:t>
      </w:r>
      <w:r w:rsidR="008D7859" w:rsidRPr="008138C2">
        <w:t xml:space="preserve">off-label </w:t>
      </w:r>
      <w:r w:rsidR="008D7859">
        <w:t xml:space="preserve">in Australian clinical practice for treatment of menopause-related VMS (e.g. </w:t>
      </w:r>
      <w:r w:rsidR="008D7859" w:rsidRPr="004D7640">
        <w:t>oxybutynin, gabapentin, propranolol, clonidine, SSRIs</w:t>
      </w:r>
      <w:r w:rsidR="008D7859">
        <w:t>), however the submission did not present any evidence for fezolinetant compared to these alternative treatments. The</w:t>
      </w:r>
      <w:r w:rsidR="008D7859" w:rsidRPr="008A30CD">
        <w:t xml:space="preserve"> PBAC considered it important to better understand what treatments, if any, are currently used in Australian clinical practice by subpopulations of patients with menopause </w:t>
      </w:r>
      <w:r w:rsidR="008D7859">
        <w:t>related VMS</w:t>
      </w:r>
      <w:r w:rsidR="008D7859" w:rsidRPr="008A30CD">
        <w:t xml:space="preserve">. </w:t>
      </w:r>
      <w:r w:rsidR="008D7859">
        <w:t>T</w:t>
      </w:r>
      <w:r w:rsidRPr="008A30CD">
        <w:t xml:space="preserve">he PBAC </w:t>
      </w:r>
      <w:r w:rsidR="008D7859">
        <w:t xml:space="preserve">also </w:t>
      </w:r>
      <w:r w:rsidRPr="008A30CD">
        <w:t xml:space="preserve">considered that ‘no treatment’ is not an appropriate comparator where MHT is a </w:t>
      </w:r>
      <w:r w:rsidR="00A21C00">
        <w:t>clinically appropriate</w:t>
      </w:r>
      <w:r w:rsidRPr="008A30CD">
        <w:t xml:space="preserve"> option and patients do not have </w:t>
      </w:r>
      <w:r w:rsidR="002E2A82">
        <w:t xml:space="preserve">a </w:t>
      </w:r>
      <w:r w:rsidRPr="008A30CD">
        <w:t>medical reason to avoid MHT</w:t>
      </w:r>
      <w:r w:rsidR="00554069">
        <w:t>, even where some patients in this category may choose not to receive MHT</w:t>
      </w:r>
      <w:r w:rsidR="00B633D0">
        <w:t xml:space="preserve"> in the absence of an alternative</w:t>
      </w:r>
      <w:r w:rsidRPr="008A30CD">
        <w:t xml:space="preserve">. The PBAC considered that while there may be a place for fezolinetant in </w:t>
      </w:r>
      <w:r w:rsidR="005C1C3B" w:rsidRPr="008A30CD">
        <w:t>some</w:t>
      </w:r>
      <w:r w:rsidR="003A4F6B">
        <w:t xml:space="preserve"> “MHT caution”</w:t>
      </w:r>
      <w:r w:rsidR="005C1C3B" w:rsidRPr="008A30CD">
        <w:t xml:space="preserve"> </w:t>
      </w:r>
      <w:r w:rsidRPr="008A30CD">
        <w:t xml:space="preserve">patients, MHT should still be considered as a valid comparator to fezolinetant, as the risks and benefits of MHT in these patients would need to be </w:t>
      </w:r>
      <w:r w:rsidR="002E1D7C" w:rsidRPr="008A30CD">
        <w:t>considered</w:t>
      </w:r>
      <w:r w:rsidRPr="008A30CD">
        <w:t xml:space="preserve"> against the risks and benefits of using </w:t>
      </w:r>
      <w:bookmarkStart w:id="95" w:name="_Hlk195695845"/>
      <w:r w:rsidRPr="008A30CD">
        <w:t>fezolinetant</w:t>
      </w:r>
      <w:bookmarkEnd w:id="95"/>
      <w:r w:rsidRPr="008A30CD">
        <w:t xml:space="preserve">. </w:t>
      </w:r>
      <w:bookmarkEnd w:id="92"/>
      <w:bookmarkEnd w:id="93"/>
      <w:bookmarkEnd w:id="94"/>
    </w:p>
    <w:p w14:paraId="383B984F" w14:textId="71BA2A09" w:rsidR="00F706AB" w:rsidRPr="00897363" w:rsidRDefault="003710B3" w:rsidP="00B57016">
      <w:pPr>
        <w:widowControl w:val="0"/>
        <w:numPr>
          <w:ilvl w:val="1"/>
          <w:numId w:val="1"/>
        </w:numPr>
        <w:spacing w:after="120"/>
        <w:ind w:left="720"/>
      </w:pPr>
      <w:r w:rsidRPr="005A7226">
        <w:t xml:space="preserve">The </w:t>
      </w:r>
      <w:r w:rsidR="00C6169B">
        <w:t xml:space="preserve">PBAC noted that the </w:t>
      </w:r>
      <w:r w:rsidRPr="005A7226">
        <w:t xml:space="preserve">submission was based on four </w:t>
      </w:r>
      <w:r w:rsidR="00E42541" w:rsidRPr="005A7226">
        <w:t xml:space="preserve">multicentre </w:t>
      </w:r>
      <w:r w:rsidRPr="005A7226">
        <w:t xml:space="preserve">randomised controlled trials (RCTs) comparing fezolinetant </w:t>
      </w:r>
      <w:r w:rsidR="008352BB">
        <w:t xml:space="preserve">(45 or 30 mg) </w:t>
      </w:r>
      <w:r w:rsidRPr="005A7226">
        <w:t>versus placebo (DAYLIGHT</w:t>
      </w:r>
      <w:r w:rsidR="00461867">
        <w:t xml:space="preserve"> n=542</w:t>
      </w:r>
      <w:r w:rsidRPr="005A7226">
        <w:t>, SKYLIGHT 1</w:t>
      </w:r>
      <w:r w:rsidR="00461867">
        <w:t xml:space="preserve"> n=522</w:t>
      </w:r>
      <w:r w:rsidRPr="005A7226">
        <w:t>, SKYLIGHT 2</w:t>
      </w:r>
      <w:r w:rsidR="00461867">
        <w:t xml:space="preserve"> n=500</w:t>
      </w:r>
      <w:r w:rsidRPr="005A7226">
        <w:t xml:space="preserve"> and SKYLIGHT 4</w:t>
      </w:r>
      <w:r w:rsidR="00461867">
        <w:t xml:space="preserve"> n=1830</w:t>
      </w:r>
      <w:r w:rsidRPr="005A7226">
        <w:t>) for treatment of moderate to severe VMS.</w:t>
      </w:r>
      <w:r w:rsidR="00274C5F">
        <w:t xml:space="preserve"> </w:t>
      </w:r>
      <w:r w:rsidR="00DD453F" w:rsidRPr="005A7226">
        <w:t>SKYLIGHT 1 and SKYLIGHT 2</w:t>
      </w:r>
      <w:r w:rsidR="00BA4CF9">
        <w:t xml:space="preserve"> included </w:t>
      </w:r>
      <w:r w:rsidR="0049728A">
        <w:t>an</w:t>
      </w:r>
      <w:r w:rsidR="00BA4CF9">
        <w:t xml:space="preserve"> extension </w:t>
      </w:r>
      <w:r w:rsidR="0049728A">
        <w:t xml:space="preserve">where patients in the </w:t>
      </w:r>
      <w:r w:rsidR="0049728A" w:rsidRPr="005A7226">
        <w:t>placebo</w:t>
      </w:r>
      <w:r w:rsidR="0049728A">
        <w:t>-controlled arm received</w:t>
      </w:r>
      <w:r w:rsidR="00BA4CF9">
        <w:t xml:space="preserve"> </w:t>
      </w:r>
      <w:r w:rsidR="00DD453F" w:rsidRPr="005A7226">
        <w:t xml:space="preserve">fezolinetant </w:t>
      </w:r>
      <w:r w:rsidR="00BA4CF9">
        <w:t>(</w:t>
      </w:r>
      <w:r w:rsidR="00DD453F" w:rsidRPr="005A7226">
        <w:t>45 mg</w:t>
      </w:r>
      <w:r w:rsidR="00BA4CF9">
        <w:t xml:space="preserve"> or </w:t>
      </w:r>
      <w:r w:rsidR="00DD453F" w:rsidRPr="005A7226">
        <w:t>30 m</w:t>
      </w:r>
      <w:r w:rsidR="00BA4CF9">
        <w:t xml:space="preserve">g) </w:t>
      </w:r>
      <w:r w:rsidR="00501A42">
        <w:t xml:space="preserve">after the initial </w:t>
      </w:r>
      <w:r w:rsidR="00DD453F" w:rsidRPr="005A7226">
        <w:t xml:space="preserve">12-week double-blind period. </w:t>
      </w:r>
      <w:r w:rsidR="0094265C">
        <w:t>The PBAC noted that</w:t>
      </w:r>
      <w:r w:rsidR="00AF2B1D" w:rsidRPr="005A7226">
        <w:t xml:space="preserve"> the risk of bias was low for all four RCTs during</w:t>
      </w:r>
      <w:r w:rsidR="00A253A6">
        <w:t xml:space="preserve"> the</w:t>
      </w:r>
      <w:r w:rsidR="00AF2B1D" w:rsidRPr="005A7226">
        <w:t xml:space="preserve"> double-blind period</w:t>
      </w:r>
      <w:r w:rsidR="00FC411B">
        <w:t xml:space="preserve">, and baseline </w:t>
      </w:r>
      <w:r w:rsidR="00FC411B" w:rsidRPr="005A7226">
        <w:t xml:space="preserve">characteristics were generally balanced between treatment </w:t>
      </w:r>
      <w:r w:rsidR="00FC411B" w:rsidRPr="006B4007">
        <w:t>arms</w:t>
      </w:r>
      <w:r w:rsidR="00635F47">
        <w:t xml:space="preserve">. </w:t>
      </w:r>
      <w:r w:rsidR="001D7150" w:rsidRPr="005A7226">
        <w:t xml:space="preserve">The submission </w:t>
      </w:r>
      <w:r w:rsidR="008D52FC">
        <w:t xml:space="preserve">also </w:t>
      </w:r>
      <w:r w:rsidR="001D7150" w:rsidRPr="005A7226">
        <w:t xml:space="preserve">presented post-hoc analyses of the pooled population who were MHT unsuitable from SKYLIGHT 1, SKYLIGHT 2, and from DAYLIGHT. </w:t>
      </w:r>
      <w:r w:rsidR="003E6ECF" w:rsidRPr="00910991">
        <w:t xml:space="preserve">The PBAC noted that the submission did not nominate a minimally clinically important difference (MCID) for improvement in VMS, however the evaluation </w:t>
      </w:r>
      <w:r w:rsidR="0021360A">
        <w:t>cited</w:t>
      </w:r>
      <w:r w:rsidR="003E6ECF" w:rsidRPr="00910991">
        <w:t xml:space="preserve"> MCID </w:t>
      </w:r>
      <w:r w:rsidR="00E57EFC">
        <w:t xml:space="preserve">values reported in </w:t>
      </w:r>
      <w:r w:rsidR="003E6ECF" w:rsidRPr="00897363">
        <w:t>previous studies</w:t>
      </w:r>
      <w:r w:rsidR="00D51F94" w:rsidRPr="00897363">
        <w:t xml:space="preserve"> of MHT for VMS</w:t>
      </w:r>
      <w:r w:rsidR="00E57EFC">
        <w:t xml:space="preserve"> </w:t>
      </w:r>
      <w:r w:rsidR="002F2BE7">
        <w:t xml:space="preserve">(&gt;3.57 VMS per day) </w:t>
      </w:r>
      <w:r w:rsidR="00E57EFC">
        <w:t>and the PSCR noted differen</w:t>
      </w:r>
      <w:r w:rsidR="0021360A">
        <w:t>t</w:t>
      </w:r>
      <w:r w:rsidR="00E57EFC">
        <w:t xml:space="preserve"> MCID values </w:t>
      </w:r>
      <w:r w:rsidR="0021360A">
        <w:t>as used by the FDA and EMA</w:t>
      </w:r>
      <w:r w:rsidR="002F2BE7">
        <w:t xml:space="preserve"> (</w:t>
      </w:r>
      <w:r w:rsidR="007D72C0">
        <w:t>&gt;2 VMS per day)</w:t>
      </w:r>
      <w:r w:rsidR="003E6ECF" w:rsidRPr="00897363">
        <w:t>.</w:t>
      </w:r>
    </w:p>
    <w:p w14:paraId="56310214" w14:textId="3337D091" w:rsidR="006550AF" w:rsidRPr="00897363" w:rsidRDefault="001476A7">
      <w:pPr>
        <w:pStyle w:val="3-BodyText"/>
        <w:ind w:left="720"/>
      </w:pPr>
      <w:r w:rsidRPr="00897363">
        <w:t xml:space="preserve">The PBAC noted that </w:t>
      </w:r>
      <w:r w:rsidR="008F6B46" w:rsidRPr="00897363">
        <w:t>the mean difference</w:t>
      </w:r>
      <w:r w:rsidR="00205558">
        <w:t>s</w:t>
      </w:r>
      <w:r w:rsidR="008F6B46" w:rsidRPr="00897363">
        <w:t xml:space="preserve"> in reductions in frequency</w:t>
      </w:r>
      <w:r w:rsidR="00F237E4" w:rsidRPr="00897363">
        <w:t xml:space="preserve"> and severity</w:t>
      </w:r>
      <w:r w:rsidR="008F6B46" w:rsidRPr="00897363">
        <w:t xml:space="preserve"> of moderate to severe VMS w</w:t>
      </w:r>
      <w:r w:rsidR="00205558">
        <w:t xml:space="preserve">ere </w:t>
      </w:r>
      <w:r w:rsidR="008F6B46" w:rsidRPr="00897363">
        <w:t>statistically significant at Weeks 12 and 24 for fezolinetant compared to placebo</w:t>
      </w:r>
      <w:r w:rsidR="008C5A16" w:rsidRPr="00897363">
        <w:t xml:space="preserve">. </w:t>
      </w:r>
      <w:r w:rsidR="00411857" w:rsidRPr="00411857">
        <w:t>The improvement in VMS frequency and severity was maintained to Week 52 in SKYLIGHT 1 and SKYLIGHT 2 active extension period, for both arms</w:t>
      </w:r>
      <w:r w:rsidR="00DA5FFC">
        <w:t xml:space="preserve"> </w:t>
      </w:r>
      <w:r w:rsidR="00A62F42">
        <w:t xml:space="preserve">(patients </w:t>
      </w:r>
      <w:r w:rsidR="00BA0DD6">
        <w:t xml:space="preserve">randomised to </w:t>
      </w:r>
      <w:r w:rsidR="005D76C2">
        <w:t>fezolinetant</w:t>
      </w:r>
      <w:r w:rsidR="002615B0">
        <w:t xml:space="preserve"> and </w:t>
      </w:r>
      <w:r w:rsidR="000D44FD">
        <w:t>those switching from placebo to fezolinetant after 12 weeks)</w:t>
      </w:r>
      <w:r w:rsidR="00411857" w:rsidRPr="00411857">
        <w:t>.</w:t>
      </w:r>
      <w:r w:rsidR="00411857">
        <w:t xml:space="preserve"> </w:t>
      </w:r>
      <w:r w:rsidR="00411857" w:rsidRPr="00411857">
        <w:t>The proportion of responders in terms of VMS frequency (≥50%, ≥75% and ≥100% reduction from baseline in VMS frequency) was significantly higher in the fezolinetant treatment arm compared to placebo to Week 12 (DAYLIGHT, SKYLIGHT 1 and SKYLIGHT 2) and Week 24 (DAYLIGHT)</w:t>
      </w:r>
      <w:r w:rsidR="00411857">
        <w:t xml:space="preserve">. </w:t>
      </w:r>
      <w:r w:rsidR="00965363" w:rsidRPr="00897363">
        <w:t xml:space="preserve">The PBAC considered that </w:t>
      </w:r>
      <w:r w:rsidR="00252A05" w:rsidRPr="00897363">
        <w:t xml:space="preserve">the </w:t>
      </w:r>
      <w:r w:rsidR="00D33A6D">
        <w:t xml:space="preserve">claim of superior </w:t>
      </w:r>
      <w:r w:rsidR="00252A05" w:rsidRPr="00897363">
        <w:t xml:space="preserve">effectiveness </w:t>
      </w:r>
      <w:r w:rsidR="00D33A6D">
        <w:t>over no treatment</w:t>
      </w:r>
      <w:r w:rsidR="00252A05" w:rsidRPr="00897363">
        <w:t xml:space="preserve"> </w:t>
      </w:r>
      <w:r w:rsidR="00E87954" w:rsidRPr="00897363">
        <w:t>was likely supported by the evidence</w:t>
      </w:r>
      <w:r w:rsidR="00E87954">
        <w:t xml:space="preserve">, </w:t>
      </w:r>
      <w:r w:rsidR="005E68C6">
        <w:t xml:space="preserve">however </w:t>
      </w:r>
      <w:r w:rsidR="00BE191E">
        <w:t>the</w:t>
      </w:r>
      <w:r w:rsidR="00965363" w:rsidRPr="00965363">
        <w:t xml:space="preserve"> clinical </w:t>
      </w:r>
      <w:r w:rsidR="00E128A6">
        <w:t>significance</w:t>
      </w:r>
      <w:r w:rsidR="00E128A6" w:rsidRPr="00965363">
        <w:t xml:space="preserve"> </w:t>
      </w:r>
      <w:r w:rsidR="00965363" w:rsidRPr="00965363">
        <w:t xml:space="preserve">is </w:t>
      </w:r>
      <w:r w:rsidR="00CF69C2">
        <w:t xml:space="preserve">somewhat </w:t>
      </w:r>
      <w:r w:rsidR="00965363" w:rsidRPr="00965363">
        <w:t>uncertain</w:t>
      </w:r>
      <w:r w:rsidR="005E68C6">
        <w:t>, noting</w:t>
      </w:r>
      <w:r w:rsidR="00C809B6">
        <w:t xml:space="preserve"> </w:t>
      </w:r>
      <w:r w:rsidR="00B4436F">
        <w:t>reduction</w:t>
      </w:r>
      <w:r w:rsidR="00CF69C2">
        <w:t>s in VMS</w:t>
      </w:r>
      <w:r w:rsidR="00B4436F">
        <w:t xml:space="preserve"> </w:t>
      </w:r>
      <w:r w:rsidR="00095D65">
        <w:t xml:space="preserve">frequency </w:t>
      </w:r>
      <w:r w:rsidR="00B4436F">
        <w:t>met the MCID of &gt;2 VMS per day</w:t>
      </w:r>
      <w:r w:rsidR="00AF5229">
        <w:t xml:space="preserve">, </w:t>
      </w:r>
      <w:r w:rsidR="00B4436F">
        <w:t>but not &gt;3.57 VMS per day</w:t>
      </w:r>
      <w:r w:rsidR="00AF5229">
        <w:t xml:space="preserve">, and the </w:t>
      </w:r>
      <w:r w:rsidR="00723693" w:rsidRPr="00762ADB">
        <w:t>impact of reductions in VMS severity and frequency is influenced by a number of factors specific to each individual and their circumstances (e</w:t>
      </w:r>
      <w:r w:rsidR="007A07B8">
        <w:t>.</w:t>
      </w:r>
      <w:r w:rsidR="00723693" w:rsidRPr="00762ADB">
        <w:t>g</w:t>
      </w:r>
      <w:r w:rsidR="007A07B8">
        <w:t>.</w:t>
      </w:r>
      <w:r w:rsidR="00723693" w:rsidRPr="00762ADB">
        <w:t xml:space="preserve"> environment and activities being undertaken). </w:t>
      </w:r>
    </w:p>
    <w:p w14:paraId="2CD9CE50" w14:textId="4D8A33EF" w:rsidR="00793EC1" w:rsidRPr="00793EC1" w:rsidRDefault="00421A71" w:rsidP="00211F8F">
      <w:pPr>
        <w:pStyle w:val="ListParagraph"/>
        <w:widowControl w:val="0"/>
        <w:numPr>
          <w:ilvl w:val="1"/>
          <w:numId w:val="1"/>
        </w:numPr>
        <w:ind w:left="720"/>
      </w:pPr>
      <w:r>
        <w:t>The PBAC considered that based on the evidence presented the safety of fezolinetant was inferior compared to</w:t>
      </w:r>
      <w:r w:rsidRPr="00793EC1">
        <w:t xml:space="preserve"> placebo</w:t>
      </w:r>
      <w:r>
        <w:t>.</w:t>
      </w:r>
      <w:r w:rsidRPr="00897363">
        <w:t xml:space="preserve"> </w:t>
      </w:r>
      <w:r w:rsidR="008F6B46" w:rsidRPr="00897363">
        <w:t xml:space="preserve">The </w:t>
      </w:r>
      <w:r w:rsidR="00223F05" w:rsidRPr="00897363">
        <w:t xml:space="preserve">PBAC </w:t>
      </w:r>
      <w:r w:rsidR="008F6B46" w:rsidRPr="00897363">
        <w:t xml:space="preserve">noted that </w:t>
      </w:r>
      <w:r w:rsidR="00307AE2" w:rsidRPr="00897363">
        <w:t xml:space="preserve">the incidence of </w:t>
      </w:r>
      <w:r w:rsidR="008F6B46" w:rsidRPr="00897363">
        <w:t xml:space="preserve">AEs </w:t>
      </w:r>
      <w:r w:rsidR="00307AE2" w:rsidRPr="00897363">
        <w:t>was</w:t>
      </w:r>
      <w:r w:rsidR="00904368" w:rsidRPr="00897363">
        <w:t xml:space="preserve"> </w:t>
      </w:r>
      <w:r w:rsidR="008F6B46" w:rsidRPr="00897363">
        <w:t xml:space="preserve">similar between </w:t>
      </w:r>
      <w:r w:rsidR="00307AE2" w:rsidRPr="00897363">
        <w:t xml:space="preserve">fezolinetant and </w:t>
      </w:r>
      <w:r w:rsidR="008F6B46" w:rsidRPr="00897363">
        <w:t>placebo</w:t>
      </w:r>
      <w:r w:rsidR="00307AE2" w:rsidRPr="00897363">
        <w:t xml:space="preserve">, </w:t>
      </w:r>
      <w:r w:rsidR="00904368" w:rsidRPr="00897363">
        <w:t xml:space="preserve">except for </w:t>
      </w:r>
      <w:r w:rsidR="00DE7A9D" w:rsidRPr="00897363">
        <w:t xml:space="preserve">the risk of symptomatic hepatotoxicity (abnormal liver function test results) for patients on fezolinetant. </w:t>
      </w:r>
      <w:r w:rsidR="00A00ED0" w:rsidRPr="00897363">
        <w:t xml:space="preserve">The PBAC noted that the </w:t>
      </w:r>
      <w:r w:rsidR="00E33457">
        <w:t>PSUR</w:t>
      </w:r>
      <w:r w:rsidR="00A00ED0" w:rsidRPr="00897363">
        <w:t xml:space="preserve"> (July 2024) </w:t>
      </w:r>
      <w:r w:rsidR="004F50FF">
        <w:t>reported</w:t>
      </w:r>
      <w:r w:rsidR="00A00ED0" w:rsidRPr="00897363">
        <w:t xml:space="preserve"> that fezolinetant was associated with symptomatic hepatotoxicity</w:t>
      </w:r>
      <w:r w:rsidR="00211F8F">
        <w:t xml:space="preserve"> </w:t>
      </w:r>
      <w:r w:rsidR="00A00ED0">
        <w:t xml:space="preserve">and </w:t>
      </w:r>
      <w:r w:rsidR="00DF318A">
        <w:t xml:space="preserve">the PSCR noted the sponsor will be updating the TGA approved </w:t>
      </w:r>
      <w:r w:rsidR="00547202">
        <w:t>PI</w:t>
      </w:r>
      <w:r w:rsidR="00DF318A">
        <w:t xml:space="preserve"> </w:t>
      </w:r>
      <w:r w:rsidR="00B50553" w:rsidRPr="00B50553">
        <w:t>with a recommendation for follow-up monitoring of liver function</w:t>
      </w:r>
      <w:r w:rsidR="009540BE">
        <w:t xml:space="preserve">. </w:t>
      </w:r>
      <w:r w:rsidR="00C31EC4">
        <w:t xml:space="preserve">The PBAC considered that </w:t>
      </w:r>
      <w:r w:rsidR="00C31EC4" w:rsidRPr="008F6B46">
        <w:t>symptomatic hepatotoxicity</w:t>
      </w:r>
      <w:r w:rsidR="00C31EC4">
        <w:t xml:space="preserve"> was a concern, particularly given the limited safety data beyond 52 weeks. </w:t>
      </w:r>
      <w:r w:rsidR="00B23567">
        <w:t xml:space="preserve">The PBAC considered that monitoring of LFTs is potentially onerous for patients to comply with </w:t>
      </w:r>
      <w:r w:rsidR="009D151D">
        <w:t xml:space="preserve">and </w:t>
      </w:r>
      <w:r w:rsidR="0081764D">
        <w:t>some patients may avoid LFTs until symptomatic</w:t>
      </w:r>
      <w:r w:rsidR="009F2EFD">
        <w:t>. A</w:t>
      </w:r>
      <w:r w:rsidR="009D151D">
        <w:t>s such</w:t>
      </w:r>
      <w:r w:rsidR="009F2EFD">
        <w:t>,</w:t>
      </w:r>
      <w:r w:rsidR="004011ED">
        <w:t xml:space="preserve"> stronger regulation </w:t>
      </w:r>
      <w:r w:rsidR="00FD3A35">
        <w:t xml:space="preserve">or Quality Use of Medicines activities </w:t>
      </w:r>
      <w:r w:rsidR="004011ED">
        <w:t xml:space="preserve">may be </w:t>
      </w:r>
      <w:r w:rsidR="00FD3A35">
        <w:t>needed</w:t>
      </w:r>
      <w:r w:rsidR="004011ED">
        <w:t>.</w:t>
      </w:r>
      <w:r w:rsidR="00C31EC4">
        <w:t xml:space="preserve"> </w:t>
      </w:r>
      <w:r w:rsidR="00760D65">
        <w:t xml:space="preserve">The PBAC considered that </w:t>
      </w:r>
      <w:r w:rsidR="00F21133">
        <w:t>the benefit</w:t>
      </w:r>
      <w:r w:rsidR="00270FA3">
        <w:t xml:space="preserve"> </w:t>
      </w:r>
      <w:r w:rsidR="00A26BE3">
        <w:t>would need to be carefully considered against the</w:t>
      </w:r>
      <w:r w:rsidR="00270FA3">
        <w:t xml:space="preserve"> </w:t>
      </w:r>
      <w:r w:rsidR="00F21133">
        <w:t xml:space="preserve">risk for </w:t>
      </w:r>
      <w:r w:rsidR="00270FA3">
        <w:t xml:space="preserve">each patient due to </w:t>
      </w:r>
      <w:r w:rsidR="00050946">
        <w:t>concerns regarding hepatoxicity</w:t>
      </w:r>
      <w:r w:rsidR="00A26BE3">
        <w:t>, which may</w:t>
      </w:r>
      <w:r w:rsidR="00663C20">
        <w:t xml:space="preserve"> appropriately</w:t>
      </w:r>
      <w:r w:rsidR="00A26BE3">
        <w:t xml:space="preserve"> limit the uptake of fezolinetant</w:t>
      </w:r>
      <w:r w:rsidR="00663C20">
        <w:t xml:space="preserve"> in practice.</w:t>
      </w:r>
      <w:r w:rsidR="00050946">
        <w:t xml:space="preserve"> </w:t>
      </w:r>
    </w:p>
    <w:p w14:paraId="1304CEE9" w14:textId="6ED5B7F1" w:rsidR="0086270B" w:rsidRDefault="006002CD" w:rsidP="00211F8F">
      <w:pPr>
        <w:pStyle w:val="ListParagraph"/>
        <w:widowControl w:val="0"/>
        <w:numPr>
          <w:ilvl w:val="1"/>
          <w:numId w:val="1"/>
        </w:numPr>
        <w:ind w:left="720"/>
      </w:pPr>
      <w:bookmarkStart w:id="96" w:name="_Ref195255829"/>
      <w:r>
        <w:t>The PBAC noted that the requested price</w:t>
      </w:r>
      <w:r w:rsidR="0086270B">
        <w:t xml:space="preserve"> for fezolinetant</w:t>
      </w:r>
      <w:r>
        <w:t xml:space="preserve"> (</w:t>
      </w:r>
      <w:r w:rsidRPr="005A7226">
        <w:t>$</w:t>
      </w:r>
      <w:r w:rsidR="00CF6E6B" w:rsidRPr="00CF6E6B">
        <w:rPr>
          <w:color w:val="000000"/>
          <w:w w:val="60"/>
          <w:shd w:val="solid" w:color="000000" w:fill="000000"/>
          <w:fitText w:val="470" w:id="-694454266"/>
          <w14:textFill>
            <w14:solidFill>
              <w14:srgbClr w14:val="000000">
                <w14:alpha w14:val="100000"/>
              </w14:srgbClr>
            </w14:solidFill>
          </w14:textFill>
        </w:rPr>
        <w:t>|||  ||</w:t>
      </w:r>
      <w:r w:rsidR="00CF6E6B" w:rsidRPr="00CF6E6B">
        <w:rPr>
          <w:color w:val="000000"/>
          <w:spacing w:val="6"/>
          <w:w w:val="60"/>
          <w:shd w:val="solid" w:color="000000" w:fill="000000"/>
          <w:fitText w:val="470" w:id="-694454266"/>
          <w14:textFill>
            <w14:solidFill>
              <w14:srgbClr w14:val="000000">
                <w14:alpha w14:val="100000"/>
              </w14:srgbClr>
            </w14:solidFill>
          </w14:textFill>
        </w:rPr>
        <w:t>|</w:t>
      </w:r>
      <w:r>
        <w:t xml:space="preserve"> DPMQ) was higher than the current private market price (~$</w:t>
      </w:r>
      <w:r w:rsidR="00CF6E6B" w:rsidRPr="00B11DA2">
        <w:rPr>
          <w:color w:val="000000"/>
          <w:w w:val="15"/>
          <w:shd w:val="solid" w:color="000000" w:fill="000000"/>
          <w:fitText w:val="-20" w:id="-694454265"/>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265"/>
          <w14:textFill>
            <w14:solidFill>
              <w14:srgbClr w14:val="000000">
                <w14:alpha w14:val="100000"/>
              </w14:srgbClr>
            </w14:solidFill>
          </w14:textFill>
        </w:rPr>
        <w:t>|</w:t>
      </w:r>
      <w:r>
        <w:t xml:space="preserve">, see paragraph </w:t>
      </w:r>
      <w:r>
        <w:fldChar w:fldCharType="begin"/>
      </w:r>
      <w:r>
        <w:instrText xml:space="preserve"> REF _Ref195609283 \r \h </w:instrText>
      </w:r>
      <w:r>
        <w:fldChar w:fldCharType="separate"/>
      </w:r>
      <w:r w:rsidR="00B11DA2">
        <w:t>3.4</w:t>
      </w:r>
      <w:r>
        <w:fldChar w:fldCharType="end"/>
      </w:r>
      <w:r>
        <w:t xml:space="preserve">). </w:t>
      </w:r>
    </w:p>
    <w:p w14:paraId="5EFD78C0" w14:textId="79A2CBFF" w:rsidR="00125EF7" w:rsidRDefault="00B17DED">
      <w:pPr>
        <w:pStyle w:val="ListParagraph"/>
        <w:widowControl w:val="0"/>
        <w:numPr>
          <w:ilvl w:val="1"/>
          <w:numId w:val="1"/>
        </w:numPr>
        <w:ind w:left="720"/>
      </w:pPr>
      <w:r w:rsidRPr="005A7226">
        <w:t>The submission presented a stepped economic evaluation versus no treatment, based on</w:t>
      </w:r>
      <w:r w:rsidRPr="00647D21">
        <w:rPr>
          <w:rFonts w:eastAsia="Calibri"/>
        </w:rPr>
        <w:t xml:space="preserve"> outcomes from DAYLIGHT. </w:t>
      </w:r>
      <w:bookmarkStart w:id="97" w:name="_Ref195255831"/>
      <w:bookmarkEnd w:id="96"/>
      <w:r w:rsidR="003379F0">
        <w:t xml:space="preserve">The PBAC </w:t>
      </w:r>
      <w:r w:rsidR="00125EF7">
        <w:t xml:space="preserve">considered that the base case ICER </w:t>
      </w:r>
      <w:r w:rsidR="00CF339C">
        <w:t xml:space="preserve">presented in the submission </w:t>
      </w:r>
      <w:r w:rsidR="00125EF7">
        <w:t>of $</w:t>
      </w:r>
      <w:r w:rsidR="005B2343" w:rsidRPr="005B2343">
        <w:t>35,000 to &lt; $45,000</w:t>
      </w:r>
      <w:r w:rsidR="00E9727A">
        <w:t>/</w:t>
      </w:r>
      <w:r w:rsidR="00125EF7">
        <w:t>QALY was uncertain</w:t>
      </w:r>
      <w:r w:rsidR="008B03AE">
        <w:t xml:space="preserve"> due to:</w:t>
      </w:r>
      <w:bookmarkEnd w:id="97"/>
    </w:p>
    <w:p w14:paraId="5AAEAFEC" w14:textId="5407D97B" w:rsidR="00647D21" w:rsidRDefault="00647D21" w:rsidP="00594F0A">
      <w:pPr>
        <w:pStyle w:val="ListParagraph"/>
        <w:numPr>
          <w:ilvl w:val="0"/>
          <w:numId w:val="8"/>
        </w:numPr>
        <w:snapToGrid w:val="0"/>
        <w:spacing w:after="0"/>
        <w:ind w:left="1037" w:hanging="357"/>
      </w:pPr>
      <w:r>
        <w:t>The inappropriate comparator of “no treatment”.</w:t>
      </w:r>
    </w:p>
    <w:p w14:paraId="2DEA27DC" w14:textId="4C75B507" w:rsidR="001D62A2" w:rsidRDefault="00C52F8E" w:rsidP="00594F0A">
      <w:pPr>
        <w:pStyle w:val="ListParagraph"/>
        <w:numPr>
          <w:ilvl w:val="0"/>
          <w:numId w:val="8"/>
        </w:numPr>
        <w:snapToGrid w:val="0"/>
        <w:spacing w:after="0"/>
        <w:ind w:left="1037" w:hanging="357"/>
      </w:pPr>
      <w:r>
        <w:t>A</w:t>
      </w:r>
      <w:r w:rsidR="00C345D3" w:rsidRPr="00C345D3">
        <w:t>ssumptions in model structure,</w:t>
      </w:r>
      <w:r w:rsidR="00F72781" w:rsidRPr="00F72781">
        <w:rPr>
          <w:color w:val="000000" w:themeColor="text1"/>
          <w:kern w:val="24"/>
          <w:sz w:val="22"/>
          <w:szCs w:val="22"/>
        </w:rPr>
        <w:t xml:space="preserve"> </w:t>
      </w:r>
      <w:r w:rsidR="001D62A2" w:rsidRPr="003E000D">
        <w:t xml:space="preserve">which used </w:t>
      </w:r>
      <w:r w:rsidR="00957C59">
        <w:t>four</w:t>
      </w:r>
      <w:r w:rsidR="00F72781" w:rsidRPr="00F72781">
        <w:t xml:space="preserve"> health states based on VMS frequency,</w:t>
      </w:r>
      <w:r w:rsidR="001D62A2">
        <w:t xml:space="preserve"> </w:t>
      </w:r>
      <w:r w:rsidR="00C65CD0">
        <w:t>some o</w:t>
      </w:r>
      <w:r w:rsidR="0007405F">
        <w:t>f which were potentially arbitrary distinctions</w:t>
      </w:r>
      <w:r w:rsidR="001D62A2">
        <w:t xml:space="preserve">, </w:t>
      </w:r>
      <w:r w:rsidR="00957C59">
        <w:t xml:space="preserve">and </w:t>
      </w:r>
      <w:r w:rsidR="0081782D">
        <w:t xml:space="preserve">couldn’t be explored in sensitivity analyses. </w:t>
      </w:r>
    </w:p>
    <w:p w14:paraId="28FA4C39" w14:textId="719772E9" w:rsidR="00501A99" w:rsidRPr="00501A99" w:rsidRDefault="00501A99" w:rsidP="00594F0A">
      <w:pPr>
        <w:pStyle w:val="ListParagraph"/>
        <w:numPr>
          <w:ilvl w:val="0"/>
          <w:numId w:val="8"/>
        </w:numPr>
        <w:snapToGrid w:val="0"/>
        <w:spacing w:after="0"/>
        <w:ind w:left="1037" w:hanging="357"/>
      </w:pPr>
      <w:r w:rsidRPr="00501A99">
        <w:t xml:space="preserve">No waning </w:t>
      </w:r>
      <w:r w:rsidR="008B6CEF">
        <w:t xml:space="preserve">of fezolinetant treatment effect </w:t>
      </w:r>
      <w:r w:rsidR="004D78A9">
        <w:t xml:space="preserve">was </w:t>
      </w:r>
      <w:r w:rsidR="008B6CEF">
        <w:t xml:space="preserve">assumed </w:t>
      </w:r>
      <w:r w:rsidRPr="00501A99">
        <w:t>over</w:t>
      </w:r>
      <w:r w:rsidR="008B6CEF">
        <w:t xml:space="preserve"> the</w:t>
      </w:r>
      <w:r w:rsidRPr="00501A99">
        <w:t xml:space="preserve"> 10</w:t>
      </w:r>
      <w:r w:rsidR="008B6CEF">
        <w:t>-</w:t>
      </w:r>
      <w:r w:rsidRPr="00501A99">
        <w:t>year time horizon</w:t>
      </w:r>
      <w:r w:rsidR="00157CDF">
        <w:t xml:space="preserve">, despite </w:t>
      </w:r>
      <w:r w:rsidR="00420912">
        <w:t>limited</w:t>
      </w:r>
      <w:r w:rsidR="00157CDF" w:rsidRPr="002403EB">
        <w:t xml:space="preserve"> long-term data </w:t>
      </w:r>
      <w:r w:rsidRPr="00501A99">
        <w:t>(based on 52</w:t>
      </w:r>
      <w:r w:rsidR="00420912">
        <w:t xml:space="preserve"> </w:t>
      </w:r>
      <w:r w:rsidRPr="00501A99">
        <w:t>w</w:t>
      </w:r>
      <w:r w:rsidR="00420912">
        <w:t>eeks</w:t>
      </w:r>
      <w:r w:rsidRPr="00501A99">
        <w:t xml:space="preserve"> of </w:t>
      </w:r>
      <w:r w:rsidR="004D78A9">
        <w:t xml:space="preserve">trial </w:t>
      </w:r>
      <w:r w:rsidRPr="00501A99">
        <w:t>data)</w:t>
      </w:r>
      <w:r w:rsidR="0097129B">
        <w:t xml:space="preserve"> and an </w:t>
      </w:r>
      <w:r w:rsidR="0097129B" w:rsidRPr="002403EB">
        <w:t xml:space="preserve">estimated natural VMS mean duration of approximately 7.4 years </w:t>
      </w:r>
      <w:r w:rsidR="0097129B">
        <w:t xml:space="preserve">used </w:t>
      </w:r>
      <w:r w:rsidR="0097129B" w:rsidRPr="002403EB">
        <w:t>in the model.</w:t>
      </w:r>
    </w:p>
    <w:p w14:paraId="61964C90" w14:textId="65A34B41" w:rsidR="0030074F" w:rsidRDefault="006E4FBE" w:rsidP="00594F0A">
      <w:pPr>
        <w:pStyle w:val="ListParagraph"/>
        <w:numPr>
          <w:ilvl w:val="0"/>
          <w:numId w:val="8"/>
        </w:numPr>
        <w:snapToGrid w:val="0"/>
        <w:spacing w:after="0"/>
        <w:ind w:left="1037" w:hanging="357"/>
      </w:pPr>
      <w:r>
        <w:t>The a</w:t>
      </w:r>
      <w:r w:rsidR="00EA520C">
        <w:t xml:space="preserve">ssumption of </w:t>
      </w:r>
      <w:r w:rsidR="0030074F">
        <w:t>discontinuation rates independent of response</w:t>
      </w:r>
      <w:r w:rsidR="00EA520C">
        <w:t xml:space="preserve">, which </w:t>
      </w:r>
      <w:r w:rsidR="0030074F">
        <w:t>likely biases in favour of fezolinetant.</w:t>
      </w:r>
    </w:p>
    <w:p w14:paraId="58BA0E91" w14:textId="2F47DC17" w:rsidR="005A6F05" w:rsidRDefault="0030074F" w:rsidP="00594F0A">
      <w:pPr>
        <w:pStyle w:val="ListParagraph"/>
        <w:numPr>
          <w:ilvl w:val="0"/>
          <w:numId w:val="8"/>
        </w:numPr>
        <w:snapToGrid w:val="0"/>
        <w:spacing w:after="0"/>
        <w:ind w:left="1037" w:hanging="357"/>
      </w:pPr>
      <w:r>
        <w:t>The use of the UK mapping algorithm (EQ-5D-5L to EQ-5D-3L)</w:t>
      </w:r>
      <w:r w:rsidR="005A6F05">
        <w:t xml:space="preserve"> rather than the Australian EQ-5D-5L value set </w:t>
      </w:r>
      <w:r>
        <w:t>to value EQ-5D health states</w:t>
      </w:r>
      <w:r w:rsidR="005A6F05">
        <w:t>.</w:t>
      </w:r>
    </w:p>
    <w:p w14:paraId="5AE95808" w14:textId="5244A3AC" w:rsidR="00094EAB" w:rsidRPr="00094EAB" w:rsidRDefault="0088211A" w:rsidP="00594F0A">
      <w:pPr>
        <w:pStyle w:val="ListParagraph"/>
        <w:numPr>
          <w:ilvl w:val="0"/>
          <w:numId w:val="8"/>
        </w:numPr>
        <w:snapToGrid w:val="0"/>
        <w:spacing w:afterLines="60" w:after="144"/>
        <w:ind w:left="1037" w:hanging="357"/>
      </w:pPr>
      <w:r>
        <w:t>Costs of LFT monitoring</w:t>
      </w:r>
      <w:r w:rsidR="006E4FBE">
        <w:t xml:space="preserve"> and significant AEs</w:t>
      </w:r>
      <w:r>
        <w:t xml:space="preserve"> not included. </w:t>
      </w:r>
    </w:p>
    <w:p w14:paraId="4990462F" w14:textId="18D3085B" w:rsidR="0005758B" w:rsidRPr="00BB3A18" w:rsidRDefault="00B37AE4" w:rsidP="00E9727A">
      <w:pPr>
        <w:pStyle w:val="ListParagraph"/>
        <w:widowControl w:val="0"/>
        <w:ind w:left="720"/>
      </w:pPr>
      <w:r>
        <w:t>T</w:t>
      </w:r>
      <w:r w:rsidR="00B14DD3">
        <w:t>he PBAC considered that the ICER of $</w:t>
      </w:r>
      <w:r w:rsidR="00216C5F" w:rsidRPr="00216C5F">
        <w:t>35,000 to &lt; $45,000</w:t>
      </w:r>
      <w:r w:rsidR="00E9727A">
        <w:t>/QALY</w:t>
      </w:r>
      <w:r w:rsidR="00B14DD3">
        <w:t xml:space="preserve"> was unacceptably high given the </w:t>
      </w:r>
      <w:r w:rsidR="00E9727A">
        <w:t xml:space="preserve">level of </w:t>
      </w:r>
      <w:r w:rsidR="00B14DD3">
        <w:t xml:space="preserve">uncertainty associated with the </w:t>
      </w:r>
      <w:r w:rsidR="00E9727A">
        <w:t>modelled outcomes and the potentially relatively large patient population.</w:t>
      </w:r>
      <w:r w:rsidR="00714CAE">
        <w:t xml:space="preserve"> </w:t>
      </w:r>
      <w:r w:rsidR="006002CD">
        <w:t>The PBAC considered that the price would need to be substantially reduced to realise an ICER in the range of $</w:t>
      </w:r>
      <w:r w:rsidR="00F52E5A" w:rsidRPr="00F52E5A">
        <w:t>15,000 to &lt; $25,000</w:t>
      </w:r>
      <w:r w:rsidR="000E136C">
        <w:t xml:space="preserve"> </w:t>
      </w:r>
      <w:r w:rsidR="006002CD">
        <w:t>to $</w:t>
      </w:r>
      <w:r w:rsidR="00F52E5A" w:rsidRPr="00F52E5A">
        <w:t>15,000 to &lt; $25,000</w:t>
      </w:r>
      <w:r w:rsidR="00C735CB">
        <w:t xml:space="preserve"> </w:t>
      </w:r>
      <w:r w:rsidR="006002CD">
        <w:t xml:space="preserve">per QALY, which the PBAC considered would be more acceptable in the context of the uncertain benefit and </w:t>
      </w:r>
      <w:r w:rsidR="0086270B">
        <w:t xml:space="preserve">the </w:t>
      </w:r>
      <w:r w:rsidR="006002CD">
        <w:t>overall financial impact of listing fezolinetant</w:t>
      </w:r>
      <w:r w:rsidR="0086270B">
        <w:t xml:space="preserve"> in a revised patient population as per paragraph </w:t>
      </w:r>
      <w:r w:rsidR="0086270B">
        <w:fldChar w:fldCharType="begin"/>
      </w:r>
      <w:r w:rsidR="0086270B">
        <w:instrText xml:space="preserve"> REF _Ref195609732 \r \h </w:instrText>
      </w:r>
      <w:r w:rsidR="0086270B">
        <w:fldChar w:fldCharType="separate"/>
      </w:r>
      <w:r w:rsidR="00B11DA2">
        <w:t>7.3</w:t>
      </w:r>
      <w:r w:rsidR="0086270B">
        <w:fldChar w:fldCharType="end"/>
      </w:r>
      <w:r w:rsidR="006002CD">
        <w:t>.</w:t>
      </w:r>
    </w:p>
    <w:p w14:paraId="6EB251AF" w14:textId="31AE5C86" w:rsidR="003F6DD0" w:rsidRDefault="003F6DD0" w:rsidP="00FB0B03">
      <w:pPr>
        <w:pStyle w:val="ListParagraph"/>
        <w:widowControl w:val="0"/>
        <w:numPr>
          <w:ilvl w:val="1"/>
          <w:numId w:val="1"/>
        </w:numPr>
        <w:ind w:left="720"/>
      </w:pPr>
      <w:r>
        <w:t xml:space="preserve">The PBAC noted the cost minimisation analysis (CMA) of fezolinetant against MHT conducted during the evaluation, which the PBAC considered was a more appropriate comparator for patients in the </w:t>
      </w:r>
      <w:r w:rsidR="002A0C40">
        <w:t>“</w:t>
      </w:r>
      <w:r>
        <w:t>MHT adverse</w:t>
      </w:r>
      <w:r w:rsidR="002A0C40">
        <w:t>”</w:t>
      </w:r>
      <w:r>
        <w:t xml:space="preserve"> and </w:t>
      </w:r>
      <w:r w:rsidR="002A0C40">
        <w:t>“</w:t>
      </w:r>
      <w:r>
        <w:t>MHT caution</w:t>
      </w:r>
      <w:r w:rsidR="002A0C40">
        <w:t>”</w:t>
      </w:r>
      <w:r>
        <w:t xml:space="preserve"> groups</w:t>
      </w:r>
      <w:r w:rsidR="00FB0B03">
        <w:t xml:space="preserve">. </w:t>
      </w:r>
      <w:r w:rsidR="002911FD">
        <w:t>T</w:t>
      </w:r>
      <w:r w:rsidR="0016328A">
        <w:t>he CMA</w:t>
      </w:r>
      <w:r>
        <w:t xml:space="preserve"> indicated that the weighted average DPMQ of MHTs (providing roughly 30 days of treatment at approximately $29.56) was </w:t>
      </w:r>
      <w:r w:rsidR="00CF6E6B" w:rsidRPr="00B11DA2">
        <w:rPr>
          <w:color w:val="000000"/>
          <w:w w:val="15"/>
          <w:shd w:val="solid" w:color="000000" w:fill="000000"/>
          <w:fitText w:val="-20" w:id="-694454264"/>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264"/>
          <w14:textFill>
            <w14:solidFill>
              <w14:srgbClr w14:val="000000">
                <w14:alpha w14:val="100000"/>
              </w14:srgbClr>
            </w14:solidFill>
          </w14:textFill>
        </w:rPr>
        <w:t>|</w:t>
      </w:r>
      <w:r>
        <w:t>% lower than that requested for fezolinetant ($</w:t>
      </w:r>
      <w:r w:rsidR="00CF6E6B" w:rsidRPr="00B11DA2">
        <w:rPr>
          <w:color w:val="000000"/>
          <w:w w:val="15"/>
          <w:shd w:val="solid" w:color="000000" w:fill="000000"/>
          <w:fitText w:val="-20" w:id="-694454263"/>
          <w14:textFill>
            <w14:solidFill>
              <w14:srgbClr w14:val="000000">
                <w14:alpha w14:val="100000"/>
              </w14:srgbClr>
            </w14:solidFill>
          </w14:textFill>
        </w:rPr>
        <w:t xml:space="preserve">|  </w:t>
      </w:r>
      <w:r w:rsidR="00CF6E6B" w:rsidRPr="00B11DA2">
        <w:rPr>
          <w:color w:val="000000"/>
          <w:spacing w:val="-69"/>
          <w:w w:val="15"/>
          <w:shd w:val="solid" w:color="000000" w:fill="000000"/>
          <w:fitText w:val="-20" w:id="-694454263"/>
          <w14:textFill>
            <w14:solidFill>
              <w14:srgbClr w14:val="000000">
                <w14:alpha w14:val="100000"/>
              </w14:srgbClr>
            </w14:solidFill>
          </w14:textFill>
        </w:rPr>
        <w:t>|</w:t>
      </w:r>
      <w:r>
        <w:t>).</w:t>
      </w:r>
      <w:r w:rsidR="00D024F6">
        <w:t xml:space="preserve"> </w:t>
      </w:r>
      <w:r w:rsidR="00CD4770">
        <w:t>However, t</w:t>
      </w:r>
      <w:r w:rsidR="00493A3A">
        <w:t xml:space="preserve">he PBAC noted that </w:t>
      </w:r>
      <w:r w:rsidR="00CD4770">
        <w:t>clinical evidence was not presented in the</w:t>
      </w:r>
      <w:r w:rsidR="003E2ADC">
        <w:t xml:space="preserve"> </w:t>
      </w:r>
      <w:r w:rsidR="00CD4770">
        <w:t>submission</w:t>
      </w:r>
      <w:r w:rsidR="00493A3A">
        <w:t xml:space="preserve"> </w:t>
      </w:r>
      <w:r w:rsidR="003E2ADC">
        <w:t xml:space="preserve">comparing the </w:t>
      </w:r>
      <w:r w:rsidR="00493A3A">
        <w:t>efficacy and safety of fezolinetant and MHTs</w:t>
      </w:r>
      <w:r w:rsidR="003E2ADC">
        <w:t>.</w:t>
      </w:r>
    </w:p>
    <w:p w14:paraId="3B24D677" w14:textId="14D6B093" w:rsidR="00CE7AD3" w:rsidRDefault="00A9736D" w:rsidP="00FB0B03">
      <w:pPr>
        <w:pStyle w:val="ListParagraph"/>
        <w:widowControl w:val="0"/>
        <w:numPr>
          <w:ilvl w:val="1"/>
          <w:numId w:val="1"/>
        </w:numPr>
        <w:ind w:left="720"/>
      </w:pPr>
      <w:bookmarkStart w:id="98" w:name="_Ref195027810"/>
      <w:r w:rsidRPr="00A9736D">
        <w:t>The PBAC</w:t>
      </w:r>
      <w:r w:rsidR="007848BB">
        <w:t xml:space="preserve"> </w:t>
      </w:r>
      <w:r w:rsidR="00B46F52">
        <w:t>considered</w:t>
      </w:r>
      <w:r w:rsidR="007848BB">
        <w:t xml:space="preserve"> the </w:t>
      </w:r>
      <w:r w:rsidR="007848BB" w:rsidRPr="00A720FD">
        <w:t xml:space="preserve">financial estimates </w:t>
      </w:r>
      <w:r w:rsidR="007848BB" w:rsidRPr="00A9736D">
        <w:t>of $</w:t>
      </w:r>
      <w:r w:rsidR="000043BA" w:rsidRPr="000043BA">
        <w:t>800 million to &lt; $900 million</w:t>
      </w:r>
      <w:r w:rsidR="00AF3513">
        <w:t xml:space="preserve"> </w:t>
      </w:r>
      <w:r w:rsidR="007848BB" w:rsidRPr="00A9736D">
        <w:t>over 6 years</w:t>
      </w:r>
      <w:r w:rsidR="00B46F52">
        <w:t xml:space="preserve"> to be</w:t>
      </w:r>
      <w:r w:rsidR="007848BB">
        <w:t xml:space="preserve"> uncertain</w:t>
      </w:r>
      <w:r w:rsidR="00345ED7">
        <w:t xml:space="preserve">, </w:t>
      </w:r>
      <w:r w:rsidR="007848BB">
        <w:t>unacceptably high</w:t>
      </w:r>
      <w:r w:rsidR="00DD2D70">
        <w:t>, and likely substantially overestimated</w:t>
      </w:r>
      <w:r w:rsidR="003376BA">
        <w:t xml:space="preserve"> for the requested population</w:t>
      </w:r>
      <w:r w:rsidR="007848BB">
        <w:t xml:space="preserve">. </w:t>
      </w:r>
      <w:r w:rsidR="00B02E05">
        <w:t xml:space="preserve">The PBAC noted that test and care costs for liver damage surveillance were not adequately </w:t>
      </w:r>
      <w:r w:rsidR="00851645">
        <w:t>captured</w:t>
      </w:r>
      <w:r w:rsidR="00B02E05">
        <w:t xml:space="preserve">. </w:t>
      </w:r>
      <w:r w:rsidR="007848BB">
        <w:t>The PBAC</w:t>
      </w:r>
      <w:r w:rsidRPr="00A9736D">
        <w:t xml:space="preserve"> agreed with the </w:t>
      </w:r>
      <w:r w:rsidR="00A720FD" w:rsidRPr="00A720FD">
        <w:t xml:space="preserve">DUSC </w:t>
      </w:r>
      <w:r w:rsidRPr="00A9736D">
        <w:t>that</w:t>
      </w:r>
      <w:r w:rsidR="00A720FD" w:rsidRPr="00A720FD">
        <w:t xml:space="preserve"> the utilisation and financial estimates were complex and require</w:t>
      </w:r>
      <w:r w:rsidR="00806616">
        <w:t>d</w:t>
      </w:r>
      <w:r w:rsidR="00A720FD" w:rsidRPr="00A720FD">
        <w:t xml:space="preserve"> substantial changes</w:t>
      </w:r>
      <w:r w:rsidR="00345ED7">
        <w:t>, including:</w:t>
      </w:r>
      <w:bookmarkEnd w:id="98"/>
      <w:r w:rsidR="00345ED7">
        <w:t xml:space="preserve"> </w:t>
      </w:r>
    </w:p>
    <w:p w14:paraId="1E9AF3B2" w14:textId="1F018017" w:rsidR="002467B9" w:rsidRDefault="002467B9" w:rsidP="0030682D">
      <w:pPr>
        <w:pStyle w:val="ListParagraph"/>
        <w:numPr>
          <w:ilvl w:val="0"/>
          <w:numId w:val="8"/>
        </w:numPr>
        <w:snapToGrid w:val="0"/>
        <w:ind w:left="1037" w:hanging="357"/>
      </w:pPr>
      <w:r>
        <w:t xml:space="preserve">Revision of the patient population to align with </w:t>
      </w:r>
      <w:r w:rsidR="0005494A">
        <w:t>a substantially more restricted population (see paragraph</w:t>
      </w:r>
      <w:r w:rsidR="00097D1F">
        <w:t xml:space="preserve"> </w:t>
      </w:r>
      <w:r w:rsidR="00097D1F">
        <w:fldChar w:fldCharType="begin"/>
      </w:r>
      <w:r w:rsidR="00097D1F">
        <w:instrText xml:space="preserve"> REF _Ref195782042 \r \h </w:instrText>
      </w:r>
      <w:r w:rsidR="00097D1F">
        <w:fldChar w:fldCharType="separate"/>
      </w:r>
      <w:r w:rsidR="00B11DA2">
        <w:t>7.4</w:t>
      </w:r>
      <w:r w:rsidR="00097D1F">
        <w:fldChar w:fldCharType="end"/>
      </w:r>
      <w:r w:rsidR="0005494A">
        <w:t>).</w:t>
      </w:r>
    </w:p>
    <w:p w14:paraId="7ED646D6" w14:textId="49B1D961" w:rsidR="007C0539" w:rsidRPr="007C0539" w:rsidRDefault="004E588F" w:rsidP="0030682D">
      <w:pPr>
        <w:pStyle w:val="ListParagraph"/>
        <w:numPr>
          <w:ilvl w:val="0"/>
          <w:numId w:val="8"/>
        </w:numPr>
        <w:snapToGrid w:val="0"/>
        <w:ind w:left="1037" w:hanging="357"/>
      </w:pPr>
      <w:r>
        <w:t>The assumption of 75% of</w:t>
      </w:r>
      <w:r w:rsidR="00386400">
        <w:t xml:space="preserve"> Australian</w:t>
      </w:r>
      <w:r>
        <w:t xml:space="preserve"> women </w:t>
      </w:r>
      <w:r w:rsidR="00AF3513">
        <w:t xml:space="preserve"> </w:t>
      </w:r>
      <w:r w:rsidR="0082706D">
        <w:t>‘</w:t>
      </w:r>
      <w:r>
        <w:t>unsuitable for MHT</w:t>
      </w:r>
      <w:r w:rsidR="0082706D">
        <w:t>’</w:t>
      </w:r>
      <w:r>
        <w:t xml:space="preserve"> is </w:t>
      </w:r>
      <w:r w:rsidR="008175C5">
        <w:t>substantially overestimated</w:t>
      </w:r>
      <w:r w:rsidR="008D5DA6">
        <w:t xml:space="preserve"> (even if the ‘MHT adverse’ category is included</w:t>
      </w:r>
      <w:r w:rsidR="00301877">
        <w:t>)</w:t>
      </w:r>
      <w:r>
        <w:t>.</w:t>
      </w:r>
      <w:r w:rsidR="008175C5">
        <w:t xml:space="preserve"> </w:t>
      </w:r>
      <w:r w:rsidR="00301877" w:rsidRPr="00301877">
        <w:rPr>
          <w:iCs/>
        </w:rPr>
        <w:t>The PBAC noted that for the data source relied on in the submission ‘MHT cautious’ does not align with any of the sponsor’s proposed eligibility categories, the categories were not mutually exclusive, and it was unclear whether patients in this study reflect the overall prevalent population of patients with moderate to severe VMS associated with menopause. The PBAC considered this value was not consistent with clinical practice and appeared to be significantly overestimated.</w:t>
      </w:r>
      <w:r w:rsidR="00301877">
        <w:rPr>
          <w:iCs/>
        </w:rPr>
        <w:t xml:space="preserve"> </w:t>
      </w:r>
      <w:r w:rsidR="00F4747B">
        <w:t xml:space="preserve">The PBAC considered that the patient population with the highest need for non-hormonal treatments for VMS </w:t>
      </w:r>
      <w:r w:rsidR="00BD4F0E">
        <w:t xml:space="preserve">(cancer patients with </w:t>
      </w:r>
      <w:r w:rsidR="00BD4F0E" w:rsidRPr="00890720">
        <w:t>pharmacologically induced menopause</w:t>
      </w:r>
      <w:r w:rsidR="00BD4F0E">
        <w:t>)</w:t>
      </w:r>
      <w:r w:rsidR="00BD4F0E" w:rsidRPr="00890720">
        <w:t xml:space="preserve"> </w:t>
      </w:r>
      <w:r w:rsidR="00F4747B">
        <w:t xml:space="preserve">is </w:t>
      </w:r>
      <w:r w:rsidR="00BD4F0E">
        <w:t xml:space="preserve">likely to be </w:t>
      </w:r>
      <w:r w:rsidR="00F4747B">
        <w:t>much smaller.</w:t>
      </w:r>
    </w:p>
    <w:p w14:paraId="55CBAFEC" w14:textId="6F3055FC" w:rsidR="00F15694" w:rsidRDefault="00F15694" w:rsidP="0030682D">
      <w:pPr>
        <w:pStyle w:val="ListParagraph"/>
        <w:numPr>
          <w:ilvl w:val="0"/>
          <w:numId w:val="8"/>
        </w:numPr>
        <w:snapToGrid w:val="0"/>
        <w:ind w:left="1037" w:hanging="357"/>
      </w:pPr>
      <w:r>
        <w:t xml:space="preserve">The uptake rate for fezolinetant was uncertain, and </w:t>
      </w:r>
      <w:r w:rsidR="00F36446">
        <w:t>likely to be overestimated given hepatoxicity concerns and the need for liver function monitoring</w:t>
      </w:r>
      <w:r>
        <w:t xml:space="preserve">. </w:t>
      </w:r>
    </w:p>
    <w:p w14:paraId="19391486" w14:textId="5CFA7180" w:rsidR="00904D89" w:rsidRDefault="00301C17" w:rsidP="0030682D">
      <w:pPr>
        <w:pStyle w:val="ListParagraph"/>
        <w:numPr>
          <w:ilvl w:val="0"/>
          <w:numId w:val="8"/>
        </w:numPr>
        <w:snapToGrid w:val="0"/>
        <w:ind w:left="1037" w:hanging="357"/>
      </w:pPr>
      <w:r>
        <w:t xml:space="preserve">The </w:t>
      </w:r>
      <w:r w:rsidR="00904D89">
        <w:t>discontinuation rate applied as an annual compliance rate in the submission was not appropriate</w:t>
      </w:r>
      <w:r w:rsidR="00910833">
        <w:t xml:space="preserve"> and did not reflect patients discontinuing treatment being removed from the </w:t>
      </w:r>
      <w:r w:rsidR="00801F58">
        <w:t xml:space="preserve">pool of </w:t>
      </w:r>
      <w:r w:rsidR="00910833">
        <w:t>prevalent</w:t>
      </w:r>
      <w:r w:rsidR="00801F58">
        <w:t xml:space="preserve"> patients</w:t>
      </w:r>
      <w:r w:rsidR="00904D89">
        <w:t xml:space="preserve">. </w:t>
      </w:r>
    </w:p>
    <w:p w14:paraId="1152AF03" w14:textId="41F27E44" w:rsidR="00146B3E" w:rsidRDefault="00301C17" w:rsidP="0030682D">
      <w:pPr>
        <w:pStyle w:val="ListParagraph"/>
        <w:numPr>
          <w:ilvl w:val="0"/>
          <w:numId w:val="8"/>
        </w:numPr>
        <w:snapToGrid w:val="0"/>
        <w:ind w:left="1037" w:hanging="357"/>
      </w:pPr>
      <w:r>
        <w:t>S</w:t>
      </w:r>
      <w:r w:rsidR="00904D89">
        <w:t>ubstitution of fezolinetant for MHTs and its market implications were not considered in the submission.</w:t>
      </w:r>
      <w:r w:rsidR="00801F58">
        <w:t xml:space="preserve"> </w:t>
      </w:r>
      <w:r w:rsidR="00801F58" w:rsidRPr="00801F58">
        <w:rPr>
          <w:iCs/>
        </w:rPr>
        <w:t xml:space="preserve">The PBAC considered that the availability of a PBS-listed non-hormonal may impact on </w:t>
      </w:r>
      <w:r w:rsidR="00801F58">
        <w:rPr>
          <w:iCs/>
        </w:rPr>
        <w:t>treatment decisions regarding the risk</w:t>
      </w:r>
      <w:r w:rsidR="008D0406">
        <w:rPr>
          <w:iCs/>
        </w:rPr>
        <w:t xml:space="preserve">s and benefits of </w:t>
      </w:r>
      <w:r w:rsidR="00801F58" w:rsidRPr="00801F58">
        <w:rPr>
          <w:iCs/>
        </w:rPr>
        <w:t>MHT and therefore fezolinetant would substitute for MHT for some patients.</w:t>
      </w:r>
    </w:p>
    <w:p w14:paraId="2B0990EE" w14:textId="0B843DA8" w:rsidR="00B02E05" w:rsidRDefault="00B02E05" w:rsidP="0030682D">
      <w:pPr>
        <w:pStyle w:val="ListParagraph"/>
        <w:numPr>
          <w:ilvl w:val="0"/>
          <w:numId w:val="8"/>
        </w:numPr>
        <w:snapToGrid w:val="0"/>
        <w:ind w:left="1037" w:hanging="357"/>
      </w:pPr>
      <w:r>
        <w:t xml:space="preserve">Additionally, PBAC considered tests and care costs </w:t>
      </w:r>
      <w:r w:rsidR="00851645">
        <w:t>should</w:t>
      </w:r>
      <w:r>
        <w:t xml:space="preserve"> be included in the </w:t>
      </w:r>
      <w:r w:rsidR="00851645">
        <w:t>financial estimates</w:t>
      </w:r>
      <w:r>
        <w:t>.</w:t>
      </w:r>
    </w:p>
    <w:p w14:paraId="50AAAEE0" w14:textId="0920948F" w:rsidR="00C37708" w:rsidRDefault="00505994" w:rsidP="00933F33">
      <w:pPr>
        <w:pStyle w:val="ListParagraph"/>
        <w:widowControl w:val="0"/>
        <w:numPr>
          <w:ilvl w:val="1"/>
          <w:numId w:val="1"/>
        </w:numPr>
        <w:ind w:left="720"/>
      </w:pPr>
      <w:bookmarkStart w:id="99" w:name="_Ref195027770"/>
      <w:r>
        <w:t xml:space="preserve">The PBAC </w:t>
      </w:r>
      <w:r w:rsidR="0005187F">
        <w:t>considered</w:t>
      </w:r>
      <w:r w:rsidR="002B3A7C">
        <w:t xml:space="preserve"> that </w:t>
      </w:r>
      <w:r w:rsidR="0005187F">
        <w:t xml:space="preserve">a risk sharing arrangement (RSA) is likely to be essential to manage risks </w:t>
      </w:r>
      <w:r w:rsidR="00985C39">
        <w:t xml:space="preserve">of </w:t>
      </w:r>
      <w:r w:rsidR="00821A4D" w:rsidRPr="00781692">
        <w:t xml:space="preserve">usage </w:t>
      </w:r>
      <w:r w:rsidR="00821A4D" w:rsidRPr="000E2F4F">
        <w:t xml:space="preserve">outside the </w:t>
      </w:r>
      <w:r w:rsidR="00176772">
        <w:t xml:space="preserve">revised </w:t>
      </w:r>
      <w:r w:rsidR="00821A4D" w:rsidRPr="000E2F4F">
        <w:t>PBS restriction</w:t>
      </w:r>
      <w:r w:rsidR="00821A4D">
        <w:t xml:space="preserve">, </w:t>
      </w:r>
      <w:r w:rsidR="00C8699E">
        <w:t>usage beyond expectations (e</w:t>
      </w:r>
      <w:r w:rsidR="003B7552">
        <w:t>.</w:t>
      </w:r>
      <w:r w:rsidR="00C8699E">
        <w:t>g</w:t>
      </w:r>
      <w:r w:rsidR="003B7552">
        <w:t>.</w:t>
      </w:r>
      <w:r w:rsidR="00836404">
        <w:t xml:space="preserve"> </w:t>
      </w:r>
      <w:r w:rsidR="00176772">
        <w:t xml:space="preserve">average </w:t>
      </w:r>
      <w:r w:rsidR="00985C39">
        <w:t xml:space="preserve">treatment durations </w:t>
      </w:r>
      <w:r w:rsidR="00775996">
        <w:t xml:space="preserve">longer than </w:t>
      </w:r>
      <w:r w:rsidR="00176772">
        <w:t>those in the trials</w:t>
      </w:r>
      <w:r w:rsidR="00C8699E">
        <w:t>),</w:t>
      </w:r>
      <w:r w:rsidR="00775996">
        <w:t xml:space="preserve"> and uncertainty around the percentage </w:t>
      </w:r>
      <w:r w:rsidR="00396AC0">
        <w:t xml:space="preserve">of Australian women </w:t>
      </w:r>
      <w:r w:rsidR="00775996">
        <w:t xml:space="preserve">eligible for treatment. </w:t>
      </w:r>
      <w:bookmarkEnd w:id="99"/>
    </w:p>
    <w:p w14:paraId="1C13362A" w14:textId="020C0882" w:rsidR="00997B15" w:rsidRPr="00997B15" w:rsidRDefault="00997B15" w:rsidP="00997B15">
      <w:pPr>
        <w:pStyle w:val="ListParagraph"/>
        <w:widowControl w:val="0"/>
        <w:numPr>
          <w:ilvl w:val="1"/>
          <w:numId w:val="1"/>
        </w:numPr>
        <w:ind w:left="720"/>
      </w:pPr>
      <w:r>
        <w:t xml:space="preserve">The PBAC considered any resubmission for fezolinetant should consider its appropriate place in therapy and role versus MHT and other available agents for the treatment of menopause-related VMS. Its defined </w:t>
      </w:r>
      <w:r w:rsidR="006A702F">
        <w:t>clinical place</w:t>
      </w:r>
      <w:r>
        <w:t xml:space="preserve"> will impact on the proposed restrictions, clinical evidence base, </w:t>
      </w:r>
      <w:r w:rsidR="00B02E05">
        <w:t xml:space="preserve">quality use of medicines, </w:t>
      </w:r>
      <w:r>
        <w:t>as well as economic and financial considerations</w:t>
      </w:r>
      <w:r w:rsidR="006A702F">
        <w:t>.</w:t>
      </w:r>
    </w:p>
    <w:p w14:paraId="7A52914F" w14:textId="38CC7265" w:rsidR="00353D1A" w:rsidRPr="00997B15" w:rsidRDefault="00353D1A" w:rsidP="00997B15">
      <w:pPr>
        <w:pStyle w:val="ListParagraph"/>
        <w:widowControl w:val="0"/>
        <w:numPr>
          <w:ilvl w:val="1"/>
          <w:numId w:val="1"/>
        </w:numPr>
        <w:ind w:left="720"/>
      </w:pPr>
      <w:r w:rsidRPr="00997B15">
        <w:t xml:space="preserve">The PBAC noted that this submission is eligible for an Independent Review. </w:t>
      </w:r>
    </w:p>
    <w:p w14:paraId="4C9D827A" w14:textId="77777777" w:rsidR="00353D1A" w:rsidRPr="00C82F2B" w:rsidRDefault="00353D1A" w:rsidP="00353D1A">
      <w:pPr>
        <w:spacing w:before="240"/>
        <w:rPr>
          <w:rFonts w:asciiTheme="minorHAnsi" w:hAnsiTheme="minorHAnsi"/>
          <w:b/>
          <w:bCs/>
          <w:snapToGrid w:val="0"/>
        </w:rPr>
      </w:pPr>
      <w:r w:rsidRPr="00C82F2B">
        <w:rPr>
          <w:rFonts w:asciiTheme="minorHAnsi" w:hAnsiTheme="minorHAnsi"/>
          <w:b/>
          <w:bCs/>
          <w:snapToGrid w:val="0"/>
        </w:rPr>
        <w:t>Outcome:</w:t>
      </w:r>
    </w:p>
    <w:p w14:paraId="51A3690C" w14:textId="0F296040" w:rsidR="00353D1A" w:rsidRPr="0010278B" w:rsidRDefault="00353D1A" w:rsidP="00353D1A">
      <w:pPr>
        <w:rPr>
          <w:rFonts w:asciiTheme="minorHAnsi" w:hAnsiTheme="minorHAnsi"/>
          <w:bCs/>
          <w:snapToGrid w:val="0"/>
        </w:rPr>
      </w:pPr>
      <w:r w:rsidRPr="0010278B">
        <w:rPr>
          <w:rFonts w:asciiTheme="minorHAnsi" w:hAnsiTheme="minorHAnsi"/>
          <w:bCs/>
          <w:snapToGrid w:val="0"/>
        </w:rPr>
        <w:t xml:space="preserve">Not recommended </w:t>
      </w:r>
    </w:p>
    <w:bookmarkEnd w:id="80"/>
    <w:bookmarkEnd w:id="81"/>
    <w:bookmarkEnd w:id="82"/>
    <w:p w14:paraId="54B02C98" w14:textId="77777777" w:rsidR="00113031" w:rsidRPr="00113031" w:rsidRDefault="00113031" w:rsidP="00931B9A">
      <w:pPr>
        <w:pStyle w:val="2-SectionHeading"/>
        <w:numPr>
          <w:ilvl w:val="0"/>
          <w:numId w:val="1"/>
        </w:numPr>
      </w:pPr>
      <w:r w:rsidRPr="00113031">
        <w:t>Context for Decision</w:t>
      </w:r>
    </w:p>
    <w:p w14:paraId="05ABB869" w14:textId="77777777" w:rsidR="00113031" w:rsidRPr="00113031" w:rsidRDefault="00113031" w:rsidP="00113031">
      <w:pPr>
        <w:spacing w:after="120"/>
        <w:ind w:left="720"/>
        <w:rPr>
          <w:rFonts w:asciiTheme="minorHAnsi" w:hAnsiTheme="minorHAnsi"/>
          <w:bCs/>
          <w:lang w:val="en-GB"/>
        </w:rPr>
      </w:pPr>
      <w:r w:rsidRPr="00113031">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7CE4AEB" w14:textId="77777777" w:rsidR="00113031" w:rsidRPr="00113031" w:rsidRDefault="00113031" w:rsidP="00535B0B">
      <w:pPr>
        <w:pStyle w:val="2-SectionHeading"/>
        <w:numPr>
          <w:ilvl w:val="0"/>
          <w:numId w:val="1"/>
        </w:numPr>
      </w:pPr>
      <w:r w:rsidRPr="00113031">
        <w:t>Sponsor’s Comment</w:t>
      </w:r>
    </w:p>
    <w:p w14:paraId="7DF52398" w14:textId="6DD5EC5E" w:rsidR="00F15A5C" w:rsidRDefault="00F15A5C" w:rsidP="00B24620">
      <w:pPr>
        <w:pStyle w:val="3-BodyText"/>
        <w:numPr>
          <w:ilvl w:val="0"/>
          <w:numId w:val="0"/>
        </w:numPr>
        <w:ind w:left="709"/>
        <w:rPr>
          <w:rFonts w:ascii="Aptos" w:hAnsi="Aptos" w:cs="Aptos"/>
        </w:rPr>
      </w:pPr>
      <w:r>
        <w:t xml:space="preserve">Astellas is surprised and disappointed that the PBAC did not recommend fezolinetant for treating moderate to severe menopause-related vasomotor symptoms (VMS) in patients unsuitable for menopausal hormone therapy (MHT), thus leaving an unmet clinical need in this population who cannot be treated with MHT. </w:t>
      </w:r>
      <w:r w:rsidR="004A6B36">
        <w:t xml:space="preserve">We </w:t>
      </w:r>
      <w:r>
        <w:t xml:space="preserve">acknowledge that MHT is the current mainstay treatment for VMS and other menopause-related symptoms. </w:t>
      </w:r>
      <w:r w:rsidR="00BA7F45">
        <w:t>Astellas has undertaken several actions to assess the risk of liver toxicity seen in a very low proportion of the clinical trial patients and has a robust plan in place.</w:t>
      </w:r>
    </w:p>
    <w:sectPr w:rsidR="00F15A5C" w:rsidSect="003C2723">
      <w:headerReference w:type="even" r:id="rId28"/>
      <w:headerReference w:type="default" r:id="rId29"/>
      <w:footerReference w:type="even" r:id="rId30"/>
      <w:footerReference w:type="default" r:id="rId31"/>
      <w:headerReference w:type="first" r:id="rId32"/>
      <w:footerReference w:type="first" r:id="rId3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9E99" w14:textId="77777777" w:rsidR="0033622E" w:rsidRDefault="0033622E" w:rsidP="00124A51">
      <w:r>
        <w:separator/>
      </w:r>
    </w:p>
    <w:p w14:paraId="508A2D0C" w14:textId="77777777" w:rsidR="0033622E" w:rsidRDefault="0033622E"/>
  </w:endnote>
  <w:endnote w:type="continuationSeparator" w:id="0">
    <w:p w14:paraId="6E0EE137" w14:textId="77777777" w:rsidR="0033622E" w:rsidRDefault="0033622E" w:rsidP="00124A51">
      <w:r>
        <w:continuationSeparator/>
      </w:r>
    </w:p>
    <w:p w14:paraId="4BE2EDB2" w14:textId="77777777" w:rsidR="0033622E" w:rsidRDefault="0033622E"/>
  </w:endnote>
  <w:endnote w:type="continuationNotice" w:id="1">
    <w:p w14:paraId="480EE354" w14:textId="77777777" w:rsidR="0033622E" w:rsidRDefault="003362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panose1 w:val="00000000000000000000"/>
    <w:charset w:val="00"/>
    <w:family w:val="roman"/>
    <w:notTrueType/>
    <w:pitch w:val="default"/>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AA6B" w14:textId="77777777" w:rsidR="00B42021" w:rsidRDefault="00B42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7D96" w14:textId="77777777" w:rsidR="00042783" w:rsidRDefault="00042783" w:rsidP="00042783">
    <w:pPr>
      <w:pStyle w:val="PageFooter"/>
      <w:rPr>
        <w:b w:val="0"/>
        <w:bCs/>
      </w:rPr>
    </w:pPr>
  </w:p>
  <w:p w14:paraId="2215AFC7" w14:textId="53FA06DD" w:rsidR="001C2F55" w:rsidRPr="00BA5BA3" w:rsidRDefault="00000000" w:rsidP="00042783">
    <w:pPr>
      <w:pStyle w:val="PageFooter"/>
    </w:pPr>
    <w:sdt>
      <w:sdtPr>
        <w:id w:val="1036156457"/>
        <w:docPartObj>
          <w:docPartGallery w:val="Page Numbers (Bottom of Page)"/>
          <w:docPartUnique/>
        </w:docPartObj>
      </w:sdtPr>
      <w:sdtEndPr>
        <w:rPr>
          <w:noProof/>
        </w:rPr>
      </w:sdtEndPr>
      <w:sdtContent>
        <w:r w:rsidR="00042783" w:rsidRPr="00BA5BA3">
          <w:fldChar w:fldCharType="begin"/>
        </w:r>
        <w:r w:rsidR="00042783" w:rsidRPr="00BA5BA3">
          <w:instrText xml:space="preserve"> PAGE   \* MERGEFORMAT </w:instrText>
        </w:r>
        <w:r w:rsidR="00042783" w:rsidRPr="00BA5BA3">
          <w:fldChar w:fldCharType="separate"/>
        </w:r>
        <w:r w:rsidR="00042783" w:rsidRPr="00BA5BA3">
          <w:t>1</w:t>
        </w:r>
        <w:r w:rsidR="00042783" w:rsidRPr="00BA5BA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6DCF" w14:textId="77777777" w:rsidR="00B42021" w:rsidRDefault="00B42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2D2F0" w14:textId="77777777" w:rsidR="0033622E" w:rsidRDefault="0033622E" w:rsidP="00124A51">
      <w:r>
        <w:separator/>
      </w:r>
    </w:p>
    <w:p w14:paraId="1F33213F" w14:textId="77777777" w:rsidR="0033622E" w:rsidRDefault="0033622E"/>
  </w:footnote>
  <w:footnote w:type="continuationSeparator" w:id="0">
    <w:p w14:paraId="1DF6454C" w14:textId="77777777" w:rsidR="0033622E" w:rsidRDefault="0033622E" w:rsidP="00124A51">
      <w:r>
        <w:continuationSeparator/>
      </w:r>
    </w:p>
    <w:p w14:paraId="0BCD3B92" w14:textId="77777777" w:rsidR="0033622E" w:rsidRDefault="0033622E"/>
  </w:footnote>
  <w:footnote w:type="continuationNotice" w:id="1">
    <w:p w14:paraId="666ECFB8" w14:textId="77777777" w:rsidR="0033622E" w:rsidRDefault="0033622E"/>
  </w:footnote>
  <w:footnote w:id="2">
    <w:p w14:paraId="0B7395AD" w14:textId="35B74D7E" w:rsidR="007A3807" w:rsidRDefault="007A3807">
      <w:pPr>
        <w:pStyle w:val="FootnoteText"/>
      </w:pPr>
      <w:r>
        <w:rPr>
          <w:rStyle w:val="FootnoteReference"/>
        </w:rPr>
        <w:footnoteRef/>
      </w:r>
      <w:r>
        <w:t xml:space="preserve"> </w:t>
      </w:r>
      <w:r w:rsidR="00AD6E70">
        <w:t xml:space="preserve">$69.99 </w:t>
      </w:r>
      <w:r w:rsidR="00CE3513">
        <w:t xml:space="preserve">at Chemist Warehouse - </w:t>
      </w:r>
      <w:r w:rsidR="00FD453B" w:rsidRPr="00FD453B">
        <w:t>https://www.chemistwarehouse.com.au/search?searchtext=veoza&amp;fh=1</w:t>
      </w:r>
    </w:p>
  </w:footnote>
  <w:footnote w:id="3">
    <w:p w14:paraId="7B04F531" w14:textId="32A2244E" w:rsidR="009103B2" w:rsidRDefault="009103B2">
      <w:pPr>
        <w:pStyle w:val="FootnoteText"/>
      </w:pPr>
      <w:r>
        <w:rPr>
          <w:rStyle w:val="FootnoteReference"/>
        </w:rPr>
        <w:footnoteRef/>
      </w:r>
      <w:r>
        <w:t xml:space="preserve"> </w:t>
      </w:r>
      <w:r w:rsidRPr="009103B2">
        <w:t>Practitioner’s Toolkit for the Management of the Menopause</w:t>
      </w:r>
      <w:r>
        <w:t xml:space="preserve">, 2023. </w:t>
      </w:r>
    </w:p>
  </w:footnote>
  <w:footnote w:id="4">
    <w:p w14:paraId="0D1FDD11" w14:textId="77777777" w:rsidR="0064637C" w:rsidRPr="00C93AC5" w:rsidRDefault="0064637C" w:rsidP="0064637C">
      <w:pPr>
        <w:pStyle w:val="FootnoteText"/>
        <w:rPr>
          <w:lang w:val="en-GB"/>
        </w:rPr>
      </w:pPr>
      <w:r w:rsidRPr="00C93AC5">
        <w:rPr>
          <w:rStyle w:val="FootnoteReference"/>
        </w:rPr>
        <w:footnoteRef/>
      </w:r>
      <w:r w:rsidRPr="00C93AC5">
        <w:t xml:space="preserve"> </w:t>
      </w:r>
      <w:r w:rsidRPr="00C93AC5">
        <w:rPr>
          <w:lang w:val="en-US"/>
        </w:rPr>
        <w:t>If systemic menopausal hormone therapy (MHT) is already being used at age 60 years, it may be continued to manage menopausal symptoms, after reassessing the benefits and harms.</w:t>
      </w:r>
    </w:p>
  </w:footnote>
  <w:footnote w:id="5">
    <w:p w14:paraId="274FF8E7" w14:textId="42BF920E" w:rsidR="00086A24" w:rsidRDefault="00086A24">
      <w:pPr>
        <w:pStyle w:val="FootnoteText"/>
      </w:pPr>
      <w:r w:rsidRPr="00C93AC5">
        <w:rPr>
          <w:rStyle w:val="FootnoteReference"/>
        </w:rPr>
        <w:footnoteRef/>
      </w:r>
      <w:r w:rsidRPr="00C93AC5">
        <w:t xml:space="preserve"> </w:t>
      </w:r>
      <w:r w:rsidR="00744AEA" w:rsidRPr="00C93AC5">
        <w:t>Source</w:t>
      </w:r>
      <w:r w:rsidR="00AC15BA" w:rsidRPr="00C93AC5">
        <w:t>: Therapeutic Guidelines, 2024</w:t>
      </w:r>
      <w:r w:rsidR="00AC15BA" w:rsidRPr="001F71D6">
        <w:rPr>
          <w:i/>
          <w:iCs/>
        </w:rPr>
        <w:t>.</w:t>
      </w:r>
      <w:r w:rsidR="00AC15BA">
        <w:t xml:space="preserve"> </w:t>
      </w:r>
    </w:p>
  </w:footnote>
  <w:footnote w:id="6">
    <w:p w14:paraId="52BAC219" w14:textId="77777777" w:rsidR="00475160" w:rsidRDefault="00475160" w:rsidP="00176BDA">
      <w:pPr>
        <w:pStyle w:val="FootnoteText"/>
      </w:pPr>
      <w:r>
        <w:rPr>
          <w:rStyle w:val="FootnoteReference"/>
        </w:rPr>
        <w:footnoteRef/>
      </w:r>
      <w:r>
        <w:t xml:space="preserve"> Therapeutic Guidelines Australia (</w:t>
      </w:r>
      <w:proofErr w:type="spellStart"/>
      <w:r>
        <w:t>eTG</w:t>
      </w:r>
      <w:proofErr w:type="spellEnd"/>
      <w:r>
        <w:t xml:space="preserve">). ‘Nonhormonal drug therapy for vasomotor symptoms of menopause’. Therapeutic Guidelines Limited 2023. Available from: </w:t>
      </w:r>
      <w:hyperlink r:id="rId1" w:history="1">
        <w:r>
          <w:rPr>
            <w:rStyle w:val="Hyperlink"/>
          </w:rPr>
          <w:t>www.tg.org.au/</w:t>
        </w:r>
      </w:hyperlink>
      <w:r>
        <w:rPr>
          <w:rStyle w:val="Hyperlink"/>
        </w:rPr>
        <w:t>.</w:t>
      </w:r>
      <w:r>
        <w:t xml:space="preserve"> Accessed on 18/11/2024.</w:t>
      </w:r>
    </w:p>
  </w:footnote>
  <w:footnote w:id="7">
    <w:p w14:paraId="43D9ADE3" w14:textId="77777777" w:rsidR="00475160" w:rsidRDefault="00475160" w:rsidP="00176BDA">
      <w:pPr>
        <w:pStyle w:val="FootnoteText"/>
      </w:pPr>
      <w:r>
        <w:rPr>
          <w:rStyle w:val="FootnoteReference"/>
        </w:rPr>
        <w:footnoteRef/>
      </w:r>
      <w:r>
        <w:t xml:space="preserve"> Davis SR, Pinkerton J, Santoro N, Simoncini T. Menopause-Biology, consequences, supportive care, and therapeutic options. Cell. 2023. 186(19):4038-4058.</w:t>
      </w:r>
    </w:p>
  </w:footnote>
  <w:footnote w:id="8">
    <w:p w14:paraId="3BDB3285" w14:textId="15FB29AC" w:rsidR="00475160" w:rsidRDefault="00475160" w:rsidP="00B14718">
      <w:pPr>
        <w:pStyle w:val="FootnoteText"/>
      </w:pPr>
      <w:r>
        <w:rPr>
          <w:rStyle w:val="FootnoteReference"/>
        </w:rPr>
        <w:footnoteRef/>
      </w:r>
      <w:r>
        <w:t xml:space="preserve"> </w:t>
      </w:r>
      <w:proofErr w:type="spellStart"/>
      <w:r>
        <w:t>Center</w:t>
      </w:r>
      <w:proofErr w:type="spellEnd"/>
      <w:r>
        <w:t xml:space="preserve"> for Drug Evaluation and Research (CDER). Guidance for Industry. Estrogen and Estrogen/Progestin Drug Products to Treat Vasomotor Symptoms and Vulvar and Vaginal Atrophy Symptoms — Recommendations for Clinical Evaluation. Food and Drug Administration (FDA), USA, 20</w:t>
      </w:r>
      <w:r w:rsidR="00951530">
        <w:t>0</w:t>
      </w:r>
      <w:r>
        <w:t>3.</w:t>
      </w:r>
    </w:p>
  </w:footnote>
  <w:footnote w:id="9">
    <w:p w14:paraId="6125218C" w14:textId="77777777" w:rsidR="00475160" w:rsidRDefault="00475160" w:rsidP="00B14718">
      <w:pPr>
        <w:pStyle w:val="FootnoteText"/>
      </w:pPr>
      <w:r>
        <w:rPr>
          <w:rStyle w:val="FootnoteReference"/>
        </w:rPr>
        <w:footnoteRef/>
      </w:r>
      <w:r>
        <w:t xml:space="preserve"> Lee KA and Moe KE, Chapter 140 Menopause - Principles and Practice of Sleep Medicine. Fifth Edition. 2011. Elsevier Inc. </w:t>
      </w:r>
    </w:p>
  </w:footnote>
  <w:footnote w:id="10">
    <w:p w14:paraId="7640435A" w14:textId="7E9784B4" w:rsidR="00CB54EC" w:rsidRDefault="00CB54EC">
      <w:pPr>
        <w:pStyle w:val="FootnoteText"/>
      </w:pPr>
      <w:r>
        <w:rPr>
          <w:rStyle w:val="FootnoteReference"/>
        </w:rPr>
        <w:footnoteRef/>
      </w:r>
      <w:r>
        <w:t xml:space="preserve"> </w:t>
      </w:r>
      <w:r w:rsidRPr="001879EF">
        <w:rPr>
          <w:rFonts w:ascii="Arial Narrow" w:hAnsi="Arial Narrow"/>
          <w:sz w:val="18"/>
          <w:szCs w:val="18"/>
        </w:rPr>
        <w:t>Morga A, Ajmera M, Gao E, Patterson-Lomba O, Zhao A, Mancuso S, Siddiqui E, Kagan R. Systematic review and network meta-analysis comparing the efficacy of fezolinetant with hormone and nonhormone therapies for treatment of vasomotor symptoms due to menopause. Menopause. 2024. 31(1):68-76. DOI: 10.1097/GME.0000000000002281.</w:t>
      </w:r>
    </w:p>
  </w:footnote>
  <w:footnote w:id="11">
    <w:p w14:paraId="0F46F415" w14:textId="4344DD90" w:rsidR="00CB54EC" w:rsidRDefault="00CB54EC" w:rsidP="001879EF">
      <w:pPr>
        <w:pStyle w:val="FootnoteText"/>
        <w:jc w:val="left"/>
      </w:pPr>
      <w:r>
        <w:rPr>
          <w:rStyle w:val="FootnoteReference"/>
        </w:rPr>
        <w:footnoteRef/>
      </w:r>
      <w:r>
        <w:t xml:space="preserve"> </w:t>
      </w:r>
      <w:r w:rsidR="001879EF" w:rsidRPr="000C7F1B">
        <w:rPr>
          <w:rFonts w:ascii="Arial Narrow" w:hAnsi="Arial Narrow"/>
          <w:sz w:val="18"/>
          <w:szCs w:val="18"/>
        </w:rPr>
        <w:t xml:space="preserve">Institute for Clinical and Economic Review (ICER). Fezolinetant for Moderate to Severe Vasomotor Symptoms Associated with Menopause: Effectiveness and Value. Final Evidence Report2023. Access date: 13/11/2024. URL: </w:t>
      </w:r>
      <w:hyperlink r:id="rId2" w:history="1">
        <w:r w:rsidR="001879EF" w:rsidRPr="000C7F1B">
          <w:rPr>
            <w:rStyle w:val="Hyperlink"/>
            <w:rFonts w:ascii="Arial Narrow" w:hAnsi="Arial Narrow"/>
            <w:sz w:val="18"/>
            <w:szCs w:val="18"/>
          </w:rPr>
          <w:t>https://icer.org/wpcontent/uploads/2024/02/ICER_Menopause_FinalReport_01232023_12MonthCheckUp.pdf</w:t>
        </w:r>
      </w:hyperlink>
      <w:r w:rsidR="001879EF" w:rsidRPr="000C7F1B">
        <w:rPr>
          <w:rFonts w:ascii="Arial Narrow" w:hAnsi="Arial Narrow"/>
          <w:sz w:val="18"/>
          <w:szCs w:val="18"/>
        </w:rPr>
        <w:t>.</w:t>
      </w:r>
    </w:p>
  </w:footnote>
  <w:footnote w:id="12">
    <w:p w14:paraId="5CC8FCD5" w14:textId="77777777" w:rsidR="009E4262" w:rsidRDefault="000361C4" w:rsidP="009E4262">
      <w:pPr>
        <w:pStyle w:val="FootnoteText"/>
      </w:pPr>
      <w:r>
        <w:rPr>
          <w:rStyle w:val="FootnoteReference"/>
        </w:rPr>
        <w:footnoteRef/>
      </w:r>
      <w:r>
        <w:t xml:space="preserve"> </w:t>
      </w:r>
      <w:r w:rsidR="009E4262">
        <w:t xml:space="preserve">Davis SR, Taylor S, Hemachandra C, </w:t>
      </w:r>
      <w:proofErr w:type="spellStart"/>
      <w:r w:rsidR="009E4262">
        <w:t>Magraith</w:t>
      </w:r>
      <w:proofErr w:type="spellEnd"/>
      <w:r w:rsidR="009E4262">
        <w:t xml:space="preserve"> K, Ebeling PR, Jane F, &amp; Islam RM. The 2023 Practitioner’s Toolkit for Managing Menopause. Climacteric. 2023. 26(6):517-536.</w:t>
      </w:r>
    </w:p>
    <w:p w14:paraId="7E2F9978" w14:textId="25986F6A" w:rsidR="000361C4" w:rsidRDefault="000361C4">
      <w:pPr>
        <w:pStyle w:val="FootnoteText"/>
      </w:pPr>
    </w:p>
  </w:footnote>
  <w:footnote w:id="13">
    <w:p w14:paraId="6A16D785" w14:textId="7276ED7E" w:rsidR="009E4262" w:rsidRDefault="009E4262">
      <w:pPr>
        <w:pStyle w:val="FootnoteText"/>
      </w:pPr>
      <w:r>
        <w:rPr>
          <w:rStyle w:val="FootnoteReference"/>
        </w:rPr>
        <w:footnoteRef/>
      </w:r>
      <w:r>
        <w:t xml:space="preserve"> </w:t>
      </w:r>
      <w:r w:rsidR="00717C72">
        <w:t>Hickey M, LaCroix AZ, Doust J, Mishra GD, Sivakami M, Garlick D, Hunter MS. Menopause 1: An empowerment model for managing menopause. Lancet. 2024. 403(10430):947-57.</w:t>
      </w:r>
    </w:p>
  </w:footnote>
  <w:footnote w:id="14">
    <w:p w14:paraId="50D6BD8B" w14:textId="5AD52924" w:rsidR="00717C72" w:rsidRDefault="00717C72">
      <w:pPr>
        <w:pStyle w:val="FootnoteText"/>
      </w:pPr>
      <w:r>
        <w:rPr>
          <w:rStyle w:val="FootnoteReference"/>
        </w:rPr>
        <w:footnoteRef/>
      </w:r>
      <w:r>
        <w:t xml:space="preserve"> </w:t>
      </w:r>
      <w:proofErr w:type="spellStart"/>
      <w:r w:rsidR="004D279D" w:rsidRPr="00A6705E">
        <w:t>Magraith</w:t>
      </w:r>
      <w:proofErr w:type="spellEnd"/>
      <w:r w:rsidR="004D279D" w:rsidRPr="00A6705E">
        <w:t xml:space="preserve"> K, Jang C. Management of menopause. Aust </w:t>
      </w:r>
      <w:proofErr w:type="spellStart"/>
      <w:r w:rsidR="004D279D" w:rsidRPr="00A6705E">
        <w:t>Prescr</w:t>
      </w:r>
      <w:proofErr w:type="spellEnd"/>
      <w:r w:rsidR="004D279D" w:rsidRPr="00A6705E">
        <w:t>. 2023</w:t>
      </w:r>
      <w:r w:rsidR="004D279D">
        <w:t xml:space="preserve">. </w:t>
      </w:r>
      <w:r w:rsidR="004D279D" w:rsidRPr="00A6705E">
        <w:t xml:space="preserve">46(3):48-53. </w:t>
      </w:r>
      <w:proofErr w:type="spellStart"/>
      <w:r w:rsidR="004D279D" w:rsidRPr="00A6705E">
        <w:t>doi</w:t>
      </w:r>
      <w:proofErr w:type="spellEnd"/>
      <w:r w:rsidR="004D279D" w:rsidRPr="00A6705E">
        <w:t>: 10.18773/austprescr.2023.014.</w:t>
      </w:r>
    </w:p>
  </w:footnote>
  <w:footnote w:id="15">
    <w:p w14:paraId="1F0E7B19" w14:textId="77777777" w:rsidR="00475160" w:rsidRDefault="00475160" w:rsidP="00A03320">
      <w:pPr>
        <w:pStyle w:val="FootnoteText"/>
      </w:pPr>
      <w:r>
        <w:rPr>
          <w:rStyle w:val="FootnoteReference"/>
        </w:rPr>
        <w:footnoteRef/>
      </w:r>
      <w:r>
        <w:t xml:space="preserve"> </w:t>
      </w:r>
      <w:r w:rsidRPr="000A06E9">
        <w:t xml:space="preserve">Constantine GD, </w:t>
      </w:r>
      <w:proofErr w:type="spellStart"/>
      <w:r w:rsidRPr="000A06E9">
        <w:t>Revicki</w:t>
      </w:r>
      <w:proofErr w:type="spellEnd"/>
      <w:r w:rsidRPr="000A06E9">
        <w:t xml:space="preserve"> DA, Kagan R, Simon JA, Graham S, Bernick B, Mirkin S. Evaluation of clinical meaningfulness of estrogen plus progesterone oral capsule (TX-001HR) on moderate to severe vasomotor symptoms. Menopause. 2019</w:t>
      </w:r>
      <w:r>
        <w:t xml:space="preserve">. </w:t>
      </w:r>
      <w:r w:rsidRPr="000A06E9">
        <w:t xml:space="preserve">26(5):513-519. </w:t>
      </w:r>
      <w:proofErr w:type="spellStart"/>
      <w:r w:rsidRPr="000A06E9">
        <w:t>doi</w:t>
      </w:r>
      <w:proofErr w:type="spellEnd"/>
      <w:r w:rsidRPr="000A06E9">
        <w:t>: 10.1097/GME.0000000000001261</w:t>
      </w:r>
      <w:r>
        <w:t>.</w:t>
      </w:r>
    </w:p>
  </w:footnote>
  <w:footnote w:id="16">
    <w:p w14:paraId="099539FD" w14:textId="77777777" w:rsidR="00475160" w:rsidRDefault="00475160" w:rsidP="00A03320">
      <w:pPr>
        <w:pStyle w:val="FootnoteText"/>
      </w:pPr>
      <w:r>
        <w:rPr>
          <w:rStyle w:val="FootnoteReference"/>
        </w:rPr>
        <w:footnoteRef/>
      </w:r>
      <w:r>
        <w:t xml:space="preserve"> </w:t>
      </w:r>
      <w:r w:rsidRPr="00305D04">
        <w:t xml:space="preserve">Constantine GD, Simon JA, Kaunitz AM, Pickar JH, </w:t>
      </w:r>
      <w:proofErr w:type="spellStart"/>
      <w:r w:rsidRPr="00305D04">
        <w:t>Revicki</w:t>
      </w:r>
      <w:proofErr w:type="spellEnd"/>
      <w:r w:rsidRPr="00305D04">
        <w:t xml:space="preserve"> DA, Graham S, Bernick B, Mirkin S. TX-001HR is associated with a clinically meaningful effect on severity of moderate to severe vasomotor symptoms in the REPLENISH trial. Menopause. 2020</w:t>
      </w:r>
      <w:r>
        <w:t xml:space="preserve">. </w:t>
      </w:r>
      <w:r w:rsidRPr="00305D04">
        <w:t xml:space="preserve">27(11):1236-1241. </w:t>
      </w:r>
      <w:proofErr w:type="spellStart"/>
      <w:r w:rsidRPr="00305D04">
        <w:t>doi</w:t>
      </w:r>
      <w:proofErr w:type="spellEnd"/>
      <w:r w:rsidRPr="00305D04">
        <w:t>: 10.1097/GME.0000000000001602</w:t>
      </w:r>
      <w:r>
        <w:t>.</w:t>
      </w:r>
    </w:p>
    <w:p w14:paraId="3CDE5276" w14:textId="77777777" w:rsidR="00475160" w:rsidRDefault="00475160" w:rsidP="00A03320">
      <w:pPr>
        <w:pStyle w:val="FootnoteText"/>
      </w:pPr>
    </w:p>
  </w:footnote>
  <w:footnote w:id="17">
    <w:p w14:paraId="36C489B1" w14:textId="77777777" w:rsidR="009D4673" w:rsidRDefault="009D4673" w:rsidP="009D4673">
      <w:pPr>
        <w:pStyle w:val="FootnoteText"/>
      </w:pPr>
      <w:r>
        <w:rPr>
          <w:rStyle w:val="FootnoteReference"/>
        </w:rPr>
        <w:footnoteRef/>
      </w:r>
      <w:r>
        <w:t xml:space="preserve"> Morga A, Ajmera M, Gao E, Patterson-Lomba O, Zhao A, Mancuso S, Siddiqui E, Kagan R. Systematic review and network meta-analysis comparing the efficacy of fezolinetant with hormone and nonhormone therapies for treatment of vasomotor symptoms due to menopause. Menopause. 2024. 31(1):68-76. DOI: 10.1097/GME.0000000000002281.</w:t>
      </w:r>
    </w:p>
  </w:footnote>
  <w:footnote w:id="18">
    <w:p w14:paraId="57641A5F" w14:textId="77777777" w:rsidR="004B5A3E" w:rsidRDefault="004B5A3E" w:rsidP="004B5A3E">
      <w:pPr>
        <w:pStyle w:val="FootnoteText"/>
      </w:pPr>
      <w:r>
        <w:rPr>
          <w:rStyle w:val="FootnoteReference"/>
        </w:rPr>
        <w:footnoteRef/>
      </w:r>
      <w:r>
        <w:t xml:space="preserve"> </w:t>
      </w:r>
      <w:r w:rsidRPr="000C7F1B">
        <w:rPr>
          <w:rFonts w:ascii="Arial Narrow" w:hAnsi="Arial Narrow"/>
          <w:sz w:val="18"/>
          <w:szCs w:val="18"/>
        </w:rPr>
        <w:t>Wright AC. et al. The effectiveness and value of fezolinetant for moderate-to-severe vasomotor symptoms associated with menopause: A summary from the Institute for Clinical and Economic Review's Midwest Public Advisory Council. J Manag Care Spec Pharm. 2023 Jun;29(6):692-698.</w:t>
      </w:r>
    </w:p>
  </w:footnote>
  <w:footnote w:id="19">
    <w:p w14:paraId="36548C9F" w14:textId="77777777" w:rsidR="004B5A3E" w:rsidRDefault="004B5A3E" w:rsidP="004B5A3E">
      <w:pPr>
        <w:pStyle w:val="FootnoteText"/>
      </w:pPr>
      <w:r>
        <w:rPr>
          <w:rStyle w:val="FootnoteReference"/>
        </w:rPr>
        <w:footnoteRef/>
      </w:r>
      <w:r>
        <w:t xml:space="preserve"> </w:t>
      </w:r>
      <w:r w:rsidRPr="000C7F1B">
        <w:rPr>
          <w:rFonts w:ascii="Arial Narrow" w:hAnsi="Arial Narrow"/>
          <w:sz w:val="18"/>
          <w:szCs w:val="18"/>
        </w:rPr>
        <w:t xml:space="preserve">Institute for Clinical and Economic Review (ICER). Fezolinetant for Moderate to Severe Vasomotor Symptoms Associated with Menopause: Effectiveness and Value. Final Evidence Report2023. Access date: 13/11/2024. URL: </w:t>
      </w:r>
      <w:hyperlink r:id="rId3" w:history="1">
        <w:r w:rsidRPr="000C7F1B">
          <w:rPr>
            <w:rStyle w:val="Hyperlink"/>
            <w:rFonts w:ascii="Arial Narrow" w:hAnsi="Arial Narrow"/>
            <w:sz w:val="18"/>
            <w:szCs w:val="18"/>
          </w:rPr>
          <w:t>https://icer.org/wpcontent/uploads/2024/02/ICER_Menopause_FinalReport_01232023_12MonthCheckUp.pdf</w:t>
        </w:r>
      </w:hyperlink>
      <w:r w:rsidRPr="000C7F1B">
        <w:rPr>
          <w:rFonts w:ascii="Arial Narrow" w:hAnsi="Arial Narrow"/>
          <w:sz w:val="18"/>
          <w:szCs w:val="18"/>
        </w:rPr>
        <w:t>.</w:t>
      </w:r>
    </w:p>
  </w:footnote>
  <w:footnote w:id="20">
    <w:p w14:paraId="64A38EFE" w14:textId="77777777" w:rsidR="004B5A3E" w:rsidRDefault="004B5A3E" w:rsidP="004B5A3E">
      <w:pPr>
        <w:pStyle w:val="FootnoteText"/>
      </w:pPr>
      <w:r>
        <w:rPr>
          <w:rStyle w:val="FootnoteReference"/>
        </w:rPr>
        <w:footnoteRef/>
      </w:r>
      <w:r w:rsidRPr="00481F0C">
        <w:rPr>
          <w:lang w:val="it-IT"/>
        </w:rPr>
        <w:t xml:space="preserve"> </w:t>
      </w:r>
      <w:r w:rsidRPr="00481F0C">
        <w:rPr>
          <w:rFonts w:ascii="Arial Narrow" w:hAnsi="Arial Narrow"/>
          <w:sz w:val="18"/>
          <w:szCs w:val="18"/>
          <w:lang w:val="it-IT"/>
        </w:rPr>
        <w:t xml:space="preserve">Velentzis, L.S. et al. </w:t>
      </w:r>
      <w:r w:rsidRPr="005D0A54">
        <w:rPr>
          <w:rFonts w:ascii="Arial Narrow" w:hAnsi="Arial Narrow"/>
          <w:sz w:val="18"/>
          <w:szCs w:val="18"/>
        </w:rPr>
        <w:t>Menopausal hormone therapy: a systematic review of cost-effectiveness evaluations. BMC Health Serv Res 17, 326 (2017).</w:t>
      </w:r>
      <w:r w:rsidRPr="005D0A54">
        <w:rPr>
          <w:sz w:val="18"/>
          <w:szCs w:val="18"/>
        </w:rPr>
        <w:t xml:space="preserve"> </w:t>
      </w:r>
    </w:p>
  </w:footnote>
  <w:footnote w:id="21">
    <w:p w14:paraId="71B1A14E" w14:textId="77777777" w:rsidR="004B5A3E" w:rsidRPr="002B1F00" w:rsidRDefault="004B5A3E" w:rsidP="004B5A3E">
      <w:pPr>
        <w:pStyle w:val="FootnoteText"/>
        <w:rPr>
          <w:rFonts w:ascii="Arial Narrow" w:hAnsi="Arial Narrow"/>
          <w:sz w:val="18"/>
          <w:szCs w:val="18"/>
        </w:rPr>
      </w:pPr>
      <w:r>
        <w:rPr>
          <w:rStyle w:val="FootnoteReference"/>
        </w:rPr>
        <w:footnoteRef/>
      </w:r>
      <w:r>
        <w:t xml:space="preserve"> </w:t>
      </w:r>
      <w:r w:rsidRPr="00D0301C">
        <w:rPr>
          <w:rFonts w:ascii="Arial Narrow" w:hAnsi="Arial Narrow"/>
          <w:sz w:val="18"/>
          <w:szCs w:val="18"/>
        </w:rPr>
        <w:t xml:space="preserve">Hernandez Alava, M., Pudney, S. &amp; </w:t>
      </w:r>
      <w:proofErr w:type="spellStart"/>
      <w:r w:rsidRPr="00D0301C">
        <w:rPr>
          <w:rFonts w:ascii="Arial Narrow" w:hAnsi="Arial Narrow"/>
          <w:sz w:val="18"/>
          <w:szCs w:val="18"/>
        </w:rPr>
        <w:t>Wailoo</w:t>
      </w:r>
      <w:proofErr w:type="spellEnd"/>
      <w:r w:rsidRPr="00D0301C">
        <w:rPr>
          <w:rFonts w:ascii="Arial Narrow" w:hAnsi="Arial Narrow"/>
          <w:sz w:val="18"/>
          <w:szCs w:val="18"/>
        </w:rPr>
        <w:t>, A. Estimating the Relationship Between EQ-5D-5L and EQ-5D-3L: Results from a UK Population Study. Pharmacoeconomics 41, 199-207 (2023). https://doi.org:10.1007/s40273-022-01218-7</w:t>
      </w:r>
      <w:r>
        <w:rPr>
          <w:rFonts w:ascii="Arial Narrow" w:hAnsi="Arial Narrow"/>
          <w:sz w:val="18"/>
          <w:szCs w:val="18"/>
        </w:rPr>
        <w:t>.</w:t>
      </w:r>
    </w:p>
  </w:footnote>
  <w:footnote w:id="22">
    <w:p w14:paraId="468610EA" w14:textId="77777777" w:rsidR="004B5A3E" w:rsidRDefault="004B5A3E" w:rsidP="004B5A3E">
      <w:pPr>
        <w:pStyle w:val="FootnoteText"/>
        <w:rPr>
          <w:rFonts w:ascii="Arial Narrow" w:hAnsi="Arial Narrow"/>
          <w:snapToGrid w:val="0"/>
          <w:sz w:val="18"/>
          <w:szCs w:val="22"/>
        </w:rPr>
      </w:pPr>
      <w:r>
        <w:rPr>
          <w:rStyle w:val="FootnoteReference"/>
        </w:rPr>
        <w:footnoteRef/>
      </w:r>
      <w:r>
        <w:t xml:space="preserve"> </w:t>
      </w:r>
      <w:r>
        <w:rPr>
          <w:rStyle w:val="FooterTableFigureChar"/>
        </w:rPr>
        <w:t xml:space="preserve">Interim value sets for the EQ-5D-5L. 2017. Accessed on 01/08/2023: </w:t>
      </w:r>
      <w:hyperlink r:id="rId4" w:history="1">
        <w:r>
          <w:rPr>
            <w:rStyle w:val="FooterTableFigureChar"/>
          </w:rPr>
          <w:t>https://euroqol.org/wp-content/uploads/2017/02/EQ-5D-5L_Crosswalk_model_and__methodology.pdf</w:t>
        </w:r>
      </w:hyperlink>
    </w:p>
  </w:footnote>
  <w:footnote w:id="23">
    <w:p w14:paraId="2043CA49" w14:textId="77777777" w:rsidR="004B5A3E" w:rsidRDefault="004B5A3E" w:rsidP="004B5A3E">
      <w:pPr>
        <w:pStyle w:val="FootnoteText"/>
      </w:pPr>
      <w:r>
        <w:rPr>
          <w:rStyle w:val="FootnoteReference"/>
        </w:rPr>
        <w:footnoteRef/>
      </w:r>
      <w:r>
        <w:t xml:space="preserve"> </w:t>
      </w:r>
      <w:r>
        <w:rPr>
          <w:rFonts w:ascii="Arial Narrow" w:hAnsi="Arial Narrow"/>
          <w:sz w:val="18"/>
          <w:szCs w:val="18"/>
        </w:rPr>
        <w:t>Norman R. et al. The Use of a Discrete Choice Experiment Including Both Duration and Dead for the Development of an EQ-5D-5L Value Set for Australia.</w:t>
      </w:r>
      <w:r>
        <w:rPr>
          <w:rStyle w:val="TableFooterChar"/>
        </w:rPr>
        <w:t xml:space="preserve"> Pharmacoeconomics. 2023 Apr;41(4):427-38.</w:t>
      </w:r>
    </w:p>
  </w:footnote>
  <w:footnote w:id="24">
    <w:p w14:paraId="63B40DDC" w14:textId="77777777" w:rsidR="004B5A3E" w:rsidRDefault="004B5A3E" w:rsidP="004B5A3E">
      <w:pPr>
        <w:pStyle w:val="FootnoteText"/>
      </w:pPr>
      <w:r>
        <w:rPr>
          <w:rStyle w:val="FootnoteReference"/>
        </w:rPr>
        <w:footnoteRef/>
      </w:r>
      <w:r>
        <w:t xml:space="preserve"> </w:t>
      </w:r>
      <w:r w:rsidRPr="007C37F0">
        <w:rPr>
          <w:rFonts w:ascii="Arial Narrow" w:hAnsi="Arial Narrow"/>
          <w:sz w:val="18"/>
          <w:szCs w:val="18"/>
        </w:rPr>
        <w:t xml:space="preserve">Hernandez Alava, M., </w:t>
      </w:r>
      <w:r>
        <w:rPr>
          <w:rFonts w:ascii="Arial Narrow" w:hAnsi="Arial Narrow"/>
          <w:sz w:val="18"/>
          <w:szCs w:val="18"/>
        </w:rPr>
        <w:t>et al</w:t>
      </w:r>
      <w:r w:rsidRPr="007C37F0">
        <w:rPr>
          <w:rFonts w:ascii="Arial Narrow" w:hAnsi="Arial Narrow"/>
          <w:sz w:val="18"/>
          <w:szCs w:val="18"/>
        </w:rPr>
        <w:t>. Estimating the Relationship Between EQ-5D-5L and EQ-5D-3L: Results from a UK Population Study. Pharmacoeconomics 41, 199-207 (2023). https://doi.org:10.1007/s40273-022-01218-7.</w:t>
      </w:r>
    </w:p>
  </w:footnote>
  <w:footnote w:id="25">
    <w:p w14:paraId="0D84ABBC" w14:textId="77777777" w:rsidR="004B5A3E" w:rsidRDefault="004B5A3E" w:rsidP="004B5A3E">
      <w:pPr>
        <w:pStyle w:val="FootnoteText"/>
      </w:pPr>
      <w:r>
        <w:rPr>
          <w:rStyle w:val="FootnoteReference"/>
        </w:rPr>
        <w:footnoteRef/>
      </w:r>
      <w:r>
        <w:t xml:space="preserve"> </w:t>
      </w:r>
      <w:r w:rsidRPr="00B1053C">
        <w:rPr>
          <w:rFonts w:ascii="Arial Narrow" w:hAnsi="Arial Narrow"/>
          <w:sz w:val="18"/>
          <w:szCs w:val="18"/>
        </w:rPr>
        <w:t xml:space="preserve">DePree, B. et al. Association of menopausal vasomotor symptom severity with sleep and work impairments: a US survey. Menopause 30, 887-897 (2023). </w:t>
      </w:r>
      <w:r w:rsidRPr="00B1053C">
        <w:rPr>
          <w:rStyle w:val="Hyperlink"/>
          <w:rFonts w:ascii="Arial Narrow" w:hAnsi="Arial Narrow"/>
          <w:sz w:val="18"/>
          <w:szCs w:val="18"/>
        </w:rPr>
        <w:t>https://doi.org:10.1097/gme.0000000000002237</w:t>
      </w:r>
      <w:r w:rsidRPr="00B1053C">
        <w:rPr>
          <w:rFonts w:ascii="Arial Narrow" w:hAnsi="Arial Narrow"/>
          <w:sz w:val="18"/>
          <w:szCs w:val="18"/>
        </w:rPr>
        <w:t xml:space="preserve">. </w:t>
      </w:r>
    </w:p>
  </w:footnote>
  <w:footnote w:id="26">
    <w:p w14:paraId="35BCF39C" w14:textId="77777777" w:rsidR="004B5A3E" w:rsidRDefault="004B5A3E" w:rsidP="004B5A3E">
      <w:pPr>
        <w:pStyle w:val="FootnoteText"/>
      </w:pPr>
      <w:r>
        <w:rPr>
          <w:rStyle w:val="FootnoteReference"/>
        </w:rPr>
        <w:footnoteRef/>
      </w:r>
      <w:r>
        <w:t xml:space="preserve"> </w:t>
      </w:r>
      <w:r w:rsidRPr="00B105E0">
        <w:rPr>
          <w:rFonts w:ascii="Arial Narrow" w:hAnsi="Arial Narrow"/>
          <w:sz w:val="18"/>
          <w:szCs w:val="18"/>
        </w:rPr>
        <w:t>Morga A. et al. Systematic review and network meta-analysis comparing the efficacy of fezolinetant with hormone and nonhormone therapies for treatment of vasomotor symptoms due to menopause. Menopause. 2024 Jan 1;31(1):68-76.</w:t>
      </w:r>
    </w:p>
  </w:footnote>
  <w:footnote w:id="27">
    <w:p w14:paraId="2CDA76DF" w14:textId="77777777" w:rsidR="004B5A3E" w:rsidRDefault="004B5A3E" w:rsidP="004B5A3E">
      <w:pPr>
        <w:pStyle w:val="FootnoteText"/>
      </w:pPr>
      <w:r>
        <w:rPr>
          <w:rStyle w:val="FootnoteReference"/>
        </w:rPr>
        <w:footnoteRef/>
      </w:r>
      <w:r>
        <w:t xml:space="preserve"> </w:t>
      </w:r>
      <w:r w:rsidRPr="00B517D0">
        <w:rPr>
          <w:rFonts w:ascii="Arial Narrow" w:hAnsi="Arial Narrow"/>
          <w:sz w:val="18"/>
          <w:szCs w:val="18"/>
        </w:rPr>
        <w:t xml:space="preserve">Institute for Clinical and Economic Review (ICER). Fezolinetant for Moderate to Severe Vasomotor Symptoms Associated with Menopause: Effectiveness and Value. Final Evidence Report2023. Access date: 13/11/2024. URL: </w:t>
      </w:r>
      <w:hyperlink r:id="rId5" w:history="1">
        <w:r w:rsidRPr="004B0D5A">
          <w:rPr>
            <w:rStyle w:val="Hyperlink"/>
            <w:rFonts w:ascii="Arial Narrow" w:hAnsi="Arial Narrow"/>
            <w:sz w:val="18"/>
            <w:szCs w:val="18"/>
          </w:rPr>
          <w:t>https://icer.org/wpcontent/uploads/2024/02/ICER_Menopause_FinalReport_01232023_12MonthCheckUp.pdf</w:t>
        </w:r>
      </w:hyperlink>
      <w:r w:rsidRPr="00B517D0">
        <w:rPr>
          <w:rFonts w:ascii="Arial Narrow" w:hAnsi="Arial Narrow"/>
          <w:sz w:val="18"/>
          <w:szCs w:val="18"/>
        </w:rPr>
        <w:t>.</w:t>
      </w:r>
    </w:p>
  </w:footnote>
  <w:footnote w:id="28">
    <w:p w14:paraId="540F22A0" w14:textId="77777777" w:rsidR="004B5A3E" w:rsidRDefault="004B5A3E" w:rsidP="004B5A3E">
      <w:pPr>
        <w:pStyle w:val="FootnoteText"/>
      </w:pPr>
      <w:r>
        <w:rPr>
          <w:rStyle w:val="FootnoteReference"/>
        </w:rPr>
        <w:footnoteRef/>
      </w:r>
      <w:r>
        <w:t xml:space="preserve"> </w:t>
      </w:r>
      <w:r w:rsidRPr="00B105E0">
        <w:rPr>
          <w:rFonts w:ascii="Arial Narrow" w:hAnsi="Arial Narrow"/>
          <w:sz w:val="18"/>
          <w:szCs w:val="18"/>
        </w:rPr>
        <w:t>Morga A. et al. Systematic review and network meta-analysis comparing the efficacy of fezolinetant with hormone and nonhormone therapies for treatment of vasomotor symptoms due to menopause. Menopause. 2024 Jan 1;31(1):68-76.</w:t>
      </w:r>
    </w:p>
  </w:footnote>
  <w:footnote w:id="29">
    <w:p w14:paraId="5091D749" w14:textId="77777777" w:rsidR="00674329" w:rsidRDefault="00674329" w:rsidP="00523D9A">
      <w:pPr>
        <w:pStyle w:val="FootnoteText"/>
      </w:pPr>
      <w:r>
        <w:rPr>
          <w:rStyle w:val="FootnoteReference"/>
        </w:rPr>
        <w:footnoteRef/>
      </w:r>
      <w:r>
        <w:t xml:space="preserve"> </w:t>
      </w:r>
      <w:r w:rsidRPr="00BE19DE">
        <w:rPr>
          <w:rFonts w:ascii="Arial Narrow" w:hAnsi="Arial Narrow"/>
          <w:sz w:val="18"/>
          <w:szCs w:val="18"/>
        </w:rPr>
        <w:t>Worsley R</w:t>
      </w:r>
      <w:r>
        <w:rPr>
          <w:rFonts w:ascii="Arial Narrow" w:hAnsi="Arial Narrow"/>
          <w:sz w:val="18"/>
          <w:szCs w:val="18"/>
        </w:rPr>
        <w:t>. et al</w:t>
      </w:r>
      <w:r w:rsidRPr="00BE19DE">
        <w:rPr>
          <w:rFonts w:ascii="Arial Narrow" w:hAnsi="Arial Narrow"/>
          <w:sz w:val="18"/>
          <w:szCs w:val="18"/>
        </w:rPr>
        <w:t>. Low use of effective and safe therapies for moderate to severe menopausal symptoms: a cross-sectional community study of Australian women. Menopause. 2016 Jan;23(1):11-7.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CC47" w14:textId="77777777" w:rsidR="00B42021" w:rsidRDefault="00B42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FF61" w14:textId="6E9E63DB" w:rsidR="00EE0AA7" w:rsidRDefault="005809F1">
    <w:pPr>
      <w:pStyle w:val="Header"/>
    </w:pPr>
    <w:r w:rsidRPr="005809F1">
      <w:rPr>
        <w:i/>
        <w:iCs/>
      </w:rPr>
      <w:t xml:space="preserve">Public Summary Document </w:t>
    </w:r>
    <w:r w:rsidR="003041BF">
      <w:rPr>
        <w:i/>
        <w:iCs/>
      </w:rPr>
      <w:t xml:space="preserve">- </w:t>
    </w:r>
    <w:r w:rsidR="00EE0AA7" w:rsidRPr="00EE0AA7">
      <w:rPr>
        <w:i/>
        <w:iCs/>
      </w:rPr>
      <w:t>March 2025 PBAC Meeting</w:t>
    </w:r>
  </w:p>
  <w:p w14:paraId="4AE79373" w14:textId="76E2E939" w:rsidR="001C2F55" w:rsidRPr="00EE0AA7" w:rsidRDefault="001C2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50A1" w14:textId="77777777" w:rsidR="00B42021" w:rsidRDefault="00B42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4CCFE8"/>
    <w:lvl w:ilvl="0">
      <w:start w:val="1"/>
      <w:numFmt w:val="bullet"/>
      <w:pStyle w:val="ListBullet"/>
      <w:lvlText w:val="-"/>
      <w:lvlJc w:val="left"/>
      <w:pPr>
        <w:ind w:left="360" w:hanging="360"/>
      </w:pPr>
      <w:rPr>
        <w:rFonts w:ascii="Calibri" w:eastAsia="Times New Roman" w:hAnsi="Calibri" w:cs="Arial" w:hint="default"/>
      </w:r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decimal"/>
      <w:lvlRestart w:val="1"/>
      <w:lvlText w:val="%1.%5"/>
      <w:lvlJc w:val="left"/>
      <w:pPr>
        <w:ind w:left="1080" w:hanging="1080"/>
      </w:pPr>
      <w:rPr>
        <w:rFonts w:asciiTheme="minorHAnsi" w:hAnsiTheme="minorHAnsi" w:cs="Times New Roman" w:hint="default"/>
        <w:b w:val="0"/>
        <w:i w:val="0"/>
        <w:strike w:val="0"/>
        <w:dstrike w:val="0"/>
        <w:color w:val="auto"/>
        <w:sz w:val="24"/>
        <w:u w:val="none"/>
        <w:effect w:val="none"/>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17AC2"/>
    <w:multiLevelType w:val="multilevel"/>
    <w:tmpl w:val="134EDE46"/>
    <w:lvl w:ilvl="0">
      <w:start w:val="1"/>
      <w:numFmt w:val="bullet"/>
      <w:pStyle w:val="MainBodyBulletPoint"/>
      <w:lvlText w:val="-"/>
      <w:lvlJc w:val="left"/>
      <w:pPr>
        <w:ind w:left="669" w:hanging="360"/>
      </w:pPr>
      <w:rPr>
        <w:rFonts w:ascii="Courier New" w:hAnsi="Courier New"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bullet"/>
      <w:lvlText w:val=""/>
      <w:lvlJc w:val="left"/>
      <w:pPr>
        <w:ind w:left="1389" w:hanging="476"/>
      </w:pPr>
      <w:rPr>
        <w:rFonts w:ascii="Symbol" w:hAnsi="Symbol" w:hint="default"/>
      </w:rPr>
    </w:lvl>
    <w:lvl w:ilvl="2">
      <w:start w:val="1"/>
      <w:numFmt w:val="bullet"/>
      <w:lvlText w:val=""/>
      <w:lvlJc w:val="left"/>
      <w:pPr>
        <w:ind w:left="2109" w:hanging="360"/>
      </w:pPr>
      <w:rPr>
        <w:rFonts w:ascii="Wingdings" w:hAnsi="Wingdings" w:hint="default"/>
      </w:rPr>
    </w:lvl>
    <w:lvl w:ilvl="3">
      <w:start w:val="1"/>
      <w:numFmt w:val="bullet"/>
      <w:lvlText w:val=""/>
      <w:lvlJc w:val="left"/>
      <w:pPr>
        <w:ind w:left="2829" w:hanging="360"/>
      </w:pPr>
      <w:rPr>
        <w:rFonts w:ascii="Symbol" w:hAnsi="Symbol" w:hint="default"/>
      </w:rPr>
    </w:lvl>
    <w:lvl w:ilvl="4">
      <w:start w:val="1"/>
      <w:numFmt w:val="bullet"/>
      <w:lvlText w:val="o"/>
      <w:lvlJc w:val="left"/>
      <w:pPr>
        <w:ind w:left="3549" w:hanging="360"/>
      </w:pPr>
      <w:rPr>
        <w:rFonts w:ascii="Courier New" w:hAnsi="Courier New" w:cs="Courier New" w:hint="default"/>
      </w:rPr>
    </w:lvl>
    <w:lvl w:ilvl="5">
      <w:start w:val="1"/>
      <w:numFmt w:val="bullet"/>
      <w:lvlText w:val=""/>
      <w:lvlJc w:val="left"/>
      <w:pPr>
        <w:ind w:left="4269" w:hanging="360"/>
      </w:pPr>
      <w:rPr>
        <w:rFonts w:ascii="Wingdings" w:hAnsi="Wingdings" w:hint="default"/>
      </w:rPr>
    </w:lvl>
    <w:lvl w:ilvl="6">
      <w:start w:val="1"/>
      <w:numFmt w:val="bullet"/>
      <w:lvlText w:val=""/>
      <w:lvlJc w:val="left"/>
      <w:pPr>
        <w:ind w:left="4989" w:hanging="360"/>
      </w:pPr>
      <w:rPr>
        <w:rFonts w:ascii="Symbol" w:hAnsi="Symbol" w:hint="default"/>
      </w:rPr>
    </w:lvl>
    <w:lvl w:ilvl="7">
      <w:start w:val="1"/>
      <w:numFmt w:val="bullet"/>
      <w:lvlText w:val="o"/>
      <w:lvlJc w:val="left"/>
      <w:pPr>
        <w:ind w:left="5709" w:hanging="360"/>
      </w:pPr>
      <w:rPr>
        <w:rFonts w:ascii="Courier New" w:hAnsi="Courier New" w:cs="Courier New" w:hint="default"/>
      </w:rPr>
    </w:lvl>
    <w:lvl w:ilvl="8">
      <w:start w:val="1"/>
      <w:numFmt w:val="bullet"/>
      <w:lvlText w:val=""/>
      <w:lvlJc w:val="left"/>
      <w:pPr>
        <w:ind w:left="6429" w:hanging="360"/>
      </w:pPr>
      <w:rPr>
        <w:rFonts w:ascii="Wingdings" w:hAnsi="Wingdings" w:hint="default"/>
      </w:rPr>
    </w:lvl>
  </w:abstractNum>
  <w:abstractNum w:abstractNumId="4" w15:restartNumberingAfterBreak="0">
    <w:nsid w:val="0CCC2D45"/>
    <w:multiLevelType w:val="hybridMultilevel"/>
    <w:tmpl w:val="BA3AC23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14331F"/>
    <w:multiLevelType w:val="hybridMultilevel"/>
    <w:tmpl w:val="DF100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8C381F"/>
    <w:multiLevelType w:val="hybridMultilevel"/>
    <w:tmpl w:val="856C16D8"/>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FC0DEC"/>
    <w:multiLevelType w:val="hybridMultilevel"/>
    <w:tmpl w:val="97EA8F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3EA318B"/>
    <w:multiLevelType w:val="hybridMultilevel"/>
    <w:tmpl w:val="D6CA8354"/>
    <w:lvl w:ilvl="0" w:tplc="CA663316">
      <w:start w:val="1"/>
      <w:numFmt w:val="bullet"/>
      <w:lvlText w:val="•"/>
      <w:lvlJc w:val="left"/>
      <w:pPr>
        <w:tabs>
          <w:tab w:val="num" w:pos="720"/>
        </w:tabs>
        <w:ind w:left="720" w:hanging="360"/>
      </w:pPr>
      <w:rPr>
        <w:rFonts w:ascii="Arial" w:hAnsi="Arial" w:hint="default"/>
      </w:rPr>
    </w:lvl>
    <w:lvl w:ilvl="1" w:tplc="353CAD0C" w:tentative="1">
      <w:start w:val="1"/>
      <w:numFmt w:val="bullet"/>
      <w:lvlText w:val="•"/>
      <w:lvlJc w:val="left"/>
      <w:pPr>
        <w:tabs>
          <w:tab w:val="num" w:pos="1440"/>
        </w:tabs>
        <w:ind w:left="1440" w:hanging="360"/>
      </w:pPr>
      <w:rPr>
        <w:rFonts w:ascii="Arial" w:hAnsi="Arial" w:hint="default"/>
      </w:rPr>
    </w:lvl>
    <w:lvl w:ilvl="2" w:tplc="39865780" w:tentative="1">
      <w:start w:val="1"/>
      <w:numFmt w:val="bullet"/>
      <w:lvlText w:val="•"/>
      <w:lvlJc w:val="left"/>
      <w:pPr>
        <w:tabs>
          <w:tab w:val="num" w:pos="2160"/>
        </w:tabs>
        <w:ind w:left="2160" w:hanging="360"/>
      </w:pPr>
      <w:rPr>
        <w:rFonts w:ascii="Arial" w:hAnsi="Arial" w:hint="default"/>
      </w:rPr>
    </w:lvl>
    <w:lvl w:ilvl="3" w:tplc="58460CC8" w:tentative="1">
      <w:start w:val="1"/>
      <w:numFmt w:val="bullet"/>
      <w:lvlText w:val="•"/>
      <w:lvlJc w:val="left"/>
      <w:pPr>
        <w:tabs>
          <w:tab w:val="num" w:pos="2880"/>
        </w:tabs>
        <w:ind w:left="2880" w:hanging="360"/>
      </w:pPr>
      <w:rPr>
        <w:rFonts w:ascii="Arial" w:hAnsi="Arial" w:hint="default"/>
      </w:rPr>
    </w:lvl>
    <w:lvl w:ilvl="4" w:tplc="BAF4B5DE" w:tentative="1">
      <w:start w:val="1"/>
      <w:numFmt w:val="bullet"/>
      <w:lvlText w:val="•"/>
      <w:lvlJc w:val="left"/>
      <w:pPr>
        <w:tabs>
          <w:tab w:val="num" w:pos="3600"/>
        </w:tabs>
        <w:ind w:left="3600" w:hanging="360"/>
      </w:pPr>
      <w:rPr>
        <w:rFonts w:ascii="Arial" w:hAnsi="Arial" w:hint="default"/>
      </w:rPr>
    </w:lvl>
    <w:lvl w:ilvl="5" w:tplc="7D2C7C46" w:tentative="1">
      <w:start w:val="1"/>
      <w:numFmt w:val="bullet"/>
      <w:lvlText w:val="•"/>
      <w:lvlJc w:val="left"/>
      <w:pPr>
        <w:tabs>
          <w:tab w:val="num" w:pos="4320"/>
        </w:tabs>
        <w:ind w:left="4320" w:hanging="360"/>
      </w:pPr>
      <w:rPr>
        <w:rFonts w:ascii="Arial" w:hAnsi="Arial" w:hint="default"/>
      </w:rPr>
    </w:lvl>
    <w:lvl w:ilvl="6" w:tplc="24ECBE44" w:tentative="1">
      <w:start w:val="1"/>
      <w:numFmt w:val="bullet"/>
      <w:lvlText w:val="•"/>
      <w:lvlJc w:val="left"/>
      <w:pPr>
        <w:tabs>
          <w:tab w:val="num" w:pos="5040"/>
        </w:tabs>
        <w:ind w:left="5040" w:hanging="360"/>
      </w:pPr>
      <w:rPr>
        <w:rFonts w:ascii="Arial" w:hAnsi="Arial" w:hint="default"/>
      </w:rPr>
    </w:lvl>
    <w:lvl w:ilvl="7" w:tplc="EAB010C0" w:tentative="1">
      <w:start w:val="1"/>
      <w:numFmt w:val="bullet"/>
      <w:lvlText w:val="•"/>
      <w:lvlJc w:val="left"/>
      <w:pPr>
        <w:tabs>
          <w:tab w:val="num" w:pos="5760"/>
        </w:tabs>
        <w:ind w:left="5760" w:hanging="360"/>
      </w:pPr>
      <w:rPr>
        <w:rFonts w:ascii="Arial" w:hAnsi="Arial" w:hint="default"/>
      </w:rPr>
    </w:lvl>
    <w:lvl w:ilvl="8" w:tplc="DA06D9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FD312C"/>
    <w:multiLevelType w:val="hybridMultilevel"/>
    <w:tmpl w:val="C554D3CA"/>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626681C"/>
    <w:multiLevelType w:val="hybridMultilevel"/>
    <w:tmpl w:val="8EE2DA1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5F17AE"/>
    <w:multiLevelType w:val="multilevel"/>
    <w:tmpl w:val="4516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EB6CDA"/>
    <w:multiLevelType w:val="hybridMultilevel"/>
    <w:tmpl w:val="50C4D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B6274A"/>
    <w:multiLevelType w:val="hybridMultilevel"/>
    <w:tmpl w:val="091E2B86"/>
    <w:lvl w:ilvl="0" w:tplc="24C03C1E">
      <w:start w:val="1"/>
      <w:numFmt w:val="decimal"/>
      <w:lvlText w:val="%1."/>
      <w:lvlJc w:val="left"/>
      <w:pPr>
        <w:ind w:left="1778" w:hanging="360"/>
      </w:pPr>
      <w:rPr>
        <w:rFonts w:hint="default"/>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A21762"/>
    <w:multiLevelType w:val="hybridMultilevel"/>
    <w:tmpl w:val="9A86AC02"/>
    <w:lvl w:ilvl="0" w:tplc="0C090001">
      <w:start w:val="1"/>
      <w:numFmt w:val="bullet"/>
      <w:lvlText w:val=""/>
      <w:lvlJc w:val="left"/>
      <w:pPr>
        <w:ind w:left="1040" w:hanging="360"/>
      </w:pPr>
      <w:rPr>
        <w:rFonts w:ascii="Symbol" w:hAnsi="Symbol" w:hint="default"/>
      </w:rPr>
    </w:lvl>
    <w:lvl w:ilvl="1" w:tplc="0C090003">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6" w15:restartNumberingAfterBreak="0">
    <w:nsid w:val="274A6FFB"/>
    <w:multiLevelType w:val="hybridMultilevel"/>
    <w:tmpl w:val="4CD03A5A"/>
    <w:lvl w:ilvl="0" w:tplc="D4A0A786">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93C2657"/>
    <w:multiLevelType w:val="hybridMultilevel"/>
    <w:tmpl w:val="3D9CFEE0"/>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8" w15:restartNumberingAfterBreak="0">
    <w:nsid w:val="2C3F29B1"/>
    <w:multiLevelType w:val="hybridMultilevel"/>
    <w:tmpl w:val="61403B18"/>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21" w15:restartNumberingAfterBreak="0">
    <w:nsid w:val="313C112C"/>
    <w:multiLevelType w:val="hybridMultilevel"/>
    <w:tmpl w:val="063A3D1C"/>
    <w:lvl w:ilvl="0" w:tplc="B0121C4E">
      <w:start w:val="1"/>
      <w:numFmt w:val="bullet"/>
      <w:lvlText w:val="•"/>
      <w:lvlJc w:val="left"/>
      <w:pPr>
        <w:tabs>
          <w:tab w:val="num" w:pos="720"/>
        </w:tabs>
        <w:ind w:left="720" w:hanging="360"/>
      </w:pPr>
      <w:rPr>
        <w:rFonts w:ascii="Arial" w:hAnsi="Arial" w:hint="default"/>
      </w:rPr>
    </w:lvl>
    <w:lvl w:ilvl="1" w:tplc="206671E0" w:tentative="1">
      <w:start w:val="1"/>
      <w:numFmt w:val="bullet"/>
      <w:lvlText w:val="•"/>
      <w:lvlJc w:val="left"/>
      <w:pPr>
        <w:tabs>
          <w:tab w:val="num" w:pos="1440"/>
        </w:tabs>
        <w:ind w:left="1440" w:hanging="360"/>
      </w:pPr>
      <w:rPr>
        <w:rFonts w:ascii="Arial" w:hAnsi="Arial" w:hint="default"/>
      </w:rPr>
    </w:lvl>
    <w:lvl w:ilvl="2" w:tplc="2C926CB8" w:tentative="1">
      <w:start w:val="1"/>
      <w:numFmt w:val="bullet"/>
      <w:lvlText w:val="•"/>
      <w:lvlJc w:val="left"/>
      <w:pPr>
        <w:tabs>
          <w:tab w:val="num" w:pos="2160"/>
        </w:tabs>
        <w:ind w:left="2160" w:hanging="360"/>
      </w:pPr>
      <w:rPr>
        <w:rFonts w:ascii="Arial" w:hAnsi="Arial" w:hint="default"/>
      </w:rPr>
    </w:lvl>
    <w:lvl w:ilvl="3" w:tplc="405C96E6" w:tentative="1">
      <w:start w:val="1"/>
      <w:numFmt w:val="bullet"/>
      <w:lvlText w:val="•"/>
      <w:lvlJc w:val="left"/>
      <w:pPr>
        <w:tabs>
          <w:tab w:val="num" w:pos="2880"/>
        </w:tabs>
        <w:ind w:left="2880" w:hanging="360"/>
      </w:pPr>
      <w:rPr>
        <w:rFonts w:ascii="Arial" w:hAnsi="Arial" w:hint="default"/>
      </w:rPr>
    </w:lvl>
    <w:lvl w:ilvl="4" w:tplc="6194D9E0" w:tentative="1">
      <w:start w:val="1"/>
      <w:numFmt w:val="bullet"/>
      <w:lvlText w:val="•"/>
      <w:lvlJc w:val="left"/>
      <w:pPr>
        <w:tabs>
          <w:tab w:val="num" w:pos="3600"/>
        </w:tabs>
        <w:ind w:left="3600" w:hanging="360"/>
      </w:pPr>
      <w:rPr>
        <w:rFonts w:ascii="Arial" w:hAnsi="Arial" w:hint="default"/>
      </w:rPr>
    </w:lvl>
    <w:lvl w:ilvl="5" w:tplc="105E6C42" w:tentative="1">
      <w:start w:val="1"/>
      <w:numFmt w:val="bullet"/>
      <w:lvlText w:val="•"/>
      <w:lvlJc w:val="left"/>
      <w:pPr>
        <w:tabs>
          <w:tab w:val="num" w:pos="4320"/>
        </w:tabs>
        <w:ind w:left="4320" w:hanging="360"/>
      </w:pPr>
      <w:rPr>
        <w:rFonts w:ascii="Arial" w:hAnsi="Arial" w:hint="default"/>
      </w:rPr>
    </w:lvl>
    <w:lvl w:ilvl="6" w:tplc="AE3480D2" w:tentative="1">
      <w:start w:val="1"/>
      <w:numFmt w:val="bullet"/>
      <w:lvlText w:val="•"/>
      <w:lvlJc w:val="left"/>
      <w:pPr>
        <w:tabs>
          <w:tab w:val="num" w:pos="5040"/>
        </w:tabs>
        <w:ind w:left="5040" w:hanging="360"/>
      </w:pPr>
      <w:rPr>
        <w:rFonts w:ascii="Arial" w:hAnsi="Arial" w:hint="default"/>
      </w:rPr>
    </w:lvl>
    <w:lvl w:ilvl="7" w:tplc="5C687E9C" w:tentative="1">
      <w:start w:val="1"/>
      <w:numFmt w:val="bullet"/>
      <w:lvlText w:val="•"/>
      <w:lvlJc w:val="left"/>
      <w:pPr>
        <w:tabs>
          <w:tab w:val="num" w:pos="5760"/>
        </w:tabs>
        <w:ind w:left="5760" w:hanging="360"/>
      </w:pPr>
      <w:rPr>
        <w:rFonts w:ascii="Arial" w:hAnsi="Arial" w:hint="default"/>
      </w:rPr>
    </w:lvl>
    <w:lvl w:ilvl="8" w:tplc="85C4336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23428BD"/>
    <w:multiLevelType w:val="hybridMultilevel"/>
    <w:tmpl w:val="05AA96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7AD2F79"/>
    <w:multiLevelType w:val="hybridMultilevel"/>
    <w:tmpl w:val="FE304034"/>
    <w:lvl w:ilvl="0" w:tplc="6A7EEBEA">
      <w:start w:val="1"/>
      <w:numFmt w:val="bullet"/>
      <w:lvlText w:val="•"/>
      <w:lvlJc w:val="left"/>
      <w:pPr>
        <w:tabs>
          <w:tab w:val="num" w:pos="720"/>
        </w:tabs>
        <w:ind w:left="720" w:hanging="360"/>
      </w:pPr>
      <w:rPr>
        <w:rFonts w:ascii="Arial" w:hAnsi="Arial" w:hint="default"/>
      </w:rPr>
    </w:lvl>
    <w:lvl w:ilvl="1" w:tplc="085282DE" w:tentative="1">
      <w:start w:val="1"/>
      <w:numFmt w:val="bullet"/>
      <w:lvlText w:val="•"/>
      <w:lvlJc w:val="left"/>
      <w:pPr>
        <w:tabs>
          <w:tab w:val="num" w:pos="1440"/>
        </w:tabs>
        <w:ind w:left="1440" w:hanging="360"/>
      </w:pPr>
      <w:rPr>
        <w:rFonts w:ascii="Arial" w:hAnsi="Arial" w:hint="default"/>
      </w:rPr>
    </w:lvl>
    <w:lvl w:ilvl="2" w:tplc="161CA47A" w:tentative="1">
      <w:start w:val="1"/>
      <w:numFmt w:val="bullet"/>
      <w:lvlText w:val="•"/>
      <w:lvlJc w:val="left"/>
      <w:pPr>
        <w:tabs>
          <w:tab w:val="num" w:pos="2160"/>
        </w:tabs>
        <w:ind w:left="2160" w:hanging="360"/>
      </w:pPr>
      <w:rPr>
        <w:rFonts w:ascii="Arial" w:hAnsi="Arial" w:hint="default"/>
      </w:rPr>
    </w:lvl>
    <w:lvl w:ilvl="3" w:tplc="4ACCF49C" w:tentative="1">
      <w:start w:val="1"/>
      <w:numFmt w:val="bullet"/>
      <w:lvlText w:val="•"/>
      <w:lvlJc w:val="left"/>
      <w:pPr>
        <w:tabs>
          <w:tab w:val="num" w:pos="2880"/>
        </w:tabs>
        <w:ind w:left="2880" w:hanging="360"/>
      </w:pPr>
      <w:rPr>
        <w:rFonts w:ascii="Arial" w:hAnsi="Arial" w:hint="default"/>
      </w:rPr>
    </w:lvl>
    <w:lvl w:ilvl="4" w:tplc="C3788612" w:tentative="1">
      <w:start w:val="1"/>
      <w:numFmt w:val="bullet"/>
      <w:lvlText w:val="•"/>
      <w:lvlJc w:val="left"/>
      <w:pPr>
        <w:tabs>
          <w:tab w:val="num" w:pos="3600"/>
        </w:tabs>
        <w:ind w:left="3600" w:hanging="360"/>
      </w:pPr>
      <w:rPr>
        <w:rFonts w:ascii="Arial" w:hAnsi="Arial" w:hint="default"/>
      </w:rPr>
    </w:lvl>
    <w:lvl w:ilvl="5" w:tplc="04245270" w:tentative="1">
      <w:start w:val="1"/>
      <w:numFmt w:val="bullet"/>
      <w:lvlText w:val="•"/>
      <w:lvlJc w:val="left"/>
      <w:pPr>
        <w:tabs>
          <w:tab w:val="num" w:pos="4320"/>
        </w:tabs>
        <w:ind w:left="4320" w:hanging="360"/>
      </w:pPr>
      <w:rPr>
        <w:rFonts w:ascii="Arial" w:hAnsi="Arial" w:hint="default"/>
      </w:rPr>
    </w:lvl>
    <w:lvl w:ilvl="6" w:tplc="FC8651EE" w:tentative="1">
      <w:start w:val="1"/>
      <w:numFmt w:val="bullet"/>
      <w:lvlText w:val="•"/>
      <w:lvlJc w:val="left"/>
      <w:pPr>
        <w:tabs>
          <w:tab w:val="num" w:pos="5040"/>
        </w:tabs>
        <w:ind w:left="5040" w:hanging="360"/>
      </w:pPr>
      <w:rPr>
        <w:rFonts w:ascii="Arial" w:hAnsi="Arial" w:hint="default"/>
      </w:rPr>
    </w:lvl>
    <w:lvl w:ilvl="7" w:tplc="AEB60D6C" w:tentative="1">
      <w:start w:val="1"/>
      <w:numFmt w:val="bullet"/>
      <w:lvlText w:val="•"/>
      <w:lvlJc w:val="left"/>
      <w:pPr>
        <w:tabs>
          <w:tab w:val="num" w:pos="5760"/>
        </w:tabs>
        <w:ind w:left="5760" w:hanging="360"/>
      </w:pPr>
      <w:rPr>
        <w:rFonts w:ascii="Arial" w:hAnsi="Arial" w:hint="default"/>
      </w:rPr>
    </w:lvl>
    <w:lvl w:ilvl="8" w:tplc="3612CE5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8FD78DC"/>
    <w:multiLevelType w:val="multilevel"/>
    <w:tmpl w:val="EC4E2E26"/>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25" w15:restartNumberingAfterBreak="0">
    <w:nsid w:val="3D9419AB"/>
    <w:multiLevelType w:val="hybridMultilevel"/>
    <w:tmpl w:val="DAFEC06E"/>
    <w:lvl w:ilvl="0" w:tplc="B0F8B73C">
      <w:start w:val="1"/>
      <w:numFmt w:val="bullet"/>
      <w:lvlText w:val="•"/>
      <w:lvlJc w:val="left"/>
      <w:pPr>
        <w:tabs>
          <w:tab w:val="num" w:pos="720"/>
        </w:tabs>
        <w:ind w:left="720" w:hanging="360"/>
      </w:pPr>
      <w:rPr>
        <w:rFonts w:ascii="Arial" w:hAnsi="Arial" w:hint="default"/>
      </w:rPr>
    </w:lvl>
    <w:lvl w:ilvl="1" w:tplc="01CC5C80" w:tentative="1">
      <w:start w:val="1"/>
      <w:numFmt w:val="bullet"/>
      <w:lvlText w:val="•"/>
      <w:lvlJc w:val="left"/>
      <w:pPr>
        <w:tabs>
          <w:tab w:val="num" w:pos="1440"/>
        </w:tabs>
        <w:ind w:left="1440" w:hanging="360"/>
      </w:pPr>
      <w:rPr>
        <w:rFonts w:ascii="Arial" w:hAnsi="Arial" w:hint="default"/>
      </w:rPr>
    </w:lvl>
    <w:lvl w:ilvl="2" w:tplc="23AAA06C" w:tentative="1">
      <w:start w:val="1"/>
      <w:numFmt w:val="bullet"/>
      <w:lvlText w:val="•"/>
      <w:lvlJc w:val="left"/>
      <w:pPr>
        <w:tabs>
          <w:tab w:val="num" w:pos="2160"/>
        </w:tabs>
        <w:ind w:left="2160" w:hanging="360"/>
      </w:pPr>
      <w:rPr>
        <w:rFonts w:ascii="Arial" w:hAnsi="Arial" w:hint="default"/>
      </w:rPr>
    </w:lvl>
    <w:lvl w:ilvl="3" w:tplc="FE96782E" w:tentative="1">
      <w:start w:val="1"/>
      <w:numFmt w:val="bullet"/>
      <w:lvlText w:val="•"/>
      <w:lvlJc w:val="left"/>
      <w:pPr>
        <w:tabs>
          <w:tab w:val="num" w:pos="2880"/>
        </w:tabs>
        <w:ind w:left="2880" w:hanging="360"/>
      </w:pPr>
      <w:rPr>
        <w:rFonts w:ascii="Arial" w:hAnsi="Arial" w:hint="default"/>
      </w:rPr>
    </w:lvl>
    <w:lvl w:ilvl="4" w:tplc="045ED8C2" w:tentative="1">
      <w:start w:val="1"/>
      <w:numFmt w:val="bullet"/>
      <w:lvlText w:val="•"/>
      <w:lvlJc w:val="left"/>
      <w:pPr>
        <w:tabs>
          <w:tab w:val="num" w:pos="3600"/>
        </w:tabs>
        <w:ind w:left="3600" w:hanging="360"/>
      </w:pPr>
      <w:rPr>
        <w:rFonts w:ascii="Arial" w:hAnsi="Arial" w:hint="default"/>
      </w:rPr>
    </w:lvl>
    <w:lvl w:ilvl="5" w:tplc="0558701E" w:tentative="1">
      <w:start w:val="1"/>
      <w:numFmt w:val="bullet"/>
      <w:lvlText w:val="•"/>
      <w:lvlJc w:val="left"/>
      <w:pPr>
        <w:tabs>
          <w:tab w:val="num" w:pos="4320"/>
        </w:tabs>
        <w:ind w:left="4320" w:hanging="360"/>
      </w:pPr>
      <w:rPr>
        <w:rFonts w:ascii="Arial" w:hAnsi="Arial" w:hint="default"/>
      </w:rPr>
    </w:lvl>
    <w:lvl w:ilvl="6" w:tplc="882ED778" w:tentative="1">
      <w:start w:val="1"/>
      <w:numFmt w:val="bullet"/>
      <w:lvlText w:val="•"/>
      <w:lvlJc w:val="left"/>
      <w:pPr>
        <w:tabs>
          <w:tab w:val="num" w:pos="5040"/>
        </w:tabs>
        <w:ind w:left="5040" w:hanging="360"/>
      </w:pPr>
      <w:rPr>
        <w:rFonts w:ascii="Arial" w:hAnsi="Arial" w:hint="default"/>
      </w:rPr>
    </w:lvl>
    <w:lvl w:ilvl="7" w:tplc="D4322F84" w:tentative="1">
      <w:start w:val="1"/>
      <w:numFmt w:val="bullet"/>
      <w:lvlText w:val="•"/>
      <w:lvlJc w:val="left"/>
      <w:pPr>
        <w:tabs>
          <w:tab w:val="num" w:pos="5760"/>
        </w:tabs>
        <w:ind w:left="5760" w:hanging="360"/>
      </w:pPr>
      <w:rPr>
        <w:rFonts w:ascii="Arial" w:hAnsi="Arial" w:hint="default"/>
      </w:rPr>
    </w:lvl>
    <w:lvl w:ilvl="8" w:tplc="2598BF8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A08D5"/>
    <w:multiLevelType w:val="hybridMultilevel"/>
    <w:tmpl w:val="F730A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cs="Times New Roman" w:hint="default"/>
        <w:b w:val="0"/>
        <w:i w:val="0"/>
        <w:color w:val="auto"/>
        <w:sz w:val="2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9" w15:restartNumberingAfterBreak="0">
    <w:nsid w:val="51561664"/>
    <w:multiLevelType w:val="hybridMultilevel"/>
    <w:tmpl w:val="7D303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A06B54"/>
    <w:multiLevelType w:val="hybridMultilevel"/>
    <w:tmpl w:val="94F28E40"/>
    <w:lvl w:ilvl="0" w:tplc="A8AC4460">
      <w:start w:val="1"/>
      <w:numFmt w:val="bullet"/>
      <w:lvlText w:val="•"/>
      <w:lvlJc w:val="left"/>
      <w:pPr>
        <w:tabs>
          <w:tab w:val="num" w:pos="720"/>
        </w:tabs>
        <w:ind w:left="720" w:hanging="360"/>
      </w:pPr>
      <w:rPr>
        <w:rFonts w:ascii="Arial" w:hAnsi="Arial" w:hint="default"/>
      </w:rPr>
    </w:lvl>
    <w:lvl w:ilvl="1" w:tplc="8A125656" w:tentative="1">
      <w:start w:val="1"/>
      <w:numFmt w:val="bullet"/>
      <w:lvlText w:val="•"/>
      <w:lvlJc w:val="left"/>
      <w:pPr>
        <w:tabs>
          <w:tab w:val="num" w:pos="1440"/>
        </w:tabs>
        <w:ind w:left="1440" w:hanging="360"/>
      </w:pPr>
      <w:rPr>
        <w:rFonts w:ascii="Arial" w:hAnsi="Arial" w:hint="default"/>
      </w:rPr>
    </w:lvl>
    <w:lvl w:ilvl="2" w:tplc="91004E48" w:tentative="1">
      <w:start w:val="1"/>
      <w:numFmt w:val="bullet"/>
      <w:lvlText w:val="•"/>
      <w:lvlJc w:val="left"/>
      <w:pPr>
        <w:tabs>
          <w:tab w:val="num" w:pos="2160"/>
        </w:tabs>
        <w:ind w:left="2160" w:hanging="360"/>
      </w:pPr>
      <w:rPr>
        <w:rFonts w:ascii="Arial" w:hAnsi="Arial" w:hint="default"/>
      </w:rPr>
    </w:lvl>
    <w:lvl w:ilvl="3" w:tplc="B4B657C2" w:tentative="1">
      <w:start w:val="1"/>
      <w:numFmt w:val="bullet"/>
      <w:lvlText w:val="•"/>
      <w:lvlJc w:val="left"/>
      <w:pPr>
        <w:tabs>
          <w:tab w:val="num" w:pos="2880"/>
        </w:tabs>
        <w:ind w:left="2880" w:hanging="360"/>
      </w:pPr>
      <w:rPr>
        <w:rFonts w:ascii="Arial" w:hAnsi="Arial" w:hint="default"/>
      </w:rPr>
    </w:lvl>
    <w:lvl w:ilvl="4" w:tplc="44A60204" w:tentative="1">
      <w:start w:val="1"/>
      <w:numFmt w:val="bullet"/>
      <w:lvlText w:val="•"/>
      <w:lvlJc w:val="left"/>
      <w:pPr>
        <w:tabs>
          <w:tab w:val="num" w:pos="3600"/>
        </w:tabs>
        <w:ind w:left="3600" w:hanging="360"/>
      </w:pPr>
      <w:rPr>
        <w:rFonts w:ascii="Arial" w:hAnsi="Arial" w:hint="default"/>
      </w:rPr>
    </w:lvl>
    <w:lvl w:ilvl="5" w:tplc="9C5AAFC0" w:tentative="1">
      <w:start w:val="1"/>
      <w:numFmt w:val="bullet"/>
      <w:lvlText w:val="•"/>
      <w:lvlJc w:val="left"/>
      <w:pPr>
        <w:tabs>
          <w:tab w:val="num" w:pos="4320"/>
        </w:tabs>
        <w:ind w:left="4320" w:hanging="360"/>
      </w:pPr>
      <w:rPr>
        <w:rFonts w:ascii="Arial" w:hAnsi="Arial" w:hint="default"/>
      </w:rPr>
    </w:lvl>
    <w:lvl w:ilvl="6" w:tplc="E8C2E69E" w:tentative="1">
      <w:start w:val="1"/>
      <w:numFmt w:val="bullet"/>
      <w:lvlText w:val="•"/>
      <w:lvlJc w:val="left"/>
      <w:pPr>
        <w:tabs>
          <w:tab w:val="num" w:pos="5040"/>
        </w:tabs>
        <w:ind w:left="5040" w:hanging="360"/>
      </w:pPr>
      <w:rPr>
        <w:rFonts w:ascii="Arial" w:hAnsi="Arial" w:hint="default"/>
      </w:rPr>
    </w:lvl>
    <w:lvl w:ilvl="7" w:tplc="F1DAF1C8" w:tentative="1">
      <w:start w:val="1"/>
      <w:numFmt w:val="bullet"/>
      <w:lvlText w:val="•"/>
      <w:lvlJc w:val="left"/>
      <w:pPr>
        <w:tabs>
          <w:tab w:val="num" w:pos="5760"/>
        </w:tabs>
        <w:ind w:left="5760" w:hanging="360"/>
      </w:pPr>
      <w:rPr>
        <w:rFonts w:ascii="Arial" w:hAnsi="Arial" w:hint="default"/>
      </w:rPr>
    </w:lvl>
    <w:lvl w:ilvl="8" w:tplc="442CD21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350519F"/>
    <w:multiLevelType w:val="hybridMultilevel"/>
    <w:tmpl w:val="0234EC00"/>
    <w:lvl w:ilvl="0" w:tplc="549C3F76">
      <w:start w:val="1"/>
      <w:numFmt w:val="bullet"/>
      <w:lvlText w:val="•"/>
      <w:lvlJc w:val="left"/>
      <w:pPr>
        <w:tabs>
          <w:tab w:val="num" w:pos="720"/>
        </w:tabs>
        <w:ind w:left="720" w:hanging="360"/>
      </w:pPr>
      <w:rPr>
        <w:rFonts w:ascii="Arial" w:hAnsi="Arial" w:hint="default"/>
      </w:rPr>
    </w:lvl>
    <w:lvl w:ilvl="1" w:tplc="F880C916" w:tentative="1">
      <w:start w:val="1"/>
      <w:numFmt w:val="bullet"/>
      <w:lvlText w:val="•"/>
      <w:lvlJc w:val="left"/>
      <w:pPr>
        <w:tabs>
          <w:tab w:val="num" w:pos="1440"/>
        </w:tabs>
        <w:ind w:left="1440" w:hanging="360"/>
      </w:pPr>
      <w:rPr>
        <w:rFonts w:ascii="Arial" w:hAnsi="Arial" w:hint="default"/>
      </w:rPr>
    </w:lvl>
    <w:lvl w:ilvl="2" w:tplc="F14A3858" w:tentative="1">
      <w:start w:val="1"/>
      <w:numFmt w:val="bullet"/>
      <w:lvlText w:val="•"/>
      <w:lvlJc w:val="left"/>
      <w:pPr>
        <w:tabs>
          <w:tab w:val="num" w:pos="2160"/>
        </w:tabs>
        <w:ind w:left="2160" w:hanging="360"/>
      </w:pPr>
      <w:rPr>
        <w:rFonts w:ascii="Arial" w:hAnsi="Arial" w:hint="default"/>
      </w:rPr>
    </w:lvl>
    <w:lvl w:ilvl="3" w:tplc="0D8893F8" w:tentative="1">
      <w:start w:val="1"/>
      <w:numFmt w:val="bullet"/>
      <w:lvlText w:val="•"/>
      <w:lvlJc w:val="left"/>
      <w:pPr>
        <w:tabs>
          <w:tab w:val="num" w:pos="2880"/>
        </w:tabs>
        <w:ind w:left="2880" w:hanging="360"/>
      </w:pPr>
      <w:rPr>
        <w:rFonts w:ascii="Arial" w:hAnsi="Arial" w:hint="default"/>
      </w:rPr>
    </w:lvl>
    <w:lvl w:ilvl="4" w:tplc="3A068932" w:tentative="1">
      <w:start w:val="1"/>
      <w:numFmt w:val="bullet"/>
      <w:lvlText w:val="•"/>
      <w:lvlJc w:val="left"/>
      <w:pPr>
        <w:tabs>
          <w:tab w:val="num" w:pos="3600"/>
        </w:tabs>
        <w:ind w:left="3600" w:hanging="360"/>
      </w:pPr>
      <w:rPr>
        <w:rFonts w:ascii="Arial" w:hAnsi="Arial" w:hint="default"/>
      </w:rPr>
    </w:lvl>
    <w:lvl w:ilvl="5" w:tplc="D09A2FA2" w:tentative="1">
      <w:start w:val="1"/>
      <w:numFmt w:val="bullet"/>
      <w:lvlText w:val="•"/>
      <w:lvlJc w:val="left"/>
      <w:pPr>
        <w:tabs>
          <w:tab w:val="num" w:pos="4320"/>
        </w:tabs>
        <w:ind w:left="4320" w:hanging="360"/>
      </w:pPr>
      <w:rPr>
        <w:rFonts w:ascii="Arial" w:hAnsi="Arial" w:hint="default"/>
      </w:rPr>
    </w:lvl>
    <w:lvl w:ilvl="6" w:tplc="CC3CCAE0" w:tentative="1">
      <w:start w:val="1"/>
      <w:numFmt w:val="bullet"/>
      <w:lvlText w:val="•"/>
      <w:lvlJc w:val="left"/>
      <w:pPr>
        <w:tabs>
          <w:tab w:val="num" w:pos="5040"/>
        </w:tabs>
        <w:ind w:left="5040" w:hanging="360"/>
      </w:pPr>
      <w:rPr>
        <w:rFonts w:ascii="Arial" w:hAnsi="Arial" w:hint="default"/>
      </w:rPr>
    </w:lvl>
    <w:lvl w:ilvl="7" w:tplc="681EB1A8" w:tentative="1">
      <w:start w:val="1"/>
      <w:numFmt w:val="bullet"/>
      <w:lvlText w:val="•"/>
      <w:lvlJc w:val="left"/>
      <w:pPr>
        <w:tabs>
          <w:tab w:val="num" w:pos="5760"/>
        </w:tabs>
        <w:ind w:left="5760" w:hanging="360"/>
      </w:pPr>
      <w:rPr>
        <w:rFonts w:ascii="Arial" w:hAnsi="Arial" w:hint="default"/>
      </w:rPr>
    </w:lvl>
    <w:lvl w:ilvl="8" w:tplc="F502CF0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95E0A01"/>
    <w:multiLevelType w:val="hybridMultilevel"/>
    <w:tmpl w:val="FF2E3646"/>
    <w:lvl w:ilvl="0" w:tplc="40C67B4A">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96C290C"/>
    <w:multiLevelType w:val="hybridMultilevel"/>
    <w:tmpl w:val="E538165A"/>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D05150D"/>
    <w:multiLevelType w:val="hybridMultilevel"/>
    <w:tmpl w:val="B34CE236"/>
    <w:lvl w:ilvl="0" w:tplc="15E2C7F0">
      <w:start w:val="1"/>
      <w:numFmt w:val="bullet"/>
      <w:lvlText w:val="•"/>
      <w:lvlJc w:val="left"/>
      <w:pPr>
        <w:ind w:left="720" w:hanging="360"/>
      </w:pPr>
      <w:rPr>
        <w:rFonts w:ascii="Times New Roman" w:hAnsi="Times New Roman" w:cs="Times New Roman" w:hint="default"/>
      </w:rPr>
    </w:lvl>
    <w:lvl w:ilvl="1" w:tplc="FEF21D44">
      <w:numFmt w:val="bullet"/>
      <w:lvlText w:val="•"/>
      <w:lvlJc w:val="left"/>
      <w:pPr>
        <w:ind w:left="1440" w:hanging="36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E5BE688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2705" w:hanging="720"/>
      </w:pPr>
      <w:rPr>
        <w:i w:val="0"/>
        <w:iCs w:val="0"/>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1F726F"/>
    <w:multiLevelType w:val="hybridMultilevel"/>
    <w:tmpl w:val="75A0ED3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C2F5FF9"/>
    <w:multiLevelType w:val="hybridMultilevel"/>
    <w:tmpl w:val="76EC97EE"/>
    <w:lvl w:ilvl="0" w:tplc="F87A10CA">
      <w:start w:val="1"/>
      <w:numFmt w:val="lowerRoman"/>
      <w:lvlText w:val="(%1)"/>
      <w:lvlJc w:val="left"/>
      <w:pPr>
        <w:ind w:left="1080" w:hanging="720"/>
      </w:pPr>
      <w:rPr>
        <w:rFonts w:hint="default"/>
        <w:i/>
        <w:color w:val="33333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C95B7A"/>
    <w:multiLevelType w:val="hybridMultilevel"/>
    <w:tmpl w:val="7DA242A8"/>
    <w:lvl w:ilvl="0" w:tplc="5086A130">
      <w:start w:val="1"/>
      <w:numFmt w:val="bullet"/>
      <w:pStyle w:val="Tablebullet0"/>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38006191">
    <w:abstractNumId w:val="36"/>
  </w:num>
  <w:num w:numId="2" w16cid:durableId="1913468414">
    <w:abstractNumId w:val="26"/>
  </w:num>
  <w:num w:numId="3" w16cid:durableId="66389631">
    <w:abstractNumId w:val="0"/>
  </w:num>
  <w:num w:numId="4" w16cid:durableId="1521894893">
    <w:abstractNumId w:val="36"/>
  </w:num>
  <w:num w:numId="5" w16cid:durableId="193886126">
    <w:abstractNumId w:val="32"/>
  </w:num>
  <w:num w:numId="6" w16cid:durableId="2085373554">
    <w:abstractNumId w:val="35"/>
  </w:num>
  <w:num w:numId="7" w16cid:durableId="1971128186">
    <w:abstractNumId w:val="33"/>
  </w:num>
  <w:num w:numId="8" w16cid:durableId="802967069">
    <w:abstractNumId w:val="15"/>
  </w:num>
  <w:num w:numId="9" w16cid:durableId="540242318">
    <w:abstractNumId w:val="11"/>
  </w:num>
  <w:num w:numId="10" w16cid:durableId="1623267689">
    <w:abstractNumId w:val="7"/>
  </w:num>
  <w:num w:numId="11" w16cid:durableId="628366963">
    <w:abstractNumId w:val="9"/>
  </w:num>
  <w:num w:numId="12" w16cid:durableId="1101341432">
    <w:abstractNumId w:val="37"/>
  </w:num>
  <w:num w:numId="13" w16cid:durableId="1318072605">
    <w:abstractNumId w:val="4"/>
  </w:num>
  <w:num w:numId="14" w16cid:durableId="1756128272">
    <w:abstractNumId w:val="3"/>
  </w:num>
  <w:num w:numId="15" w16cid:durableId="943003386">
    <w:abstractNumId w:val="1"/>
  </w:num>
  <w:num w:numId="16" w16cid:durableId="842545911">
    <w:abstractNumId w:val="39"/>
  </w:num>
  <w:num w:numId="17" w16cid:durableId="21200248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8823659">
    <w:abstractNumId w:val="24"/>
  </w:num>
  <w:num w:numId="19" w16cid:durableId="1592472982">
    <w:abstractNumId w:val="13"/>
  </w:num>
  <w:num w:numId="20" w16cid:durableId="2146242135">
    <w:abstractNumId w:val="10"/>
  </w:num>
  <w:num w:numId="21" w16cid:durableId="1553926126">
    <w:abstractNumId w:val="22"/>
  </w:num>
  <w:num w:numId="22" w16cid:durableId="654380436">
    <w:abstractNumId w:val="14"/>
  </w:num>
  <w:num w:numId="23" w16cid:durableId="1203133458">
    <w:abstractNumId w:val="20"/>
  </w:num>
  <w:num w:numId="24" w16cid:durableId="1117531094">
    <w:abstractNumId w:val="38"/>
  </w:num>
  <w:num w:numId="25" w16cid:durableId="1660116426">
    <w:abstractNumId w:val="2"/>
  </w:num>
  <w:num w:numId="26" w16cid:durableId="705134102">
    <w:abstractNumId w:val="17"/>
  </w:num>
  <w:num w:numId="27" w16cid:durableId="258102630">
    <w:abstractNumId w:val="18"/>
  </w:num>
  <w:num w:numId="28" w16cid:durableId="1766266747">
    <w:abstractNumId w:val="34"/>
  </w:num>
  <w:num w:numId="29" w16cid:durableId="59133797">
    <w:abstractNumId w:val="12"/>
  </w:num>
  <w:num w:numId="30" w16cid:durableId="1979457665">
    <w:abstractNumId w:val="19"/>
  </w:num>
  <w:num w:numId="31" w16cid:durableId="344138085">
    <w:abstractNumId w:val="25"/>
  </w:num>
  <w:num w:numId="32" w16cid:durableId="387535244">
    <w:abstractNumId w:val="8"/>
  </w:num>
  <w:num w:numId="33" w16cid:durableId="765617356">
    <w:abstractNumId w:val="36"/>
  </w:num>
  <w:num w:numId="34" w16cid:durableId="16789201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5455175">
    <w:abstractNumId w:val="23"/>
  </w:num>
  <w:num w:numId="36" w16cid:durableId="447622025">
    <w:abstractNumId w:val="30"/>
  </w:num>
  <w:num w:numId="37" w16cid:durableId="1310472915">
    <w:abstractNumId w:val="21"/>
  </w:num>
  <w:num w:numId="38" w16cid:durableId="2038046645">
    <w:abstractNumId w:val="31"/>
  </w:num>
  <w:num w:numId="39" w16cid:durableId="14503156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5273320">
    <w:abstractNumId w:val="36"/>
  </w:num>
  <w:num w:numId="41" w16cid:durableId="2145148297">
    <w:abstractNumId w:val="5"/>
  </w:num>
  <w:num w:numId="42" w16cid:durableId="1904950711">
    <w:abstractNumId w:val="17"/>
  </w:num>
  <w:num w:numId="43" w16cid:durableId="352193554">
    <w:abstractNumId w:val="6"/>
  </w:num>
  <w:num w:numId="44" w16cid:durableId="932014162">
    <w:abstractNumId w:val="29"/>
  </w:num>
  <w:num w:numId="45" w16cid:durableId="840463739">
    <w:abstractNumId w:val="27"/>
  </w:num>
  <w:num w:numId="46" w16cid:durableId="899438221">
    <w:abstractNumId w:val="16"/>
  </w:num>
  <w:num w:numId="47" w16cid:durableId="6101634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0571349">
    <w:abstractNumId w:val="36"/>
  </w:num>
  <w:num w:numId="49" w16cid:durableId="2022773737">
    <w:abstractNumId w:val="36"/>
  </w:num>
  <w:num w:numId="50" w16cid:durableId="2026637752">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165"/>
    <w:rsid w:val="000005F8"/>
    <w:rsid w:val="00000790"/>
    <w:rsid w:val="00000834"/>
    <w:rsid w:val="00000B54"/>
    <w:rsid w:val="00000D35"/>
    <w:rsid w:val="00000EAF"/>
    <w:rsid w:val="0000110B"/>
    <w:rsid w:val="000016BB"/>
    <w:rsid w:val="00001BB2"/>
    <w:rsid w:val="00001CA5"/>
    <w:rsid w:val="00001CBF"/>
    <w:rsid w:val="00002620"/>
    <w:rsid w:val="00002A9A"/>
    <w:rsid w:val="00002D1B"/>
    <w:rsid w:val="00003499"/>
    <w:rsid w:val="000039B7"/>
    <w:rsid w:val="00003BAE"/>
    <w:rsid w:val="00003BDE"/>
    <w:rsid w:val="00004035"/>
    <w:rsid w:val="00004334"/>
    <w:rsid w:val="00004380"/>
    <w:rsid w:val="000043BA"/>
    <w:rsid w:val="000045E9"/>
    <w:rsid w:val="000046CD"/>
    <w:rsid w:val="00004EC3"/>
    <w:rsid w:val="000056B9"/>
    <w:rsid w:val="00005769"/>
    <w:rsid w:val="0000639A"/>
    <w:rsid w:val="00006914"/>
    <w:rsid w:val="00006C3B"/>
    <w:rsid w:val="0000733A"/>
    <w:rsid w:val="00007B2D"/>
    <w:rsid w:val="00010EBA"/>
    <w:rsid w:val="00012EBA"/>
    <w:rsid w:val="00013247"/>
    <w:rsid w:val="0001432E"/>
    <w:rsid w:val="000145D5"/>
    <w:rsid w:val="00015417"/>
    <w:rsid w:val="00015855"/>
    <w:rsid w:val="00015886"/>
    <w:rsid w:val="000162EF"/>
    <w:rsid w:val="00016BD8"/>
    <w:rsid w:val="00017134"/>
    <w:rsid w:val="000172D6"/>
    <w:rsid w:val="0001757B"/>
    <w:rsid w:val="00017DAE"/>
    <w:rsid w:val="0002001F"/>
    <w:rsid w:val="0002011B"/>
    <w:rsid w:val="000202B6"/>
    <w:rsid w:val="0002035B"/>
    <w:rsid w:val="000207C9"/>
    <w:rsid w:val="00020C3D"/>
    <w:rsid w:val="00022032"/>
    <w:rsid w:val="0002225F"/>
    <w:rsid w:val="00022D52"/>
    <w:rsid w:val="00022ED0"/>
    <w:rsid w:val="000230B9"/>
    <w:rsid w:val="0002329C"/>
    <w:rsid w:val="000236F9"/>
    <w:rsid w:val="00023763"/>
    <w:rsid w:val="00024B1D"/>
    <w:rsid w:val="00024EB5"/>
    <w:rsid w:val="000250E2"/>
    <w:rsid w:val="00025C58"/>
    <w:rsid w:val="00025F24"/>
    <w:rsid w:val="000274B8"/>
    <w:rsid w:val="000274F5"/>
    <w:rsid w:val="00027DA1"/>
    <w:rsid w:val="00031189"/>
    <w:rsid w:val="00031ABB"/>
    <w:rsid w:val="00031E3A"/>
    <w:rsid w:val="00032101"/>
    <w:rsid w:val="0003233B"/>
    <w:rsid w:val="000326D4"/>
    <w:rsid w:val="000327FE"/>
    <w:rsid w:val="00032DC6"/>
    <w:rsid w:val="000335CD"/>
    <w:rsid w:val="00033863"/>
    <w:rsid w:val="00033993"/>
    <w:rsid w:val="000345EA"/>
    <w:rsid w:val="00035BB1"/>
    <w:rsid w:val="00035DC0"/>
    <w:rsid w:val="000361C4"/>
    <w:rsid w:val="00036829"/>
    <w:rsid w:val="00036E31"/>
    <w:rsid w:val="00040895"/>
    <w:rsid w:val="000410A0"/>
    <w:rsid w:val="00042783"/>
    <w:rsid w:val="0004283A"/>
    <w:rsid w:val="00042B52"/>
    <w:rsid w:val="000435EE"/>
    <w:rsid w:val="000436BF"/>
    <w:rsid w:val="00043C37"/>
    <w:rsid w:val="00044320"/>
    <w:rsid w:val="0004446D"/>
    <w:rsid w:val="00044745"/>
    <w:rsid w:val="00044989"/>
    <w:rsid w:val="00045017"/>
    <w:rsid w:val="00045981"/>
    <w:rsid w:val="00045A2B"/>
    <w:rsid w:val="000461EB"/>
    <w:rsid w:val="000468EA"/>
    <w:rsid w:val="0004698F"/>
    <w:rsid w:val="00046B32"/>
    <w:rsid w:val="00046D64"/>
    <w:rsid w:val="00046E4C"/>
    <w:rsid w:val="00046E74"/>
    <w:rsid w:val="00047BC5"/>
    <w:rsid w:val="0005015F"/>
    <w:rsid w:val="00050497"/>
    <w:rsid w:val="000506AF"/>
    <w:rsid w:val="000508C2"/>
    <w:rsid w:val="00050946"/>
    <w:rsid w:val="000511DE"/>
    <w:rsid w:val="0005187F"/>
    <w:rsid w:val="000539D0"/>
    <w:rsid w:val="00053AD1"/>
    <w:rsid w:val="00054380"/>
    <w:rsid w:val="00054621"/>
    <w:rsid w:val="000546D7"/>
    <w:rsid w:val="00054720"/>
    <w:rsid w:val="0005494A"/>
    <w:rsid w:val="00054A8D"/>
    <w:rsid w:val="00054D52"/>
    <w:rsid w:val="00054F44"/>
    <w:rsid w:val="0005546B"/>
    <w:rsid w:val="0005559E"/>
    <w:rsid w:val="00055EE8"/>
    <w:rsid w:val="00056136"/>
    <w:rsid w:val="00056535"/>
    <w:rsid w:val="00056E1B"/>
    <w:rsid w:val="00056ECF"/>
    <w:rsid w:val="00057099"/>
    <w:rsid w:val="0005758B"/>
    <w:rsid w:val="00057BD8"/>
    <w:rsid w:val="00057BED"/>
    <w:rsid w:val="000604DF"/>
    <w:rsid w:val="0006077C"/>
    <w:rsid w:val="00060806"/>
    <w:rsid w:val="00060C59"/>
    <w:rsid w:val="00061416"/>
    <w:rsid w:val="000614B3"/>
    <w:rsid w:val="00061EB3"/>
    <w:rsid w:val="0006340D"/>
    <w:rsid w:val="000637DE"/>
    <w:rsid w:val="0006464A"/>
    <w:rsid w:val="00064D3E"/>
    <w:rsid w:val="00064DF5"/>
    <w:rsid w:val="00064F46"/>
    <w:rsid w:val="00064FFD"/>
    <w:rsid w:val="0006501E"/>
    <w:rsid w:val="000653B5"/>
    <w:rsid w:val="00066360"/>
    <w:rsid w:val="000664DE"/>
    <w:rsid w:val="00066AF8"/>
    <w:rsid w:val="00067014"/>
    <w:rsid w:val="000678FF"/>
    <w:rsid w:val="00067EB0"/>
    <w:rsid w:val="00067F11"/>
    <w:rsid w:val="0007051B"/>
    <w:rsid w:val="00071248"/>
    <w:rsid w:val="0007132D"/>
    <w:rsid w:val="00071763"/>
    <w:rsid w:val="00071A85"/>
    <w:rsid w:val="000720B9"/>
    <w:rsid w:val="00072363"/>
    <w:rsid w:val="00072C73"/>
    <w:rsid w:val="00073177"/>
    <w:rsid w:val="00073715"/>
    <w:rsid w:val="000737F7"/>
    <w:rsid w:val="000739E0"/>
    <w:rsid w:val="00073B4C"/>
    <w:rsid w:val="00073E78"/>
    <w:rsid w:val="0007405F"/>
    <w:rsid w:val="000745D1"/>
    <w:rsid w:val="00074623"/>
    <w:rsid w:val="000747EA"/>
    <w:rsid w:val="00074842"/>
    <w:rsid w:val="00074E84"/>
    <w:rsid w:val="00075A99"/>
    <w:rsid w:val="000762A3"/>
    <w:rsid w:val="0007635D"/>
    <w:rsid w:val="0007672F"/>
    <w:rsid w:val="0007683A"/>
    <w:rsid w:val="000769F5"/>
    <w:rsid w:val="00076B54"/>
    <w:rsid w:val="000774F0"/>
    <w:rsid w:val="0007759B"/>
    <w:rsid w:val="00077E64"/>
    <w:rsid w:val="0008047E"/>
    <w:rsid w:val="000807F9"/>
    <w:rsid w:val="00080909"/>
    <w:rsid w:val="0008112C"/>
    <w:rsid w:val="000812CA"/>
    <w:rsid w:val="000816BD"/>
    <w:rsid w:val="0008195B"/>
    <w:rsid w:val="00081D45"/>
    <w:rsid w:val="00081E63"/>
    <w:rsid w:val="00081E8A"/>
    <w:rsid w:val="000824FA"/>
    <w:rsid w:val="0008258D"/>
    <w:rsid w:val="00083929"/>
    <w:rsid w:val="000839C7"/>
    <w:rsid w:val="00083DD7"/>
    <w:rsid w:val="00083E99"/>
    <w:rsid w:val="00083FFD"/>
    <w:rsid w:val="000849F9"/>
    <w:rsid w:val="00084C72"/>
    <w:rsid w:val="00084CF0"/>
    <w:rsid w:val="00084FA8"/>
    <w:rsid w:val="0008557F"/>
    <w:rsid w:val="000856C5"/>
    <w:rsid w:val="00085C31"/>
    <w:rsid w:val="00086A24"/>
    <w:rsid w:val="00086DC2"/>
    <w:rsid w:val="00087501"/>
    <w:rsid w:val="000902D9"/>
    <w:rsid w:val="00090842"/>
    <w:rsid w:val="00090892"/>
    <w:rsid w:val="00090996"/>
    <w:rsid w:val="000909AA"/>
    <w:rsid w:val="00090C17"/>
    <w:rsid w:val="00090C7E"/>
    <w:rsid w:val="000911AC"/>
    <w:rsid w:val="0009251A"/>
    <w:rsid w:val="00092600"/>
    <w:rsid w:val="0009262B"/>
    <w:rsid w:val="00092DDB"/>
    <w:rsid w:val="0009318A"/>
    <w:rsid w:val="00093310"/>
    <w:rsid w:val="00093396"/>
    <w:rsid w:val="00093A0E"/>
    <w:rsid w:val="00093E39"/>
    <w:rsid w:val="0009416D"/>
    <w:rsid w:val="00094210"/>
    <w:rsid w:val="0009437B"/>
    <w:rsid w:val="0009445C"/>
    <w:rsid w:val="00094981"/>
    <w:rsid w:val="00094E64"/>
    <w:rsid w:val="00094EAB"/>
    <w:rsid w:val="00095200"/>
    <w:rsid w:val="00095D65"/>
    <w:rsid w:val="00095E8B"/>
    <w:rsid w:val="00095F17"/>
    <w:rsid w:val="00095F57"/>
    <w:rsid w:val="00095FE5"/>
    <w:rsid w:val="00096284"/>
    <w:rsid w:val="00096631"/>
    <w:rsid w:val="00096795"/>
    <w:rsid w:val="000968AB"/>
    <w:rsid w:val="00096CDA"/>
    <w:rsid w:val="0009751A"/>
    <w:rsid w:val="000978CB"/>
    <w:rsid w:val="00097C8E"/>
    <w:rsid w:val="00097D1F"/>
    <w:rsid w:val="00097FE0"/>
    <w:rsid w:val="000A06E9"/>
    <w:rsid w:val="000A0E04"/>
    <w:rsid w:val="000A1BC0"/>
    <w:rsid w:val="000A1E98"/>
    <w:rsid w:val="000A2A44"/>
    <w:rsid w:val="000A2F9E"/>
    <w:rsid w:val="000A3D5B"/>
    <w:rsid w:val="000A3E47"/>
    <w:rsid w:val="000A4A48"/>
    <w:rsid w:val="000A5012"/>
    <w:rsid w:val="000A50F3"/>
    <w:rsid w:val="000A522B"/>
    <w:rsid w:val="000A5B78"/>
    <w:rsid w:val="000A5C59"/>
    <w:rsid w:val="000A6039"/>
    <w:rsid w:val="000A64A9"/>
    <w:rsid w:val="000A6DAA"/>
    <w:rsid w:val="000A7015"/>
    <w:rsid w:val="000A7238"/>
    <w:rsid w:val="000A73CC"/>
    <w:rsid w:val="000A7453"/>
    <w:rsid w:val="000A7553"/>
    <w:rsid w:val="000A792D"/>
    <w:rsid w:val="000A7D08"/>
    <w:rsid w:val="000B0121"/>
    <w:rsid w:val="000B0670"/>
    <w:rsid w:val="000B0843"/>
    <w:rsid w:val="000B0E0F"/>
    <w:rsid w:val="000B0E75"/>
    <w:rsid w:val="000B1018"/>
    <w:rsid w:val="000B1CBB"/>
    <w:rsid w:val="000B2A43"/>
    <w:rsid w:val="000B2DCB"/>
    <w:rsid w:val="000B32E7"/>
    <w:rsid w:val="000B35D9"/>
    <w:rsid w:val="000B375F"/>
    <w:rsid w:val="000B4110"/>
    <w:rsid w:val="000B506A"/>
    <w:rsid w:val="000B5CE0"/>
    <w:rsid w:val="000B63F9"/>
    <w:rsid w:val="000B6644"/>
    <w:rsid w:val="000B6CAC"/>
    <w:rsid w:val="000B6E0A"/>
    <w:rsid w:val="000B7612"/>
    <w:rsid w:val="000B78AE"/>
    <w:rsid w:val="000B7E37"/>
    <w:rsid w:val="000C05C5"/>
    <w:rsid w:val="000C06CC"/>
    <w:rsid w:val="000C09E6"/>
    <w:rsid w:val="000C0C5C"/>
    <w:rsid w:val="000C0D50"/>
    <w:rsid w:val="000C2146"/>
    <w:rsid w:val="000C2383"/>
    <w:rsid w:val="000C2A6A"/>
    <w:rsid w:val="000C2C5C"/>
    <w:rsid w:val="000C2C93"/>
    <w:rsid w:val="000C35B6"/>
    <w:rsid w:val="000C37F8"/>
    <w:rsid w:val="000C3DF9"/>
    <w:rsid w:val="000C3E3E"/>
    <w:rsid w:val="000C4A02"/>
    <w:rsid w:val="000C4CF2"/>
    <w:rsid w:val="000C57A2"/>
    <w:rsid w:val="000C6147"/>
    <w:rsid w:val="000C6713"/>
    <w:rsid w:val="000C6F37"/>
    <w:rsid w:val="000C7664"/>
    <w:rsid w:val="000C77F7"/>
    <w:rsid w:val="000C7A1C"/>
    <w:rsid w:val="000C7EF7"/>
    <w:rsid w:val="000D1143"/>
    <w:rsid w:val="000D12C9"/>
    <w:rsid w:val="000D1BFC"/>
    <w:rsid w:val="000D1D5D"/>
    <w:rsid w:val="000D2229"/>
    <w:rsid w:val="000D24A5"/>
    <w:rsid w:val="000D281A"/>
    <w:rsid w:val="000D2848"/>
    <w:rsid w:val="000D28B8"/>
    <w:rsid w:val="000D28D9"/>
    <w:rsid w:val="000D28DB"/>
    <w:rsid w:val="000D2A53"/>
    <w:rsid w:val="000D2BED"/>
    <w:rsid w:val="000D2EEA"/>
    <w:rsid w:val="000D2EF0"/>
    <w:rsid w:val="000D326A"/>
    <w:rsid w:val="000D3EB5"/>
    <w:rsid w:val="000D40D7"/>
    <w:rsid w:val="000D44FD"/>
    <w:rsid w:val="000D51FB"/>
    <w:rsid w:val="000D57DD"/>
    <w:rsid w:val="000D6200"/>
    <w:rsid w:val="000D631E"/>
    <w:rsid w:val="000D6ED1"/>
    <w:rsid w:val="000D6F7E"/>
    <w:rsid w:val="000D7DBF"/>
    <w:rsid w:val="000D7F60"/>
    <w:rsid w:val="000E029F"/>
    <w:rsid w:val="000E0640"/>
    <w:rsid w:val="000E0E26"/>
    <w:rsid w:val="000E135D"/>
    <w:rsid w:val="000E136C"/>
    <w:rsid w:val="000E1851"/>
    <w:rsid w:val="000E262A"/>
    <w:rsid w:val="000E264A"/>
    <w:rsid w:val="000E265F"/>
    <w:rsid w:val="000E2BB6"/>
    <w:rsid w:val="000E2F4F"/>
    <w:rsid w:val="000E352B"/>
    <w:rsid w:val="000E4290"/>
    <w:rsid w:val="000E59D1"/>
    <w:rsid w:val="000E6ED0"/>
    <w:rsid w:val="000F00BA"/>
    <w:rsid w:val="000F087D"/>
    <w:rsid w:val="000F14D6"/>
    <w:rsid w:val="000F14F1"/>
    <w:rsid w:val="000F1966"/>
    <w:rsid w:val="000F199F"/>
    <w:rsid w:val="000F26B7"/>
    <w:rsid w:val="000F316A"/>
    <w:rsid w:val="000F3257"/>
    <w:rsid w:val="000F3C74"/>
    <w:rsid w:val="000F3DDB"/>
    <w:rsid w:val="000F4919"/>
    <w:rsid w:val="000F4BB8"/>
    <w:rsid w:val="000F4CA6"/>
    <w:rsid w:val="000F4FA9"/>
    <w:rsid w:val="000F53FB"/>
    <w:rsid w:val="000F565B"/>
    <w:rsid w:val="000F61CF"/>
    <w:rsid w:val="000F684A"/>
    <w:rsid w:val="000F6FEF"/>
    <w:rsid w:val="000F7127"/>
    <w:rsid w:val="000F7B54"/>
    <w:rsid w:val="001000B3"/>
    <w:rsid w:val="00100E3C"/>
    <w:rsid w:val="00100F8A"/>
    <w:rsid w:val="0010119D"/>
    <w:rsid w:val="001017CA"/>
    <w:rsid w:val="001022CE"/>
    <w:rsid w:val="001023D9"/>
    <w:rsid w:val="001024E7"/>
    <w:rsid w:val="0010278B"/>
    <w:rsid w:val="001030F3"/>
    <w:rsid w:val="00103227"/>
    <w:rsid w:val="001037E4"/>
    <w:rsid w:val="00104175"/>
    <w:rsid w:val="001041D9"/>
    <w:rsid w:val="0010442A"/>
    <w:rsid w:val="0010452E"/>
    <w:rsid w:val="00104A6D"/>
    <w:rsid w:val="00104BAD"/>
    <w:rsid w:val="00105713"/>
    <w:rsid w:val="00105823"/>
    <w:rsid w:val="00105ADC"/>
    <w:rsid w:val="00105AE2"/>
    <w:rsid w:val="001060C6"/>
    <w:rsid w:val="001062FD"/>
    <w:rsid w:val="001065CE"/>
    <w:rsid w:val="00106601"/>
    <w:rsid w:val="001067C1"/>
    <w:rsid w:val="00106B80"/>
    <w:rsid w:val="00106EC7"/>
    <w:rsid w:val="001076A4"/>
    <w:rsid w:val="00107919"/>
    <w:rsid w:val="0011032E"/>
    <w:rsid w:val="001114DE"/>
    <w:rsid w:val="00111699"/>
    <w:rsid w:val="0011198D"/>
    <w:rsid w:val="00112270"/>
    <w:rsid w:val="00112B4C"/>
    <w:rsid w:val="00113031"/>
    <w:rsid w:val="0011348B"/>
    <w:rsid w:val="0011366E"/>
    <w:rsid w:val="001137FC"/>
    <w:rsid w:val="0011411D"/>
    <w:rsid w:val="001143C0"/>
    <w:rsid w:val="00114580"/>
    <w:rsid w:val="00115982"/>
    <w:rsid w:val="00115EEF"/>
    <w:rsid w:val="00116C53"/>
    <w:rsid w:val="00116D80"/>
    <w:rsid w:val="00116FF5"/>
    <w:rsid w:val="00117070"/>
    <w:rsid w:val="00117F2A"/>
    <w:rsid w:val="00120A95"/>
    <w:rsid w:val="00120FBE"/>
    <w:rsid w:val="0012156F"/>
    <w:rsid w:val="00121799"/>
    <w:rsid w:val="001222FC"/>
    <w:rsid w:val="0012264D"/>
    <w:rsid w:val="00122786"/>
    <w:rsid w:val="00122DD1"/>
    <w:rsid w:val="00122EC6"/>
    <w:rsid w:val="001235E9"/>
    <w:rsid w:val="00123902"/>
    <w:rsid w:val="0012467A"/>
    <w:rsid w:val="0012493B"/>
    <w:rsid w:val="00124A51"/>
    <w:rsid w:val="00125312"/>
    <w:rsid w:val="00125607"/>
    <w:rsid w:val="00125760"/>
    <w:rsid w:val="00125856"/>
    <w:rsid w:val="00125EF7"/>
    <w:rsid w:val="00126562"/>
    <w:rsid w:val="00126621"/>
    <w:rsid w:val="00126B1D"/>
    <w:rsid w:val="001276BF"/>
    <w:rsid w:val="001301BE"/>
    <w:rsid w:val="001301E9"/>
    <w:rsid w:val="001302A1"/>
    <w:rsid w:val="00130D26"/>
    <w:rsid w:val="0013111F"/>
    <w:rsid w:val="00131D82"/>
    <w:rsid w:val="00132B22"/>
    <w:rsid w:val="00132D98"/>
    <w:rsid w:val="00133D36"/>
    <w:rsid w:val="001348AC"/>
    <w:rsid w:val="0013557F"/>
    <w:rsid w:val="00135AB0"/>
    <w:rsid w:val="00135F96"/>
    <w:rsid w:val="00136167"/>
    <w:rsid w:val="0013616A"/>
    <w:rsid w:val="00136414"/>
    <w:rsid w:val="001365DE"/>
    <w:rsid w:val="00137645"/>
    <w:rsid w:val="00137D98"/>
    <w:rsid w:val="0014015A"/>
    <w:rsid w:val="00140212"/>
    <w:rsid w:val="001404F1"/>
    <w:rsid w:val="0014084C"/>
    <w:rsid w:val="00140E6C"/>
    <w:rsid w:val="00140E99"/>
    <w:rsid w:val="001416F4"/>
    <w:rsid w:val="0014271A"/>
    <w:rsid w:val="00143F67"/>
    <w:rsid w:val="001445E1"/>
    <w:rsid w:val="001446F1"/>
    <w:rsid w:val="00145234"/>
    <w:rsid w:val="00145540"/>
    <w:rsid w:val="001456B0"/>
    <w:rsid w:val="0014572D"/>
    <w:rsid w:val="00146366"/>
    <w:rsid w:val="001467DD"/>
    <w:rsid w:val="001468BC"/>
    <w:rsid w:val="00146B2C"/>
    <w:rsid w:val="00146B38"/>
    <w:rsid w:val="00146B3E"/>
    <w:rsid w:val="001476A7"/>
    <w:rsid w:val="00147E0F"/>
    <w:rsid w:val="00147EDF"/>
    <w:rsid w:val="00150512"/>
    <w:rsid w:val="00151482"/>
    <w:rsid w:val="0015188F"/>
    <w:rsid w:val="00151F2C"/>
    <w:rsid w:val="00152052"/>
    <w:rsid w:val="00152D31"/>
    <w:rsid w:val="00153367"/>
    <w:rsid w:val="00153E0C"/>
    <w:rsid w:val="0015454D"/>
    <w:rsid w:val="0015461A"/>
    <w:rsid w:val="001547AB"/>
    <w:rsid w:val="00154AA9"/>
    <w:rsid w:val="00154B2C"/>
    <w:rsid w:val="00154CE2"/>
    <w:rsid w:val="001550DB"/>
    <w:rsid w:val="0015554A"/>
    <w:rsid w:val="00155553"/>
    <w:rsid w:val="00155611"/>
    <w:rsid w:val="001565CC"/>
    <w:rsid w:val="00156B0F"/>
    <w:rsid w:val="00156F44"/>
    <w:rsid w:val="00156F8F"/>
    <w:rsid w:val="00157130"/>
    <w:rsid w:val="00157133"/>
    <w:rsid w:val="00157256"/>
    <w:rsid w:val="00157692"/>
    <w:rsid w:val="001576B1"/>
    <w:rsid w:val="00157CDF"/>
    <w:rsid w:val="001601E5"/>
    <w:rsid w:val="0016031F"/>
    <w:rsid w:val="0016047B"/>
    <w:rsid w:val="001604CD"/>
    <w:rsid w:val="00160A4C"/>
    <w:rsid w:val="00160F40"/>
    <w:rsid w:val="00161435"/>
    <w:rsid w:val="00162809"/>
    <w:rsid w:val="00162913"/>
    <w:rsid w:val="0016328A"/>
    <w:rsid w:val="00163990"/>
    <w:rsid w:val="00163A17"/>
    <w:rsid w:val="00163EFF"/>
    <w:rsid w:val="00163F66"/>
    <w:rsid w:val="0016478E"/>
    <w:rsid w:val="00164C4D"/>
    <w:rsid w:val="00164C7F"/>
    <w:rsid w:val="00165150"/>
    <w:rsid w:val="00165AD7"/>
    <w:rsid w:val="00165E13"/>
    <w:rsid w:val="00165EC4"/>
    <w:rsid w:val="00165F5E"/>
    <w:rsid w:val="001661FB"/>
    <w:rsid w:val="00166A22"/>
    <w:rsid w:val="001671A0"/>
    <w:rsid w:val="001674DE"/>
    <w:rsid w:val="0016767F"/>
    <w:rsid w:val="00167ED9"/>
    <w:rsid w:val="001706D9"/>
    <w:rsid w:val="00170B2E"/>
    <w:rsid w:val="00170BC6"/>
    <w:rsid w:val="001713C1"/>
    <w:rsid w:val="00172896"/>
    <w:rsid w:val="00172C97"/>
    <w:rsid w:val="00172DCE"/>
    <w:rsid w:val="00172F72"/>
    <w:rsid w:val="00173565"/>
    <w:rsid w:val="00173B07"/>
    <w:rsid w:val="001746C9"/>
    <w:rsid w:val="00174911"/>
    <w:rsid w:val="00174AB5"/>
    <w:rsid w:val="0017508F"/>
    <w:rsid w:val="001751FA"/>
    <w:rsid w:val="001752DF"/>
    <w:rsid w:val="001752EC"/>
    <w:rsid w:val="001753C3"/>
    <w:rsid w:val="001757A5"/>
    <w:rsid w:val="00175F06"/>
    <w:rsid w:val="00176109"/>
    <w:rsid w:val="00176772"/>
    <w:rsid w:val="001768DC"/>
    <w:rsid w:val="00176B0F"/>
    <w:rsid w:val="00176BDA"/>
    <w:rsid w:val="00176F3E"/>
    <w:rsid w:val="001773B1"/>
    <w:rsid w:val="001774C3"/>
    <w:rsid w:val="00180A7D"/>
    <w:rsid w:val="00181330"/>
    <w:rsid w:val="00181C10"/>
    <w:rsid w:val="00181D9C"/>
    <w:rsid w:val="0018211B"/>
    <w:rsid w:val="001821FF"/>
    <w:rsid w:val="001824DD"/>
    <w:rsid w:val="001825DB"/>
    <w:rsid w:val="001828E1"/>
    <w:rsid w:val="00182A46"/>
    <w:rsid w:val="00182DEE"/>
    <w:rsid w:val="0018360D"/>
    <w:rsid w:val="00183737"/>
    <w:rsid w:val="001837FF"/>
    <w:rsid w:val="0018434C"/>
    <w:rsid w:val="00184B0E"/>
    <w:rsid w:val="00184BA4"/>
    <w:rsid w:val="001859C7"/>
    <w:rsid w:val="00185AA5"/>
    <w:rsid w:val="00185D24"/>
    <w:rsid w:val="00185E2B"/>
    <w:rsid w:val="00186434"/>
    <w:rsid w:val="001865DE"/>
    <w:rsid w:val="00187023"/>
    <w:rsid w:val="0018752F"/>
    <w:rsid w:val="0018759C"/>
    <w:rsid w:val="00187744"/>
    <w:rsid w:val="001879AC"/>
    <w:rsid w:val="001879EF"/>
    <w:rsid w:val="0019288B"/>
    <w:rsid w:val="001928F2"/>
    <w:rsid w:val="00192D16"/>
    <w:rsid w:val="00193443"/>
    <w:rsid w:val="00193449"/>
    <w:rsid w:val="00193838"/>
    <w:rsid w:val="00193DF7"/>
    <w:rsid w:val="00193F78"/>
    <w:rsid w:val="0019453E"/>
    <w:rsid w:val="001947C0"/>
    <w:rsid w:val="00194AD8"/>
    <w:rsid w:val="00194B08"/>
    <w:rsid w:val="00194D26"/>
    <w:rsid w:val="00194D6E"/>
    <w:rsid w:val="00194EE9"/>
    <w:rsid w:val="00195222"/>
    <w:rsid w:val="00195452"/>
    <w:rsid w:val="0019638D"/>
    <w:rsid w:val="001963C3"/>
    <w:rsid w:val="00196680"/>
    <w:rsid w:val="00196AF5"/>
    <w:rsid w:val="001975D8"/>
    <w:rsid w:val="00197713"/>
    <w:rsid w:val="00197ABC"/>
    <w:rsid w:val="001A030C"/>
    <w:rsid w:val="001A178E"/>
    <w:rsid w:val="001A1F55"/>
    <w:rsid w:val="001A374C"/>
    <w:rsid w:val="001A3D47"/>
    <w:rsid w:val="001A43FA"/>
    <w:rsid w:val="001A47C5"/>
    <w:rsid w:val="001A4DA5"/>
    <w:rsid w:val="001A565F"/>
    <w:rsid w:val="001A57AB"/>
    <w:rsid w:val="001A59FB"/>
    <w:rsid w:val="001A5A97"/>
    <w:rsid w:val="001A5E9E"/>
    <w:rsid w:val="001A5FC7"/>
    <w:rsid w:val="001A6341"/>
    <w:rsid w:val="001A6354"/>
    <w:rsid w:val="001A6366"/>
    <w:rsid w:val="001A642C"/>
    <w:rsid w:val="001A67B8"/>
    <w:rsid w:val="001A6D02"/>
    <w:rsid w:val="001A6E41"/>
    <w:rsid w:val="001A7820"/>
    <w:rsid w:val="001A7AE8"/>
    <w:rsid w:val="001B0096"/>
    <w:rsid w:val="001B04FF"/>
    <w:rsid w:val="001B0C7E"/>
    <w:rsid w:val="001B0D88"/>
    <w:rsid w:val="001B13BC"/>
    <w:rsid w:val="001B1DDF"/>
    <w:rsid w:val="001B1E1B"/>
    <w:rsid w:val="001B204E"/>
    <w:rsid w:val="001B2102"/>
    <w:rsid w:val="001B22C7"/>
    <w:rsid w:val="001B2372"/>
    <w:rsid w:val="001B23D6"/>
    <w:rsid w:val="001B26AC"/>
    <w:rsid w:val="001B2755"/>
    <w:rsid w:val="001B2B6E"/>
    <w:rsid w:val="001B2FC5"/>
    <w:rsid w:val="001B3058"/>
    <w:rsid w:val="001B3443"/>
    <w:rsid w:val="001B34F7"/>
    <w:rsid w:val="001B3A59"/>
    <w:rsid w:val="001B4D20"/>
    <w:rsid w:val="001B5919"/>
    <w:rsid w:val="001B5CCE"/>
    <w:rsid w:val="001B6335"/>
    <w:rsid w:val="001B657D"/>
    <w:rsid w:val="001B6604"/>
    <w:rsid w:val="001B7009"/>
    <w:rsid w:val="001B7610"/>
    <w:rsid w:val="001B785B"/>
    <w:rsid w:val="001B7F84"/>
    <w:rsid w:val="001C0134"/>
    <w:rsid w:val="001C06C7"/>
    <w:rsid w:val="001C08B0"/>
    <w:rsid w:val="001C132A"/>
    <w:rsid w:val="001C1448"/>
    <w:rsid w:val="001C1672"/>
    <w:rsid w:val="001C17E4"/>
    <w:rsid w:val="001C1A9D"/>
    <w:rsid w:val="001C251E"/>
    <w:rsid w:val="001C27BE"/>
    <w:rsid w:val="001C2A9B"/>
    <w:rsid w:val="001C2F55"/>
    <w:rsid w:val="001C3DD6"/>
    <w:rsid w:val="001C4093"/>
    <w:rsid w:val="001C4299"/>
    <w:rsid w:val="001C4620"/>
    <w:rsid w:val="001C4874"/>
    <w:rsid w:val="001C57DF"/>
    <w:rsid w:val="001C5F94"/>
    <w:rsid w:val="001C61AB"/>
    <w:rsid w:val="001C663B"/>
    <w:rsid w:val="001C69FE"/>
    <w:rsid w:val="001C6E66"/>
    <w:rsid w:val="001C6FAC"/>
    <w:rsid w:val="001C7987"/>
    <w:rsid w:val="001C7E98"/>
    <w:rsid w:val="001D0C7D"/>
    <w:rsid w:val="001D1100"/>
    <w:rsid w:val="001D1391"/>
    <w:rsid w:val="001D1E16"/>
    <w:rsid w:val="001D216A"/>
    <w:rsid w:val="001D226F"/>
    <w:rsid w:val="001D255D"/>
    <w:rsid w:val="001D25D7"/>
    <w:rsid w:val="001D294D"/>
    <w:rsid w:val="001D2AF1"/>
    <w:rsid w:val="001D3207"/>
    <w:rsid w:val="001D3A43"/>
    <w:rsid w:val="001D3C6A"/>
    <w:rsid w:val="001D3CB6"/>
    <w:rsid w:val="001D4087"/>
    <w:rsid w:val="001D4E70"/>
    <w:rsid w:val="001D50B2"/>
    <w:rsid w:val="001D5553"/>
    <w:rsid w:val="001D61BD"/>
    <w:rsid w:val="001D62A2"/>
    <w:rsid w:val="001D6551"/>
    <w:rsid w:val="001D7150"/>
    <w:rsid w:val="001D71F4"/>
    <w:rsid w:val="001D7639"/>
    <w:rsid w:val="001D7645"/>
    <w:rsid w:val="001D787F"/>
    <w:rsid w:val="001D7B79"/>
    <w:rsid w:val="001E050B"/>
    <w:rsid w:val="001E1E86"/>
    <w:rsid w:val="001E238E"/>
    <w:rsid w:val="001E2483"/>
    <w:rsid w:val="001E28A5"/>
    <w:rsid w:val="001E2AF0"/>
    <w:rsid w:val="001E2B1E"/>
    <w:rsid w:val="001E2CFF"/>
    <w:rsid w:val="001E2F24"/>
    <w:rsid w:val="001E30D4"/>
    <w:rsid w:val="001E34DF"/>
    <w:rsid w:val="001E44B6"/>
    <w:rsid w:val="001E47FC"/>
    <w:rsid w:val="001E4BF4"/>
    <w:rsid w:val="001E5137"/>
    <w:rsid w:val="001E52EB"/>
    <w:rsid w:val="001E56E6"/>
    <w:rsid w:val="001E5EDE"/>
    <w:rsid w:val="001E61D2"/>
    <w:rsid w:val="001E67B3"/>
    <w:rsid w:val="001E6935"/>
    <w:rsid w:val="001E6B76"/>
    <w:rsid w:val="001E7226"/>
    <w:rsid w:val="001E740C"/>
    <w:rsid w:val="001E7B56"/>
    <w:rsid w:val="001F1235"/>
    <w:rsid w:val="001F12AF"/>
    <w:rsid w:val="001F1CB3"/>
    <w:rsid w:val="001F202C"/>
    <w:rsid w:val="001F22E6"/>
    <w:rsid w:val="001F28A8"/>
    <w:rsid w:val="001F2BC1"/>
    <w:rsid w:val="001F3059"/>
    <w:rsid w:val="001F38B5"/>
    <w:rsid w:val="001F3E51"/>
    <w:rsid w:val="001F3EE6"/>
    <w:rsid w:val="001F4081"/>
    <w:rsid w:val="001F4B22"/>
    <w:rsid w:val="001F5088"/>
    <w:rsid w:val="001F564E"/>
    <w:rsid w:val="001F58F6"/>
    <w:rsid w:val="001F6AD2"/>
    <w:rsid w:val="001F71D6"/>
    <w:rsid w:val="001F7361"/>
    <w:rsid w:val="001F7B6C"/>
    <w:rsid w:val="001F9936"/>
    <w:rsid w:val="00200027"/>
    <w:rsid w:val="002004EE"/>
    <w:rsid w:val="00200984"/>
    <w:rsid w:val="002011B0"/>
    <w:rsid w:val="00201612"/>
    <w:rsid w:val="00201E2E"/>
    <w:rsid w:val="00202937"/>
    <w:rsid w:val="00202B24"/>
    <w:rsid w:val="00202BC3"/>
    <w:rsid w:val="00203181"/>
    <w:rsid w:val="00203567"/>
    <w:rsid w:val="00203783"/>
    <w:rsid w:val="0020385F"/>
    <w:rsid w:val="00203ADB"/>
    <w:rsid w:val="00203D50"/>
    <w:rsid w:val="002054BD"/>
    <w:rsid w:val="00205558"/>
    <w:rsid w:val="0020555B"/>
    <w:rsid w:val="002065B9"/>
    <w:rsid w:val="002068A0"/>
    <w:rsid w:val="00206D72"/>
    <w:rsid w:val="00207021"/>
    <w:rsid w:val="0020732F"/>
    <w:rsid w:val="00207BB0"/>
    <w:rsid w:val="00207D00"/>
    <w:rsid w:val="00207F51"/>
    <w:rsid w:val="002103FE"/>
    <w:rsid w:val="002105C1"/>
    <w:rsid w:val="0021071B"/>
    <w:rsid w:val="00210EB7"/>
    <w:rsid w:val="002111FE"/>
    <w:rsid w:val="002115A3"/>
    <w:rsid w:val="002116FD"/>
    <w:rsid w:val="00211A65"/>
    <w:rsid w:val="00211F8F"/>
    <w:rsid w:val="002122FE"/>
    <w:rsid w:val="0021263E"/>
    <w:rsid w:val="0021281C"/>
    <w:rsid w:val="0021288B"/>
    <w:rsid w:val="00212974"/>
    <w:rsid w:val="00213082"/>
    <w:rsid w:val="002135A5"/>
    <w:rsid w:val="002135B3"/>
    <w:rsid w:val="0021360A"/>
    <w:rsid w:val="002137B1"/>
    <w:rsid w:val="00213B9B"/>
    <w:rsid w:val="00213CB4"/>
    <w:rsid w:val="00213EF5"/>
    <w:rsid w:val="00214278"/>
    <w:rsid w:val="002142F6"/>
    <w:rsid w:val="002157C7"/>
    <w:rsid w:val="00216B9F"/>
    <w:rsid w:val="00216BF5"/>
    <w:rsid w:val="00216C5F"/>
    <w:rsid w:val="00217028"/>
    <w:rsid w:val="00217A51"/>
    <w:rsid w:val="00220C39"/>
    <w:rsid w:val="00221ED1"/>
    <w:rsid w:val="00222635"/>
    <w:rsid w:val="00222ADE"/>
    <w:rsid w:val="00222C4B"/>
    <w:rsid w:val="00222D31"/>
    <w:rsid w:val="00222FC5"/>
    <w:rsid w:val="00222FE5"/>
    <w:rsid w:val="002233F7"/>
    <w:rsid w:val="00223B49"/>
    <w:rsid w:val="00223D5A"/>
    <w:rsid w:val="00223F05"/>
    <w:rsid w:val="00224422"/>
    <w:rsid w:val="002249F3"/>
    <w:rsid w:val="00224DD4"/>
    <w:rsid w:val="00225202"/>
    <w:rsid w:val="00225B84"/>
    <w:rsid w:val="00226596"/>
    <w:rsid w:val="002266C8"/>
    <w:rsid w:val="00227703"/>
    <w:rsid w:val="002278A0"/>
    <w:rsid w:val="00230204"/>
    <w:rsid w:val="002309CC"/>
    <w:rsid w:val="00230D45"/>
    <w:rsid w:val="00231380"/>
    <w:rsid w:val="00231BA9"/>
    <w:rsid w:val="0023209F"/>
    <w:rsid w:val="00232100"/>
    <w:rsid w:val="00232126"/>
    <w:rsid w:val="00232E4B"/>
    <w:rsid w:val="00233C01"/>
    <w:rsid w:val="002340CD"/>
    <w:rsid w:val="0023413C"/>
    <w:rsid w:val="00234570"/>
    <w:rsid w:val="002346F0"/>
    <w:rsid w:val="00234A4A"/>
    <w:rsid w:val="00235571"/>
    <w:rsid w:val="0023571C"/>
    <w:rsid w:val="00236092"/>
    <w:rsid w:val="0023629D"/>
    <w:rsid w:val="00237255"/>
    <w:rsid w:val="002373F8"/>
    <w:rsid w:val="00237501"/>
    <w:rsid w:val="00237982"/>
    <w:rsid w:val="00237FE4"/>
    <w:rsid w:val="002403EB"/>
    <w:rsid w:val="002407F3"/>
    <w:rsid w:val="002409E4"/>
    <w:rsid w:val="002424AF"/>
    <w:rsid w:val="002428F5"/>
    <w:rsid w:val="00243311"/>
    <w:rsid w:val="002438AE"/>
    <w:rsid w:val="002439DC"/>
    <w:rsid w:val="002441D2"/>
    <w:rsid w:val="00244874"/>
    <w:rsid w:val="00244DC8"/>
    <w:rsid w:val="002452A5"/>
    <w:rsid w:val="00245363"/>
    <w:rsid w:val="002458BA"/>
    <w:rsid w:val="00245CE9"/>
    <w:rsid w:val="0024612F"/>
    <w:rsid w:val="0024636C"/>
    <w:rsid w:val="002467B9"/>
    <w:rsid w:val="00246957"/>
    <w:rsid w:val="00246FC6"/>
    <w:rsid w:val="00246FD8"/>
    <w:rsid w:val="00247925"/>
    <w:rsid w:val="00247B54"/>
    <w:rsid w:val="002508E5"/>
    <w:rsid w:val="00250D4C"/>
    <w:rsid w:val="00251006"/>
    <w:rsid w:val="002511E6"/>
    <w:rsid w:val="0025135A"/>
    <w:rsid w:val="0025143D"/>
    <w:rsid w:val="002521FB"/>
    <w:rsid w:val="002524D5"/>
    <w:rsid w:val="00252712"/>
    <w:rsid w:val="0025271E"/>
    <w:rsid w:val="00252965"/>
    <w:rsid w:val="002529C1"/>
    <w:rsid w:val="00252A05"/>
    <w:rsid w:val="00252D68"/>
    <w:rsid w:val="00253345"/>
    <w:rsid w:val="00253B1D"/>
    <w:rsid w:val="00253BD3"/>
    <w:rsid w:val="00254414"/>
    <w:rsid w:val="00254B12"/>
    <w:rsid w:val="00254DCF"/>
    <w:rsid w:val="0025534B"/>
    <w:rsid w:val="00255BB7"/>
    <w:rsid w:val="00255D97"/>
    <w:rsid w:val="00256267"/>
    <w:rsid w:val="002564A3"/>
    <w:rsid w:val="0025659C"/>
    <w:rsid w:val="00257541"/>
    <w:rsid w:val="002578DB"/>
    <w:rsid w:val="00257A39"/>
    <w:rsid w:val="00257AC4"/>
    <w:rsid w:val="00257B2F"/>
    <w:rsid w:val="00257BBE"/>
    <w:rsid w:val="00260180"/>
    <w:rsid w:val="002615B0"/>
    <w:rsid w:val="00261EEF"/>
    <w:rsid w:val="00262090"/>
    <w:rsid w:val="00262A1A"/>
    <w:rsid w:val="00262A87"/>
    <w:rsid w:val="002634C9"/>
    <w:rsid w:val="00263AF0"/>
    <w:rsid w:val="00263CEC"/>
    <w:rsid w:val="00264D26"/>
    <w:rsid w:val="00265442"/>
    <w:rsid w:val="00265CF0"/>
    <w:rsid w:val="00266506"/>
    <w:rsid w:val="0026652D"/>
    <w:rsid w:val="00266798"/>
    <w:rsid w:val="002667E9"/>
    <w:rsid w:val="00266D6B"/>
    <w:rsid w:val="00267642"/>
    <w:rsid w:val="00267AEA"/>
    <w:rsid w:val="002700E6"/>
    <w:rsid w:val="00270FA3"/>
    <w:rsid w:val="002712D5"/>
    <w:rsid w:val="0027140E"/>
    <w:rsid w:val="0027199A"/>
    <w:rsid w:val="00271D8E"/>
    <w:rsid w:val="00272680"/>
    <w:rsid w:val="002728F5"/>
    <w:rsid w:val="0027294B"/>
    <w:rsid w:val="00273EB4"/>
    <w:rsid w:val="00273F1D"/>
    <w:rsid w:val="0027404A"/>
    <w:rsid w:val="00274364"/>
    <w:rsid w:val="00274682"/>
    <w:rsid w:val="00274C5F"/>
    <w:rsid w:val="00275158"/>
    <w:rsid w:val="00275260"/>
    <w:rsid w:val="00275C5A"/>
    <w:rsid w:val="00276697"/>
    <w:rsid w:val="002768F0"/>
    <w:rsid w:val="00276DF4"/>
    <w:rsid w:val="00276F6E"/>
    <w:rsid w:val="00280321"/>
    <w:rsid w:val="002809A9"/>
    <w:rsid w:val="00281014"/>
    <w:rsid w:val="00281732"/>
    <w:rsid w:val="00281C64"/>
    <w:rsid w:val="00282021"/>
    <w:rsid w:val="0028206C"/>
    <w:rsid w:val="00282082"/>
    <w:rsid w:val="0028252C"/>
    <w:rsid w:val="00283188"/>
    <w:rsid w:val="0028336D"/>
    <w:rsid w:val="00283EF8"/>
    <w:rsid w:val="00284072"/>
    <w:rsid w:val="002847D2"/>
    <w:rsid w:val="00284CAE"/>
    <w:rsid w:val="00285028"/>
    <w:rsid w:val="0028508B"/>
    <w:rsid w:val="002856D8"/>
    <w:rsid w:val="00285BCE"/>
    <w:rsid w:val="00285F5B"/>
    <w:rsid w:val="0028665D"/>
    <w:rsid w:val="002867DC"/>
    <w:rsid w:val="00286BF8"/>
    <w:rsid w:val="00287828"/>
    <w:rsid w:val="00290EBF"/>
    <w:rsid w:val="002911FD"/>
    <w:rsid w:val="002917D7"/>
    <w:rsid w:val="00291BD8"/>
    <w:rsid w:val="00291BE0"/>
    <w:rsid w:val="00291F7F"/>
    <w:rsid w:val="00292454"/>
    <w:rsid w:val="00292BB7"/>
    <w:rsid w:val="0029304F"/>
    <w:rsid w:val="00293BE6"/>
    <w:rsid w:val="00293F3E"/>
    <w:rsid w:val="00294DDE"/>
    <w:rsid w:val="0029502D"/>
    <w:rsid w:val="002956F9"/>
    <w:rsid w:val="00295781"/>
    <w:rsid w:val="002958DE"/>
    <w:rsid w:val="00295A43"/>
    <w:rsid w:val="00295BF5"/>
    <w:rsid w:val="00295DF6"/>
    <w:rsid w:val="002966FC"/>
    <w:rsid w:val="00296732"/>
    <w:rsid w:val="0029738A"/>
    <w:rsid w:val="00297469"/>
    <w:rsid w:val="00297604"/>
    <w:rsid w:val="002A0C40"/>
    <w:rsid w:val="002A0E93"/>
    <w:rsid w:val="002A0F8C"/>
    <w:rsid w:val="002A11D2"/>
    <w:rsid w:val="002A14AB"/>
    <w:rsid w:val="002A1D27"/>
    <w:rsid w:val="002A2871"/>
    <w:rsid w:val="002A2ADE"/>
    <w:rsid w:val="002A2B20"/>
    <w:rsid w:val="002A2BBD"/>
    <w:rsid w:val="002A2F50"/>
    <w:rsid w:val="002A322C"/>
    <w:rsid w:val="002A39F1"/>
    <w:rsid w:val="002A4643"/>
    <w:rsid w:val="002A4BE5"/>
    <w:rsid w:val="002A5004"/>
    <w:rsid w:val="002A63A1"/>
    <w:rsid w:val="002A6DB3"/>
    <w:rsid w:val="002A7943"/>
    <w:rsid w:val="002B05A1"/>
    <w:rsid w:val="002B0654"/>
    <w:rsid w:val="002B06D0"/>
    <w:rsid w:val="002B09A4"/>
    <w:rsid w:val="002B0F83"/>
    <w:rsid w:val="002B13A1"/>
    <w:rsid w:val="002B18BE"/>
    <w:rsid w:val="002B1A77"/>
    <w:rsid w:val="002B1C1F"/>
    <w:rsid w:val="002B1E8A"/>
    <w:rsid w:val="002B1FC3"/>
    <w:rsid w:val="002B20ED"/>
    <w:rsid w:val="002B2113"/>
    <w:rsid w:val="002B211D"/>
    <w:rsid w:val="002B2D4B"/>
    <w:rsid w:val="002B2E08"/>
    <w:rsid w:val="002B365D"/>
    <w:rsid w:val="002B3A7C"/>
    <w:rsid w:val="002B3E36"/>
    <w:rsid w:val="002B3F4D"/>
    <w:rsid w:val="002B432F"/>
    <w:rsid w:val="002B487A"/>
    <w:rsid w:val="002B4EF4"/>
    <w:rsid w:val="002B4F82"/>
    <w:rsid w:val="002B52A2"/>
    <w:rsid w:val="002B62B3"/>
    <w:rsid w:val="002B6754"/>
    <w:rsid w:val="002B68AA"/>
    <w:rsid w:val="002B6CCE"/>
    <w:rsid w:val="002B734F"/>
    <w:rsid w:val="002B7DAC"/>
    <w:rsid w:val="002C04CC"/>
    <w:rsid w:val="002C0527"/>
    <w:rsid w:val="002C0FBA"/>
    <w:rsid w:val="002C12A2"/>
    <w:rsid w:val="002C1C2F"/>
    <w:rsid w:val="002C2510"/>
    <w:rsid w:val="002C2775"/>
    <w:rsid w:val="002C27C1"/>
    <w:rsid w:val="002C2958"/>
    <w:rsid w:val="002C3188"/>
    <w:rsid w:val="002C36E3"/>
    <w:rsid w:val="002C3CFE"/>
    <w:rsid w:val="002C3D5A"/>
    <w:rsid w:val="002C4222"/>
    <w:rsid w:val="002C469D"/>
    <w:rsid w:val="002C476C"/>
    <w:rsid w:val="002C4890"/>
    <w:rsid w:val="002C4ADA"/>
    <w:rsid w:val="002C4D7B"/>
    <w:rsid w:val="002C5099"/>
    <w:rsid w:val="002C5533"/>
    <w:rsid w:val="002C5889"/>
    <w:rsid w:val="002C6578"/>
    <w:rsid w:val="002C71CE"/>
    <w:rsid w:val="002D07A1"/>
    <w:rsid w:val="002D08F8"/>
    <w:rsid w:val="002D19D0"/>
    <w:rsid w:val="002D239E"/>
    <w:rsid w:val="002D290D"/>
    <w:rsid w:val="002D2B96"/>
    <w:rsid w:val="002D2C70"/>
    <w:rsid w:val="002D2EF4"/>
    <w:rsid w:val="002D2FEB"/>
    <w:rsid w:val="002D3028"/>
    <w:rsid w:val="002D314D"/>
    <w:rsid w:val="002D44C2"/>
    <w:rsid w:val="002D44DF"/>
    <w:rsid w:val="002D45AD"/>
    <w:rsid w:val="002D4661"/>
    <w:rsid w:val="002D4D0B"/>
    <w:rsid w:val="002D4D9E"/>
    <w:rsid w:val="002D4E15"/>
    <w:rsid w:val="002D4E98"/>
    <w:rsid w:val="002D56A7"/>
    <w:rsid w:val="002D577C"/>
    <w:rsid w:val="002D695C"/>
    <w:rsid w:val="002D69A1"/>
    <w:rsid w:val="002D6A59"/>
    <w:rsid w:val="002D6B68"/>
    <w:rsid w:val="002D7029"/>
    <w:rsid w:val="002D7416"/>
    <w:rsid w:val="002D7832"/>
    <w:rsid w:val="002D7E54"/>
    <w:rsid w:val="002E068D"/>
    <w:rsid w:val="002E0A6F"/>
    <w:rsid w:val="002E0DF4"/>
    <w:rsid w:val="002E1071"/>
    <w:rsid w:val="002E134D"/>
    <w:rsid w:val="002E15B9"/>
    <w:rsid w:val="002E1D7C"/>
    <w:rsid w:val="002E1E97"/>
    <w:rsid w:val="002E2158"/>
    <w:rsid w:val="002E28DF"/>
    <w:rsid w:val="002E2A82"/>
    <w:rsid w:val="002E2CCC"/>
    <w:rsid w:val="002E31C5"/>
    <w:rsid w:val="002E34B7"/>
    <w:rsid w:val="002E3727"/>
    <w:rsid w:val="002E3A93"/>
    <w:rsid w:val="002E4986"/>
    <w:rsid w:val="002E4AD2"/>
    <w:rsid w:val="002E4F02"/>
    <w:rsid w:val="002E5203"/>
    <w:rsid w:val="002E573C"/>
    <w:rsid w:val="002E5801"/>
    <w:rsid w:val="002E60F6"/>
    <w:rsid w:val="002E62EA"/>
    <w:rsid w:val="002E7679"/>
    <w:rsid w:val="002E7722"/>
    <w:rsid w:val="002E7A3B"/>
    <w:rsid w:val="002E7EBE"/>
    <w:rsid w:val="002F0277"/>
    <w:rsid w:val="002F07BA"/>
    <w:rsid w:val="002F0DA9"/>
    <w:rsid w:val="002F1014"/>
    <w:rsid w:val="002F1458"/>
    <w:rsid w:val="002F1E3B"/>
    <w:rsid w:val="002F1E45"/>
    <w:rsid w:val="002F2BE7"/>
    <w:rsid w:val="002F300C"/>
    <w:rsid w:val="002F3392"/>
    <w:rsid w:val="002F39D1"/>
    <w:rsid w:val="002F4648"/>
    <w:rsid w:val="002F4B44"/>
    <w:rsid w:val="002F4F5A"/>
    <w:rsid w:val="002F57FD"/>
    <w:rsid w:val="002F640D"/>
    <w:rsid w:val="002F643C"/>
    <w:rsid w:val="002F6929"/>
    <w:rsid w:val="002F6D10"/>
    <w:rsid w:val="002F6D49"/>
    <w:rsid w:val="002F71C0"/>
    <w:rsid w:val="002F74F1"/>
    <w:rsid w:val="002F7B69"/>
    <w:rsid w:val="0030025A"/>
    <w:rsid w:val="0030074F"/>
    <w:rsid w:val="00301017"/>
    <w:rsid w:val="0030155F"/>
    <w:rsid w:val="00301877"/>
    <w:rsid w:val="003018F6"/>
    <w:rsid w:val="003019AD"/>
    <w:rsid w:val="00301C17"/>
    <w:rsid w:val="00302962"/>
    <w:rsid w:val="003041BF"/>
    <w:rsid w:val="003052C0"/>
    <w:rsid w:val="003055B5"/>
    <w:rsid w:val="00305642"/>
    <w:rsid w:val="0030587B"/>
    <w:rsid w:val="00305D04"/>
    <w:rsid w:val="0030682D"/>
    <w:rsid w:val="00306D98"/>
    <w:rsid w:val="0030786C"/>
    <w:rsid w:val="00307AE2"/>
    <w:rsid w:val="0031031A"/>
    <w:rsid w:val="0031046E"/>
    <w:rsid w:val="003104DE"/>
    <w:rsid w:val="0031050C"/>
    <w:rsid w:val="00310981"/>
    <w:rsid w:val="00310C80"/>
    <w:rsid w:val="003114EF"/>
    <w:rsid w:val="0031151E"/>
    <w:rsid w:val="00311D9B"/>
    <w:rsid w:val="003124D9"/>
    <w:rsid w:val="0031256F"/>
    <w:rsid w:val="00312594"/>
    <w:rsid w:val="00312C20"/>
    <w:rsid w:val="003131BD"/>
    <w:rsid w:val="0031383B"/>
    <w:rsid w:val="00313E7C"/>
    <w:rsid w:val="003146A1"/>
    <w:rsid w:val="00314D2B"/>
    <w:rsid w:val="00315498"/>
    <w:rsid w:val="00315604"/>
    <w:rsid w:val="00315EAF"/>
    <w:rsid w:val="00316474"/>
    <w:rsid w:val="00316523"/>
    <w:rsid w:val="00316683"/>
    <w:rsid w:val="00316872"/>
    <w:rsid w:val="0031762F"/>
    <w:rsid w:val="003202E6"/>
    <w:rsid w:val="00320423"/>
    <w:rsid w:val="003211EE"/>
    <w:rsid w:val="003213EF"/>
    <w:rsid w:val="00321750"/>
    <w:rsid w:val="00322107"/>
    <w:rsid w:val="00322204"/>
    <w:rsid w:val="00322355"/>
    <w:rsid w:val="003227A1"/>
    <w:rsid w:val="00322846"/>
    <w:rsid w:val="00322849"/>
    <w:rsid w:val="00322879"/>
    <w:rsid w:val="00322D6D"/>
    <w:rsid w:val="0032486A"/>
    <w:rsid w:val="00324C39"/>
    <w:rsid w:val="00325550"/>
    <w:rsid w:val="003258C6"/>
    <w:rsid w:val="00325998"/>
    <w:rsid w:val="00325A63"/>
    <w:rsid w:val="00325E5E"/>
    <w:rsid w:val="003262CA"/>
    <w:rsid w:val="00326521"/>
    <w:rsid w:val="00326C36"/>
    <w:rsid w:val="00326D2D"/>
    <w:rsid w:val="00326DA7"/>
    <w:rsid w:val="00326F50"/>
    <w:rsid w:val="003270E4"/>
    <w:rsid w:val="0032756E"/>
    <w:rsid w:val="0032768C"/>
    <w:rsid w:val="00330283"/>
    <w:rsid w:val="00330DA4"/>
    <w:rsid w:val="00330DAA"/>
    <w:rsid w:val="00330F5C"/>
    <w:rsid w:val="003310DA"/>
    <w:rsid w:val="00332170"/>
    <w:rsid w:val="0033229E"/>
    <w:rsid w:val="00332B63"/>
    <w:rsid w:val="003334AA"/>
    <w:rsid w:val="003346FC"/>
    <w:rsid w:val="003349A9"/>
    <w:rsid w:val="00334D13"/>
    <w:rsid w:val="0033622E"/>
    <w:rsid w:val="003366C9"/>
    <w:rsid w:val="003371B0"/>
    <w:rsid w:val="003376BA"/>
    <w:rsid w:val="00337835"/>
    <w:rsid w:val="003379F0"/>
    <w:rsid w:val="00340065"/>
    <w:rsid w:val="0034044B"/>
    <w:rsid w:val="003405E9"/>
    <w:rsid w:val="003408C2"/>
    <w:rsid w:val="00340DF1"/>
    <w:rsid w:val="00341305"/>
    <w:rsid w:val="0034147F"/>
    <w:rsid w:val="003418C2"/>
    <w:rsid w:val="00341EF1"/>
    <w:rsid w:val="00342297"/>
    <w:rsid w:val="00342881"/>
    <w:rsid w:val="00343FB2"/>
    <w:rsid w:val="00344344"/>
    <w:rsid w:val="00345417"/>
    <w:rsid w:val="00345B4F"/>
    <w:rsid w:val="00345ED7"/>
    <w:rsid w:val="003461DF"/>
    <w:rsid w:val="00346C7F"/>
    <w:rsid w:val="0034775A"/>
    <w:rsid w:val="00347BA1"/>
    <w:rsid w:val="00347FAB"/>
    <w:rsid w:val="0035074D"/>
    <w:rsid w:val="00350B90"/>
    <w:rsid w:val="00350F23"/>
    <w:rsid w:val="003516FC"/>
    <w:rsid w:val="00351750"/>
    <w:rsid w:val="003517F9"/>
    <w:rsid w:val="00351BA9"/>
    <w:rsid w:val="00351EA8"/>
    <w:rsid w:val="003520B4"/>
    <w:rsid w:val="00353C40"/>
    <w:rsid w:val="00353D1A"/>
    <w:rsid w:val="003542F3"/>
    <w:rsid w:val="003543BE"/>
    <w:rsid w:val="0035483F"/>
    <w:rsid w:val="003549C0"/>
    <w:rsid w:val="00354F64"/>
    <w:rsid w:val="0035531F"/>
    <w:rsid w:val="00355710"/>
    <w:rsid w:val="003557E9"/>
    <w:rsid w:val="003559CB"/>
    <w:rsid w:val="00355A7E"/>
    <w:rsid w:val="0035620E"/>
    <w:rsid w:val="00356361"/>
    <w:rsid w:val="003563DD"/>
    <w:rsid w:val="0035667F"/>
    <w:rsid w:val="00356932"/>
    <w:rsid w:val="00356A6D"/>
    <w:rsid w:val="00356C52"/>
    <w:rsid w:val="00356CD2"/>
    <w:rsid w:val="003570AD"/>
    <w:rsid w:val="003570D0"/>
    <w:rsid w:val="00357251"/>
    <w:rsid w:val="003575BE"/>
    <w:rsid w:val="003575F9"/>
    <w:rsid w:val="00357600"/>
    <w:rsid w:val="00357B2D"/>
    <w:rsid w:val="00357D3A"/>
    <w:rsid w:val="003600B1"/>
    <w:rsid w:val="00360141"/>
    <w:rsid w:val="00360345"/>
    <w:rsid w:val="00360A80"/>
    <w:rsid w:val="0036169A"/>
    <w:rsid w:val="0036176C"/>
    <w:rsid w:val="003617CB"/>
    <w:rsid w:val="003619DD"/>
    <w:rsid w:val="00361A05"/>
    <w:rsid w:val="00361A37"/>
    <w:rsid w:val="00361ED1"/>
    <w:rsid w:val="003624C4"/>
    <w:rsid w:val="00362954"/>
    <w:rsid w:val="00362F54"/>
    <w:rsid w:val="00363B00"/>
    <w:rsid w:val="0036408C"/>
    <w:rsid w:val="00364F75"/>
    <w:rsid w:val="003653B0"/>
    <w:rsid w:val="003654AC"/>
    <w:rsid w:val="00365503"/>
    <w:rsid w:val="00365693"/>
    <w:rsid w:val="00365DF2"/>
    <w:rsid w:val="003660AC"/>
    <w:rsid w:val="0036652A"/>
    <w:rsid w:val="003679D2"/>
    <w:rsid w:val="0037062C"/>
    <w:rsid w:val="0037068B"/>
    <w:rsid w:val="003710AD"/>
    <w:rsid w:val="003710B3"/>
    <w:rsid w:val="003710CF"/>
    <w:rsid w:val="00372097"/>
    <w:rsid w:val="003724E1"/>
    <w:rsid w:val="00372CA3"/>
    <w:rsid w:val="00372EE0"/>
    <w:rsid w:val="0037306B"/>
    <w:rsid w:val="00373265"/>
    <w:rsid w:val="0037335D"/>
    <w:rsid w:val="0037358A"/>
    <w:rsid w:val="0037363A"/>
    <w:rsid w:val="00373A97"/>
    <w:rsid w:val="00373D06"/>
    <w:rsid w:val="003750F6"/>
    <w:rsid w:val="0037520A"/>
    <w:rsid w:val="003760FC"/>
    <w:rsid w:val="0037616E"/>
    <w:rsid w:val="00376FAF"/>
    <w:rsid w:val="0037708C"/>
    <w:rsid w:val="0037708D"/>
    <w:rsid w:val="00377FB1"/>
    <w:rsid w:val="003809F4"/>
    <w:rsid w:val="00380A17"/>
    <w:rsid w:val="00380B52"/>
    <w:rsid w:val="003811CC"/>
    <w:rsid w:val="00381485"/>
    <w:rsid w:val="003816A3"/>
    <w:rsid w:val="0038172B"/>
    <w:rsid w:val="00381821"/>
    <w:rsid w:val="0038222A"/>
    <w:rsid w:val="00382367"/>
    <w:rsid w:val="00382842"/>
    <w:rsid w:val="0038365C"/>
    <w:rsid w:val="0038369B"/>
    <w:rsid w:val="003838A9"/>
    <w:rsid w:val="00383B78"/>
    <w:rsid w:val="00385217"/>
    <w:rsid w:val="0038593C"/>
    <w:rsid w:val="00385A9D"/>
    <w:rsid w:val="00385A9F"/>
    <w:rsid w:val="00385F20"/>
    <w:rsid w:val="00386261"/>
    <w:rsid w:val="00386400"/>
    <w:rsid w:val="00386570"/>
    <w:rsid w:val="00386982"/>
    <w:rsid w:val="00386DEE"/>
    <w:rsid w:val="00387070"/>
    <w:rsid w:val="00387121"/>
    <w:rsid w:val="00387C02"/>
    <w:rsid w:val="00387DFA"/>
    <w:rsid w:val="00387DFB"/>
    <w:rsid w:val="00390292"/>
    <w:rsid w:val="003902B1"/>
    <w:rsid w:val="003903F2"/>
    <w:rsid w:val="0039053D"/>
    <w:rsid w:val="0039179C"/>
    <w:rsid w:val="00391843"/>
    <w:rsid w:val="00392FD7"/>
    <w:rsid w:val="00394049"/>
    <w:rsid w:val="0039425F"/>
    <w:rsid w:val="00394DD9"/>
    <w:rsid w:val="00394E7E"/>
    <w:rsid w:val="00395776"/>
    <w:rsid w:val="003957B0"/>
    <w:rsid w:val="00396329"/>
    <w:rsid w:val="00396896"/>
    <w:rsid w:val="00396A6B"/>
    <w:rsid w:val="00396AC0"/>
    <w:rsid w:val="00396FD0"/>
    <w:rsid w:val="003971B7"/>
    <w:rsid w:val="003976C4"/>
    <w:rsid w:val="003976F1"/>
    <w:rsid w:val="00397F70"/>
    <w:rsid w:val="003A072F"/>
    <w:rsid w:val="003A1A7A"/>
    <w:rsid w:val="003A1DA2"/>
    <w:rsid w:val="003A1ED6"/>
    <w:rsid w:val="003A2117"/>
    <w:rsid w:val="003A2392"/>
    <w:rsid w:val="003A2831"/>
    <w:rsid w:val="003A2D2E"/>
    <w:rsid w:val="003A2FAA"/>
    <w:rsid w:val="003A2FB7"/>
    <w:rsid w:val="003A3404"/>
    <w:rsid w:val="003A3CB6"/>
    <w:rsid w:val="003A3E54"/>
    <w:rsid w:val="003A3ED1"/>
    <w:rsid w:val="003A44DB"/>
    <w:rsid w:val="003A4C14"/>
    <w:rsid w:val="003A4F6B"/>
    <w:rsid w:val="003A50A9"/>
    <w:rsid w:val="003A572E"/>
    <w:rsid w:val="003A5975"/>
    <w:rsid w:val="003A5CC4"/>
    <w:rsid w:val="003A6ABD"/>
    <w:rsid w:val="003A6B5E"/>
    <w:rsid w:val="003A6E8D"/>
    <w:rsid w:val="003A6FE1"/>
    <w:rsid w:val="003B1301"/>
    <w:rsid w:val="003B1574"/>
    <w:rsid w:val="003B15F0"/>
    <w:rsid w:val="003B20CD"/>
    <w:rsid w:val="003B240C"/>
    <w:rsid w:val="003B244C"/>
    <w:rsid w:val="003B2870"/>
    <w:rsid w:val="003B3971"/>
    <w:rsid w:val="003B436F"/>
    <w:rsid w:val="003B4EBB"/>
    <w:rsid w:val="003B4F35"/>
    <w:rsid w:val="003B5523"/>
    <w:rsid w:val="003B55D1"/>
    <w:rsid w:val="003B5B61"/>
    <w:rsid w:val="003B5E10"/>
    <w:rsid w:val="003B7223"/>
    <w:rsid w:val="003B74DD"/>
    <w:rsid w:val="003B7552"/>
    <w:rsid w:val="003C07D8"/>
    <w:rsid w:val="003C095B"/>
    <w:rsid w:val="003C0F89"/>
    <w:rsid w:val="003C1654"/>
    <w:rsid w:val="003C16BB"/>
    <w:rsid w:val="003C1AB9"/>
    <w:rsid w:val="003C2058"/>
    <w:rsid w:val="003C2723"/>
    <w:rsid w:val="003C2758"/>
    <w:rsid w:val="003C2A26"/>
    <w:rsid w:val="003C32EB"/>
    <w:rsid w:val="003C3324"/>
    <w:rsid w:val="003C46C3"/>
    <w:rsid w:val="003C4974"/>
    <w:rsid w:val="003C4B27"/>
    <w:rsid w:val="003C4FED"/>
    <w:rsid w:val="003C5233"/>
    <w:rsid w:val="003C5542"/>
    <w:rsid w:val="003C5CBC"/>
    <w:rsid w:val="003C653C"/>
    <w:rsid w:val="003C67E3"/>
    <w:rsid w:val="003C6E8A"/>
    <w:rsid w:val="003C7C15"/>
    <w:rsid w:val="003C7D19"/>
    <w:rsid w:val="003C7D2F"/>
    <w:rsid w:val="003D0C5A"/>
    <w:rsid w:val="003D10D6"/>
    <w:rsid w:val="003D17FB"/>
    <w:rsid w:val="003D1828"/>
    <w:rsid w:val="003D1DE4"/>
    <w:rsid w:val="003D1E9A"/>
    <w:rsid w:val="003D2422"/>
    <w:rsid w:val="003D2649"/>
    <w:rsid w:val="003D2737"/>
    <w:rsid w:val="003D3480"/>
    <w:rsid w:val="003D39A1"/>
    <w:rsid w:val="003D3D2A"/>
    <w:rsid w:val="003D3FBF"/>
    <w:rsid w:val="003D4A30"/>
    <w:rsid w:val="003D4FA8"/>
    <w:rsid w:val="003D5827"/>
    <w:rsid w:val="003D5E7E"/>
    <w:rsid w:val="003D612F"/>
    <w:rsid w:val="003D68B5"/>
    <w:rsid w:val="003D6D6B"/>
    <w:rsid w:val="003D7079"/>
    <w:rsid w:val="003D7452"/>
    <w:rsid w:val="003D77B6"/>
    <w:rsid w:val="003D79BB"/>
    <w:rsid w:val="003D7A4E"/>
    <w:rsid w:val="003D7C98"/>
    <w:rsid w:val="003D7D9D"/>
    <w:rsid w:val="003E000D"/>
    <w:rsid w:val="003E012F"/>
    <w:rsid w:val="003E01F4"/>
    <w:rsid w:val="003E0441"/>
    <w:rsid w:val="003E0543"/>
    <w:rsid w:val="003E0FA1"/>
    <w:rsid w:val="003E1061"/>
    <w:rsid w:val="003E11BC"/>
    <w:rsid w:val="003E1367"/>
    <w:rsid w:val="003E14AF"/>
    <w:rsid w:val="003E1641"/>
    <w:rsid w:val="003E1EEA"/>
    <w:rsid w:val="003E1FBC"/>
    <w:rsid w:val="003E226E"/>
    <w:rsid w:val="003E2299"/>
    <w:rsid w:val="003E25AD"/>
    <w:rsid w:val="003E2ADC"/>
    <w:rsid w:val="003E393F"/>
    <w:rsid w:val="003E3B89"/>
    <w:rsid w:val="003E3EAC"/>
    <w:rsid w:val="003E3F35"/>
    <w:rsid w:val="003E418A"/>
    <w:rsid w:val="003E547E"/>
    <w:rsid w:val="003E5603"/>
    <w:rsid w:val="003E6ECF"/>
    <w:rsid w:val="003E6EEA"/>
    <w:rsid w:val="003E72D8"/>
    <w:rsid w:val="003E749E"/>
    <w:rsid w:val="003F0451"/>
    <w:rsid w:val="003F087F"/>
    <w:rsid w:val="003F0ACD"/>
    <w:rsid w:val="003F19D0"/>
    <w:rsid w:val="003F2A7F"/>
    <w:rsid w:val="003F38F9"/>
    <w:rsid w:val="003F3D44"/>
    <w:rsid w:val="003F3E4F"/>
    <w:rsid w:val="003F4156"/>
    <w:rsid w:val="003F55E4"/>
    <w:rsid w:val="003F5602"/>
    <w:rsid w:val="003F5654"/>
    <w:rsid w:val="003F5ADF"/>
    <w:rsid w:val="003F5AE4"/>
    <w:rsid w:val="003F5B47"/>
    <w:rsid w:val="003F5EF5"/>
    <w:rsid w:val="003F61DF"/>
    <w:rsid w:val="003F64C9"/>
    <w:rsid w:val="003F67A7"/>
    <w:rsid w:val="003F6DD0"/>
    <w:rsid w:val="003F79C9"/>
    <w:rsid w:val="004001FA"/>
    <w:rsid w:val="004002FA"/>
    <w:rsid w:val="0040056A"/>
    <w:rsid w:val="004005EA"/>
    <w:rsid w:val="0040099E"/>
    <w:rsid w:val="00400A4B"/>
    <w:rsid w:val="00400B29"/>
    <w:rsid w:val="00400DCA"/>
    <w:rsid w:val="004011ED"/>
    <w:rsid w:val="0040124D"/>
    <w:rsid w:val="004012C9"/>
    <w:rsid w:val="00401D84"/>
    <w:rsid w:val="00402812"/>
    <w:rsid w:val="00402BC6"/>
    <w:rsid w:val="0040324B"/>
    <w:rsid w:val="00403D9D"/>
    <w:rsid w:val="00403E05"/>
    <w:rsid w:val="00404523"/>
    <w:rsid w:val="004047C5"/>
    <w:rsid w:val="00404D72"/>
    <w:rsid w:val="0040504B"/>
    <w:rsid w:val="004056C6"/>
    <w:rsid w:val="004058D5"/>
    <w:rsid w:val="004059F4"/>
    <w:rsid w:val="004061F1"/>
    <w:rsid w:val="00406507"/>
    <w:rsid w:val="00406F70"/>
    <w:rsid w:val="00407AD2"/>
    <w:rsid w:val="00407F09"/>
    <w:rsid w:val="00407FE5"/>
    <w:rsid w:val="004101B0"/>
    <w:rsid w:val="004101DC"/>
    <w:rsid w:val="00410326"/>
    <w:rsid w:val="00410708"/>
    <w:rsid w:val="0041070B"/>
    <w:rsid w:val="00410EC7"/>
    <w:rsid w:val="004112E6"/>
    <w:rsid w:val="00411857"/>
    <w:rsid w:val="00411B39"/>
    <w:rsid w:val="00411C94"/>
    <w:rsid w:val="00411D08"/>
    <w:rsid w:val="00412055"/>
    <w:rsid w:val="004127A7"/>
    <w:rsid w:val="00412D8A"/>
    <w:rsid w:val="00412DAE"/>
    <w:rsid w:val="00412FCE"/>
    <w:rsid w:val="0041318E"/>
    <w:rsid w:val="00413A1E"/>
    <w:rsid w:val="00414476"/>
    <w:rsid w:val="004146A9"/>
    <w:rsid w:val="00414C2E"/>
    <w:rsid w:val="00414F1B"/>
    <w:rsid w:val="00415060"/>
    <w:rsid w:val="004151CF"/>
    <w:rsid w:val="0041568F"/>
    <w:rsid w:val="00415A65"/>
    <w:rsid w:val="00415DF8"/>
    <w:rsid w:val="004160E4"/>
    <w:rsid w:val="004161BC"/>
    <w:rsid w:val="00416364"/>
    <w:rsid w:val="00416DE6"/>
    <w:rsid w:val="0041777D"/>
    <w:rsid w:val="00417A37"/>
    <w:rsid w:val="00417BF3"/>
    <w:rsid w:val="0042047F"/>
    <w:rsid w:val="00420912"/>
    <w:rsid w:val="0042097D"/>
    <w:rsid w:val="00420999"/>
    <w:rsid w:val="00420AA6"/>
    <w:rsid w:val="00420B9F"/>
    <w:rsid w:val="00420EFA"/>
    <w:rsid w:val="00421483"/>
    <w:rsid w:val="0042192C"/>
    <w:rsid w:val="00421A71"/>
    <w:rsid w:val="00421B35"/>
    <w:rsid w:val="00421DCC"/>
    <w:rsid w:val="00422260"/>
    <w:rsid w:val="00422616"/>
    <w:rsid w:val="00422B22"/>
    <w:rsid w:val="00423A04"/>
    <w:rsid w:val="0042413F"/>
    <w:rsid w:val="00425300"/>
    <w:rsid w:val="00425BA4"/>
    <w:rsid w:val="004260E9"/>
    <w:rsid w:val="004268ED"/>
    <w:rsid w:val="004271EC"/>
    <w:rsid w:val="004278E7"/>
    <w:rsid w:val="00427BDC"/>
    <w:rsid w:val="00427E00"/>
    <w:rsid w:val="004307A3"/>
    <w:rsid w:val="00430964"/>
    <w:rsid w:val="00430E98"/>
    <w:rsid w:val="00430F56"/>
    <w:rsid w:val="0043173A"/>
    <w:rsid w:val="004319F8"/>
    <w:rsid w:val="00431E55"/>
    <w:rsid w:val="004321F6"/>
    <w:rsid w:val="00432D7E"/>
    <w:rsid w:val="00433044"/>
    <w:rsid w:val="004331A9"/>
    <w:rsid w:val="00434088"/>
    <w:rsid w:val="00434746"/>
    <w:rsid w:val="00434D0B"/>
    <w:rsid w:val="00435373"/>
    <w:rsid w:val="004369B0"/>
    <w:rsid w:val="00436A21"/>
    <w:rsid w:val="004371A8"/>
    <w:rsid w:val="0043721A"/>
    <w:rsid w:val="004375B9"/>
    <w:rsid w:val="00437CD6"/>
    <w:rsid w:val="00441524"/>
    <w:rsid w:val="00441B71"/>
    <w:rsid w:val="004428D0"/>
    <w:rsid w:val="004429C5"/>
    <w:rsid w:val="0044319B"/>
    <w:rsid w:val="00443BAF"/>
    <w:rsid w:val="00444185"/>
    <w:rsid w:val="0044432F"/>
    <w:rsid w:val="004443A7"/>
    <w:rsid w:val="0044442C"/>
    <w:rsid w:val="00444849"/>
    <w:rsid w:val="00444C77"/>
    <w:rsid w:val="00445941"/>
    <w:rsid w:val="00445FE6"/>
    <w:rsid w:val="004463F9"/>
    <w:rsid w:val="0044640E"/>
    <w:rsid w:val="004464EB"/>
    <w:rsid w:val="004465AD"/>
    <w:rsid w:val="004467DC"/>
    <w:rsid w:val="0044695D"/>
    <w:rsid w:val="00446E58"/>
    <w:rsid w:val="0044723A"/>
    <w:rsid w:val="0044750F"/>
    <w:rsid w:val="00447543"/>
    <w:rsid w:val="00447586"/>
    <w:rsid w:val="00447D26"/>
    <w:rsid w:val="00447DFC"/>
    <w:rsid w:val="00450E07"/>
    <w:rsid w:val="00451584"/>
    <w:rsid w:val="00451953"/>
    <w:rsid w:val="00451A47"/>
    <w:rsid w:val="00452997"/>
    <w:rsid w:val="00452D50"/>
    <w:rsid w:val="00453408"/>
    <w:rsid w:val="004537B8"/>
    <w:rsid w:val="004539A2"/>
    <w:rsid w:val="00453AD6"/>
    <w:rsid w:val="00454540"/>
    <w:rsid w:val="00454E3E"/>
    <w:rsid w:val="004557A5"/>
    <w:rsid w:val="00455A87"/>
    <w:rsid w:val="00455D41"/>
    <w:rsid w:val="00455D45"/>
    <w:rsid w:val="00456701"/>
    <w:rsid w:val="004571B4"/>
    <w:rsid w:val="004573B5"/>
    <w:rsid w:val="00457C12"/>
    <w:rsid w:val="00457C37"/>
    <w:rsid w:val="00460801"/>
    <w:rsid w:val="00461867"/>
    <w:rsid w:val="0046221E"/>
    <w:rsid w:val="00462F91"/>
    <w:rsid w:val="00463668"/>
    <w:rsid w:val="00463FC1"/>
    <w:rsid w:val="00464595"/>
    <w:rsid w:val="00464E09"/>
    <w:rsid w:val="00464F93"/>
    <w:rsid w:val="004658B5"/>
    <w:rsid w:val="00465F22"/>
    <w:rsid w:val="0047053A"/>
    <w:rsid w:val="004713AA"/>
    <w:rsid w:val="00471EA5"/>
    <w:rsid w:val="0047203C"/>
    <w:rsid w:val="004722B4"/>
    <w:rsid w:val="00472A79"/>
    <w:rsid w:val="00473E3E"/>
    <w:rsid w:val="00473F19"/>
    <w:rsid w:val="004747BB"/>
    <w:rsid w:val="00475160"/>
    <w:rsid w:val="004751A2"/>
    <w:rsid w:val="00475772"/>
    <w:rsid w:val="00475E22"/>
    <w:rsid w:val="00476651"/>
    <w:rsid w:val="00476B3D"/>
    <w:rsid w:val="004777AA"/>
    <w:rsid w:val="00477E17"/>
    <w:rsid w:val="00480389"/>
    <w:rsid w:val="004807DC"/>
    <w:rsid w:val="0048088E"/>
    <w:rsid w:val="00480F2B"/>
    <w:rsid w:val="00481CAF"/>
    <w:rsid w:val="00481F0C"/>
    <w:rsid w:val="00482618"/>
    <w:rsid w:val="00482720"/>
    <w:rsid w:val="0048297B"/>
    <w:rsid w:val="004832A1"/>
    <w:rsid w:val="004835E7"/>
    <w:rsid w:val="0048366F"/>
    <w:rsid w:val="004859E1"/>
    <w:rsid w:val="00486476"/>
    <w:rsid w:val="004867E2"/>
    <w:rsid w:val="00487350"/>
    <w:rsid w:val="00487CF7"/>
    <w:rsid w:val="0049073D"/>
    <w:rsid w:val="00490B17"/>
    <w:rsid w:val="00490BC7"/>
    <w:rsid w:val="00491600"/>
    <w:rsid w:val="004919A9"/>
    <w:rsid w:val="00491B3A"/>
    <w:rsid w:val="00491BBC"/>
    <w:rsid w:val="00492CF2"/>
    <w:rsid w:val="00492CFD"/>
    <w:rsid w:val="00492ED7"/>
    <w:rsid w:val="00493A3A"/>
    <w:rsid w:val="00493BC8"/>
    <w:rsid w:val="00494207"/>
    <w:rsid w:val="00494DD5"/>
    <w:rsid w:val="00494E45"/>
    <w:rsid w:val="00494F5C"/>
    <w:rsid w:val="004954A0"/>
    <w:rsid w:val="00495676"/>
    <w:rsid w:val="00495AEC"/>
    <w:rsid w:val="00495D45"/>
    <w:rsid w:val="004962D2"/>
    <w:rsid w:val="004963E4"/>
    <w:rsid w:val="00496E65"/>
    <w:rsid w:val="0049703D"/>
    <w:rsid w:val="0049728A"/>
    <w:rsid w:val="0049762F"/>
    <w:rsid w:val="00497F31"/>
    <w:rsid w:val="004A05B3"/>
    <w:rsid w:val="004A0973"/>
    <w:rsid w:val="004A0C28"/>
    <w:rsid w:val="004A0DA1"/>
    <w:rsid w:val="004A13D6"/>
    <w:rsid w:val="004A18C7"/>
    <w:rsid w:val="004A1FA5"/>
    <w:rsid w:val="004A223E"/>
    <w:rsid w:val="004A3082"/>
    <w:rsid w:val="004A348E"/>
    <w:rsid w:val="004A3661"/>
    <w:rsid w:val="004A52E9"/>
    <w:rsid w:val="004A55D7"/>
    <w:rsid w:val="004A5923"/>
    <w:rsid w:val="004A6040"/>
    <w:rsid w:val="004A6597"/>
    <w:rsid w:val="004A6947"/>
    <w:rsid w:val="004A6AAE"/>
    <w:rsid w:val="004A6B36"/>
    <w:rsid w:val="004A748C"/>
    <w:rsid w:val="004A75C9"/>
    <w:rsid w:val="004A7848"/>
    <w:rsid w:val="004A793B"/>
    <w:rsid w:val="004A7EBB"/>
    <w:rsid w:val="004B1156"/>
    <w:rsid w:val="004B18D4"/>
    <w:rsid w:val="004B19F7"/>
    <w:rsid w:val="004B1CB4"/>
    <w:rsid w:val="004B2F18"/>
    <w:rsid w:val="004B318B"/>
    <w:rsid w:val="004B3547"/>
    <w:rsid w:val="004B3DDB"/>
    <w:rsid w:val="004B44FD"/>
    <w:rsid w:val="004B4B94"/>
    <w:rsid w:val="004B4DA9"/>
    <w:rsid w:val="004B5A3E"/>
    <w:rsid w:val="004B5CFC"/>
    <w:rsid w:val="004B5E91"/>
    <w:rsid w:val="004B60F6"/>
    <w:rsid w:val="004B6252"/>
    <w:rsid w:val="004B6735"/>
    <w:rsid w:val="004B6824"/>
    <w:rsid w:val="004B6919"/>
    <w:rsid w:val="004B6F79"/>
    <w:rsid w:val="004B774D"/>
    <w:rsid w:val="004B7901"/>
    <w:rsid w:val="004B7FF0"/>
    <w:rsid w:val="004C0463"/>
    <w:rsid w:val="004C049A"/>
    <w:rsid w:val="004C0534"/>
    <w:rsid w:val="004C0709"/>
    <w:rsid w:val="004C0E71"/>
    <w:rsid w:val="004C16C0"/>
    <w:rsid w:val="004C185F"/>
    <w:rsid w:val="004C191D"/>
    <w:rsid w:val="004C1AB1"/>
    <w:rsid w:val="004C1FF3"/>
    <w:rsid w:val="004C234D"/>
    <w:rsid w:val="004C24F1"/>
    <w:rsid w:val="004C2AC2"/>
    <w:rsid w:val="004C346B"/>
    <w:rsid w:val="004C3F04"/>
    <w:rsid w:val="004C4076"/>
    <w:rsid w:val="004C4193"/>
    <w:rsid w:val="004C4A9E"/>
    <w:rsid w:val="004C4AAF"/>
    <w:rsid w:val="004C4AED"/>
    <w:rsid w:val="004C53F8"/>
    <w:rsid w:val="004C5764"/>
    <w:rsid w:val="004C5891"/>
    <w:rsid w:val="004C58C2"/>
    <w:rsid w:val="004C6B0D"/>
    <w:rsid w:val="004C6D8F"/>
    <w:rsid w:val="004C707C"/>
    <w:rsid w:val="004C73A6"/>
    <w:rsid w:val="004D00AA"/>
    <w:rsid w:val="004D015D"/>
    <w:rsid w:val="004D072B"/>
    <w:rsid w:val="004D0842"/>
    <w:rsid w:val="004D104E"/>
    <w:rsid w:val="004D16E2"/>
    <w:rsid w:val="004D1789"/>
    <w:rsid w:val="004D1879"/>
    <w:rsid w:val="004D22B5"/>
    <w:rsid w:val="004D279D"/>
    <w:rsid w:val="004D285C"/>
    <w:rsid w:val="004D2C2D"/>
    <w:rsid w:val="004D350F"/>
    <w:rsid w:val="004D43FC"/>
    <w:rsid w:val="004D48C6"/>
    <w:rsid w:val="004D56B4"/>
    <w:rsid w:val="004D581A"/>
    <w:rsid w:val="004D5A8F"/>
    <w:rsid w:val="004D5C1C"/>
    <w:rsid w:val="004D644F"/>
    <w:rsid w:val="004D69B5"/>
    <w:rsid w:val="004D700F"/>
    <w:rsid w:val="004D70EA"/>
    <w:rsid w:val="004D7227"/>
    <w:rsid w:val="004D7640"/>
    <w:rsid w:val="004D78A9"/>
    <w:rsid w:val="004D794E"/>
    <w:rsid w:val="004D7B5E"/>
    <w:rsid w:val="004E04D6"/>
    <w:rsid w:val="004E0649"/>
    <w:rsid w:val="004E0E7F"/>
    <w:rsid w:val="004E0EB8"/>
    <w:rsid w:val="004E18E9"/>
    <w:rsid w:val="004E1F4B"/>
    <w:rsid w:val="004E2169"/>
    <w:rsid w:val="004E22C4"/>
    <w:rsid w:val="004E268A"/>
    <w:rsid w:val="004E2ADC"/>
    <w:rsid w:val="004E2DE0"/>
    <w:rsid w:val="004E2F52"/>
    <w:rsid w:val="004E391A"/>
    <w:rsid w:val="004E43B2"/>
    <w:rsid w:val="004E4A09"/>
    <w:rsid w:val="004E500E"/>
    <w:rsid w:val="004E5671"/>
    <w:rsid w:val="004E588F"/>
    <w:rsid w:val="004E5DE1"/>
    <w:rsid w:val="004E62BA"/>
    <w:rsid w:val="004E64C9"/>
    <w:rsid w:val="004E6C46"/>
    <w:rsid w:val="004F01D8"/>
    <w:rsid w:val="004F0536"/>
    <w:rsid w:val="004F0D3F"/>
    <w:rsid w:val="004F0EB5"/>
    <w:rsid w:val="004F1A32"/>
    <w:rsid w:val="004F1D02"/>
    <w:rsid w:val="004F1D67"/>
    <w:rsid w:val="004F2174"/>
    <w:rsid w:val="004F2679"/>
    <w:rsid w:val="004F2A2F"/>
    <w:rsid w:val="004F2F1D"/>
    <w:rsid w:val="004F2F21"/>
    <w:rsid w:val="004F39D6"/>
    <w:rsid w:val="004F3DE5"/>
    <w:rsid w:val="004F3F00"/>
    <w:rsid w:val="004F4246"/>
    <w:rsid w:val="004F43EB"/>
    <w:rsid w:val="004F50FF"/>
    <w:rsid w:val="004F527C"/>
    <w:rsid w:val="004F546A"/>
    <w:rsid w:val="004F5816"/>
    <w:rsid w:val="004F59FE"/>
    <w:rsid w:val="004F5F9E"/>
    <w:rsid w:val="004F6051"/>
    <w:rsid w:val="004F60E3"/>
    <w:rsid w:val="004F6368"/>
    <w:rsid w:val="004F63D0"/>
    <w:rsid w:val="004F6913"/>
    <w:rsid w:val="004F6CAE"/>
    <w:rsid w:val="004F6E01"/>
    <w:rsid w:val="004F6E1E"/>
    <w:rsid w:val="004F7374"/>
    <w:rsid w:val="004F7865"/>
    <w:rsid w:val="004F7F0E"/>
    <w:rsid w:val="004F7F71"/>
    <w:rsid w:val="0050027C"/>
    <w:rsid w:val="00500549"/>
    <w:rsid w:val="00500E76"/>
    <w:rsid w:val="0050131B"/>
    <w:rsid w:val="0050174E"/>
    <w:rsid w:val="00501854"/>
    <w:rsid w:val="005019F9"/>
    <w:rsid w:val="00501A42"/>
    <w:rsid w:val="00501A99"/>
    <w:rsid w:val="0050219B"/>
    <w:rsid w:val="005023BB"/>
    <w:rsid w:val="005032C6"/>
    <w:rsid w:val="005038C8"/>
    <w:rsid w:val="00503D07"/>
    <w:rsid w:val="00503D8A"/>
    <w:rsid w:val="00503F17"/>
    <w:rsid w:val="00503F3A"/>
    <w:rsid w:val="00504014"/>
    <w:rsid w:val="00504625"/>
    <w:rsid w:val="00504B2D"/>
    <w:rsid w:val="00504F95"/>
    <w:rsid w:val="00505049"/>
    <w:rsid w:val="005054BE"/>
    <w:rsid w:val="00505561"/>
    <w:rsid w:val="005057C4"/>
    <w:rsid w:val="00505994"/>
    <w:rsid w:val="005060D5"/>
    <w:rsid w:val="00506928"/>
    <w:rsid w:val="0050699E"/>
    <w:rsid w:val="00507116"/>
    <w:rsid w:val="0050712F"/>
    <w:rsid w:val="005077EF"/>
    <w:rsid w:val="00507C6A"/>
    <w:rsid w:val="005100C2"/>
    <w:rsid w:val="00510149"/>
    <w:rsid w:val="0051069E"/>
    <w:rsid w:val="005108B8"/>
    <w:rsid w:val="00510C04"/>
    <w:rsid w:val="005110CE"/>
    <w:rsid w:val="00511AD5"/>
    <w:rsid w:val="00511DC7"/>
    <w:rsid w:val="00511EA5"/>
    <w:rsid w:val="0051227F"/>
    <w:rsid w:val="005122B0"/>
    <w:rsid w:val="005130BD"/>
    <w:rsid w:val="00513299"/>
    <w:rsid w:val="00513901"/>
    <w:rsid w:val="00513966"/>
    <w:rsid w:val="005139BF"/>
    <w:rsid w:val="00513B7F"/>
    <w:rsid w:val="00513C1B"/>
    <w:rsid w:val="005142C5"/>
    <w:rsid w:val="0051443C"/>
    <w:rsid w:val="005148EB"/>
    <w:rsid w:val="00514E2F"/>
    <w:rsid w:val="00514E84"/>
    <w:rsid w:val="0051501B"/>
    <w:rsid w:val="005152B5"/>
    <w:rsid w:val="005157C9"/>
    <w:rsid w:val="00515853"/>
    <w:rsid w:val="00515886"/>
    <w:rsid w:val="00515D51"/>
    <w:rsid w:val="00515FBE"/>
    <w:rsid w:val="00517012"/>
    <w:rsid w:val="00517BD1"/>
    <w:rsid w:val="00517CFC"/>
    <w:rsid w:val="005201F7"/>
    <w:rsid w:val="00520876"/>
    <w:rsid w:val="0052123C"/>
    <w:rsid w:val="00521319"/>
    <w:rsid w:val="00521B8C"/>
    <w:rsid w:val="005223B5"/>
    <w:rsid w:val="00522BC8"/>
    <w:rsid w:val="00522BCA"/>
    <w:rsid w:val="00523C28"/>
    <w:rsid w:val="00523D9A"/>
    <w:rsid w:val="00523FA2"/>
    <w:rsid w:val="00524017"/>
    <w:rsid w:val="005240BF"/>
    <w:rsid w:val="0052435D"/>
    <w:rsid w:val="0052460B"/>
    <w:rsid w:val="005257AC"/>
    <w:rsid w:val="005258E6"/>
    <w:rsid w:val="0052668C"/>
    <w:rsid w:val="00526786"/>
    <w:rsid w:val="00526A15"/>
    <w:rsid w:val="00526D39"/>
    <w:rsid w:val="00526E04"/>
    <w:rsid w:val="00527378"/>
    <w:rsid w:val="0052764D"/>
    <w:rsid w:val="005309DF"/>
    <w:rsid w:val="00530CAC"/>
    <w:rsid w:val="00531749"/>
    <w:rsid w:val="0053176B"/>
    <w:rsid w:val="0053190C"/>
    <w:rsid w:val="00531F21"/>
    <w:rsid w:val="00532580"/>
    <w:rsid w:val="00532F85"/>
    <w:rsid w:val="005331BC"/>
    <w:rsid w:val="005335D8"/>
    <w:rsid w:val="0053397D"/>
    <w:rsid w:val="00533E93"/>
    <w:rsid w:val="005341B3"/>
    <w:rsid w:val="00534B1B"/>
    <w:rsid w:val="00535B0B"/>
    <w:rsid w:val="00535FAA"/>
    <w:rsid w:val="005361AD"/>
    <w:rsid w:val="005363B5"/>
    <w:rsid w:val="0053662D"/>
    <w:rsid w:val="00536699"/>
    <w:rsid w:val="00536F42"/>
    <w:rsid w:val="00537182"/>
    <w:rsid w:val="00537214"/>
    <w:rsid w:val="0053755D"/>
    <w:rsid w:val="00537732"/>
    <w:rsid w:val="00537912"/>
    <w:rsid w:val="00537EED"/>
    <w:rsid w:val="00540308"/>
    <w:rsid w:val="005403AA"/>
    <w:rsid w:val="005406D3"/>
    <w:rsid w:val="005406FF"/>
    <w:rsid w:val="00540B6B"/>
    <w:rsid w:val="00540BF8"/>
    <w:rsid w:val="00541703"/>
    <w:rsid w:val="00541CE8"/>
    <w:rsid w:val="00541EDD"/>
    <w:rsid w:val="005420B8"/>
    <w:rsid w:val="00542743"/>
    <w:rsid w:val="00542C2D"/>
    <w:rsid w:val="00543278"/>
    <w:rsid w:val="00543E3A"/>
    <w:rsid w:val="0054417C"/>
    <w:rsid w:val="005449AE"/>
    <w:rsid w:val="00544ABC"/>
    <w:rsid w:val="00544F1F"/>
    <w:rsid w:val="00545651"/>
    <w:rsid w:val="00545716"/>
    <w:rsid w:val="00545E87"/>
    <w:rsid w:val="00546938"/>
    <w:rsid w:val="00547202"/>
    <w:rsid w:val="005478BD"/>
    <w:rsid w:val="005479E3"/>
    <w:rsid w:val="00547E97"/>
    <w:rsid w:val="00551773"/>
    <w:rsid w:val="00551985"/>
    <w:rsid w:val="00551D88"/>
    <w:rsid w:val="00552156"/>
    <w:rsid w:val="005529EF"/>
    <w:rsid w:val="00552BD3"/>
    <w:rsid w:val="00552BD7"/>
    <w:rsid w:val="005532A0"/>
    <w:rsid w:val="0055395F"/>
    <w:rsid w:val="00553CBA"/>
    <w:rsid w:val="00553F9D"/>
    <w:rsid w:val="0055403F"/>
    <w:rsid w:val="00554069"/>
    <w:rsid w:val="00554523"/>
    <w:rsid w:val="00554A44"/>
    <w:rsid w:val="00555109"/>
    <w:rsid w:val="00555156"/>
    <w:rsid w:val="005551C9"/>
    <w:rsid w:val="005556A5"/>
    <w:rsid w:val="005559B3"/>
    <w:rsid w:val="005569FE"/>
    <w:rsid w:val="00556B35"/>
    <w:rsid w:val="00556B8A"/>
    <w:rsid w:val="00556D86"/>
    <w:rsid w:val="0055714A"/>
    <w:rsid w:val="005571D4"/>
    <w:rsid w:val="0055741A"/>
    <w:rsid w:val="005600DA"/>
    <w:rsid w:val="005608D0"/>
    <w:rsid w:val="00560C68"/>
    <w:rsid w:val="00560E37"/>
    <w:rsid w:val="005611B7"/>
    <w:rsid w:val="0056160B"/>
    <w:rsid w:val="00561664"/>
    <w:rsid w:val="005616C2"/>
    <w:rsid w:val="005618C5"/>
    <w:rsid w:val="005618D4"/>
    <w:rsid w:val="005620F4"/>
    <w:rsid w:val="005632EA"/>
    <w:rsid w:val="00563A9C"/>
    <w:rsid w:val="00563BEC"/>
    <w:rsid w:val="00563C7E"/>
    <w:rsid w:val="00563CD5"/>
    <w:rsid w:val="00563EC5"/>
    <w:rsid w:val="00564102"/>
    <w:rsid w:val="00564867"/>
    <w:rsid w:val="005654A0"/>
    <w:rsid w:val="005658FF"/>
    <w:rsid w:val="00565955"/>
    <w:rsid w:val="00565B9C"/>
    <w:rsid w:val="00565C79"/>
    <w:rsid w:val="00565DF0"/>
    <w:rsid w:val="005663B1"/>
    <w:rsid w:val="0056696F"/>
    <w:rsid w:val="00566971"/>
    <w:rsid w:val="00566991"/>
    <w:rsid w:val="00566E7E"/>
    <w:rsid w:val="00566FEB"/>
    <w:rsid w:val="005678C7"/>
    <w:rsid w:val="005679C8"/>
    <w:rsid w:val="00567FB6"/>
    <w:rsid w:val="00571405"/>
    <w:rsid w:val="00571525"/>
    <w:rsid w:val="005718F4"/>
    <w:rsid w:val="00571A58"/>
    <w:rsid w:val="00571C48"/>
    <w:rsid w:val="00572269"/>
    <w:rsid w:val="0057244A"/>
    <w:rsid w:val="00572F26"/>
    <w:rsid w:val="00573521"/>
    <w:rsid w:val="00573FE9"/>
    <w:rsid w:val="00574197"/>
    <w:rsid w:val="00574BB5"/>
    <w:rsid w:val="005750AF"/>
    <w:rsid w:val="005750C5"/>
    <w:rsid w:val="005752DE"/>
    <w:rsid w:val="00575AD1"/>
    <w:rsid w:val="00575BC0"/>
    <w:rsid w:val="00575BEB"/>
    <w:rsid w:val="00575D60"/>
    <w:rsid w:val="00575D8D"/>
    <w:rsid w:val="00575E83"/>
    <w:rsid w:val="00576972"/>
    <w:rsid w:val="005769D1"/>
    <w:rsid w:val="00576B5B"/>
    <w:rsid w:val="00576BBA"/>
    <w:rsid w:val="00576E6D"/>
    <w:rsid w:val="00577248"/>
    <w:rsid w:val="0057766B"/>
    <w:rsid w:val="005777AE"/>
    <w:rsid w:val="00580088"/>
    <w:rsid w:val="005809F1"/>
    <w:rsid w:val="00581D90"/>
    <w:rsid w:val="00582E5D"/>
    <w:rsid w:val="005833C4"/>
    <w:rsid w:val="005835E5"/>
    <w:rsid w:val="00583699"/>
    <w:rsid w:val="0058371E"/>
    <w:rsid w:val="0058415E"/>
    <w:rsid w:val="00584349"/>
    <w:rsid w:val="00584418"/>
    <w:rsid w:val="0058491D"/>
    <w:rsid w:val="005849C2"/>
    <w:rsid w:val="00585065"/>
    <w:rsid w:val="005857F9"/>
    <w:rsid w:val="00585BE4"/>
    <w:rsid w:val="00585CDD"/>
    <w:rsid w:val="00587058"/>
    <w:rsid w:val="00587231"/>
    <w:rsid w:val="00587F7A"/>
    <w:rsid w:val="0059037C"/>
    <w:rsid w:val="00590C10"/>
    <w:rsid w:val="0059154B"/>
    <w:rsid w:val="00591957"/>
    <w:rsid w:val="00591D80"/>
    <w:rsid w:val="005921BA"/>
    <w:rsid w:val="0059229E"/>
    <w:rsid w:val="0059271E"/>
    <w:rsid w:val="005927BB"/>
    <w:rsid w:val="0059312B"/>
    <w:rsid w:val="00594B6C"/>
    <w:rsid w:val="00594C4D"/>
    <w:rsid w:val="00594F0A"/>
    <w:rsid w:val="005958CD"/>
    <w:rsid w:val="00595A66"/>
    <w:rsid w:val="00595CE9"/>
    <w:rsid w:val="00596481"/>
    <w:rsid w:val="00596AE7"/>
    <w:rsid w:val="00596C21"/>
    <w:rsid w:val="0059700B"/>
    <w:rsid w:val="005979B8"/>
    <w:rsid w:val="00597BF9"/>
    <w:rsid w:val="005A00DA"/>
    <w:rsid w:val="005A0C11"/>
    <w:rsid w:val="005A0CA9"/>
    <w:rsid w:val="005A159D"/>
    <w:rsid w:val="005A1ACB"/>
    <w:rsid w:val="005A1F72"/>
    <w:rsid w:val="005A23F1"/>
    <w:rsid w:val="005A27E5"/>
    <w:rsid w:val="005A2904"/>
    <w:rsid w:val="005A309A"/>
    <w:rsid w:val="005A3205"/>
    <w:rsid w:val="005A373D"/>
    <w:rsid w:val="005A4920"/>
    <w:rsid w:val="005A4A41"/>
    <w:rsid w:val="005A4FBD"/>
    <w:rsid w:val="005A556E"/>
    <w:rsid w:val="005A5EFF"/>
    <w:rsid w:val="005A6453"/>
    <w:rsid w:val="005A660D"/>
    <w:rsid w:val="005A6D48"/>
    <w:rsid w:val="005A6E0E"/>
    <w:rsid w:val="005A6F05"/>
    <w:rsid w:val="005A71C4"/>
    <w:rsid w:val="005A7226"/>
    <w:rsid w:val="005A7D1D"/>
    <w:rsid w:val="005B0805"/>
    <w:rsid w:val="005B096A"/>
    <w:rsid w:val="005B0A71"/>
    <w:rsid w:val="005B0B58"/>
    <w:rsid w:val="005B10EB"/>
    <w:rsid w:val="005B2343"/>
    <w:rsid w:val="005B2B8A"/>
    <w:rsid w:val="005B2C27"/>
    <w:rsid w:val="005B2EA3"/>
    <w:rsid w:val="005B450C"/>
    <w:rsid w:val="005B4B6C"/>
    <w:rsid w:val="005B4E53"/>
    <w:rsid w:val="005B5857"/>
    <w:rsid w:val="005B5EBF"/>
    <w:rsid w:val="005B5EEB"/>
    <w:rsid w:val="005B64E6"/>
    <w:rsid w:val="005B67EA"/>
    <w:rsid w:val="005B6FFE"/>
    <w:rsid w:val="005B723E"/>
    <w:rsid w:val="005B767B"/>
    <w:rsid w:val="005B7683"/>
    <w:rsid w:val="005C053C"/>
    <w:rsid w:val="005C0BFF"/>
    <w:rsid w:val="005C0F06"/>
    <w:rsid w:val="005C0F21"/>
    <w:rsid w:val="005C19C4"/>
    <w:rsid w:val="005C1B83"/>
    <w:rsid w:val="005C1C3B"/>
    <w:rsid w:val="005C25FF"/>
    <w:rsid w:val="005C276E"/>
    <w:rsid w:val="005C2896"/>
    <w:rsid w:val="005C2D55"/>
    <w:rsid w:val="005C2D87"/>
    <w:rsid w:val="005C346B"/>
    <w:rsid w:val="005C3731"/>
    <w:rsid w:val="005C37B5"/>
    <w:rsid w:val="005C3B05"/>
    <w:rsid w:val="005C5ABC"/>
    <w:rsid w:val="005C6000"/>
    <w:rsid w:val="005C61A0"/>
    <w:rsid w:val="005C62F2"/>
    <w:rsid w:val="005C6638"/>
    <w:rsid w:val="005C6907"/>
    <w:rsid w:val="005D0073"/>
    <w:rsid w:val="005D03AF"/>
    <w:rsid w:val="005D044D"/>
    <w:rsid w:val="005D0496"/>
    <w:rsid w:val="005D08D1"/>
    <w:rsid w:val="005D0ABD"/>
    <w:rsid w:val="005D1168"/>
    <w:rsid w:val="005D123C"/>
    <w:rsid w:val="005D13C0"/>
    <w:rsid w:val="005D18AD"/>
    <w:rsid w:val="005D1C1D"/>
    <w:rsid w:val="005D1EFD"/>
    <w:rsid w:val="005D1F4C"/>
    <w:rsid w:val="005D26B4"/>
    <w:rsid w:val="005D26FE"/>
    <w:rsid w:val="005D2CFB"/>
    <w:rsid w:val="005D45DD"/>
    <w:rsid w:val="005D49A5"/>
    <w:rsid w:val="005D4ECD"/>
    <w:rsid w:val="005D4FBA"/>
    <w:rsid w:val="005D6329"/>
    <w:rsid w:val="005D670D"/>
    <w:rsid w:val="005D6B70"/>
    <w:rsid w:val="005D6F75"/>
    <w:rsid w:val="005D71A1"/>
    <w:rsid w:val="005D74C8"/>
    <w:rsid w:val="005D767F"/>
    <w:rsid w:val="005D76C2"/>
    <w:rsid w:val="005D7AA2"/>
    <w:rsid w:val="005E12E5"/>
    <w:rsid w:val="005E1995"/>
    <w:rsid w:val="005E33AA"/>
    <w:rsid w:val="005E383E"/>
    <w:rsid w:val="005E3982"/>
    <w:rsid w:val="005E3B6A"/>
    <w:rsid w:val="005E3D36"/>
    <w:rsid w:val="005E4567"/>
    <w:rsid w:val="005E4E29"/>
    <w:rsid w:val="005E4F44"/>
    <w:rsid w:val="005E52F4"/>
    <w:rsid w:val="005E5BC1"/>
    <w:rsid w:val="005E5CA9"/>
    <w:rsid w:val="005E6186"/>
    <w:rsid w:val="005E664D"/>
    <w:rsid w:val="005E681B"/>
    <w:rsid w:val="005E68C6"/>
    <w:rsid w:val="005E6CBC"/>
    <w:rsid w:val="005E72FF"/>
    <w:rsid w:val="005E736C"/>
    <w:rsid w:val="005E73C0"/>
    <w:rsid w:val="005E7AD9"/>
    <w:rsid w:val="005E7BA2"/>
    <w:rsid w:val="005F07DC"/>
    <w:rsid w:val="005F07ED"/>
    <w:rsid w:val="005F0D4A"/>
    <w:rsid w:val="005F1A79"/>
    <w:rsid w:val="005F2706"/>
    <w:rsid w:val="005F300A"/>
    <w:rsid w:val="005F37EC"/>
    <w:rsid w:val="005F3F7B"/>
    <w:rsid w:val="005F6036"/>
    <w:rsid w:val="005F6A8F"/>
    <w:rsid w:val="005F6BB7"/>
    <w:rsid w:val="005F730A"/>
    <w:rsid w:val="005F7588"/>
    <w:rsid w:val="005F772F"/>
    <w:rsid w:val="005F7FCB"/>
    <w:rsid w:val="006002CD"/>
    <w:rsid w:val="0060040F"/>
    <w:rsid w:val="006014E1"/>
    <w:rsid w:val="00601522"/>
    <w:rsid w:val="0060258E"/>
    <w:rsid w:val="006030BE"/>
    <w:rsid w:val="0060342E"/>
    <w:rsid w:val="00603DB9"/>
    <w:rsid w:val="00605171"/>
    <w:rsid w:val="00605BF3"/>
    <w:rsid w:val="00606FBA"/>
    <w:rsid w:val="00607595"/>
    <w:rsid w:val="00607669"/>
    <w:rsid w:val="006076F4"/>
    <w:rsid w:val="00607AFD"/>
    <w:rsid w:val="00607EB4"/>
    <w:rsid w:val="00610776"/>
    <w:rsid w:val="00610B89"/>
    <w:rsid w:val="00610FC1"/>
    <w:rsid w:val="006119DC"/>
    <w:rsid w:val="00611B12"/>
    <w:rsid w:val="00611C40"/>
    <w:rsid w:val="00611F83"/>
    <w:rsid w:val="006122B8"/>
    <w:rsid w:val="0061298D"/>
    <w:rsid w:val="00612F97"/>
    <w:rsid w:val="006132C3"/>
    <w:rsid w:val="006133FD"/>
    <w:rsid w:val="0061345D"/>
    <w:rsid w:val="00613553"/>
    <w:rsid w:val="006135B4"/>
    <w:rsid w:val="006138C7"/>
    <w:rsid w:val="00613CDB"/>
    <w:rsid w:val="00613E8E"/>
    <w:rsid w:val="006140B8"/>
    <w:rsid w:val="00614634"/>
    <w:rsid w:val="00614B23"/>
    <w:rsid w:val="0061549B"/>
    <w:rsid w:val="00615BD7"/>
    <w:rsid w:val="00615F3C"/>
    <w:rsid w:val="00616358"/>
    <w:rsid w:val="00616723"/>
    <w:rsid w:val="00616802"/>
    <w:rsid w:val="00616A38"/>
    <w:rsid w:val="00617E12"/>
    <w:rsid w:val="0062016B"/>
    <w:rsid w:val="00620BD5"/>
    <w:rsid w:val="00620C25"/>
    <w:rsid w:val="00620C97"/>
    <w:rsid w:val="00620CA9"/>
    <w:rsid w:val="00620EC8"/>
    <w:rsid w:val="00621477"/>
    <w:rsid w:val="006218E0"/>
    <w:rsid w:val="00621ADA"/>
    <w:rsid w:val="00621E93"/>
    <w:rsid w:val="00622351"/>
    <w:rsid w:val="00622895"/>
    <w:rsid w:val="00622ACA"/>
    <w:rsid w:val="00622F46"/>
    <w:rsid w:val="00623F3F"/>
    <w:rsid w:val="00623F7B"/>
    <w:rsid w:val="00624BD4"/>
    <w:rsid w:val="0062574E"/>
    <w:rsid w:val="0062582A"/>
    <w:rsid w:val="006266C0"/>
    <w:rsid w:val="00626890"/>
    <w:rsid w:val="00626FBA"/>
    <w:rsid w:val="0062744F"/>
    <w:rsid w:val="00627E8B"/>
    <w:rsid w:val="00630CCF"/>
    <w:rsid w:val="00630E56"/>
    <w:rsid w:val="006314D2"/>
    <w:rsid w:val="0063158F"/>
    <w:rsid w:val="00631808"/>
    <w:rsid w:val="00631B62"/>
    <w:rsid w:val="00631D6B"/>
    <w:rsid w:val="00632183"/>
    <w:rsid w:val="00632BA6"/>
    <w:rsid w:val="006330A1"/>
    <w:rsid w:val="006337A6"/>
    <w:rsid w:val="0063461C"/>
    <w:rsid w:val="0063479F"/>
    <w:rsid w:val="006350D9"/>
    <w:rsid w:val="00635342"/>
    <w:rsid w:val="006353F0"/>
    <w:rsid w:val="006357B5"/>
    <w:rsid w:val="00635D2D"/>
    <w:rsid w:val="00635E00"/>
    <w:rsid w:val="00635F47"/>
    <w:rsid w:val="006364A1"/>
    <w:rsid w:val="0063678E"/>
    <w:rsid w:val="00636896"/>
    <w:rsid w:val="00636EFD"/>
    <w:rsid w:val="006374EC"/>
    <w:rsid w:val="006378AC"/>
    <w:rsid w:val="006379A1"/>
    <w:rsid w:val="00637B8C"/>
    <w:rsid w:val="00637BFD"/>
    <w:rsid w:val="00637C0B"/>
    <w:rsid w:val="00637C5C"/>
    <w:rsid w:val="00640036"/>
    <w:rsid w:val="00640663"/>
    <w:rsid w:val="00640A2B"/>
    <w:rsid w:val="00640AC1"/>
    <w:rsid w:val="0064135C"/>
    <w:rsid w:val="00641ACE"/>
    <w:rsid w:val="00641C4E"/>
    <w:rsid w:val="00641FB3"/>
    <w:rsid w:val="006420DD"/>
    <w:rsid w:val="00642C7C"/>
    <w:rsid w:val="006439E3"/>
    <w:rsid w:val="00643A6A"/>
    <w:rsid w:val="00643BA9"/>
    <w:rsid w:val="00643BFD"/>
    <w:rsid w:val="00643C7F"/>
    <w:rsid w:val="00644034"/>
    <w:rsid w:val="00644099"/>
    <w:rsid w:val="0064434C"/>
    <w:rsid w:val="0064436A"/>
    <w:rsid w:val="00645191"/>
    <w:rsid w:val="00645464"/>
    <w:rsid w:val="0064637C"/>
    <w:rsid w:val="00646F0D"/>
    <w:rsid w:val="006471CC"/>
    <w:rsid w:val="00647249"/>
    <w:rsid w:val="006472FE"/>
    <w:rsid w:val="00647450"/>
    <w:rsid w:val="00647514"/>
    <w:rsid w:val="006477AD"/>
    <w:rsid w:val="00647A29"/>
    <w:rsid w:val="00647D21"/>
    <w:rsid w:val="0065079F"/>
    <w:rsid w:val="00651248"/>
    <w:rsid w:val="0065166B"/>
    <w:rsid w:val="006523AC"/>
    <w:rsid w:val="0065258A"/>
    <w:rsid w:val="00652A28"/>
    <w:rsid w:val="006530F4"/>
    <w:rsid w:val="00653288"/>
    <w:rsid w:val="00653302"/>
    <w:rsid w:val="0065379F"/>
    <w:rsid w:val="006544A8"/>
    <w:rsid w:val="006547B8"/>
    <w:rsid w:val="00654CA8"/>
    <w:rsid w:val="006550AF"/>
    <w:rsid w:val="00655455"/>
    <w:rsid w:val="00656188"/>
    <w:rsid w:val="00656E4F"/>
    <w:rsid w:val="0065715A"/>
    <w:rsid w:val="00657A8D"/>
    <w:rsid w:val="00657AF4"/>
    <w:rsid w:val="00657D90"/>
    <w:rsid w:val="006609B5"/>
    <w:rsid w:val="00660D36"/>
    <w:rsid w:val="006610F1"/>
    <w:rsid w:val="006618CE"/>
    <w:rsid w:val="00661C6B"/>
    <w:rsid w:val="00661D46"/>
    <w:rsid w:val="00661FA1"/>
    <w:rsid w:val="00662586"/>
    <w:rsid w:val="00662902"/>
    <w:rsid w:val="00662A80"/>
    <w:rsid w:val="00662D3E"/>
    <w:rsid w:val="00662E69"/>
    <w:rsid w:val="00662EC9"/>
    <w:rsid w:val="006631CF"/>
    <w:rsid w:val="00663C20"/>
    <w:rsid w:val="0066511D"/>
    <w:rsid w:val="006653A0"/>
    <w:rsid w:val="00667304"/>
    <w:rsid w:val="00667403"/>
    <w:rsid w:val="00667BE3"/>
    <w:rsid w:val="00667FAA"/>
    <w:rsid w:val="00670630"/>
    <w:rsid w:val="00670706"/>
    <w:rsid w:val="00670B9D"/>
    <w:rsid w:val="00670FAB"/>
    <w:rsid w:val="00671004"/>
    <w:rsid w:val="00671E46"/>
    <w:rsid w:val="00671E8D"/>
    <w:rsid w:val="00672646"/>
    <w:rsid w:val="006727FD"/>
    <w:rsid w:val="00672DA7"/>
    <w:rsid w:val="00673A0C"/>
    <w:rsid w:val="00674244"/>
    <w:rsid w:val="00674329"/>
    <w:rsid w:val="00674699"/>
    <w:rsid w:val="0067496E"/>
    <w:rsid w:val="00674E42"/>
    <w:rsid w:val="00674E64"/>
    <w:rsid w:val="006750F9"/>
    <w:rsid w:val="0067519C"/>
    <w:rsid w:val="00675EB4"/>
    <w:rsid w:val="0067607D"/>
    <w:rsid w:val="00676143"/>
    <w:rsid w:val="0067632F"/>
    <w:rsid w:val="006764DA"/>
    <w:rsid w:val="00676563"/>
    <w:rsid w:val="00676E80"/>
    <w:rsid w:val="00677503"/>
    <w:rsid w:val="00677BE1"/>
    <w:rsid w:val="00677C23"/>
    <w:rsid w:val="00680A2D"/>
    <w:rsid w:val="006813DF"/>
    <w:rsid w:val="006813F8"/>
    <w:rsid w:val="0068147D"/>
    <w:rsid w:val="00681535"/>
    <w:rsid w:val="00682112"/>
    <w:rsid w:val="00682827"/>
    <w:rsid w:val="00682BA6"/>
    <w:rsid w:val="00682E69"/>
    <w:rsid w:val="00683471"/>
    <w:rsid w:val="006839FB"/>
    <w:rsid w:val="00685D71"/>
    <w:rsid w:val="00686712"/>
    <w:rsid w:val="00686957"/>
    <w:rsid w:val="00687014"/>
    <w:rsid w:val="006872BA"/>
    <w:rsid w:val="006872D5"/>
    <w:rsid w:val="0068796F"/>
    <w:rsid w:val="00687D9D"/>
    <w:rsid w:val="00687DEB"/>
    <w:rsid w:val="00687F50"/>
    <w:rsid w:val="006901FC"/>
    <w:rsid w:val="00690737"/>
    <w:rsid w:val="00690795"/>
    <w:rsid w:val="00691164"/>
    <w:rsid w:val="00691648"/>
    <w:rsid w:val="006917D7"/>
    <w:rsid w:val="00691DBC"/>
    <w:rsid w:val="00691E42"/>
    <w:rsid w:val="00692CB5"/>
    <w:rsid w:val="006930FF"/>
    <w:rsid w:val="00693807"/>
    <w:rsid w:val="00693CB8"/>
    <w:rsid w:val="0069434C"/>
    <w:rsid w:val="00694D4E"/>
    <w:rsid w:val="00694E7F"/>
    <w:rsid w:val="00694F44"/>
    <w:rsid w:val="00695014"/>
    <w:rsid w:val="00695854"/>
    <w:rsid w:val="00695B2C"/>
    <w:rsid w:val="00695D6E"/>
    <w:rsid w:val="00696485"/>
    <w:rsid w:val="0069674F"/>
    <w:rsid w:val="00696EF9"/>
    <w:rsid w:val="00696F51"/>
    <w:rsid w:val="00697221"/>
    <w:rsid w:val="006978D1"/>
    <w:rsid w:val="006979A5"/>
    <w:rsid w:val="006A016F"/>
    <w:rsid w:val="006A0441"/>
    <w:rsid w:val="006A04F5"/>
    <w:rsid w:val="006A0DF7"/>
    <w:rsid w:val="006A0E2D"/>
    <w:rsid w:val="006A158A"/>
    <w:rsid w:val="006A1CF1"/>
    <w:rsid w:val="006A23E8"/>
    <w:rsid w:val="006A35C3"/>
    <w:rsid w:val="006A3BEC"/>
    <w:rsid w:val="006A4017"/>
    <w:rsid w:val="006A4321"/>
    <w:rsid w:val="006A43D9"/>
    <w:rsid w:val="006A5308"/>
    <w:rsid w:val="006A53EC"/>
    <w:rsid w:val="006A56FA"/>
    <w:rsid w:val="006A61BE"/>
    <w:rsid w:val="006A65EF"/>
    <w:rsid w:val="006A6949"/>
    <w:rsid w:val="006A6B99"/>
    <w:rsid w:val="006A702F"/>
    <w:rsid w:val="006A73C5"/>
    <w:rsid w:val="006A78CF"/>
    <w:rsid w:val="006A7B75"/>
    <w:rsid w:val="006A7BD6"/>
    <w:rsid w:val="006A7E5F"/>
    <w:rsid w:val="006A7FE5"/>
    <w:rsid w:val="006B261B"/>
    <w:rsid w:val="006B2749"/>
    <w:rsid w:val="006B2C90"/>
    <w:rsid w:val="006B2DC0"/>
    <w:rsid w:val="006B2E55"/>
    <w:rsid w:val="006B31DE"/>
    <w:rsid w:val="006B35E6"/>
    <w:rsid w:val="006B4007"/>
    <w:rsid w:val="006B4201"/>
    <w:rsid w:val="006B465A"/>
    <w:rsid w:val="006B4E97"/>
    <w:rsid w:val="006B57F2"/>
    <w:rsid w:val="006B58F3"/>
    <w:rsid w:val="006B6036"/>
    <w:rsid w:val="006B653D"/>
    <w:rsid w:val="006B6DD0"/>
    <w:rsid w:val="006B7456"/>
    <w:rsid w:val="006B780D"/>
    <w:rsid w:val="006C0287"/>
    <w:rsid w:val="006C02B8"/>
    <w:rsid w:val="006C0399"/>
    <w:rsid w:val="006C0DB6"/>
    <w:rsid w:val="006C1556"/>
    <w:rsid w:val="006C21A1"/>
    <w:rsid w:val="006C23CE"/>
    <w:rsid w:val="006C2A8E"/>
    <w:rsid w:val="006C2D98"/>
    <w:rsid w:val="006C3255"/>
    <w:rsid w:val="006C33E9"/>
    <w:rsid w:val="006C3F26"/>
    <w:rsid w:val="006C4229"/>
    <w:rsid w:val="006C443B"/>
    <w:rsid w:val="006C4FB9"/>
    <w:rsid w:val="006C5EB2"/>
    <w:rsid w:val="006C6748"/>
    <w:rsid w:val="006C759F"/>
    <w:rsid w:val="006C767D"/>
    <w:rsid w:val="006C7736"/>
    <w:rsid w:val="006C7B63"/>
    <w:rsid w:val="006D0112"/>
    <w:rsid w:val="006D032B"/>
    <w:rsid w:val="006D047F"/>
    <w:rsid w:val="006D0782"/>
    <w:rsid w:val="006D0BCD"/>
    <w:rsid w:val="006D0D17"/>
    <w:rsid w:val="006D0D18"/>
    <w:rsid w:val="006D0E89"/>
    <w:rsid w:val="006D1882"/>
    <w:rsid w:val="006D1E14"/>
    <w:rsid w:val="006D21C7"/>
    <w:rsid w:val="006D26CE"/>
    <w:rsid w:val="006D3608"/>
    <w:rsid w:val="006D3C7D"/>
    <w:rsid w:val="006D4659"/>
    <w:rsid w:val="006D4948"/>
    <w:rsid w:val="006D5D5F"/>
    <w:rsid w:val="006D68FB"/>
    <w:rsid w:val="006D6EBC"/>
    <w:rsid w:val="006D73ED"/>
    <w:rsid w:val="006D7D20"/>
    <w:rsid w:val="006D7D3F"/>
    <w:rsid w:val="006E0647"/>
    <w:rsid w:val="006E0FB1"/>
    <w:rsid w:val="006E127C"/>
    <w:rsid w:val="006E157B"/>
    <w:rsid w:val="006E1A55"/>
    <w:rsid w:val="006E1A88"/>
    <w:rsid w:val="006E1B26"/>
    <w:rsid w:val="006E1BC5"/>
    <w:rsid w:val="006E2277"/>
    <w:rsid w:val="006E24D2"/>
    <w:rsid w:val="006E253A"/>
    <w:rsid w:val="006E2868"/>
    <w:rsid w:val="006E3099"/>
    <w:rsid w:val="006E3B44"/>
    <w:rsid w:val="006E3E1E"/>
    <w:rsid w:val="006E4418"/>
    <w:rsid w:val="006E4649"/>
    <w:rsid w:val="006E46EB"/>
    <w:rsid w:val="006E4752"/>
    <w:rsid w:val="006E4FBE"/>
    <w:rsid w:val="006E5101"/>
    <w:rsid w:val="006E529D"/>
    <w:rsid w:val="006E53D1"/>
    <w:rsid w:val="006E6588"/>
    <w:rsid w:val="006E7494"/>
    <w:rsid w:val="006E7576"/>
    <w:rsid w:val="006E7A3A"/>
    <w:rsid w:val="006E7C70"/>
    <w:rsid w:val="006F0348"/>
    <w:rsid w:val="006F03FE"/>
    <w:rsid w:val="006F0C5C"/>
    <w:rsid w:val="006F217A"/>
    <w:rsid w:val="006F23C6"/>
    <w:rsid w:val="006F257E"/>
    <w:rsid w:val="006F29A3"/>
    <w:rsid w:val="006F306C"/>
    <w:rsid w:val="006F4D40"/>
    <w:rsid w:val="006F5B2D"/>
    <w:rsid w:val="006F63A5"/>
    <w:rsid w:val="006F64DD"/>
    <w:rsid w:val="006F6508"/>
    <w:rsid w:val="006F7255"/>
    <w:rsid w:val="006F7DA9"/>
    <w:rsid w:val="006F7DE5"/>
    <w:rsid w:val="00700DDF"/>
    <w:rsid w:val="0070134E"/>
    <w:rsid w:val="0070142B"/>
    <w:rsid w:val="00701C31"/>
    <w:rsid w:val="007020E4"/>
    <w:rsid w:val="0070252D"/>
    <w:rsid w:val="0070276E"/>
    <w:rsid w:val="0070295F"/>
    <w:rsid w:val="00702A01"/>
    <w:rsid w:val="00702D77"/>
    <w:rsid w:val="00702F8F"/>
    <w:rsid w:val="007046C7"/>
    <w:rsid w:val="00704E4A"/>
    <w:rsid w:val="00705118"/>
    <w:rsid w:val="00705531"/>
    <w:rsid w:val="00706B39"/>
    <w:rsid w:val="00707166"/>
    <w:rsid w:val="0070736A"/>
    <w:rsid w:val="007079FC"/>
    <w:rsid w:val="00710251"/>
    <w:rsid w:val="00710C48"/>
    <w:rsid w:val="00710CC6"/>
    <w:rsid w:val="00710FAB"/>
    <w:rsid w:val="0071190E"/>
    <w:rsid w:val="00711A36"/>
    <w:rsid w:val="00711C45"/>
    <w:rsid w:val="00711CB5"/>
    <w:rsid w:val="00711E67"/>
    <w:rsid w:val="007125D3"/>
    <w:rsid w:val="00712F0C"/>
    <w:rsid w:val="007133BC"/>
    <w:rsid w:val="00714AF1"/>
    <w:rsid w:val="00714C26"/>
    <w:rsid w:val="00714CAE"/>
    <w:rsid w:val="0071529C"/>
    <w:rsid w:val="00715697"/>
    <w:rsid w:val="00715718"/>
    <w:rsid w:val="00715CDC"/>
    <w:rsid w:val="00716A32"/>
    <w:rsid w:val="00716E1B"/>
    <w:rsid w:val="00716F44"/>
    <w:rsid w:val="00716F56"/>
    <w:rsid w:val="00716FC6"/>
    <w:rsid w:val="007170DA"/>
    <w:rsid w:val="007172AD"/>
    <w:rsid w:val="00717546"/>
    <w:rsid w:val="0071759F"/>
    <w:rsid w:val="00717C72"/>
    <w:rsid w:val="00720103"/>
    <w:rsid w:val="00720502"/>
    <w:rsid w:val="00720801"/>
    <w:rsid w:val="00720ACA"/>
    <w:rsid w:val="00721247"/>
    <w:rsid w:val="00721ED4"/>
    <w:rsid w:val="0072208F"/>
    <w:rsid w:val="00722B1B"/>
    <w:rsid w:val="00723408"/>
    <w:rsid w:val="00723693"/>
    <w:rsid w:val="0072416F"/>
    <w:rsid w:val="00724A5F"/>
    <w:rsid w:val="00725978"/>
    <w:rsid w:val="007261AC"/>
    <w:rsid w:val="0072717A"/>
    <w:rsid w:val="007273E5"/>
    <w:rsid w:val="00727739"/>
    <w:rsid w:val="00727C94"/>
    <w:rsid w:val="00727D40"/>
    <w:rsid w:val="00730498"/>
    <w:rsid w:val="00731B0A"/>
    <w:rsid w:val="00731D1C"/>
    <w:rsid w:val="00731EAE"/>
    <w:rsid w:val="007322BD"/>
    <w:rsid w:val="007325A9"/>
    <w:rsid w:val="0073297D"/>
    <w:rsid w:val="00732980"/>
    <w:rsid w:val="00733073"/>
    <w:rsid w:val="0073377B"/>
    <w:rsid w:val="00733E78"/>
    <w:rsid w:val="007343E1"/>
    <w:rsid w:val="00734DA8"/>
    <w:rsid w:val="00735033"/>
    <w:rsid w:val="00735328"/>
    <w:rsid w:val="00735FA6"/>
    <w:rsid w:val="00736411"/>
    <w:rsid w:val="00736714"/>
    <w:rsid w:val="0073685B"/>
    <w:rsid w:val="00736A41"/>
    <w:rsid w:val="00736CD6"/>
    <w:rsid w:val="00737027"/>
    <w:rsid w:val="00740030"/>
    <w:rsid w:val="00740257"/>
    <w:rsid w:val="007407CC"/>
    <w:rsid w:val="00742EA6"/>
    <w:rsid w:val="007435DE"/>
    <w:rsid w:val="00743BE2"/>
    <w:rsid w:val="00743EFC"/>
    <w:rsid w:val="00743F45"/>
    <w:rsid w:val="007449BF"/>
    <w:rsid w:val="00744AEA"/>
    <w:rsid w:val="00744DB4"/>
    <w:rsid w:val="00745604"/>
    <w:rsid w:val="007456CD"/>
    <w:rsid w:val="007457D3"/>
    <w:rsid w:val="00745ECE"/>
    <w:rsid w:val="007463FE"/>
    <w:rsid w:val="00746BC0"/>
    <w:rsid w:val="00746DBB"/>
    <w:rsid w:val="00747D33"/>
    <w:rsid w:val="007503E8"/>
    <w:rsid w:val="0075085F"/>
    <w:rsid w:val="00750A5A"/>
    <w:rsid w:val="007510B4"/>
    <w:rsid w:val="00752142"/>
    <w:rsid w:val="007521AF"/>
    <w:rsid w:val="007523F9"/>
    <w:rsid w:val="007525D2"/>
    <w:rsid w:val="007525E1"/>
    <w:rsid w:val="00753029"/>
    <w:rsid w:val="007533FE"/>
    <w:rsid w:val="0075357E"/>
    <w:rsid w:val="0075360F"/>
    <w:rsid w:val="00753B29"/>
    <w:rsid w:val="00754891"/>
    <w:rsid w:val="00754AA0"/>
    <w:rsid w:val="0075577A"/>
    <w:rsid w:val="00755BBD"/>
    <w:rsid w:val="0075687A"/>
    <w:rsid w:val="007573E8"/>
    <w:rsid w:val="0076049B"/>
    <w:rsid w:val="00760C4E"/>
    <w:rsid w:val="00760D65"/>
    <w:rsid w:val="00760F9E"/>
    <w:rsid w:val="007616E6"/>
    <w:rsid w:val="00761B3D"/>
    <w:rsid w:val="00761C42"/>
    <w:rsid w:val="007620B4"/>
    <w:rsid w:val="007627BE"/>
    <w:rsid w:val="00762A9A"/>
    <w:rsid w:val="00762ADB"/>
    <w:rsid w:val="007635A4"/>
    <w:rsid w:val="00763AA2"/>
    <w:rsid w:val="00764A17"/>
    <w:rsid w:val="00764F03"/>
    <w:rsid w:val="00765B1A"/>
    <w:rsid w:val="00765DC1"/>
    <w:rsid w:val="00767867"/>
    <w:rsid w:val="00767A81"/>
    <w:rsid w:val="00767B6F"/>
    <w:rsid w:val="00771559"/>
    <w:rsid w:val="00772F16"/>
    <w:rsid w:val="007730CE"/>
    <w:rsid w:val="00773990"/>
    <w:rsid w:val="00774E99"/>
    <w:rsid w:val="00775996"/>
    <w:rsid w:val="007759AE"/>
    <w:rsid w:val="0077618B"/>
    <w:rsid w:val="00776C9A"/>
    <w:rsid w:val="00776D92"/>
    <w:rsid w:val="00777335"/>
    <w:rsid w:val="00777B5D"/>
    <w:rsid w:val="00780695"/>
    <w:rsid w:val="00781692"/>
    <w:rsid w:val="007823D3"/>
    <w:rsid w:val="00782DC7"/>
    <w:rsid w:val="007832BD"/>
    <w:rsid w:val="0078336F"/>
    <w:rsid w:val="0078439F"/>
    <w:rsid w:val="007843F2"/>
    <w:rsid w:val="007846FA"/>
    <w:rsid w:val="007848BB"/>
    <w:rsid w:val="00785A9F"/>
    <w:rsid w:val="00785C31"/>
    <w:rsid w:val="00786179"/>
    <w:rsid w:val="007863C9"/>
    <w:rsid w:val="00786635"/>
    <w:rsid w:val="00786A1F"/>
    <w:rsid w:val="00786A36"/>
    <w:rsid w:val="00787022"/>
    <w:rsid w:val="007870CC"/>
    <w:rsid w:val="007877FD"/>
    <w:rsid w:val="00787813"/>
    <w:rsid w:val="007905FC"/>
    <w:rsid w:val="00790FCC"/>
    <w:rsid w:val="0079173B"/>
    <w:rsid w:val="007922DE"/>
    <w:rsid w:val="007925DF"/>
    <w:rsid w:val="00792BB7"/>
    <w:rsid w:val="0079378E"/>
    <w:rsid w:val="00793AB9"/>
    <w:rsid w:val="00793EC1"/>
    <w:rsid w:val="0079419D"/>
    <w:rsid w:val="00794DC2"/>
    <w:rsid w:val="0079502C"/>
    <w:rsid w:val="007978AA"/>
    <w:rsid w:val="007A015F"/>
    <w:rsid w:val="007A07B8"/>
    <w:rsid w:val="007A08AA"/>
    <w:rsid w:val="007A096B"/>
    <w:rsid w:val="007A0A12"/>
    <w:rsid w:val="007A0B83"/>
    <w:rsid w:val="007A132D"/>
    <w:rsid w:val="007A1345"/>
    <w:rsid w:val="007A187C"/>
    <w:rsid w:val="007A1EC9"/>
    <w:rsid w:val="007A2477"/>
    <w:rsid w:val="007A2DDB"/>
    <w:rsid w:val="007A35F8"/>
    <w:rsid w:val="007A364F"/>
    <w:rsid w:val="007A3807"/>
    <w:rsid w:val="007A419B"/>
    <w:rsid w:val="007A4791"/>
    <w:rsid w:val="007A4ACE"/>
    <w:rsid w:val="007A52AE"/>
    <w:rsid w:val="007A6367"/>
    <w:rsid w:val="007A636C"/>
    <w:rsid w:val="007A6A15"/>
    <w:rsid w:val="007A6C8E"/>
    <w:rsid w:val="007A6CFE"/>
    <w:rsid w:val="007A6D15"/>
    <w:rsid w:val="007A70BA"/>
    <w:rsid w:val="007A76A0"/>
    <w:rsid w:val="007B0168"/>
    <w:rsid w:val="007B0D68"/>
    <w:rsid w:val="007B0EEB"/>
    <w:rsid w:val="007B13E4"/>
    <w:rsid w:val="007B1FC6"/>
    <w:rsid w:val="007B251D"/>
    <w:rsid w:val="007B26E8"/>
    <w:rsid w:val="007B3149"/>
    <w:rsid w:val="007B31C6"/>
    <w:rsid w:val="007B3533"/>
    <w:rsid w:val="007B45F9"/>
    <w:rsid w:val="007B47D6"/>
    <w:rsid w:val="007B4965"/>
    <w:rsid w:val="007B4F58"/>
    <w:rsid w:val="007B5033"/>
    <w:rsid w:val="007B528D"/>
    <w:rsid w:val="007B585F"/>
    <w:rsid w:val="007B63CA"/>
    <w:rsid w:val="007B6B2E"/>
    <w:rsid w:val="007B6D32"/>
    <w:rsid w:val="007B77D1"/>
    <w:rsid w:val="007B7CB8"/>
    <w:rsid w:val="007B7FA6"/>
    <w:rsid w:val="007C0539"/>
    <w:rsid w:val="007C0799"/>
    <w:rsid w:val="007C07C7"/>
    <w:rsid w:val="007C08B0"/>
    <w:rsid w:val="007C1096"/>
    <w:rsid w:val="007C1CD9"/>
    <w:rsid w:val="007C2124"/>
    <w:rsid w:val="007C27B3"/>
    <w:rsid w:val="007C310D"/>
    <w:rsid w:val="007C32EF"/>
    <w:rsid w:val="007C361D"/>
    <w:rsid w:val="007C3A57"/>
    <w:rsid w:val="007C3C44"/>
    <w:rsid w:val="007C3F47"/>
    <w:rsid w:val="007C405D"/>
    <w:rsid w:val="007C4754"/>
    <w:rsid w:val="007C4B84"/>
    <w:rsid w:val="007C51E1"/>
    <w:rsid w:val="007C55F5"/>
    <w:rsid w:val="007C5A9D"/>
    <w:rsid w:val="007C64C0"/>
    <w:rsid w:val="007C6D98"/>
    <w:rsid w:val="007C70FF"/>
    <w:rsid w:val="007C7834"/>
    <w:rsid w:val="007C7B0C"/>
    <w:rsid w:val="007C7C25"/>
    <w:rsid w:val="007C7EFC"/>
    <w:rsid w:val="007D004F"/>
    <w:rsid w:val="007D01A8"/>
    <w:rsid w:val="007D035F"/>
    <w:rsid w:val="007D06B2"/>
    <w:rsid w:val="007D075E"/>
    <w:rsid w:val="007D0840"/>
    <w:rsid w:val="007D0B38"/>
    <w:rsid w:val="007D2114"/>
    <w:rsid w:val="007D2621"/>
    <w:rsid w:val="007D2A0A"/>
    <w:rsid w:val="007D2D1A"/>
    <w:rsid w:val="007D2DFF"/>
    <w:rsid w:val="007D4006"/>
    <w:rsid w:val="007D401A"/>
    <w:rsid w:val="007D4582"/>
    <w:rsid w:val="007D4B01"/>
    <w:rsid w:val="007D4BA2"/>
    <w:rsid w:val="007D4E25"/>
    <w:rsid w:val="007D5440"/>
    <w:rsid w:val="007D5CB3"/>
    <w:rsid w:val="007D680D"/>
    <w:rsid w:val="007D698A"/>
    <w:rsid w:val="007D69EB"/>
    <w:rsid w:val="007D6C8A"/>
    <w:rsid w:val="007D72C0"/>
    <w:rsid w:val="007D7354"/>
    <w:rsid w:val="007D7AE6"/>
    <w:rsid w:val="007D7CD8"/>
    <w:rsid w:val="007E0311"/>
    <w:rsid w:val="007E09BD"/>
    <w:rsid w:val="007E128F"/>
    <w:rsid w:val="007E192C"/>
    <w:rsid w:val="007E26C6"/>
    <w:rsid w:val="007E2783"/>
    <w:rsid w:val="007E2C53"/>
    <w:rsid w:val="007E2E11"/>
    <w:rsid w:val="007E4424"/>
    <w:rsid w:val="007E4C22"/>
    <w:rsid w:val="007E4D9A"/>
    <w:rsid w:val="007E6790"/>
    <w:rsid w:val="007E6CEE"/>
    <w:rsid w:val="007E6EAB"/>
    <w:rsid w:val="007E733F"/>
    <w:rsid w:val="007E73DE"/>
    <w:rsid w:val="007E7FF7"/>
    <w:rsid w:val="007F00AA"/>
    <w:rsid w:val="007F0C82"/>
    <w:rsid w:val="007F1017"/>
    <w:rsid w:val="007F12A6"/>
    <w:rsid w:val="007F13ED"/>
    <w:rsid w:val="007F1462"/>
    <w:rsid w:val="007F21E4"/>
    <w:rsid w:val="007F2552"/>
    <w:rsid w:val="007F2741"/>
    <w:rsid w:val="007F2E26"/>
    <w:rsid w:val="007F31C6"/>
    <w:rsid w:val="007F3475"/>
    <w:rsid w:val="007F3A4C"/>
    <w:rsid w:val="007F446C"/>
    <w:rsid w:val="007F4A3F"/>
    <w:rsid w:val="007F4A61"/>
    <w:rsid w:val="007F5255"/>
    <w:rsid w:val="007F56CC"/>
    <w:rsid w:val="007F5A94"/>
    <w:rsid w:val="007F5FC0"/>
    <w:rsid w:val="007F61C2"/>
    <w:rsid w:val="007F6B70"/>
    <w:rsid w:val="007F7072"/>
    <w:rsid w:val="007F7251"/>
    <w:rsid w:val="007F7412"/>
    <w:rsid w:val="007F7540"/>
    <w:rsid w:val="007F76A2"/>
    <w:rsid w:val="007F7D80"/>
    <w:rsid w:val="0080046A"/>
    <w:rsid w:val="008016C8"/>
    <w:rsid w:val="00801CD9"/>
    <w:rsid w:val="00801E9E"/>
    <w:rsid w:val="00801F58"/>
    <w:rsid w:val="00802105"/>
    <w:rsid w:val="00802183"/>
    <w:rsid w:val="00802526"/>
    <w:rsid w:val="00802D22"/>
    <w:rsid w:val="00803978"/>
    <w:rsid w:val="00804752"/>
    <w:rsid w:val="00804F47"/>
    <w:rsid w:val="00805142"/>
    <w:rsid w:val="0080574E"/>
    <w:rsid w:val="00805FCE"/>
    <w:rsid w:val="00806616"/>
    <w:rsid w:val="0080798D"/>
    <w:rsid w:val="00807A8B"/>
    <w:rsid w:val="00807D39"/>
    <w:rsid w:val="00810CFA"/>
    <w:rsid w:val="00811383"/>
    <w:rsid w:val="0081152A"/>
    <w:rsid w:val="00811F4E"/>
    <w:rsid w:val="00812149"/>
    <w:rsid w:val="0081228C"/>
    <w:rsid w:val="00812CAC"/>
    <w:rsid w:val="00813433"/>
    <w:rsid w:val="008137A1"/>
    <w:rsid w:val="008138BA"/>
    <w:rsid w:val="008138C2"/>
    <w:rsid w:val="008158C5"/>
    <w:rsid w:val="00815BAD"/>
    <w:rsid w:val="00815FB1"/>
    <w:rsid w:val="00816361"/>
    <w:rsid w:val="00816561"/>
    <w:rsid w:val="008166EF"/>
    <w:rsid w:val="008167C2"/>
    <w:rsid w:val="00816FEF"/>
    <w:rsid w:val="00817408"/>
    <w:rsid w:val="008175C5"/>
    <w:rsid w:val="0081764D"/>
    <w:rsid w:val="0081782D"/>
    <w:rsid w:val="00817DBC"/>
    <w:rsid w:val="008202A2"/>
    <w:rsid w:val="008204BA"/>
    <w:rsid w:val="00820A8C"/>
    <w:rsid w:val="00820D00"/>
    <w:rsid w:val="00821193"/>
    <w:rsid w:val="008212AA"/>
    <w:rsid w:val="008215FB"/>
    <w:rsid w:val="00821715"/>
    <w:rsid w:val="008219CE"/>
    <w:rsid w:val="00821A4D"/>
    <w:rsid w:val="00821E33"/>
    <w:rsid w:val="00821F7D"/>
    <w:rsid w:val="0082204E"/>
    <w:rsid w:val="008220CC"/>
    <w:rsid w:val="008222A7"/>
    <w:rsid w:val="008223D6"/>
    <w:rsid w:val="00822ECB"/>
    <w:rsid w:val="00822FC7"/>
    <w:rsid w:val="00823174"/>
    <w:rsid w:val="00823407"/>
    <w:rsid w:val="008234DA"/>
    <w:rsid w:val="00823A2C"/>
    <w:rsid w:val="008240E3"/>
    <w:rsid w:val="008242B9"/>
    <w:rsid w:val="00824852"/>
    <w:rsid w:val="00824915"/>
    <w:rsid w:val="00825357"/>
    <w:rsid w:val="008256AD"/>
    <w:rsid w:val="00825751"/>
    <w:rsid w:val="00825AFF"/>
    <w:rsid w:val="00825CD4"/>
    <w:rsid w:val="00825FBC"/>
    <w:rsid w:val="008264EB"/>
    <w:rsid w:val="008268CE"/>
    <w:rsid w:val="00826BEA"/>
    <w:rsid w:val="00826F11"/>
    <w:rsid w:val="00826F72"/>
    <w:rsid w:val="0082706D"/>
    <w:rsid w:val="00827629"/>
    <w:rsid w:val="00827653"/>
    <w:rsid w:val="00827780"/>
    <w:rsid w:val="00827C23"/>
    <w:rsid w:val="0083035F"/>
    <w:rsid w:val="00831735"/>
    <w:rsid w:val="008323B7"/>
    <w:rsid w:val="00832CBD"/>
    <w:rsid w:val="00833884"/>
    <w:rsid w:val="00833B05"/>
    <w:rsid w:val="00833DF2"/>
    <w:rsid w:val="00833F28"/>
    <w:rsid w:val="008341BE"/>
    <w:rsid w:val="008345E2"/>
    <w:rsid w:val="008352BB"/>
    <w:rsid w:val="00835673"/>
    <w:rsid w:val="0083569D"/>
    <w:rsid w:val="00835A2F"/>
    <w:rsid w:val="00835D95"/>
    <w:rsid w:val="008362B4"/>
    <w:rsid w:val="00836404"/>
    <w:rsid w:val="00836FEF"/>
    <w:rsid w:val="0083701E"/>
    <w:rsid w:val="0083751B"/>
    <w:rsid w:val="00837D1F"/>
    <w:rsid w:val="008400B2"/>
    <w:rsid w:val="0084046E"/>
    <w:rsid w:val="00840CA2"/>
    <w:rsid w:val="008414A9"/>
    <w:rsid w:val="00841E1E"/>
    <w:rsid w:val="00841F18"/>
    <w:rsid w:val="00842A98"/>
    <w:rsid w:val="00842DFA"/>
    <w:rsid w:val="00843355"/>
    <w:rsid w:val="0084374F"/>
    <w:rsid w:val="00844037"/>
    <w:rsid w:val="00844A22"/>
    <w:rsid w:val="00844E2F"/>
    <w:rsid w:val="0084508F"/>
    <w:rsid w:val="00845D4B"/>
    <w:rsid w:val="008463EB"/>
    <w:rsid w:val="00846626"/>
    <w:rsid w:val="00847703"/>
    <w:rsid w:val="00847B40"/>
    <w:rsid w:val="00847BE8"/>
    <w:rsid w:val="00847DF5"/>
    <w:rsid w:val="0085048B"/>
    <w:rsid w:val="00850885"/>
    <w:rsid w:val="00850DD6"/>
    <w:rsid w:val="0085138F"/>
    <w:rsid w:val="00851645"/>
    <w:rsid w:val="0085184A"/>
    <w:rsid w:val="00851A4A"/>
    <w:rsid w:val="00851F93"/>
    <w:rsid w:val="0085309D"/>
    <w:rsid w:val="008537CF"/>
    <w:rsid w:val="00853B25"/>
    <w:rsid w:val="00854ACF"/>
    <w:rsid w:val="0085513A"/>
    <w:rsid w:val="00855AF9"/>
    <w:rsid w:val="0085686E"/>
    <w:rsid w:val="00856897"/>
    <w:rsid w:val="00856E9A"/>
    <w:rsid w:val="00856E9F"/>
    <w:rsid w:val="0086005B"/>
    <w:rsid w:val="0086075D"/>
    <w:rsid w:val="008616B9"/>
    <w:rsid w:val="0086174D"/>
    <w:rsid w:val="008622EC"/>
    <w:rsid w:val="00862502"/>
    <w:rsid w:val="0086270B"/>
    <w:rsid w:val="00862CC1"/>
    <w:rsid w:val="0086389C"/>
    <w:rsid w:val="008642A7"/>
    <w:rsid w:val="008643D5"/>
    <w:rsid w:val="00864462"/>
    <w:rsid w:val="0086453C"/>
    <w:rsid w:val="00865590"/>
    <w:rsid w:val="00865697"/>
    <w:rsid w:val="00865826"/>
    <w:rsid w:val="00865EAA"/>
    <w:rsid w:val="00865F3E"/>
    <w:rsid w:val="008660D4"/>
    <w:rsid w:val="0086610C"/>
    <w:rsid w:val="0086625A"/>
    <w:rsid w:val="00866630"/>
    <w:rsid w:val="00866EE0"/>
    <w:rsid w:val="008675AE"/>
    <w:rsid w:val="00867801"/>
    <w:rsid w:val="00867FBE"/>
    <w:rsid w:val="008713F5"/>
    <w:rsid w:val="008716EE"/>
    <w:rsid w:val="0087180F"/>
    <w:rsid w:val="00871FA9"/>
    <w:rsid w:val="00872714"/>
    <w:rsid w:val="008728E9"/>
    <w:rsid w:val="00872C5C"/>
    <w:rsid w:val="008730E3"/>
    <w:rsid w:val="00873C71"/>
    <w:rsid w:val="00874161"/>
    <w:rsid w:val="00875099"/>
    <w:rsid w:val="008752E6"/>
    <w:rsid w:val="00875624"/>
    <w:rsid w:val="00875A0A"/>
    <w:rsid w:val="00875BB9"/>
    <w:rsid w:val="00876677"/>
    <w:rsid w:val="008775CE"/>
    <w:rsid w:val="00877689"/>
    <w:rsid w:val="0088000C"/>
    <w:rsid w:val="00880725"/>
    <w:rsid w:val="00880B42"/>
    <w:rsid w:val="0088114C"/>
    <w:rsid w:val="0088191D"/>
    <w:rsid w:val="00881E54"/>
    <w:rsid w:val="0088211A"/>
    <w:rsid w:val="0088268D"/>
    <w:rsid w:val="00882874"/>
    <w:rsid w:val="00882CB7"/>
    <w:rsid w:val="00882E3C"/>
    <w:rsid w:val="00882EB5"/>
    <w:rsid w:val="00882FD7"/>
    <w:rsid w:val="0088308A"/>
    <w:rsid w:val="008836F6"/>
    <w:rsid w:val="00883787"/>
    <w:rsid w:val="0088421A"/>
    <w:rsid w:val="00884311"/>
    <w:rsid w:val="00884616"/>
    <w:rsid w:val="008850C1"/>
    <w:rsid w:val="008855E4"/>
    <w:rsid w:val="0088617C"/>
    <w:rsid w:val="008868F5"/>
    <w:rsid w:val="00886CD2"/>
    <w:rsid w:val="008870E0"/>
    <w:rsid w:val="00887A87"/>
    <w:rsid w:val="00887CBE"/>
    <w:rsid w:val="00887D85"/>
    <w:rsid w:val="008902DB"/>
    <w:rsid w:val="00890720"/>
    <w:rsid w:val="00890A33"/>
    <w:rsid w:val="00891DE2"/>
    <w:rsid w:val="00891E6F"/>
    <w:rsid w:val="00892722"/>
    <w:rsid w:val="0089275D"/>
    <w:rsid w:val="00892A36"/>
    <w:rsid w:val="00892BD1"/>
    <w:rsid w:val="00892EEC"/>
    <w:rsid w:val="00893239"/>
    <w:rsid w:val="00894489"/>
    <w:rsid w:val="0089471F"/>
    <w:rsid w:val="00894CD6"/>
    <w:rsid w:val="00896106"/>
    <w:rsid w:val="00896140"/>
    <w:rsid w:val="008963A5"/>
    <w:rsid w:val="00896AC0"/>
    <w:rsid w:val="00896B91"/>
    <w:rsid w:val="00896C20"/>
    <w:rsid w:val="00896C29"/>
    <w:rsid w:val="00896D5D"/>
    <w:rsid w:val="00896FBE"/>
    <w:rsid w:val="00897363"/>
    <w:rsid w:val="00897717"/>
    <w:rsid w:val="008A0434"/>
    <w:rsid w:val="008A0E25"/>
    <w:rsid w:val="008A1053"/>
    <w:rsid w:val="008A11C2"/>
    <w:rsid w:val="008A1C50"/>
    <w:rsid w:val="008A208B"/>
    <w:rsid w:val="008A272C"/>
    <w:rsid w:val="008A28F3"/>
    <w:rsid w:val="008A2B79"/>
    <w:rsid w:val="008A30CD"/>
    <w:rsid w:val="008A3158"/>
    <w:rsid w:val="008A3363"/>
    <w:rsid w:val="008A3371"/>
    <w:rsid w:val="008A3C3E"/>
    <w:rsid w:val="008A4006"/>
    <w:rsid w:val="008A4AA3"/>
    <w:rsid w:val="008A4F16"/>
    <w:rsid w:val="008A5167"/>
    <w:rsid w:val="008A5244"/>
    <w:rsid w:val="008A5275"/>
    <w:rsid w:val="008A5B8B"/>
    <w:rsid w:val="008A5F9F"/>
    <w:rsid w:val="008A5FE6"/>
    <w:rsid w:val="008A6D42"/>
    <w:rsid w:val="008A702A"/>
    <w:rsid w:val="008A7650"/>
    <w:rsid w:val="008A781F"/>
    <w:rsid w:val="008A7845"/>
    <w:rsid w:val="008A79A4"/>
    <w:rsid w:val="008A79DE"/>
    <w:rsid w:val="008B03AE"/>
    <w:rsid w:val="008B0889"/>
    <w:rsid w:val="008B09AF"/>
    <w:rsid w:val="008B0AA2"/>
    <w:rsid w:val="008B14E9"/>
    <w:rsid w:val="008B14F3"/>
    <w:rsid w:val="008B15DB"/>
    <w:rsid w:val="008B1757"/>
    <w:rsid w:val="008B17E6"/>
    <w:rsid w:val="008B1C33"/>
    <w:rsid w:val="008B2292"/>
    <w:rsid w:val="008B25E4"/>
    <w:rsid w:val="008B268C"/>
    <w:rsid w:val="008B2D07"/>
    <w:rsid w:val="008B2E0F"/>
    <w:rsid w:val="008B2E10"/>
    <w:rsid w:val="008B3ACD"/>
    <w:rsid w:val="008B3D96"/>
    <w:rsid w:val="008B3E6B"/>
    <w:rsid w:val="008B4043"/>
    <w:rsid w:val="008B41B9"/>
    <w:rsid w:val="008B4785"/>
    <w:rsid w:val="008B4B6F"/>
    <w:rsid w:val="008B5A08"/>
    <w:rsid w:val="008B5DB6"/>
    <w:rsid w:val="008B60DC"/>
    <w:rsid w:val="008B69A6"/>
    <w:rsid w:val="008B6BE0"/>
    <w:rsid w:val="008B6CEF"/>
    <w:rsid w:val="008B6F76"/>
    <w:rsid w:val="008B7326"/>
    <w:rsid w:val="008B7805"/>
    <w:rsid w:val="008B7992"/>
    <w:rsid w:val="008B7A98"/>
    <w:rsid w:val="008B7C8E"/>
    <w:rsid w:val="008B7D7E"/>
    <w:rsid w:val="008C0229"/>
    <w:rsid w:val="008C065A"/>
    <w:rsid w:val="008C13D2"/>
    <w:rsid w:val="008C1DF9"/>
    <w:rsid w:val="008C2258"/>
    <w:rsid w:val="008C308F"/>
    <w:rsid w:val="008C30C3"/>
    <w:rsid w:val="008C318D"/>
    <w:rsid w:val="008C372E"/>
    <w:rsid w:val="008C5158"/>
    <w:rsid w:val="008C5610"/>
    <w:rsid w:val="008C5739"/>
    <w:rsid w:val="008C5874"/>
    <w:rsid w:val="008C5A16"/>
    <w:rsid w:val="008C5B57"/>
    <w:rsid w:val="008C5DFB"/>
    <w:rsid w:val="008C609F"/>
    <w:rsid w:val="008C657B"/>
    <w:rsid w:val="008C65A6"/>
    <w:rsid w:val="008C6AEB"/>
    <w:rsid w:val="008C7282"/>
    <w:rsid w:val="008C758C"/>
    <w:rsid w:val="008C7ECB"/>
    <w:rsid w:val="008D0406"/>
    <w:rsid w:val="008D0A23"/>
    <w:rsid w:val="008D1B1B"/>
    <w:rsid w:val="008D24A5"/>
    <w:rsid w:val="008D28BB"/>
    <w:rsid w:val="008D293D"/>
    <w:rsid w:val="008D29D7"/>
    <w:rsid w:val="008D29E8"/>
    <w:rsid w:val="008D3618"/>
    <w:rsid w:val="008D3B86"/>
    <w:rsid w:val="008D4063"/>
    <w:rsid w:val="008D410D"/>
    <w:rsid w:val="008D43FD"/>
    <w:rsid w:val="008D4755"/>
    <w:rsid w:val="008D4947"/>
    <w:rsid w:val="008D4A56"/>
    <w:rsid w:val="008D4C3D"/>
    <w:rsid w:val="008D4CD2"/>
    <w:rsid w:val="008D4E0A"/>
    <w:rsid w:val="008D4EC2"/>
    <w:rsid w:val="008D5211"/>
    <w:rsid w:val="008D5247"/>
    <w:rsid w:val="008D52FC"/>
    <w:rsid w:val="008D54F5"/>
    <w:rsid w:val="008D555E"/>
    <w:rsid w:val="008D5C88"/>
    <w:rsid w:val="008D5DA6"/>
    <w:rsid w:val="008D6019"/>
    <w:rsid w:val="008D743C"/>
    <w:rsid w:val="008D7859"/>
    <w:rsid w:val="008D7DB9"/>
    <w:rsid w:val="008E0617"/>
    <w:rsid w:val="008E0B92"/>
    <w:rsid w:val="008E0D3C"/>
    <w:rsid w:val="008E13FA"/>
    <w:rsid w:val="008E1584"/>
    <w:rsid w:val="008E1B9E"/>
    <w:rsid w:val="008E204F"/>
    <w:rsid w:val="008E2559"/>
    <w:rsid w:val="008E27DA"/>
    <w:rsid w:val="008E3608"/>
    <w:rsid w:val="008E45F6"/>
    <w:rsid w:val="008E4BC4"/>
    <w:rsid w:val="008E55AB"/>
    <w:rsid w:val="008E592A"/>
    <w:rsid w:val="008E5CB0"/>
    <w:rsid w:val="008E63BE"/>
    <w:rsid w:val="008E6744"/>
    <w:rsid w:val="008E688B"/>
    <w:rsid w:val="008E6A12"/>
    <w:rsid w:val="008E7A92"/>
    <w:rsid w:val="008E7F2D"/>
    <w:rsid w:val="008F010A"/>
    <w:rsid w:val="008F120A"/>
    <w:rsid w:val="008F1506"/>
    <w:rsid w:val="008F27E0"/>
    <w:rsid w:val="008F2950"/>
    <w:rsid w:val="008F2F73"/>
    <w:rsid w:val="008F40D1"/>
    <w:rsid w:val="008F48EB"/>
    <w:rsid w:val="008F4DB6"/>
    <w:rsid w:val="008F4E32"/>
    <w:rsid w:val="008F4F0B"/>
    <w:rsid w:val="008F4F5E"/>
    <w:rsid w:val="008F59D9"/>
    <w:rsid w:val="008F6A21"/>
    <w:rsid w:val="008F6B46"/>
    <w:rsid w:val="008F758D"/>
    <w:rsid w:val="008F7AE0"/>
    <w:rsid w:val="009002DF"/>
    <w:rsid w:val="0090159B"/>
    <w:rsid w:val="00902DFA"/>
    <w:rsid w:val="009038B1"/>
    <w:rsid w:val="00903F82"/>
    <w:rsid w:val="00904013"/>
    <w:rsid w:val="00904114"/>
    <w:rsid w:val="00904368"/>
    <w:rsid w:val="009046C4"/>
    <w:rsid w:val="00904D89"/>
    <w:rsid w:val="00905287"/>
    <w:rsid w:val="00905342"/>
    <w:rsid w:val="009057F2"/>
    <w:rsid w:val="00906292"/>
    <w:rsid w:val="009062A5"/>
    <w:rsid w:val="0090671E"/>
    <w:rsid w:val="0090730D"/>
    <w:rsid w:val="009075B3"/>
    <w:rsid w:val="00907699"/>
    <w:rsid w:val="00907C58"/>
    <w:rsid w:val="00907F47"/>
    <w:rsid w:val="00907FFD"/>
    <w:rsid w:val="009103B2"/>
    <w:rsid w:val="00910602"/>
    <w:rsid w:val="00910833"/>
    <w:rsid w:val="00910991"/>
    <w:rsid w:val="00910FA7"/>
    <w:rsid w:val="00911272"/>
    <w:rsid w:val="00911339"/>
    <w:rsid w:val="0091169C"/>
    <w:rsid w:val="00912818"/>
    <w:rsid w:val="00912DC9"/>
    <w:rsid w:val="00913230"/>
    <w:rsid w:val="009135D6"/>
    <w:rsid w:val="00913D62"/>
    <w:rsid w:val="00913F8D"/>
    <w:rsid w:val="00914C77"/>
    <w:rsid w:val="00914EF6"/>
    <w:rsid w:val="00914F6A"/>
    <w:rsid w:val="0091590F"/>
    <w:rsid w:val="00915BB9"/>
    <w:rsid w:val="009160A6"/>
    <w:rsid w:val="00916891"/>
    <w:rsid w:val="00916B22"/>
    <w:rsid w:val="00916F9F"/>
    <w:rsid w:val="0091745B"/>
    <w:rsid w:val="00917FFD"/>
    <w:rsid w:val="00920D2A"/>
    <w:rsid w:val="00921ACB"/>
    <w:rsid w:val="009234E0"/>
    <w:rsid w:val="0092369B"/>
    <w:rsid w:val="00923CE6"/>
    <w:rsid w:val="00925161"/>
    <w:rsid w:val="009252EB"/>
    <w:rsid w:val="0092587F"/>
    <w:rsid w:val="00925AB3"/>
    <w:rsid w:val="00925B73"/>
    <w:rsid w:val="00926B24"/>
    <w:rsid w:val="00926BA7"/>
    <w:rsid w:val="00926CBB"/>
    <w:rsid w:val="00926F3C"/>
    <w:rsid w:val="00927301"/>
    <w:rsid w:val="00927330"/>
    <w:rsid w:val="0092792E"/>
    <w:rsid w:val="00927D3A"/>
    <w:rsid w:val="00930099"/>
    <w:rsid w:val="00930B83"/>
    <w:rsid w:val="00930BC9"/>
    <w:rsid w:val="00930C66"/>
    <w:rsid w:val="009310CF"/>
    <w:rsid w:val="00931366"/>
    <w:rsid w:val="00931B9A"/>
    <w:rsid w:val="009320DA"/>
    <w:rsid w:val="00932878"/>
    <w:rsid w:val="00932A03"/>
    <w:rsid w:val="009330FA"/>
    <w:rsid w:val="00933C3D"/>
    <w:rsid w:val="00933C69"/>
    <w:rsid w:val="00933D33"/>
    <w:rsid w:val="00933F33"/>
    <w:rsid w:val="009343F0"/>
    <w:rsid w:val="00934661"/>
    <w:rsid w:val="00934988"/>
    <w:rsid w:val="00934AC9"/>
    <w:rsid w:val="00934B18"/>
    <w:rsid w:val="00937089"/>
    <w:rsid w:val="009410B6"/>
    <w:rsid w:val="00941D1B"/>
    <w:rsid w:val="0094228C"/>
    <w:rsid w:val="0094265C"/>
    <w:rsid w:val="009432A0"/>
    <w:rsid w:val="00943DFB"/>
    <w:rsid w:val="0094418C"/>
    <w:rsid w:val="0094480B"/>
    <w:rsid w:val="0094492D"/>
    <w:rsid w:val="00944F8A"/>
    <w:rsid w:val="009450FD"/>
    <w:rsid w:val="00945331"/>
    <w:rsid w:val="0094611A"/>
    <w:rsid w:val="009462FD"/>
    <w:rsid w:val="009465AC"/>
    <w:rsid w:val="009468D8"/>
    <w:rsid w:val="00946AC3"/>
    <w:rsid w:val="00946B28"/>
    <w:rsid w:val="0095007B"/>
    <w:rsid w:val="009510A2"/>
    <w:rsid w:val="0095113D"/>
    <w:rsid w:val="00951530"/>
    <w:rsid w:val="00952BFE"/>
    <w:rsid w:val="00952C0B"/>
    <w:rsid w:val="00952DF9"/>
    <w:rsid w:val="00953257"/>
    <w:rsid w:val="009540BE"/>
    <w:rsid w:val="00954662"/>
    <w:rsid w:val="0095474C"/>
    <w:rsid w:val="00955949"/>
    <w:rsid w:val="00955A42"/>
    <w:rsid w:val="00955AF2"/>
    <w:rsid w:val="009568D2"/>
    <w:rsid w:val="00956C36"/>
    <w:rsid w:val="00957B5D"/>
    <w:rsid w:val="00957C59"/>
    <w:rsid w:val="00957D92"/>
    <w:rsid w:val="009609BC"/>
    <w:rsid w:val="00960BF8"/>
    <w:rsid w:val="009611BA"/>
    <w:rsid w:val="00961255"/>
    <w:rsid w:val="0096182E"/>
    <w:rsid w:val="0096222E"/>
    <w:rsid w:val="0096262E"/>
    <w:rsid w:val="00962CB9"/>
    <w:rsid w:val="00962FAD"/>
    <w:rsid w:val="00962FFB"/>
    <w:rsid w:val="009632BB"/>
    <w:rsid w:val="00964312"/>
    <w:rsid w:val="0096479E"/>
    <w:rsid w:val="00964814"/>
    <w:rsid w:val="00964F9C"/>
    <w:rsid w:val="009651EF"/>
    <w:rsid w:val="00965363"/>
    <w:rsid w:val="00965AB9"/>
    <w:rsid w:val="00965B8A"/>
    <w:rsid w:val="00966365"/>
    <w:rsid w:val="00966458"/>
    <w:rsid w:val="00966BAA"/>
    <w:rsid w:val="00966BF6"/>
    <w:rsid w:val="00966C0B"/>
    <w:rsid w:val="00966E1F"/>
    <w:rsid w:val="00966E89"/>
    <w:rsid w:val="00967668"/>
    <w:rsid w:val="009676C5"/>
    <w:rsid w:val="009679BE"/>
    <w:rsid w:val="00967AE0"/>
    <w:rsid w:val="0097004A"/>
    <w:rsid w:val="009705DC"/>
    <w:rsid w:val="0097071F"/>
    <w:rsid w:val="00971012"/>
    <w:rsid w:val="0097129B"/>
    <w:rsid w:val="009712BF"/>
    <w:rsid w:val="009717AC"/>
    <w:rsid w:val="009723E6"/>
    <w:rsid w:val="00972FAB"/>
    <w:rsid w:val="00973754"/>
    <w:rsid w:val="009737A1"/>
    <w:rsid w:val="00973C48"/>
    <w:rsid w:val="00974667"/>
    <w:rsid w:val="009749DC"/>
    <w:rsid w:val="009751B6"/>
    <w:rsid w:val="009751C1"/>
    <w:rsid w:val="00975A01"/>
    <w:rsid w:val="00975BE9"/>
    <w:rsid w:val="00975CC4"/>
    <w:rsid w:val="00975DA6"/>
    <w:rsid w:val="0097633E"/>
    <w:rsid w:val="00976D67"/>
    <w:rsid w:val="00976E42"/>
    <w:rsid w:val="0097721D"/>
    <w:rsid w:val="00980487"/>
    <w:rsid w:val="009811F1"/>
    <w:rsid w:val="00981A7E"/>
    <w:rsid w:val="00982DC2"/>
    <w:rsid w:val="009835E6"/>
    <w:rsid w:val="00983E57"/>
    <w:rsid w:val="009843B8"/>
    <w:rsid w:val="009850FF"/>
    <w:rsid w:val="00985C39"/>
    <w:rsid w:val="00985D22"/>
    <w:rsid w:val="00985D67"/>
    <w:rsid w:val="00985DBD"/>
    <w:rsid w:val="00985DE2"/>
    <w:rsid w:val="00985F65"/>
    <w:rsid w:val="009864AC"/>
    <w:rsid w:val="0098675D"/>
    <w:rsid w:val="00986CEE"/>
    <w:rsid w:val="00986F01"/>
    <w:rsid w:val="009879D9"/>
    <w:rsid w:val="00987BA4"/>
    <w:rsid w:val="00987C78"/>
    <w:rsid w:val="00987FD6"/>
    <w:rsid w:val="00990096"/>
    <w:rsid w:val="009903B8"/>
    <w:rsid w:val="0099051B"/>
    <w:rsid w:val="00990BF0"/>
    <w:rsid w:val="00990EBC"/>
    <w:rsid w:val="00990FB8"/>
    <w:rsid w:val="009910BE"/>
    <w:rsid w:val="00992480"/>
    <w:rsid w:val="009926E0"/>
    <w:rsid w:val="0099297C"/>
    <w:rsid w:val="00992ECF"/>
    <w:rsid w:val="00993AF3"/>
    <w:rsid w:val="0099451E"/>
    <w:rsid w:val="00994611"/>
    <w:rsid w:val="0099489C"/>
    <w:rsid w:val="009948AB"/>
    <w:rsid w:val="00994D13"/>
    <w:rsid w:val="0099500D"/>
    <w:rsid w:val="00996B1A"/>
    <w:rsid w:val="009976E3"/>
    <w:rsid w:val="00997AC7"/>
    <w:rsid w:val="00997B15"/>
    <w:rsid w:val="00997F56"/>
    <w:rsid w:val="009A06E7"/>
    <w:rsid w:val="009A0F7C"/>
    <w:rsid w:val="009A18F6"/>
    <w:rsid w:val="009A2DCC"/>
    <w:rsid w:val="009A2E64"/>
    <w:rsid w:val="009A32FF"/>
    <w:rsid w:val="009A4424"/>
    <w:rsid w:val="009A452F"/>
    <w:rsid w:val="009A507C"/>
    <w:rsid w:val="009A567A"/>
    <w:rsid w:val="009A5ABC"/>
    <w:rsid w:val="009A601C"/>
    <w:rsid w:val="009A61FB"/>
    <w:rsid w:val="009A6765"/>
    <w:rsid w:val="009A6A88"/>
    <w:rsid w:val="009A78CC"/>
    <w:rsid w:val="009A7DC4"/>
    <w:rsid w:val="009A7F10"/>
    <w:rsid w:val="009B0593"/>
    <w:rsid w:val="009B0916"/>
    <w:rsid w:val="009B0DBA"/>
    <w:rsid w:val="009B145A"/>
    <w:rsid w:val="009B1763"/>
    <w:rsid w:val="009B17D2"/>
    <w:rsid w:val="009B2176"/>
    <w:rsid w:val="009B224C"/>
    <w:rsid w:val="009B27B7"/>
    <w:rsid w:val="009B284B"/>
    <w:rsid w:val="009B2B9B"/>
    <w:rsid w:val="009B3227"/>
    <w:rsid w:val="009B38FE"/>
    <w:rsid w:val="009B3E26"/>
    <w:rsid w:val="009B4949"/>
    <w:rsid w:val="009B4C1E"/>
    <w:rsid w:val="009B501F"/>
    <w:rsid w:val="009B50FA"/>
    <w:rsid w:val="009B625D"/>
    <w:rsid w:val="009B6943"/>
    <w:rsid w:val="009B6F1A"/>
    <w:rsid w:val="009B7335"/>
    <w:rsid w:val="009B7A5F"/>
    <w:rsid w:val="009C1271"/>
    <w:rsid w:val="009C157A"/>
    <w:rsid w:val="009C19B7"/>
    <w:rsid w:val="009C1FE1"/>
    <w:rsid w:val="009C3706"/>
    <w:rsid w:val="009C3A3A"/>
    <w:rsid w:val="009C3A93"/>
    <w:rsid w:val="009C3DF9"/>
    <w:rsid w:val="009C4C13"/>
    <w:rsid w:val="009C5906"/>
    <w:rsid w:val="009C59D6"/>
    <w:rsid w:val="009C621C"/>
    <w:rsid w:val="009C69C0"/>
    <w:rsid w:val="009C6CEA"/>
    <w:rsid w:val="009C7B85"/>
    <w:rsid w:val="009C7CA5"/>
    <w:rsid w:val="009C7D97"/>
    <w:rsid w:val="009D0254"/>
    <w:rsid w:val="009D03F3"/>
    <w:rsid w:val="009D04A2"/>
    <w:rsid w:val="009D0688"/>
    <w:rsid w:val="009D0936"/>
    <w:rsid w:val="009D0BFF"/>
    <w:rsid w:val="009D0D05"/>
    <w:rsid w:val="009D100F"/>
    <w:rsid w:val="009D107A"/>
    <w:rsid w:val="009D151D"/>
    <w:rsid w:val="009D1A64"/>
    <w:rsid w:val="009D1E59"/>
    <w:rsid w:val="009D2ABF"/>
    <w:rsid w:val="009D3416"/>
    <w:rsid w:val="009D4294"/>
    <w:rsid w:val="009D437B"/>
    <w:rsid w:val="009D4673"/>
    <w:rsid w:val="009D5B91"/>
    <w:rsid w:val="009D5DF6"/>
    <w:rsid w:val="009D61AB"/>
    <w:rsid w:val="009D745A"/>
    <w:rsid w:val="009D765F"/>
    <w:rsid w:val="009D78ED"/>
    <w:rsid w:val="009D792E"/>
    <w:rsid w:val="009D7A2C"/>
    <w:rsid w:val="009D7BA0"/>
    <w:rsid w:val="009D7EEC"/>
    <w:rsid w:val="009E0A6E"/>
    <w:rsid w:val="009E0B3E"/>
    <w:rsid w:val="009E0DFE"/>
    <w:rsid w:val="009E1F52"/>
    <w:rsid w:val="009E23AA"/>
    <w:rsid w:val="009E2CB9"/>
    <w:rsid w:val="009E2DAD"/>
    <w:rsid w:val="009E2F09"/>
    <w:rsid w:val="009E31F6"/>
    <w:rsid w:val="009E33B7"/>
    <w:rsid w:val="009E3522"/>
    <w:rsid w:val="009E3577"/>
    <w:rsid w:val="009E38DA"/>
    <w:rsid w:val="009E4215"/>
    <w:rsid w:val="009E4262"/>
    <w:rsid w:val="009E4610"/>
    <w:rsid w:val="009E4C07"/>
    <w:rsid w:val="009E4CB2"/>
    <w:rsid w:val="009E5340"/>
    <w:rsid w:val="009E5560"/>
    <w:rsid w:val="009E5BD4"/>
    <w:rsid w:val="009E6F02"/>
    <w:rsid w:val="009E7552"/>
    <w:rsid w:val="009E777F"/>
    <w:rsid w:val="009E7F9F"/>
    <w:rsid w:val="009F0102"/>
    <w:rsid w:val="009F1D76"/>
    <w:rsid w:val="009F1F4A"/>
    <w:rsid w:val="009F2288"/>
    <w:rsid w:val="009F2EFD"/>
    <w:rsid w:val="009F31EA"/>
    <w:rsid w:val="009F42B4"/>
    <w:rsid w:val="009F448B"/>
    <w:rsid w:val="009F4770"/>
    <w:rsid w:val="009F4B71"/>
    <w:rsid w:val="009F4C32"/>
    <w:rsid w:val="009F4F09"/>
    <w:rsid w:val="009F5DDA"/>
    <w:rsid w:val="009F6120"/>
    <w:rsid w:val="009F68C7"/>
    <w:rsid w:val="009F6D58"/>
    <w:rsid w:val="009F6E1D"/>
    <w:rsid w:val="009F7164"/>
    <w:rsid w:val="009F7CA5"/>
    <w:rsid w:val="009F7CE2"/>
    <w:rsid w:val="00A00BB6"/>
    <w:rsid w:val="00A00D76"/>
    <w:rsid w:val="00A00ED0"/>
    <w:rsid w:val="00A01184"/>
    <w:rsid w:val="00A01376"/>
    <w:rsid w:val="00A01449"/>
    <w:rsid w:val="00A02783"/>
    <w:rsid w:val="00A0280B"/>
    <w:rsid w:val="00A03320"/>
    <w:rsid w:val="00A033D4"/>
    <w:rsid w:val="00A037C2"/>
    <w:rsid w:val="00A03D43"/>
    <w:rsid w:val="00A04380"/>
    <w:rsid w:val="00A04786"/>
    <w:rsid w:val="00A047FE"/>
    <w:rsid w:val="00A05025"/>
    <w:rsid w:val="00A05472"/>
    <w:rsid w:val="00A05BC1"/>
    <w:rsid w:val="00A05C32"/>
    <w:rsid w:val="00A0653F"/>
    <w:rsid w:val="00A0686D"/>
    <w:rsid w:val="00A070F1"/>
    <w:rsid w:val="00A0745C"/>
    <w:rsid w:val="00A100B1"/>
    <w:rsid w:val="00A117B7"/>
    <w:rsid w:val="00A1193E"/>
    <w:rsid w:val="00A11CD0"/>
    <w:rsid w:val="00A123BD"/>
    <w:rsid w:val="00A12873"/>
    <w:rsid w:val="00A13225"/>
    <w:rsid w:val="00A1328D"/>
    <w:rsid w:val="00A13948"/>
    <w:rsid w:val="00A14438"/>
    <w:rsid w:val="00A145FF"/>
    <w:rsid w:val="00A14BAA"/>
    <w:rsid w:val="00A14C6F"/>
    <w:rsid w:val="00A1555B"/>
    <w:rsid w:val="00A155C5"/>
    <w:rsid w:val="00A15ED7"/>
    <w:rsid w:val="00A16AD8"/>
    <w:rsid w:val="00A16BBC"/>
    <w:rsid w:val="00A16E05"/>
    <w:rsid w:val="00A17D92"/>
    <w:rsid w:val="00A2021E"/>
    <w:rsid w:val="00A20416"/>
    <w:rsid w:val="00A21C00"/>
    <w:rsid w:val="00A21C95"/>
    <w:rsid w:val="00A21CD4"/>
    <w:rsid w:val="00A21CF3"/>
    <w:rsid w:val="00A222EC"/>
    <w:rsid w:val="00A223E6"/>
    <w:rsid w:val="00A226D3"/>
    <w:rsid w:val="00A226E8"/>
    <w:rsid w:val="00A23361"/>
    <w:rsid w:val="00A23F8B"/>
    <w:rsid w:val="00A241D9"/>
    <w:rsid w:val="00A24813"/>
    <w:rsid w:val="00A251D8"/>
    <w:rsid w:val="00A253A6"/>
    <w:rsid w:val="00A25B5D"/>
    <w:rsid w:val="00A2618D"/>
    <w:rsid w:val="00A26465"/>
    <w:rsid w:val="00A26BE3"/>
    <w:rsid w:val="00A26F91"/>
    <w:rsid w:val="00A2797D"/>
    <w:rsid w:val="00A27AEC"/>
    <w:rsid w:val="00A27BA6"/>
    <w:rsid w:val="00A302A2"/>
    <w:rsid w:val="00A3142A"/>
    <w:rsid w:val="00A320DB"/>
    <w:rsid w:val="00A328E0"/>
    <w:rsid w:val="00A32DF0"/>
    <w:rsid w:val="00A32F7B"/>
    <w:rsid w:val="00A33254"/>
    <w:rsid w:val="00A3349C"/>
    <w:rsid w:val="00A35A80"/>
    <w:rsid w:val="00A35AFA"/>
    <w:rsid w:val="00A35D16"/>
    <w:rsid w:val="00A35FA7"/>
    <w:rsid w:val="00A36D6B"/>
    <w:rsid w:val="00A37272"/>
    <w:rsid w:val="00A37BCD"/>
    <w:rsid w:val="00A405E1"/>
    <w:rsid w:val="00A40DCD"/>
    <w:rsid w:val="00A40E7D"/>
    <w:rsid w:val="00A413E2"/>
    <w:rsid w:val="00A41689"/>
    <w:rsid w:val="00A41E8B"/>
    <w:rsid w:val="00A41EE5"/>
    <w:rsid w:val="00A42191"/>
    <w:rsid w:val="00A42315"/>
    <w:rsid w:val="00A42592"/>
    <w:rsid w:val="00A42927"/>
    <w:rsid w:val="00A430FC"/>
    <w:rsid w:val="00A43708"/>
    <w:rsid w:val="00A43A43"/>
    <w:rsid w:val="00A43B02"/>
    <w:rsid w:val="00A43C59"/>
    <w:rsid w:val="00A444B3"/>
    <w:rsid w:val="00A448F0"/>
    <w:rsid w:val="00A44C5F"/>
    <w:rsid w:val="00A45145"/>
    <w:rsid w:val="00A4546E"/>
    <w:rsid w:val="00A45F78"/>
    <w:rsid w:val="00A46AB3"/>
    <w:rsid w:val="00A47063"/>
    <w:rsid w:val="00A474FF"/>
    <w:rsid w:val="00A50511"/>
    <w:rsid w:val="00A50A41"/>
    <w:rsid w:val="00A50C34"/>
    <w:rsid w:val="00A50C4A"/>
    <w:rsid w:val="00A50C98"/>
    <w:rsid w:val="00A50ECD"/>
    <w:rsid w:val="00A51131"/>
    <w:rsid w:val="00A518F3"/>
    <w:rsid w:val="00A52729"/>
    <w:rsid w:val="00A53675"/>
    <w:rsid w:val="00A538A8"/>
    <w:rsid w:val="00A53BA7"/>
    <w:rsid w:val="00A543FD"/>
    <w:rsid w:val="00A54743"/>
    <w:rsid w:val="00A5538C"/>
    <w:rsid w:val="00A55570"/>
    <w:rsid w:val="00A555D4"/>
    <w:rsid w:val="00A55718"/>
    <w:rsid w:val="00A55FAD"/>
    <w:rsid w:val="00A560BA"/>
    <w:rsid w:val="00A564D7"/>
    <w:rsid w:val="00A56B6A"/>
    <w:rsid w:val="00A57000"/>
    <w:rsid w:val="00A570FD"/>
    <w:rsid w:val="00A57156"/>
    <w:rsid w:val="00A57308"/>
    <w:rsid w:val="00A578DC"/>
    <w:rsid w:val="00A60D6C"/>
    <w:rsid w:val="00A61C36"/>
    <w:rsid w:val="00A625C9"/>
    <w:rsid w:val="00A626B9"/>
    <w:rsid w:val="00A62D23"/>
    <w:rsid w:val="00A62F42"/>
    <w:rsid w:val="00A6370E"/>
    <w:rsid w:val="00A6381D"/>
    <w:rsid w:val="00A63836"/>
    <w:rsid w:val="00A63BF2"/>
    <w:rsid w:val="00A64046"/>
    <w:rsid w:val="00A640E2"/>
    <w:rsid w:val="00A64665"/>
    <w:rsid w:val="00A64A65"/>
    <w:rsid w:val="00A64D65"/>
    <w:rsid w:val="00A65795"/>
    <w:rsid w:val="00A66006"/>
    <w:rsid w:val="00A66E48"/>
    <w:rsid w:val="00A66E5E"/>
    <w:rsid w:val="00A6705E"/>
    <w:rsid w:val="00A6725B"/>
    <w:rsid w:val="00A673E6"/>
    <w:rsid w:val="00A673FA"/>
    <w:rsid w:val="00A70605"/>
    <w:rsid w:val="00A70F39"/>
    <w:rsid w:val="00A7130D"/>
    <w:rsid w:val="00A71495"/>
    <w:rsid w:val="00A714A6"/>
    <w:rsid w:val="00A71515"/>
    <w:rsid w:val="00A7187A"/>
    <w:rsid w:val="00A719BF"/>
    <w:rsid w:val="00A720EF"/>
    <w:rsid w:val="00A720FD"/>
    <w:rsid w:val="00A73134"/>
    <w:rsid w:val="00A7332D"/>
    <w:rsid w:val="00A7337B"/>
    <w:rsid w:val="00A733DF"/>
    <w:rsid w:val="00A7347B"/>
    <w:rsid w:val="00A7365A"/>
    <w:rsid w:val="00A73F4C"/>
    <w:rsid w:val="00A74163"/>
    <w:rsid w:val="00A74BDE"/>
    <w:rsid w:val="00A74FCC"/>
    <w:rsid w:val="00A75D88"/>
    <w:rsid w:val="00A76001"/>
    <w:rsid w:val="00A777B2"/>
    <w:rsid w:val="00A8141A"/>
    <w:rsid w:val="00A81629"/>
    <w:rsid w:val="00A81D88"/>
    <w:rsid w:val="00A820D4"/>
    <w:rsid w:val="00A82320"/>
    <w:rsid w:val="00A825D4"/>
    <w:rsid w:val="00A828F6"/>
    <w:rsid w:val="00A82B73"/>
    <w:rsid w:val="00A83099"/>
    <w:rsid w:val="00A83E06"/>
    <w:rsid w:val="00A840F0"/>
    <w:rsid w:val="00A841A7"/>
    <w:rsid w:val="00A84A2E"/>
    <w:rsid w:val="00A84A46"/>
    <w:rsid w:val="00A84A52"/>
    <w:rsid w:val="00A84DE5"/>
    <w:rsid w:val="00A8511C"/>
    <w:rsid w:val="00A85339"/>
    <w:rsid w:val="00A8575F"/>
    <w:rsid w:val="00A85B50"/>
    <w:rsid w:val="00A85DE6"/>
    <w:rsid w:val="00A86083"/>
    <w:rsid w:val="00A86291"/>
    <w:rsid w:val="00A862DA"/>
    <w:rsid w:val="00A86E8B"/>
    <w:rsid w:val="00A87164"/>
    <w:rsid w:val="00A8799B"/>
    <w:rsid w:val="00A9057F"/>
    <w:rsid w:val="00A91653"/>
    <w:rsid w:val="00A92DA0"/>
    <w:rsid w:val="00A92DE8"/>
    <w:rsid w:val="00A92E19"/>
    <w:rsid w:val="00A93072"/>
    <w:rsid w:val="00A9322A"/>
    <w:rsid w:val="00A938BD"/>
    <w:rsid w:val="00A93953"/>
    <w:rsid w:val="00A94902"/>
    <w:rsid w:val="00A9504F"/>
    <w:rsid w:val="00A95232"/>
    <w:rsid w:val="00A959D8"/>
    <w:rsid w:val="00A959F3"/>
    <w:rsid w:val="00A95B66"/>
    <w:rsid w:val="00A95D12"/>
    <w:rsid w:val="00A961ED"/>
    <w:rsid w:val="00A966C1"/>
    <w:rsid w:val="00A9692C"/>
    <w:rsid w:val="00A96EF2"/>
    <w:rsid w:val="00A9736D"/>
    <w:rsid w:val="00A977F5"/>
    <w:rsid w:val="00A97D09"/>
    <w:rsid w:val="00AA0087"/>
    <w:rsid w:val="00AA0DB2"/>
    <w:rsid w:val="00AA10F1"/>
    <w:rsid w:val="00AA113D"/>
    <w:rsid w:val="00AA11FA"/>
    <w:rsid w:val="00AA12AE"/>
    <w:rsid w:val="00AA17F5"/>
    <w:rsid w:val="00AA1899"/>
    <w:rsid w:val="00AA21C9"/>
    <w:rsid w:val="00AA2302"/>
    <w:rsid w:val="00AA28E6"/>
    <w:rsid w:val="00AA30DD"/>
    <w:rsid w:val="00AA38BC"/>
    <w:rsid w:val="00AA3D3E"/>
    <w:rsid w:val="00AA4568"/>
    <w:rsid w:val="00AA48BF"/>
    <w:rsid w:val="00AA4A37"/>
    <w:rsid w:val="00AA4BA1"/>
    <w:rsid w:val="00AA6BD5"/>
    <w:rsid w:val="00AA6BD8"/>
    <w:rsid w:val="00AA6C7D"/>
    <w:rsid w:val="00AA70B2"/>
    <w:rsid w:val="00AA7826"/>
    <w:rsid w:val="00AA7FD6"/>
    <w:rsid w:val="00AB02C7"/>
    <w:rsid w:val="00AB042A"/>
    <w:rsid w:val="00AB0C2B"/>
    <w:rsid w:val="00AB11AD"/>
    <w:rsid w:val="00AB15EE"/>
    <w:rsid w:val="00AB19E6"/>
    <w:rsid w:val="00AB19EF"/>
    <w:rsid w:val="00AB1EAC"/>
    <w:rsid w:val="00AB218B"/>
    <w:rsid w:val="00AB2495"/>
    <w:rsid w:val="00AB25AE"/>
    <w:rsid w:val="00AB2D34"/>
    <w:rsid w:val="00AB2F85"/>
    <w:rsid w:val="00AB3430"/>
    <w:rsid w:val="00AB3509"/>
    <w:rsid w:val="00AB37B9"/>
    <w:rsid w:val="00AB4AD1"/>
    <w:rsid w:val="00AB4E0D"/>
    <w:rsid w:val="00AB512C"/>
    <w:rsid w:val="00AB5E07"/>
    <w:rsid w:val="00AB6FD9"/>
    <w:rsid w:val="00AB79B7"/>
    <w:rsid w:val="00AB7B6F"/>
    <w:rsid w:val="00AB7CFA"/>
    <w:rsid w:val="00AB7F3B"/>
    <w:rsid w:val="00AC0BE8"/>
    <w:rsid w:val="00AC130D"/>
    <w:rsid w:val="00AC1494"/>
    <w:rsid w:val="00AC15BA"/>
    <w:rsid w:val="00AC1F6B"/>
    <w:rsid w:val="00AC1F96"/>
    <w:rsid w:val="00AC2EB8"/>
    <w:rsid w:val="00AC331A"/>
    <w:rsid w:val="00AC3A75"/>
    <w:rsid w:val="00AC416A"/>
    <w:rsid w:val="00AC4CFF"/>
    <w:rsid w:val="00AC5216"/>
    <w:rsid w:val="00AC5549"/>
    <w:rsid w:val="00AC5B42"/>
    <w:rsid w:val="00AC5B48"/>
    <w:rsid w:val="00AC6496"/>
    <w:rsid w:val="00AC64C8"/>
    <w:rsid w:val="00AC6621"/>
    <w:rsid w:val="00AC6847"/>
    <w:rsid w:val="00AC6DCF"/>
    <w:rsid w:val="00AC6F57"/>
    <w:rsid w:val="00AC72E5"/>
    <w:rsid w:val="00AC7326"/>
    <w:rsid w:val="00AC7A0F"/>
    <w:rsid w:val="00AD086F"/>
    <w:rsid w:val="00AD0958"/>
    <w:rsid w:val="00AD0C25"/>
    <w:rsid w:val="00AD12C7"/>
    <w:rsid w:val="00AD1450"/>
    <w:rsid w:val="00AD15E8"/>
    <w:rsid w:val="00AD1EEF"/>
    <w:rsid w:val="00AD22E0"/>
    <w:rsid w:val="00AD356D"/>
    <w:rsid w:val="00AD3742"/>
    <w:rsid w:val="00AD39A6"/>
    <w:rsid w:val="00AD4092"/>
    <w:rsid w:val="00AD4FD9"/>
    <w:rsid w:val="00AD5E06"/>
    <w:rsid w:val="00AD62A7"/>
    <w:rsid w:val="00AD6502"/>
    <w:rsid w:val="00AD6714"/>
    <w:rsid w:val="00AD6D85"/>
    <w:rsid w:val="00AD6E70"/>
    <w:rsid w:val="00AD72F2"/>
    <w:rsid w:val="00AD745E"/>
    <w:rsid w:val="00AD765F"/>
    <w:rsid w:val="00AD7928"/>
    <w:rsid w:val="00AE0695"/>
    <w:rsid w:val="00AE11B9"/>
    <w:rsid w:val="00AE2454"/>
    <w:rsid w:val="00AE2859"/>
    <w:rsid w:val="00AE2941"/>
    <w:rsid w:val="00AE2A43"/>
    <w:rsid w:val="00AE2CA7"/>
    <w:rsid w:val="00AE301E"/>
    <w:rsid w:val="00AE3AB1"/>
    <w:rsid w:val="00AE3BB6"/>
    <w:rsid w:val="00AE3D5E"/>
    <w:rsid w:val="00AE3E7E"/>
    <w:rsid w:val="00AE4C0A"/>
    <w:rsid w:val="00AE4FCA"/>
    <w:rsid w:val="00AE5615"/>
    <w:rsid w:val="00AE5FC0"/>
    <w:rsid w:val="00AE6360"/>
    <w:rsid w:val="00AE6362"/>
    <w:rsid w:val="00AE63E1"/>
    <w:rsid w:val="00AE64DD"/>
    <w:rsid w:val="00AE7A67"/>
    <w:rsid w:val="00AE7E53"/>
    <w:rsid w:val="00AF0E13"/>
    <w:rsid w:val="00AF1315"/>
    <w:rsid w:val="00AF184F"/>
    <w:rsid w:val="00AF19BF"/>
    <w:rsid w:val="00AF1F5E"/>
    <w:rsid w:val="00AF1FC1"/>
    <w:rsid w:val="00AF213C"/>
    <w:rsid w:val="00AF2832"/>
    <w:rsid w:val="00AF2A77"/>
    <w:rsid w:val="00AF2B1D"/>
    <w:rsid w:val="00AF2B8F"/>
    <w:rsid w:val="00AF2DC3"/>
    <w:rsid w:val="00AF2FCA"/>
    <w:rsid w:val="00AF30A0"/>
    <w:rsid w:val="00AF31E6"/>
    <w:rsid w:val="00AF3513"/>
    <w:rsid w:val="00AF4532"/>
    <w:rsid w:val="00AF519A"/>
    <w:rsid w:val="00AF5229"/>
    <w:rsid w:val="00AF6569"/>
    <w:rsid w:val="00AF6632"/>
    <w:rsid w:val="00AF699C"/>
    <w:rsid w:val="00AF7494"/>
    <w:rsid w:val="00B00800"/>
    <w:rsid w:val="00B00B0A"/>
    <w:rsid w:val="00B00D30"/>
    <w:rsid w:val="00B01C36"/>
    <w:rsid w:val="00B02BBA"/>
    <w:rsid w:val="00B02E05"/>
    <w:rsid w:val="00B033E5"/>
    <w:rsid w:val="00B038B8"/>
    <w:rsid w:val="00B03A63"/>
    <w:rsid w:val="00B03DF6"/>
    <w:rsid w:val="00B04665"/>
    <w:rsid w:val="00B05224"/>
    <w:rsid w:val="00B05364"/>
    <w:rsid w:val="00B055CE"/>
    <w:rsid w:val="00B05A2A"/>
    <w:rsid w:val="00B05BE7"/>
    <w:rsid w:val="00B06063"/>
    <w:rsid w:val="00B0644A"/>
    <w:rsid w:val="00B07984"/>
    <w:rsid w:val="00B07987"/>
    <w:rsid w:val="00B10213"/>
    <w:rsid w:val="00B1196D"/>
    <w:rsid w:val="00B11DA2"/>
    <w:rsid w:val="00B126E7"/>
    <w:rsid w:val="00B1289F"/>
    <w:rsid w:val="00B129A4"/>
    <w:rsid w:val="00B13052"/>
    <w:rsid w:val="00B130AF"/>
    <w:rsid w:val="00B13473"/>
    <w:rsid w:val="00B13B60"/>
    <w:rsid w:val="00B146B8"/>
    <w:rsid w:val="00B14718"/>
    <w:rsid w:val="00B14762"/>
    <w:rsid w:val="00B149C0"/>
    <w:rsid w:val="00B14DD3"/>
    <w:rsid w:val="00B15076"/>
    <w:rsid w:val="00B150CC"/>
    <w:rsid w:val="00B158AB"/>
    <w:rsid w:val="00B15B6F"/>
    <w:rsid w:val="00B160CA"/>
    <w:rsid w:val="00B169A2"/>
    <w:rsid w:val="00B17455"/>
    <w:rsid w:val="00B17684"/>
    <w:rsid w:val="00B17799"/>
    <w:rsid w:val="00B17C52"/>
    <w:rsid w:val="00B17DED"/>
    <w:rsid w:val="00B17F84"/>
    <w:rsid w:val="00B201A4"/>
    <w:rsid w:val="00B201D1"/>
    <w:rsid w:val="00B2061C"/>
    <w:rsid w:val="00B20A8A"/>
    <w:rsid w:val="00B20F28"/>
    <w:rsid w:val="00B21268"/>
    <w:rsid w:val="00B213A6"/>
    <w:rsid w:val="00B21483"/>
    <w:rsid w:val="00B2148D"/>
    <w:rsid w:val="00B21ACD"/>
    <w:rsid w:val="00B226E1"/>
    <w:rsid w:val="00B22E9A"/>
    <w:rsid w:val="00B23567"/>
    <w:rsid w:val="00B235B0"/>
    <w:rsid w:val="00B23A3C"/>
    <w:rsid w:val="00B245E4"/>
    <w:rsid w:val="00B24620"/>
    <w:rsid w:val="00B24975"/>
    <w:rsid w:val="00B24BF6"/>
    <w:rsid w:val="00B24DF6"/>
    <w:rsid w:val="00B25076"/>
    <w:rsid w:val="00B250B1"/>
    <w:rsid w:val="00B25881"/>
    <w:rsid w:val="00B25A25"/>
    <w:rsid w:val="00B25B77"/>
    <w:rsid w:val="00B26795"/>
    <w:rsid w:val="00B268C0"/>
    <w:rsid w:val="00B272F0"/>
    <w:rsid w:val="00B27A61"/>
    <w:rsid w:val="00B27F7B"/>
    <w:rsid w:val="00B30FD9"/>
    <w:rsid w:val="00B322D6"/>
    <w:rsid w:val="00B32EB5"/>
    <w:rsid w:val="00B32EE8"/>
    <w:rsid w:val="00B33184"/>
    <w:rsid w:val="00B3324C"/>
    <w:rsid w:val="00B33D08"/>
    <w:rsid w:val="00B33E3F"/>
    <w:rsid w:val="00B34FE2"/>
    <w:rsid w:val="00B35166"/>
    <w:rsid w:val="00B357D8"/>
    <w:rsid w:val="00B35853"/>
    <w:rsid w:val="00B360F4"/>
    <w:rsid w:val="00B36A00"/>
    <w:rsid w:val="00B3792B"/>
    <w:rsid w:val="00B37AE4"/>
    <w:rsid w:val="00B37BFC"/>
    <w:rsid w:val="00B40035"/>
    <w:rsid w:val="00B401B5"/>
    <w:rsid w:val="00B40358"/>
    <w:rsid w:val="00B40904"/>
    <w:rsid w:val="00B41556"/>
    <w:rsid w:val="00B41614"/>
    <w:rsid w:val="00B41735"/>
    <w:rsid w:val="00B41ADA"/>
    <w:rsid w:val="00B41D13"/>
    <w:rsid w:val="00B42021"/>
    <w:rsid w:val="00B421F2"/>
    <w:rsid w:val="00B42848"/>
    <w:rsid w:val="00B42851"/>
    <w:rsid w:val="00B42DF5"/>
    <w:rsid w:val="00B42F80"/>
    <w:rsid w:val="00B42FC5"/>
    <w:rsid w:val="00B431F9"/>
    <w:rsid w:val="00B435CB"/>
    <w:rsid w:val="00B43B62"/>
    <w:rsid w:val="00B44342"/>
    <w:rsid w:val="00B4436F"/>
    <w:rsid w:val="00B44708"/>
    <w:rsid w:val="00B44781"/>
    <w:rsid w:val="00B4517F"/>
    <w:rsid w:val="00B457C0"/>
    <w:rsid w:val="00B458E2"/>
    <w:rsid w:val="00B45BA4"/>
    <w:rsid w:val="00B46331"/>
    <w:rsid w:val="00B46571"/>
    <w:rsid w:val="00B465EC"/>
    <w:rsid w:val="00B46731"/>
    <w:rsid w:val="00B46804"/>
    <w:rsid w:val="00B46A04"/>
    <w:rsid w:val="00B46F52"/>
    <w:rsid w:val="00B472CE"/>
    <w:rsid w:val="00B475CC"/>
    <w:rsid w:val="00B4785E"/>
    <w:rsid w:val="00B47ADD"/>
    <w:rsid w:val="00B501DF"/>
    <w:rsid w:val="00B50553"/>
    <w:rsid w:val="00B505C8"/>
    <w:rsid w:val="00B50863"/>
    <w:rsid w:val="00B50DB8"/>
    <w:rsid w:val="00B50E35"/>
    <w:rsid w:val="00B50FA5"/>
    <w:rsid w:val="00B50FAC"/>
    <w:rsid w:val="00B51ACD"/>
    <w:rsid w:val="00B51C49"/>
    <w:rsid w:val="00B52147"/>
    <w:rsid w:val="00B521B3"/>
    <w:rsid w:val="00B527CA"/>
    <w:rsid w:val="00B52E51"/>
    <w:rsid w:val="00B533D1"/>
    <w:rsid w:val="00B53654"/>
    <w:rsid w:val="00B53879"/>
    <w:rsid w:val="00B53905"/>
    <w:rsid w:val="00B53A8E"/>
    <w:rsid w:val="00B546DB"/>
    <w:rsid w:val="00B54A79"/>
    <w:rsid w:val="00B54B5B"/>
    <w:rsid w:val="00B54BB5"/>
    <w:rsid w:val="00B54F26"/>
    <w:rsid w:val="00B55192"/>
    <w:rsid w:val="00B5532D"/>
    <w:rsid w:val="00B5562E"/>
    <w:rsid w:val="00B55855"/>
    <w:rsid w:val="00B55862"/>
    <w:rsid w:val="00B55D65"/>
    <w:rsid w:val="00B56305"/>
    <w:rsid w:val="00B56DC4"/>
    <w:rsid w:val="00B57000"/>
    <w:rsid w:val="00B57016"/>
    <w:rsid w:val="00B57059"/>
    <w:rsid w:val="00B575F2"/>
    <w:rsid w:val="00B576D2"/>
    <w:rsid w:val="00B57A44"/>
    <w:rsid w:val="00B60024"/>
    <w:rsid w:val="00B603DC"/>
    <w:rsid w:val="00B60939"/>
    <w:rsid w:val="00B60AFD"/>
    <w:rsid w:val="00B60B69"/>
    <w:rsid w:val="00B61DA7"/>
    <w:rsid w:val="00B61F05"/>
    <w:rsid w:val="00B62715"/>
    <w:rsid w:val="00B6338F"/>
    <w:rsid w:val="00B633D0"/>
    <w:rsid w:val="00B63C98"/>
    <w:rsid w:val="00B64326"/>
    <w:rsid w:val="00B64FA9"/>
    <w:rsid w:val="00B65291"/>
    <w:rsid w:val="00B65611"/>
    <w:rsid w:val="00B65ABE"/>
    <w:rsid w:val="00B66586"/>
    <w:rsid w:val="00B66A88"/>
    <w:rsid w:val="00B677C8"/>
    <w:rsid w:val="00B70728"/>
    <w:rsid w:val="00B70E8E"/>
    <w:rsid w:val="00B7238A"/>
    <w:rsid w:val="00B72A20"/>
    <w:rsid w:val="00B72B9D"/>
    <w:rsid w:val="00B72D94"/>
    <w:rsid w:val="00B73003"/>
    <w:rsid w:val="00B7307B"/>
    <w:rsid w:val="00B73C05"/>
    <w:rsid w:val="00B743A4"/>
    <w:rsid w:val="00B74620"/>
    <w:rsid w:val="00B748E5"/>
    <w:rsid w:val="00B7516F"/>
    <w:rsid w:val="00B752D0"/>
    <w:rsid w:val="00B75B9A"/>
    <w:rsid w:val="00B76624"/>
    <w:rsid w:val="00B76912"/>
    <w:rsid w:val="00B76C92"/>
    <w:rsid w:val="00B774D7"/>
    <w:rsid w:val="00B77688"/>
    <w:rsid w:val="00B80189"/>
    <w:rsid w:val="00B80669"/>
    <w:rsid w:val="00B80EFD"/>
    <w:rsid w:val="00B812AF"/>
    <w:rsid w:val="00B818A4"/>
    <w:rsid w:val="00B826A6"/>
    <w:rsid w:val="00B83285"/>
    <w:rsid w:val="00B83739"/>
    <w:rsid w:val="00B839F2"/>
    <w:rsid w:val="00B84117"/>
    <w:rsid w:val="00B842F0"/>
    <w:rsid w:val="00B847DA"/>
    <w:rsid w:val="00B84BDE"/>
    <w:rsid w:val="00B851DE"/>
    <w:rsid w:val="00B85395"/>
    <w:rsid w:val="00B85470"/>
    <w:rsid w:val="00B858F0"/>
    <w:rsid w:val="00B85AA2"/>
    <w:rsid w:val="00B861B2"/>
    <w:rsid w:val="00B8649C"/>
    <w:rsid w:val="00B864A8"/>
    <w:rsid w:val="00B865C6"/>
    <w:rsid w:val="00B8695D"/>
    <w:rsid w:val="00B8753D"/>
    <w:rsid w:val="00B87F0A"/>
    <w:rsid w:val="00B900C6"/>
    <w:rsid w:val="00B903E7"/>
    <w:rsid w:val="00B9050B"/>
    <w:rsid w:val="00B90825"/>
    <w:rsid w:val="00B91689"/>
    <w:rsid w:val="00B91E2D"/>
    <w:rsid w:val="00B92B2A"/>
    <w:rsid w:val="00B92D0B"/>
    <w:rsid w:val="00B938E7"/>
    <w:rsid w:val="00B939A0"/>
    <w:rsid w:val="00B93A6C"/>
    <w:rsid w:val="00B94361"/>
    <w:rsid w:val="00B9481D"/>
    <w:rsid w:val="00B94945"/>
    <w:rsid w:val="00B94BD9"/>
    <w:rsid w:val="00B94DD6"/>
    <w:rsid w:val="00B9643B"/>
    <w:rsid w:val="00B96884"/>
    <w:rsid w:val="00B96A5F"/>
    <w:rsid w:val="00B96A63"/>
    <w:rsid w:val="00B9748D"/>
    <w:rsid w:val="00B978DC"/>
    <w:rsid w:val="00B97995"/>
    <w:rsid w:val="00BA0030"/>
    <w:rsid w:val="00BA00F6"/>
    <w:rsid w:val="00BA0562"/>
    <w:rsid w:val="00BA05C4"/>
    <w:rsid w:val="00BA0DD6"/>
    <w:rsid w:val="00BA17FA"/>
    <w:rsid w:val="00BA1FC0"/>
    <w:rsid w:val="00BA2998"/>
    <w:rsid w:val="00BA322D"/>
    <w:rsid w:val="00BA327A"/>
    <w:rsid w:val="00BA3937"/>
    <w:rsid w:val="00BA3B0F"/>
    <w:rsid w:val="00BA4CF9"/>
    <w:rsid w:val="00BA5245"/>
    <w:rsid w:val="00BA579C"/>
    <w:rsid w:val="00BA5BA3"/>
    <w:rsid w:val="00BA5D75"/>
    <w:rsid w:val="00BA5DF6"/>
    <w:rsid w:val="00BA5FC9"/>
    <w:rsid w:val="00BA63FA"/>
    <w:rsid w:val="00BA664D"/>
    <w:rsid w:val="00BA68CC"/>
    <w:rsid w:val="00BA71CB"/>
    <w:rsid w:val="00BA73D8"/>
    <w:rsid w:val="00BA7E1B"/>
    <w:rsid w:val="00BA7F45"/>
    <w:rsid w:val="00BB00B3"/>
    <w:rsid w:val="00BB0A8B"/>
    <w:rsid w:val="00BB0BDD"/>
    <w:rsid w:val="00BB0FE4"/>
    <w:rsid w:val="00BB176C"/>
    <w:rsid w:val="00BB216B"/>
    <w:rsid w:val="00BB2A73"/>
    <w:rsid w:val="00BB36FF"/>
    <w:rsid w:val="00BB3A18"/>
    <w:rsid w:val="00BB3A21"/>
    <w:rsid w:val="00BB3A45"/>
    <w:rsid w:val="00BB436F"/>
    <w:rsid w:val="00BB43C7"/>
    <w:rsid w:val="00BB450C"/>
    <w:rsid w:val="00BB4ACC"/>
    <w:rsid w:val="00BB66C2"/>
    <w:rsid w:val="00BB703E"/>
    <w:rsid w:val="00BB732D"/>
    <w:rsid w:val="00BB7405"/>
    <w:rsid w:val="00BB76F1"/>
    <w:rsid w:val="00BB7DEF"/>
    <w:rsid w:val="00BC00E1"/>
    <w:rsid w:val="00BC0B5C"/>
    <w:rsid w:val="00BC0F41"/>
    <w:rsid w:val="00BC1E3F"/>
    <w:rsid w:val="00BC2CFE"/>
    <w:rsid w:val="00BC3159"/>
    <w:rsid w:val="00BC339E"/>
    <w:rsid w:val="00BC3631"/>
    <w:rsid w:val="00BC4AE9"/>
    <w:rsid w:val="00BC5254"/>
    <w:rsid w:val="00BC541A"/>
    <w:rsid w:val="00BC591F"/>
    <w:rsid w:val="00BC605A"/>
    <w:rsid w:val="00BC662D"/>
    <w:rsid w:val="00BC686E"/>
    <w:rsid w:val="00BC6C66"/>
    <w:rsid w:val="00BC6D9E"/>
    <w:rsid w:val="00BC72D5"/>
    <w:rsid w:val="00BC7998"/>
    <w:rsid w:val="00BC7D6D"/>
    <w:rsid w:val="00BC7E4C"/>
    <w:rsid w:val="00BD0ADC"/>
    <w:rsid w:val="00BD0ED9"/>
    <w:rsid w:val="00BD1F97"/>
    <w:rsid w:val="00BD2108"/>
    <w:rsid w:val="00BD238D"/>
    <w:rsid w:val="00BD2714"/>
    <w:rsid w:val="00BD2A39"/>
    <w:rsid w:val="00BD39B6"/>
    <w:rsid w:val="00BD3D0D"/>
    <w:rsid w:val="00BD3F25"/>
    <w:rsid w:val="00BD4F0E"/>
    <w:rsid w:val="00BD5271"/>
    <w:rsid w:val="00BD53B2"/>
    <w:rsid w:val="00BD5748"/>
    <w:rsid w:val="00BD6043"/>
    <w:rsid w:val="00BD642E"/>
    <w:rsid w:val="00BD68A3"/>
    <w:rsid w:val="00BD6938"/>
    <w:rsid w:val="00BD6CF3"/>
    <w:rsid w:val="00BD6E70"/>
    <w:rsid w:val="00BD717C"/>
    <w:rsid w:val="00BD7404"/>
    <w:rsid w:val="00BD7EB7"/>
    <w:rsid w:val="00BD7F72"/>
    <w:rsid w:val="00BE018D"/>
    <w:rsid w:val="00BE021E"/>
    <w:rsid w:val="00BE0658"/>
    <w:rsid w:val="00BE08F7"/>
    <w:rsid w:val="00BE0ACA"/>
    <w:rsid w:val="00BE0C91"/>
    <w:rsid w:val="00BE0ECA"/>
    <w:rsid w:val="00BE191E"/>
    <w:rsid w:val="00BE19D9"/>
    <w:rsid w:val="00BE1C93"/>
    <w:rsid w:val="00BE1F6A"/>
    <w:rsid w:val="00BE20E1"/>
    <w:rsid w:val="00BE2180"/>
    <w:rsid w:val="00BE21F2"/>
    <w:rsid w:val="00BE2202"/>
    <w:rsid w:val="00BE22D5"/>
    <w:rsid w:val="00BE2B76"/>
    <w:rsid w:val="00BE2C3D"/>
    <w:rsid w:val="00BE37CE"/>
    <w:rsid w:val="00BE394A"/>
    <w:rsid w:val="00BE3A58"/>
    <w:rsid w:val="00BE4275"/>
    <w:rsid w:val="00BE49FF"/>
    <w:rsid w:val="00BE5595"/>
    <w:rsid w:val="00BE6575"/>
    <w:rsid w:val="00BE717A"/>
    <w:rsid w:val="00BE71BE"/>
    <w:rsid w:val="00BE7349"/>
    <w:rsid w:val="00BE77EB"/>
    <w:rsid w:val="00BE7A69"/>
    <w:rsid w:val="00BE7D35"/>
    <w:rsid w:val="00BE7F2D"/>
    <w:rsid w:val="00BF06AE"/>
    <w:rsid w:val="00BF0714"/>
    <w:rsid w:val="00BF0F95"/>
    <w:rsid w:val="00BF1920"/>
    <w:rsid w:val="00BF1BD9"/>
    <w:rsid w:val="00BF21F0"/>
    <w:rsid w:val="00BF2433"/>
    <w:rsid w:val="00BF28A5"/>
    <w:rsid w:val="00BF2E6E"/>
    <w:rsid w:val="00BF303E"/>
    <w:rsid w:val="00BF3153"/>
    <w:rsid w:val="00BF3512"/>
    <w:rsid w:val="00BF3536"/>
    <w:rsid w:val="00BF3A67"/>
    <w:rsid w:val="00BF3F9D"/>
    <w:rsid w:val="00BF5A41"/>
    <w:rsid w:val="00BF5FB5"/>
    <w:rsid w:val="00BF6045"/>
    <w:rsid w:val="00BF61C9"/>
    <w:rsid w:val="00BF6C94"/>
    <w:rsid w:val="00BF6CE9"/>
    <w:rsid w:val="00BF6CF2"/>
    <w:rsid w:val="00BF727F"/>
    <w:rsid w:val="00BF781F"/>
    <w:rsid w:val="00BF7A49"/>
    <w:rsid w:val="00BF7D39"/>
    <w:rsid w:val="00BF7D55"/>
    <w:rsid w:val="00C00424"/>
    <w:rsid w:val="00C00BB0"/>
    <w:rsid w:val="00C0127B"/>
    <w:rsid w:val="00C01492"/>
    <w:rsid w:val="00C01691"/>
    <w:rsid w:val="00C02CEC"/>
    <w:rsid w:val="00C02F9C"/>
    <w:rsid w:val="00C031F6"/>
    <w:rsid w:val="00C03649"/>
    <w:rsid w:val="00C03B96"/>
    <w:rsid w:val="00C045F9"/>
    <w:rsid w:val="00C05148"/>
    <w:rsid w:val="00C0528C"/>
    <w:rsid w:val="00C05A7A"/>
    <w:rsid w:val="00C05C24"/>
    <w:rsid w:val="00C05EF3"/>
    <w:rsid w:val="00C062A7"/>
    <w:rsid w:val="00C071FC"/>
    <w:rsid w:val="00C074B6"/>
    <w:rsid w:val="00C0781F"/>
    <w:rsid w:val="00C07B74"/>
    <w:rsid w:val="00C10171"/>
    <w:rsid w:val="00C103A7"/>
    <w:rsid w:val="00C10783"/>
    <w:rsid w:val="00C1179F"/>
    <w:rsid w:val="00C11CAC"/>
    <w:rsid w:val="00C1211E"/>
    <w:rsid w:val="00C12251"/>
    <w:rsid w:val="00C127B9"/>
    <w:rsid w:val="00C128FA"/>
    <w:rsid w:val="00C12B9E"/>
    <w:rsid w:val="00C12C14"/>
    <w:rsid w:val="00C1314F"/>
    <w:rsid w:val="00C131BC"/>
    <w:rsid w:val="00C132CE"/>
    <w:rsid w:val="00C13AFE"/>
    <w:rsid w:val="00C144E4"/>
    <w:rsid w:val="00C14B83"/>
    <w:rsid w:val="00C1511E"/>
    <w:rsid w:val="00C154F7"/>
    <w:rsid w:val="00C157FC"/>
    <w:rsid w:val="00C15B8A"/>
    <w:rsid w:val="00C15F04"/>
    <w:rsid w:val="00C16506"/>
    <w:rsid w:val="00C16777"/>
    <w:rsid w:val="00C167FD"/>
    <w:rsid w:val="00C16959"/>
    <w:rsid w:val="00C16ECB"/>
    <w:rsid w:val="00C17009"/>
    <w:rsid w:val="00C1779E"/>
    <w:rsid w:val="00C179B3"/>
    <w:rsid w:val="00C17D1B"/>
    <w:rsid w:val="00C17E3F"/>
    <w:rsid w:val="00C200AA"/>
    <w:rsid w:val="00C2020F"/>
    <w:rsid w:val="00C20AC1"/>
    <w:rsid w:val="00C20CCC"/>
    <w:rsid w:val="00C21090"/>
    <w:rsid w:val="00C21542"/>
    <w:rsid w:val="00C21BDF"/>
    <w:rsid w:val="00C22432"/>
    <w:rsid w:val="00C22894"/>
    <w:rsid w:val="00C235A8"/>
    <w:rsid w:val="00C237ED"/>
    <w:rsid w:val="00C23A37"/>
    <w:rsid w:val="00C23F49"/>
    <w:rsid w:val="00C243CC"/>
    <w:rsid w:val="00C24632"/>
    <w:rsid w:val="00C24871"/>
    <w:rsid w:val="00C24E4D"/>
    <w:rsid w:val="00C24F80"/>
    <w:rsid w:val="00C25418"/>
    <w:rsid w:val="00C25D9C"/>
    <w:rsid w:val="00C25EFD"/>
    <w:rsid w:val="00C26116"/>
    <w:rsid w:val="00C26667"/>
    <w:rsid w:val="00C26B66"/>
    <w:rsid w:val="00C26D1E"/>
    <w:rsid w:val="00C275A7"/>
    <w:rsid w:val="00C2778B"/>
    <w:rsid w:val="00C2781D"/>
    <w:rsid w:val="00C27B80"/>
    <w:rsid w:val="00C30E3E"/>
    <w:rsid w:val="00C30E6B"/>
    <w:rsid w:val="00C312B4"/>
    <w:rsid w:val="00C3150D"/>
    <w:rsid w:val="00C31649"/>
    <w:rsid w:val="00C31EC4"/>
    <w:rsid w:val="00C32122"/>
    <w:rsid w:val="00C32EDE"/>
    <w:rsid w:val="00C333C0"/>
    <w:rsid w:val="00C337C1"/>
    <w:rsid w:val="00C3434C"/>
    <w:rsid w:val="00C343DE"/>
    <w:rsid w:val="00C345D3"/>
    <w:rsid w:val="00C3470F"/>
    <w:rsid w:val="00C348B8"/>
    <w:rsid w:val="00C34989"/>
    <w:rsid w:val="00C34D6C"/>
    <w:rsid w:val="00C37708"/>
    <w:rsid w:val="00C37939"/>
    <w:rsid w:val="00C40385"/>
    <w:rsid w:val="00C4088E"/>
    <w:rsid w:val="00C409C0"/>
    <w:rsid w:val="00C40A1A"/>
    <w:rsid w:val="00C41089"/>
    <w:rsid w:val="00C411EE"/>
    <w:rsid w:val="00C4167D"/>
    <w:rsid w:val="00C41768"/>
    <w:rsid w:val="00C419E2"/>
    <w:rsid w:val="00C41D54"/>
    <w:rsid w:val="00C41F51"/>
    <w:rsid w:val="00C42532"/>
    <w:rsid w:val="00C42DED"/>
    <w:rsid w:val="00C432D4"/>
    <w:rsid w:val="00C43463"/>
    <w:rsid w:val="00C43858"/>
    <w:rsid w:val="00C442F0"/>
    <w:rsid w:val="00C448F5"/>
    <w:rsid w:val="00C44A17"/>
    <w:rsid w:val="00C44AD0"/>
    <w:rsid w:val="00C44C2D"/>
    <w:rsid w:val="00C4656E"/>
    <w:rsid w:val="00C475AA"/>
    <w:rsid w:val="00C47AEB"/>
    <w:rsid w:val="00C47C1B"/>
    <w:rsid w:val="00C47FF3"/>
    <w:rsid w:val="00C508DD"/>
    <w:rsid w:val="00C50A46"/>
    <w:rsid w:val="00C50EA3"/>
    <w:rsid w:val="00C51E31"/>
    <w:rsid w:val="00C5261D"/>
    <w:rsid w:val="00C527C7"/>
    <w:rsid w:val="00C52800"/>
    <w:rsid w:val="00C52C6E"/>
    <w:rsid w:val="00C52F8E"/>
    <w:rsid w:val="00C5344F"/>
    <w:rsid w:val="00C535EA"/>
    <w:rsid w:val="00C5363A"/>
    <w:rsid w:val="00C536ED"/>
    <w:rsid w:val="00C539F4"/>
    <w:rsid w:val="00C53C98"/>
    <w:rsid w:val="00C546CA"/>
    <w:rsid w:val="00C554A6"/>
    <w:rsid w:val="00C56FB1"/>
    <w:rsid w:val="00C56FCF"/>
    <w:rsid w:val="00C570F9"/>
    <w:rsid w:val="00C57324"/>
    <w:rsid w:val="00C5793A"/>
    <w:rsid w:val="00C579F5"/>
    <w:rsid w:val="00C57B6C"/>
    <w:rsid w:val="00C60963"/>
    <w:rsid w:val="00C6163D"/>
    <w:rsid w:val="00C6169B"/>
    <w:rsid w:val="00C61964"/>
    <w:rsid w:val="00C61A44"/>
    <w:rsid w:val="00C61A59"/>
    <w:rsid w:val="00C61BFB"/>
    <w:rsid w:val="00C6230B"/>
    <w:rsid w:val="00C62327"/>
    <w:rsid w:val="00C628A6"/>
    <w:rsid w:val="00C62C05"/>
    <w:rsid w:val="00C63136"/>
    <w:rsid w:val="00C631D7"/>
    <w:rsid w:val="00C63297"/>
    <w:rsid w:val="00C639AA"/>
    <w:rsid w:val="00C64043"/>
    <w:rsid w:val="00C64344"/>
    <w:rsid w:val="00C64530"/>
    <w:rsid w:val="00C646CA"/>
    <w:rsid w:val="00C64F60"/>
    <w:rsid w:val="00C65108"/>
    <w:rsid w:val="00C65221"/>
    <w:rsid w:val="00C65576"/>
    <w:rsid w:val="00C655FA"/>
    <w:rsid w:val="00C65BB5"/>
    <w:rsid w:val="00C65CD0"/>
    <w:rsid w:val="00C65F2D"/>
    <w:rsid w:val="00C65FE0"/>
    <w:rsid w:val="00C66165"/>
    <w:rsid w:val="00C6623D"/>
    <w:rsid w:val="00C66458"/>
    <w:rsid w:val="00C6660F"/>
    <w:rsid w:val="00C6697C"/>
    <w:rsid w:val="00C67DDA"/>
    <w:rsid w:val="00C7060A"/>
    <w:rsid w:val="00C70EFB"/>
    <w:rsid w:val="00C7151A"/>
    <w:rsid w:val="00C7170B"/>
    <w:rsid w:val="00C717E3"/>
    <w:rsid w:val="00C71EAB"/>
    <w:rsid w:val="00C71F60"/>
    <w:rsid w:val="00C71FDA"/>
    <w:rsid w:val="00C7206C"/>
    <w:rsid w:val="00C720DF"/>
    <w:rsid w:val="00C72241"/>
    <w:rsid w:val="00C73399"/>
    <w:rsid w:val="00C735CB"/>
    <w:rsid w:val="00C7435B"/>
    <w:rsid w:val="00C74A6B"/>
    <w:rsid w:val="00C750C8"/>
    <w:rsid w:val="00C7560F"/>
    <w:rsid w:val="00C756F5"/>
    <w:rsid w:val="00C7570C"/>
    <w:rsid w:val="00C76223"/>
    <w:rsid w:val="00C766ED"/>
    <w:rsid w:val="00C76A37"/>
    <w:rsid w:val="00C76FC4"/>
    <w:rsid w:val="00C80386"/>
    <w:rsid w:val="00C803B4"/>
    <w:rsid w:val="00C805C4"/>
    <w:rsid w:val="00C809B6"/>
    <w:rsid w:val="00C80A0E"/>
    <w:rsid w:val="00C80A9E"/>
    <w:rsid w:val="00C80C47"/>
    <w:rsid w:val="00C8107B"/>
    <w:rsid w:val="00C8153D"/>
    <w:rsid w:val="00C8213F"/>
    <w:rsid w:val="00C82AD1"/>
    <w:rsid w:val="00C82F2B"/>
    <w:rsid w:val="00C8303F"/>
    <w:rsid w:val="00C832DF"/>
    <w:rsid w:val="00C8380D"/>
    <w:rsid w:val="00C84BD0"/>
    <w:rsid w:val="00C84C9F"/>
    <w:rsid w:val="00C85154"/>
    <w:rsid w:val="00C85A70"/>
    <w:rsid w:val="00C85B5C"/>
    <w:rsid w:val="00C85E58"/>
    <w:rsid w:val="00C86469"/>
    <w:rsid w:val="00C866F1"/>
    <w:rsid w:val="00C8699E"/>
    <w:rsid w:val="00C87487"/>
    <w:rsid w:val="00C8797A"/>
    <w:rsid w:val="00C900B8"/>
    <w:rsid w:val="00C90197"/>
    <w:rsid w:val="00C90791"/>
    <w:rsid w:val="00C908C9"/>
    <w:rsid w:val="00C90A41"/>
    <w:rsid w:val="00C90C71"/>
    <w:rsid w:val="00C90F4D"/>
    <w:rsid w:val="00C91E64"/>
    <w:rsid w:val="00C91FD1"/>
    <w:rsid w:val="00C925FD"/>
    <w:rsid w:val="00C930F5"/>
    <w:rsid w:val="00C931CF"/>
    <w:rsid w:val="00C938CF"/>
    <w:rsid w:val="00C93AC5"/>
    <w:rsid w:val="00C93C6C"/>
    <w:rsid w:val="00C94053"/>
    <w:rsid w:val="00C95240"/>
    <w:rsid w:val="00C952D1"/>
    <w:rsid w:val="00C9624D"/>
    <w:rsid w:val="00C962DD"/>
    <w:rsid w:val="00C963AE"/>
    <w:rsid w:val="00C96922"/>
    <w:rsid w:val="00C969DA"/>
    <w:rsid w:val="00C96E4E"/>
    <w:rsid w:val="00C97502"/>
    <w:rsid w:val="00C97802"/>
    <w:rsid w:val="00C97ECF"/>
    <w:rsid w:val="00C97FCC"/>
    <w:rsid w:val="00CA04FB"/>
    <w:rsid w:val="00CA0DE0"/>
    <w:rsid w:val="00CA25F1"/>
    <w:rsid w:val="00CA290B"/>
    <w:rsid w:val="00CA2C35"/>
    <w:rsid w:val="00CA2C77"/>
    <w:rsid w:val="00CA3609"/>
    <w:rsid w:val="00CA3A3C"/>
    <w:rsid w:val="00CA3E89"/>
    <w:rsid w:val="00CA4216"/>
    <w:rsid w:val="00CA43B0"/>
    <w:rsid w:val="00CA444F"/>
    <w:rsid w:val="00CA4CF7"/>
    <w:rsid w:val="00CA4F55"/>
    <w:rsid w:val="00CA5245"/>
    <w:rsid w:val="00CA5249"/>
    <w:rsid w:val="00CA5357"/>
    <w:rsid w:val="00CA663A"/>
    <w:rsid w:val="00CA67F8"/>
    <w:rsid w:val="00CA6DD7"/>
    <w:rsid w:val="00CA6F0A"/>
    <w:rsid w:val="00CA71F4"/>
    <w:rsid w:val="00CA71F5"/>
    <w:rsid w:val="00CA7B09"/>
    <w:rsid w:val="00CB1158"/>
    <w:rsid w:val="00CB12A5"/>
    <w:rsid w:val="00CB1CAC"/>
    <w:rsid w:val="00CB20F2"/>
    <w:rsid w:val="00CB21B9"/>
    <w:rsid w:val="00CB27F5"/>
    <w:rsid w:val="00CB2F2A"/>
    <w:rsid w:val="00CB305F"/>
    <w:rsid w:val="00CB3113"/>
    <w:rsid w:val="00CB3F11"/>
    <w:rsid w:val="00CB4F4C"/>
    <w:rsid w:val="00CB53AD"/>
    <w:rsid w:val="00CB53F2"/>
    <w:rsid w:val="00CB54EC"/>
    <w:rsid w:val="00CB5B1A"/>
    <w:rsid w:val="00CB5D1F"/>
    <w:rsid w:val="00CB5F8D"/>
    <w:rsid w:val="00CB6B22"/>
    <w:rsid w:val="00CB6F63"/>
    <w:rsid w:val="00CB743B"/>
    <w:rsid w:val="00CB782F"/>
    <w:rsid w:val="00CB7CB7"/>
    <w:rsid w:val="00CB7D22"/>
    <w:rsid w:val="00CB7F5F"/>
    <w:rsid w:val="00CB7F6D"/>
    <w:rsid w:val="00CC0CAE"/>
    <w:rsid w:val="00CC1A48"/>
    <w:rsid w:val="00CC1AED"/>
    <w:rsid w:val="00CC1B39"/>
    <w:rsid w:val="00CC1BFA"/>
    <w:rsid w:val="00CC2072"/>
    <w:rsid w:val="00CC232B"/>
    <w:rsid w:val="00CC2601"/>
    <w:rsid w:val="00CC2679"/>
    <w:rsid w:val="00CC2E9F"/>
    <w:rsid w:val="00CC35EA"/>
    <w:rsid w:val="00CC3848"/>
    <w:rsid w:val="00CC5546"/>
    <w:rsid w:val="00CC5CF3"/>
    <w:rsid w:val="00CC60EF"/>
    <w:rsid w:val="00CC6D5E"/>
    <w:rsid w:val="00CC709A"/>
    <w:rsid w:val="00CC78ED"/>
    <w:rsid w:val="00CD000E"/>
    <w:rsid w:val="00CD00EF"/>
    <w:rsid w:val="00CD0200"/>
    <w:rsid w:val="00CD0EDB"/>
    <w:rsid w:val="00CD24CA"/>
    <w:rsid w:val="00CD2616"/>
    <w:rsid w:val="00CD32D8"/>
    <w:rsid w:val="00CD3483"/>
    <w:rsid w:val="00CD3C75"/>
    <w:rsid w:val="00CD3F77"/>
    <w:rsid w:val="00CD4770"/>
    <w:rsid w:val="00CD4B43"/>
    <w:rsid w:val="00CD4BA8"/>
    <w:rsid w:val="00CD616F"/>
    <w:rsid w:val="00CD6631"/>
    <w:rsid w:val="00CD6ADC"/>
    <w:rsid w:val="00CD6CD7"/>
    <w:rsid w:val="00CD7193"/>
    <w:rsid w:val="00CD71E2"/>
    <w:rsid w:val="00CD7306"/>
    <w:rsid w:val="00CD78FC"/>
    <w:rsid w:val="00CD794E"/>
    <w:rsid w:val="00CD7BF7"/>
    <w:rsid w:val="00CD7DC5"/>
    <w:rsid w:val="00CE1145"/>
    <w:rsid w:val="00CE2AE0"/>
    <w:rsid w:val="00CE2B47"/>
    <w:rsid w:val="00CE2F99"/>
    <w:rsid w:val="00CE3513"/>
    <w:rsid w:val="00CE38C8"/>
    <w:rsid w:val="00CE41B9"/>
    <w:rsid w:val="00CE4332"/>
    <w:rsid w:val="00CE4C7C"/>
    <w:rsid w:val="00CE524F"/>
    <w:rsid w:val="00CE55EE"/>
    <w:rsid w:val="00CE575B"/>
    <w:rsid w:val="00CE5824"/>
    <w:rsid w:val="00CE58CC"/>
    <w:rsid w:val="00CE5BB5"/>
    <w:rsid w:val="00CE6274"/>
    <w:rsid w:val="00CE6B41"/>
    <w:rsid w:val="00CE6BEB"/>
    <w:rsid w:val="00CE77B6"/>
    <w:rsid w:val="00CE7AD3"/>
    <w:rsid w:val="00CF021A"/>
    <w:rsid w:val="00CF0BF6"/>
    <w:rsid w:val="00CF1545"/>
    <w:rsid w:val="00CF1A75"/>
    <w:rsid w:val="00CF1BE7"/>
    <w:rsid w:val="00CF1CE7"/>
    <w:rsid w:val="00CF2680"/>
    <w:rsid w:val="00CF2B8D"/>
    <w:rsid w:val="00CF3273"/>
    <w:rsid w:val="00CF339C"/>
    <w:rsid w:val="00CF3568"/>
    <w:rsid w:val="00CF3A1B"/>
    <w:rsid w:val="00CF3E55"/>
    <w:rsid w:val="00CF40BD"/>
    <w:rsid w:val="00CF456B"/>
    <w:rsid w:val="00CF4829"/>
    <w:rsid w:val="00CF485A"/>
    <w:rsid w:val="00CF4C85"/>
    <w:rsid w:val="00CF5A22"/>
    <w:rsid w:val="00CF5BDD"/>
    <w:rsid w:val="00CF628E"/>
    <w:rsid w:val="00CF664C"/>
    <w:rsid w:val="00CF69C2"/>
    <w:rsid w:val="00CF6E6B"/>
    <w:rsid w:val="00D00AC6"/>
    <w:rsid w:val="00D01C64"/>
    <w:rsid w:val="00D01D32"/>
    <w:rsid w:val="00D02119"/>
    <w:rsid w:val="00D024F6"/>
    <w:rsid w:val="00D025D0"/>
    <w:rsid w:val="00D0262E"/>
    <w:rsid w:val="00D0285E"/>
    <w:rsid w:val="00D03679"/>
    <w:rsid w:val="00D0373D"/>
    <w:rsid w:val="00D03BBE"/>
    <w:rsid w:val="00D04F03"/>
    <w:rsid w:val="00D052C0"/>
    <w:rsid w:val="00D05CF0"/>
    <w:rsid w:val="00D05E3D"/>
    <w:rsid w:val="00D06139"/>
    <w:rsid w:val="00D0796A"/>
    <w:rsid w:val="00D110BD"/>
    <w:rsid w:val="00D114D7"/>
    <w:rsid w:val="00D117CA"/>
    <w:rsid w:val="00D11FE2"/>
    <w:rsid w:val="00D12842"/>
    <w:rsid w:val="00D129B6"/>
    <w:rsid w:val="00D12E5B"/>
    <w:rsid w:val="00D13023"/>
    <w:rsid w:val="00D13675"/>
    <w:rsid w:val="00D136DA"/>
    <w:rsid w:val="00D1380B"/>
    <w:rsid w:val="00D141E1"/>
    <w:rsid w:val="00D14262"/>
    <w:rsid w:val="00D1448F"/>
    <w:rsid w:val="00D1453F"/>
    <w:rsid w:val="00D14E91"/>
    <w:rsid w:val="00D14E93"/>
    <w:rsid w:val="00D15314"/>
    <w:rsid w:val="00D15934"/>
    <w:rsid w:val="00D15B48"/>
    <w:rsid w:val="00D15C94"/>
    <w:rsid w:val="00D15E0C"/>
    <w:rsid w:val="00D1647B"/>
    <w:rsid w:val="00D16734"/>
    <w:rsid w:val="00D167FB"/>
    <w:rsid w:val="00D16AC1"/>
    <w:rsid w:val="00D16D45"/>
    <w:rsid w:val="00D170DC"/>
    <w:rsid w:val="00D17B05"/>
    <w:rsid w:val="00D17D6C"/>
    <w:rsid w:val="00D17F73"/>
    <w:rsid w:val="00D202EA"/>
    <w:rsid w:val="00D204BF"/>
    <w:rsid w:val="00D20D06"/>
    <w:rsid w:val="00D20D4E"/>
    <w:rsid w:val="00D2110A"/>
    <w:rsid w:val="00D2155B"/>
    <w:rsid w:val="00D222D7"/>
    <w:rsid w:val="00D225D5"/>
    <w:rsid w:val="00D22D85"/>
    <w:rsid w:val="00D2315F"/>
    <w:rsid w:val="00D23873"/>
    <w:rsid w:val="00D23D11"/>
    <w:rsid w:val="00D23E22"/>
    <w:rsid w:val="00D23EF2"/>
    <w:rsid w:val="00D244B6"/>
    <w:rsid w:val="00D24579"/>
    <w:rsid w:val="00D24AA9"/>
    <w:rsid w:val="00D24D50"/>
    <w:rsid w:val="00D24F7E"/>
    <w:rsid w:val="00D25E5C"/>
    <w:rsid w:val="00D26391"/>
    <w:rsid w:val="00D26C96"/>
    <w:rsid w:val="00D2754D"/>
    <w:rsid w:val="00D27B27"/>
    <w:rsid w:val="00D30027"/>
    <w:rsid w:val="00D301A4"/>
    <w:rsid w:val="00D30347"/>
    <w:rsid w:val="00D303AC"/>
    <w:rsid w:val="00D30841"/>
    <w:rsid w:val="00D3093B"/>
    <w:rsid w:val="00D30D5B"/>
    <w:rsid w:val="00D315AF"/>
    <w:rsid w:val="00D32628"/>
    <w:rsid w:val="00D32812"/>
    <w:rsid w:val="00D33A6D"/>
    <w:rsid w:val="00D33BE9"/>
    <w:rsid w:val="00D33E58"/>
    <w:rsid w:val="00D33F93"/>
    <w:rsid w:val="00D347B0"/>
    <w:rsid w:val="00D34B94"/>
    <w:rsid w:val="00D34E2D"/>
    <w:rsid w:val="00D35087"/>
    <w:rsid w:val="00D357FF"/>
    <w:rsid w:val="00D35D2A"/>
    <w:rsid w:val="00D35E71"/>
    <w:rsid w:val="00D361A2"/>
    <w:rsid w:val="00D365E9"/>
    <w:rsid w:val="00D3671D"/>
    <w:rsid w:val="00D3704A"/>
    <w:rsid w:val="00D37936"/>
    <w:rsid w:val="00D40DC2"/>
    <w:rsid w:val="00D41820"/>
    <w:rsid w:val="00D41980"/>
    <w:rsid w:val="00D41D4A"/>
    <w:rsid w:val="00D424C7"/>
    <w:rsid w:val="00D426DB"/>
    <w:rsid w:val="00D431B6"/>
    <w:rsid w:val="00D43416"/>
    <w:rsid w:val="00D439CB"/>
    <w:rsid w:val="00D43AD3"/>
    <w:rsid w:val="00D43B2A"/>
    <w:rsid w:val="00D43CF1"/>
    <w:rsid w:val="00D43D83"/>
    <w:rsid w:val="00D4402A"/>
    <w:rsid w:val="00D45099"/>
    <w:rsid w:val="00D45102"/>
    <w:rsid w:val="00D457EE"/>
    <w:rsid w:val="00D46011"/>
    <w:rsid w:val="00D46052"/>
    <w:rsid w:val="00D47575"/>
    <w:rsid w:val="00D47DD4"/>
    <w:rsid w:val="00D501FA"/>
    <w:rsid w:val="00D50325"/>
    <w:rsid w:val="00D5083C"/>
    <w:rsid w:val="00D50A94"/>
    <w:rsid w:val="00D50B55"/>
    <w:rsid w:val="00D5109E"/>
    <w:rsid w:val="00D51129"/>
    <w:rsid w:val="00D51F94"/>
    <w:rsid w:val="00D5243B"/>
    <w:rsid w:val="00D5279A"/>
    <w:rsid w:val="00D52A80"/>
    <w:rsid w:val="00D5310E"/>
    <w:rsid w:val="00D533EC"/>
    <w:rsid w:val="00D53AA5"/>
    <w:rsid w:val="00D53C64"/>
    <w:rsid w:val="00D549CD"/>
    <w:rsid w:val="00D54B55"/>
    <w:rsid w:val="00D56168"/>
    <w:rsid w:val="00D56A95"/>
    <w:rsid w:val="00D576D6"/>
    <w:rsid w:val="00D57A6E"/>
    <w:rsid w:val="00D57D5E"/>
    <w:rsid w:val="00D57DBB"/>
    <w:rsid w:val="00D6011B"/>
    <w:rsid w:val="00D6076E"/>
    <w:rsid w:val="00D609A4"/>
    <w:rsid w:val="00D60B49"/>
    <w:rsid w:val="00D60C04"/>
    <w:rsid w:val="00D610E6"/>
    <w:rsid w:val="00D61526"/>
    <w:rsid w:val="00D61558"/>
    <w:rsid w:val="00D624C6"/>
    <w:rsid w:val="00D629FE"/>
    <w:rsid w:val="00D62C59"/>
    <w:rsid w:val="00D62E6C"/>
    <w:rsid w:val="00D6378B"/>
    <w:rsid w:val="00D63A91"/>
    <w:rsid w:val="00D63B45"/>
    <w:rsid w:val="00D63C9B"/>
    <w:rsid w:val="00D64971"/>
    <w:rsid w:val="00D64995"/>
    <w:rsid w:val="00D64B9D"/>
    <w:rsid w:val="00D64C57"/>
    <w:rsid w:val="00D6545F"/>
    <w:rsid w:val="00D65F91"/>
    <w:rsid w:val="00D66E31"/>
    <w:rsid w:val="00D6721C"/>
    <w:rsid w:val="00D674F3"/>
    <w:rsid w:val="00D67A25"/>
    <w:rsid w:val="00D67B3C"/>
    <w:rsid w:val="00D67D6B"/>
    <w:rsid w:val="00D70325"/>
    <w:rsid w:val="00D704A2"/>
    <w:rsid w:val="00D7055E"/>
    <w:rsid w:val="00D70F16"/>
    <w:rsid w:val="00D71044"/>
    <w:rsid w:val="00D71178"/>
    <w:rsid w:val="00D71FC5"/>
    <w:rsid w:val="00D72536"/>
    <w:rsid w:val="00D72617"/>
    <w:rsid w:val="00D72C47"/>
    <w:rsid w:val="00D72F57"/>
    <w:rsid w:val="00D74CBC"/>
    <w:rsid w:val="00D7554E"/>
    <w:rsid w:val="00D75D27"/>
    <w:rsid w:val="00D76345"/>
    <w:rsid w:val="00D76650"/>
    <w:rsid w:val="00D76A44"/>
    <w:rsid w:val="00D77816"/>
    <w:rsid w:val="00D77BC1"/>
    <w:rsid w:val="00D77DFA"/>
    <w:rsid w:val="00D77F6E"/>
    <w:rsid w:val="00D80129"/>
    <w:rsid w:val="00D80161"/>
    <w:rsid w:val="00D80DA7"/>
    <w:rsid w:val="00D8110E"/>
    <w:rsid w:val="00D815EF"/>
    <w:rsid w:val="00D81949"/>
    <w:rsid w:val="00D81977"/>
    <w:rsid w:val="00D81F26"/>
    <w:rsid w:val="00D81F96"/>
    <w:rsid w:val="00D822E2"/>
    <w:rsid w:val="00D83050"/>
    <w:rsid w:val="00D8384A"/>
    <w:rsid w:val="00D83A4B"/>
    <w:rsid w:val="00D83D20"/>
    <w:rsid w:val="00D83DD4"/>
    <w:rsid w:val="00D84264"/>
    <w:rsid w:val="00D843F2"/>
    <w:rsid w:val="00D846C6"/>
    <w:rsid w:val="00D84843"/>
    <w:rsid w:val="00D853F5"/>
    <w:rsid w:val="00D8575F"/>
    <w:rsid w:val="00D85978"/>
    <w:rsid w:val="00D85B28"/>
    <w:rsid w:val="00D85C15"/>
    <w:rsid w:val="00D85D42"/>
    <w:rsid w:val="00D85E43"/>
    <w:rsid w:val="00D85F8F"/>
    <w:rsid w:val="00D85F99"/>
    <w:rsid w:val="00D86231"/>
    <w:rsid w:val="00D869E2"/>
    <w:rsid w:val="00D87953"/>
    <w:rsid w:val="00D87B39"/>
    <w:rsid w:val="00D87F10"/>
    <w:rsid w:val="00D900CA"/>
    <w:rsid w:val="00D9022A"/>
    <w:rsid w:val="00D9050A"/>
    <w:rsid w:val="00D90F5C"/>
    <w:rsid w:val="00D912AB"/>
    <w:rsid w:val="00D91566"/>
    <w:rsid w:val="00D9156E"/>
    <w:rsid w:val="00D91923"/>
    <w:rsid w:val="00D91F51"/>
    <w:rsid w:val="00D92145"/>
    <w:rsid w:val="00D923C0"/>
    <w:rsid w:val="00D924FF"/>
    <w:rsid w:val="00D9265C"/>
    <w:rsid w:val="00D92C36"/>
    <w:rsid w:val="00D92DE6"/>
    <w:rsid w:val="00D92E0E"/>
    <w:rsid w:val="00D936FD"/>
    <w:rsid w:val="00D93753"/>
    <w:rsid w:val="00D93852"/>
    <w:rsid w:val="00D93B6B"/>
    <w:rsid w:val="00D93EDF"/>
    <w:rsid w:val="00D94600"/>
    <w:rsid w:val="00D9500D"/>
    <w:rsid w:val="00D96032"/>
    <w:rsid w:val="00D963FC"/>
    <w:rsid w:val="00D969CA"/>
    <w:rsid w:val="00D96A80"/>
    <w:rsid w:val="00D973B4"/>
    <w:rsid w:val="00D9741E"/>
    <w:rsid w:val="00D974AE"/>
    <w:rsid w:val="00DA1C18"/>
    <w:rsid w:val="00DA2092"/>
    <w:rsid w:val="00DA23D4"/>
    <w:rsid w:val="00DA2729"/>
    <w:rsid w:val="00DA2F62"/>
    <w:rsid w:val="00DA3167"/>
    <w:rsid w:val="00DA3547"/>
    <w:rsid w:val="00DA398B"/>
    <w:rsid w:val="00DA3F22"/>
    <w:rsid w:val="00DA43D0"/>
    <w:rsid w:val="00DA4DC3"/>
    <w:rsid w:val="00DA5051"/>
    <w:rsid w:val="00DA5709"/>
    <w:rsid w:val="00DA5749"/>
    <w:rsid w:val="00DA5898"/>
    <w:rsid w:val="00DA5F23"/>
    <w:rsid w:val="00DA5FFC"/>
    <w:rsid w:val="00DA621A"/>
    <w:rsid w:val="00DA628F"/>
    <w:rsid w:val="00DA64C5"/>
    <w:rsid w:val="00DA6B23"/>
    <w:rsid w:val="00DA70AF"/>
    <w:rsid w:val="00DA77A5"/>
    <w:rsid w:val="00DA7803"/>
    <w:rsid w:val="00DA7CC0"/>
    <w:rsid w:val="00DB0303"/>
    <w:rsid w:val="00DB061A"/>
    <w:rsid w:val="00DB0E36"/>
    <w:rsid w:val="00DB10F8"/>
    <w:rsid w:val="00DB1450"/>
    <w:rsid w:val="00DB22F1"/>
    <w:rsid w:val="00DB2DD0"/>
    <w:rsid w:val="00DB33F0"/>
    <w:rsid w:val="00DB37AF"/>
    <w:rsid w:val="00DB3DBF"/>
    <w:rsid w:val="00DB44A0"/>
    <w:rsid w:val="00DB484F"/>
    <w:rsid w:val="00DB59CC"/>
    <w:rsid w:val="00DB6619"/>
    <w:rsid w:val="00DB69E6"/>
    <w:rsid w:val="00DB6AEF"/>
    <w:rsid w:val="00DB7742"/>
    <w:rsid w:val="00DC04F6"/>
    <w:rsid w:val="00DC0690"/>
    <w:rsid w:val="00DC07AE"/>
    <w:rsid w:val="00DC0A24"/>
    <w:rsid w:val="00DC1836"/>
    <w:rsid w:val="00DC1D65"/>
    <w:rsid w:val="00DC252D"/>
    <w:rsid w:val="00DC253A"/>
    <w:rsid w:val="00DC2690"/>
    <w:rsid w:val="00DC2C31"/>
    <w:rsid w:val="00DC2FD6"/>
    <w:rsid w:val="00DC37BD"/>
    <w:rsid w:val="00DC3C57"/>
    <w:rsid w:val="00DC3C78"/>
    <w:rsid w:val="00DC3E78"/>
    <w:rsid w:val="00DC3FE9"/>
    <w:rsid w:val="00DC4BA6"/>
    <w:rsid w:val="00DC5501"/>
    <w:rsid w:val="00DC5DE4"/>
    <w:rsid w:val="00DC7154"/>
    <w:rsid w:val="00DC755E"/>
    <w:rsid w:val="00DC79AF"/>
    <w:rsid w:val="00DC7B3E"/>
    <w:rsid w:val="00DC7E8A"/>
    <w:rsid w:val="00DD0033"/>
    <w:rsid w:val="00DD0620"/>
    <w:rsid w:val="00DD0F78"/>
    <w:rsid w:val="00DD1862"/>
    <w:rsid w:val="00DD1897"/>
    <w:rsid w:val="00DD273C"/>
    <w:rsid w:val="00DD275E"/>
    <w:rsid w:val="00DD2D70"/>
    <w:rsid w:val="00DD3307"/>
    <w:rsid w:val="00DD3C7C"/>
    <w:rsid w:val="00DD3F28"/>
    <w:rsid w:val="00DD4446"/>
    <w:rsid w:val="00DD4537"/>
    <w:rsid w:val="00DD453F"/>
    <w:rsid w:val="00DD4E15"/>
    <w:rsid w:val="00DD4EEC"/>
    <w:rsid w:val="00DD50C7"/>
    <w:rsid w:val="00DD50FC"/>
    <w:rsid w:val="00DD5D4C"/>
    <w:rsid w:val="00DD5EA4"/>
    <w:rsid w:val="00DD760D"/>
    <w:rsid w:val="00DE07F4"/>
    <w:rsid w:val="00DE165A"/>
    <w:rsid w:val="00DE2270"/>
    <w:rsid w:val="00DE2304"/>
    <w:rsid w:val="00DE2B89"/>
    <w:rsid w:val="00DE2BC4"/>
    <w:rsid w:val="00DE2E2B"/>
    <w:rsid w:val="00DE3138"/>
    <w:rsid w:val="00DE3235"/>
    <w:rsid w:val="00DE334E"/>
    <w:rsid w:val="00DE37F8"/>
    <w:rsid w:val="00DE39D4"/>
    <w:rsid w:val="00DE4273"/>
    <w:rsid w:val="00DE42D0"/>
    <w:rsid w:val="00DE4A2A"/>
    <w:rsid w:val="00DE4BF9"/>
    <w:rsid w:val="00DE4E38"/>
    <w:rsid w:val="00DE4FCB"/>
    <w:rsid w:val="00DE51BE"/>
    <w:rsid w:val="00DE55CF"/>
    <w:rsid w:val="00DE5823"/>
    <w:rsid w:val="00DE5856"/>
    <w:rsid w:val="00DE5D07"/>
    <w:rsid w:val="00DE5FAC"/>
    <w:rsid w:val="00DE5FD7"/>
    <w:rsid w:val="00DE6151"/>
    <w:rsid w:val="00DE725D"/>
    <w:rsid w:val="00DE7273"/>
    <w:rsid w:val="00DE72A7"/>
    <w:rsid w:val="00DE739E"/>
    <w:rsid w:val="00DE7832"/>
    <w:rsid w:val="00DE7A9D"/>
    <w:rsid w:val="00DE7C9E"/>
    <w:rsid w:val="00DE7D87"/>
    <w:rsid w:val="00DF06A6"/>
    <w:rsid w:val="00DF14E1"/>
    <w:rsid w:val="00DF18FC"/>
    <w:rsid w:val="00DF2417"/>
    <w:rsid w:val="00DF2C0C"/>
    <w:rsid w:val="00DF30C8"/>
    <w:rsid w:val="00DF318A"/>
    <w:rsid w:val="00DF380A"/>
    <w:rsid w:val="00DF42A9"/>
    <w:rsid w:val="00DF5724"/>
    <w:rsid w:val="00DF5D2B"/>
    <w:rsid w:val="00DF5EAB"/>
    <w:rsid w:val="00DF6341"/>
    <w:rsid w:val="00DF6885"/>
    <w:rsid w:val="00DF6EE5"/>
    <w:rsid w:val="00DF773B"/>
    <w:rsid w:val="00DF7FBD"/>
    <w:rsid w:val="00E003E9"/>
    <w:rsid w:val="00E008E3"/>
    <w:rsid w:val="00E00919"/>
    <w:rsid w:val="00E00E8E"/>
    <w:rsid w:val="00E01A58"/>
    <w:rsid w:val="00E03227"/>
    <w:rsid w:val="00E03418"/>
    <w:rsid w:val="00E04351"/>
    <w:rsid w:val="00E045E6"/>
    <w:rsid w:val="00E04A76"/>
    <w:rsid w:val="00E053A4"/>
    <w:rsid w:val="00E055F8"/>
    <w:rsid w:val="00E05630"/>
    <w:rsid w:val="00E06622"/>
    <w:rsid w:val="00E06703"/>
    <w:rsid w:val="00E06975"/>
    <w:rsid w:val="00E06DBB"/>
    <w:rsid w:val="00E070B0"/>
    <w:rsid w:val="00E07293"/>
    <w:rsid w:val="00E10149"/>
    <w:rsid w:val="00E105ED"/>
    <w:rsid w:val="00E10871"/>
    <w:rsid w:val="00E11340"/>
    <w:rsid w:val="00E11816"/>
    <w:rsid w:val="00E11FCE"/>
    <w:rsid w:val="00E122A1"/>
    <w:rsid w:val="00E128A6"/>
    <w:rsid w:val="00E128AD"/>
    <w:rsid w:val="00E12C5E"/>
    <w:rsid w:val="00E12E3A"/>
    <w:rsid w:val="00E1337C"/>
    <w:rsid w:val="00E13861"/>
    <w:rsid w:val="00E143BD"/>
    <w:rsid w:val="00E155B3"/>
    <w:rsid w:val="00E1574C"/>
    <w:rsid w:val="00E15FF2"/>
    <w:rsid w:val="00E16372"/>
    <w:rsid w:val="00E16437"/>
    <w:rsid w:val="00E16AD8"/>
    <w:rsid w:val="00E1737E"/>
    <w:rsid w:val="00E173C7"/>
    <w:rsid w:val="00E1756A"/>
    <w:rsid w:val="00E1782D"/>
    <w:rsid w:val="00E17BBD"/>
    <w:rsid w:val="00E17FFA"/>
    <w:rsid w:val="00E20086"/>
    <w:rsid w:val="00E20127"/>
    <w:rsid w:val="00E20484"/>
    <w:rsid w:val="00E2065D"/>
    <w:rsid w:val="00E20678"/>
    <w:rsid w:val="00E20C94"/>
    <w:rsid w:val="00E20E4D"/>
    <w:rsid w:val="00E20E83"/>
    <w:rsid w:val="00E20ED6"/>
    <w:rsid w:val="00E21010"/>
    <w:rsid w:val="00E21358"/>
    <w:rsid w:val="00E21F05"/>
    <w:rsid w:val="00E2249B"/>
    <w:rsid w:val="00E225E7"/>
    <w:rsid w:val="00E22A0D"/>
    <w:rsid w:val="00E22FA2"/>
    <w:rsid w:val="00E23F0D"/>
    <w:rsid w:val="00E2426D"/>
    <w:rsid w:val="00E244F6"/>
    <w:rsid w:val="00E24C45"/>
    <w:rsid w:val="00E2570A"/>
    <w:rsid w:val="00E258DB"/>
    <w:rsid w:val="00E259C1"/>
    <w:rsid w:val="00E25F55"/>
    <w:rsid w:val="00E26680"/>
    <w:rsid w:val="00E26B7E"/>
    <w:rsid w:val="00E26CB5"/>
    <w:rsid w:val="00E27178"/>
    <w:rsid w:val="00E2771E"/>
    <w:rsid w:val="00E279D7"/>
    <w:rsid w:val="00E3000D"/>
    <w:rsid w:val="00E309B9"/>
    <w:rsid w:val="00E30E65"/>
    <w:rsid w:val="00E31044"/>
    <w:rsid w:val="00E311EF"/>
    <w:rsid w:val="00E31400"/>
    <w:rsid w:val="00E316B4"/>
    <w:rsid w:val="00E32180"/>
    <w:rsid w:val="00E32AED"/>
    <w:rsid w:val="00E330AD"/>
    <w:rsid w:val="00E33457"/>
    <w:rsid w:val="00E336F9"/>
    <w:rsid w:val="00E33C0E"/>
    <w:rsid w:val="00E34324"/>
    <w:rsid w:val="00E34948"/>
    <w:rsid w:val="00E34A09"/>
    <w:rsid w:val="00E34AB8"/>
    <w:rsid w:val="00E35622"/>
    <w:rsid w:val="00E3598F"/>
    <w:rsid w:val="00E367AB"/>
    <w:rsid w:val="00E36D38"/>
    <w:rsid w:val="00E3737A"/>
    <w:rsid w:val="00E37569"/>
    <w:rsid w:val="00E401B2"/>
    <w:rsid w:val="00E408E2"/>
    <w:rsid w:val="00E40CC3"/>
    <w:rsid w:val="00E41303"/>
    <w:rsid w:val="00E4141E"/>
    <w:rsid w:val="00E41849"/>
    <w:rsid w:val="00E41E30"/>
    <w:rsid w:val="00E42541"/>
    <w:rsid w:val="00E4285F"/>
    <w:rsid w:val="00E42F73"/>
    <w:rsid w:val="00E43331"/>
    <w:rsid w:val="00E43453"/>
    <w:rsid w:val="00E43838"/>
    <w:rsid w:val="00E4389D"/>
    <w:rsid w:val="00E43C3F"/>
    <w:rsid w:val="00E43D70"/>
    <w:rsid w:val="00E4443D"/>
    <w:rsid w:val="00E444EE"/>
    <w:rsid w:val="00E44868"/>
    <w:rsid w:val="00E44B63"/>
    <w:rsid w:val="00E457C2"/>
    <w:rsid w:val="00E45AE1"/>
    <w:rsid w:val="00E4611D"/>
    <w:rsid w:val="00E466F3"/>
    <w:rsid w:val="00E4695C"/>
    <w:rsid w:val="00E47ACA"/>
    <w:rsid w:val="00E47B2C"/>
    <w:rsid w:val="00E47DA9"/>
    <w:rsid w:val="00E50705"/>
    <w:rsid w:val="00E50A24"/>
    <w:rsid w:val="00E50D2C"/>
    <w:rsid w:val="00E50FB5"/>
    <w:rsid w:val="00E512E8"/>
    <w:rsid w:val="00E51560"/>
    <w:rsid w:val="00E515A5"/>
    <w:rsid w:val="00E51821"/>
    <w:rsid w:val="00E5191A"/>
    <w:rsid w:val="00E51B90"/>
    <w:rsid w:val="00E51D08"/>
    <w:rsid w:val="00E52114"/>
    <w:rsid w:val="00E522F6"/>
    <w:rsid w:val="00E52C91"/>
    <w:rsid w:val="00E535E9"/>
    <w:rsid w:val="00E53FC8"/>
    <w:rsid w:val="00E54347"/>
    <w:rsid w:val="00E543F0"/>
    <w:rsid w:val="00E54A92"/>
    <w:rsid w:val="00E55424"/>
    <w:rsid w:val="00E55915"/>
    <w:rsid w:val="00E55BB5"/>
    <w:rsid w:val="00E55F5C"/>
    <w:rsid w:val="00E57EFC"/>
    <w:rsid w:val="00E6089A"/>
    <w:rsid w:val="00E60DF1"/>
    <w:rsid w:val="00E60F6E"/>
    <w:rsid w:val="00E61015"/>
    <w:rsid w:val="00E6116D"/>
    <w:rsid w:val="00E611DF"/>
    <w:rsid w:val="00E617E5"/>
    <w:rsid w:val="00E61DC6"/>
    <w:rsid w:val="00E620BD"/>
    <w:rsid w:val="00E632DC"/>
    <w:rsid w:val="00E635E9"/>
    <w:rsid w:val="00E63784"/>
    <w:rsid w:val="00E640B8"/>
    <w:rsid w:val="00E65E79"/>
    <w:rsid w:val="00E65ED0"/>
    <w:rsid w:val="00E661F4"/>
    <w:rsid w:val="00E668B3"/>
    <w:rsid w:val="00E66BA2"/>
    <w:rsid w:val="00E67416"/>
    <w:rsid w:val="00E67B8F"/>
    <w:rsid w:val="00E7037C"/>
    <w:rsid w:val="00E7121A"/>
    <w:rsid w:val="00E718B6"/>
    <w:rsid w:val="00E723BA"/>
    <w:rsid w:val="00E725DF"/>
    <w:rsid w:val="00E7285C"/>
    <w:rsid w:val="00E72A04"/>
    <w:rsid w:val="00E72E07"/>
    <w:rsid w:val="00E72F98"/>
    <w:rsid w:val="00E73581"/>
    <w:rsid w:val="00E73825"/>
    <w:rsid w:val="00E73D71"/>
    <w:rsid w:val="00E7440D"/>
    <w:rsid w:val="00E744F8"/>
    <w:rsid w:val="00E75732"/>
    <w:rsid w:val="00E75845"/>
    <w:rsid w:val="00E76558"/>
    <w:rsid w:val="00E76E2C"/>
    <w:rsid w:val="00E771F7"/>
    <w:rsid w:val="00E77F54"/>
    <w:rsid w:val="00E8053D"/>
    <w:rsid w:val="00E811BB"/>
    <w:rsid w:val="00E81E2C"/>
    <w:rsid w:val="00E824DF"/>
    <w:rsid w:val="00E828CF"/>
    <w:rsid w:val="00E82FE2"/>
    <w:rsid w:val="00E83318"/>
    <w:rsid w:val="00E833F7"/>
    <w:rsid w:val="00E83BDF"/>
    <w:rsid w:val="00E8414E"/>
    <w:rsid w:val="00E85089"/>
    <w:rsid w:val="00E85337"/>
    <w:rsid w:val="00E85931"/>
    <w:rsid w:val="00E85DCE"/>
    <w:rsid w:val="00E85F0B"/>
    <w:rsid w:val="00E860CE"/>
    <w:rsid w:val="00E86BB0"/>
    <w:rsid w:val="00E86FCC"/>
    <w:rsid w:val="00E86FDA"/>
    <w:rsid w:val="00E87203"/>
    <w:rsid w:val="00E87412"/>
    <w:rsid w:val="00E87855"/>
    <w:rsid w:val="00E87954"/>
    <w:rsid w:val="00E879B9"/>
    <w:rsid w:val="00E87A1D"/>
    <w:rsid w:val="00E90390"/>
    <w:rsid w:val="00E9094A"/>
    <w:rsid w:val="00E90C59"/>
    <w:rsid w:val="00E90EA0"/>
    <w:rsid w:val="00E91564"/>
    <w:rsid w:val="00E915E3"/>
    <w:rsid w:val="00E91D35"/>
    <w:rsid w:val="00E91D43"/>
    <w:rsid w:val="00E91E4A"/>
    <w:rsid w:val="00E926A5"/>
    <w:rsid w:val="00E936B2"/>
    <w:rsid w:val="00E93A31"/>
    <w:rsid w:val="00E9406F"/>
    <w:rsid w:val="00E9413C"/>
    <w:rsid w:val="00E94A5C"/>
    <w:rsid w:val="00E94CCC"/>
    <w:rsid w:val="00E952E8"/>
    <w:rsid w:val="00E9541B"/>
    <w:rsid w:val="00E95DED"/>
    <w:rsid w:val="00E962CC"/>
    <w:rsid w:val="00E96FED"/>
    <w:rsid w:val="00E9727A"/>
    <w:rsid w:val="00E97324"/>
    <w:rsid w:val="00E973F2"/>
    <w:rsid w:val="00E9762A"/>
    <w:rsid w:val="00E97690"/>
    <w:rsid w:val="00E97B44"/>
    <w:rsid w:val="00E97D08"/>
    <w:rsid w:val="00E97EAE"/>
    <w:rsid w:val="00E97F25"/>
    <w:rsid w:val="00EA0260"/>
    <w:rsid w:val="00EA0998"/>
    <w:rsid w:val="00EA0E62"/>
    <w:rsid w:val="00EA0FAD"/>
    <w:rsid w:val="00EA13C0"/>
    <w:rsid w:val="00EA17C3"/>
    <w:rsid w:val="00EA1D30"/>
    <w:rsid w:val="00EA2032"/>
    <w:rsid w:val="00EA204D"/>
    <w:rsid w:val="00EA2286"/>
    <w:rsid w:val="00EA2308"/>
    <w:rsid w:val="00EA23BD"/>
    <w:rsid w:val="00EA2CAA"/>
    <w:rsid w:val="00EA2F8C"/>
    <w:rsid w:val="00EA3155"/>
    <w:rsid w:val="00EA330E"/>
    <w:rsid w:val="00EA3336"/>
    <w:rsid w:val="00EA3864"/>
    <w:rsid w:val="00EA3EDC"/>
    <w:rsid w:val="00EA4148"/>
    <w:rsid w:val="00EA41E0"/>
    <w:rsid w:val="00EA46FE"/>
    <w:rsid w:val="00EA4C80"/>
    <w:rsid w:val="00EA4D5F"/>
    <w:rsid w:val="00EA4E77"/>
    <w:rsid w:val="00EA520C"/>
    <w:rsid w:val="00EA55F8"/>
    <w:rsid w:val="00EA6E7A"/>
    <w:rsid w:val="00EA7027"/>
    <w:rsid w:val="00EA7572"/>
    <w:rsid w:val="00EA7711"/>
    <w:rsid w:val="00EA7732"/>
    <w:rsid w:val="00EA7A6F"/>
    <w:rsid w:val="00EA7F1C"/>
    <w:rsid w:val="00EB1163"/>
    <w:rsid w:val="00EB135F"/>
    <w:rsid w:val="00EB15B6"/>
    <w:rsid w:val="00EB1692"/>
    <w:rsid w:val="00EB2F04"/>
    <w:rsid w:val="00EB3A23"/>
    <w:rsid w:val="00EB3D06"/>
    <w:rsid w:val="00EB4196"/>
    <w:rsid w:val="00EB45D6"/>
    <w:rsid w:val="00EB4916"/>
    <w:rsid w:val="00EB4B3F"/>
    <w:rsid w:val="00EB4EC3"/>
    <w:rsid w:val="00EB4F1C"/>
    <w:rsid w:val="00EB4F39"/>
    <w:rsid w:val="00EB50FE"/>
    <w:rsid w:val="00EB54B0"/>
    <w:rsid w:val="00EB70A3"/>
    <w:rsid w:val="00EB9167"/>
    <w:rsid w:val="00EBDE23"/>
    <w:rsid w:val="00EC00C9"/>
    <w:rsid w:val="00EC0951"/>
    <w:rsid w:val="00EC0B35"/>
    <w:rsid w:val="00EC0D59"/>
    <w:rsid w:val="00EC0DD9"/>
    <w:rsid w:val="00EC2011"/>
    <w:rsid w:val="00EC2649"/>
    <w:rsid w:val="00EC31ED"/>
    <w:rsid w:val="00EC3379"/>
    <w:rsid w:val="00EC3867"/>
    <w:rsid w:val="00EC419F"/>
    <w:rsid w:val="00EC43B9"/>
    <w:rsid w:val="00EC441A"/>
    <w:rsid w:val="00EC5836"/>
    <w:rsid w:val="00EC634E"/>
    <w:rsid w:val="00EC66F6"/>
    <w:rsid w:val="00EC688C"/>
    <w:rsid w:val="00EC6CDC"/>
    <w:rsid w:val="00EC70A8"/>
    <w:rsid w:val="00EC7225"/>
    <w:rsid w:val="00EC7948"/>
    <w:rsid w:val="00ED0805"/>
    <w:rsid w:val="00ED0851"/>
    <w:rsid w:val="00ED0883"/>
    <w:rsid w:val="00ED123D"/>
    <w:rsid w:val="00ED12E3"/>
    <w:rsid w:val="00ED14E6"/>
    <w:rsid w:val="00ED1BF7"/>
    <w:rsid w:val="00ED1FD6"/>
    <w:rsid w:val="00ED2CC1"/>
    <w:rsid w:val="00ED320E"/>
    <w:rsid w:val="00ED3AAC"/>
    <w:rsid w:val="00ED3AEE"/>
    <w:rsid w:val="00ED3B44"/>
    <w:rsid w:val="00ED4009"/>
    <w:rsid w:val="00ED409A"/>
    <w:rsid w:val="00ED49B0"/>
    <w:rsid w:val="00ED4A6F"/>
    <w:rsid w:val="00ED4B04"/>
    <w:rsid w:val="00ED5220"/>
    <w:rsid w:val="00ED57EA"/>
    <w:rsid w:val="00ED5BD4"/>
    <w:rsid w:val="00ED631F"/>
    <w:rsid w:val="00ED737E"/>
    <w:rsid w:val="00ED792E"/>
    <w:rsid w:val="00EE00EF"/>
    <w:rsid w:val="00EE02F6"/>
    <w:rsid w:val="00EE07D3"/>
    <w:rsid w:val="00EE0A75"/>
    <w:rsid w:val="00EE0AA7"/>
    <w:rsid w:val="00EE0F88"/>
    <w:rsid w:val="00EE16BE"/>
    <w:rsid w:val="00EE1996"/>
    <w:rsid w:val="00EE1C01"/>
    <w:rsid w:val="00EE1C0D"/>
    <w:rsid w:val="00EE22AF"/>
    <w:rsid w:val="00EE2466"/>
    <w:rsid w:val="00EE2659"/>
    <w:rsid w:val="00EE2F13"/>
    <w:rsid w:val="00EE357A"/>
    <w:rsid w:val="00EE3E7B"/>
    <w:rsid w:val="00EE3FD5"/>
    <w:rsid w:val="00EE42EF"/>
    <w:rsid w:val="00EE4A29"/>
    <w:rsid w:val="00EE5066"/>
    <w:rsid w:val="00EE63B3"/>
    <w:rsid w:val="00EE6999"/>
    <w:rsid w:val="00EF0171"/>
    <w:rsid w:val="00EF035F"/>
    <w:rsid w:val="00EF0C3A"/>
    <w:rsid w:val="00EF0C88"/>
    <w:rsid w:val="00EF133F"/>
    <w:rsid w:val="00EF1B25"/>
    <w:rsid w:val="00EF1C97"/>
    <w:rsid w:val="00EF1DA0"/>
    <w:rsid w:val="00EF278D"/>
    <w:rsid w:val="00EF2C88"/>
    <w:rsid w:val="00EF2DEE"/>
    <w:rsid w:val="00EF32FE"/>
    <w:rsid w:val="00EF34D2"/>
    <w:rsid w:val="00EF3969"/>
    <w:rsid w:val="00EF3C2C"/>
    <w:rsid w:val="00EF4295"/>
    <w:rsid w:val="00EF4747"/>
    <w:rsid w:val="00EF4BF8"/>
    <w:rsid w:val="00EF4D9B"/>
    <w:rsid w:val="00EF52D4"/>
    <w:rsid w:val="00EF6321"/>
    <w:rsid w:val="00EF69BD"/>
    <w:rsid w:val="00EF6B11"/>
    <w:rsid w:val="00EF71AD"/>
    <w:rsid w:val="00EF7B30"/>
    <w:rsid w:val="00F00A6F"/>
    <w:rsid w:val="00F012A9"/>
    <w:rsid w:val="00F017AD"/>
    <w:rsid w:val="00F01ABD"/>
    <w:rsid w:val="00F01E20"/>
    <w:rsid w:val="00F02205"/>
    <w:rsid w:val="00F02253"/>
    <w:rsid w:val="00F02DB3"/>
    <w:rsid w:val="00F03089"/>
    <w:rsid w:val="00F034D7"/>
    <w:rsid w:val="00F03C2E"/>
    <w:rsid w:val="00F03D5B"/>
    <w:rsid w:val="00F04860"/>
    <w:rsid w:val="00F04A66"/>
    <w:rsid w:val="00F04B4B"/>
    <w:rsid w:val="00F0516C"/>
    <w:rsid w:val="00F05950"/>
    <w:rsid w:val="00F06027"/>
    <w:rsid w:val="00F067A2"/>
    <w:rsid w:val="00F07B9E"/>
    <w:rsid w:val="00F103D7"/>
    <w:rsid w:val="00F10979"/>
    <w:rsid w:val="00F10A94"/>
    <w:rsid w:val="00F1116F"/>
    <w:rsid w:val="00F11498"/>
    <w:rsid w:val="00F11673"/>
    <w:rsid w:val="00F116D0"/>
    <w:rsid w:val="00F11E46"/>
    <w:rsid w:val="00F1263A"/>
    <w:rsid w:val="00F139C5"/>
    <w:rsid w:val="00F1561C"/>
    <w:rsid w:val="00F15694"/>
    <w:rsid w:val="00F15A5C"/>
    <w:rsid w:val="00F15B77"/>
    <w:rsid w:val="00F15EF8"/>
    <w:rsid w:val="00F16BEC"/>
    <w:rsid w:val="00F16EC1"/>
    <w:rsid w:val="00F17B18"/>
    <w:rsid w:val="00F204A7"/>
    <w:rsid w:val="00F204AA"/>
    <w:rsid w:val="00F20727"/>
    <w:rsid w:val="00F20B59"/>
    <w:rsid w:val="00F21133"/>
    <w:rsid w:val="00F21236"/>
    <w:rsid w:val="00F212FB"/>
    <w:rsid w:val="00F221C1"/>
    <w:rsid w:val="00F227FE"/>
    <w:rsid w:val="00F22BED"/>
    <w:rsid w:val="00F23411"/>
    <w:rsid w:val="00F23637"/>
    <w:rsid w:val="00F237C4"/>
    <w:rsid w:val="00F237E4"/>
    <w:rsid w:val="00F24837"/>
    <w:rsid w:val="00F249DC"/>
    <w:rsid w:val="00F2575F"/>
    <w:rsid w:val="00F258CC"/>
    <w:rsid w:val="00F2625D"/>
    <w:rsid w:val="00F2638B"/>
    <w:rsid w:val="00F27565"/>
    <w:rsid w:val="00F30094"/>
    <w:rsid w:val="00F302DC"/>
    <w:rsid w:val="00F30B17"/>
    <w:rsid w:val="00F30BCA"/>
    <w:rsid w:val="00F30C90"/>
    <w:rsid w:val="00F310D4"/>
    <w:rsid w:val="00F31871"/>
    <w:rsid w:val="00F31D24"/>
    <w:rsid w:val="00F31D5A"/>
    <w:rsid w:val="00F31D95"/>
    <w:rsid w:val="00F32177"/>
    <w:rsid w:val="00F32957"/>
    <w:rsid w:val="00F32968"/>
    <w:rsid w:val="00F331A1"/>
    <w:rsid w:val="00F3393E"/>
    <w:rsid w:val="00F33975"/>
    <w:rsid w:val="00F33CD7"/>
    <w:rsid w:val="00F33DE9"/>
    <w:rsid w:val="00F33E16"/>
    <w:rsid w:val="00F342BF"/>
    <w:rsid w:val="00F343AE"/>
    <w:rsid w:val="00F34FAD"/>
    <w:rsid w:val="00F35117"/>
    <w:rsid w:val="00F352B9"/>
    <w:rsid w:val="00F35E6D"/>
    <w:rsid w:val="00F35EF4"/>
    <w:rsid w:val="00F3619A"/>
    <w:rsid w:val="00F36446"/>
    <w:rsid w:val="00F364A4"/>
    <w:rsid w:val="00F368DA"/>
    <w:rsid w:val="00F36D19"/>
    <w:rsid w:val="00F371FB"/>
    <w:rsid w:val="00F37264"/>
    <w:rsid w:val="00F40AAA"/>
    <w:rsid w:val="00F40BA7"/>
    <w:rsid w:val="00F40F9D"/>
    <w:rsid w:val="00F41105"/>
    <w:rsid w:val="00F417A3"/>
    <w:rsid w:val="00F41ACD"/>
    <w:rsid w:val="00F41C26"/>
    <w:rsid w:val="00F420D4"/>
    <w:rsid w:val="00F42B8D"/>
    <w:rsid w:val="00F43388"/>
    <w:rsid w:val="00F44110"/>
    <w:rsid w:val="00F446C1"/>
    <w:rsid w:val="00F44C33"/>
    <w:rsid w:val="00F44D03"/>
    <w:rsid w:val="00F44D0C"/>
    <w:rsid w:val="00F44E60"/>
    <w:rsid w:val="00F45036"/>
    <w:rsid w:val="00F455D4"/>
    <w:rsid w:val="00F45693"/>
    <w:rsid w:val="00F456DE"/>
    <w:rsid w:val="00F4583E"/>
    <w:rsid w:val="00F45B02"/>
    <w:rsid w:val="00F45C06"/>
    <w:rsid w:val="00F45CF0"/>
    <w:rsid w:val="00F46635"/>
    <w:rsid w:val="00F46BA4"/>
    <w:rsid w:val="00F46CB6"/>
    <w:rsid w:val="00F46D84"/>
    <w:rsid w:val="00F46F07"/>
    <w:rsid w:val="00F47129"/>
    <w:rsid w:val="00F4747B"/>
    <w:rsid w:val="00F4756D"/>
    <w:rsid w:val="00F47D84"/>
    <w:rsid w:val="00F47DE8"/>
    <w:rsid w:val="00F501E7"/>
    <w:rsid w:val="00F50422"/>
    <w:rsid w:val="00F50FF4"/>
    <w:rsid w:val="00F5121D"/>
    <w:rsid w:val="00F519C0"/>
    <w:rsid w:val="00F5294D"/>
    <w:rsid w:val="00F52B42"/>
    <w:rsid w:val="00F52E5A"/>
    <w:rsid w:val="00F52EFB"/>
    <w:rsid w:val="00F53A99"/>
    <w:rsid w:val="00F53EFF"/>
    <w:rsid w:val="00F542C1"/>
    <w:rsid w:val="00F544B3"/>
    <w:rsid w:val="00F54B87"/>
    <w:rsid w:val="00F550E3"/>
    <w:rsid w:val="00F557CA"/>
    <w:rsid w:val="00F55E73"/>
    <w:rsid w:val="00F55EDA"/>
    <w:rsid w:val="00F56518"/>
    <w:rsid w:val="00F56A47"/>
    <w:rsid w:val="00F56C80"/>
    <w:rsid w:val="00F5736A"/>
    <w:rsid w:val="00F57960"/>
    <w:rsid w:val="00F579F3"/>
    <w:rsid w:val="00F60092"/>
    <w:rsid w:val="00F60AF4"/>
    <w:rsid w:val="00F60C62"/>
    <w:rsid w:val="00F61877"/>
    <w:rsid w:val="00F61BED"/>
    <w:rsid w:val="00F61C18"/>
    <w:rsid w:val="00F622B9"/>
    <w:rsid w:val="00F636A1"/>
    <w:rsid w:val="00F64BAE"/>
    <w:rsid w:val="00F64E15"/>
    <w:rsid w:val="00F65DD9"/>
    <w:rsid w:val="00F65F4B"/>
    <w:rsid w:val="00F66D09"/>
    <w:rsid w:val="00F67374"/>
    <w:rsid w:val="00F67A69"/>
    <w:rsid w:val="00F67A7E"/>
    <w:rsid w:val="00F67DDB"/>
    <w:rsid w:val="00F67E76"/>
    <w:rsid w:val="00F706AB"/>
    <w:rsid w:val="00F70BFF"/>
    <w:rsid w:val="00F70C9D"/>
    <w:rsid w:val="00F715FE"/>
    <w:rsid w:val="00F71ADC"/>
    <w:rsid w:val="00F7272F"/>
    <w:rsid w:val="00F72781"/>
    <w:rsid w:val="00F734F4"/>
    <w:rsid w:val="00F738A8"/>
    <w:rsid w:val="00F73E08"/>
    <w:rsid w:val="00F74763"/>
    <w:rsid w:val="00F74CD9"/>
    <w:rsid w:val="00F74DA0"/>
    <w:rsid w:val="00F750FB"/>
    <w:rsid w:val="00F751D9"/>
    <w:rsid w:val="00F76B88"/>
    <w:rsid w:val="00F76D75"/>
    <w:rsid w:val="00F76E74"/>
    <w:rsid w:val="00F7738A"/>
    <w:rsid w:val="00F805B6"/>
    <w:rsid w:val="00F80A7B"/>
    <w:rsid w:val="00F80E5D"/>
    <w:rsid w:val="00F80EA4"/>
    <w:rsid w:val="00F81811"/>
    <w:rsid w:val="00F81A9A"/>
    <w:rsid w:val="00F81AC5"/>
    <w:rsid w:val="00F81E78"/>
    <w:rsid w:val="00F820A7"/>
    <w:rsid w:val="00F82947"/>
    <w:rsid w:val="00F82F0A"/>
    <w:rsid w:val="00F8313C"/>
    <w:rsid w:val="00F83916"/>
    <w:rsid w:val="00F83D33"/>
    <w:rsid w:val="00F83E2D"/>
    <w:rsid w:val="00F83F6B"/>
    <w:rsid w:val="00F8479B"/>
    <w:rsid w:val="00F847CB"/>
    <w:rsid w:val="00F848BF"/>
    <w:rsid w:val="00F851CE"/>
    <w:rsid w:val="00F86568"/>
    <w:rsid w:val="00F86C1F"/>
    <w:rsid w:val="00F87040"/>
    <w:rsid w:val="00F87111"/>
    <w:rsid w:val="00F874BE"/>
    <w:rsid w:val="00F90DAD"/>
    <w:rsid w:val="00F90F38"/>
    <w:rsid w:val="00F91219"/>
    <w:rsid w:val="00F914F5"/>
    <w:rsid w:val="00F91C52"/>
    <w:rsid w:val="00F9242D"/>
    <w:rsid w:val="00F92444"/>
    <w:rsid w:val="00F925AA"/>
    <w:rsid w:val="00F92808"/>
    <w:rsid w:val="00F934AC"/>
    <w:rsid w:val="00F9393E"/>
    <w:rsid w:val="00F947B2"/>
    <w:rsid w:val="00F94A3F"/>
    <w:rsid w:val="00F94F58"/>
    <w:rsid w:val="00F96088"/>
    <w:rsid w:val="00F96FD0"/>
    <w:rsid w:val="00F973A4"/>
    <w:rsid w:val="00F973F3"/>
    <w:rsid w:val="00F9748B"/>
    <w:rsid w:val="00F974A7"/>
    <w:rsid w:val="00F97A56"/>
    <w:rsid w:val="00F97A61"/>
    <w:rsid w:val="00F97A78"/>
    <w:rsid w:val="00FA0752"/>
    <w:rsid w:val="00FA0B20"/>
    <w:rsid w:val="00FA0CFE"/>
    <w:rsid w:val="00FA0DC6"/>
    <w:rsid w:val="00FA19E1"/>
    <w:rsid w:val="00FA1A6A"/>
    <w:rsid w:val="00FA1F47"/>
    <w:rsid w:val="00FA2098"/>
    <w:rsid w:val="00FA218D"/>
    <w:rsid w:val="00FA24DD"/>
    <w:rsid w:val="00FA24E7"/>
    <w:rsid w:val="00FA288B"/>
    <w:rsid w:val="00FA2BD1"/>
    <w:rsid w:val="00FA2E44"/>
    <w:rsid w:val="00FA320B"/>
    <w:rsid w:val="00FA3D7D"/>
    <w:rsid w:val="00FA46DC"/>
    <w:rsid w:val="00FA4A1E"/>
    <w:rsid w:val="00FA4AD3"/>
    <w:rsid w:val="00FA4D10"/>
    <w:rsid w:val="00FA5145"/>
    <w:rsid w:val="00FA5521"/>
    <w:rsid w:val="00FA5EE6"/>
    <w:rsid w:val="00FA6A24"/>
    <w:rsid w:val="00FA6B71"/>
    <w:rsid w:val="00FA6FE4"/>
    <w:rsid w:val="00FA7587"/>
    <w:rsid w:val="00FA75BE"/>
    <w:rsid w:val="00FA7657"/>
    <w:rsid w:val="00FA7956"/>
    <w:rsid w:val="00FA7F98"/>
    <w:rsid w:val="00FB044E"/>
    <w:rsid w:val="00FB0824"/>
    <w:rsid w:val="00FB0B03"/>
    <w:rsid w:val="00FB0CA2"/>
    <w:rsid w:val="00FB136D"/>
    <w:rsid w:val="00FB1E7B"/>
    <w:rsid w:val="00FB1FDC"/>
    <w:rsid w:val="00FB2FCB"/>
    <w:rsid w:val="00FB3261"/>
    <w:rsid w:val="00FB329E"/>
    <w:rsid w:val="00FB3519"/>
    <w:rsid w:val="00FB3B2A"/>
    <w:rsid w:val="00FB4012"/>
    <w:rsid w:val="00FB4AE0"/>
    <w:rsid w:val="00FB4C9C"/>
    <w:rsid w:val="00FB55D6"/>
    <w:rsid w:val="00FB5CD3"/>
    <w:rsid w:val="00FB5D02"/>
    <w:rsid w:val="00FB5F72"/>
    <w:rsid w:val="00FB68BB"/>
    <w:rsid w:val="00FB7124"/>
    <w:rsid w:val="00FB7BC2"/>
    <w:rsid w:val="00FB7C55"/>
    <w:rsid w:val="00FC0289"/>
    <w:rsid w:val="00FC046E"/>
    <w:rsid w:val="00FC0491"/>
    <w:rsid w:val="00FC0C29"/>
    <w:rsid w:val="00FC1074"/>
    <w:rsid w:val="00FC1807"/>
    <w:rsid w:val="00FC1884"/>
    <w:rsid w:val="00FC199E"/>
    <w:rsid w:val="00FC20E5"/>
    <w:rsid w:val="00FC2195"/>
    <w:rsid w:val="00FC2D8A"/>
    <w:rsid w:val="00FC371D"/>
    <w:rsid w:val="00FC38C7"/>
    <w:rsid w:val="00FC3F40"/>
    <w:rsid w:val="00FC411B"/>
    <w:rsid w:val="00FC5012"/>
    <w:rsid w:val="00FC5646"/>
    <w:rsid w:val="00FC5F0B"/>
    <w:rsid w:val="00FC6DF6"/>
    <w:rsid w:val="00FC74BA"/>
    <w:rsid w:val="00FC7E6C"/>
    <w:rsid w:val="00FD02E1"/>
    <w:rsid w:val="00FD056B"/>
    <w:rsid w:val="00FD05BA"/>
    <w:rsid w:val="00FD12BB"/>
    <w:rsid w:val="00FD18F7"/>
    <w:rsid w:val="00FD2100"/>
    <w:rsid w:val="00FD28A9"/>
    <w:rsid w:val="00FD2A67"/>
    <w:rsid w:val="00FD2C15"/>
    <w:rsid w:val="00FD36F1"/>
    <w:rsid w:val="00FD3895"/>
    <w:rsid w:val="00FD3A35"/>
    <w:rsid w:val="00FD436C"/>
    <w:rsid w:val="00FD446D"/>
    <w:rsid w:val="00FD453B"/>
    <w:rsid w:val="00FD48B0"/>
    <w:rsid w:val="00FD4B8A"/>
    <w:rsid w:val="00FD4F2C"/>
    <w:rsid w:val="00FD538C"/>
    <w:rsid w:val="00FD60CD"/>
    <w:rsid w:val="00FD62A4"/>
    <w:rsid w:val="00FD62BB"/>
    <w:rsid w:val="00FD6394"/>
    <w:rsid w:val="00FD66E9"/>
    <w:rsid w:val="00FD6F32"/>
    <w:rsid w:val="00FD724F"/>
    <w:rsid w:val="00FD7766"/>
    <w:rsid w:val="00FD780F"/>
    <w:rsid w:val="00FD794C"/>
    <w:rsid w:val="00FE04AE"/>
    <w:rsid w:val="00FE066A"/>
    <w:rsid w:val="00FE0E6C"/>
    <w:rsid w:val="00FE1CDC"/>
    <w:rsid w:val="00FE20A6"/>
    <w:rsid w:val="00FE2CCE"/>
    <w:rsid w:val="00FE2D42"/>
    <w:rsid w:val="00FE54CF"/>
    <w:rsid w:val="00FE5D58"/>
    <w:rsid w:val="00FE5D6E"/>
    <w:rsid w:val="00FE608A"/>
    <w:rsid w:val="00FE6353"/>
    <w:rsid w:val="00FE64A3"/>
    <w:rsid w:val="00FE67C6"/>
    <w:rsid w:val="00FE69A7"/>
    <w:rsid w:val="00FE6A6A"/>
    <w:rsid w:val="00FE70C3"/>
    <w:rsid w:val="00FF0762"/>
    <w:rsid w:val="00FF0AF4"/>
    <w:rsid w:val="00FF123C"/>
    <w:rsid w:val="00FF1A8B"/>
    <w:rsid w:val="00FF245E"/>
    <w:rsid w:val="00FF251F"/>
    <w:rsid w:val="00FF2AD9"/>
    <w:rsid w:val="00FF2C11"/>
    <w:rsid w:val="00FF2D22"/>
    <w:rsid w:val="00FF2FD9"/>
    <w:rsid w:val="00FF359F"/>
    <w:rsid w:val="00FF3DCF"/>
    <w:rsid w:val="00FF4112"/>
    <w:rsid w:val="00FF4623"/>
    <w:rsid w:val="00FF492C"/>
    <w:rsid w:val="00FF4A21"/>
    <w:rsid w:val="00FF5893"/>
    <w:rsid w:val="00FF5AA3"/>
    <w:rsid w:val="00FF5AD8"/>
    <w:rsid w:val="00FF68D6"/>
    <w:rsid w:val="00FF6C9A"/>
    <w:rsid w:val="00FF6CFA"/>
    <w:rsid w:val="00FF6F86"/>
    <w:rsid w:val="00FF7822"/>
    <w:rsid w:val="00FF7CD1"/>
    <w:rsid w:val="01704801"/>
    <w:rsid w:val="028057BD"/>
    <w:rsid w:val="02C0A86F"/>
    <w:rsid w:val="032A934E"/>
    <w:rsid w:val="032C869C"/>
    <w:rsid w:val="03C5DBA0"/>
    <w:rsid w:val="03F6F9D0"/>
    <w:rsid w:val="040E9497"/>
    <w:rsid w:val="04732CEF"/>
    <w:rsid w:val="05598861"/>
    <w:rsid w:val="05DDD21A"/>
    <w:rsid w:val="0640E90E"/>
    <w:rsid w:val="080C138D"/>
    <w:rsid w:val="081D8934"/>
    <w:rsid w:val="084CE564"/>
    <w:rsid w:val="086FE1CD"/>
    <w:rsid w:val="0890AEDE"/>
    <w:rsid w:val="09418CF6"/>
    <w:rsid w:val="095E1C9F"/>
    <w:rsid w:val="096244F6"/>
    <w:rsid w:val="0A2CE55E"/>
    <w:rsid w:val="0A44B9E0"/>
    <w:rsid w:val="0A8B92F9"/>
    <w:rsid w:val="0A9C4B7A"/>
    <w:rsid w:val="0AE7677C"/>
    <w:rsid w:val="0B6507BE"/>
    <w:rsid w:val="0C148938"/>
    <w:rsid w:val="0CAC5E4F"/>
    <w:rsid w:val="0DDB3236"/>
    <w:rsid w:val="0E486EB1"/>
    <w:rsid w:val="0E5B5DE9"/>
    <w:rsid w:val="0F4EA9AB"/>
    <w:rsid w:val="0FE8837D"/>
    <w:rsid w:val="0FF5B160"/>
    <w:rsid w:val="100C05B8"/>
    <w:rsid w:val="107B4AC3"/>
    <w:rsid w:val="112FBAE4"/>
    <w:rsid w:val="1146BE5D"/>
    <w:rsid w:val="11560250"/>
    <w:rsid w:val="115AD15E"/>
    <w:rsid w:val="120A91EB"/>
    <w:rsid w:val="12286C4C"/>
    <w:rsid w:val="1251B2BF"/>
    <w:rsid w:val="13334CC8"/>
    <w:rsid w:val="1583D486"/>
    <w:rsid w:val="15C754C1"/>
    <w:rsid w:val="1616BC14"/>
    <w:rsid w:val="163395FD"/>
    <w:rsid w:val="1677BFCD"/>
    <w:rsid w:val="16BF3103"/>
    <w:rsid w:val="16C8A459"/>
    <w:rsid w:val="171111DE"/>
    <w:rsid w:val="1816104B"/>
    <w:rsid w:val="181B8A2E"/>
    <w:rsid w:val="18858997"/>
    <w:rsid w:val="19075ED6"/>
    <w:rsid w:val="19423E94"/>
    <w:rsid w:val="19D0822B"/>
    <w:rsid w:val="19F2750E"/>
    <w:rsid w:val="1A30B402"/>
    <w:rsid w:val="1A6681DA"/>
    <w:rsid w:val="1D3CEBB6"/>
    <w:rsid w:val="1E8D69D6"/>
    <w:rsid w:val="1EA6EC72"/>
    <w:rsid w:val="1ED893B4"/>
    <w:rsid w:val="1F7455A4"/>
    <w:rsid w:val="200C5409"/>
    <w:rsid w:val="2020BBE6"/>
    <w:rsid w:val="215FF077"/>
    <w:rsid w:val="21BFC3AD"/>
    <w:rsid w:val="22373EF5"/>
    <w:rsid w:val="224AD6A4"/>
    <w:rsid w:val="22974BD5"/>
    <w:rsid w:val="229B78C3"/>
    <w:rsid w:val="22A83C39"/>
    <w:rsid w:val="23099D70"/>
    <w:rsid w:val="23FFCBA7"/>
    <w:rsid w:val="24249BDF"/>
    <w:rsid w:val="24536F6D"/>
    <w:rsid w:val="249BA54B"/>
    <w:rsid w:val="24B59184"/>
    <w:rsid w:val="24C283CD"/>
    <w:rsid w:val="2514C824"/>
    <w:rsid w:val="2572B462"/>
    <w:rsid w:val="26FB4FE3"/>
    <w:rsid w:val="275CEF96"/>
    <w:rsid w:val="27CD6177"/>
    <w:rsid w:val="282211C3"/>
    <w:rsid w:val="286A917B"/>
    <w:rsid w:val="287EC166"/>
    <w:rsid w:val="28AEF9E0"/>
    <w:rsid w:val="28D0C09F"/>
    <w:rsid w:val="2AAFEE2F"/>
    <w:rsid w:val="2AFA659D"/>
    <w:rsid w:val="2B547669"/>
    <w:rsid w:val="2B5C20B0"/>
    <w:rsid w:val="2C37D950"/>
    <w:rsid w:val="2CBBE2C0"/>
    <w:rsid w:val="2D2C0A27"/>
    <w:rsid w:val="2ED5615E"/>
    <w:rsid w:val="2EDDBA88"/>
    <w:rsid w:val="2EE5DB24"/>
    <w:rsid w:val="3007F9A3"/>
    <w:rsid w:val="306190B1"/>
    <w:rsid w:val="30A448B5"/>
    <w:rsid w:val="30D61609"/>
    <w:rsid w:val="31B90A67"/>
    <w:rsid w:val="31FC56B1"/>
    <w:rsid w:val="32477D56"/>
    <w:rsid w:val="32BE69A7"/>
    <w:rsid w:val="32D80BAD"/>
    <w:rsid w:val="32E47877"/>
    <w:rsid w:val="32F2B1B0"/>
    <w:rsid w:val="33011EE4"/>
    <w:rsid w:val="34007AB3"/>
    <w:rsid w:val="344A7C5E"/>
    <w:rsid w:val="345D5291"/>
    <w:rsid w:val="352CAE22"/>
    <w:rsid w:val="3547CD16"/>
    <w:rsid w:val="35958FC3"/>
    <w:rsid w:val="36767D22"/>
    <w:rsid w:val="369653E9"/>
    <w:rsid w:val="37D997FF"/>
    <w:rsid w:val="37E29D78"/>
    <w:rsid w:val="38353BF7"/>
    <w:rsid w:val="3970A353"/>
    <w:rsid w:val="39F265C3"/>
    <w:rsid w:val="3B80E6C6"/>
    <w:rsid w:val="3BCE45B1"/>
    <w:rsid w:val="3BE3403D"/>
    <w:rsid w:val="3C6B8DED"/>
    <w:rsid w:val="3C761E91"/>
    <w:rsid w:val="3CCA072D"/>
    <w:rsid w:val="3CCD1145"/>
    <w:rsid w:val="3E5954D2"/>
    <w:rsid w:val="3F2BDCD5"/>
    <w:rsid w:val="40A99A8D"/>
    <w:rsid w:val="41FC7A66"/>
    <w:rsid w:val="426BED3D"/>
    <w:rsid w:val="42A5627D"/>
    <w:rsid w:val="42D74832"/>
    <w:rsid w:val="43066ECF"/>
    <w:rsid w:val="43725DDB"/>
    <w:rsid w:val="438AE8EA"/>
    <w:rsid w:val="43BE7FC9"/>
    <w:rsid w:val="444E0B57"/>
    <w:rsid w:val="45DDF76A"/>
    <w:rsid w:val="4602F2AA"/>
    <w:rsid w:val="468D3E0B"/>
    <w:rsid w:val="471A9138"/>
    <w:rsid w:val="473FE290"/>
    <w:rsid w:val="479FE350"/>
    <w:rsid w:val="47AD201E"/>
    <w:rsid w:val="486BE3C3"/>
    <w:rsid w:val="489FFBC5"/>
    <w:rsid w:val="48C800F1"/>
    <w:rsid w:val="48CF5448"/>
    <w:rsid w:val="49B3C683"/>
    <w:rsid w:val="4A2C2C77"/>
    <w:rsid w:val="4A3231BE"/>
    <w:rsid w:val="4AA39B62"/>
    <w:rsid w:val="4BC11BB9"/>
    <w:rsid w:val="4BE76AB3"/>
    <w:rsid w:val="4C22059F"/>
    <w:rsid w:val="4DA5B95D"/>
    <w:rsid w:val="4EF17261"/>
    <w:rsid w:val="4FD35CE2"/>
    <w:rsid w:val="4FEE3DDB"/>
    <w:rsid w:val="5029C0EC"/>
    <w:rsid w:val="509575AB"/>
    <w:rsid w:val="50A9CD56"/>
    <w:rsid w:val="50DE926D"/>
    <w:rsid w:val="51370D89"/>
    <w:rsid w:val="52172448"/>
    <w:rsid w:val="52B59601"/>
    <w:rsid w:val="53B9F64B"/>
    <w:rsid w:val="53F95D70"/>
    <w:rsid w:val="549ECCD9"/>
    <w:rsid w:val="55396818"/>
    <w:rsid w:val="559AAEA1"/>
    <w:rsid w:val="55D4EAC4"/>
    <w:rsid w:val="56865B7E"/>
    <w:rsid w:val="570D70A3"/>
    <w:rsid w:val="575EAC46"/>
    <w:rsid w:val="57BC43B3"/>
    <w:rsid w:val="5824945B"/>
    <w:rsid w:val="59C5DFB2"/>
    <w:rsid w:val="5A38D6AE"/>
    <w:rsid w:val="5B61FF34"/>
    <w:rsid w:val="5B6817FC"/>
    <w:rsid w:val="5B6A8C9A"/>
    <w:rsid w:val="5C363DDA"/>
    <w:rsid w:val="5CF0FBD1"/>
    <w:rsid w:val="5CF6A7B1"/>
    <w:rsid w:val="5CF7BE05"/>
    <w:rsid w:val="5D0ABC92"/>
    <w:rsid w:val="5D148707"/>
    <w:rsid w:val="5D9C6547"/>
    <w:rsid w:val="5DB495BB"/>
    <w:rsid w:val="5DD596BE"/>
    <w:rsid w:val="5E507466"/>
    <w:rsid w:val="5E527BCD"/>
    <w:rsid w:val="5E6292F4"/>
    <w:rsid w:val="5EA3B943"/>
    <w:rsid w:val="5FFF1487"/>
    <w:rsid w:val="6089E182"/>
    <w:rsid w:val="61090D89"/>
    <w:rsid w:val="618A00AC"/>
    <w:rsid w:val="62710E6E"/>
    <w:rsid w:val="62F9EE2B"/>
    <w:rsid w:val="633C0C57"/>
    <w:rsid w:val="63F3F4DE"/>
    <w:rsid w:val="63FE1A91"/>
    <w:rsid w:val="646F2841"/>
    <w:rsid w:val="64DDB4C4"/>
    <w:rsid w:val="65B0E3EE"/>
    <w:rsid w:val="65B8467B"/>
    <w:rsid w:val="65B931CE"/>
    <w:rsid w:val="65FF9A34"/>
    <w:rsid w:val="663DE131"/>
    <w:rsid w:val="667E4482"/>
    <w:rsid w:val="674C5DE7"/>
    <w:rsid w:val="676FA50A"/>
    <w:rsid w:val="67795F7F"/>
    <w:rsid w:val="6850B2E6"/>
    <w:rsid w:val="6870A219"/>
    <w:rsid w:val="69BEE957"/>
    <w:rsid w:val="6A02C7D7"/>
    <w:rsid w:val="6A1D5C7B"/>
    <w:rsid w:val="6B0BEE82"/>
    <w:rsid w:val="6B6B3131"/>
    <w:rsid w:val="6BD20BD5"/>
    <w:rsid w:val="6D83FDA6"/>
    <w:rsid w:val="6DACA788"/>
    <w:rsid w:val="6DBE7028"/>
    <w:rsid w:val="6E09D84B"/>
    <w:rsid w:val="6E1D61DE"/>
    <w:rsid w:val="6E86A237"/>
    <w:rsid w:val="6E956B97"/>
    <w:rsid w:val="6EA18949"/>
    <w:rsid w:val="6EAB57D2"/>
    <w:rsid w:val="6EF5C3F9"/>
    <w:rsid w:val="6F7966D1"/>
    <w:rsid w:val="6FB9EE37"/>
    <w:rsid w:val="6FC63FCE"/>
    <w:rsid w:val="6FEEFFF2"/>
    <w:rsid w:val="703FA684"/>
    <w:rsid w:val="70D84573"/>
    <w:rsid w:val="715A8B63"/>
    <w:rsid w:val="723D83BA"/>
    <w:rsid w:val="72D818B7"/>
    <w:rsid w:val="72F8BFBF"/>
    <w:rsid w:val="731E4D35"/>
    <w:rsid w:val="7352195F"/>
    <w:rsid w:val="73AF2777"/>
    <w:rsid w:val="73D20D5B"/>
    <w:rsid w:val="75611C1B"/>
    <w:rsid w:val="75817905"/>
    <w:rsid w:val="75A92333"/>
    <w:rsid w:val="75D81FBC"/>
    <w:rsid w:val="75FCD2D8"/>
    <w:rsid w:val="7607A1F9"/>
    <w:rsid w:val="7701708C"/>
    <w:rsid w:val="7711B820"/>
    <w:rsid w:val="77C1158B"/>
    <w:rsid w:val="77DA0F38"/>
    <w:rsid w:val="77E741DA"/>
    <w:rsid w:val="7829816F"/>
    <w:rsid w:val="782D054F"/>
    <w:rsid w:val="78B282D9"/>
    <w:rsid w:val="78CDB9A5"/>
    <w:rsid w:val="791D39FC"/>
    <w:rsid w:val="795E76DF"/>
    <w:rsid w:val="7A300100"/>
    <w:rsid w:val="7B43F419"/>
    <w:rsid w:val="7C0CB276"/>
    <w:rsid w:val="7D114216"/>
    <w:rsid w:val="7D1CAF6A"/>
    <w:rsid w:val="7D206C49"/>
    <w:rsid w:val="7D387363"/>
    <w:rsid w:val="7D4D64AD"/>
    <w:rsid w:val="7DDB1AE0"/>
    <w:rsid w:val="7E56C808"/>
    <w:rsid w:val="7E9C4755"/>
    <w:rsid w:val="7F4C1EAE"/>
    <w:rsid w:val="7F981E80"/>
    <w:rsid w:val="7FFBB7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3E55"/>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uiPriority w:val="1"/>
    <w:qFormat/>
    <w:rsid w:val="00E2771E"/>
    <w:rPr>
      <w:rFonts w:ascii="Arial Narrow" w:hAnsi="Arial Narrow"/>
      <w:sz w:val="18"/>
    </w:rPr>
  </w:style>
  <w:style w:type="character" w:customStyle="1" w:styleId="TableFooterChar">
    <w:name w:val="Table Footer Char"/>
    <w:link w:val="TableFooter"/>
    <w:uiPriority w:val="1"/>
    <w:rsid w:val="00322846"/>
    <w:rPr>
      <w:rFonts w:ascii="Arial Narrow" w:hAnsi="Arial Narrow" w:cs="Arial"/>
      <w:snapToGrid w:val="0"/>
      <w:sz w:val="18"/>
      <w:lang w:eastAsia="en-US"/>
    </w:rPr>
  </w:style>
  <w:style w:type="paragraph" w:customStyle="1" w:styleId="TableHeader">
    <w:name w:val="Table Header"/>
    <w:basedOn w:val="Normal"/>
    <w:link w:val="TableHeaderChar"/>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uiPriority w:val="99"/>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uiPriority w:val="99"/>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uiPriority w:val="99"/>
    <w:qFormat/>
    <w:rsid w:val="00B33E3F"/>
    <w:pPr>
      <w:numPr>
        <w:ilvl w:val="1"/>
        <w:numId w:val="1"/>
      </w:numPr>
      <w:spacing w:before="120"/>
    </w:pPr>
  </w:style>
  <w:style w:type="character" w:customStyle="1" w:styleId="3-BodyTextChar">
    <w:name w:val="3-Body Text Char"/>
    <w:basedOn w:val="ListParagraphChar"/>
    <w:link w:val="3-BodyText"/>
    <w:uiPriority w:val="99"/>
    <w:rsid w:val="00B33E3F"/>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aliases w:val="Footnote Text Char1,Footnote Text Char Char,Footnote Text Char2,Footnote Text Char Char1"/>
    <w:basedOn w:val="Normal"/>
    <w:link w:val="FootnoteTextChar"/>
    <w:uiPriority w:val="99"/>
    <w:unhideWhenUsed/>
    <w:rsid w:val="00B055CE"/>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B055CE"/>
    <w:rPr>
      <w:rFonts w:ascii="Calibri" w:hAnsi="Calibri" w:cs="Arial"/>
    </w:rPr>
  </w:style>
  <w:style w:type="character" w:styleId="FootnoteReference">
    <w:name w:val="footnote reference"/>
    <w:basedOn w:val="DefaultParagraphFont"/>
    <w:uiPriority w:val="99"/>
    <w:unhideWhenUsed/>
    <w:rsid w:val="00B055CE"/>
    <w:rPr>
      <w:vertAlign w:val="superscript"/>
    </w:rPr>
  </w:style>
  <w:style w:type="character" w:styleId="UnresolvedMention">
    <w:name w:val="Unresolved Mention"/>
    <w:basedOn w:val="DefaultParagraphFont"/>
    <w:uiPriority w:val="99"/>
    <w:semiHidden/>
    <w:unhideWhenUsed/>
    <w:rsid w:val="00802526"/>
    <w:rPr>
      <w:color w:val="605E5C"/>
      <w:shd w:val="clear" w:color="auto" w:fill="E1DFDD"/>
    </w:rPr>
  </w:style>
  <w:style w:type="character" w:styleId="PlaceholderText">
    <w:name w:val="Placeholder Text"/>
    <w:basedOn w:val="DefaultParagraphFont"/>
    <w:uiPriority w:val="99"/>
    <w:semiHidden/>
    <w:rsid w:val="003A1ED6"/>
    <w:rPr>
      <w:color w:val="808080"/>
    </w:rPr>
  </w:style>
  <w:style w:type="paragraph" w:customStyle="1" w:styleId="TableBullet">
    <w:name w:val="Table Bullet"/>
    <w:basedOn w:val="TableText0"/>
    <w:qFormat/>
    <w:rsid w:val="00FA24DD"/>
    <w:pPr>
      <w:keepNext w:val="0"/>
      <w:numPr>
        <w:numId w:val="9"/>
      </w:numPr>
      <w:spacing w:before="40" w:after="40" w:line="276" w:lineRule="auto"/>
    </w:pPr>
    <w:rPr>
      <w:rFonts w:eastAsiaTheme="minorHAnsi" w:cs="Calibri (Body)"/>
      <w:bCs w:val="0"/>
      <w:szCs w:val="20"/>
      <w:lang w:eastAsia="en-US"/>
    </w:rPr>
  </w:style>
  <w:style w:type="character" w:customStyle="1" w:styleId="TableHeadingChar">
    <w:name w:val="TableHeading Char"/>
    <w:link w:val="TableHeading"/>
    <w:rsid w:val="00FA24DD"/>
    <w:rPr>
      <w:rFonts w:ascii="Arial Narrow" w:hAnsi="Arial Narrow" w:cs="Arial Narrow"/>
      <w:b/>
      <w:bCs/>
      <w:snapToGrid w:val="0"/>
      <w:szCs w:val="24"/>
    </w:rPr>
  </w:style>
  <w:style w:type="paragraph" w:customStyle="1" w:styleId="TableBodyCentred">
    <w:name w:val="Table Body (Centred)"/>
    <w:basedOn w:val="Normal"/>
    <w:link w:val="TableBodyCentredChar"/>
    <w:uiPriority w:val="13"/>
    <w:qFormat/>
    <w:rsid w:val="00FA24DD"/>
    <w:pPr>
      <w:spacing w:line="252" w:lineRule="auto"/>
      <w:jc w:val="center"/>
    </w:pPr>
    <w:rPr>
      <w:rFonts w:asciiTheme="minorHAnsi" w:eastAsia="Calibri" w:hAnsiTheme="minorHAnsi" w:cstheme="minorBidi"/>
      <w:color w:val="000000"/>
      <w:sz w:val="18"/>
      <w:szCs w:val="22"/>
      <w:lang w:val="en-GB" w:eastAsia="en-US"/>
    </w:rPr>
  </w:style>
  <w:style w:type="character" w:customStyle="1" w:styleId="TableBodyCentredChar">
    <w:name w:val="Table Body (Centred) Char"/>
    <w:basedOn w:val="DefaultParagraphFont"/>
    <w:link w:val="TableBodyCentred"/>
    <w:uiPriority w:val="13"/>
    <w:rsid w:val="00FA24DD"/>
    <w:rPr>
      <w:rFonts w:asciiTheme="minorHAnsi" w:eastAsia="Calibri" w:hAnsiTheme="minorHAnsi" w:cstheme="minorBidi"/>
      <w:color w:val="000000"/>
      <w:sz w:val="18"/>
      <w:szCs w:val="22"/>
      <w:lang w:val="en-GB" w:eastAsia="en-US"/>
    </w:rPr>
  </w:style>
  <w:style w:type="paragraph" w:customStyle="1" w:styleId="TableHeaderCentred">
    <w:name w:val="Table Header (Centred)"/>
    <w:basedOn w:val="TableHeader"/>
    <w:link w:val="TableHeaderCentredChar"/>
    <w:uiPriority w:val="5"/>
    <w:qFormat/>
    <w:rsid w:val="00FA24DD"/>
    <w:pPr>
      <w:spacing w:before="60" w:after="60" w:line="252" w:lineRule="auto"/>
      <w:jc w:val="center"/>
    </w:pPr>
    <w:rPr>
      <w:rFonts w:asciiTheme="minorHAnsi" w:eastAsia="Calibri" w:hAnsiTheme="minorHAnsi" w:cstheme="minorBidi"/>
      <w:color w:val="FFFFFF" w:themeColor="background1"/>
      <w:sz w:val="18"/>
      <w:szCs w:val="22"/>
      <w:lang w:val="en-GB" w:eastAsia="en-US"/>
    </w:rPr>
  </w:style>
  <w:style w:type="character" w:customStyle="1" w:styleId="TableHeaderCentredChar">
    <w:name w:val="Table Header (Centred) Char"/>
    <w:basedOn w:val="DefaultParagraphFont"/>
    <w:link w:val="TableHeaderCentred"/>
    <w:uiPriority w:val="5"/>
    <w:rsid w:val="00FA24DD"/>
    <w:rPr>
      <w:rFonts w:asciiTheme="minorHAnsi" w:eastAsia="Calibri" w:hAnsiTheme="minorHAnsi" w:cstheme="minorBidi"/>
      <w:b/>
      <w:color w:val="FFFFFF" w:themeColor="background1"/>
      <w:sz w:val="18"/>
      <w:szCs w:val="22"/>
      <w:lang w:val="en-GB" w:eastAsia="en-US"/>
    </w:rPr>
  </w:style>
  <w:style w:type="paragraph" w:customStyle="1" w:styleId="BodyCopy">
    <w:name w:val="Body Copy"/>
    <w:basedOn w:val="Normal"/>
    <w:link w:val="BodyCopyChar"/>
    <w:qFormat/>
    <w:rsid w:val="00FA24DD"/>
    <w:pPr>
      <w:spacing w:after="240" w:line="276" w:lineRule="auto"/>
    </w:pPr>
    <w:rPr>
      <w:rFonts w:ascii="Arial Nova Light" w:eastAsiaTheme="minorHAnsi" w:hAnsi="Arial Nova Light"/>
      <w:color w:val="2B3A42"/>
      <w:sz w:val="22"/>
      <w:szCs w:val="22"/>
      <w:lang w:val="en-US" w:eastAsia="en-US"/>
    </w:rPr>
  </w:style>
  <w:style w:type="character" w:customStyle="1" w:styleId="BodyCopyChar">
    <w:name w:val="Body Copy Char"/>
    <w:basedOn w:val="DefaultParagraphFont"/>
    <w:link w:val="BodyCopy"/>
    <w:rsid w:val="00FA24DD"/>
    <w:rPr>
      <w:rFonts w:ascii="Arial Nova Light" w:eastAsiaTheme="minorHAnsi" w:hAnsi="Arial Nova Light" w:cs="Arial"/>
      <w:color w:val="2B3A42"/>
      <w:sz w:val="22"/>
      <w:szCs w:val="22"/>
      <w:lang w:val="en-US" w:eastAsia="en-US"/>
    </w:rPr>
  </w:style>
  <w:style w:type="character" w:customStyle="1" w:styleId="TableHeaderChar">
    <w:name w:val="Table Header Char"/>
    <w:basedOn w:val="DefaultParagraphFont"/>
    <w:link w:val="TableHeader"/>
    <w:uiPriority w:val="13"/>
    <w:rsid w:val="00FA24DD"/>
    <w:rPr>
      <w:rFonts w:ascii="Calibri" w:hAnsi="Calibri" w:cs="Arial"/>
      <w:b/>
      <w:szCs w:val="24"/>
    </w:rPr>
  </w:style>
  <w:style w:type="table" w:styleId="TableGridLight">
    <w:name w:val="Grid Table Light"/>
    <w:basedOn w:val="TableNormal"/>
    <w:uiPriority w:val="40"/>
    <w:rsid w:val="00FA24DD"/>
    <w:rPr>
      <w:rFonts w:asciiTheme="minorHAnsi" w:eastAsiaTheme="minorHAnsi" w:hAnsiTheme="minorHAnsi" w:cs="Calibri (Body)"/>
      <w:sz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BACTableStyle">
    <w:name w:val="PBAC Table Style"/>
    <w:basedOn w:val="TableGrid1"/>
    <w:uiPriority w:val="99"/>
    <w:rsid w:val="00FA24DD"/>
    <w:pPr>
      <w:widowControl w:val="0"/>
      <w:spacing w:before="120"/>
      <w:contextualSpacing/>
      <w:jc w:val="center"/>
    </w:pPr>
    <w:rPr>
      <w:rFonts w:ascii="Arial Narrow" w:eastAsiaTheme="minorHAnsi" w:hAnsi="Arial Narrow" w:cstheme="minorBidi"/>
      <w:color w:val="000000" w:themeColor="text1"/>
      <w:lang w:val="en-US"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w:hAnsi="Segoe UI"/>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w:hAnsi="Segoe UI"/>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w:hAnsi="Segoe UI"/>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FA24DD"/>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next w:val="TableGrid"/>
    <w:rsid w:val="00FA24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FootnoteChar">
    <w:name w:val="Caption Footnote Char"/>
    <w:basedOn w:val="DefaultParagraphFont"/>
    <w:link w:val="CaptionFootnote"/>
    <w:locked/>
    <w:rsid w:val="00FA24DD"/>
    <w:rPr>
      <w:kern w:val="28"/>
      <w:sz w:val="16"/>
      <w:szCs w:val="24"/>
      <w:lang w:eastAsia="en-GB"/>
    </w:rPr>
  </w:style>
  <w:style w:type="paragraph" w:customStyle="1" w:styleId="CaptionFootnote">
    <w:name w:val="Caption Footnote"/>
    <w:basedOn w:val="Normal"/>
    <w:link w:val="CaptionFootnoteChar"/>
    <w:qFormat/>
    <w:rsid w:val="00FA24DD"/>
    <w:pPr>
      <w:jc w:val="left"/>
    </w:pPr>
    <w:rPr>
      <w:rFonts w:ascii="Times New Roman" w:hAnsi="Times New Roman" w:cs="Times New Roman"/>
      <w:kern w:val="28"/>
      <w:sz w:val="16"/>
      <w:lang w:eastAsia="en-GB"/>
    </w:rPr>
  </w:style>
  <w:style w:type="table" w:customStyle="1" w:styleId="ASDTable2">
    <w:name w:val="ASD Table2"/>
    <w:basedOn w:val="TableNormal"/>
    <w:uiPriority w:val="39"/>
    <w:rsid w:val="00FA24D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FA24DD"/>
    <w:pPr>
      <w:spacing w:line="360"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qFormat/>
    <w:rsid w:val="00FA24DD"/>
    <w:pPr>
      <w:keepNext/>
      <w:keepLines/>
      <w:suppressLineNumbers/>
      <w:spacing w:after="80"/>
      <w:textboxTightWrap w:val="allLines"/>
    </w:pPr>
    <w:rPr>
      <w:rFonts w:ascii="Arial Narrow" w:eastAsia="SimSun" w:hAnsi="Arial Narrow" w:cs="Arial"/>
      <w:szCs w:val="24"/>
      <w:lang w:eastAsia="en-GB"/>
    </w:rPr>
  </w:style>
  <w:style w:type="paragraph" w:customStyle="1" w:styleId="PBACTblFignote">
    <w:name w:val="PBAC Tbl/Fig note"/>
    <w:uiPriority w:val="99"/>
    <w:qFormat/>
    <w:rsid w:val="00FA24DD"/>
    <w:pPr>
      <w:keepNext/>
      <w:keepLines/>
      <w:spacing w:after="360"/>
      <w:contextualSpacing/>
      <w:textboxTightWrap w:val="allLines"/>
    </w:pPr>
    <w:rPr>
      <w:rFonts w:ascii="Arial Narrow" w:eastAsia="SimSun" w:hAnsi="Arial Narrow" w:cs="Arial"/>
      <w:sz w:val="16"/>
      <w:szCs w:val="24"/>
      <w:lang w:eastAsia="en-GB"/>
    </w:rPr>
  </w:style>
  <w:style w:type="character" w:customStyle="1" w:styleId="Heading5Char">
    <w:name w:val="Heading 5 Char"/>
    <w:basedOn w:val="DefaultParagraphFont"/>
    <w:link w:val="Heading5"/>
    <w:rsid w:val="00FA24DD"/>
    <w:rPr>
      <w:rFonts w:ascii="Calibri" w:hAnsi="Calibri" w:cs="Arial"/>
      <w:b/>
      <w:bCs/>
      <w:iCs/>
      <w:sz w:val="26"/>
      <w:szCs w:val="26"/>
    </w:rPr>
  </w:style>
  <w:style w:type="character" w:styleId="HTMLCite">
    <w:name w:val="HTML Cite"/>
    <w:basedOn w:val="DefaultParagraphFont"/>
    <w:uiPriority w:val="99"/>
    <w:semiHidden/>
    <w:unhideWhenUsed/>
    <w:rsid w:val="00FA24DD"/>
    <w:rPr>
      <w:i/>
      <w:iCs/>
    </w:rPr>
  </w:style>
  <w:style w:type="paragraph" w:customStyle="1" w:styleId="PBACESHeading1">
    <w:name w:val="PBAC ES Heading 1"/>
    <w:basedOn w:val="Heading1"/>
    <w:next w:val="ListParagraph"/>
    <w:uiPriority w:val="1"/>
    <w:qFormat/>
    <w:rsid w:val="00FA24DD"/>
    <w:pPr>
      <w:keepNext/>
      <w:keepLines/>
      <w:tabs>
        <w:tab w:val="left" w:pos="1077"/>
      </w:tabs>
      <w:spacing w:before="240" w:after="120"/>
      <w:jc w:val="left"/>
    </w:pPr>
    <w:rPr>
      <w:rFonts w:asciiTheme="minorHAnsi" w:eastAsia="SimSun" w:hAnsiTheme="minorHAnsi"/>
      <w:caps w:val="0"/>
      <w:snapToGrid w:val="0"/>
      <w:szCs w:val="32"/>
      <w:lang w:eastAsia="en-US"/>
    </w:rPr>
  </w:style>
  <w:style w:type="paragraph" w:customStyle="1" w:styleId="PBACESHeading2">
    <w:name w:val="PBAC ES Heading 2"/>
    <w:basedOn w:val="Heading2"/>
    <w:link w:val="PBACESHeading2Char"/>
    <w:uiPriority w:val="1"/>
    <w:qFormat/>
    <w:rsid w:val="00FA24DD"/>
    <w:pPr>
      <w:keepNext/>
      <w:keepLines/>
      <w:spacing w:before="360" w:after="120"/>
      <w:ind w:left="720" w:hanging="720"/>
      <w:jc w:val="left"/>
    </w:pPr>
    <w:rPr>
      <w:rFonts w:asciiTheme="majorHAnsi" w:eastAsiaTheme="majorEastAsia" w:hAnsiTheme="majorHAnsi" w:cstheme="majorBidi"/>
      <w:snapToGrid w:val="0"/>
      <w:szCs w:val="28"/>
      <w:lang w:eastAsia="en-GB"/>
    </w:rPr>
  </w:style>
  <w:style w:type="paragraph" w:customStyle="1" w:styleId="PBACESHeadingCAPS">
    <w:name w:val="PBAC ES Heading CAPS"/>
    <w:basedOn w:val="PBACESHeading2"/>
    <w:link w:val="PBACESHeadingCAPSChar"/>
    <w:uiPriority w:val="1"/>
    <w:qFormat/>
    <w:rsid w:val="00FA24DD"/>
    <w:rPr>
      <w:i w:val="0"/>
      <w:smallCaps/>
      <w:sz w:val="32"/>
    </w:rPr>
  </w:style>
  <w:style w:type="paragraph" w:customStyle="1" w:styleId="PBACESHeading3">
    <w:name w:val="PBAC ES Heading 3"/>
    <w:basedOn w:val="PBACESHeading2"/>
    <w:uiPriority w:val="1"/>
    <w:qFormat/>
    <w:rsid w:val="00FA24DD"/>
    <w:pPr>
      <w:ind w:left="1080" w:hanging="1080"/>
    </w:pPr>
    <w:rPr>
      <w:i w:val="0"/>
      <w:sz w:val="24"/>
    </w:rPr>
  </w:style>
  <w:style w:type="character" w:customStyle="1" w:styleId="PBACESHeadingCAPSChar">
    <w:name w:val="PBAC ES Heading CAPS Char"/>
    <w:basedOn w:val="DefaultParagraphFont"/>
    <w:link w:val="PBACESHeadingCAPS"/>
    <w:uiPriority w:val="1"/>
    <w:rsid w:val="00FA24DD"/>
    <w:rPr>
      <w:rFonts w:asciiTheme="majorHAnsi" w:eastAsiaTheme="majorEastAsia" w:hAnsiTheme="majorHAnsi" w:cstheme="majorBidi"/>
      <w:b/>
      <w:smallCaps/>
      <w:snapToGrid w:val="0"/>
      <w:sz w:val="32"/>
      <w:szCs w:val="28"/>
      <w:lang w:eastAsia="en-GB"/>
    </w:rPr>
  </w:style>
  <w:style w:type="paragraph" w:customStyle="1" w:styleId="MSACHeading1">
    <w:name w:val="MSAC Heading 1"/>
    <w:basedOn w:val="Heading1"/>
    <w:next w:val="Normal"/>
    <w:uiPriority w:val="1"/>
    <w:qFormat/>
    <w:rsid w:val="00FA24DD"/>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FA24DD"/>
    <w:pPr>
      <w:keepNext/>
      <w:keepLines/>
      <w:spacing w:before="360" w:after="120"/>
      <w:ind w:left="720" w:hanging="720"/>
      <w:jc w:val="left"/>
    </w:pPr>
    <w:rPr>
      <w:rFonts w:ascii="Cambria" w:eastAsiaTheme="majorEastAsia" w:hAnsi="Cambria" w:cstheme="majorBidi"/>
      <w:i w:val="0"/>
      <w:snapToGrid w:val="0"/>
      <w:sz w:val="24"/>
      <w:szCs w:val="28"/>
      <w:lang w:eastAsia="en-GB"/>
    </w:rPr>
  </w:style>
  <w:style w:type="character" w:customStyle="1" w:styleId="PBACESHeading2Char">
    <w:name w:val="PBAC ES Heading 2 Char"/>
    <w:basedOn w:val="Heading2Char"/>
    <w:link w:val="PBACESHeading2"/>
    <w:uiPriority w:val="1"/>
    <w:rsid w:val="00FA24DD"/>
    <w:rPr>
      <w:rFonts w:asciiTheme="majorHAnsi" w:eastAsiaTheme="majorEastAsia" w:hAnsiTheme="majorHAnsi" w:cstheme="majorBidi"/>
      <w:b/>
      <w:i/>
      <w:snapToGrid w:val="0"/>
      <w:sz w:val="28"/>
      <w:szCs w:val="28"/>
      <w:lang w:eastAsia="en-GB"/>
    </w:rPr>
  </w:style>
  <w:style w:type="paragraph" w:customStyle="1" w:styleId="TableHeading0">
    <w:name w:val="Table Heading"/>
    <w:basedOn w:val="Normal"/>
    <w:link w:val="TableHeadingChar0"/>
    <w:qFormat/>
    <w:rsid w:val="00FA24DD"/>
    <w:pPr>
      <w:keepNext/>
      <w:keepLines/>
      <w:spacing w:before="20" w:after="20" w:line="276" w:lineRule="auto"/>
      <w:jc w:val="left"/>
    </w:pPr>
    <w:rPr>
      <w:rFonts w:ascii="Arial Narrow" w:eastAsiaTheme="majorEastAsia" w:hAnsi="Arial Narrow"/>
      <w:b/>
      <w:sz w:val="20"/>
      <w:szCs w:val="20"/>
      <w:lang w:bidi="en-US"/>
    </w:rPr>
  </w:style>
  <w:style w:type="character" w:customStyle="1" w:styleId="TableHeadingChar0">
    <w:name w:val="Table Heading Char"/>
    <w:basedOn w:val="DefaultParagraphFont"/>
    <w:link w:val="TableHeading0"/>
    <w:locked/>
    <w:rsid w:val="00FA24DD"/>
    <w:rPr>
      <w:rFonts w:ascii="Arial Narrow" w:eastAsiaTheme="majorEastAsia" w:hAnsi="Arial Narrow" w:cs="Arial"/>
      <w:b/>
      <w:lang w:bidi="en-US"/>
    </w:rPr>
  </w:style>
  <w:style w:type="character" w:customStyle="1" w:styleId="MainBodyBulletPointChar">
    <w:name w:val="MainBody Bullet Point Char"/>
    <w:basedOn w:val="DefaultParagraphFont"/>
    <w:link w:val="MainBodyBulletPoint"/>
    <w:uiPriority w:val="1"/>
    <w:locked/>
    <w:rsid w:val="00FA24DD"/>
    <w:rPr>
      <w:rFonts w:ascii="Calibri" w:hAnsi="Calibri"/>
      <w:sz w:val="24"/>
      <w:szCs w:val="24"/>
      <w:lang w:eastAsia="en-GB"/>
    </w:rPr>
  </w:style>
  <w:style w:type="paragraph" w:customStyle="1" w:styleId="MainBodyBulletPoint">
    <w:name w:val="MainBody Bullet Point"/>
    <w:basedOn w:val="Normal"/>
    <w:link w:val="MainBodyBulletPointChar"/>
    <w:uiPriority w:val="1"/>
    <w:qFormat/>
    <w:rsid w:val="00FA24DD"/>
    <w:pPr>
      <w:numPr>
        <w:numId w:val="14"/>
      </w:numPr>
      <w:spacing w:before="120" w:after="120"/>
      <w:jc w:val="left"/>
    </w:pPr>
    <w:rPr>
      <w:rFonts w:cs="Times New Roman"/>
      <w:lang w:eastAsia="en-GB"/>
    </w:rPr>
  </w:style>
  <w:style w:type="character" w:customStyle="1" w:styleId="Heading1Char">
    <w:name w:val="Heading 1 Char"/>
    <w:basedOn w:val="DefaultParagraphFont"/>
    <w:link w:val="Heading1"/>
    <w:uiPriority w:val="1"/>
    <w:rsid w:val="00FA24DD"/>
    <w:rPr>
      <w:rFonts w:ascii="Calibri" w:hAnsi="Calibri" w:cs="Arial"/>
      <w:b/>
      <w:caps/>
      <w:sz w:val="32"/>
      <w:szCs w:val="24"/>
    </w:rPr>
  </w:style>
  <w:style w:type="character" w:customStyle="1" w:styleId="Heading3Char">
    <w:name w:val="Heading 3 Char"/>
    <w:basedOn w:val="DefaultParagraphFont"/>
    <w:link w:val="Heading3"/>
    <w:rsid w:val="00FA24DD"/>
    <w:rPr>
      <w:rFonts w:ascii="Calibri" w:hAnsi="Calibri" w:cs="Arial"/>
      <w:sz w:val="24"/>
      <w:szCs w:val="24"/>
      <w:u w:val="single"/>
    </w:rPr>
  </w:style>
  <w:style w:type="character" w:customStyle="1" w:styleId="Heading4Char">
    <w:name w:val="Heading 4 Char"/>
    <w:basedOn w:val="DefaultParagraphFont"/>
    <w:link w:val="Heading4"/>
    <w:rsid w:val="00FA24DD"/>
    <w:rPr>
      <w:rFonts w:ascii="Calibri" w:hAnsi="Calibri" w:cs="Arial"/>
      <w:b/>
      <w:bCs/>
      <w:i/>
      <w:sz w:val="26"/>
      <w:szCs w:val="28"/>
    </w:rPr>
  </w:style>
  <w:style w:type="character" w:customStyle="1" w:styleId="Heading6Char">
    <w:name w:val="Heading 6 Char"/>
    <w:basedOn w:val="DefaultParagraphFont"/>
    <w:link w:val="Heading6"/>
    <w:rsid w:val="00FA24DD"/>
    <w:rPr>
      <w:rFonts w:ascii="Calibri" w:hAnsi="Calibri" w:cs="Arial"/>
      <w:b/>
      <w:bCs/>
      <w:i/>
      <w:sz w:val="24"/>
      <w:szCs w:val="24"/>
    </w:rPr>
  </w:style>
  <w:style w:type="paragraph" w:customStyle="1" w:styleId="msonormal0">
    <w:name w:val="msonormal"/>
    <w:basedOn w:val="Normal"/>
    <w:uiPriority w:val="99"/>
    <w:rsid w:val="00FA24DD"/>
    <w:pPr>
      <w:spacing w:before="100" w:after="100"/>
      <w:jc w:val="left"/>
    </w:pPr>
    <w:rPr>
      <w:rFonts w:ascii="Times New Roman" w:eastAsia="SimSu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FA24DD"/>
    <w:rPr>
      <w:rFonts w:ascii="Calibri" w:hAnsi="Calibri" w:cs="Arial"/>
    </w:rPr>
  </w:style>
  <w:style w:type="character" w:customStyle="1" w:styleId="HeaderChar1">
    <w:name w:val="Header Char1"/>
    <w:aliases w:val="Page Header Char1,Header title Char1,he=header Char1,cntr/bld Char1"/>
    <w:basedOn w:val="DefaultParagraphFont"/>
    <w:semiHidden/>
    <w:rsid w:val="00FA24DD"/>
    <w:rPr>
      <w:rFonts w:ascii="Calibri" w:hAnsi="Calibri" w:cs="Arial"/>
      <w:sz w:val="24"/>
      <w:szCs w:val="24"/>
    </w:rPr>
  </w:style>
  <w:style w:type="paragraph" w:styleId="TableofFigures">
    <w:name w:val="table of figures"/>
    <w:basedOn w:val="Normal"/>
    <w:next w:val="Normal"/>
    <w:uiPriority w:val="99"/>
    <w:semiHidden/>
    <w:unhideWhenUsed/>
    <w:rsid w:val="00FA24DD"/>
    <w:rPr>
      <w:rFonts w:eastAsia="SimSun"/>
    </w:rPr>
  </w:style>
  <w:style w:type="paragraph" w:customStyle="1" w:styleId="PBACESText">
    <w:name w:val="PBAC ES Text"/>
    <w:basedOn w:val="Normal"/>
    <w:qFormat/>
    <w:rsid w:val="00FA24DD"/>
    <w:pPr>
      <w:spacing w:before="60" w:after="80"/>
      <w:jc w:val="left"/>
    </w:pPr>
    <w:rPr>
      <w:rFonts w:eastAsia="SimSun"/>
      <w:sz w:val="22"/>
      <w:lang w:val="en-US" w:eastAsia="en-GB"/>
    </w:rPr>
  </w:style>
  <w:style w:type="character" w:customStyle="1" w:styleId="TableNumberChar">
    <w:name w:val="Table Number Char"/>
    <w:basedOn w:val="DefaultParagraphFont"/>
    <w:link w:val="TableNumber"/>
    <w:locked/>
    <w:rsid w:val="00FA24DD"/>
    <w:rPr>
      <w:rFonts w:ascii="Arial Narrow" w:hAnsi="Arial Narrow"/>
      <w:szCs w:val="24"/>
      <w:lang w:eastAsia="en-GB"/>
    </w:rPr>
  </w:style>
  <w:style w:type="paragraph" w:customStyle="1" w:styleId="TableNumber">
    <w:name w:val="Table Number"/>
    <w:basedOn w:val="Normal"/>
    <w:link w:val="TableNumberChar"/>
    <w:qFormat/>
    <w:rsid w:val="00FA24DD"/>
    <w:pPr>
      <w:widowControl w:val="0"/>
      <w:tabs>
        <w:tab w:val="decimal" w:pos="396"/>
      </w:tabs>
      <w:spacing w:before="40" w:after="40" w:line="252" w:lineRule="auto"/>
      <w:jc w:val="center"/>
    </w:pPr>
    <w:rPr>
      <w:rFonts w:ascii="Arial Narrow" w:hAnsi="Arial Narrow" w:cs="Times New Roman"/>
      <w:sz w:val="20"/>
      <w:lang w:eastAsia="en-GB"/>
    </w:rPr>
  </w:style>
  <w:style w:type="character" w:customStyle="1" w:styleId="InstructionalTextChar">
    <w:name w:val="Instructional Text Char"/>
    <w:basedOn w:val="DefaultParagraphFont"/>
    <w:link w:val="InstructionalText"/>
    <w:uiPriority w:val="3"/>
    <w:locked/>
    <w:rsid w:val="00FA24DD"/>
    <w:rPr>
      <w:rFonts w:asciiTheme="minorHAnsi" w:hAnsiTheme="minorHAnsi" w:cs="Calibri"/>
      <w:color w:val="0070C0"/>
      <w:sz w:val="24"/>
      <w:szCs w:val="24"/>
      <w:lang w:eastAsia="en-GB"/>
    </w:rPr>
  </w:style>
  <w:style w:type="paragraph" w:customStyle="1" w:styleId="InstructionalText">
    <w:name w:val="Instructional Text"/>
    <w:basedOn w:val="Normal"/>
    <w:link w:val="InstructionalTextChar"/>
    <w:uiPriority w:val="3"/>
    <w:qFormat/>
    <w:rsid w:val="00FA24DD"/>
    <w:pPr>
      <w:spacing w:before="120" w:after="160"/>
    </w:pPr>
    <w:rPr>
      <w:rFonts w:asciiTheme="minorHAnsi" w:hAnsiTheme="minorHAnsi" w:cs="Calibri"/>
      <w:color w:val="0070C0"/>
      <w:lang w:eastAsia="en-GB"/>
    </w:rPr>
  </w:style>
  <w:style w:type="paragraph" w:customStyle="1" w:styleId="xl110">
    <w:name w:val="xl110"/>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1">
    <w:name w:val="xl111"/>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2">
    <w:name w:val="xl112"/>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3">
    <w:name w:val="xl113"/>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4">
    <w:name w:val="xl114"/>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5">
    <w:name w:val="xl115"/>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6">
    <w:name w:val="xl116"/>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7">
    <w:name w:val="xl117"/>
    <w:basedOn w:val="Normal"/>
    <w:uiPriority w:val="99"/>
    <w:rsid w:val="00FA24DD"/>
    <w:pP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18">
    <w:name w:val="xl118"/>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19">
    <w:name w:val="xl119"/>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0">
    <w:name w:val="xl120"/>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1">
    <w:name w:val="xl121"/>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2">
    <w:name w:val="xl122"/>
    <w:basedOn w:val="Normal"/>
    <w:uiPriority w:val="99"/>
    <w:rsid w:val="00FA24DD"/>
    <w:pPr>
      <w:spacing w:before="100" w:beforeAutospacing="1" w:after="100" w:afterAutospacing="1"/>
      <w:jc w:val="left"/>
    </w:pPr>
    <w:rPr>
      <w:rFonts w:ascii="Arial Narrow" w:eastAsia="SimSun" w:hAnsi="Arial Narrow" w:cs="Times New Roman"/>
      <w:color w:val="7030A0"/>
      <w:sz w:val="20"/>
      <w:szCs w:val="20"/>
    </w:rPr>
  </w:style>
  <w:style w:type="paragraph" w:customStyle="1" w:styleId="xl123">
    <w:name w:val="xl123"/>
    <w:basedOn w:val="Normal"/>
    <w:uiPriority w:val="99"/>
    <w:rsid w:val="00FA24DD"/>
    <w:pPr>
      <w:spacing w:before="100" w:beforeAutospacing="1" w:after="100" w:afterAutospacing="1"/>
      <w:jc w:val="left"/>
    </w:pPr>
    <w:rPr>
      <w:rFonts w:ascii="Arial Narrow" w:eastAsia="SimSun" w:hAnsi="Arial Narrow" w:cs="Times New Roman"/>
      <w:color w:val="BFBFBF"/>
      <w:sz w:val="20"/>
      <w:szCs w:val="20"/>
    </w:rPr>
  </w:style>
  <w:style w:type="paragraph" w:customStyle="1" w:styleId="xl124">
    <w:name w:val="xl124"/>
    <w:basedOn w:val="Normal"/>
    <w:uiPriority w:val="99"/>
    <w:rsid w:val="00FA24DD"/>
    <w:pPr>
      <w:spacing w:before="100" w:beforeAutospacing="1" w:after="100" w:afterAutospacing="1"/>
      <w:jc w:val="left"/>
    </w:pPr>
    <w:rPr>
      <w:rFonts w:ascii="Arial Narrow" w:eastAsia="SimSun" w:hAnsi="Arial Narrow" w:cs="Times New Roman"/>
      <w:color w:val="BFBFBF"/>
      <w:sz w:val="20"/>
      <w:szCs w:val="20"/>
    </w:rPr>
  </w:style>
  <w:style w:type="paragraph" w:customStyle="1" w:styleId="xl125">
    <w:name w:val="xl125"/>
    <w:basedOn w:val="Normal"/>
    <w:uiPriority w:val="99"/>
    <w:rsid w:val="00FA24DD"/>
    <w:pPr>
      <w:spacing w:before="100" w:beforeAutospacing="1" w:after="100" w:afterAutospacing="1"/>
      <w:jc w:val="left"/>
    </w:pPr>
    <w:rPr>
      <w:rFonts w:ascii="Arial Narrow" w:eastAsia="SimSun" w:hAnsi="Arial Narrow" w:cs="Times New Roman"/>
      <w:sz w:val="20"/>
      <w:szCs w:val="20"/>
    </w:rPr>
  </w:style>
  <w:style w:type="paragraph" w:customStyle="1" w:styleId="xl126">
    <w:name w:val="xl126"/>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27">
    <w:name w:val="xl127"/>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28">
    <w:name w:val="xl128"/>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29">
    <w:name w:val="xl129"/>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0">
    <w:name w:val="xl130"/>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1">
    <w:name w:val="xl131"/>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2">
    <w:name w:val="xl132"/>
    <w:basedOn w:val="Normal"/>
    <w:uiPriority w:val="99"/>
    <w:rsid w:val="00FA24DD"/>
    <w:pP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33">
    <w:name w:val="xl133"/>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4">
    <w:name w:val="xl134"/>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5">
    <w:name w:val="xl135"/>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6">
    <w:name w:val="xl136"/>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7">
    <w:name w:val="xl137"/>
    <w:basedOn w:val="Normal"/>
    <w:uiPriority w:val="99"/>
    <w:rsid w:val="00FA24DD"/>
    <w:pP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38">
    <w:name w:val="xl138"/>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39">
    <w:name w:val="xl139"/>
    <w:basedOn w:val="Normal"/>
    <w:uiPriority w:val="99"/>
    <w:rsid w:val="00FA24DD"/>
    <w:pPr>
      <w:shd w:val="clear" w:color="auto" w:fill="E7E6E6"/>
      <w:spacing w:before="100" w:beforeAutospacing="1" w:after="100" w:afterAutospacing="1"/>
      <w:jc w:val="center"/>
    </w:pPr>
    <w:rPr>
      <w:rFonts w:ascii="Arial Narrow" w:eastAsia="SimSun" w:hAnsi="Arial Narrow" w:cs="Times New Roman"/>
      <w:color w:val="7030A0"/>
      <w:sz w:val="20"/>
      <w:szCs w:val="20"/>
    </w:rPr>
  </w:style>
  <w:style w:type="paragraph" w:customStyle="1" w:styleId="xl140">
    <w:name w:val="xl140"/>
    <w:basedOn w:val="Normal"/>
    <w:uiPriority w:val="99"/>
    <w:rsid w:val="00FA24DD"/>
    <w:pPr>
      <w:shd w:val="clear" w:color="auto" w:fill="E7E6E6"/>
      <w:spacing w:before="100" w:beforeAutospacing="1" w:after="100" w:afterAutospacing="1"/>
      <w:jc w:val="center"/>
    </w:pPr>
    <w:rPr>
      <w:rFonts w:ascii="Arial Narrow" w:eastAsia="SimSun" w:hAnsi="Arial Narrow" w:cs="Times New Roman"/>
      <w:color w:val="7030A0"/>
      <w:sz w:val="20"/>
      <w:szCs w:val="20"/>
    </w:rPr>
  </w:style>
  <w:style w:type="paragraph" w:customStyle="1" w:styleId="xl141">
    <w:name w:val="xl141"/>
    <w:basedOn w:val="Normal"/>
    <w:uiPriority w:val="99"/>
    <w:rsid w:val="00FA24DD"/>
    <w:pPr>
      <w:shd w:val="clear" w:color="auto" w:fill="FCE4D6"/>
      <w:spacing w:before="100" w:beforeAutospacing="1" w:after="100" w:afterAutospacing="1"/>
      <w:jc w:val="center"/>
    </w:pPr>
    <w:rPr>
      <w:rFonts w:ascii="Arial Narrow" w:eastAsia="SimSun" w:hAnsi="Arial Narrow" w:cs="Times New Roman"/>
      <w:color w:val="7030A0"/>
      <w:sz w:val="20"/>
      <w:szCs w:val="20"/>
    </w:rPr>
  </w:style>
  <w:style w:type="paragraph" w:customStyle="1" w:styleId="xl142">
    <w:name w:val="xl142"/>
    <w:basedOn w:val="Normal"/>
    <w:uiPriority w:val="99"/>
    <w:rsid w:val="00FA24DD"/>
    <w:pPr>
      <w:shd w:val="clear" w:color="auto" w:fill="FCE4D6"/>
      <w:spacing w:before="100" w:beforeAutospacing="1" w:after="100" w:afterAutospacing="1"/>
      <w:jc w:val="center"/>
    </w:pPr>
    <w:rPr>
      <w:rFonts w:ascii="Arial Narrow" w:eastAsia="SimSun" w:hAnsi="Arial Narrow" w:cs="Times New Roman"/>
      <w:color w:val="7030A0"/>
      <w:sz w:val="20"/>
      <w:szCs w:val="20"/>
    </w:rPr>
  </w:style>
  <w:style w:type="paragraph" w:customStyle="1" w:styleId="xl143">
    <w:name w:val="xl143"/>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44">
    <w:name w:val="xl144"/>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45">
    <w:name w:val="xl145"/>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46">
    <w:name w:val="xl146"/>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47">
    <w:name w:val="xl14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48">
    <w:name w:val="xl148"/>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49">
    <w:name w:val="xl149"/>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50">
    <w:name w:val="xl150"/>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51">
    <w:name w:val="xl151"/>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52">
    <w:name w:val="xl152"/>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53">
    <w:name w:val="xl153"/>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4">
    <w:name w:val="xl154"/>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5">
    <w:name w:val="xl155"/>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6">
    <w:name w:val="xl156"/>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7">
    <w:name w:val="xl15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8">
    <w:name w:val="xl158"/>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59">
    <w:name w:val="xl159"/>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60">
    <w:name w:val="xl160"/>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61">
    <w:name w:val="xl161"/>
    <w:basedOn w:val="Normal"/>
    <w:uiPriority w:val="99"/>
    <w:rsid w:val="00FA24DD"/>
    <w:pPr>
      <w:pBdr>
        <w:top w:val="single" w:sz="8" w:space="0" w:color="auto"/>
        <w:left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2">
    <w:name w:val="xl162"/>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3">
    <w:name w:val="xl163"/>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4">
    <w:name w:val="xl164"/>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5">
    <w:name w:val="xl165"/>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6">
    <w:name w:val="xl166"/>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7">
    <w:name w:val="xl167"/>
    <w:basedOn w:val="Normal"/>
    <w:uiPriority w:val="99"/>
    <w:rsid w:val="00FA24DD"/>
    <w:pPr>
      <w:pBdr>
        <w:top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8">
    <w:name w:val="xl168"/>
    <w:basedOn w:val="Normal"/>
    <w:uiPriority w:val="99"/>
    <w:rsid w:val="00FA24DD"/>
    <w:pPr>
      <w:pBdr>
        <w:top w:val="single" w:sz="8" w:space="0" w:color="auto"/>
        <w:right w:val="single" w:sz="8" w:space="0" w:color="auto"/>
      </w:pBdr>
      <w:shd w:val="clear" w:color="auto" w:fill="92D050"/>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69">
    <w:name w:val="xl169"/>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0">
    <w:name w:val="xl170"/>
    <w:basedOn w:val="Normal"/>
    <w:uiPriority w:val="99"/>
    <w:rsid w:val="00FA24DD"/>
    <w:pPr>
      <w:pBdr>
        <w:top w:val="single" w:sz="4" w:space="0" w:color="auto"/>
        <w:bottom w:val="single" w:sz="4" w:space="0" w:color="auto"/>
      </w:pBdr>
      <w:shd w:val="clear" w:color="auto" w:fill="E7E6E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1">
    <w:name w:val="xl171"/>
    <w:basedOn w:val="Normal"/>
    <w:uiPriority w:val="99"/>
    <w:rsid w:val="00FA24DD"/>
    <w:pPr>
      <w:pBdr>
        <w:top w:val="single" w:sz="4" w:space="0" w:color="auto"/>
        <w:bottom w:val="single" w:sz="4" w:space="0" w:color="auto"/>
      </w:pBdr>
      <w:shd w:val="clear" w:color="auto" w:fill="E7E6E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2">
    <w:name w:val="xl172"/>
    <w:basedOn w:val="Normal"/>
    <w:uiPriority w:val="99"/>
    <w:rsid w:val="00FA24DD"/>
    <w:pPr>
      <w:pBdr>
        <w:top w:val="single" w:sz="4" w:space="0" w:color="auto"/>
        <w:bottom w:val="single" w:sz="4" w:space="0" w:color="auto"/>
      </w:pBdr>
      <w:shd w:val="clear" w:color="auto" w:fill="FCE4D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3">
    <w:name w:val="xl173"/>
    <w:basedOn w:val="Normal"/>
    <w:uiPriority w:val="99"/>
    <w:rsid w:val="00FA24DD"/>
    <w:pPr>
      <w:pBdr>
        <w:top w:val="single" w:sz="4" w:space="0" w:color="auto"/>
        <w:bottom w:val="single" w:sz="4" w:space="0" w:color="auto"/>
      </w:pBdr>
      <w:shd w:val="clear" w:color="auto" w:fill="FCE4D6"/>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4">
    <w:name w:val="xl174"/>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5">
    <w:name w:val="xl175"/>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6">
    <w:name w:val="xl176"/>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7">
    <w:name w:val="xl177"/>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8">
    <w:name w:val="xl178"/>
    <w:basedOn w:val="Normal"/>
    <w:uiPriority w:val="99"/>
    <w:rsid w:val="00FA24DD"/>
    <w:pPr>
      <w:pBdr>
        <w:top w:val="single" w:sz="4" w:space="0" w:color="auto"/>
        <w:bottom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79">
    <w:name w:val="xl179"/>
    <w:basedOn w:val="Normal"/>
    <w:uiPriority w:val="99"/>
    <w:rsid w:val="00FA24DD"/>
    <w:pPr>
      <w:spacing w:before="100" w:beforeAutospacing="1" w:after="100" w:afterAutospacing="1"/>
      <w:jc w:val="left"/>
    </w:pPr>
    <w:rPr>
      <w:rFonts w:ascii="Arial Narrow" w:eastAsia="SimSun" w:hAnsi="Arial Narrow" w:cs="Times New Roman"/>
      <w:b/>
      <w:bCs/>
      <w:color w:val="7030A0"/>
      <w:sz w:val="20"/>
      <w:szCs w:val="20"/>
    </w:rPr>
  </w:style>
  <w:style w:type="paragraph" w:customStyle="1" w:styleId="xl180">
    <w:name w:val="xl180"/>
    <w:basedOn w:val="Normal"/>
    <w:uiPriority w:val="99"/>
    <w:rsid w:val="00FA24DD"/>
    <w:pPr>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81">
    <w:name w:val="xl181"/>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82">
    <w:name w:val="xl182"/>
    <w:basedOn w:val="Normal"/>
    <w:uiPriority w:val="99"/>
    <w:rsid w:val="00FA24DD"/>
    <w:pPr>
      <w:pBdr>
        <w:top w:val="single" w:sz="4" w:space="0" w:color="auto"/>
      </w:pBdr>
      <w:shd w:val="clear" w:color="auto" w:fill="E7E6E6"/>
      <w:spacing w:before="100" w:beforeAutospacing="1" w:after="100" w:afterAutospacing="1"/>
      <w:jc w:val="left"/>
    </w:pPr>
    <w:rPr>
      <w:rFonts w:ascii="Arial Narrow" w:eastAsia="SimSun" w:hAnsi="Arial Narrow" w:cs="Times New Roman"/>
      <w:color w:val="7030A0"/>
      <w:sz w:val="20"/>
      <w:szCs w:val="20"/>
    </w:rPr>
  </w:style>
  <w:style w:type="paragraph" w:customStyle="1" w:styleId="xl183">
    <w:name w:val="xl183"/>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84">
    <w:name w:val="xl184"/>
    <w:basedOn w:val="Normal"/>
    <w:uiPriority w:val="99"/>
    <w:rsid w:val="00FA24DD"/>
    <w:pPr>
      <w:pBdr>
        <w:top w:val="single" w:sz="4" w:space="0" w:color="auto"/>
      </w:pBdr>
      <w:shd w:val="clear" w:color="auto" w:fill="FCE4D6"/>
      <w:spacing w:before="100" w:beforeAutospacing="1" w:after="100" w:afterAutospacing="1"/>
      <w:jc w:val="left"/>
    </w:pPr>
    <w:rPr>
      <w:rFonts w:ascii="Arial Narrow" w:eastAsia="SimSun" w:hAnsi="Arial Narrow" w:cs="Times New Roman"/>
      <w:color w:val="7030A0"/>
      <w:sz w:val="20"/>
      <w:szCs w:val="20"/>
    </w:rPr>
  </w:style>
  <w:style w:type="paragraph" w:customStyle="1" w:styleId="xl185">
    <w:name w:val="xl185"/>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86">
    <w:name w:val="xl186"/>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87">
    <w:name w:val="xl18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88">
    <w:name w:val="xl188"/>
    <w:basedOn w:val="Normal"/>
    <w:uiPriority w:val="99"/>
    <w:rsid w:val="00FA24DD"/>
    <w:pPr>
      <w:spacing w:before="100" w:beforeAutospacing="1" w:after="100" w:afterAutospacing="1"/>
      <w:jc w:val="center"/>
    </w:pPr>
    <w:rPr>
      <w:rFonts w:ascii="Arial Narrow" w:eastAsia="SimSun" w:hAnsi="Arial Narrow" w:cs="Times New Roman"/>
      <w:color w:val="7030A0"/>
      <w:sz w:val="20"/>
      <w:szCs w:val="20"/>
    </w:rPr>
  </w:style>
  <w:style w:type="paragraph" w:customStyle="1" w:styleId="xl189">
    <w:name w:val="xl189"/>
    <w:basedOn w:val="Normal"/>
    <w:uiPriority w:val="99"/>
    <w:rsid w:val="00FA24DD"/>
    <w:pPr>
      <w:pBdr>
        <w:top w:val="single" w:sz="4" w:space="0" w:color="auto"/>
      </w:pBdr>
      <w:shd w:val="clear" w:color="auto" w:fill="FFFF00"/>
      <w:spacing w:before="100" w:beforeAutospacing="1" w:after="100" w:afterAutospacing="1"/>
      <w:jc w:val="left"/>
    </w:pPr>
    <w:rPr>
      <w:rFonts w:ascii="Arial Narrow" w:eastAsia="SimSun" w:hAnsi="Arial Narrow" w:cs="Times New Roman"/>
      <w:i/>
      <w:iCs/>
      <w:color w:val="7030A0"/>
      <w:sz w:val="20"/>
      <w:szCs w:val="20"/>
    </w:rPr>
  </w:style>
  <w:style w:type="paragraph" w:customStyle="1" w:styleId="xl190">
    <w:name w:val="xl190"/>
    <w:basedOn w:val="Normal"/>
    <w:uiPriority w:val="99"/>
    <w:rsid w:val="00FA24DD"/>
    <w:pPr>
      <w:shd w:val="clear" w:color="auto" w:fill="FFFF00"/>
      <w:spacing w:before="100" w:beforeAutospacing="1" w:after="100" w:afterAutospacing="1"/>
      <w:jc w:val="left"/>
    </w:pPr>
    <w:rPr>
      <w:rFonts w:ascii="Arial Narrow" w:eastAsia="SimSun" w:hAnsi="Arial Narrow" w:cs="Times New Roman"/>
      <w:i/>
      <w:iCs/>
      <w:color w:val="7030A0"/>
      <w:sz w:val="20"/>
      <w:szCs w:val="20"/>
    </w:rPr>
  </w:style>
  <w:style w:type="paragraph" w:customStyle="1" w:styleId="xl191">
    <w:name w:val="xl191"/>
    <w:basedOn w:val="Normal"/>
    <w:uiPriority w:val="99"/>
    <w:rsid w:val="00FA24DD"/>
    <w:pPr>
      <w:shd w:val="clear" w:color="auto" w:fill="FFFF00"/>
      <w:spacing w:before="100" w:beforeAutospacing="1" w:after="100" w:afterAutospacing="1"/>
      <w:jc w:val="left"/>
    </w:pPr>
    <w:rPr>
      <w:rFonts w:ascii="Arial Narrow" w:eastAsia="SimSun" w:hAnsi="Arial Narrow" w:cs="Times New Roman"/>
      <w:color w:val="7030A0"/>
      <w:sz w:val="20"/>
      <w:szCs w:val="20"/>
    </w:rPr>
  </w:style>
  <w:style w:type="paragraph" w:customStyle="1" w:styleId="xl192">
    <w:name w:val="xl192"/>
    <w:basedOn w:val="Normal"/>
    <w:uiPriority w:val="99"/>
    <w:rsid w:val="00FA24DD"/>
    <w:pPr>
      <w:shd w:val="clear" w:color="auto" w:fill="E7E6E6"/>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93">
    <w:name w:val="xl193"/>
    <w:basedOn w:val="Normal"/>
    <w:uiPriority w:val="99"/>
    <w:rsid w:val="00FA24DD"/>
    <w:pPr>
      <w:shd w:val="clear" w:color="auto" w:fill="FCE4D6"/>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94">
    <w:name w:val="xl194"/>
    <w:basedOn w:val="Normal"/>
    <w:uiPriority w:val="99"/>
    <w:rsid w:val="00FA24DD"/>
    <w:pPr>
      <w:shd w:val="clear" w:color="auto" w:fill="FFFF00"/>
      <w:spacing w:before="100" w:beforeAutospacing="1" w:after="100" w:afterAutospacing="1"/>
      <w:jc w:val="left"/>
    </w:pPr>
    <w:rPr>
      <w:rFonts w:ascii="Arial Narrow" w:eastAsia="SimSun" w:hAnsi="Arial Narrow" w:cs="Times New Roman"/>
      <w:i/>
      <w:iCs/>
      <w:color w:val="7030A0"/>
      <w:sz w:val="20"/>
      <w:szCs w:val="20"/>
    </w:rPr>
  </w:style>
  <w:style w:type="paragraph" w:customStyle="1" w:styleId="xl195">
    <w:name w:val="xl195"/>
    <w:basedOn w:val="Normal"/>
    <w:uiPriority w:val="99"/>
    <w:rsid w:val="00FA24DD"/>
    <w:pPr>
      <w:pBdr>
        <w:top w:val="single" w:sz="4" w:space="0" w:color="auto"/>
        <w:bottom w:val="single" w:sz="4" w:space="0" w:color="auto"/>
      </w:pBdr>
      <w:spacing w:before="100" w:beforeAutospacing="1" w:after="100" w:afterAutospacing="1"/>
      <w:jc w:val="center"/>
    </w:pPr>
    <w:rPr>
      <w:rFonts w:ascii="Arial Narrow" w:eastAsia="SimSun" w:hAnsi="Arial Narrow" w:cs="Times New Roman"/>
      <w:b/>
      <w:bCs/>
      <w:color w:val="7030A0"/>
      <w:sz w:val="20"/>
      <w:szCs w:val="20"/>
    </w:rPr>
  </w:style>
  <w:style w:type="paragraph" w:customStyle="1" w:styleId="xl196">
    <w:name w:val="xl196"/>
    <w:basedOn w:val="Normal"/>
    <w:uiPriority w:val="99"/>
    <w:rsid w:val="00FA24DD"/>
    <w:pPr>
      <w:pBdr>
        <w:top w:val="single" w:sz="4" w:space="0" w:color="auto"/>
      </w:pBdr>
      <w:spacing w:before="100" w:beforeAutospacing="1" w:after="100" w:afterAutospacing="1"/>
      <w:jc w:val="center"/>
    </w:pPr>
    <w:rPr>
      <w:rFonts w:ascii="Arial Narrow" w:eastAsia="SimSun" w:hAnsi="Arial Narrow" w:cs="Times New Roman"/>
      <w:color w:val="7030A0"/>
      <w:sz w:val="20"/>
      <w:szCs w:val="20"/>
    </w:rPr>
  </w:style>
  <w:style w:type="paragraph" w:customStyle="1" w:styleId="xl197">
    <w:name w:val="xl197"/>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color w:val="7030A0"/>
      <w:sz w:val="20"/>
      <w:szCs w:val="20"/>
    </w:rPr>
  </w:style>
  <w:style w:type="paragraph" w:customStyle="1" w:styleId="xl198">
    <w:name w:val="xl198"/>
    <w:basedOn w:val="Normal"/>
    <w:uiPriority w:val="99"/>
    <w:rsid w:val="00FA24DD"/>
    <w:pPr>
      <w:pBdr>
        <w:top w:val="single" w:sz="4" w:space="0" w:color="auto"/>
      </w:pBdr>
      <w:spacing w:before="100" w:beforeAutospacing="1" w:after="100" w:afterAutospacing="1"/>
      <w:jc w:val="left"/>
    </w:pPr>
    <w:rPr>
      <w:rFonts w:ascii="Arial Narrow" w:eastAsia="SimSun" w:hAnsi="Arial Narrow" w:cs="Times New Roman"/>
      <w:b/>
      <w:bCs/>
      <w:color w:val="7030A0"/>
      <w:sz w:val="20"/>
      <w:szCs w:val="20"/>
    </w:rPr>
  </w:style>
  <w:style w:type="table" w:customStyle="1" w:styleId="PBACTableStyle1">
    <w:name w:val="PBAC Table Style1"/>
    <w:basedOn w:val="TableGrid1"/>
    <w:uiPriority w:val="99"/>
    <w:rsid w:val="00FA24DD"/>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egoe UI" w:hAnsi="Segoe UI"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egoe UI" w:hAnsi="Segoe UI"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egoe UI" w:hAnsi="Segoe UI"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
    <w:name w:val="PBAC Table Style2"/>
    <w:basedOn w:val="TableGrid1"/>
    <w:uiPriority w:val="99"/>
    <w:rsid w:val="00FA24DD"/>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egoe UI" w:hAnsi="Segoe UI"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egoe UI" w:hAnsi="Segoe UI"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egoe UI" w:hAnsi="Segoe UI"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ELILILLYTABLE">
    <w:name w:val="ELI_LILLY TABLE"/>
    <w:basedOn w:val="TableNormal"/>
    <w:uiPriority w:val="99"/>
    <w:rsid w:val="00FA24DD"/>
    <w:pPr>
      <w:spacing w:before="20" w:after="20"/>
      <w:ind w:left="113" w:right="113"/>
    </w:pPr>
    <w:rPr>
      <w:rFonts w:ascii="Calibri" w:eastAsia="Calibri" w:hAnsi="Calibri"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i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cPr>
    </w:tblStylePr>
  </w:style>
  <w:style w:type="numbering" w:customStyle="1" w:styleId="Style1">
    <w:name w:val="Style1"/>
    <w:uiPriority w:val="99"/>
    <w:rsid w:val="00FA24DD"/>
    <w:pPr>
      <w:numPr>
        <w:numId w:val="15"/>
      </w:numPr>
    </w:pPr>
  </w:style>
  <w:style w:type="paragraph" w:customStyle="1" w:styleId="SyneviNormal">
    <w:name w:val="Synevi Normal"/>
    <w:basedOn w:val="Normal"/>
    <w:link w:val="SyneviNormalChar"/>
    <w:qFormat/>
    <w:rsid w:val="00FA24DD"/>
    <w:pPr>
      <w:spacing w:line="360" w:lineRule="auto"/>
    </w:pPr>
    <w:rPr>
      <w:rFonts w:asciiTheme="minorHAnsi" w:eastAsia="SimSun" w:hAnsiTheme="minorHAnsi" w:cs="Times New Roman"/>
      <w:sz w:val="22"/>
      <w:szCs w:val="20"/>
      <w:lang w:val="en-US" w:eastAsia="en-US"/>
    </w:rPr>
  </w:style>
  <w:style w:type="character" w:customStyle="1" w:styleId="SyneviNormalChar">
    <w:name w:val="Synevi Normal Char"/>
    <w:basedOn w:val="DefaultParagraphFont"/>
    <w:link w:val="SyneviNormal"/>
    <w:rsid w:val="00FA24DD"/>
    <w:rPr>
      <w:rFonts w:asciiTheme="minorHAnsi" w:eastAsia="SimSun" w:hAnsiTheme="minorHAnsi"/>
      <w:sz w:val="22"/>
      <w:lang w:val="en-US" w:eastAsia="en-US"/>
    </w:rPr>
  </w:style>
  <w:style w:type="table" w:customStyle="1" w:styleId="Summarybox13">
    <w:name w:val="Summary box13"/>
    <w:basedOn w:val="TableNormal"/>
    <w:next w:val="TableGrid"/>
    <w:uiPriority w:val="39"/>
    <w:rsid w:val="00FA24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0">
    <w:name w:val="Table bullet"/>
    <w:basedOn w:val="Normal"/>
    <w:qFormat/>
    <w:rsid w:val="00FA24DD"/>
    <w:pPr>
      <w:keepNext/>
      <w:numPr>
        <w:numId w:val="16"/>
      </w:numPr>
      <w:tabs>
        <w:tab w:val="left" w:pos="416"/>
        <w:tab w:val="left" w:pos="582"/>
      </w:tabs>
      <w:contextualSpacing/>
    </w:pPr>
    <w:rPr>
      <w:rFonts w:ascii="Arial Narrow" w:eastAsia="SimSun" w:hAnsi="Arial Narrow" w:cs="Times New Roman"/>
      <w:sz w:val="20"/>
      <w:szCs w:val="20"/>
      <w:lang w:eastAsia="en-US"/>
    </w:rPr>
  </w:style>
  <w:style w:type="table" w:customStyle="1" w:styleId="Summarybox11">
    <w:name w:val="Summary box11"/>
    <w:basedOn w:val="TableNormal"/>
    <w:uiPriority w:val="59"/>
    <w:rsid w:val="00FA24DD"/>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1">
    <w:name w:val="Table heading Char"/>
    <w:basedOn w:val="DefaultParagraphFont"/>
    <w:link w:val="Tableheading1"/>
    <w:locked/>
    <w:rsid w:val="00FA24DD"/>
    <w:rPr>
      <w:b/>
    </w:rPr>
  </w:style>
  <w:style w:type="paragraph" w:customStyle="1" w:styleId="Tableheading1">
    <w:name w:val="Table heading"/>
    <w:basedOn w:val="Normal"/>
    <w:link w:val="TableheadingChar1"/>
    <w:qFormat/>
    <w:rsid w:val="00FA24DD"/>
    <w:pPr>
      <w:keepNext/>
      <w:keepLines/>
      <w:jc w:val="left"/>
    </w:pPr>
    <w:rPr>
      <w:rFonts w:ascii="Times New Roman" w:hAnsi="Times New Roman" w:cs="Times New Roman"/>
      <w:b/>
      <w:sz w:val="20"/>
      <w:szCs w:val="20"/>
    </w:rPr>
  </w:style>
  <w:style w:type="paragraph" w:customStyle="1" w:styleId="Ntabletext">
    <w:name w:val="N table text"/>
    <w:basedOn w:val="Tabletext"/>
    <w:qFormat/>
    <w:rsid w:val="00FA24DD"/>
    <w:pPr>
      <w:keepNext/>
      <w:numPr>
        <w:numId w:val="17"/>
      </w:numPr>
      <w:tabs>
        <w:tab w:val="num" w:pos="360"/>
      </w:tabs>
      <w:ind w:left="0" w:firstLine="0"/>
      <w:contextualSpacing/>
      <w:jc w:val="both"/>
    </w:pPr>
    <w:rPr>
      <w:rFonts w:asciiTheme="minorHAnsi" w:eastAsiaTheme="minorHAnsi" w:hAnsiTheme="minorHAnsi" w:cstheme="minorBidi"/>
      <w:snapToGrid/>
      <w:szCs w:val="20"/>
      <w:lang w:eastAsia="en-US"/>
    </w:rPr>
  </w:style>
  <w:style w:type="table" w:customStyle="1" w:styleId="Summarybox10">
    <w:name w:val="Summary box10"/>
    <w:basedOn w:val="TableNormal"/>
    <w:uiPriority w:val="59"/>
    <w:rsid w:val="00FA24D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qFormat/>
    <w:rsid w:val="00FA24DD"/>
    <w:pPr>
      <w:keepNext/>
    </w:pPr>
    <w:rPr>
      <w:rFonts w:eastAsiaTheme="minorHAnsi" w:cstheme="minorBidi"/>
      <w:sz w:val="20"/>
      <w:szCs w:val="22"/>
      <w:lang w:eastAsia="en-US"/>
    </w:rPr>
  </w:style>
  <w:style w:type="table" w:customStyle="1" w:styleId="LightShading1">
    <w:name w:val="Light Shading1"/>
    <w:basedOn w:val="TableNormal"/>
    <w:next w:val="LightShading"/>
    <w:uiPriority w:val="60"/>
    <w:rsid w:val="00FA24D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FA24DD"/>
    <w:rPr>
      <w:rFonts w:eastAsia="SimSu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ListParagraph">
    <w:name w:val="Table List Paragraph"/>
    <w:basedOn w:val="TableText0"/>
    <w:link w:val="TableListParagraphChar"/>
    <w:uiPriority w:val="3"/>
    <w:qFormat/>
    <w:rsid w:val="00FA24DD"/>
    <w:pPr>
      <w:numPr>
        <w:numId w:val="18"/>
      </w:numPr>
    </w:pPr>
    <w:rPr>
      <w:rFonts w:ascii="Arial" w:eastAsiaTheme="minorHAnsi" w:hAnsi="Arial" w:cstheme="minorBidi"/>
      <w:bCs w:val="0"/>
      <w:sz w:val="18"/>
      <w:szCs w:val="22"/>
      <w:lang w:val="en-US" w:eastAsia="en-US"/>
    </w:rPr>
  </w:style>
  <w:style w:type="character" w:customStyle="1" w:styleId="TableListParagraphChar">
    <w:name w:val="Table List Paragraph Char"/>
    <w:basedOn w:val="TableTextChar0"/>
    <w:link w:val="TableListParagraph"/>
    <w:uiPriority w:val="3"/>
    <w:rsid w:val="00FA24DD"/>
    <w:rPr>
      <w:rFonts w:ascii="Arial" w:eastAsiaTheme="minorHAnsi" w:hAnsi="Arial" w:cstheme="minorBidi"/>
      <w:bCs w:val="0"/>
      <w:sz w:val="18"/>
      <w:szCs w:val="22"/>
      <w:lang w:val="en-US" w:eastAsia="en-US"/>
    </w:rPr>
  </w:style>
  <w:style w:type="table" w:styleId="GridTable1Light">
    <w:name w:val="Grid Table 1 Light"/>
    <w:basedOn w:val="TableNormal"/>
    <w:uiPriority w:val="46"/>
    <w:rsid w:val="00FA24DD"/>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A24DD"/>
    <w:rPr>
      <w:rFonts w:eastAsia="SimSu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Caption"/>
    <w:basedOn w:val="Caption"/>
    <w:next w:val="Normal"/>
    <w:qFormat/>
    <w:rsid w:val="00FA24DD"/>
    <w:pPr>
      <w:keepLines w:val="0"/>
      <w:tabs>
        <w:tab w:val="left" w:pos="1701"/>
      </w:tabs>
      <w:spacing w:before="180" w:after="120" w:line="276" w:lineRule="auto"/>
      <w:ind w:left="1701" w:hanging="1701"/>
      <w:jc w:val="left"/>
      <w:outlineLvl w:val="2"/>
    </w:pPr>
    <w:rPr>
      <w:rFonts w:ascii="Arial" w:eastAsia="SimSun" w:hAnsi="Arial" w:cs="Times New Roman"/>
      <w:szCs w:val="20"/>
    </w:rPr>
  </w:style>
  <w:style w:type="paragraph" w:customStyle="1" w:styleId="TextUnderTable">
    <w:name w:val="Text Under Table"/>
    <w:basedOn w:val="Normal"/>
    <w:link w:val="TextUnderTableChar"/>
    <w:qFormat/>
    <w:rsid w:val="00FA24DD"/>
    <w:pPr>
      <w:keepNext/>
      <w:keepLines/>
      <w:spacing w:before="120" w:after="120" w:line="276" w:lineRule="auto"/>
      <w:contextualSpacing/>
      <w:jc w:val="left"/>
    </w:pPr>
    <w:rPr>
      <w:rFonts w:ascii="Arial" w:eastAsia="SimSun" w:hAnsi="Arial" w:cs="Times New Roman"/>
      <w:i/>
      <w:sz w:val="18"/>
      <w:szCs w:val="22"/>
    </w:rPr>
  </w:style>
  <w:style w:type="character" w:customStyle="1" w:styleId="TextUnderTableChar">
    <w:name w:val="Text Under Table Char"/>
    <w:link w:val="TextUnderTable"/>
    <w:rsid w:val="00FA24DD"/>
    <w:rPr>
      <w:rFonts w:ascii="Arial" w:eastAsia="SimSun" w:hAnsi="Arial"/>
      <w:i/>
      <w:sz w:val="18"/>
      <w:szCs w:val="22"/>
    </w:rPr>
  </w:style>
  <w:style w:type="paragraph" w:styleId="EndnoteText">
    <w:name w:val="endnote text"/>
    <w:basedOn w:val="Normal"/>
    <w:link w:val="EndnoteTextChar"/>
    <w:semiHidden/>
    <w:unhideWhenUsed/>
    <w:rsid w:val="00FA24DD"/>
    <w:rPr>
      <w:rFonts w:eastAsia="SimSun"/>
      <w:sz w:val="20"/>
      <w:szCs w:val="20"/>
    </w:rPr>
  </w:style>
  <w:style w:type="character" w:customStyle="1" w:styleId="EndnoteTextChar">
    <w:name w:val="Endnote Text Char"/>
    <w:basedOn w:val="DefaultParagraphFont"/>
    <w:link w:val="EndnoteText"/>
    <w:semiHidden/>
    <w:rsid w:val="00FA24DD"/>
    <w:rPr>
      <w:rFonts w:ascii="Calibri" w:eastAsia="SimSun" w:hAnsi="Calibri" w:cs="Arial"/>
    </w:rPr>
  </w:style>
  <w:style w:type="character" w:styleId="EndnoteReference">
    <w:name w:val="endnote reference"/>
    <w:basedOn w:val="DefaultParagraphFont"/>
    <w:semiHidden/>
    <w:unhideWhenUsed/>
    <w:rsid w:val="00FA24DD"/>
    <w:rPr>
      <w:vertAlign w:val="superscript"/>
    </w:rPr>
  </w:style>
  <w:style w:type="character" w:styleId="Mention">
    <w:name w:val="Mention"/>
    <w:basedOn w:val="DefaultParagraphFont"/>
    <w:uiPriority w:val="99"/>
    <w:unhideWhenUsed/>
    <w:rsid w:val="00826BEA"/>
    <w:rPr>
      <w:color w:val="2B579A"/>
      <w:shd w:val="clear" w:color="auto" w:fill="E1DFDD"/>
    </w:rPr>
  </w:style>
  <w:style w:type="paragraph" w:customStyle="1" w:styleId="3-SubsectionHeading">
    <w:name w:val="3-Subsection Heading"/>
    <w:basedOn w:val="Heading2"/>
    <w:next w:val="Normal"/>
    <w:link w:val="3-SubsectionHeadingChar"/>
    <w:qFormat/>
    <w:rsid w:val="00D62E6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62E6C"/>
    <w:rPr>
      <w:rFonts w:asciiTheme="minorHAnsi" w:eastAsiaTheme="majorEastAsia" w:hAnsiTheme="minorHAnsi" w:cstheme="majorBidi"/>
      <w:b/>
      <w:i/>
      <w:snapToGrid/>
      <w:spacing w:val="5"/>
      <w:kern w:val="28"/>
      <w:sz w:val="28"/>
      <w:szCs w:val="36"/>
      <w:lang w:eastAsia="en-US"/>
    </w:rPr>
  </w:style>
  <w:style w:type="paragraph" w:styleId="BodyText3">
    <w:name w:val="Body Text 3"/>
    <w:basedOn w:val="Normal"/>
    <w:link w:val="BodyText3Char"/>
    <w:semiHidden/>
    <w:unhideWhenUsed/>
    <w:rsid w:val="00DF380A"/>
    <w:pPr>
      <w:spacing w:after="120"/>
    </w:pPr>
    <w:rPr>
      <w:sz w:val="16"/>
      <w:szCs w:val="16"/>
    </w:rPr>
  </w:style>
  <w:style w:type="character" w:customStyle="1" w:styleId="BodyText3Char">
    <w:name w:val="Body Text 3 Char"/>
    <w:basedOn w:val="DefaultParagraphFont"/>
    <w:link w:val="BodyText3"/>
    <w:semiHidden/>
    <w:rsid w:val="00DF380A"/>
    <w:rPr>
      <w:rFonts w:ascii="Calibri" w:hAnsi="Calibri" w:cs="Arial"/>
      <w:sz w:val="16"/>
      <w:szCs w:val="16"/>
    </w:rPr>
  </w:style>
  <w:style w:type="paragraph" w:customStyle="1" w:styleId="CaptionTable">
    <w:name w:val="Caption Table"/>
    <w:basedOn w:val="Normal"/>
    <w:next w:val="Normal"/>
    <w:link w:val="CaptionTableChar"/>
    <w:autoRedefine/>
    <w:rsid w:val="006E3B44"/>
    <w:pPr>
      <w:keepNext/>
      <w:snapToGrid w:val="0"/>
      <w:jc w:val="left"/>
    </w:pPr>
    <w:rPr>
      <w:rFonts w:cs="Times New Roman"/>
      <w:b/>
      <w:bCs/>
      <w:sz w:val="20"/>
      <w:szCs w:val="20"/>
      <w:lang w:eastAsia="en-US"/>
    </w:rPr>
  </w:style>
  <w:style w:type="character" w:customStyle="1" w:styleId="CaptionTableChar">
    <w:name w:val="Caption Table Char"/>
    <w:link w:val="CaptionTable"/>
    <w:rsid w:val="006E3B44"/>
    <w:rPr>
      <w:rFonts w:ascii="Calibri" w:hAnsi="Calibri"/>
      <w:b/>
      <w:bCs/>
      <w:lang w:eastAsia="en-US"/>
    </w:rPr>
  </w:style>
  <w:style w:type="character" w:customStyle="1" w:styleId="cf01">
    <w:name w:val="cf01"/>
    <w:basedOn w:val="DefaultParagraphFont"/>
    <w:rsid w:val="008D78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85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1920905">
      <w:bodyDiv w:val="1"/>
      <w:marLeft w:val="0"/>
      <w:marRight w:val="0"/>
      <w:marTop w:val="0"/>
      <w:marBottom w:val="0"/>
      <w:divBdr>
        <w:top w:val="none" w:sz="0" w:space="0" w:color="auto"/>
        <w:left w:val="none" w:sz="0" w:space="0" w:color="auto"/>
        <w:bottom w:val="none" w:sz="0" w:space="0" w:color="auto"/>
        <w:right w:val="none" w:sz="0" w:space="0" w:color="auto"/>
      </w:divBdr>
      <w:divsChild>
        <w:div w:id="2032757974">
          <w:marLeft w:val="360"/>
          <w:marRight w:val="0"/>
          <w:marTop w:val="200"/>
          <w:marBottom w:val="0"/>
          <w:divBdr>
            <w:top w:val="none" w:sz="0" w:space="0" w:color="auto"/>
            <w:left w:val="none" w:sz="0" w:space="0" w:color="auto"/>
            <w:bottom w:val="none" w:sz="0" w:space="0" w:color="auto"/>
            <w:right w:val="none" w:sz="0" w:space="0" w:color="auto"/>
          </w:divBdr>
        </w:div>
      </w:divsChild>
    </w:div>
    <w:div w:id="102769133">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5499003">
      <w:bodyDiv w:val="1"/>
      <w:marLeft w:val="0"/>
      <w:marRight w:val="0"/>
      <w:marTop w:val="0"/>
      <w:marBottom w:val="0"/>
      <w:divBdr>
        <w:top w:val="none" w:sz="0" w:space="0" w:color="auto"/>
        <w:left w:val="none" w:sz="0" w:space="0" w:color="auto"/>
        <w:bottom w:val="none" w:sz="0" w:space="0" w:color="auto"/>
        <w:right w:val="none" w:sz="0" w:space="0" w:color="auto"/>
      </w:divBdr>
    </w:div>
    <w:div w:id="346367422">
      <w:bodyDiv w:val="1"/>
      <w:marLeft w:val="0"/>
      <w:marRight w:val="0"/>
      <w:marTop w:val="0"/>
      <w:marBottom w:val="0"/>
      <w:divBdr>
        <w:top w:val="none" w:sz="0" w:space="0" w:color="auto"/>
        <w:left w:val="none" w:sz="0" w:space="0" w:color="auto"/>
        <w:bottom w:val="none" w:sz="0" w:space="0" w:color="auto"/>
        <w:right w:val="none" w:sz="0" w:space="0" w:color="auto"/>
      </w:divBdr>
    </w:div>
    <w:div w:id="396830335">
      <w:bodyDiv w:val="1"/>
      <w:marLeft w:val="0"/>
      <w:marRight w:val="0"/>
      <w:marTop w:val="0"/>
      <w:marBottom w:val="0"/>
      <w:divBdr>
        <w:top w:val="none" w:sz="0" w:space="0" w:color="auto"/>
        <w:left w:val="none" w:sz="0" w:space="0" w:color="auto"/>
        <w:bottom w:val="none" w:sz="0" w:space="0" w:color="auto"/>
        <w:right w:val="none" w:sz="0" w:space="0" w:color="auto"/>
      </w:divBdr>
    </w:div>
    <w:div w:id="448741237">
      <w:bodyDiv w:val="1"/>
      <w:marLeft w:val="0"/>
      <w:marRight w:val="0"/>
      <w:marTop w:val="0"/>
      <w:marBottom w:val="0"/>
      <w:divBdr>
        <w:top w:val="none" w:sz="0" w:space="0" w:color="auto"/>
        <w:left w:val="none" w:sz="0" w:space="0" w:color="auto"/>
        <w:bottom w:val="none" w:sz="0" w:space="0" w:color="auto"/>
        <w:right w:val="none" w:sz="0" w:space="0" w:color="auto"/>
      </w:divBdr>
    </w:div>
    <w:div w:id="512375180">
      <w:bodyDiv w:val="1"/>
      <w:marLeft w:val="0"/>
      <w:marRight w:val="0"/>
      <w:marTop w:val="0"/>
      <w:marBottom w:val="0"/>
      <w:divBdr>
        <w:top w:val="none" w:sz="0" w:space="0" w:color="auto"/>
        <w:left w:val="none" w:sz="0" w:space="0" w:color="auto"/>
        <w:bottom w:val="none" w:sz="0" w:space="0" w:color="auto"/>
        <w:right w:val="none" w:sz="0" w:space="0" w:color="auto"/>
      </w:divBdr>
    </w:div>
    <w:div w:id="535123376">
      <w:bodyDiv w:val="1"/>
      <w:marLeft w:val="0"/>
      <w:marRight w:val="0"/>
      <w:marTop w:val="0"/>
      <w:marBottom w:val="0"/>
      <w:divBdr>
        <w:top w:val="none" w:sz="0" w:space="0" w:color="auto"/>
        <w:left w:val="none" w:sz="0" w:space="0" w:color="auto"/>
        <w:bottom w:val="none" w:sz="0" w:space="0" w:color="auto"/>
        <w:right w:val="none" w:sz="0" w:space="0" w:color="auto"/>
      </w:divBdr>
      <w:divsChild>
        <w:div w:id="186064987">
          <w:marLeft w:val="360"/>
          <w:marRight w:val="0"/>
          <w:marTop w:val="200"/>
          <w:marBottom w:val="0"/>
          <w:divBdr>
            <w:top w:val="none" w:sz="0" w:space="0" w:color="auto"/>
            <w:left w:val="none" w:sz="0" w:space="0" w:color="auto"/>
            <w:bottom w:val="none" w:sz="0" w:space="0" w:color="auto"/>
            <w:right w:val="none" w:sz="0" w:space="0" w:color="auto"/>
          </w:divBdr>
        </w:div>
        <w:div w:id="540288642">
          <w:marLeft w:val="360"/>
          <w:marRight w:val="0"/>
          <w:marTop w:val="200"/>
          <w:marBottom w:val="0"/>
          <w:divBdr>
            <w:top w:val="none" w:sz="0" w:space="0" w:color="auto"/>
            <w:left w:val="none" w:sz="0" w:space="0" w:color="auto"/>
            <w:bottom w:val="none" w:sz="0" w:space="0" w:color="auto"/>
            <w:right w:val="none" w:sz="0" w:space="0" w:color="auto"/>
          </w:divBdr>
        </w:div>
        <w:div w:id="1001664700">
          <w:marLeft w:val="360"/>
          <w:marRight w:val="0"/>
          <w:marTop w:val="200"/>
          <w:marBottom w:val="0"/>
          <w:divBdr>
            <w:top w:val="none" w:sz="0" w:space="0" w:color="auto"/>
            <w:left w:val="none" w:sz="0" w:space="0" w:color="auto"/>
            <w:bottom w:val="none" w:sz="0" w:space="0" w:color="auto"/>
            <w:right w:val="none" w:sz="0" w:space="0" w:color="auto"/>
          </w:divBdr>
        </w:div>
        <w:div w:id="1784760374">
          <w:marLeft w:val="360"/>
          <w:marRight w:val="0"/>
          <w:marTop w:val="200"/>
          <w:marBottom w:val="0"/>
          <w:divBdr>
            <w:top w:val="none" w:sz="0" w:space="0" w:color="auto"/>
            <w:left w:val="none" w:sz="0" w:space="0" w:color="auto"/>
            <w:bottom w:val="none" w:sz="0" w:space="0" w:color="auto"/>
            <w:right w:val="none" w:sz="0" w:space="0" w:color="auto"/>
          </w:divBdr>
        </w:div>
      </w:divsChild>
    </w:div>
    <w:div w:id="545147907">
      <w:bodyDiv w:val="1"/>
      <w:marLeft w:val="0"/>
      <w:marRight w:val="0"/>
      <w:marTop w:val="0"/>
      <w:marBottom w:val="0"/>
      <w:divBdr>
        <w:top w:val="none" w:sz="0" w:space="0" w:color="auto"/>
        <w:left w:val="none" w:sz="0" w:space="0" w:color="auto"/>
        <w:bottom w:val="none" w:sz="0" w:space="0" w:color="auto"/>
        <w:right w:val="none" w:sz="0" w:space="0" w:color="auto"/>
      </w:divBdr>
      <w:divsChild>
        <w:div w:id="770971910">
          <w:marLeft w:val="360"/>
          <w:marRight w:val="0"/>
          <w:marTop w:val="200"/>
          <w:marBottom w:val="0"/>
          <w:divBdr>
            <w:top w:val="none" w:sz="0" w:space="0" w:color="auto"/>
            <w:left w:val="none" w:sz="0" w:space="0" w:color="auto"/>
            <w:bottom w:val="none" w:sz="0" w:space="0" w:color="auto"/>
            <w:right w:val="none" w:sz="0" w:space="0" w:color="auto"/>
          </w:divBdr>
        </w:div>
        <w:div w:id="1545827602">
          <w:marLeft w:val="360"/>
          <w:marRight w:val="0"/>
          <w:marTop w:val="200"/>
          <w:marBottom w:val="0"/>
          <w:divBdr>
            <w:top w:val="none" w:sz="0" w:space="0" w:color="auto"/>
            <w:left w:val="none" w:sz="0" w:space="0" w:color="auto"/>
            <w:bottom w:val="none" w:sz="0" w:space="0" w:color="auto"/>
            <w:right w:val="none" w:sz="0" w:space="0" w:color="auto"/>
          </w:divBdr>
        </w:div>
        <w:div w:id="2003964943">
          <w:marLeft w:val="360"/>
          <w:marRight w:val="0"/>
          <w:marTop w:val="200"/>
          <w:marBottom w:val="0"/>
          <w:divBdr>
            <w:top w:val="none" w:sz="0" w:space="0" w:color="auto"/>
            <w:left w:val="none" w:sz="0" w:space="0" w:color="auto"/>
            <w:bottom w:val="none" w:sz="0" w:space="0" w:color="auto"/>
            <w:right w:val="none" w:sz="0" w:space="0" w:color="auto"/>
          </w:divBdr>
        </w:div>
      </w:divsChild>
    </w:div>
    <w:div w:id="566771915">
      <w:bodyDiv w:val="1"/>
      <w:marLeft w:val="0"/>
      <w:marRight w:val="0"/>
      <w:marTop w:val="0"/>
      <w:marBottom w:val="0"/>
      <w:divBdr>
        <w:top w:val="none" w:sz="0" w:space="0" w:color="auto"/>
        <w:left w:val="none" w:sz="0" w:space="0" w:color="auto"/>
        <w:bottom w:val="none" w:sz="0" w:space="0" w:color="auto"/>
        <w:right w:val="none" w:sz="0" w:space="0" w:color="auto"/>
      </w:divBdr>
    </w:div>
    <w:div w:id="597714147">
      <w:bodyDiv w:val="1"/>
      <w:marLeft w:val="0"/>
      <w:marRight w:val="0"/>
      <w:marTop w:val="0"/>
      <w:marBottom w:val="0"/>
      <w:divBdr>
        <w:top w:val="none" w:sz="0" w:space="0" w:color="auto"/>
        <w:left w:val="none" w:sz="0" w:space="0" w:color="auto"/>
        <w:bottom w:val="none" w:sz="0" w:space="0" w:color="auto"/>
        <w:right w:val="none" w:sz="0" w:space="0" w:color="auto"/>
      </w:divBdr>
    </w:div>
    <w:div w:id="622731748">
      <w:bodyDiv w:val="1"/>
      <w:marLeft w:val="0"/>
      <w:marRight w:val="0"/>
      <w:marTop w:val="0"/>
      <w:marBottom w:val="0"/>
      <w:divBdr>
        <w:top w:val="none" w:sz="0" w:space="0" w:color="auto"/>
        <w:left w:val="none" w:sz="0" w:space="0" w:color="auto"/>
        <w:bottom w:val="none" w:sz="0" w:space="0" w:color="auto"/>
        <w:right w:val="none" w:sz="0" w:space="0" w:color="auto"/>
      </w:divBdr>
    </w:div>
    <w:div w:id="641351167">
      <w:bodyDiv w:val="1"/>
      <w:marLeft w:val="0"/>
      <w:marRight w:val="0"/>
      <w:marTop w:val="0"/>
      <w:marBottom w:val="0"/>
      <w:divBdr>
        <w:top w:val="none" w:sz="0" w:space="0" w:color="auto"/>
        <w:left w:val="none" w:sz="0" w:space="0" w:color="auto"/>
        <w:bottom w:val="none" w:sz="0" w:space="0" w:color="auto"/>
        <w:right w:val="none" w:sz="0" w:space="0" w:color="auto"/>
      </w:divBdr>
    </w:div>
    <w:div w:id="647898242">
      <w:bodyDiv w:val="1"/>
      <w:marLeft w:val="0"/>
      <w:marRight w:val="0"/>
      <w:marTop w:val="0"/>
      <w:marBottom w:val="0"/>
      <w:divBdr>
        <w:top w:val="none" w:sz="0" w:space="0" w:color="auto"/>
        <w:left w:val="none" w:sz="0" w:space="0" w:color="auto"/>
        <w:bottom w:val="none" w:sz="0" w:space="0" w:color="auto"/>
        <w:right w:val="none" w:sz="0" w:space="0" w:color="auto"/>
      </w:divBdr>
    </w:div>
    <w:div w:id="666976502">
      <w:bodyDiv w:val="1"/>
      <w:marLeft w:val="0"/>
      <w:marRight w:val="0"/>
      <w:marTop w:val="0"/>
      <w:marBottom w:val="0"/>
      <w:divBdr>
        <w:top w:val="none" w:sz="0" w:space="0" w:color="auto"/>
        <w:left w:val="none" w:sz="0" w:space="0" w:color="auto"/>
        <w:bottom w:val="none" w:sz="0" w:space="0" w:color="auto"/>
        <w:right w:val="none" w:sz="0" w:space="0" w:color="auto"/>
      </w:divBdr>
      <w:divsChild>
        <w:div w:id="9652200">
          <w:marLeft w:val="360"/>
          <w:marRight w:val="0"/>
          <w:marTop w:val="200"/>
          <w:marBottom w:val="0"/>
          <w:divBdr>
            <w:top w:val="none" w:sz="0" w:space="0" w:color="auto"/>
            <w:left w:val="none" w:sz="0" w:space="0" w:color="auto"/>
            <w:bottom w:val="none" w:sz="0" w:space="0" w:color="auto"/>
            <w:right w:val="none" w:sz="0" w:space="0" w:color="auto"/>
          </w:divBdr>
        </w:div>
      </w:divsChild>
    </w:div>
    <w:div w:id="700281784">
      <w:bodyDiv w:val="1"/>
      <w:marLeft w:val="0"/>
      <w:marRight w:val="0"/>
      <w:marTop w:val="0"/>
      <w:marBottom w:val="0"/>
      <w:divBdr>
        <w:top w:val="none" w:sz="0" w:space="0" w:color="auto"/>
        <w:left w:val="none" w:sz="0" w:space="0" w:color="auto"/>
        <w:bottom w:val="none" w:sz="0" w:space="0" w:color="auto"/>
        <w:right w:val="none" w:sz="0" w:space="0" w:color="auto"/>
      </w:divBdr>
      <w:divsChild>
        <w:div w:id="1639072750">
          <w:marLeft w:val="360"/>
          <w:marRight w:val="0"/>
          <w:marTop w:val="200"/>
          <w:marBottom w:val="0"/>
          <w:divBdr>
            <w:top w:val="none" w:sz="0" w:space="0" w:color="auto"/>
            <w:left w:val="none" w:sz="0" w:space="0" w:color="auto"/>
            <w:bottom w:val="none" w:sz="0" w:space="0" w:color="auto"/>
            <w:right w:val="none" w:sz="0" w:space="0" w:color="auto"/>
          </w:divBdr>
        </w:div>
      </w:divsChild>
    </w:div>
    <w:div w:id="77066683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1944454">
      <w:bodyDiv w:val="1"/>
      <w:marLeft w:val="0"/>
      <w:marRight w:val="0"/>
      <w:marTop w:val="0"/>
      <w:marBottom w:val="0"/>
      <w:divBdr>
        <w:top w:val="none" w:sz="0" w:space="0" w:color="auto"/>
        <w:left w:val="none" w:sz="0" w:space="0" w:color="auto"/>
        <w:bottom w:val="none" w:sz="0" w:space="0" w:color="auto"/>
        <w:right w:val="none" w:sz="0" w:space="0" w:color="auto"/>
      </w:divBdr>
      <w:divsChild>
        <w:div w:id="1015763428">
          <w:marLeft w:val="360"/>
          <w:marRight w:val="0"/>
          <w:marTop w:val="200"/>
          <w:marBottom w:val="0"/>
          <w:divBdr>
            <w:top w:val="none" w:sz="0" w:space="0" w:color="auto"/>
            <w:left w:val="none" w:sz="0" w:space="0" w:color="auto"/>
            <w:bottom w:val="none" w:sz="0" w:space="0" w:color="auto"/>
            <w:right w:val="none" w:sz="0" w:space="0" w:color="auto"/>
          </w:divBdr>
        </w:div>
      </w:divsChild>
    </w:div>
    <w:div w:id="894895084">
      <w:bodyDiv w:val="1"/>
      <w:marLeft w:val="0"/>
      <w:marRight w:val="0"/>
      <w:marTop w:val="0"/>
      <w:marBottom w:val="0"/>
      <w:divBdr>
        <w:top w:val="none" w:sz="0" w:space="0" w:color="auto"/>
        <w:left w:val="none" w:sz="0" w:space="0" w:color="auto"/>
        <w:bottom w:val="none" w:sz="0" w:space="0" w:color="auto"/>
        <w:right w:val="none" w:sz="0" w:space="0" w:color="auto"/>
      </w:divBdr>
      <w:divsChild>
        <w:div w:id="1672567839">
          <w:marLeft w:val="360"/>
          <w:marRight w:val="0"/>
          <w:marTop w:val="200"/>
          <w:marBottom w:val="0"/>
          <w:divBdr>
            <w:top w:val="none" w:sz="0" w:space="0" w:color="auto"/>
            <w:left w:val="none" w:sz="0" w:space="0" w:color="auto"/>
            <w:bottom w:val="none" w:sz="0" w:space="0" w:color="auto"/>
            <w:right w:val="none" w:sz="0" w:space="0" w:color="auto"/>
          </w:divBdr>
        </w:div>
      </w:divsChild>
    </w:div>
    <w:div w:id="938220793">
      <w:bodyDiv w:val="1"/>
      <w:marLeft w:val="0"/>
      <w:marRight w:val="0"/>
      <w:marTop w:val="0"/>
      <w:marBottom w:val="0"/>
      <w:divBdr>
        <w:top w:val="none" w:sz="0" w:space="0" w:color="auto"/>
        <w:left w:val="none" w:sz="0" w:space="0" w:color="auto"/>
        <w:bottom w:val="none" w:sz="0" w:space="0" w:color="auto"/>
        <w:right w:val="none" w:sz="0" w:space="0" w:color="auto"/>
      </w:divBdr>
    </w:div>
    <w:div w:id="963464377">
      <w:bodyDiv w:val="1"/>
      <w:marLeft w:val="0"/>
      <w:marRight w:val="0"/>
      <w:marTop w:val="0"/>
      <w:marBottom w:val="0"/>
      <w:divBdr>
        <w:top w:val="none" w:sz="0" w:space="0" w:color="auto"/>
        <w:left w:val="none" w:sz="0" w:space="0" w:color="auto"/>
        <w:bottom w:val="none" w:sz="0" w:space="0" w:color="auto"/>
        <w:right w:val="none" w:sz="0" w:space="0" w:color="auto"/>
      </w:divBdr>
    </w:div>
    <w:div w:id="1036807535">
      <w:bodyDiv w:val="1"/>
      <w:marLeft w:val="0"/>
      <w:marRight w:val="0"/>
      <w:marTop w:val="0"/>
      <w:marBottom w:val="0"/>
      <w:divBdr>
        <w:top w:val="none" w:sz="0" w:space="0" w:color="auto"/>
        <w:left w:val="none" w:sz="0" w:space="0" w:color="auto"/>
        <w:bottom w:val="none" w:sz="0" w:space="0" w:color="auto"/>
        <w:right w:val="none" w:sz="0" w:space="0" w:color="auto"/>
      </w:divBdr>
    </w:div>
    <w:div w:id="1044528291">
      <w:bodyDiv w:val="1"/>
      <w:marLeft w:val="0"/>
      <w:marRight w:val="0"/>
      <w:marTop w:val="0"/>
      <w:marBottom w:val="0"/>
      <w:divBdr>
        <w:top w:val="none" w:sz="0" w:space="0" w:color="auto"/>
        <w:left w:val="none" w:sz="0" w:space="0" w:color="auto"/>
        <w:bottom w:val="none" w:sz="0" w:space="0" w:color="auto"/>
        <w:right w:val="none" w:sz="0" w:space="0" w:color="auto"/>
      </w:divBdr>
    </w:div>
    <w:div w:id="1112364861">
      <w:bodyDiv w:val="1"/>
      <w:marLeft w:val="0"/>
      <w:marRight w:val="0"/>
      <w:marTop w:val="0"/>
      <w:marBottom w:val="0"/>
      <w:divBdr>
        <w:top w:val="none" w:sz="0" w:space="0" w:color="auto"/>
        <w:left w:val="none" w:sz="0" w:space="0" w:color="auto"/>
        <w:bottom w:val="none" w:sz="0" w:space="0" w:color="auto"/>
        <w:right w:val="none" w:sz="0" w:space="0" w:color="auto"/>
      </w:divBdr>
    </w:div>
    <w:div w:id="1113331497">
      <w:bodyDiv w:val="1"/>
      <w:marLeft w:val="0"/>
      <w:marRight w:val="0"/>
      <w:marTop w:val="0"/>
      <w:marBottom w:val="0"/>
      <w:divBdr>
        <w:top w:val="none" w:sz="0" w:space="0" w:color="auto"/>
        <w:left w:val="none" w:sz="0" w:space="0" w:color="auto"/>
        <w:bottom w:val="none" w:sz="0" w:space="0" w:color="auto"/>
        <w:right w:val="none" w:sz="0" w:space="0" w:color="auto"/>
      </w:divBdr>
      <w:divsChild>
        <w:div w:id="1251431742">
          <w:marLeft w:val="360"/>
          <w:marRight w:val="0"/>
          <w:marTop w:val="200"/>
          <w:marBottom w:val="0"/>
          <w:divBdr>
            <w:top w:val="none" w:sz="0" w:space="0" w:color="auto"/>
            <w:left w:val="none" w:sz="0" w:space="0" w:color="auto"/>
            <w:bottom w:val="none" w:sz="0" w:space="0" w:color="auto"/>
            <w:right w:val="none" w:sz="0" w:space="0" w:color="auto"/>
          </w:divBdr>
        </w:div>
        <w:div w:id="1288195573">
          <w:marLeft w:val="360"/>
          <w:marRight w:val="0"/>
          <w:marTop w:val="200"/>
          <w:marBottom w:val="0"/>
          <w:divBdr>
            <w:top w:val="none" w:sz="0" w:space="0" w:color="auto"/>
            <w:left w:val="none" w:sz="0" w:space="0" w:color="auto"/>
            <w:bottom w:val="none" w:sz="0" w:space="0" w:color="auto"/>
            <w:right w:val="none" w:sz="0" w:space="0" w:color="auto"/>
          </w:divBdr>
        </w:div>
        <w:div w:id="1469786699">
          <w:marLeft w:val="360"/>
          <w:marRight w:val="0"/>
          <w:marTop w:val="200"/>
          <w:marBottom w:val="0"/>
          <w:divBdr>
            <w:top w:val="none" w:sz="0" w:space="0" w:color="auto"/>
            <w:left w:val="none" w:sz="0" w:space="0" w:color="auto"/>
            <w:bottom w:val="none" w:sz="0" w:space="0" w:color="auto"/>
            <w:right w:val="none" w:sz="0" w:space="0" w:color="auto"/>
          </w:divBdr>
        </w:div>
      </w:divsChild>
    </w:div>
    <w:div w:id="1116098366">
      <w:bodyDiv w:val="1"/>
      <w:marLeft w:val="0"/>
      <w:marRight w:val="0"/>
      <w:marTop w:val="0"/>
      <w:marBottom w:val="0"/>
      <w:divBdr>
        <w:top w:val="none" w:sz="0" w:space="0" w:color="auto"/>
        <w:left w:val="none" w:sz="0" w:space="0" w:color="auto"/>
        <w:bottom w:val="none" w:sz="0" w:space="0" w:color="auto"/>
        <w:right w:val="none" w:sz="0" w:space="0" w:color="auto"/>
      </w:divBdr>
      <w:divsChild>
        <w:div w:id="58210869">
          <w:marLeft w:val="547"/>
          <w:marRight w:val="0"/>
          <w:marTop w:val="0"/>
          <w:marBottom w:val="120"/>
          <w:divBdr>
            <w:top w:val="none" w:sz="0" w:space="0" w:color="auto"/>
            <w:left w:val="none" w:sz="0" w:space="0" w:color="auto"/>
            <w:bottom w:val="none" w:sz="0" w:space="0" w:color="auto"/>
            <w:right w:val="none" w:sz="0" w:space="0" w:color="auto"/>
          </w:divBdr>
        </w:div>
        <w:div w:id="1115053827">
          <w:marLeft w:val="547"/>
          <w:marRight w:val="0"/>
          <w:marTop w:val="0"/>
          <w:marBottom w:val="120"/>
          <w:divBdr>
            <w:top w:val="none" w:sz="0" w:space="0" w:color="auto"/>
            <w:left w:val="none" w:sz="0" w:space="0" w:color="auto"/>
            <w:bottom w:val="none" w:sz="0" w:space="0" w:color="auto"/>
            <w:right w:val="none" w:sz="0" w:space="0" w:color="auto"/>
          </w:divBdr>
        </w:div>
        <w:div w:id="1126238831">
          <w:marLeft w:val="547"/>
          <w:marRight w:val="0"/>
          <w:marTop w:val="0"/>
          <w:marBottom w:val="12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941500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3226453">
      <w:bodyDiv w:val="1"/>
      <w:marLeft w:val="0"/>
      <w:marRight w:val="0"/>
      <w:marTop w:val="0"/>
      <w:marBottom w:val="0"/>
      <w:divBdr>
        <w:top w:val="none" w:sz="0" w:space="0" w:color="auto"/>
        <w:left w:val="none" w:sz="0" w:space="0" w:color="auto"/>
        <w:bottom w:val="none" w:sz="0" w:space="0" w:color="auto"/>
        <w:right w:val="none" w:sz="0" w:space="0" w:color="auto"/>
      </w:divBdr>
      <w:divsChild>
        <w:div w:id="294481883">
          <w:marLeft w:val="360"/>
          <w:marRight w:val="0"/>
          <w:marTop w:val="200"/>
          <w:marBottom w:val="0"/>
          <w:divBdr>
            <w:top w:val="none" w:sz="0" w:space="0" w:color="auto"/>
            <w:left w:val="none" w:sz="0" w:space="0" w:color="auto"/>
            <w:bottom w:val="none" w:sz="0" w:space="0" w:color="auto"/>
            <w:right w:val="none" w:sz="0" w:space="0" w:color="auto"/>
          </w:divBdr>
        </w:div>
      </w:divsChild>
    </w:div>
    <w:div w:id="1320770296">
      <w:bodyDiv w:val="1"/>
      <w:marLeft w:val="0"/>
      <w:marRight w:val="0"/>
      <w:marTop w:val="0"/>
      <w:marBottom w:val="0"/>
      <w:divBdr>
        <w:top w:val="none" w:sz="0" w:space="0" w:color="auto"/>
        <w:left w:val="none" w:sz="0" w:space="0" w:color="auto"/>
        <w:bottom w:val="none" w:sz="0" w:space="0" w:color="auto"/>
        <w:right w:val="none" w:sz="0" w:space="0" w:color="auto"/>
      </w:divBdr>
    </w:div>
    <w:div w:id="1341543019">
      <w:bodyDiv w:val="1"/>
      <w:marLeft w:val="0"/>
      <w:marRight w:val="0"/>
      <w:marTop w:val="0"/>
      <w:marBottom w:val="0"/>
      <w:divBdr>
        <w:top w:val="none" w:sz="0" w:space="0" w:color="auto"/>
        <w:left w:val="none" w:sz="0" w:space="0" w:color="auto"/>
        <w:bottom w:val="none" w:sz="0" w:space="0" w:color="auto"/>
        <w:right w:val="none" w:sz="0" w:space="0" w:color="auto"/>
      </w:divBdr>
    </w:div>
    <w:div w:id="1386298045">
      <w:bodyDiv w:val="1"/>
      <w:marLeft w:val="0"/>
      <w:marRight w:val="0"/>
      <w:marTop w:val="0"/>
      <w:marBottom w:val="0"/>
      <w:divBdr>
        <w:top w:val="none" w:sz="0" w:space="0" w:color="auto"/>
        <w:left w:val="none" w:sz="0" w:space="0" w:color="auto"/>
        <w:bottom w:val="none" w:sz="0" w:space="0" w:color="auto"/>
        <w:right w:val="none" w:sz="0" w:space="0" w:color="auto"/>
      </w:divBdr>
    </w:div>
    <w:div w:id="1480730250">
      <w:bodyDiv w:val="1"/>
      <w:marLeft w:val="0"/>
      <w:marRight w:val="0"/>
      <w:marTop w:val="0"/>
      <w:marBottom w:val="0"/>
      <w:divBdr>
        <w:top w:val="none" w:sz="0" w:space="0" w:color="auto"/>
        <w:left w:val="none" w:sz="0" w:space="0" w:color="auto"/>
        <w:bottom w:val="none" w:sz="0" w:space="0" w:color="auto"/>
        <w:right w:val="none" w:sz="0" w:space="0" w:color="auto"/>
      </w:divBdr>
      <w:divsChild>
        <w:div w:id="1902518977">
          <w:marLeft w:val="360"/>
          <w:marRight w:val="0"/>
          <w:marTop w:val="200"/>
          <w:marBottom w:val="0"/>
          <w:divBdr>
            <w:top w:val="none" w:sz="0" w:space="0" w:color="auto"/>
            <w:left w:val="none" w:sz="0" w:space="0" w:color="auto"/>
            <w:bottom w:val="none" w:sz="0" w:space="0" w:color="auto"/>
            <w:right w:val="none" w:sz="0" w:space="0" w:color="auto"/>
          </w:divBdr>
        </w:div>
      </w:divsChild>
    </w:div>
    <w:div w:id="1520313739">
      <w:bodyDiv w:val="1"/>
      <w:marLeft w:val="0"/>
      <w:marRight w:val="0"/>
      <w:marTop w:val="0"/>
      <w:marBottom w:val="0"/>
      <w:divBdr>
        <w:top w:val="none" w:sz="0" w:space="0" w:color="auto"/>
        <w:left w:val="none" w:sz="0" w:space="0" w:color="auto"/>
        <w:bottom w:val="none" w:sz="0" w:space="0" w:color="auto"/>
        <w:right w:val="none" w:sz="0" w:space="0" w:color="auto"/>
      </w:divBdr>
    </w:div>
    <w:div w:id="1566337942">
      <w:bodyDiv w:val="1"/>
      <w:marLeft w:val="0"/>
      <w:marRight w:val="0"/>
      <w:marTop w:val="0"/>
      <w:marBottom w:val="0"/>
      <w:divBdr>
        <w:top w:val="none" w:sz="0" w:space="0" w:color="auto"/>
        <w:left w:val="none" w:sz="0" w:space="0" w:color="auto"/>
        <w:bottom w:val="none" w:sz="0" w:space="0" w:color="auto"/>
        <w:right w:val="none" w:sz="0" w:space="0" w:color="auto"/>
      </w:divBdr>
      <w:divsChild>
        <w:div w:id="1804614893">
          <w:marLeft w:val="360"/>
          <w:marRight w:val="0"/>
          <w:marTop w:val="200"/>
          <w:marBottom w:val="0"/>
          <w:divBdr>
            <w:top w:val="none" w:sz="0" w:space="0" w:color="auto"/>
            <w:left w:val="none" w:sz="0" w:space="0" w:color="auto"/>
            <w:bottom w:val="none" w:sz="0" w:space="0" w:color="auto"/>
            <w:right w:val="none" w:sz="0" w:space="0" w:color="auto"/>
          </w:divBdr>
        </w:div>
      </w:divsChild>
    </w:div>
    <w:div w:id="1740244462">
      <w:bodyDiv w:val="1"/>
      <w:marLeft w:val="0"/>
      <w:marRight w:val="0"/>
      <w:marTop w:val="0"/>
      <w:marBottom w:val="0"/>
      <w:divBdr>
        <w:top w:val="none" w:sz="0" w:space="0" w:color="auto"/>
        <w:left w:val="none" w:sz="0" w:space="0" w:color="auto"/>
        <w:bottom w:val="none" w:sz="0" w:space="0" w:color="auto"/>
        <w:right w:val="none" w:sz="0" w:space="0" w:color="auto"/>
      </w:divBdr>
      <w:divsChild>
        <w:div w:id="281694688">
          <w:marLeft w:val="360"/>
          <w:marRight w:val="0"/>
          <w:marTop w:val="200"/>
          <w:marBottom w:val="0"/>
          <w:divBdr>
            <w:top w:val="none" w:sz="0" w:space="0" w:color="auto"/>
            <w:left w:val="none" w:sz="0" w:space="0" w:color="auto"/>
            <w:bottom w:val="none" w:sz="0" w:space="0" w:color="auto"/>
            <w:right w:val="none" w:sz="0" w:space="0" w:color="auto"/>
          </w:divBdr>
        </w:div>
        <w:div w:id="1282765545">
          <w:marLeft w:val="360"/>
          <w:marRight w:val="0"/>
          <w:marTop w:val="200"/>
          <w:marBottom w:val="0"/>
          <w:divBdr>
            <w:top w:val="none" w:sz="0" w:space="0" w:color="auto"/>
            <w:left w:val="none" w:sz="0" w:space="0" w:color="auto"/>
            <w:bottom w:val="none" w:sz="0" w:space="0" w:color="auto"/>
            <w:right w:val="none" w:sz="0" w:space="0" w:color="auto"/>
          </w:divBdr>
        </w:div>
        <w:div w:id="1416049966">
          <w:marLeft w:val="360"/>
          <w:marRight w:val="0"/>
          <w:marTop w:val="200"/>
          <w:marBottom w:val="0"/>
          <w:divBdr>
            <w:top w:val="none" w:sz="0" w:space="0" w:color="auto"/>
            <w:left w:val="none" w:sz="0" w:space="0" w:color="auto"/>
            <w:bottom w:val="none" w:sz="0" w:space="0" w:color="auto"/>
            <w:right w:val="none" w:sz="0" w:space="0" w:color="auto"/>
          </w:divBdr>
        </w:div>
        <w:div w:id="1642075187">
          <w:marLeft w:val="360"/>
          <w:marRight w:val="0"/>
          <w:marTop w:val="200"/>
          <w:marBottom w:val="0"/>
          <w:divBdr>
            <w:top w:val="none" w:sz="0" w:space="0" w:color="auto"/>
            <w:left w:val="none" w:sz="0" w:space="0" w:color="auto"/>
            <w:bottom w:val="none" w:sz="0" w:space="0" w:color="auto"/>
            <w:right w:val="none" w:sz="0" w:space="0" w:color="auto"/>
          </w:divBdr>
        </w:div>
        <w:div w:id="1753626750">
          <w:marLeft w:val="360"/>
          <w:marRight w:val="0"/>
          <w:marTop w:val="200"/>
          <w:marBottom w:val="0"/>
          <w:divBdr>
            <w:top w:val="none" w:sz="0" w:space="0" w:color="auto"/>
            <w:left w:val="none" w:sz="0" w:space="0" w:color="auto"/>
            <w:bottom w:val="none" w:sz="0" w:space="0" w:color="auto"/>
            <w:right w:val="none" w:sz="0" w:space="0" w:color="auto"/>
          </w:divBdr>
        </w:div>
      </w:divsChild>
    </w:div>
    <w:div w:id="1753625214">
      <w:bodyDiv w:val="1"/>
      <w:marLeft w:val="0"/>
      <w:marRight w:val="0"/>
      <w:marTop w:val="0"/>
      <w:marBottom w:val="0"/>
      <w:divBdr>
        <w:top w:val="none" w:sz="0" w:space="0" w:color="auto"/>
        <w:left w:val="none" w:sz="0" w:space="0" w:color="auto"/>
        <w:bottom w:val="none" w:sz="0" w:space="0" w:color="auto"/>
        <w:right w:val="none" w:sz="0" w:space="0" w:color="auto"/>
      </w:divBdr>
      <w:divsChild>
        <w:div w:id="982923871">
          <w:marLeft w:val="1080"/>
          <w:marRight w:val="0"/>
          <w:marTop w:val="100"/>
          <w:marBottom w:val="0"/>
          <w:divBdr>
            <w:top w:val="none" w:sz="0" w:space="0" w:color="auto"/>
            <w:left w:val="none" w:sz="0" w:space="0" w:color="auto"/>
            <w:bottom w:val="none" w:sz="0" w:space="0" w:color="auto"/>
            <w:right w:val="none" w:sz="0" w:space="0" w:color="auto"/>
          </w:divBdr>
        </w:div>
      </w:divsChild>
    </w:div>
    <w:div w:id="1796606220">
      <w:bodyDiv w:val="1"/>
      <w:marLeft w:val="0"/>
      <w:marRight w:val="0"/>
      <w:marTop w:val="0"/>
      <w:marBottom w:val="0"/>
      <w:divBdr>
        <w:top w:val="none" w:sz="0" w:space="0" w:color="auto"/>
        <w:left w:val="none" w:sz="0" w:space="0" w:color="auto"/>
        <w:bottom w:val="none" w:sz="0" w:space="0" w:color="auto"/>
        <w:right w:val="none" w:sz="0" w:space="0" w:color="auto"/>
      </w:divBdr>
    </w:div>
    <w:div w:id="1849056422">
      <w:bodyDiv w:val="1"/>
      <w:marLeft w:val="0"/>
      <w:marRight w:val="0"/>
      <w:marTop w:val="0"/>
      <w:marBottom w:val="0"/>
      <w:divBdr>
        <w:top w:val="none" w:sz="0" w:space="0" w:color="auto"/>
        <w:left w:val="none" w:sz="0" w:space="0" w:color="auto"/>
        <w:bottom w:val="none" w:sz="0" w:space="0" w:color="auto"/>
        <w:right w:val="none" w:sz="0" w:space="0" w:color="auto"/>
      </w:divBdr>
      <w:divsChild>
        <w:div w:id="7878730">
          <w:marLeft w:val="360"/>
          <w:marRight w:val="0"/>
          <w:marTop w:val="120"/>
          <w:marBottom w:val="0"/>
          <w:divBdr>
            <w:top w:val="none" w:sz="0" w:space="0" w:color="auto"/>
            <w:left w:val="none" w:sz="0" w:space="0" w:color="auto"/>
            <w:bottom w:val="none" w:sz="0" w:space="0" w:color="auto"/>
            <w:right w:val="none" w:sz="0" w:space="0" w:color="auto"/>
          </w:divBdr>
        </w:div>
        <w:div w:id="1256783934">
          <w:marLeft w:val="360"/>
          <w:marRight w:val="0"/>
          <w:marTop w:val="120"/>
          <w:marBottom w:val="0"/>
          <w:divBdr>
            <w:top w:val="none" w:sz="0" w:space="0" w:color="auto"/>
            <w:left w:val="none" w:sz="0" w:space="0" w:color="auto"/>
            <w:bottom w:val="none" w:sz="0" w:space="0" w:color="auto"/>
            <w:right w:val="none" w:sz="0" w:space="0" w:color="auto"/>
          </w:divBdr>
        </w:div>
        <w:div w:id="1518469691">
          <w:marLeft w:val="360"/>
          <w:marRight w:val="0"/>
          <w:marTop w:val="120"/>
          <w:marBottom w:val="0"/>
          <w:divBdr>
            <w:top w:val="none" w:sz="0" w:space="0" w:color="auto"/>
            <w:left w:val="none" w:sz="0" w:space="0" w:color="auto"/>
            <w:bottom w:val="none" w:sz="0" w:space="0" w:color="auto"/>
            <w:right w:val="none" w:sz="0" w:space="0" w:color="auto"/>
          </w:divBdr>
        </w:div>
        <w:div w:id="1849785546">
          <w:marLeft w:val="360"/>
          <w:marRight w:val="0"/>
          <w:marTop w:val="12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cer.org/wpcontent/uploads/2024/02/ICER_Menopause_FinalReport_01232023_12MonthCheckUp.pdf" TargetMode="External"/><Relationship Id="rId2" Type="http://schemas.openxmlformats.org/officeDocument/2006/relationships/hyperlink" Target="https://icer.org/wpcontent/uploads/2024/02/ICER_Menopause_FinalReport_01232023_12MonthCheckUp.pdf" TargetMode="External"/><Relationship Id="rId1" Type="http://schemas.openxmlformats.org/officeDocument/2006/relationships/hyperlink" Target="http://www.tg.org.au/" TargetMode="External"/><Relationship Id="rId5" Type="http://schemas.openxmlformats.org/officeDocument/2006/relationships/hyperlink" Target="https://icer.org/wpcontent/uploads/2024/02/ICER_Menopause_FinalReport_01232023_12MonthCheckUp.pdf" TargetMode="External"/><Relationship Id="rId4" Type="http://schemas.openxmlformats.org/officeDocument/2006/relationships/hyperlink" Target="https://euroqol.org/wp-content/uploads/2017/02/EQ-5D-5L_Crosswalk_model_and__methodolo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AC88D-2CCB-4A2F-BF2B-42400EEEA4D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38F39FCA-3522-406D-92B0-3171120E3862}">
  <ds:schemaRefs>
    <ds:schemaRef ds:uri="http://schemas.openxmlformats.org/officeDocument/2006/bibliography"/>
  </ds:schemaRefs>
</ds:datastoreItem>
</file>

<file path=customXml/itemProps3.xml><?xml version="1.0" encoding="utf-8"?>
<ds:datastoreItem xmlns:ds="http://schemas.openxmlformats.org/officeDocument/2006/customXml" ds:itemID="{61D016B8-0D21-4BD4-9B64-59133C0F2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3C794D-033E-4495-8902-1CA7FAF42F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21991</Words>
  <Characters>125354</Characters>
  <Application>Microsoft Office Word</Application>
  <DocSecurity>0</DocSecurity>
  <Lines>1044</Lines>
  <Paragraphs>294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5.08	FEZOLINETANT, Tablet 45 mg, Veoza®, ASTELLAS PHARMA AUSTRALIA PTY LTD. </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Trial results</vt:lpstr>
      <vt:lpstr>    Comparative harms</vt:lpstr>
      <vt:lpstr>    Benefits/harms</vt:lpstr>
      <vt:lpstr>    Clinical claim</vt:lpstr>
      <vt:lpstr>    Economic analysis </vt:lpstr>
    </vt:vector>
  </TitlesOfParts>
  <Company/>
  <LinksUpToDate>false</LinksUpToDate>
  <CharactersWithSpaces>147051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2025-07-03T04:14:00Z</dcterms:created>
  <dcterms:modified xsi:type="dcterms:W3CDTF">2025-07-16T10:49:00Z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