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9959" w14:textId="60446FF7" w:rsidR="00422B82" w:rsidRPr="000A7BB0" w:rsidRDefault="00A92D10" w:rsidP="002553CE">
      <w:pPr>
        <w:tabs>
          <w:tab w:val="left" w:pos="1843"/>
        </w:tabs>
        <w:spacing w:before="0" w:after="0"/>
        <w:rPr>
          <w:rFonts w:eastAsia="Times New Roman" w:cs="Times New Roman"/>
          <w:b/>
          <w:bCs/>
          <w:spacing w:val="5"/>
          <w:kern w:val="28"/>
          <w:sz w:val="36"/>
          <w:szCs w:val="36"/>
          <w:lang w:eastAsia="en-AU"/>
        </w:rPr>
      </w:pPr>
      <w:r>
        <w:rPr>
          <w:rFonts w:eastAsia="Times New Roman" w:cs="Times New Roman"/>
          <w:b/>
          <w:bCs/>
          <w:caps/>
          <w:spacing w:val="5"/>
          <w:kern w:val="28"/>
          <w:sz w:val="36"/>
          <w:szCs w:val="36"/>
          <w:lang w:eastAsia="en-AU"/>
        </w:rPr>
        <w:t xml:space="preserve">5.05 </w:t>
      </w:r>
      <w:r w:rsidR="16D8DBB3" w:rsidRPr="000A7BB0">
        <w:rPr>
          <w:rFonts w:eastAsia="Times New Roman" w:cs="Times New Roman"/>
          <w:b/>
          <w:bCs/>
          <w:caps/>
          <w:spacing w:val="5"/>
          <w:kern w:val="28"/>
          <w:sz w:val="36"/>
          <w:szCs w:val="36"/>
          <w:lang w:eastAsia="en-AU"/>
        </w:rPr>
        <w:t>E</w:t>
      </w:r>
      <w:r w:rsidR="4247E3A3" w:rsidRPr="000A7BB0">
        <w:rPr>
          <w:rFonts w:eastAsia="Times New Roman" w:cs="Times New Roman"/>
          <w:b/>
          <w:bCs/>
          <w:caps/>
          <w:spacing w:val="5"/>
          <w:kern w:val="28"/>
          <w:sz w:val="36"/>
          <w:szCs w:val="36"/>
          <w:lang w:eastAsia="en-AU"/>
        </w:rPr>
        <w:t>l</w:t>
      </w:r>
      <w:r w:rsidR="16D8DBB3" w:rsidRPr="000A7BB0">
        <w:rPr>
          <w:rFonts w:eastAsia="Times New Roman" w:cs="Times New Roman"/>
          <w:b/>
          <w:bCs/>
          <w:caps/>
          <w:spacing w:val="5"/>
          <w:kern w:val="28"/>
          <w:sz w:val="36"/>
          <w:szCs w:val="36"/>
          <w:lang w:eastAsia="en-AU"/>
        </w:rPr>
        <w:t>acestrant</w:t>
      </w:r>
    </w:p>
    <w:p w14:paraId="28AA223B" w14:textId="36C1177C" w:rsidR="00985483" w:rsidRPr="000A7BB0" w:rsidRDefault="00985483" w:rsidP="002553CE">
      <w:pPr>
        <w:spacing w:before="0" w:after="0"/>
        <w:ind w:firstLine="720"/>
        <w:rPr>
          <w:b/>
          <w:spacing w:val="5"/>
          <w:kern w:val="28"/>
          <w:sz w:val="36"/>
          <w:szCs w:val="36"/>
          <w:lang w:eastAsia="en-AU"/>
        </w:rPr>
      </w:pPr>
      <w:r w:rsidRPr="000A7BB0">
        <w:rPr>
          <w:b/>
          <w:spacing w:val="5"/>
          <w:kern w:val="28"/>
          <w:sz w:val="36"/>
          <w:szCs w:val="36"/>
          <w:lang w:eastAsia="en-AU"/>
        </w:rPr>
        <w:t xml:space="preserve">Tablet 86 mg (as dihydrochloride) </w:t>
      </w:r>
    </w:p>
    <w:p w14:paraId="21EFF2A0" w14:textId="77777777" w:rsidR="00985483" w:rsidRPr="000A7BB0" w:rsidRDefault="00985483" w:rsidP="002553CE">
      <w:pPr>
        <w:spacing w:before="0" w:after="0"/>
        <w:ind w:firstLine="720"/>
        <w:rPr>
          <w:b/>
          <w:spacing w:val="5"/>
          <w:kern w:val="28"/>
          <w:sz w:val="36"/>
          <w:szCs w:val="36"/>
          <w:lang w:eastAsia="en-AU"/>
        </w:rPr>
      </w:pPr>
      <w:r w:rsidRPr="000A7BB0">
        <w:rPr>
          <w:b/>
          <w:spacing w:val="5"/>
          <w:kern w:val="28"/>
          <w:sz w:val="36"/>
          <w:szCs w:val="36"/>
          <w:lang w:eastAsia="en-AU"/>
        </w:rPr>
        <w:t>Tablet 345 mg (as dihydrochloride)</w:t>
      </w:r>
    </w:p>
    <w:p w14:paraId="43C68046" w14:textId="418F24C5" w:rsidR="00985483" w:rsidRPr="000A7BB0" w:rsidRDefault="06C72E67" w:rsidP="002553CE">
      <w:pPr>
        <w:spacing w:before="0" w:after="0"/>
        <w:ind w:firstLine="720"/>
        <w:rPr>
          <w:b/>
          <w:bCs/>
          <w:spacing w:val="5"/>
          <w:kern w:val="28"/>
          <w:sz w:val="36"/>
          <w:szCs w:val="36"/>
          <w:lang w:eastAsia="en-AU"/>
        </w:rPr>
      </w:pPr>
      <w:r w:rsidRPr="000A7BB0">
        <w:rPr>
          <w:b/>
          <w:bCs/>
          <w:spacing w:val="5"/>
          <w:kern w:val="28"/>
          <w:sz w:val="36"/>
          <w:szCs w:val="36"/>
          <w:lang w:eastAsia="en-AU"/>
        </w:rPr>
        <w:t>Orserdu®</w:t>
      </w:r>
    </w:p>
    <w:p w14:paraId="4B9FEAC1" w14:textId="4677DE4E" w:rsidR="009F539C" w:rsidRPr="00F069E9" w:rsidRDefault="00460062" w:rsidP="002553CE">
      <w:pPr>
        <w:spacing w:before="0" w:after="0"/>
        <w:ind w:firstLine="720"/>
        <w:rPr>
          <w:b/>
          <w:spacing w:val="5"/>
          <w:kern w:val="28"/>
          <w:sz w:val="36"/>
          <w:szCs w:val="36"/>
          <w:lang w:eastAsia="en-AU"/>
        </w:rPr>
      </w:pPr>
      <w:r w:rsidRPr="000A7BB0">
        <w:rPr>
          <w:b/>
          <w:spacing w:val="5"/>
          <w:kern w:val="28"/>
          <w:sz w:val="36"/>
          <w:szCs w:val="36"/>
          <w:lang w:eastAsia="en-AU"/>
        </w:rPr>
        <w:t>A. MENARINI AUSTRALIA PTY LTD</w:t>
      </w:r>
      <w:bookmarkStart w:id="0" w:name="_Toc22897637"/>
      <w:bookmarkStart w:id="1" w:name="_Toc22898843"/>
    </w:p>
    <w:p w14:paraId="73011145" w14:textId="77777777" w:rsidR="00630A8A" w:rsidRPr="000A7BB0" w:rsidRDefault="00630A8A" w:rsidP="002553CE">
      <w:pPr>
        <w:pStyle w:val="PBACESHeading1"/>
        <w:numPr>
          <w:ilvl w:val="0"/>
          <w:numId w:val="11"/>
        </w:numPr>
        <w:tabs>
          <w:tab w:val="clear" w:pos="1077"/>
          <w:tab w:val="left" w:pos="709"/>
        </w:tabs>
      </w:pPr>
      <w:bookmarkStart w:id="2" w:name="_Toc188374354"/>
      <w:bookmarkEnd w:id="0"/>
      <w:bookmarkEnd w:id="1"/>
      <w:r w:rsidRPr="000A7BB0">
        <w:t>Purpose of submission</w:t>
      </w:r>
      <w:bookmarkEnd w:id="2"/>
    </w:p>
    <w:p w14:paraId="324B2E37" w14:textId="3E646004" w:rsidR="00C905D6" w:rsidRPr="000A7BB0" w:rsidRDefault="00CA3994" w:rsidP="002553CE">
      <w:pPr>
        <w:numPr>
          <w:ilvl w:val="4"/>
          <w:numId w:val="11"/>
        </w:numPr>
        <w:ind w:left="709" w:hanging="709"/>
        <w:rPr>
          <w:color w:val="000000" w:themeColor="text1"/>
        </w:rPr>
      </w:pPr>
      <w:r>
        <w:rPr>
          <w:color w:val="000000" w:themeColor="text1"/>
        </w:rPr>
        <w:t>Th</w:t>
      </w:r>
      <w:r w:rsidR="00E47BEE">
        <w:rPr>
          <w:color w:val="000000" w:themeColor="text1"/>
        </w:rPr>
        <w:t>e</w:t>
      </w:r>
      <w:r w:rsidR="00C905D6" w:rsidRPr="000A7BB0">
        <w:rPr>
          <w:color w:val="000000" w:themeColor="text1"/>
        </w:rPr>
        <w:t xml:space="preserve"> Category 1 integrated codependent submission reques</w:t>
      </w:r>
      <w:r>
        <w:rPr>
          <w:color w:val="000000" w:themeColor="text1"/>
        </w:rPr>
        <w:t>ted</w:t>
      </w:r>
      <w:r w:rsidR="00C905D6" w:rsidRPr="000A7BB0">
        <w:rPr>
          <w:color w:val="000000" w:themeColor="text1"/>
        </w:rPr>
        <w:t xml:space="preserve"> Medicare Benefits Schedule (MBS) listing of next generation sequencing (NGS) testing for activating estrogen receptor 1 (</w:t>
      </w:r>
      <w:r w:rsidR="00C905D6" w:rsidRPr="000A7BB0">
        <w:rPr>
          <w:i/>
          <w:iCs/>
          <w:color w:val="000000" w:themeColor="text1"/>
        </w:rPr>
        <w:t>ESR1</w:t>
      </w:r>
      <w:r w:rsidR="00C905D6" w:rsidRPr="000A7BB0">
        <w:rPr>
          <w:color w:val="000000" w:themeColor="text1"/>
        </w:rPr>
        <w:t xml:space="preserve">) variants in circulating tumour deoxyribonucleic acid (ctDNA) extracted from blood plasma (liquid biopsy) and Pharmaceutical Benefits Scheme (PBS) listing of elacestrant for the targeted treatment of estrogen receptor-positive, human epidermal growth factor receptor 2-negative (ER+/HER2-), locally advanced or metastatic breast cancer (mBC), </w:t>
      </w:r>
      <w:r w:rsidR="3895B143" w:rsidRPr="000A7BB0">
        <w:rPr>
          <w:color w:val="000000" w:themeColor="text1"/>
        </w:rPr>
        <w:t xml:space="preserve">with an activating </w:t>
      </w:r>
      <w:r w:rsidR="3895B143" w:rsidRPr="001B48D2">
        <w:rPr>
          <w:i/>
          <w:iCs/>
          <w:color w:val="000000" w:themeColor="text1"/>
        </w:rPr>
        <w:t>ESR1</w:t>
      </w:r>
      <w:r w:rsidR="3895B143" w:rsidRPr="000A7BB0">
        <w:rPr>
          <w:color w:val="000000" w:themeColor="text1"/>
        </w:rPr>
        <w:t xml:space="preserve"> variant, in patients </w:t>
      </w:r>
      <w:r w:rsidR="00C905D6" w:rsidRPr="000A7BB0">
        <w:rPr>
          <w:color w:val="000000" w:themeColor="text1"/>
        </w:rPr>
        <w:t>who have disease progression following at least one line of endocrine therapy (ET), including a cyclin-dependent kinase 4/6 inhibitor (CDK4/6i)</w:t>
      </w:r>
      <w:r w:rsidR="3895B143" w:rsidRPr="000A7BB0">
        <w:rPr>
          <w:color w:val="000000" w:themeColor="text1"/>
        </w:rPr>
        <w:t>.</w:t>
      </w:r>
    </w:p>
    <w:p w14:paraId="510CDB70" w14:textId="48336346" w:rsidR="005D027A" w:rsidRPr="007E24FE" w:rsidRDefault="00C905D6" w:rsidP="002553CE">
      <w:pPr>
        <w:numPr>
          <w:ilvl w:val="4"/>
          <w:numId w:val="11"/>
        </w:numPr>
        <w:ind w:left="709" w:hanging="709"/>
        <w:rPr>
          <w:color w:val="0070C0"/>
        </w:rPr>
      </w:pPr>
      <w:r w:rsidRPr="000A7BB0">
        <w:rPr>
          <w:color w:val="000000" w:themeColor="text1"/>
        </w:rPr>
        <w:t xml:space="preserve">Listing was requested on the basis of a cost-effectiveness analysis versus standard of care (SOC) (consisting of fulvestrant or an aromatase inhibitor [AI]). </w:t>
      </w:r>
    </w:p>
    <w:p w14:paraId="63F79A8E" w14:textId="4564814A" w:rsidR="00C905D6" w:rsidRPr="000A7BB0" w:rsidRDefault="00C905D6" w:rsidP="002553CE">
      <w:pPr>
        <w:keepNext/>
        <w:keepLines/>
        <w:tabs>
          <w:tab w:val="left" w:pos="1418"/>
        </w:tabs>
        <w:spacing w:before="240" w:after="0" w:line="259" w:lineRule="auto"/>
        <w:contextualSpacing/>
        <w:jc w:val="left"/>
        <w:rPr>
          <w:rFonts w:ascii="Arial Narrow" w:hAnsi="Arial Narrow"/>
          <w:b/>
          <w:iCs/>
          <w:sz w:val="20"/>
          <w:szCs w:val="18"/>
        </w:rPr>
      </w:pPr>
      <w:r w:rsidRPr="000A7BB0">
        <w:rPr>
          <w:rFonts w:ascii="Arial Narrow" w:hAnsi="Arial Narrow"/>
          <w:b/>
          <w:iCs/>
          <w:sz w:val="20"/>
          <w:szCs w:val="18"/>
        </w:rPr>
        <w:lastRenderedPageBreak/>
        <w:t xml:space="preserve">Table </w:t>
      </w:r>
      <w:r w:rsidRPr="000A7BB0">
        <w:rPr>
          <w:rFonts w:ascii="Arial Narrow" w:hAnsi="Arial Narrow"/>
          <w:b/>
          <w:iCs/>
          <w:sz w:val="20"/>
          <w:szCs w:val="18"/>
        </w:rPr>
        <w:fldChar w:fldCharType="begin"/>
      </w:r>
      <w:r w:rsidRPr="000A7BB0">
        <w:rPr>
          <w:rFonts w:ascii="Arial Narrow" w:hAnsi="Arial Narrow"/>
          <w:b/>
          <w:iCs/>
          <w:sz w:val="20"/>
          <w:szCs w:val="18"/>
        </w:rPr>
        <w:instrText xml:space="preserve"> SEQ Table_PBAC. \* ARABIC </w:instrText>
      </w:r>
      <w:r w:rsidRPr="000A7BB0">
        <w:rPr>
          <w:rFonts w:ascii="Arial Narrow" w:hAnsi="Arial Narrow"/>
          <w:b/>
          <w:iCs/>
          <w:sz w:val="20"/>
          <w:szCs w:val="18"/>
        </w:rPr>
        <w:fldChar w:fldCharType="separate"/>
      </w:r>
      <w:r w:rsidR="004F224A">
        <w:rPr>
          <w:rFonts w:ascii="Arial Narrow" w:hAnsi="Arial Narrow"/>
          <w:b/>
          <w:iCs/>
          <w:noProof/>
          <w:sz w:val="20"/>
          <w:szCs w:val="18"/>
        </w:rPr>
        <w:t>1</w:t>
      </w:r>
      <w:r w:rsidRPr="000A7BB0">
        <w:rPr>
          <w:rFonts w:ascii="Arial Narrow" w:hAnsi="Arial Narrow"/>
          <w:b/>
          <w:iCs/>
          <w:sz w:val="20"/>
          <w:szCs w:val="18"/>
        </w:rPr>
        <w:fldChar w:fldCharType="end"/>
      </w:r>
      <w:r w:rsidRPr="000A7BB0">
        <w:rPr>
          <w:rFonts w:ascii="Arial Narrow" w:hAnsi="Arial Narrow"/>
          <w:b/>
          <w:iCs/>
          <w:sz w:val="20"/>
          <w:szCs w:val="18"/>
        </w:rPr>
        <w:t>: Key components of the clinical issue addressed by the submission</w:t>
      </w:r>
    </w:p>
    <w:tbl>
      <w:tblPr>
        <w:tblStyle w:val="PBACTableStyle3"/>
        <w:tblW w:w="0" w:type="auto"/>
        <w:tblLook w:val="04A0" w:firstRow="1" w:lastRow="0" w:firstColumn="1" w:lastColumn="0" w:noHBand="0" w:noVBand="1"/>
        <w:tblCaption w:val="Table 1: Key components of the clinical issue addressed by the submission"/>
      </w:tblPr>
      <w:tblGrid>
        <w:gridCol w:w="1413"/>
        <w:gridCol w:w="7603"/>
      </w:tblGrid>
      <w:tr w:rsidR="00C905D6" w:rsidRPr="000A7BB0" w14:paraId="049A8422" w14:textId="77777777" w:rsidTr="00A108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bottom"/>
          </w:tcPr>
          <w:p w14:paraId="2CF113A7" w14:textId="77777777" w:rsidR="00C905D6" w:rsidRPr="000A7BB0" w:rsidRDefault="00C905D6" w:rsidP="002553CE">
            <w:pPr>
              <w:pStyle w:val="TableFigureHeading"/>
              <w:keepLines/>
              <w:widowControl/>
              <w:rPr>
                <w:b/>
                <w:lang w:val="en-AU"/>
              </w:rPr>
            </w:pPr>
            <w:r w:rsidRPr="000A7BB0">
              <w:rPr>
                <w:b/>
                <w:lang w:val="en-AU"/>
              </w:rPr>
              <w:t>Component</w:t>
            </w:r>
          </w:p>
        </w:tc>
        <w:tc>
          <w:tcPr>
            <w:tcW w:w="7603" w:type="dxa"/>
            <w:vAlign w:val="bottom"/>
          </w:tcPr>
          <w:p w14:paraId="378BADE2" w14:textId="77777777" w:rsidR="00C905D6" w:rsidRPr="000A7BB0" w:rsidRDefault="00C905D6" w:rsidP="002553CE">
            <w:pPr>
              <w:pStyle w:val="TableText"/>
              <w:keepNext/>
              <w:keepLines/>
              <w:widowControl/>
              <w:cnfStyle w:val="100000000000" w:firstRow="1" w:lastRow="0" w:firstColumn="0" w:lastColumn="0" w:oddVBand="0" w:evenVBand="0" w:oddHBand="0" w:evenHBand="0" w:firstRowFirstColumn="0" w:firstRowLastColumn="0" w:lastRowFirstColumn="0" w:lastRowLastColumn="0"/>
              <w:rPr>
                <w:lang w:val="en-AU"/>
              </w:rPr>
            </w:pPr>
            <w:r w:rsidRPr="000A7BB0">
              <w:rPr>
                <w:lang w:val="en-AU"/>
              </w:rPr>
              <w:t>Description</w:t>
            </w:r>
          </w:p>
        </w:tc>
      </w:tr>
      <w:tr w:rsidR="00C905D6" w:rsidRPr="000A7BB0" w14:paraId="5405BE5A" w14:textId="77777777" w:rsidTr="00A1089A">
        <w:tc>
          <w:tcPr>
            <w:cnfStyle w:val="001000000000" w:firstRow="0" w:lastRow="0" w:firstColumn="1" w:lastColumn="0" w:oddVBand="0" w:evenVBand="0" w:oddHBand="0" w:evenHBand="0" w:firstRowFirstColumn="0" w:firstRowLastColumn="0" w:lastRowFirstColumn="0" w:lastRowLastColumn="0"/>
            <w:tcW w:w="1413" w:type="dxa"/>
          </w:tcPr>
          <w:p w14:paraId="36CBB557" w14:textId="77777777" w:rsidR="00C905D6" w:rsidRPr="000A7BB0" w:rsidRDefault="00C905D6" w:rsidP="002553CE">
            <w:pPr>
              <w:pStyle w:val="TableText"/>
              <w:keepNext/>
              <w:keepLines/>
              <w:widowControl/>
              <w:rPr>
                <w:lang w:val="en-AU"/>
              </w:rPr>
            </w:pPr>
            <w:r w:rsidRPr="000A7BB0">
              <w:rPr>
                <w:lang w:val="en-AU"/>
              </w:rPr>
              <w:t>Population</w:t>
            </w:r>
          </w:p>
        </w:tc>
        <w:tc>
          <w:tcPr>
            <w:tcW w:w="7603" w:type="dxa"/>
          </w:tcPr>
          <w:p w14:paraId="3FF88BCB"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Test: Men and postmenopausal women with ER+/HER2- mBC, who have disease progression following at least one line of ET, including a CDK4/6i.</w:t>
            </w:r>
          </w:p>
          <w:p w14:paraId="3D17C5A2"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Drug: Men and postmenopausal women with ER+/HER2- mBC, who have disease progression following at least one line of ET, including a CDK4/6i and test positive for an </w:t>
            </w:r>
            <w:r w:rsidRPr="000A7BB0">
              <w:rPr>
                <w:i/>
                <w:lang w:val="en-AU"/>
              </w:rPr>
              <w:t>ESR1</w:t>
            </w:r>
            <w:r w:rsidRPr="000A7BB0">
              <w:rPr>
                <w:lang w:val="en-AU"/>
              </w:rPr>
              <w:t xml:space="preserve"> variant.</w:t>
            </w:r>
          </w:p>
        </w:tc>
      </w:tr>
      <w:tr w:rsidR="00C905D6" w:rsidRPr="000A7BB0" w14:paraId="0A4C844F" w14:textId="77777777" w:rsidTr="00A1089A">
        <w:tc>
          <w:tcPr>
            <w:cnfStyle w:val="001000000000" w:firstRow="0" w:lastRow="0" w:firstColumn="1" w:lastColumn="0" w:oddVBand="0" w:evenVBand="0" w:oddHBand="0" w:evenHBand="0" w:firstRowFirstColumn="0" w:firstRowLastColumn="0" w:lastRowFirstColumn="0" w:lastRowLastColumn="0"/>
            <w:tcW w:w="1413" w:type="dxa"/>
          </w:tcPr>
          <w:p w14:paraId="7B646F1D" w14:textId="77777777" w:rsidR="00C905D6" w:rsidRPr="000A7BB0" w:rsidRDefault="00C905D6" w:rsidP="002553CE">
            <w:pPr>
              <w:pStyle w:val="TableText"/>
              <w:keepNext/>
              <w:keepLines/>
              <w:widowControl/>
              <w:rPr>
                <w:lang w:val="en-AU"/>
              </w:rPr>
            </w:pPr>
            <w:r w:rsidRPr="000A7BB0">
              <w:rPr>
                <w:lang w:val="en-AU"/>
              </w:rPr>
              <w:t>Intervention</w:t>
            </w:r>
          </w:p>
        </w:tc>
        <w:tc>
          <w:tcPr>
            <w:tcW w:w="7603" w:type="dxa"/>
          </w:tcPr>
          <w:p w14:paraId="5707A55E"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Test: Testing for </w:t>
            </w:r>
            <w:r w:rsidRPr="000A7BB0">
              <w:rPr>
                <w:i/>
                <w:lang w:val="en-AU"/>
              </w:rPr>
              <w:t>ESR1</w:t>
            </w:r>
            <w:r w:rsidRPr="000A7BB0">
              <w:rPr>
                <w:lang w:val="en-AU"/>
              </w:rPr>
              <w:t xml:space="preserve"> variants in ctDNA extracted from blood (liquid biopsy) through NGS</w:t>
            </w:r>
          </w:p>
          <w:p w14:paraId="5B5FEE79" w14:textId="407D7BE2"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Drug: Elacestrant 345mg po daily until disease progression or unacceptable toxicity</w:t>
            </w:r>
          </w:p>
        </w:tc>
      </w:tr>
      <w:tr w:rsidR="00C905D6" w:rsidRPr="000A7BB0" w14:paraId="5E259EEA" w14:textId="77777777" w:rsidTr="00A1089A">
        <w:tc>
          <w:tcPr>
            <w:cnfStyle w:val="001000000000" w:firstRow="0" w:lastRow="0" w:firstColumn="1" w:lastColumn="0" w:oddVBand="0" w:evenVBand="0" w:oddHBand="0" w:evenHBand="0" w:firstRowFirstColumn="0" w:firstRowLastColumn="0" w:lastRowFirstColumn="0" w:lastRowLastColumn="0"/>
            <w:tcW w:w="1413" w:type="dxa"/>
          </w:tcPr>
          <w:p w14:paraId="347C70D7" w14:textId="77777777" w:rsidR="00C905D6" w:rsidRPr="000A7BB0" w:rsidRDefault="00C905D6" w:rsidP="002553CE">
            <w:pPr>
              <w:pStyle w:val="TableText"/>
              <w:keepNext/>
              <w:keepLines/>
              <w:widowControl/>
              <w:rPr>
                <w:lang w:val="en-AU"/>
              </w:rPr>
            </w:pPr>
            <w:r w:rsidRPr="000A7BB0">
              <w:rPr>
                <w:lang w:val="en-AU"/>
              </w:rPr>
              <w:t>Comparator</w:t>
            </w:r>
          </w:p>
        </w:tc>
        <w:tc>
          <w:tcPr>
            <w:tcW w:w="7603" w:type="dxa"/>
          </w:tcPr>
          <w:p w14:paraId="2501AD0B"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Test: No testing</w:t>
            </w:r>
          </w:p>
          <w:p w14:paraId="4C5836AB" w14:textId="1CB7D81C"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Drug: SOC, </w:t>
            </w:r>
            <w:r w:rsidR="000E7397">
              <w:rPr>
                <w:lang w:val="en-AU"/>
              </w:rPr>
              <w:t>defined as</w:t>
            </w:r>
            <w:r w:rsidRPr="000A7BB0">
              <w:rPr>
                <w:lang w:val="en-AU"/>
              </w:rPr>
              <w:t xml:space="preserve"> conventional ET (monotherapy):</w:t>
            </w:r>
          </w:p>
          <w:p w14:paraId="6F361662"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Fulvestrant 500 mg IM days 1 and 15 (cycle 1), then day 1 in subsequent cycles (frequency: 28 days),</w:t>
            </w:r>
          </w:p>
          <w:p w14:paraId="0905ACC2"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Anastrozole 1 mg po daily,</w:t>
            </w:r>
          </w:p>
          <w:p w14:paraId="39C14B65"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Letrozole 2.5 mg po daily, or</w:t>
            </w:r>
          </w:p>
          <w:p w14:paraId="47762F04"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Exemestane 25 mg po daily</w:t>
            </w:r>
          </w:p>
          <w:p w14:paraId="1BF697AE"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until disease progression or unacceptable toxicity.</w:t>
            </w:r>
          </w:p>
        </w:tc>
      </w:tr>
      <w:tr w:rsidR="00C905D6" w:rsidRPr="000A7BB0" w14:paraId="58919DDA" w14:textId="77777777" w:rsidTr="00A1089A">
        <w:tc>
          <w:tcPr>
            <w:cnfStyle w:val="001000000000" w:firstRow="0" w:lastRow="0" w:firstColumn="1" w:lastColumn="0" w:oddVBand="0" w:evenVBand="0" w:oddHBand="0" w:evenHBand="0" w:firstRowFirstColumn="0" w:firstRowLastColumn="0" w:lastRowFirstColumn="0" w:lastRowLastColumn="0"/>
            <w:tcW w:w="1413" w:type="dxa"/>
          </w:tcPr>
          <w:p w14:paraId="644E5364" w14:textId="77777777" w:rsidR="00C905D6" w:rsidRPr="000A7BB0" w:rsidRDefault="00C905D6" w:rsidP="002553CE">
            <w:pPr>
              <w:pStyle w:val="TableText"/>
              <w:keepNext/>
              <w:keepLines/>
              <w:widowControl/>
              <w:rPr>
                <w:lang w:val="en-AU"/>
              </w:rPr>
            </w:pPr>
            <w:r w:rsidRPr="000A7BB0">
              <w:rPr>
                <w:lang w:val="en-AU"/>
              </w:rPr>
              <w:t>Outcomes</w:t>
            </w:r>
          </w:p>
        </w:tc>
        <w:tc>
          <w:tcPr>
            <w:tcW w:w="7603" w:type="dxa"/>
          </w:tcPr>
          <w:p w14:paraId="2BE2221C"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Test: Diagnostic accuracy (Sensitivity, Specificity, PPV, NPV), test-retest reliability.</w:t>
            </w:r>
          </w:p>
          <w:p w14:paraId="1D434C8A"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Predictive validity of the test (distinguished from </w:t>
            </w:r>
            <w:r w:rsidRPr="000A7BB0">
              <w:rPr>
                <w:i/>
                <w:lang w:val="en-AU"/>
              </w:rPr>
              <w:t>ESR1</w:t>
            </w:r>
            <w:r w:rsidRPr="000A7BB0">
              <w:rPr>
                <w:lang w:val="en-AU"/>
              </w:rPr>
              <w:t xml:space="preserve"> as a prognostic biomarker) </w:t>
            </w:r>
          </w:p>
          <w:p w14:paraId="39DBFEBC"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u w:val="single"/>
                <w:lang w:val="en-AU"/>
              </w:rPr>
              <w:t xml:space="preserve">Comparative performance of </w:t>
            </w:r>
            <w:r w:rsidRPr="000A7BB0">
              <w:rPr>
                <w:i/>
                <w:u w:val="single"/>
                <w:lang w:val="en-AU"/>
              </w:rPr>
              <w:t>ESR1</w:t>
            </w:r>
            <w:r w:rsidRPr="000A7BB0">
              <w:rPr>
                <w:u w:val="single"/>
                <w:lang w:val="en-AU"/>
              </w:rPr>
              <w:t xml:space="preserve"> variant testing methods </w:t>
            </w:r>
          </w:p>
          <w:p w14:paraId="47C83967"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Incremental benefits and risks of ctDNA testing compared to tumour testing for </w:t>
            </w:r>
            <w:r w:rsidRPr="000A7BB0">
              <w:rPr>
                <w:i/>
                <w:lang w:val="en-AU"/>
              </w:rPr>
              <w:t>ESR1</w:t>
            </w:r>
            <w:r w:rsidRPr="000A7BB0">
              <w:rPr>
                <w:lang w:val="en-AU"/>
              </w:rPr>
              <w:t xml:space="preserve"> variants</w:t>
            </w:r>
          </w:p>
          <w:p w14:paraId="674F0CB7"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Concordance between </w:t>
            </w:r>
            <w:r w:rsidRPr="000A7BB0">
              <w:rPr>
                <w:i/>
                <w:lang w:val="en-AU"/>
              </w:rPr>
              <w:t>ESR1</w:t>
            </w:r>
            <w:r w:rsidRPr="000A7BB0">
              <w:rPr>
                <w:lang w:val="en-AU"/>
              </w:rPr>
              <w:t xml:space="preserve"> variant testing assays: </w:t>
            </w:r>
          </w:p>
          <w:p w14:paraId="5EA7C2B0"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NGS vs ddPCR</w:t>
            </w:r>
          </w:p>
          <w:p w14:paraId="64E4BD97"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NGS vs qPCR</w:t>
            </w:r>
          </w:p>
          <w:p w14:paraId="364A3A06"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u w:val="single"/>
                <w:lang w:val="en-AU"/>
              </w:rPr>
              <w:t>Change in clinical management from testing</w:t>
            </w:r>
          </w:p>
          <w:p w14:paraId="58A0CECC"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Percentage of patients changing treatment plan </w:t>
            </w:r>
          </w:p>
          <w:p w14:paraId="2C2A410D"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Impact of discordance between test methods on treatment selection and effect. </w:t>
            </w:r>
          </w:p>
          <w:p w14:paraId="6C0E5A80"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u w:val="single"/>
                <w:lang w:val="en-AU"/>
              </w:rPr>
              <w:t xml:space="preserve">Testing Safety outcomes </w:t>
            </w:r>
          </w:p>
          <w:p w14:paraId="7DB2C4FA"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AEs related to testing</w:t>
            </w:r>
          </w:p>
          <w:p w14:paraId="4E3B9AFD"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p>
          <w:p w14:paraId="5FB5B29A"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Drug: OS, PFS, ORR, CBR, CR, PR, SD, HRQoL, treatment-emergent and treatment-related AEs</w:t>
            </w:r>
          </w:p>
        </w:tc>
      </w:tr>
      <w:tr w:rsidR="00C905D6" w:rsidRPr="000A7BB0" w14:paraId="616A9AF3" w14:textId="77777777" w:rsidTr="00A1089A">
        <w:tc>
          <w:tcPr>
            <w:cnfStyle w:val="001000000000" w:firstRow="0" w:lastRow="0" w:firstColumn="1" w:lastColumn="0" w:oddVBand="0" w:evenVBand="0" w:oddHBand="0" w:evenHBand="0" w:firstRowFirstColumn="0" w:firstRowLastColumn="0" w:lastRowFirstColumn="0" w:lastRowLastColumn="0"/>
            <w:tcW w:w="1413" w:type="dxa"/>
          </w:tcPr>
          <w:p w14:paraId="6561A137" w14:textId="77777777" w:rsidR="00C905D6" w:rsidRPr="000A7BB0" w:rsidRDefault="00C905D6" w:rsidP="002553CE">
            <w:pPr>
              <w:pStyle w:val="TableText"/>
              <w:keepNext/>
              <w:keepLines/>
              <w:widowControl/>
              <w:rPr>
                <w:lang w:val="en-AU"/>
              </w:rPr>
            </w:pPr>
            <w:r w:rsidRPr="000A7BB0">
              <w:rPr>
                <w:lang w:val="en-AU"/>
              </w:rPr>
              <w:t>Clinical claim</w:t>
            </w:r>
          </w:p>
        </w:tc>
        <w:tc>
          <w:tcPr>
            <w:tcW w:w="7603" w:type="dxa"/>
          </w:tcPr>
          <w:p w14:paraId="6D729FD5" w14:textId="77777777" w:rsidR="00C905D6" w:rsidRPr="000A7BB0" w:rsidRDefault="00C905D6" w:rsidP="002553CE">
            <w:pPr>
              <w:pStyle w:val="TableText"/>
              <w:keepNext/>
              <w:keepLines/>
              <w:widowControl/>
              <w:cnfStyle w:val="000000000000" w:firstRow="0" w:lastRow="0" w:firstColumn="0" w:lastColumn="0" w:oddVBand="0" w:evenVBand="0" w:oddHBand="0" w:evenHBand="0" w:firstRowFirstColumn="0" w:firstRowLastColumn="0" w:lastRowFirstColumn="0" w:lastRowLastColumn="0"/>
              <w:rPr>
                <w:lang w:val="en-AU"/>
              </w:rPr>
            </w:pPr>
            <w:r w:rsidRPr="000A7BB0">
              <w:rPr>
                <w:lang w:val="en-AU"/>
              </w:rPr>
              <w:t xml:space="preserve">In men and postmenopausal women with ER+/HER2- mBC, who have disease progression following at least one line of ET, including a CDK4/6i, with </w:t>
            </w:r>
            <w:r w:rsidRPr="000A7BB0">
              <w:rPr>
                <w:i/>
                <w:lang w:val="en-AU"/>
              </w:rPr>
              <w:t xml:space="preserve">ESR1 </w:t>
            </w:r>
            <w:r w:rsidRPr="000A7BB0">
              <w:rPr>
                <w:lang w:val="en-AU"/>
              </w:rPr>
              <w:t>variants identified by NGS testing of ctDNA extracted from blood (liquid biopsy), elacestrant is superior to SOC in terms of effectiveness with a different and manageable safety profile.</w:t>
            </w:r>
          </w:p>
        </w:tc>
      </w:tr>
    </w:tbl>
    <w:p w14:paraId="51C73DC2" w14:textId="77777777" w:rsidR="00C905D6" w:rsidRPr="000A7BB0" w:rsidRDefault="00C905D6" w:rsidP="002553CE">
      <w:pPr>
        <w:keepNext/>
        <w:keepLines/>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Source: Table 1.1, p21 of the submission</w:t>
      </w:r>
    </w:p>
    <w:p w14:paraId="3C5F624E" w14:textId="62E9B465" w:rsidR="00C905D6" w:rsidRPr="000A7BB0" w:rsidRDefault="00C905D6" w:rsidP="002553CE">
      <w:pPr>
        <w:spacing w:before="0" w:after="0"/>
        <w:contextualSpacing/>
        <w:rPr>
          <w:rFonts w:ascii="Arial Narrow" w:eastAsia="Times New Roman" w:hAnsi="Arial Narrow" w:cs="Arial"/>
          <w:snapToGrid w:val="0"/>
          <w:sz w:val="18"/>
          <w:szCs w:val="18"/>
        </w:rPr>
      </w:pPr>
      <w:r w:rsidRPr="000A7BB0">
        <w:rPr>
          <w:rFonts w:ascii="Arial Narrow" w:eastAsia="Times New Roman" w:hAnsi="Arial Narrow" w:cs="Arial"/>
          <w:snapToGrid w:val="0"/>
          <w:sz w:val="18"/>
          <w:szCs w:val="18"/>
        </w:rPr>
        <w:t xml:space="preserve">AEs = adverse events; CDK4/6i = cyclin dependent kinase 4/6 inhibitors; CBR = clinical benefit rate; CR = complete response; ctDNA = circulating </w:t>
      </w:r>
      <w:r w:rsidR="2E00A12B" w:rsidRPr="000A7BB0">
        <w:rPr>
          <w:rFonts w:ascii="Arial Narrow" w:eastAsia="Times New Roman" w:hAnsi="Arial Narrow" w:cs="Arial"/>
          <w:snapToGrid w:val="0"/>
          <w:sz w:val="18"/>
          <w:szCs w:val="18"/>
        </w:rPr>
        <w:t>tumour</w:t>
      </w:r>
      <w:r w:rsidRPr="000A7BB0">
        <w:rPr>
          <w:rFonts w:ascii="Arial Narrow" w:eastAsia="Times New Roman" w:hAnsi="Arial Narrow" w:cs="Arial"/>
          <w:snapToGrid w:val="0"/>
          <w:sz w:val="18"/>
          <w:szCs w:val="18"/>
        </w:rPr>
        <w:t xml:space="preserve"> DNA; ddPCR = digital droplet polymerase chain reaction;</w:t>
      </w:r>
      <w:r w:rsidR="00B51309">
        <w:rPr>
          <w:rFonts w:ascii="Arial Narrow" w:eastAsia="Times New Roman" w:hAnsi="Arial Narrow" w:cs="Arial"/>
          <w:snapToGrid w:val="0"/>
          <w:sz w:val="18"/>
          <w:szCs w:val="18"/>
        </w:rPr>
        <w:t xml:space="preserve"> </w:t>
      </w:r>
      <w:r w:rsidRPr="000A7BB0">
        <w:rPr>
          <w:rFonts w:ascii="Arial Narrow" w:eastAsia="Times New Roman" w:hAnsi="Arial Narrow" w:cs="Arial"/>
          <w:snapToGrid w:val="0"/>
          <w:sz w:val="18"/>
          <w:szCs w:val="18"/>
        </w:rPr>
        <w:t xml:space="preserve">ER+/HER2- = estrogen receptor positive, human epidermal growth factor 2 negative;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 = estrogen receptor 1; ET = endocrine therapy; HRQoL = health-related quality of life; IM = intramuscular;</w:t>
      </w:r>
      <w:r w:rsidR="00B51309">
        <w:rPr>
          <w:rFonts w:ascii="Arial Narrow" w:eastAsia="Times New Roman" w:hAnsi="Arial Narrow" w:cs="Arial"/>
          <w:snapToGrid w:val="0"/>
          <w:sz w:val="18"/>
          <w:szCs w:val="18"/>
        </w:rPr>
        <w:t xml:space="preserve"> </w:t>
      </w:r>
      <w:r w:rsidRPr="000A7BB0">
        <w:rPr>
          <w:rFonts w:ascii="Arial Narrow" w:eastAsia="Times New Roman" w:hAnsi="Arial Narrow" w:cs="Arial"/>
          <w:snapToGrid w:val="0"/>
          <w:sz w:val="18"/>
          <w:szCs w:val="18"/>
        </w:rPr>
        <w:t>mBC = metastatic breast cancer; mg = milligram; NGS = next generation sequencing; ORR = overall response rate; NPV = negative predictive value; po = per oral; PPV = positive predictive value; PR = partial response; qPCR = quantitative polymerase chain reaction; OS = overall survival; PFS = progression-free survival; SD = stable disease; SOC = standard of care.</w:t>
      </w:r>
    </w:p>
    <w:p w14:paraId="1AD832E5" w14:textId="77777777" w:rsidR="00E1003A" w:rsidRPr="000A7BB0" w:rsidRDefault="00E1003A" w:rsidP="002553CE">
      <w:pPr>
        <w:pStyle w:val="PBACESHeading1"/>
        <w:numPr>
          <w:ilvl w:val="0"/>
          <w:numId w:val="11"/>
        </w:numPr>
        <w:tabs>
          <w:tab w:val="clear" w:pos="1077"/>
        </w:tabs>
      </w:pPr>
      <w:bookmarkStart w:id="3" w:name="_Toc487029150"/>
      <w:bookmarkStart w:id="4" w:name="_Toc188374355"/>
      <w:r w:rsidRPr="000A7BB0">
        <w:t>Background</w:t>
      </w:r>
      <w:bookmarkEnd w:id="3"/>
      <w:bookmarkEnd w:id="4"/>
    </w:p>
    <w:p w14:paraId="7CBFB7A1" w14:textId="77777777" w:rsidR="009C4F22" w:rsidRPr="000A7BB0" w:rsidRDefault="008D7BF5" w:rsidP="002553CE">
      <w:pPr>
        <w:pStyle w:val="OutlineHeading2"/>
        <w:rPr>
          <w:rFonts w:ascii="Calibri" w:hAnsi="Calibri" w:cs="Calibri"/>
        </w:rPr>
      </w:pPr>
      <w:r w:rsidRPr="000A7BB0">
        <w:rPr>
          <w:rFonts w:ascii="Calibri" w:hAnsi="Calibri" w:cs="Calibri"/>
        </w:rPr>
        <w:t xml:space="preserve">Registration </w:t>
      </w:r>
      <w:r w:rsidR="00854EF0" w:rsidRPr="000A7BB0">
        <w:rPr>
          <w:rFonts w:ascii="Calibri" w:hAnsi="Calibri" w:cs="Calibri"/>
        </w:rPr>
        <w:t>st</w:t>
      </w:r>
      <w:r w:rsidRPr="000A7BB0">
        <w:rPr>
          <w:rFonts w:ascii="Calibri" w:hAnsi="Calibri" w:cs="Calibri"/>
        </w:rPr>
        <w:t>atus</w:t>
      </w:r>
    </w:p>
    <w:p w14:paraId="70F92C3A" w14:textId="62E465E7" w:rsidR="00C905D6" w:rsidRPr="000A7BB0" w:rsidRDefault="00C905D6" w:rsidP="002553CE">
      <w:pPr>
        <w:numPr>
          <w:ilvl w:val="4"/>
          <w:numId w:val="11"/>
        </w:numPr>
        <w:ind w:left="709" w:hanging="709"/>
        <w:rPr>
          <w:color w:val="000000" w:themeColor="text1"/>
        </w:rPr>
      </w:pPr>
      <w:bookmarkStart w:id="5" w:name="_Toc476306884"/>
      <w:bookmarkStart w:id="6" w:name="_Toc413139275"/>
      <w:r w:rsidRPr="000A7BB0">
        <w:rPr>
          <w:color w:val="000000" w:themeColor="text1"/>
        </w:rPr>
        <w:t xml:space="preserve">The submission was made under the Therapeutic Goods Administration (TGA)/Pharmaceutical Benefits Advisory Committee (PBAC) Parallel Process. </w:t>
      </w:r>
    </w:p>
    <w:p w14:paraId="0E65314E" w14:textId="0BB8649C" w:rsidR="0066540E" w:rsidRPr="004C6921" w:rsidRDefault="00C905D6" w:rsidP="002553CE">
      <w:pPr>
        <w:numPr>
          <w:ilvl w:val="4"/>
          <w:numId w:val="11"/>
        </w:numPr>
        <w:ind w:left="709" w:hanging="709"/>
        <w:rPr>
          <w:color w:val="000000" w:themeColor="text1"/>
        </w:rPr>
      </w:pPr>
      <w:r w:rsidRPr="004C6921">
        <w:rPr>
          <w:color w:val="000000" w:themeColor="text1"/>
        </w:rPr>
        <w:t xml:space="preserve">Elacestrant </w:t>
      </w:r>
      <w:r w:rsidRPr="005B0762">
        <w:rPr>
          <w:color w:val="000000" w:themeColor="text1"/>
        </w:rPr>
        <w:t xml:space="preserve">was </w:t>
      </w:r>
      <w:bookmarkStart w:id="7" w:name="_Hlk203374434"/>
      <w:r w:rsidR="00ED3965" w:rsidRPr="00CC5A07">
        <w:rPr>
          <w:color w:val="000000" w:themeColor="text1"/>
          <w:w w:val="55"/>
          <w:shd w:val="solid" w:color="000000" w:fill="000000"/>
          <w:fitText w:val="6520" w:id="-680369408"/>
          <w14:textFill>
            <w14:solidFill>
              <w14:schemeClr w14:val="tx1">
                <w14:alpha w14:val="100000"/>
              </w14:schemeClr>
            </w14:solidFill>
          </w14:textFill>
        </w:rPr>
        <w:t>|||||||||||||||||||||||||||||||||||||||||||||||||||||</w:t>
      </w:r>
      <w:r w:rsidR="00B51309" w:rsidRPr="00CC5A07">
        <w:rPr>
          <w:color w:val="000000" w:themeColor="text1"/>
          <w:w w:val="55"/>
          <w:shd w:val="solid" w:color="000000" w:fill="000000"/>
          <w:fitText w:val="6520" w:id="-680369408"/>
          <w14:textFill>
            <w14:solidFill>
              <w14:schemeClr w14:val="tx1">
                <w14:alpha w14:val="100000"/>
              </w14:schemeClr>
            </w14:solidFill>
          </w14:textFill>
        </w:rPr>
        <w:t xml:space="preserve"> </w:t>
      </w:r>
      <w:r w:rsidR="00ED3965" w:rsidRPr="00CC5A07">
        <w:rPr>
          <w:color w:val="000000" w:themeColor="text1"/>
          <w:w w:val="55"/>
          <w:shd w:val="solid" w:color="000000" w:fill="000000"/>
          <w:fitText w:val="6520" w:id="-680369408"/>
          <w14:textFill>
            <w14:solidFill>
              <w14:schemeClr w14:val="tx1">
                <w14:alpha w14:val="100000"/>
              </w14:schemeClr>
            </w14:solidFill>
          </w14:textFill>
        </w:rPr>
        <w:t>||||||||||||||||||||||||||||||||||||||||||||||||||||</w:t>
      </w:r>
      <w:r w:rsidR="00ED3965" w:rsidRPr="00CC5A07">
        <w:rPr>
          <w:color w:val="000000" w:themeColor="text1"/>
          <w:spacing w:val="55"/>
          <w:w w:val="55"/>
          <w:shd w:val="solid" w:color="000000" w:fill="000000"/>
          <w:fitText w:val="6520" w:id="-680369408"/>
          <w14:textFill>
            <w14:solidFill>
              <w14:schemeClr w14:val="tx1">
                <w14:alpha w14:val="100000"/>
              </w14:schemeClr>
            </w14:solidFill>
          </w14:textFill>
        </w:rPr>
        <w:t>|</w:t>
      </w:r>
      <w:r w:rsidR="00ED3965">
        <w:rPr>
          <w:color w:val="000000" w:themeColor="text1"/>
        </w:rPr>
        <w:t xml:space="preserve"> </w:t>
      </w:r>
      <w:r w:rsidR="00ED3965" w:rsidRPr="00CC5A07">
        <w:rPr>
          <w:color w:val="000000" w:themeColor="text1"/>
          <w:w w:val="54"/>
          <w:shd w:val="solid" w:color="000000" w:fill="000000"/>
          <w:fitText w:val="7520" w:id="-680369407"/>
          <w14:textFill>
            <w14:solidFill>
              <w14:schemeClr w14:val="tx1">
                <w14:alpha w14:val="100000"/>
              </w14:schemeClr>
            </w14:solidFill>
          </w14:textFill>
        </w:rPr>
        <w:t>||||||||||||||||||||||||||||||||||||||||||||||||||||||||||||||</w:t>
      </w:r>
      <w:r w:rsidR="00B51309" w:rsidRPr="00CC5A07">
        <w:rPr>
          <w:color w:val="000000" w:themeColor="text1"/>
          <w:w w:val="54"/>
          <w:shd w:val="solid" w:color="000000" w:fill="000000"/>
          <w:fitText w:val="7520" w:id="-680369407"/>
          <w14:textFill>
            <w14:solidFill>
              <w14:schemeClr w14:val="tx1">
                <w14:alpha w14:val="100000"/>
              </w14:schemeClr>
            </w14:solidFill>
          </w14:textFill>
        </w:rPr>
        <w:t xml:space="preserve"> </w:t>
      </w:r>
      <w:r w:rsidR="00ED3965" w:rsidRPr="00CC5A07">
        <w:rPr>
          <w:color w:val="000000" w:themeColor="text1"/>
          <w:w w:val="54"/>
          <w:shd w:val="solid" w:color="000000" w:fill="000000"/>
          <w:fitText w:val="7520" w:id="-680369407"/>
          <w14:textFill>
            <w14:solidFill>
              <w14:schemeClr w14:val="tx1">
                <w14:alpha w14:val="100000"/>
              </w14:schemeClr>
            </w14:solidFill>
          </w14:textFill>
        </w:rPr>
        <w:t>|||||||||||||||||||||||||||||||||||||||||||||||||||||||||||||</w:t>
      </w:r>
      <w:r w:rsidR="00ED3965" w:rsidRPr="00CC5A07">
        <w:rPr>
          <w:color w:val="000000" w:themeColor="text1"/>
          <w:spacing w:val="94"/>
          <w:w w:val="54"/>
          <w:shd w:val="solid" w:color="000000" w:fill="000000"/>
          <w:fitText w:val="7520" w:id="-680369407"/>
          <w14:textFill>
            <w14:solidFill>
              <w14:schemeClr w14:val="tx1">
                <w14:alpha w14:val="100000"/>
              </w14:schemeClr>
            </w14:solidFill>
          </w14:textFill>
        </w:rPr>
        <w:t>|</w:t>
      </w:r>
      <w:r w:rsidR="00ED3965">
        <w:rPr>
          <w:color w:val="000000" w:themeColor="text1"/>
        </w:rPr>
        <w:t xml:space="preserve"> </w:t>
      </w:r>
      <w:r w:rsidR="00ED3965" w:rsidRPr="00CC5A07">
        <w:rPr>
          <w:color w:val="000000" w:themeColor="text1"/>
          <w:w w:val="55"/>
          <w:shd w:val="solid" w:color="000000" w:fill="000000"/>
          <w:fitText w:val="7460" w:id="-680369406"/>
          <w14:textFill>
            <w14:solidFill>
              <w14:schemeClr w14:val="tx1">
                <w14:alpha w14:val="100000"/>
              </w14:schemeClr>
            </w14:solidFill>
          </w14:textFill>
        </w:rPr>
        <w:t>|||||||||||||||||||||||||||||||||||||||||||||||||||||||||||||</w:t>
      </w:r>
      <w:r w:rsidR="00B51309" w:rsidRPr="00CC5A07">
        <w:rPr>
          <w:color w:val="000000" w:themeColor="text1"/>
          <w:w w:val="55"/>
          <w:shd w:val="solid" w:color="000000" w:fill="000000"/>
          <w:fitText w:val="7460" w:id="-680369406"/>
          <w14:textFill>
            <w14:solidFill>
              <w14:schemeClr w14:val="tx1">
                <w14:alpha w14:val="100000"/>
              </w14:schemeClr>
            </w14:solidFill>
          </w14:textFill>
        </w:rPr>
        <w:t xml:space="preserve"> </w:t>
      </w:r>
      <w:r w:rsidR="00ED3965" w:rsidRPr="00CC5A07">
        <w:rPr>
          <w:color w:val="000000" w:themeColor="text1"/>
          <w:w w:val="55"/>
          <w:shd w:val="solid" w:color="000000" w:fill="000000"/>
          <w:fitText w:val="7460" w:id="-680369406"/>
          <w14:textFill>
            <w14:solidFill>
              <w14:schemeClr w14:val="tx1">
                <w14:alpha w14:val="100000"/>
              </w14:schemeClr>
            </w14:solidFill>
          </w14:textFill>
        </w:rPr>
        <w:t>||||||||||||||||||||||||||||||||||||||||||||||||||||||||||||</w:t>
      </w:r>
      <w:r w:rsidR="00ED3965" w:rsidRPr="00CC5A07">
        <w:rPr>
          <w:color w:val="000000" w:themeColor="text1"/>
          <w:spacing w:val="24"/>
          <w:w w:val="55"/>
          <w:shd w:val="solid" w:color="000000" w:fill="000000"/>
          <w:fitText w:val="7460" w:id="-680369406"/>
          <w14:textFill>
            <w14:solidFill>
              <w14:schemeClr w14:val="tx1">
                <w14:alpha w14:val="100000"/>
              </w14:schemeClr>
            </w14:solidFill>
          </w14:textFill>
        </w:rPr>
        <w:t>|</w:t>
      </w:r>
      <w:r w:rsidR="00ED3965">
        <w:rPr>
          <w:color w:val="000000" w:themeColor="text1"/>
        </w:rPr>
        <w:t xml:space="preserve"> </w:t>
      </w:r>
      <w:r w:rsidR="00ED3965" w:rsidRPr="00CC5A07">
        <w:rPr>
          <w:color w:val="000000" w:themeColor="text1"/>
          <w:w w:val="55"/>
          <w:shd w:val="solid" w:color="000000" w:fill="000000"/>
          <w:fitText w:val="7470" w:id="-680369405"/>
          <w14:textFill>
            <w14:solidFill>
              <w14:schemeClr w14:val="tx1">
                <w14:alpha w14:val="100000"/>
              </w14:schemeClr>
            </w14:solidFill>
          </w14:textFill>
        </w:rPr>
        <w:t>|||||||||||||||||||||||||||||||||||||||||||||||||||||||||||||</w:t>
      </w:r>
      <w:r w:rsidR="00B51309" w:rsidRPr="00CC5A07">
        <w:rPr>
          <w:color w:val="000000" w:themeColor="text1"/>
          <w:w w:val="55"/>
          <w:shd w:val="solid" w:color="000000" w:fill="000000"/>
          <w:fitText w:val="7470" w:id="-680369405"/>
          <w14:textFill>
            <w14:solidFill>
              <w14:schemeClr w14:val="tx1">
                <w14:alpha w14:val="100000"/>
              </w14:schemeClr>
            </w14:solidFill>
          </w14:textFill>
        </w:rPr>
        <w:t xml:space="preserve"> </w:t>
      </w:r>
      <w:r w:rsidR="00ED3965" w:rsidRPr="00CC5A07">
        <w:rPr>
          <w:color w:val="000000" w:themeColor="text1"/>
          <w:w w:val="55"/>
          <w:shd w:val="solid" w:color="000000" w:fill="000000"/>
          <w:fitText w:val="7470" w:id="-680369405"/>
          <w14:textFill>
            <w14:solidFill>
              <w14:schemeClr w14:val="tx1">
                <w14:alpha w14:val="100000"/>
              </w14:schemeClr>
            </w14:solidFill>
          </w14:textFill>
        </w:rPr>
        <w:t>||||||||||||||||||||||||||||||||||||||||||||||||||||||||||||</w:t>
      </w:r>
      <w:r w:rsidR="00ED3965" w:rsidRPr="00CC5A07">
        <w:rPr>
          <w:color w:val="000000" w:themeColor="text1"/>
          <w:spacing w:val="34"/>
          <w:w w:val="55"/>
          <w:shd w:val="solid" w:color="000000" w:fill="000000"/>
          <w:fitText w:val="7470" w:id="-680369405"/>
          <w14:textFill>
            <w14:solidFill>
              <w14:schemeClr w14:val="tx1">
                <w14:alpha w14:val="100000"/>
              </w14:schemeClr>
            </w14:solidFill>
          </w14:textFill>
        </w:rPr>
        <w:t>|</w:t>
      </w:r>
      <w:r w:rsidR="00ED3965">
        <w:rPr>
          <w:color w:val="000000" w:themeColor="text1"/>
        </w:rPr>
        <w:t xml:space="preserve"> </w:t>
      </w:r>
      <w:r w:rsidR="00ED3965" w:rsidRPr="004F224A">
        <w:rPr>
          <w:color w:val="000000" w:themeColor="text1"/>
          <w:w w:val="15"/>
          <w:shd w:val="solid" w:color="000000" w:fill="000000"/>
          <w:fitText w:val="-20" w:id="-680369404"/>
          <w14:textFill>
            <w14:solidFill>
              <w14:schemeClr w14:val="tx1">
                <w14:alpha w14:val="100000"/>
              </w14:schemeClr>
            </w14:solidFill>
          </w14:textFill>
        </w:rPr>
        <w:t>|</w:t>
      </w:r>
      <w:r w:rsidR="00B51309" w:rsidRPr="004F224A">
        <w:rPr>
          <w:color w:val="000000" w:themeColor="text1"/>
          <w:w w:val="15"/>
          <w:shd w:val="solid" w:color="000000" w:fill="000000"/>
          <w:fitText w:val="-20" w:id="-680369404"/>
          <w14:textFill>
            <w14:solidFill>
              <w14:schemeClr w14:val="tx1">
                <w14:alpha w14:val="100000"/>
              </w14:schemeClr>
            </w14:solidFill>
          </w14:textFill>
        </w:rPr>
        <w:t xml:space="preserve"> </w:t>
      </w:r>
      <w:r w:rsidR="00ED3965" w:rsidRPr="004F224A">
        <w:rPr>
          <w:color w:val="000000" w:themeColor="text1"/>
          <w:spacing w:val="-61"/>
          <w:w w:val="15"/>
          <w:shd w:val="solid" w:color="000000" w:fill="000000"/>
          <w:fitText w:val="-20" w:id="-680369404"/>
          <w14:textFill>
            <w14:solidFill>
              <w14:schemeClr w14:val="tx1">
                <w14:alpha w14:val="100000"/>
              </w14:schemeClr>
            </w14:solidFill>
          </w14:textFill>
        </w:rPr>
        <w:t>|</w:t>
      </w:r>
      <w:r w:rsidR="00ED3965">
        <w:rPr>
          <w:color w:val="000000" w:themeColor="text1"/>
        </w:rPr>
        <w:t xml:space="preserve"> </w:t>
      </w:r>
      <w:r w:rsidR="00ED3965" w:rsidRPr="004F224A">
        <w:rPr>
          <w:color w:val="000000" w:themeColor="text1"/>
          <w:w w:val="15"/>
          <w:shd w:val="solid" w:color="000000" w:fill="000000"/>
          <w:fitText w:val="-20" w:id="-680369403"/>
          <w14:textFill>
            <w14:solidFill>
              <w14:schemeClr w14:val="tx1">
                <w14:alpha w14:val="100000"/>
              </w14:schemeClr>
            </w14:solidFill>
          </w14:textFill>
        </w:rPr>
        <w:t>|</w:t>
      </w:r>
      <w:r w:rsidR="00B51309" w:rsidRPr="004F224A">
        <w:rPr>
          <w:color w:val="000000" w:themeColor="text1"/>
          <w:w w:val="15"/>
          <w:shd w:val="solid" w:color="000000" w:fill="000000"/>
          <w:fitText w:val="-20" w:id="-680369403"/>
          <w14:textFill>
            <w14:solidFill>
              <w14:schemeClr w14:val="tx1">
                <w14:alpha w14:val="100000"/>
              </w14:schemeClr>
            </w14:solidFill>
          </w14:textFill>
        </w:rPr>
        <w:t xml:space="preserve"> </w:t>
      </w:r>
      <w:r w:rsidR="00ED3965" w:rsidRPr="004F224A">
        <w:rPr>
          <w:color w:val="000000" w:themeColor="text1"/>
          <w:spacing w:val="-61"/>
          <w:w w:val="15"/>
          <w:shd w:val="solid" w:color="000000" w:fill="000000"/>
          <w:fitText w:val="-20" w:id="-680369403"/>
          <w14:textFill>
            <w14:solidFill>
              <w14:schemeClr w14:val="tx1">
                <w14:alpha w14:val="100000"/>
              </w14:schemeClr>
            </w14:solidFill>
          </w14:textFill>
        </w:rPr>
        <w:t>|</w:t>
      </w:r>
      <w:r w:rsidR="00ED3965">
        <w:rPr>
          <w:color w:val="000000" w:themeColor="text1"/>
        </w:rPr>
        <w:t xml:space="preserve"> </w:t>
      </w:r>
      <w:r w:rsidR="00ED3965" w:rsidRPr="004F224A">
        <w:rPr>
          <w:color w:val="000000" w:themeColor="text1"/>
          <w:w w:val="15"/>
          <w:shd w:val="solid" w:color="000000" w:fill="000000"/>
          <w:fitText w:val="-20" w:id="-680369402"/>
          <w14:textFill>
            <w14:solidFill>
              <w14:schemeClr w14:val="tx1">
                <w14:alpha w14:val="100000"/>
              </w14:schemeClr>
            </w14:solidFill>
          </w14:textFill>
        </w:rPr>
        <w:t>|</w:t>
      </w:r>
      <w:r w:rsidR="00B51309" w:rsidRPr="004F224A">
        <w:rPr>
          <w:color w:val="000000" w:themeColor="text1"/>
          <w:w w:val="15"/>
          <w:shd w:val="solid" w:color="000000" w:fill="000000"/>
          <w:fitText w:val="-20" w:id="-680369402"/>
          <w14:textFill>
            <w14:solidFill>
              <w14:schemeClr w14:val="tx1">
                <w14:alpha w14:val="100000"/>
              </w14:schemeClr>
            </w14:solidFill>
          </w14:textFill>
        </w:rPr>
        <w:t xml:space="preserve"> </w:t>
      </w:r>
      <w:r w:rsidR="00ED3965" w:rsidRPr="004F224A">
        <w:rPr>
          <w:color w:val="000000" w:themeColor="text1"/>
          <w:spacing w:val="-61"/>
          <w:w w:val="15"/>
          <w:shd w:val="solid" w:color="000000" w:fill="000000"/>
          <w:fitText w:val="-20" w:id="-680369402"/>
          <w14:textFill>
            <w14:solidFill>
              <w14:schemeClr w14:val="tx1">
                <w14:alpha w14:val="100000"/>
              </w14:schemeClr>
            </w14:solidFill>
          </w14:textFill>
        </w:rPr>
        <w:t>|</w:t>
      </w:r>
      <w:r w:rsidR="00ED3965">
        <w:rPr>
          <w:color w:val="000000" w:themeColor="text1"/>
        </w:rPr>
        <w:t xml:space="preserve"> </w:t>
      </w:r>
      <w:r w:rsidR="00ED3965" w:rsidRPr="004F224A">
        <w:rPr>
          <w:color w:val="000000" w:themeColor="text1"/>
          <w:w w:val="15"/>
          <w:shd w:val="solid" w:color="000000" w:fill="000000"/>
          <w:fitText w:val="-20" w:id="-680369401"/>
          <w14:textFill>
            <w14:solidFill>
              <w14:schemeClr w14:val="tx1">
                <w14:alpha w14:val="100000"/>
              </w14:schemeClr>
            </w14:solidFill>
          </w14:textFill>
        </w:rPr>
        <w:t>|</w:t>
      </w:r>
      <w:r w:rsidR="00B51309" w:rsidRPr="004F224A">
        <w:rPr>
          <w:color w:val="000000" w:themeColor="text1"/>
          <w:w w:val="15"/>
          <w:shd w:val="solid" w:color="000000" w:fill="000000"/>
          <w:fitText w:val="-20" w:id="-680369401"/>
          <w14:textFill>
            <w14:solidFill>
              <w14:schemeClr w14:val="tx1">
                <w14:alpha w14:val="100000"/>
              </w14:schemeClr>
            </w14:solidFill>
          </w14:textFill>
        </w:rPr>
        <w:t xml:space="preserve"> </w:t>
      </w:r>
      <w:r w:rsidR="00ED3965" w:rsidRPr="004F224A">
        <w:rPr>
          <w:color w:val="000000" w:themeColor="text1"/>
          <w:spacing w:val="-61"/>
          <w:w w:val="15"/>
          <w:shd w:val="solid" w:color="000000" w:fill="000000"/>
          <w:fitText w:val="-20" w:id="-680369401"/>
          <w14:textFill>
            <w14:solidFill>
              <w14:schemeClr w14:val="tx1">
                <w14:alpha w14:val="100000"/>
              </w14:schemeClr>
            </w14:solidFill>
          </w14:textFill>
        </w:rPr>
        <w:t>|</w:t>
      </w:r>
      <w:r w:rsidR="00ED3965">
        <w:rPr>
          <w:color w:val="000000" w:themeColor="text1"/>
        </w:rPr>
        <w:t xml:space="preserve"> </w:t>
      </w:r>
      <w:r w:rsidR="00ED3965" w:rsidRPr="00CC5A07">
        <w:rPr>
          <w:color w:val="000000" w:themeColor="text1"/>
          <w:w w:val="55"/>
          <w:shd w:val="solid" w:color="000000" w:fill="000000"/>
          <w:fitText w:val="7480" w:id="-680369400"/>
          <w14:textFill>
            <w14:solidFill>
              <w14:schemeClr w14:val="tx1">
                <w14:alpha w14:val="100000"/>
              </w14:schemeClr>
            </w14:solidFill>
          </w14:textFill>
        </w:rPr>
        <w:t>|||||||||||||||||||||||||||||||||||||||||||||||||||||||||||||</w:t>
      </w:r>
      <w:r w:rsidR="00B51309" w:rsidRPr="00CC5A07">
        <w:rPr>
          <w:color w:val="000000" w:themeColor="text1"/>
          <w:w w:val="55"/>
          <w:shd w:val="solid" w:color="000000" w:fill="000000"/>
          <w:fitText w:val="7480" w:id="-680369400"/>
          <w14:textFill>
            <w14:solidFill>
              <w14:schemeClr w14:val="tx1">
                <w14:alpha w14:val="100000"/>
              </w14:schemeClr>
            </w14:solidFill>
          </w14:textFill>
        </w:rPr>
        <w:t xml:space="preserve"> </w:t>
      </w:r>
      <w:r w:rsidR="00ED3965" w:rsidRPr="00CC5A07">
        <w:rPr>
          <w:color w:val="000000" w:themeColor="text1"/>
          <w:w w:val="55"/>
          <w:shd w:val="solid" w:color="000000" w:fill="000000"/>
          <w:fitText w:val="7480" w:id="-680369400"/>
          <w14:textFill>
            <w14:solidFill>
              <w14:schemeClr w14:val="tx1">
                <w14:alpha w14:val="100000"/>
              </w14:schemeClr>
            </w14:solidFill>
          </w14:textFill>
        </w:rPr>
        <w:t>||||||||||||||||||||||||||||||||||||||||||||||||||||||||||||</w:t>
      </w:r>
      <w:r w:rsidR="00ED3965" w:rsidRPr="00CC5A07">
        <w:rPr>
          <w:color w:val="000000" w:themeColor="text1"/>
          <w:spacing w:val="44"/>
          <w:w w:val="55"/>
          <w:shd w:val="solid" w:color="000000" w:fill="000000"/>
          <w:fitText w:val="7480" w:id="-680369400"/>
          <w14:textFill>
            <w14:solidFill>
              <w14:schemeClr w14:val="tx1">
                <w14:alpha w14:val="100000"/>
              </w14:schemeClr>
            </w14:solidFill>
          </w14:textFill>
        </w:rPr>
        <w:t>|</w:t>
      </w:r>
      <w:r w:rsidR="00ED3965">
        <w:rPr>
          <w:color w:val="000000" w:themeColor="text1"/>
        </w:rPr>
        <w:t xml:space="preserve"> </w:t>
      </w:r>
      <w:r w:rsidR="00ED3965" w:rsidRPr="00CC5A07">
        <w:rPr>
          <w:color w:val="000000" w:themeColor="text1"/>
          <w:w w:val="55"/>
          <w:shd w:val="solid" w:color="000000" w:fill="000000"/>
          <w:fitText w:val="7470" w:id="-680369399"/>
          <w14:textFill>
            <w14:solidFill>
              <w14:schemeClr w14:val="tx1">
                <w14:alpha w14:val="100000"/>
              </w14:schemeClr>
            </w14:solidFill>
          </w14:textFill>
        </w:rPr>
        <w:lastRenderedPageBreak/>
        <w:t>|||||||||||||||||||||||||||||||||||||||||||||||||||||||||||||</w:t>
      </w:r>
      <w:r w:rsidR="00B51309" w:rsidRPr="00CC5A07">
        <w:rPr>
          <w:color w:val="000000" w:themeColor="text1"/>
          <w:w w:val="55"/>
          <w:shd w:val="solid" w:color="000000" w:fill="000000"/>
          <w:fitText w:val="7470" w:id="-680369399"/>
          <w14:textFill>
            <w14:solidFill>
              <w14:schemeClr w14:val="tx1">
                <w14:alpha w14:val="100000"/>
              </w14:schemeClr>
            </w14:solidFill>
          </w14:textFill>
        </w:rPr>
        <w:t xml:space="preserve"> </w:t>
      </w:r>
      <w:r w:rsidR="00ED3965" w:rsidRPr="00CC5A07">
        <w:rPr>
          <w:color w:val="000000" w:themeColor="text1"/>
          <w:w w:val="55"/>
          <w:shd w:val="solid" w:color="000000" w:fill="000000"/>
          <w:fitText w:val="7470" w:id="-680369399"/>
          <w14:textFill>
            <w14:solidFill>
              <w14:schemeClr w14:val="tx1">
                <w14:alpha w14:val="100000"/>
              </w14:schemeClr>
            </w14:solidFill>
          </w14:textFill>
        </w:rPr>
        <w:t>||||||||||||||||||||||||||||||||||||||||||||||||||||||||||||</w:t>
      </w:r>
      <w:r w:rsidR="00ED3965" w:rsidRPr="00CC5A07">
        <w:rPr>
          <w:color w:val="000000" w:themeColor="text1"/>
          <w:spacing w:val="34"/>
          <w:w w:val="55"/>
          <w:shd w:val="solid" w:color="000000" w:fill="000000"/>
          <w:fitText w:val="7470" w:id="-680369399"/>
          <w14:textFill>
            <w14:solidFill>
              <w14:schemeClr w14:val="tx1">
                <w14:alpha w14:val="100000"/>
              </w14:schemeClr>
            </w14:solidFill>
          </w14:textFill>
        </w:rPr>
        <w:t>|</w:t>
      </w:r>
      <w:r w:rsidR="00ED3965">
        <w:rPr>
          <w:color w:val="000000" w:themeColor="text1"/>
        </w:rPr>
        <w:t xml:space="preserve"> </w:t>
      </w:r>
      <w:r w:rsidR="00ED3965" w:rsidRPr="004F224A">
        <w:rPr>
          <w:color w:val="000000" w:themeColor="text1"/>
          <w:w w:val="15"/>
          <w:shd w:val="solid" w:color="000000" w:fill="000000"/>
          <w:fitText w:val="-20" w:id="-680369398"/>
          <w14:textFill>
            <w14:solidFill>
              <w14:schemeClr w14:val="tx1">
                <w14:alpha w14:val="100000"/>
              </w14:schemeClr>
            </w14:solidFill>
          </w14:textFill>
        </w:rPr>
        <w:t>|</w:t>
      </w:r>
      <w:r w:rsidR="00B51309" w:rsidRPr="004F224A">
        <w:rPr>
          <w:color w:val="000000" w:themeColor="text1"/>
          <w:w w:val="15"/>
          <w:shd w:val="solid" w:color="000000" w:fill="000000"/>
          <w:fitText w:val="-20" w:id="-680369398"/>
          <w14:textFill>
            <w14:solidFill>
              <w14:schemeClr w14:val="tx1">
                <w14:alpha w14:val="100000"/>
              </w14:schemeClr>
            </w14:solidFill>
          </w14:textFill>
        </w:rPr>
        <w:t xml:space="preserve"> </w:t>
      </w:r>
      <w:r w:rsidR="00ED3965" w:rsidRPr="004F224A">
        <w:rPr>
          <w:color w:val="000000" w:themeColor="text1"/>
          <w:spacing w:val="-61"/>
          <w:w w:val="15"/>
          <w:shd w:val="solid" w:color="000000" w:fill="000000"/>
          <w:fitText w:val="-20" w:id="-680369398"/>
          <w14:textFill>
            <w14:solidFill>
              <w14:schemeClr w14:val="tx1">
                <w14:alpha w14:val="100000"/>
              </w14:schemeClr>
            </w14:solidFill>
          </w14:textFill>
        </w:rPr>
        <w:t>|</w:t>
      </w:r>
      <w:r w:rsidR="00ED3965">
        <w:rPr>
          <w:color w:val="000000" w:themeColor="text1"/>
        </w:rPr>
        <w:t xml:space="preserve"> </w:t>
      </w:r>
      <w:r w:rsidR="00ED3965" w:rsidRPr="004F224A">
        <w:rPr>
          <w:color w:val="000000" w:themeColor="text1"/>
          <w:w w:val="15"/>
          <w:shd w:val="solid" w:color="000000" w:fill="000000"/>
          <w:fitText w:val="-20" w:id="-680369397"/>
          <w14:textFill>
            <w14:solidFill>
              <w14:schemeClr w14:val="tx1">
                <w14:alpha w14:val="100000"/>
              </w14:schemeClr>
            </w14:solidFill>
          </w14:textFill>
        </w:rPr>
        <w:t>|</w:t>
      </w:r>
      <w:r w:rsidR="00B51309" w:rsidRPr="004F224A">
        <w:rPr>
          <w:color w:val="000000" w:themeColor="text1"/>
          <w:w w:val="15"/>
          <w:shd w:val="solid" w:color="000000" w:fill="000000"/>
          <w:fitText w:val="-20" w:id="-680369397"/>
          <w14:textFill>
            <w14:solidFill>
              <w14:schemeClr w14:val="tx1">
                <w14:alpha w14:val="100000"/>
              </w14:schemeClr>
            </w14:solidFill>
          </w14:textFill>
        </w:rPr>
        <w:t xml:space="preserve"> </w:t>
      </w:r>
      <w:r w:rsidR="00ED3965" w:rsidRPr="004F224A">
        <w:rPr>
          <w:color w:val="000000" w:themeColor="text1"/>
          <w:spacing w:val="-61"/>
          <w:w w:val="15"/>
          <w:shd w:val="solid" w:color="000000" w:fill="000000"/>
          <w:fitText w:val="-20" w:id="-680369397"/>
          <w14:textFill>
            <w14:solidFill>
              <w14:schemeClr w14:val="tx1">
                <w14:alpha w14:val="100000"/>
              </w14:schemeClr>
            </w14:solidFill>
          </w14:textFill>
        </w:rPr>
        <w:t>|</w:t>
      </w:r>
      <w:r w:rsidR="00ED3965">
        <w:rPr>
          <w:color w:val="000000" w:themeColor="text1"/>
        </w:rPr>
        <w:t xml:space="preserve"> </w:t>
      </w:r>
      <w:r w:rsidR="00ED3965" w:rsidRPr="00B51309">
        <w:rPr>
          <w:color w:val="000000" w:themeColor="text1"/>
          <w:spacing w:val="5"/>
          <w:w w:val="30"/>
          <w:shd w:val="solid" w:color="000000" w:fill="000000"/>
          <w:fitText w:val="170" w:id="-680369396"/>
          <w14:textFill>
            <w14:solidFill>
              <w14:schemeClr w14:val="tx1">
                <w14:alpha w14:val="100000"/>
              </w14:schemeClr>
            </w14:solidFill>
          </w14:textFill>
        </w:rPr>
        <w:t>||</w:t>
      </w:r>
      <w:r w:rsidR="00B51309" w:rsidRPr="00B51309">
        <w:rPr>
          <w:color w:val="000000" w:themeColor="text1"/>
          <w:spacing w:val="5"/>
          <w:w w:val="30"/>
          <w:shd w:val="solid" w:color="000000" w:fill="000000"/>
          <w:fitText w:val="170" w:id="-680369396"/>
          <w14:textFill>
            <w14:solidFill>
              <w14:schemeClr w14:val="tx1">
                <w14:alpha w14:val="100000"/>
              </w14:schemeClr>
            </w14:solidFill>
          </w14:textFill>
        </w:rPr>
        <w:t xml:space="preserve"> </w:t>
      </w:r>
      <w:r w:rsidR="00ED3965" w:rsidRPr="00B51309">
        <w:rPr>
          <w:color w:val="000000" w:themeColor="text1"/>
          <w:spacing w:val="5"/>
          <w:w w:val="30"/>
          <w:shd w:val="solid" w:color="000000" w:fill="000000"/>
          <w:fitText w:val="170" w:id="-680369396"/>
          <w14:textFill>
            <w14:solidFill>
              <w14:schemeClr w14:val="tx1">
                <w14:alpha w14:val="100000"/>
              </w14:schemeClr>
            </w14:solidFill>
          </w14:textFill>
        </w:rPr>
        <w:t>|</w:t>
      </w:r>
      <w:r w:rsidR="00ED3965" w:rsidRPr="00B51309">
        <w:rPr>
          <w:color w:val="000000" w:themeColor="text1"/>
          <w:spacing w:val="2"/>
          <w:w w:val="30"/>
          <w:shd w:val="solid" w:color="000000" w:fill="000000"/>
          <w:fitText w:val="170" w:id="-680369396"/>
          <w14:textFill>
            <w14:solidFill>
              <w14:schemeClr w14:val="tx1">
                <w14:alpha w14:val="100000"/>
              </w14:schemeClr>
            </w14:solidFill>
          </w14:textFill>
        </w:rPr>
        <w:t>|</w:t>
      </w:r>
      <w:r w:rsidR="00CD3054" w:rsidRPr="00ED3965">
        <w:rPr>
          <w:rStyle w:val="FootnoteReference"/>
          <w:color w:val="000000" w:themeColor="text1"/>
        </w:rPr>
        <w:footnoteReference w:id="2"/>
      </w:r>
      <w:bookmarkEnd w:id="7"/>
      <w:r w:rsidR="00002B34" w:rsidRPr="004C6921">
        <w:rPr>
          <w:color w:val="000000" w:themeColor="text1"/>
        </w:rPr>
        <w:t xml:space="preserve"> </w:t>
      </w:r>
      <w:r w:rsidR="00F4744A" w:rsidRPr="004C6921">
        <w:rPr>
          <w:color w:val="000000" w:themeColor="text1"/>
        </w:rPr>
        <w:t>|</w:t>
      </w:r>
      <w:r w:rsidR="00B51309">
        <w:rPr>
          <w:color w:val="000000" w:themeColor="text1"/>
        </w:rPr>
        <w:t xml:space="preserve"> </w:t>
      </w:r>
      <w:r w:rsidR="00F4744A" w:rsidRPr="004C6921">
        <w:rPr>
          <w:color w:val="000000" w:themeColor="text1"/>
        </w:rPr>
        <w:t>|</w:t>
      </w:r>
      <w:r w:rsidR="001F65BC" w:rsidRPr="004C6921">
        <w:rPr>
          <w:color w:val="000000" w:themeColor="text1"/>
        </w:rPr>
        <w:t xml:space="preserve"> </w:t>
      </w:r>
      <w:r w:rsidR="00F4744A" w:rsidRPr="004C6921">
        <w:rPr>
          <w:color w:val="000000" w:themeColor="text1"/>
        </w:rPr>
        <w:t>|</w:t>
      </w:r>
      <w:r w:rsidR="00B51309">
        <w:rPr>
          <w:color w:val="000000" w:themeColor="text1"/>
        </w:rPr>
        <w:t xml:space="preserve"> </w:t>
      </w:r>
      <w:r w:rsidR="00F4744A" w:rsidRPr="004C6921">
        <w:rPr>
          <w:color w:val="000000" w:themeColor="text1"/>
        </w:rPr>
        <w:t>|</w:t>
      </w:r>
      <w:r w:rsidR="001F65BC" w:rsidRPr="004C6921">
        <w:rPr>
          <w:color w:val="000000" w:themeColor="text1"/>
        </w:rPr>
        <w:t xml:space="preserve"> </w:t>
      </w:r>
      <w:r w:rsidR="00F4744A" w:rsidRPr="004C6921">
        <w:rPr>
          <w:color w:val="000000" w:themeColor="text1"/>
        </w:rPr>
        <w:t>|</w:t>
      </w:r>
      <w:r w:rsidR="00B51309">
        <w:rPr>
          <w:color w:val="000000" w:themeColor="text1"/>
        </w:rPr>
        <w:t xml:space="preserve"> </w:t>
      </w:r>
      <w:r w:rsidR="00F4744A" w:rsidRPr="004C6921">
        <w:rPr>
          <w:color w:val="000000" w:themeColor="text1"/>
        </w:rPr>
        <w:t>|</w:t>
      </w:r>
      <w:r w:rsidR="00002B34" w:rsidRPr="004C6921">
        <w:rPr>
          <w:color w:val="000000" w:themeColor="text1"/>
        </w:rPr>
        <w:t>.</w:t>
      </w:r>
      <w:r w:rsidR="0066540E" w:rsidRPr="004C6921">
        <w:rPr>
          <w:color w:val="000000" w:themeColor="text1"/>
        </w:rPr>
        <w:t xml:space="preserve"> targeted treatment of estrogen receptor-positive, human epidermal growth factor receptor 2-negative (ER+/HER2-), locally advanced or metastatic breast cancer (mBC), with an activating ESR1 variant, in patients who have disease progression following at least one line of endocrine therapy (ET), including a cyclin-dependent kinase 4/6 inhibitor (CDK4/6i).</w:t>
      </w:r>
    </w:p>
    <w:p w14:paraId="271C0B14" w14:textId="2AB1FB6C" w:rsidR="00C905D6" w:rsidRPr="00D65422" w:rsidRDefault="00C905D6" w:rsidP="002553CE">
      <w:pPr>
        <w:numPr>
          <w:ilvl w:val="4"/>
          <w:numId w:val="11"/>
        </w:numPr>
        <w:ind w:left="709" w:hanging="709"/>
        <w:rPr>
          <w:color w:val="000000" w:themeColor="text1"/>
        </w:rPr>
      </w:pPr>
      <w:r w:rsidRPr="005F03F1">
        <w:rPr>
          <w:color w:val="000000" w:themeColor="text1"/>
        </w:rPr>
        <w:t xml:space="preserve">The </w:t>
      </w:r>
      <w:r w:rsidR="009076E1" w:rsidRPr="00CC5A07">
        <w:rPr>
          <w:color w:val="000000" w:themeColor="text1"/>
          <w:w w:val="54"/>
          <w:shd w:val="solid" w:color="000000" w:fill="000000"/>
          <w:fitText w:val="7780" w:id="-680369152"/>
          <w14:textFill>
            <w14:solidFill>
              <w14:schemeClr w14:val="tx1">
                <w14:alpha w14:val="100000"/>
              </w14:schemeClr>
            </w14:solidFill>
          </w14:textFill>
        </w:rPr>
        <w:t>||||||||||||||||||||||||||||||||||||||||||||||||||||||||||||||||</w:t>
      </w:r>
      <w:r w:rsidR="00B51309" w:rsidRPr="00CC5A07">
        <w:rPr>
          <w:color w:val="000000" w:themeColor="text1"/>
          <w:w w:val="54"/>
          <w:shd w:val="solid" w:color="000000" w:fill="000000"/>
          <w:fitText w:val="7780" w:id="-680369152"/>
          <w14:textFill>
            <w14:solidFill>
              <w14:schemeClr w14:val="tx1">
                <w14:alpha w14:val="100000"/>
              </w14:schemeClr>
            </w14:solidFill>
          </w14:textFill>
        </w:rPr>
        <w:t xml:space="preserve"> </w:t>
      </w:r>
      <w:r w:rsidR="009076E1" w:rsidRPr="00CC5A07">
        <w:rPr>
          <w:color w:val="000000" w:themeColor="text1"/>
          <w:w w:val="54"/>
          <w:shd w:val="solid" w:color="000000" w:fill="000000"/>
          <w:fitText w:val="7780" w:id="-680369152"/>
          <w14:textFill>
            <w14:solidFill>
              <w14:schemeClr w14:val="tx1">
                <w14:alpha w14:val="100000"/>
              </w14:schemeClr>
            </w14:solidFill>
          </w14:textFill>
        </w:rPr>
        <w:t>|||||||||||||||||||||||||||||||||||||||||||||||||||||||||||||||</w:t>
      </w:r>
      <w:r w:rsidR="009076E1" w:rsidRPr="00CC5A07">
        <w:rPr>
          <w:color w:val="000000" w:themeColor="text1"/>
          <w:spacing w:val="115"/>
          <w:w w:val="54"/>
          <w:shd w:val="solid" w:color="000000" w:fill="000000"/>
          <w:fitText w:val="7780" w:id="-680369152"/>
          <w14:textFill>
            <w14:solidFill>
              <w14:schemeClr w14:val="tx1">
                <w14:alpha w14:val="100000"/>
              </w14:schemeClr>
            </w14:solidFill>
          </w14:textFill>
        </w:rPr>
        <w:t>|</w:t>
      </w:r>
      <w:r w:rsidR="009076E1">
        <w:rPr>
          <w:color w:val="000000" w:themeColor="text1"/>
        </w:rPr>
        <w:t xml:space="preserve"> </w:t>
      </w:r>
      <w:r w:rsidR="009076E1" w:rsidRPr="00CC5A07">
        <w:rPr>
          <w:color w:val="000000" w:themeColor="text1"/>
          <w:w w:val="55"/>
          <w:shd w:val="solid" w:color="000000" w:fill="000000"/>
          <w:fitText w:val="7460" w:id="-680369151"/>
          <w14:textFill>
            <w14:solidFill>
              <w14:schemeClr w14:val="tx1">
                <w14:alpha w14:val="100000"/>
              </w14:schemeClr>
            </w14:solidFill>
          </w14:textFill>
        </w:rPr>
        <w:t>|||||||||||||||||||||||||||||||||||||||||||||||||||||||||||||</w:t>
      </w:r>
      <w:r w:rsidR="00B51309" w:rsidRPr="00CC5A07">
        <w:rPr>
          <w:color w:val="000000" w:themeColor="text1"/>
          <w:w w:val="55"/>
          <w:shd w:val="solid" w:color="000000" w:fill="000000"/>
          <w:fitText w:val="7460" w:id="-680369151"/>
          <w14:textFill>
            <w14:solidFill>
              <w14:schemeClr w14:val="tx1">
                <w14:alpha w14:val="100000"/>
              </w14:schemeClr>
            </w14:solidFill>
          </w14:textFill>
        </w:rPr>
        <w:t xml:space="preserve"> </w:t>
      </w:r>
      <w:r w:rsidR="009076E1" w:rsidRPr="00CC5A07">
        <w:rPr>
          <w:color w:val="000000" w:themeColor="text1"/>
          <w:w w:val="55"/>
          <w:shd w:val="solid" w:color="000000" w:fill="000000"/>
          <w:fitText w:val="7460" w:id="-680369151"/>
          <w14:textFill>
            <w14:solidFill>
              <w14:schemeClr w14:val="tx1">
                <w14:alpha w14:val="100000"/>
              </w14:schemeClr>
            </w14:solidFill>
          </w14:textFill>
        </w:rPr>
        <w:t>||||||||||||||||||||||||||||||||||||||||||||||||||||||||||||</w:t>
      </w:r>
      <w:r w:rsidR="009076E1" w:rsidRPr="00CC5A07">
        <w:rPr>
          <w:color w:val="000000" w:themeColor="text1"/>
          <w:spacing w:val="24"/>
          <w:w w:val="55"/>
          <w:shd w:val="solid" w:color="000000" w:fill="000000"/>
          <w:fitText w:val="7460" w:id="-680369151"/>
          <w14:textFill>
            <w14:solidFill>
              <w14:schemeClr w14:val="tx1">
                <w14:alpha w14:val="100000"/>
              </w14:schemeClr>
            </w14:solidFill>
          </w14:textFill>
        </w:rPr>
        <w:t>|</w:t>
      </w:r>
      <w:r w:rsidR="009076E1">
        <w:rPr>
          <w:color w:val="000000" w:themeColor="text1"/>
        </w:rPr>
        <w:t xml:space="preserve"> </w:t>
      </w:r>
      <w:r w:rsidR="009076E1" w:rsidRPr="00CC5A07">
        <w:rPr>
          <w:color w:val="000000" w:themeColor="text1"/>
          <w:w w:val="54"/>
          <w:shd w:val="solid" w:color="000000" w:fill="000000"/>
          <w:fitText w:val="8280" w:id="-680369149"/>
          <w14:textFill>
            <w14:solidFill>
              <w14:schemeClr w14:val="tx1">
                <w14:alpha w14:val="100000"/>
              </w14:schemeClr>
            </w14:solidFill>
          </w14:textFill>
        </w:rPr>
        <w:t>||||||||||||||||||||||||||||||||||||||||||||||||||||||||||||||||||||</w:t>
      </w:r>
      <w:r w:rsidR="00B51309" w:rsidRPr="00CC5A07">
        <w:rPr>
          <w:color w:val="000000" w:themeColor="text1"/>
          <w:w w:val="54"/>
          <w:shd w:val="solid" w:color="000000" w:fill="000000"/>
          <w:fitText w:val="8280" w:id="-680369149"/>
          <w14:textFill>
            <w14:solidFill>
              <w14:schemeClr w14:val="tx1">
                <w14:alpha w14:val="100000"/>
              </w14:schemeClr>
            </w14:solidFill>
          </w14:textFill>
        </w:rPr>
        <w:t xml:space="preserve"> </w:t>
      </w:r>
      <w:r w:rsidR="009076E1" w:rsidRPr="00CC5A07">
        <w:rPr>
          <w:color w:val="000000" w:themeColor="text1"/>
          <w:w w:val="54"/>
          <w:shd w:val="solid" w:color="000000" w:fill="000000"/>
          <w:fitText w:val="8280" w:id="-680369149"/>
          <w14:textFill>
            <w14:solidFill>
              <w14:schemeClr w14:val="tx1">
                <w14:alpha w14:val="100000"/>
              </w14:schemeClr>
            </w14:solidFill>
          </w14:textFill>
        </w:rPr>
        <w:t>|||||||||||||||||||||||||||||||||||||||||||||||||||||||||||||||||||</w:t>
      </w:r>
      <w:r w:rsidR="009076E1" w:rsidRPr="00CC5A07">
        <w:rPr>
          <w:color w:val="000000" w:themeColor="text1"/>
          <w:spacing w:val="138"/>
          <w:w w:val="54"/>
          <w:shd w:val="solid" w:color="000000" w:fill="000000"/>
          <w:fitText w:val="8280" w:id="-680369149"/>
          <w14:textFill>
            <w14:solidFill>
              <w14:schemeClr w14:val="tx1">
                <w14:alpha w14:val="100000"/>
              </w14:schemeClr>
            </w14:solidFill>
          </w14:textFill>
        </w:rPr>
        <w:t>|</w:t>
      </w:r>
      <w:r w:rsidR="009076E1">
        <w:rPr>
          <w:color w:val="000000" w:themeColor="text1"/>
        </w:rPr>
        <w:t xml:space="preserve"> </w:t>
      </w:r>
      <w:r w:rsidR="009076E1" w:rsidRPr="00CC5A07">
        <w:rPr>
          <w:color w:val="000000" w:themeColor="text1"/>
          <w:w w:val="55"/>
          <w:shd w:val="solid" w:color="000000" w:fill="000000"/>
          <w:fitText w:val="7470" w:id="-680369148"/>
          <w14:textFill>
            <w14:solidFill>
              <w14:schemeClr w14:val="tx1">
                <w14:alpha w14:val="100000"/>
              </w14:schemeClr>
            </w14:solidFill>
          </w14:textFill>
        </w:rPr>
        <w:t>|||||||||||||||||||||||||||||||||||||||||||||||||||||||||||||</w:t>
      </w:r>
      <w:r w:rsidR="00B51309" w:rsidRPr="00CC5A07">
        <w:rPr>
          <w:color w:val="000000" w:themeColor="text1"/>
          <w:w w:val="55"/>
          <w:shd w:val="solid" w:color="000000" w:fill="000000"/>
          <w:fitText w:val="7470" w:id="-680369148"/>
          <w14:textFill>
            <w14:solidFill>
              <w14:schemeClr w14:val="tx1">
                <w14:alpha w14:val="100000"/>
              </w14:schemeClr>
            </w14:solidFill>
          </w14:textFill>
        </w:rPr>
        <w:t xml:space="preserve"> </w:t>
      </w:r>
      <w:r w:rsidR="009076E1" w:rsidRPr="00CC5A07">
        <w:rPr>
          <w:color w:val="000000" w:themeColor="text1"/>
          <w:w w:val="55"/>
          <w:shd w:val="solid" w:color="000000" w:fill="000000"/>
          <w:fitText w:val="7470" w:id="-680369148"/>
          <w14:textFill>
            <w14:solidFill>
              <w14:schemeClr w14:val="tx1">
                <w14:alpha w14:val="100000"/>
              </w14:schemeClr>
            </w14:solidFill>
          </w14:textFill>
        </w:rPr>
        <w:t>||||||||||||||||||||||||||||||||||||||||||||||||||||||||||||</w:t>
      </w:r>
      <w:r w:rsidR="009076E1" w:rsidRPr="00CC5A07">
        <w:rPr>
          <w:color w:val="000000" w:themeColor="text1"/>
          <w:spacing w:val="34"/>
          <w:w w:val="55"/>
          <w:shd w:val="solid" w:color="000000" w:fill="000000"/>
          <w:fitText w:val="7470" w:id="-680369148"/>
          <w14:textFill>
            <w14:solidFill>
              <w14:schemeClr w14:val="tx1">
                <w14:alpha w14:val="100000"/>
              </w14:schemeClr>
            </w14:solidFill>
          </w14:textFill>
        </w:rPr>
        <w:t>|</w:t>
      </w:r>
      <w:r w:rsidR="009076E1">
        <w:rPr>
          <w:color w:val="000000" w:themeColor="text1"/>
        </w:rPr>
        <w:t xml:space="preserve"> </w:t>
      </w:r>
      <w:r w:rsidR="009076E1" w:rsidRPr="004F224A">
        <w:rPr>
          <w:color w:val="000000" w:themeColor="text1"/>
          <w:w w:val="15"/>
          <w:shd w:val="solid" w:color="000000" w:fill="000000"/>
          <w:fitText w:val="-20" w:id="-680369147"/>
          <w14:textFill>
            <w14:solidFill>
              <w14:schemeClr w14:val="tx1">
                <w14:alpha w14:val="100000"/>
              </w14:schemeClr>
            </w14:solidFill>
          </w14:textFill>
        </w:rPr>
        <w:t>|</w:t>
      </w:r>
      <w:r w:rsidR="00B51309" w:rsidRPr="004F224A">
        <w:rPr>
          <w:color w:val="000000" w:themeColor="text1"/>
          <w:w w:val="15"/>
          <w:shd w:val="solid" w:color="000000" w:fill="000000"/>
          <w:fitText w:val="-20" w:id="-680369147"/>
          <w14:textFill>
            <w14:solidFill>
              <w14:schemeClr w14:val="tx1">
                <w14:alpha w14:val="100000"/>
              </w14:schemeClr>
            </w14:solidFill>
          </w14:textFill>
        </w:rPr>
        <w:t xml:space="preserve"> </w:t>
      </w:r>
      <w:r w:rsidR="009076E1" w:rsidRPr="004F224A">
        <w:rPr>
          <w:color w:val="000000" w:themeColor="text1"/>
          <w:spacing w:val="-61"/>
          <w:w w:val="15"/>
          <w:shd w:val="solid" w:color="000000" w:fill="000000"/>
          <w:fitText w:val="-20" w:id="-680369147"/>
          <w14:textFill>
            <w14:solidFill>
              <w14:schemeClr w14:val="tx1">
                <w14:alpha w14:val="100000"/>
              </w14:schemeClr>
            </w14:solidFill>
          </w14:textFill>
        </w:rPr>
        <w:t>|</w:t>
      </w:r>
      <w:r w:rsidR="009076E1">
        <w:rPr>
          <w:color w:val="000000" w:themeColor="text1"/>
        </w:rPr>
        <w:t xml:space="preserve"> </w:t>
      </w:r>
      <w:r w:rsidR="009076E1" w:rsidRPr="00CC5A07">
        <w:rPr>
          <w:color w:val="000000" w:themeColor="text1"/>
          <w:w w:val="55"/>
          <w:shd w:val="solid" w:color="000000" w:fill="000000"/>
          <w:fitText w:val="7460" w:id="-680369146"/>
          <w14:textFill>
            <w14:solidFill>
              <w14:schemeClr w14:val="tx1">
                <w14:alpha w14:val="100000"/>
              </w14:schemeClr>
            </w14:solidFill>
          </w14:textFill>
        </w:rPr>
        <w:t>|||||||||||||||||||||||||||||||||||||||||||||||||||||||||||||</w:t>
      </w:r>
      <w:r w:rsidR="00B51309" w:rsidRPr="00CC5A07">
        <w:rPr>
          <w:color w:val="000000" w:themeColor="text1"/>
          <w:w w:val="55"/>
          <w:shd w:val="solid" w:color="000000" w:fill="000000"/>
          <w:fitText w:val="7460" w:id="-680369146"/>
          <w14:textFill>
            <w14:solidFill>
              <w14:schemeClr w14:val="tx1">
                <w14:alpha w14:val="100000"/>
              </w14:schemeClr>
            </w14:solidFill>
          </w14:textFill>
        </w:rPr>
        <w:t xml:space="preserve"> </w:t>
      </w:r>
      <w:r w:rsidR="009076E1" w:rsidRPr="00CC5A07">
        <w:rPr>
          <w:color w:val="000000" w:themeColor="text1"/>
          <w:w w:val="55"/>
          <w:shd w:val="solid" w:color="000000" w:fill="000000"/>
          <w:fitText w:val="7460" w:id="-680369146"/>
          <w14:textFill>
            <w14:solidFill>
              <w14:schemeClr w14:val="tx1">
                <w14:alpha w14:val="100000"/>
              </w14:schemeClr>
            </w14:solidFill>
          </w14:textFill>
        </w:rPr>
        <w:t>||||||||||||||||||||||||||||||||||||||||||||||||||||||||||||</w:t>
      </w:r>
      <w:r w:rsidR="009076E1" w:rsidRPr="00CC5A07">
        <w:rPr>
          <w:color w:val="000000" w:themeColor="text1"/>
          <w:spacing w:val="24"/>
          <w:w w:val="55"/>
          <w:shd w:val="solid" w:color="000000" w:fill="000000"/>
          <w:fitText w:val="7460" w:id="-680369146"/>
          <w14:textFill>
            <w14:solidFill>
              <w14:schemeClr w14:val="tx1">
                <w14:alpha w14:val="100000"/>
              </w14:schemeClr>
            </w14:solidFill>
          </w14:textFill>
        </w:rPr>
        <w:t>|</w:t>
      </w:r>
      <w:r w:rsidR="009076E1">
        <w:rPr>
          <w:color w:val="000000" w:themeColor="text1"/>
        </w:rPr>
        <w:t xml:space="preserve"> </w:t>
      </w:r>
      <w:r w:rsidR="009076E1" w:rsidRPr="009E5AFF">
        <w:rPr>
          <w:color w:val="000000" w:themeColor="text1"/>
          <w:spacing w:val="3"/>
          <w:w w:val="27"/>
          <w:shd w:val="solid" w:color="000000" w:fill="000000"/>
          <w:fitText w:val="210" w:id="-680369145"/>
          <w14:textFill>
            <w14:solidFill>
              <w14:schemeClr w14:val="tx1">
                <w14:alpha w14:val="100000"/>
              </w14:schemeClr>
            </w14:solidFill>
          </w14:textFill>
        </w:rPr>
        <w:t>|||</w:t>
      </w:r>
      <w:r w:rsidR="00B51309" w:rsidRPr="009E5AFF">
        <w:rPr>
          <w:color w:val="000000" w:themeColor="text1"/>
          <w:spacing w:val="3"/>
          <w:w w:val="27"/>
          <w:shd w:val="solid" w:color="000000" w:fill="000000"/>
          <w:fitText w:val="210" w:id="-680369145"/>
          <w14:textFill>
            <w14:solidFill>
              <w14:schemeClr w14:val="tx1">
                <w14:alpha w14:val="100000"/>
              </w14:schemeClr>
            </w14:solidFill>
          </w14:textFill>
        </w:rPr>
        <w:t xml:space="preserve"> </w:t>
      </w:r>
      <w:r w:rsidR="009076E1" w:rsidRPr="009E5AFF">
        <w:rPr>
          <w:color w:val="000000" w:themeColor="text1"/>
          <w:spacing w:val="3"/>
          <w:w w:val="27"/>
          <w:shd w:val="solid" w:color="000000" w:fill="000000"/>
          <w:fitText w:val="210" w:id="-680369145"/>
          <w14:textFill>
            <w14:solidFill>
              <w14:schemeClr w14:val="tx1">
                <w14:alpha w14:val="100000"/>
              </w14:schemeClr>
            </w14:solidFill>
          </w14:textFill>
        </w:rPr>
        <w:t>||</w:t>
      </w:r>
      <w:r w:rsidR="009076E1" w:rsidRPr="009E5AFF">
        <w:rPr>
          <w:color w:val="000000" w:themeColor="text1"/>
          <w:spacing w:val="4"/>
          <w:w w:val="27"/>
          <w:shd w:val="solid" w:color="000000" w:fill="000000"/>
          <w:fitText w:val="210" w:id="-680369145"/>
          <w14:textFill>
            <w14:solidFill>
              <w14:schemeClr w14:val="tx1">
                <w14:alpha w14:val="100000"/>
              </w14:schemeClr>
            </w14:solidFill>
          </w14:textFill>
        </w:rPr>
        <w:t>|</w:t>
      </w:r>
      <w:r w:rsidR="00FA4F73" w:rsidRPr="00D65422">
        <w:rPr>
          <w:color w:val="000000" w:themeColor="text1"/>
          <w:spacing w:val="4"/>
          <w:w w:val="27"/>
          <w:vertAlign w:val="superscript"/>
        </w:rPr>
        <w:fldChar w:fldCharType="begin"/>
      </w:r>
      <w:r w:rsidR="00FA4F73" w:rsidRPr="009E5AFF">
        <w:rPr>
          <w:color w:val="000000" w:themeColor="text1"/>
          <w:spacing w:val="4"/>
          <w:w w:val="27"/>
          <w:vertAlign w:val="superscript"/>
        </w:rPr>
        <w:instrText xml:space="preserve"> NOTEREF _Hlk203374434 \h </w:instrText>
      </w:r>
      <w:r w:rsidR="00E67D1B" w:rsidRPr="009E5AFF">
        <w:rPr>
          <w:color w:val="000000" w:themeColor="text1"/>
          <w:spacing w:val="4"/>
          <w:w w:val="27"/>
          <w:vertAlign w:val="superscript"/>
        </w:rPr>
        <w:instrText xml:space="preserve"> \* MERGEFORMAT </w:instrText>
      </w:r>
      <w:r w:rsidR="00FA4F73" w:rsidRPr="00D65422">
        <w:rPr>
          <w:color w:val="000000" w:themeColor="text1"/>
          <w:spacing w:val="4"/>
          <w:w w:val="27"/>
          <w:vertAlign w:val="superscript"/>
        </w:rPr>
      </w:r>
      <w:r w:rsidR="00FA4F73" w:rsidRPr="00D65422">
        <w:rPr>
          <w:color w:val="000000" w:themeColor="text1"/>
          <w:spacing w:val="4"/>
          <w:w w:val="27"/>
          <w:vertAlign w:val="superscript"/>
        </w:rPr>
        <w:fldChar w:fldCharType="separate"/>
      </w:r>
      <w:r w:rsidR="004F224A" w:rsidRPr="004F224A">
        <w:rPr>
          <w:color w:val="000000" w:themeColor="text1"/>
          <w:vertAlign w:val="superscript"/>
        </w:rPr>
        <w:t>1</w:t>
      </w:r>
      <w:r w:rsidR="00FA4F73" w:rsidRPr="00D65422">
        <w:rPr>
          <w:color w:val="000000" w:themeColor="text1"/>
          <w:vertAlign w:val="superscript"/>
        </w:rPr>
        <w:fldChar w:fldCharType="end"/>
      </w:r>
    </w:p>
    <w:p w14:paraId="3C2AC194" w14:textId="3FF6218B" w:rsidR="00D20532" w:rsidRPr="00D20532" w:rsidRDefault="00D20532" w:rsidP="002553CE">
      <w:pPr>
        <w:ind w:firstLine="709"/>
        <w:rPr>
          <w:i/>
          <w:iCs/>
        </w:rPr>
      </w:pPr>
      <w:bookmarkStart w:id="8" w:name="_Hlk76375324"/>
      <w:r w:rsidRPr="00D20532">
        <w:rPr>
          <w:i/>
          <w:iCs/>
        </w:rPr>
        <w:t>For more detail on PBAC’s view, see section 7 PBAC outcome.</w:t>
      </w:r>
      <w:bookmarkEnd w:id="8"/>
    </w:p>
    <w:p w14:paraId="0B700877" w14:textId="6B57AFCF" w:rsidR="00C905D6" w:rsidRDefault="00245AD9" w:rsidP="002553CE">
      <w:pPr>
        <w:pStyle w:val="PBACESHeading1"/>
        <w:numPr>
          <w:ilvl w:val="0"/>
          <w:numId w:val="11"/>
        </w:numPr>
        <w:tabs>
          <w:tab w:val="clear" w:pos="1077"/>
          <w:tab w:val="left" w:pos="709"/>
        </w:tabs>
      </w:pPr>
      <w:bookmarkStart w:id="9" w:name="_Toc188374356"/>
      <w:r w:rsidRPr="000A7BB0">
        <w:t>Requested listing</w:t>
      </w:r>
      <w:bookmarkEnd w:id="9"/>
    </w:p>
    <w:p w14:paraId="478B1344" w14:textId="05AC0872" w:rsidR="001F16C3" w:rsidRPr="001F2DBB" w:rsidRDefault="001F16C3" w:rsidP="002553CE">
      <w:pPr>
        <w:numPr>
          <w:ilvl w:val="4"/>
          <w:numId w:val="11"/>
        </w:numPr>
        <w:ind w:left="709" w:hanging="709"/>
        <w:rPr>
          <w:color w:val="000000" w:themeColor="text1"/>
        </w:rPr>
      </w:pPr>
      <w:r>
        <w:rPr>
          <w:color w:val="000000" w:themeColor="text1"/>
        </w:rPr>
        <w:t xml:space="preserve">The </w:t>
      </w:r>
      <w:r w:rsidR="001F2DBB">
        <w:rPr>
          <w:color w:val="000000" w:themeColor="text1"/>
        </w:rPr>
        <w:t>requested restriction</w:t>
      </w:r>
      <w:r w:rsidR="001A47E6" w:rsidRPr="001A47E6">
        <w:rPr>
          <w:color w:val="000000" w:themeColor="text1"/>
        </w:rPr>
        <w:t xml:space="preserve"> </w:t>
      </w:r>
      <w:r w:rsidR="001A47E6">
        <w:rPr>
          <w:color w:val="000000" w:themeColor="text1"/>
        </w:rPr>
        <w:t>is shown below</w:t>
      </w:r>
      <w:r w:rsidR="001F2DBB">
        <w:rPr>
          <w:color w:val="000000" w:themeColor="text1"/>
        </w:rPr>
        <w:t xml:space="preserve">, with </w:t>
      </w:r>
      <w:r w:rsidR="001F2DBB" w:rsidRPr="001F2DBB">
        <w:rPr>
          <w:color w:val="000000" w:themeColor="text1"/>
        </w:rPr>
        <w:t>Secretariat additions in italics and deletions in strikethrough.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330"/>
        <w:gridCol w:w="2274"/>
        <w:gridCol w:w="701"/>
        <w:gridCol w:w="837"/>
        <w:gridCol w:w="977"/>
        <w:gridCol w:w="1897"/>
      </w:tblGrid>
      <w:tr w:rsidR="001F2DBB" w:rsidRPr="000A7BB0" w14:paraId="3E039F48" w14:textId="77777777" w:rsidTr="001F2DBB">
        <w:trPr>
          <w:cantSplit/>
          <w:trHeight w:val="20"/>
          <w:jc w:val="center"/>
        </w:trPr>
        <w:tc>
          <w:tcPr>
            <w:tcW w:w="1292" w:type="pct"/>
            <w:vAlign w:val="center"/>
          </w:tcPr>
          <w:p w14:paraId="1840FDD8" w14:textId="77777777" w:rsidR="00DE1AD7" w:rsidRPr="000A7BB0" w:rsidRDefault="00DE1AD7" w:rsidP="002553CE">
            <w:pPr>
              <w:pStyle w:val="TableRowHeader"/>
              <w:keepNext/>
              <w:keepLines/>
              <w:widowControl/>
            </w:pPr>
            <w:r w:rsidRPr="000A7BB0">
              <w:t>MEDICINAL PRODUCT</w:t>
            </w:r>
          </w:p>
          <w:p w14:paraId="1056F7E0" w14:textId="77777777" w:rsidR="00DE1AD7" w:rsidRPr="000A7BB0" w:rsidRDefault="00DE1AD7" w:rsidP="002553CE">
            <w:pPr>
              <w:pStyle w:val="TableRowHeader"/>
              <w:keepNext/>
              <w:keepLines/>
              <w:widowControl/>
            </w:pPr>
            <w:r w:rsidRPr="000A7BB0">
              <w:t>medicinal product pack</w:t>
            </w:r>
          </w:p>
        </w:tc>
        <w:tc>
          <w:tcPr>
            <w:tcW w:w="1261" w:type="pct"/>
            <w:vAlign w:val="center"/>
          </w:tcPr>
          <w:p w14:paraId="73700CE3" w14:textId="77777777" w:rsidR="00DE1AD7" w:rsidRPr="000A7BB0" w:rsidRDefault="00DE1AD7" w:rsidP="002553CE">
            <w:pPr>
              <w:pStyle w:val="TableRowHeader"/>
              <w:keepNext/>
              <w:keepLines/>
              <w:widowControl/>
            </w:pPr>
            <w:r w:rsidRPr="000A7BB0">
              <w:rPr>
                <w:snapToGrid w:val="0"/>
              </w:rPr>
              <w:t xml:space="preserve">Dispensed Price for Max. Qty </w:t>
            </w:r>
          </w:p>
        </w:tc>
        <w:tc>
          <w:tcPr>
            <w:tcW w:w="389" w:type="pct"/>
            <w:vAlign w:val="center"/>
          </w:tcPr>
          <w:p w14:paraId="2CAB495E" w14:textId="77777777" w:rsidR="00DE1AD7" w:rsidRPr="000A7BB0" w:rsidRDefault="00DE1AD7" w:rsidP="002553CE">
            <w:pPr>
              <w:pStyle w:val="TableRowHeader"/>
              <w:keepNext/>
              <w:keepLines/>
              <w:widowControl/>
            </w:pPr>
            <w:r w:rsidRPr="000A7BB0">
              <w:t>Max. qty packs</w:t>
            </w:r>
          </w:p>
        </w:tc>
        <w:tc>
          <w:tcPr>
            <w:tcW w:w="464" w:type="pct"/>
            <w:vAlign w:val="center"/>
          </w:tcPr>
          <w:p w14:paraId="422A5A03" w14:textId="77777777" w:rsidR="00DE1AD7" w:rsidRPr="000A7BB0" w:rsidRDefault="00DE1AD7" w:rsidP="002553CE">
            <w:pPr>
              <w:pStyle w:val="TableRowHeader"/>
              <w:keepNext/>
              <w:keepLines/>
              <w:widowControl/>
            </w:pPr>
            <w:r w:rsidRPr="000A7BB0">
              <w:t>Max. qty units</w:t>
            </w:r>
          </w:p>
        </w:tc>
        <w:tc>
          <w:tcPr>
            <w:tcW w:w="542" w:type="pct"/>
            <w:vAlign w:val="center"/>
          </w:tcPr>
          <w:p w14:paraId="6DCC0E23" w14:textId="77777777" w:rsidR="00DE1AD7" w:rsidRPr="000A7BB0" w:rsidRDefault="00DE1AD7" w:rsidP="002553CE">
            <w:pPr>
              <w:pStyle w:val="TableRowHeader"/>
              <w:keepNext/>
              <w:keepLines/>
              <w:widowControl/>
            </w:pPr>
            <w:r w:rsidRPr="000A7BB0">
              <w:t>№.of</w:t>
            </w:r>
          </w:p>
          <w:p w14:paraId="484747E1" w14:textId="77777777" w:rsidR="00DE1AD7" w:rsidRPr="000A7BB0" w:rsidRDefault="00DE1AD7" w:rsidP="002553CE">
            <w:pPr>
              <w:pStyle w:val="TableRowHeader"/>
              <w:keepNext/>
              <w:keepLines/>
              <w:widowControl/>
            </w:pPr>
            <w:r w:rsidRPr="000A7BB0">
              <w:t>Rpts</w:t>
            </w:r>
          </w:p>
        </w:tc>
        <w:tc>
          <w:tcPr>
            <w:tcW w:w="1052" w:type="pct"/>
            <w:vAlign w:val="center"/>
          </w:tcPr>
          <w:p w14:paraId="719D639E" w14:textId="77777777" w:rsidR="00DE1AD7" w:rsidRPr="000A7BB0" w:rsidRDefault="00DE1AD7" w:rsidP="002553CE">
            <w:pPr>
              <w:pStyle w:val="TableRowHeader"/>
              <w:keepNext/>
              <w:keepLines/>
              <w:widowControl/>
            </w:pPr>
            <w:r w:rsidRPr="000A7BB0">
              <w:t>Available brands</w:t>
            </w:r>
          </w:p>
        </w:tc>
      </w:tr>
      <w:tr w:rsidR="00DE1AD7" w:rsidRPr="000A7BB0" w14:paraId="72951D8C" w14:textId="77777777" w:rsidTr="001F2DBB">
        <w:trPr>
          <w:cantSplit/>
          <w:trHeight w:val="20"/>
          <w:jc w:val="center"/>
        </w:trPr>
        <w:tc>
          <w:tcPr>
            <w:tcW w:w="5000" w:type="pct"/>
            <w:gridSpan w:val="6"/>
            <w:vAlign w:val="center"/>
          </w:tcPr>
          <w:p w14:paraId="2C0262CD" w14:textId="77777777" w:rsidR="00DE1AD7" w:rsidRPr="000A7BB0" w:rsidRDefault="00DE1AD7" w:rsidP="002553CE">
            <w:pPr>
              <w:pStyle w:val="TableText"/>
              <w:keepNext/>
              <w:keepLines/>
              <w:widowControl/>
              <w:rPr>
                <w:rFonts w:cs="Arial"/>
                <w:szCs w:val="20"/>
              </w:rPr>
            </w:pPr>
            <w:r w:rsidRPr="000A7BB0">
              <w:rPr>
                <w:szCs w:val="20"/>
              </w:rPr>
              <w:t>ELACESTRANT</w:t>
            </w:r>
          </w:p>
        </w:tc>
      </w:tr>
      <w:tr w:rsidR="001F2DBB" w:rsidRPr="000A7BB0" w14:paraId="2EA70CB8" w14:textId="77777777" w:rsidTr="001F2DBB">
        <w:trPr>
          <w:cantSplit/>
          <w:trHeight w:val="20"/>
          <w:jc w:val="center"/>
        </w:trPr>
        <w:tc>
          <w:tcPr>
            <w:tcW w:w="1292" w:type="pct"/>
            <w:vAlign w:val="center"/>
          </w:tcPr>
          <w:p w14:paraId="5D9B8436" w14:textId="77777777" w:rsidR="00DE1AD7" w:rsidRPr="000A7BB0" w:rsidRDefault="00DE1AD7" w:rsidP="002553CE">
            <w:pPr>
              <w:keepNext/>
              <w:keepLines/>
              <w:spacing w:before="0" w:after="0"/>
              <w:jc w:val="left"/>
              <w:rPr>
                <w:rFonts w:ascii="Arial Narrow" w:hAnsi="Arial Narrow"/>
                <w:sz w:val="20"/>
                <w:szCs w:val="20"/>
              </w:rPr>
            </w:pPr>
            <w:r w:rsidRPr="000A7BB0">
              <w:rPr>
                <w:rFonts w:ascii="Arial Narrow" w:hAnsi="Arial Narrow"/>
                <w:sz w:val="20"/>
                <w:szCs w:val="20"/>
              </w:rPr>
              <w:t>ELACESTRANT 345 mg tablets, 28</w:t>
            </w:r>
          </w:p>
        </w:tc>
        <w:tc>
          <w:tcPr>
            <w:tcW w:w="1261" w:type="pct"/>
            <w:vAlign w:val="center"/>
          </w:tcPr>
          <w:p w14:paraId="322BEB4D" w14:textId="283448E5" w:rsidR="00DE1AD7" w:rsidRPr="000A7BB0" w:rsidRDefault="00DE1AD7" w:rsidP="002553CE">
            <w:pPr>
              <w:pStyle w:val="TableText"/>
              <w:keepNext/>
              <w:keepLines/>
              <w:widowControl/>
              <w:jc w:val="center"/>
              <w:rPr>
                <w:szCs w:val="20"/>
              </w:rPr>
            </w:pPr>
            <w:r w:rsidRPr="000A7BB0">
              <w:rPr>
                <w:szCs w:val="20"/>
              </w:rPr>
              <w:t>$</w:t>
            </w:r>
            <w:r w:rsidR="00F4744A" w:rsidRPr="00E709A7">
              <w:rPr>
                <w:rFonts w:hint="eastAsia"/>
                <w:color w:val="000000"/>
                <w:w w:val="31"/>
                <w:szCs w:val="20"/>
                <w:shd w:val="solid" w:color="000000" w:fill="000000"/>
                <w:fitText w:val="138" w:id="-694393852"/>
                <w14:textFill>
                  <w14:solidFill>
                    <w14:srgbClr w14:val="000000">
                      <w14:alpha w14:val="100000"/>
                    </w14:srgbClr>
                  </w14:solidFill>
                </w14:textFill>
              </w:rPr>
              <w:t xml:space="preserve">　</w:t>
            </w:r>
            <w:r w:rsidR="00F4744A" w:rsidRPr="00E709A7">
              <w:rPr>
                <w:color w:val="000000"/>
                <w:w w:val="31"/>
                <w:szCs w:val="20"/>
                <w:shd w:val="solid" w:color="000000" w:fill="000000"/>
                <w:fitText w:val="138" w:id="-694393852"/>
                <w14:textFill>
                  <w14:solidFill>
                    <w14:srgbClr w14:val="000000">
                      <w14:alpha w14:val="100000"/>
                    </w14:srgbClr>
                  </w14:solidFill>
                </w14:textFill>
              </w:rPr>
              <w:t>|</w:t>
            </w:r>
            <w:r w:rsidR="00F4744A" w:rsidRPr="00E709A7">
              <w:rPr>
                <w:rFonts w:hint="eastAsia"/>
                <w:color w:val="000000"/>
                <w:spacing w:val="2"/>
                <w:w w:val="31"/>
                <w:szCs w:val="20"/>
                <w:shd w:val="solid" w:color="000000" w:fill="000000"/>
                <w:fitText w:val="138" w:id="-694393852"/>
                <w14:textFill>
                  <w14:solidFill>
                    <w14:srgbClr w14:val="000000">
                      <w14:alpha w14:val="100000"/>
                    </w14:srgbClr>
                  </w14:solidFill>
                </w14:textFill>
              </w:rPr>
              <w:t xml:space="preserve">　</w:t>
            </w:r>
            <w:r w:rsidRPr="000A7BB0">
              <w:rPr>
                <w:szCs w:val="20"/>
              </w:rPr>
              <w:t xml:space="preserve"> published price</w:t>
            </w:r>
          </w:p>
          <w:p w14:paraId="59EEC116" w14:textId="155B8791" w:rsidR="00DE1AD7" w:rsidRPr="000A7BB0" w:rsidRDefault="00DE1AD7" w:rsidP="002553CE">
            <w:pPr>
              <w:pStyle w:val="TableText"/>
              <w:keepNext/>
              <w:keepLines/>
              <w:widowControl/>
              <w:jc w:val="center"/>
              <w:rPr>
                <w:szCs w:val="20"/>
              </w:rPr>
            </w:pPr>
            <w:r w:rsidRPr="000A7BB0">
              <w:rPr>
                <w:szCs w:val="20"/>
              </w:rPr>
              <w:t>$</w:t>
            </w:r>
            <w:r w:rsidR="00F4744A" w:rsidRPr="0052766F">
              <w:rPr>
                <w:rFonts w:hint="eastAsia"/>
                <w:color w:val="000000"/>
                <w:w w:val="19"/>
                <w:szCs w:val="20"/>
                <w:shd w:val="solid" w:color="000000" w:fill="000000"/>
                <w:fitText w:val="88" w:id="-694393851"/>
                <w14:textFill>
                  <w14:solidFill>
                    <w14:srgbClr w14:val="000000">
                      <w14:alpha w14:val="100000"/>
                    </w14:srgbClr>
                  </w14:solidFill>
                </w14:textFill>
              </w:rPr>
              <w:t xml:space="preserve">　</w:t>
            </w:r>
            <w:r w:rsidR="00F4744A" w:rsidRPr="0052766F">
              <w:rPr>
                <w:color w:val="000000"/>
                <w:w w:val="19"/>
                <w:szCs w:val="20"/>
                <w:shd w:val="solid" w:color="000000" w:fill="000000"/>
                <w:fitText w:val="88" w:id="-694393851"/>
                <w14:textFill>
                  <w14:solidFill>
                    <w14:srgbClr w14:val="000000">
                      <w14:alpha w14:val="100000"/>
                    </w14:srgbClr>
                  </w14:solidFill>
                </w14:textFill>
              </w:rPr>
              <w:t>|</w:t>
            </w:r>
            <w:r w:rsidR="00F4744A" w:rsidRPr="0052766F">
              <w:rPr>
                <w:rFonts w:hint="eastAsia"/>
                <w:color w:val="000000"/>
                <w:spacing w:val="4"/>
                <w:w w:val="19"/>
                <w:szCs w:val="20"/>
                <w:shd w:val="solid" w:color="000000" w:fill="000000"/>
                <w:fitText w:val="88" w:id="-694393851"/>
                <w14:textFill>
                  <w14:solidFill>
                    <w14:srgbClr w14:val="000000">
                      <w14:alpha w14:val="100000"/>
                    </w14:srgbClr>
                  </w14:solidFill>
                </w14:textFill>
              </w:rPr>
              <w:t xml:space="preserve">　</w:t>
            </w:r>
            <w:r w:rsidRPr="000A7BB0">
              <w:rPr>
                <w:szCs w:val="20"/>
              </w:rPr>
              <w:t xml:space="preserve"> effective price</w:t>
            </w:r>
          </w:p>
        </w:tc>
        <w:tc>
          <w:tcPr>
            <w:tcW w:w="389" w:type="pct"/>
            <w:vAlign w:val="center"/>
          </w:tcPr>
          <w:p w14:paraId="37725A36"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1</w:t>
            </w:r>
          </w:p>
        </w:tc>
        <w:tc>
          <w:tcPr>
            <w:tcW w:w="464" w:type="pct"/>
            <w:vAlign w:val="center"/>
          </w:tcPr>
          <w:p w14:paraId="38FB8EB4"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28</w:t>
            </w:r>
          </w:p>
        </w:tc>
        <w:tc>
          <w:tcPr>
            <w:tcW w:w="542" w:type="pct"/>
            <w:vAlign w:val="center"/>
          </w:tcPr>
          <w:p w14:paraId="259E5500"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5</w:t>
            </w:r>
          </w:p>
        </w:tc>
        <w:tc>
          <w:tcPr>
            <w:tcW w:w="1052" w:type="pct"/>
            <w:vMerge w:val="restart"/>
            <w:vAlign w:val="center"/>
          </w:tcPr>
          <w:p w14:paraId="462FB106" w14:textId="77777777" w:rsidR="00DE1AD7" w:rsidRPr="000A7BB0" w:rsidRDefault="00DE1AD7" w:rsidP="002553CE">
            <w:pPr>
              <w:keepNext/>
              <w:keepLines/>
              <w:spacing w:after="0"/>
              <w:jc w:val="center"/>
              <w:rPr>
                <w:rFonts w:ascii="Arial Narrow" w:hAnsi="Arial Narrow"/>
                <w:sz w:val="18"/>
                <w:szCs w:val="18"/>
              </w:rPr>
            </w:pPr>
            <w:r w:rsidRPr="000A7BB0">
              <w:rPr>
                <w:rFonts w:ascii="Arial Narrow" w:hAnsi="Arial Narrow"/>
                <w:sz w:val="18"/>
                <w:szCs w:val="18"/>
              </w:rPr>
              <w:t>ORSERDU</w:t>
            </w:r>
          </w:p>
        </w:tc>
      </w:tr>
      <w:tr w:rsidR="001F2DBB" w:rsidRPr="000A7BB0" w14:paraId="54EC6928" w14:textId="77777777" w:rsidTr="001F2DBB">
        <w:trPr>
          <w:cantSplit/>
          <w:trHeight w:val="20"/>
          <w:jc w:val="center"/>
        </w:trPr>
        <w:tc>
          <w:tcPr>
            <w:tcW w:w="1292" w:type="pct"/>
            <w:vAlign w:val="center"/>
          </w:tcPr>
          <w:p w14:paraId="599FCB01" w14:textId="77777777" w:rsidR="00DE1AD7" w:rsidRPr="000A7BB0" w:rsidRDefault="00DE1AD7" w:rsidP="002553CE">
            <w:pPr>
              <w:keepNext/>
              <w:keepLines/>
              <w:spacing w:before="0" w:after="0"/>
              <w:jc w:val="left"/>
              <w:rPr>
                <w:rFonts w:ascii="Arial Narrow" w:hAnsi="Arial Narrow"/>
                <w:sz w:val="20"/>
                <w:szCs w:val="20"/>
              </w:rPr>
            </w:pPr>
            <w:r w:rsidRPr="000A7BB0">
              <w:rPr>
                <w:rFonts w:ascii="Arial Narrow" w:hAnsi="Arial Narrow"/>
                <w:sz w:val="20"/>
                <w:szCs w:val="20"/>
              </w:rPr>
              <w:t>ELACESTRANT 86 mg tablets, 28</w:t>
            </w:r>
          </w:p>
        </w:tc>
        <w:tc>
          <w:tcPr>
            <w:tcW w:w="1261" w:type="pct"/>
            <w:vAlign w:val="center"/>
          </w:tcPr>
          <w:p w14:paraId="623BCF3C" w14:textId="236BB645" w:rsidR="00DE1AD7" w:rsidRPr="000A7BB0" w:rsidRDefault="00DE1AD7" w:rsidP="002553CE">
            <w:pPr>
              <w:pStyle w:val="TableText"/>
              <w:keepNext/>
              <w:keepLines/>
              <w:widowControl/>
              <w:jc w:val="center"/>
              <w:rPr>
                <w:szCs w:val="20"/>
              </w:rPr>
            </w:pPr>
            <w:r w:rsidRPr="000A7BB0">
              <w:rPr>
                <w:szCs w:val="20"/>
              </w:rPr>
              <w:t>$</w:t>
            </w:r>
            <w:r w:rsidR="00F4744A" w:rsidRPr="00E709A7">
              <w:rPr>
                <w:rFonts w:hint="eastAsia"/>
                <w:color w:val="000000"/>
                <w:w w:val="31"/>
                <w:szCs w:val="20"/>
                <w:shd w:val="solid" w:color="000000" w:fill="000000"/>
                <w:fitText w:val="138" w:id="-694393850"/>
                <w14:textFill>
                  <w14:solidFill>
                    <w14:srgbClr w14:val="000000">
                      <w14:alpha w14:val="100000"/>
                    </w14:srgbClr>
                  </w14:solidFill>
                </w14:textFill>
              </w:rPr>
              <w:t xml:space="preserve">　</w:t>
            </w:r>
            <w:r w:rsidR="00F4744A" w:rsidRPr="00E709A7">
              <w:rPr>
                <w:color w:val="000000"/>
                <w:w w:val="31"/>
                <w:szCs w:val="20"/>
                <w:shd w:val="solid" w:color="000000" w:fill="000000"/>
                <w:fitText w:val="138" w:id="-694393850"/>
                <w14:textFill>
                  <w14:solidFill>
                    <w14:srgbClr w14:val="000000">
                      <w14:alpha w14:val="100000"/>
                    </w14:srgbClr>
                  </w14:solidFill>
                </w14:textFill>
              </w:rPr>
              <w:t>|</w:t>
            </w:r>
            <w:r w:rsidR="00F4744A" w:rsidRPr="00E709A7">
              <w:rPr>
                <w:rFonts w:hint="eastAsia"/>
                <w:color w:val="000000"/>
                <w:spacing w:val="2"/>
                <w:w w:val="31"/>
                <w:szCs w:val="20"/>
                <w:shd w:val="solid" w:color="000000" w:fill="000000"/>
                <w:fitText w:val="138" w:id="-694393850"/>
                <w14:textFill>
                  <w14:solidFill>
                    <w14:srgbClr w14:val="000000">
                      <w14:alpha w14:val="100000"/>
                    </w14:srgbClr>
                  </w14:solidFill>
                </w14:textFill>
              </w:rPr>
              <w:t xml:space="preserve">　</w:t>
            </w:r>
            <w:r w:rsidRPr="000A7BB0">
              <w:rPr>
                <w:szCs w:val="20"/>
              </w:rPr>
              <w:t xml:space="preserve"> published price</w:t>
            </w:r>
          </w:p>
          <w:p w14:paraId="2B8A23E3" w14:textId="625789B0" w:rsidR="00DE1AD7" w:rsidRPr="000A7BB0" w:rsidRDefault="00DE1AD7" w:rsidP="002553CE">
            <w:pPr>
              <w:pStyle w:val="TableText"/>
              <w:keepNext/>
              <w:keepLines/>
              <w:widowControl/>
              <w:jc w:val="center"/>
              <w:rPr>
                <w:szCs w:val="20"/>
              </w:rPr>
            </w:pPr>
            <w:r w:rsidRPr="000A7BB0">
              <w:rPr>
                <w:szCs w:val="20"/>
              </w:rPr>
              <w:t>$</w:t>
            </w:r>
            <w:r w:rsidR="00F4744A" w:rsidRPr="0052766F">
              <w:rPr>
                <w:rFonts w:hint="eastAsia"/>
                <w:color w:val="000000"/>
                <w:w w:val="19"/>
                <w:szCs w:val="20"/>
                <w:shd w:val="solid" w:color="000000" w:fill="000000"/>
                <w:fitText w:val="88" w:id="-694393849"/>
                <w14:textFill>
                  <w14:solidFill>
                    <w14:srgbClr w14:val="000000">
                      <w14:alpha w14:val="100000"/>
                    </w14:srgbClr>
                  </w14:solidFill>
                </w14:textFill>
              </w:rPr>
              <w:t xml:space="preserve">　</w:t>
            </w:r>
            <w:r w:rsidR="00F4744A" w:rsidRPr="0052766F">
              <w:rPr>
                <w:color w:val="000000"/>
                <w:w w:val="19"/>
                <w:szCs w:val="20"/>
                <w:shd w:val="solid" w:color="000000" w:fill="000000"/>
                <w:fitText w:val="88" w:id="-694393849"/>
                <w14:textFill>
                  <w14:solidFill>
                    <w14:srgbClr w14:val="000000">
                      <w14:alpha w14:val="100000"/>
                    </w14:srgbClr>
                  </w14:solidFill>
                </w14:textFill>
              </w:rPr>
              <w:t>|</w:t>
            </w:r>
            <w:r w:rsidR="00F4744A" w:rsidRPr="0052766F">
              <w:rPr>
                <w:rFonts w:hint="eastAsia"/>
                <w:color w:val="000000"/>
                <w:spacing w:val="4"/>
                <w:w w:val="19"/>
                <w:szCs w:val="20"/>
                <w:shd w:val="solid" w:color="000000" w:fill="000000"/>
                <w:fitText w:val="88" w:id="-694393849"/>
                <w14:textFill>
                  <w14:solidFill>
                    <w14:srgbClr w14:val="000000">
                      <w14:alpha w14:val="100000"/>
                    </w14:srgbClr>
                  </w14:solidFill>
                </w14:textFill>
              </w:rPr>
              <w:t xml:space="preserve">　</w:t>
            </w:r>
            <w:r w:rsidRPr="000A7BB0">
              <w:rPr>
                <w:szCs w:val="20"/>
              </w:rPr>
              <w:t xml:space="preserve"> effective price</w:t>
            </w:r>
          </w:p>
        </w:tc>
        <w:tc>
          <w:tcPr>
            <w:tcW w:w="389" w:type="pct"/>
            <w:vAlign w:val="center"/>
          </w:tcPr>
          <w:p w14:paraId="6D8F954D"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2</w:t>
            </w:r>
          </w:p>
        </w:tc>
        <w:tc>
          <w:tcPr>
            <w:tcW w:w="464" w:type="pct"/>
            <w:vAlign w:val="center"/>
          </w:tcPr>
          <w:p w14:paraId="385FA302"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56</w:t>
            </w:r>
          </w:p>
        </w:tc>
        <w:tc>
          <w:tcPr>
            <w:tcW w:w="542" w:type="pct"/>
            <w:vAlign w:val="center"/>
          </w:tcPr>
          <w:p w14:paraId="47FD5D44"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5</w:t>
            </w:r>
          </w:p>
        </w:tc>
        <w:tc>
          <w:tcPr>
            <w:tcW w:w="1052" w:type="pct"/>
            <w:vMerge/>
            <w:vAlign w:val="center"/>
          </w:tcPr>
          <w:p w14:paraId="5DEFD5DD" w14:textId="77777777" w:rsidR="00DE1AD7" w:rsidRPr="000A7BB0" w:rsidRDefault="00DE1AD7" w:rsidP="002553CE">
            <w:pPr>
              <w:keepNext/>
              <w:keepLines/>
              <w:spacing w:after="0"/>
              <w:jc w:val="center"/>
              <w:rPr>
                <w:rFonts w:ascii="Arial Narrow" w:hAnsi="Arial Narrow"/>
                <w:sz w:val="18"/>
                <w:szCs w:val="18"/>
              </w:rPr>
            </w:pPr>
          </w:p>
        </w:tc>
      </w:tr>
      <w:tr w:rsidR="001F2DBB" w:rsidRPr="000A7BB0" w14:paraId="7BA9EA48" w14:textId="77777777" w:rsidTr="001F2DBB">
        <w:trPr>
          <w:cantSplit/>
          <w:trHeight w:val="20"/>
          <w:jc w:val="center"/>
        </w:trPr>
        <w:tc>
          <w:tcPr>
            <w:tcW w:w="1292" w:type="pct"/>
            <w:vAlign w:val="center"/>
          </w:tcPr>
          <w:p w14:paraId="0C8B16A0" w14:textId="77777777" w:rsidR="00DE1AD7" w:rsidRPr="000A7BB0" w:rsidRDefault="00DE1AD7" w:rsidP="002553CE">
            <w:pPr>
              <w:keepNext/>
              <w:keepLines/>
              <w:spacing w:before="0" w:after="0"/>
              <w:jc w:val="left"/>
              <w:rPr>
                <w:rFonts w:ascii="Arial Narrow" w:hAnsi="Arial Narrow"/>
                <w:sz w:val="20"/>
                <w:szCs w:val="20"/>
              </w:rPr>
            </w:pPr>
            <w:r w:rsidRPr="000A7BB0">
              <w:rPr>
                <w:rFonts w:ascii="Arial Narrow" w:hAnsi="Arial Narrow"/>
                <w:sz w:val="20"/>
                <w:szCs w:val="20"/>
              </w:rPr>
              <w:t>ELACESTRANT 86 mg tablets, 28</w:t>
            </w:r>
          </w:p>
        </w:tc>
        <w:tc>
          <w:tcPr>
            <w:tcW w:w="1261" w:type="pct"/>
            <w:vAlign w:val="center"/>
          </w:tcPr>
          <w:p w14:paraId="4EEFAB9A" w14:textId="2107C078" w:rsidR="00DE1AD7" w:rsidRPr="000A7BB0" w:rsidRDefault="00DE1AD7" w:rsidP="002553CE">
            <w:pPr>
              <w:pStyle w:val="TableText"/>
              <w:keepNext/>
              <w:keepLines/>
              <w:widowControl/>
              <w:jc w:val="center"/>
              <w:rPr>
                <w:szCs w:val="20"/>
              </w:rPr>
            </w:pPr>
            <w:r w:rsidRPr="000A7BB0">
              <w:rPr>
                <w:szCs w:val="20"/>
              </w:rPr>
              <w:t>$</w:t>
            </w:r>
            <w:r w:rsidR="00F4744A" w:rsidRPr="00E709A7">
              <w:rPr>
                <w:rFonts w:hint="eastAsia"/>
                <w:color w:val="000000"/>
                <w:w w:val="31"/>
                <w:szCs w:val="20"/>
                <w:shd w:val="solid" w:color="000000" w:fill="000000"/>
                <w:fitText w:val="138" w:id="-694393848"/>
                <w14:textFill>
                  <w14:solidFill>
                    <w14:srgbClr w14:val="000000">
                      <w14:alpha w14:val="100000"/>
                    </w14:srgbClr>
                  </w14:solidFill>
                </w14:textFill>
              </w:rPr>
              <w:t xml:space="preserve">　</w:t>
            </w:r>
            <w:r w:rsidR="00F4744A" w:rsidRPr="00E709A7">
              <w:rPr>
                <w:color w:val="000000"/>
                <w:w w:val="31"/>
                <w:szCs w:val="20"/>
                <w:shd w:val="solid" w:color="000000" w:fill="000000"/>
                <w:fitText w:val="138" w:id="-694393848"/>
                <w14:textFill>
                  <w14:solidFill>
                    <w14:srgbClr w14:val="000000">
                      <w14:alpha w14:val="100000"/>
                    </w14:srgbClr>
                  </w14:solidFill>
                </w14:textFill>
              </w:rPr>
              <w:t>|</w:t>
            </w:r>
            <w:r w:rsidR="00F4744A" w:rsidRPr="00E709A7">
              <w:rPr>
                <w:rFonts w:hint="eastAsia"/>
                <w:color w:val="000000"/>
                <w:spacing w:val="2"/>
                <w:w w:val="31"/>
                <w:szCs w:val="20"/>
                <w:shd w:val="solid" w:color="000000" w:fill="000000"/>
                <w:fitText w:val="138" w:id="-694393848"/>
                <w14:textFill>
                  <w14:solidFill>
                    <w14:srgbClr w14:val="000000">
                      <w14:alpha w14:val="100000"/>
                    </w14:srgbClr>
                  </w14:solidFill>
                </w14:textFill>
              </w:rPr>
              <w:t xml:space="preserve">　</w:t>
            </w:r>
            <w:r w:rsidRPr="000A7BB0">
              <w:rPr>
                <w:szCs w:val="20"/>
              </w:rPr>
              <w:t xml:space="preserve"> published price</w:t>
            </w:r>
          </w:p>
          <w:p w14:paraId="5B97049E" w14:textId="334B8FE3" w:rsidR="00DE1AD7" w:rsidRPr="000A7BB0" w:rsidRDefault="00DE1AD7" w:rsidP="002553CE">
            <w:pPr>
              <w:keepNext/>
              <w:keepLines/>
              <w:spacing w:before="0" w:after="0"/>
              <w:jc w:val="center"/>
              <w:rPr>
                <w:rFonts w:ascii="Arial Narrow" w:hAnsi="Arial Narrow"/>
                <w:sz w:val="20"/>
                <w:szCs w:val="20"/>
              </w:rPr>
            </w:pPr>
            <w:r w:rsidRPr="000A7BB0">
              <w:rPr>
                <w:rFonts w:ascii="Arial Narrow" w:hAnsi="Arial Narrow"/>
                <w:sz w:val="20"/>
                <w:szCs w:val="20"/>
              </w:rPr>
              <w:t>$</w:t>
            </w:r>
            <w:r w:rsidR="00F4744A" w:rsidRPr="0052766F">
              <w:rPr>
                <w:rFonts w:ascii="Arial Narrow" w:hAnsi="Arial Narrow" w:hint="eastAsia"/>
                <w:color w:val="000000"/>
                <w:w w:val="19"/>
                <w:sz w:val="20"/>
                <w:szCs w:val="20"/>
                <w:shd w:val="solid" w:color="000000" w:fill="000000"/>
                <w:fitText w:val="88" w:id="-694393847"/>
                <w14:textFill>
                  <w14:solidFill>
                    <w14:srgbClr w14:val="000000">
                      <w14:alpha w14:val="100000"/>
                    </w14:srgbClr>
                  </w14:solidFill>
                </w14:textFill>
              </w:rPr>
              <w:t xml:space="preserve">　</w:t>
            </w:r>
            <w:r w:rsidR="00F4744A" w:rsidRPr="0052766F">
              <w:rPr>
                <w:rFonts w:ascii="Arial Narrow" w:hAnsi="Arial Narrow"/>
                <w:color w:val="000000"/>
                <w:w w:val="19"/>
                <w:sz w:val="20"/>
                <w:szCs w:val="20"/>
                <w:shd w:val="solid" w:color="000000" w:fill="000000"/>
                <w:fitText w:val="88" w:id="-694393847"/>
                <w14:textFill>
                  <w14:solidFill>
                    <w14:srgbClr w14:val="000000">
                      <w14:alpha w14:val="100000"/>
                    </w14:srgbClr>
                  </w14:solidFill>
                </w14:textFill>
              </w:rPr>
              <w:t>|</w:t>
            </w:r>
            <w:r w:rsidR="00F4744A" w:rsidRPr="0052766F">
              <w:rPr>
                <w:rFonts w:ascii="Arial Narrow" w:hAnsi="Arial Narrow" w:hint="eastAsia"/>
                <w:color w:val="000000"/>
                <w:spacing w:val="4"/>
                <w:w w:val="19"/>
                <w:sz w:val="20"/>
                <w:szCs w:val="20"/>
                <w:shd w:val="solid" w:color="000000" w:fill="000000"/>
                <w:fitText w:val="88" w:id="-694393847"/>
                <w14:textFill>
                  <w14:solidFill>
                    <w14:srgbClr w14:val="000000">
                      <w14:alpha w14:val="100000"/>
                    </w14:srgbClr>
                  </w14:solidFill>
                </w14:textFill>
              </w:rPr>
              <w:t xml:space="preserve">　</w:t>
            </w:r>
            <w:r w:rsidRPr="000A7BB0">
              <w:rPr>
                <w:rFonts w:ascii="Arial Narrow" w:hAnsi="Arial Narrow"/>
                <w:sz w:val="20"/>
                <w:szCs w:val="20"/>
              </w:rPr>
              <w:t xml:space="preserve"> effective price</w:t>
            </w:r>
          </w:p>
        </w:tc>
        <w:tc>
          <w:tcPr>
            <w:tcW w:w="389" w:type="pct"/>
            <w:vAlign w:val="center"/>
          </w:tcPr>
          <w:p w14:paraId="4B98FACA"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3</w:t>
            </w:r>
          </w:p>
        </w:tc>
        <w:tc>
          <w:tcPr>
            <w:tcW w:w="464" w:type="pct"/>
            <w:vAlign w:val="center"/>
          </w:tcPr>
          <w:p w14:paraId="46D9E59C"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84</w:t>
            </w:r>
          </w:p>
        </w:tc>
        <w:tc>
          <w:tcPr>
            <w:tcW w:w="542" w:type="pct"/>
            <w:vAlign w:val="center"/>
          </w:tcPr>
          <w:p w14:paraId="304A5D6D" w14:textId="77777777" w:rsidR="00DE1AD7" w:rsidRPr="000A7BB0" w:rsidRDefault="00DE1AD7" w:rsidP="002553CE">
            <w:pPr>
              <w:keepNext/>
              <w:keepLines/>
              <w:jc w:val="center"/>
              <w:rPr>
                <w:rFonts w:ascii="Arial Narrow" w:hAnsi="Arial Narrow"/>
                <w:sz w:val="20"/>
                <w:szCs w:val="20"/>
              </w:rPr>
            </w:pPr>
            <w:r w:rsidRPr="000A7BB0">
              <w:rPr>
                <w:rFonts w:ascii="Arial Narrow" w:hAnsi="Arial Narrow"/>
                <w:sz w:val="20"/>
                <w:szCs w:val="20"/>
              </w:rPr>
              <w:t>5</w:t>
            </w:r>
          </w:p>
        </w:tc>
        <w:tc>
          <w:tcPr>
            <w:tcW w:w="1052" w:type="pct"/>
            <w:vMerge/>
            <w:vAlign w:val="center"/>
          </w:tcPr>
          <w:p w14:paraId="2FEEEA94" w14:textId="77777777" w:rsidR="00DE1AD7" w:rsidRPr="000A7BB0" w:rsidRDefault="00DE1AD7" w:rsidP="002553CE">
            <w:pPr>
              <w:keepNext/>
              <w:keepLines/>
              <w:spacing w:after="0"/>
              <w:jc w:val="center"/>
              <w:rPr>
                <w:rFonts w:ascii="Arial Narrow" w:hAnsi="Arial Narrow"/>
                <w:sz w:val="18"/>
                <w:szCs w:val="18"/>
              </w:rPr>
            </w:pPr>
          </w:p>
        </w:tc>
      </w:tr>
    </w:tbl>
    <w:tbl>
      <w:tblPr>
        <w:tblStyle w:val="TableGrid2"/>
        <w:tblW w:w="4988" w:type="pct"/>
        <w:jc w:val="center"/>
        <w:tblLayout w:type="fixed"/>
        <w:tblLook w:val="0020" w:firstRow="1" w:lastRow="0" w:firstColumn="0" w:lastColumn="0" w:noHBand="0" w:noVBand="0"/>
        <w:tblCaption w:val="Requested listing"/>
      </w:tblPr>
      <w:tblGrid>
        <w:gridCol w:w="8994"/>
      </w:tblGrid>
      <w:tr w:rsidR="00DE1AD7" w:rsidRPr="000A7BB0" w14:paraId="4F25D55E" w14:textId="77777777" w:rsidTr="00C802B4">
        <w:trPr>
          <w:trHeight w:val="20"/>
          <w:jc w:val="center"/>
        </w:trPr>
        <w:tc>
          <w:tcPr>
            <w:tcW w:w="8995" w:type="dxa"/>
          </w:tcPr>
          <w:p w14:paraId="0B797FBB" w14:textId="77777777" w:rsidR="00DE1AD7" w:rsidRPr="000A7BB0" w:rsidRDefault="00DE1AD7" w:rsidP="002553CE">
            <w:pPr>
              <w:pStyle w:val="Tabletext0"/>
              <w:rPr>
                <w:rFonts w:eastAsia="Aptos"/>
                <w:snapToGrid/>
              </w:rPr>
            </w:pPr>
            <w:bookmarkStart w:id="10" w:name="_Hlk104809055"/>
            <w:r w:rsidRPr="000A7BB0">
              <w:rPr>
                <w:rFonts w:eastAsia="Aptos"/>
                <w:snapToGrid/>
              </w:rPr>
              <w:t xml:space="preserve">Restriction Summary [new] / Treatment of Concept: [new] </w:t>
            </w:r>
          </w:p>
        </w:tc>
      </w:tr>
      <w:tr w:rsidR="001F2DBB" w:rsidRPr="000A7BB0" w14:paraId="56A21EAA" w14:textId="77777777" w:rsidTr="00C802B4">
        <w:trPr>
          <w:trHeight w:val="20"/>
          <w:jc w:val="center"/>
        </w:trPr>
        <w:tc>
          <w:tcPr>
            <w:tcW w:w="8995" w:type="dxa"/>
          </w:tcPr>
          <w:p w14:paraId="6FC43E97" w14:textId="77777777" w:rsidR="001F2DBB" w:rsidRPr="000A7BB0" w:rsidRDefault="001F2DBB" w:rsidP="002553CE">
            <w:pPr>
              <w:pStyle w:val="Tabletext0"/>
              <w:rPr>
                <w:rFonts w:eastAsia="Aptos"/>
                <w:snapToGrid/>
              </w:rPr>
            </w:pPr>
            <w:r w:rsidRPr="000A7BB0">
              <w:rPr>
                <w:rFonts w:eastAsia="Aptos"/>
                <w:snapToGrid/>
              </w:rPr>
              <w:t xml:space="preserve">Category / Program: </w:t>
            </w:r>
            <w:r w:rsidRPr="000A7BB0">
              <w:rPr>
                <w:rFonts w:eastAsia="Aptos"/>
                <w:snapToGrid/>
              </w:rPr>
              <w:fldChar w:fldCharType="begin">
                <w:ffData>
                  <w:name w:val="Check1"/>
                  <w:enabled/>
                  <w:calcOnExit w:val="0"/>
                  <w:checkBox>
                    <w:sizeAuto/>
                    <w:default w:val="1"/>
                  </w:checkBox>
                </w:ffData>
              </w:fldChar>
            </w:r>
            <w:r w:rsidRPr="000A7BB0">
              <w:rPr>
                <w:rFonts w:eastAsia="Aptos"/>
                <w:snapToGrid/>
              </w:rPr>
              <w:instrText xml:space="preserve"> FORMCHECKBOX </w:instrText>
            </w:r>
            <w:r w:rsidRPr="000A7BB0">
              <w:rPr>
                <w:rFonts w:eastAsia="Aptos"/>
                <w:snapToGrid/>
              </w:rPr>
            </w:r>
            <w:r w:rsidRPr="000A7BB0">
              <w:rPr>
                <w:rFonts w:eastAsia="Aptos"/>
                <w:snapToGrid/>
              </w:rPr>
              <w:fldChar w:fldCharType="separate"/>
            </w:r>
            <w:r w:rsidRPr="000A7BB0">
              <w:rPr>
                <w:rFonts w:eastAsia="Aptos"/>
                <w:snapToGrid/>
              </w:rPr>
              <w:fldChar w:fldCharType="end"/>
            </w:r>
            <w:r w:rsidRPr="000A7BB0">
              <w:rPr>
                <w:rFonts w:eastAsia="Aptos"/>
                <w:snapToGrid/>
              </w:rPr>
              <w:t xml:space="preserve"> GENERAL - General Schedule (Code GE) </w:t>
            </w:r>
          </w:p>
        </w:tc>
      </w:tr>
      <w:tr w:rsidR="001F2DBB" w:rsidRPr="000A7BB0" w14:paraId="181C0A14" w14:textId="77777777" w:rsidTr="00C802B4">
        <w:trPr>
          <w:trHeight w:val="20"/>
          <w:jc w:val="center"/>
        </w:trPr>
        <w:tc>
          <w:tcPr>
            <w:tcW w:w="8995" w:type="dxa"/>
          </w:tcPr>
          <w:p w14:paraId="4260D6C5" w14:textId="77777777" w:rsidR="001F2DBB" w:rsidRPr="000A7BB0" w:rsidRDefault="001F2DBB" w:rsidP="002553CE">
            <w:pPr>
              <w:pStyle w:val="Tabletext0"/>
              <w:rPr>
                <w:rFonts w:eastAsia="Aptos"/>
                <w:snapToGrid/>
              </w:rPr>
            </w:pPr>
            <w:r w:rsidRPr="000A7BB0">
              <w:rPr>
                <w:rFonts w:eastAsia="Aptos"/>
                <w:snapToGrid/>
              </w:rPr>
              <w:t xml:space="preserve">Prescriber type: </w:t>
            </w:r>
            <w:r w:rsidRPr="000A7BB0">
              <w:rPr>
                <w:rFonts w:eastAsia="Aptos"/>
                <w:snapToGrid/>
              </w:rPr>
              <w:fldChar w:fldCharType="begin">
                <w:ffData>
                  <w:name w:val=""/>
                  <w:enabled/>
                  <w:calcOnExit w:val="0"/>
                  <w:checkBox>
                    <w:sizeAuto/>
                    <w:default w:val="1"/>
                  </w:checkBox>
                </w:ffData>
              </w:fldChar>
            </w:r>
            <w:r w:rsidRPr="000A7BB0">
              <w:rPr>
                <w:rFonts w:eastAsia="Aptos"/>
                <w:snapToGrid/>
              </w:rPr>
              <w:instrText xml:space="preserve"> FORMCHECKBOX </w:instrText>
            </w:r>
            <w:r w:rsidRPr="000A7BB0">
              <w:rPr>
                <w:rFonts w:eastAsia="Aptos"/>
                <w:snapToGrid/>
              </w:rPr>
            </w:r>
            <w:r w:rsidRPr="000A7BB0">
              <w:rPr>
                <w:rFonts w:eastAsia="Aptos"/>
                <w:snapToGrid/>
              </w:rPr>
              <w:fldChar w:fldCharType="separate"/>
            </w:r>
            <w:r w:rsidRPr="000A7BB0">
              <w:rPr>
                <w:rFonts w:eastAsia="Aptos"/>
                <w:snapToGrid/>
              </w:rPr>
              <w:fldChar w:fldCharType="end"/>
            </w:r>
            <w:r w:rsidRPr="000A7BB0">
              <w:rPr>
                <w:rFonts w:eastAsia="Aptos"/>
                <w:snapToGrid/>
              </w:rPr>
              <w:t xml:space="preserve">Medical Practitioners </w:t>
            </w:r>
          </w:p>
        </w:tc>
      </w:tr>
      <w:tr w:rsidR="001F2DBB" w:rsidRPr="000A7BB0" w14:paraId="0F823A52" w14:textId="77777777" w:rsidTr="00C802B4">
        <w:trPr>
          <w:trHeight w:val="20"/>
          <w:jc w:val="center"/>
        </w:trPr>
        <w:tc>
          <w:tcPr>
            <w:tcW w:w="8995" w:type="dxa"/>
          </w:tcPr>
          <w:p w14:paraId="5B3EB3BD" w14:textId="77777777" w:rsidR="001F2DBB" w:rsidRPr="000A7BB0" w:rsidRDefault="001F2DBB" w:rsidP="002553CE">
            <w:pPr>
              <w:pStyle w:val="Tabletext0"/>
              <w:rPr>
                <w:rFonts w:eastAsia="Aptos"/>
                <w:snapToGrid/>
              </w:rPr>
            </w:pPr>
            <w:r w:rsidRPr="000A7BB0">
              <w:rPr>
                <w:rFonts w:eastAsia="Aptos"/>
                <w:snapToGrid/>
              </w:rPr>
              <w:t xml:space="preserve">Restriction type: </w:t>
            </w:r>
            <w:r w:rsidRPr="000A7BB0">
              <w:rPr>
                <w:rFonts w:eastAsia="Aptos"/>
                <w:snapToGrid/>
              </w:rPr>
              <w:fldChar w:fldCharType="begin">
                <w:ffData>
                  <w:name w:val="Check3"/>
                  <w:enabled/>
                  <w:calcOnExit w:val="0"/>
                  <w:checkBox>
                    <w:sizeAuto/>
                    <w:default w:val="1"/>
                  </w:checkBox>
                </w:ffData>
              </w:fldChar>
            </w:r>
            <w:r w:rsidRPr="000A7BB0">
              <w:rPr>
                <w:rFonts w:eastAsia="Aptos"/>
                <w:snapToGrid/>
              </w:rPr>
              <w:instrText xml:space="preserve"> FORMCHECKBOX </w:instrText>
            </w:r>
            <w:r w:rsidRPr="000A7BB0">
              <w:rPr>
                <w:rFonts w:eastAsia="Aptos"/>
                <w:snapToGrid/>
              </w:rPr>
            </w:r>
            <w:r w:rsidRPr="000A7BB0">
              <w:rPr>
                <w:rFonts w:eastAsia="Aptos"/>
                <w:snapToGrid/>
              </w:rPr>
              <w:fldChar w:fldCharType="separate"/>
            </w:r>
            <w:r w:rsidRPr="000A7BB0">
              <w:rPr>
                <w:rFonts w:eastAsia="Aptos"/>
                <w:snapToGrid/>
              </w:rPr>
              <w:fldChar w:fldCharType="end"/>
            </w:r>
            <w:r w:rsidRPr="000A7BB0">
              <w:rPr>
                <w:rFonts w:eastAsia="Aptos"/>
                <w:snapToGrid/>
              </w:rPr>
              <w:t>Authority Required (telephone/online)</w:t>
            </w:r>
          </w:p>
        </w:tc>
      </w:tr>
      <w:tr w:rsidR="001F2DBB" w:rsidRPr="000A7BB0" w14:paraId="378568C7" w14:textId="77777777" w:rsidTr="00C802B4">
        <w:trPr>
          <w:trHeight w:val="20"/>
          <w:jc w:val="center"/>
        </w:trPr>
        <w:tc>
          <w:tcPr>
            <w:tcW w:w="8995" w:type="dxa"/>
          </w:tcPr>
          <w:p w14:paraId="7A94BF8C" w14:textId="77777777" w:rsidR="001F2DBB" w:rsidRPr="000A7BB0" w:rsidRDefault="001F2DBB" w:rsidP="002553CE">
            <w:pPr>
              <w:pStyle w:val="Tabletext0"/>
              <w:rPr>
                <w:rFonts w:eastAsia="Aptos"/>
                <w:snapToGrid/>
              </w:rPr>
            </w:pPr>
            <w:r w:rsidRPr="000A7BB0">
              <w:rPr>
                <w:rFonts w:eastAsia="Aptos"/>
                <w:snapToGrid/>
              </w:rPr>
              <w:t xml:space="preserve">Administrative Advice: No increase in the maximum </w:t>
            </w:r>
            <w:r w:rsidRPr="000A7BB0">
              <w:rPr>
                <w:rFonts w:eastAsia="Aptos"/>
                <w:i/>
                <w:iCs/>
                <w:snapToGrid/>
              </w:rPr>
              <w:t>quantity</w:t>
            </w:r>
            <w:r w:rsidRPr="000A7BB0">
              <w:rPr>
                <w:rFonts w:eastAsia="Aptos"/>
                <w:snapToGrid/>
              </w:rPr>
              <w:t xml:space="preserve"> </w:t>
            </w:r>
            <w:r w:rsidRPr="000A7BB0">
              <w:rPr>
                <w:rFonts w:eastAsia="Aptos"/>
                <w:strike/>
                <w:snapToGrid/>
              </w:rPr>
              <w:t>amount</w:t>
            </w:r>
            <w:r w:rsidRPr="000A7BB0">
              <w:rPr>
                <w:rFonts w:eastAsia="Aptos"/>
                <w:snapToGrid/>
              </w:rPr>
              <w:t xml:space="preserve"> or number of units may be authorised. </w:t>
            </w:r>
          </w:p>
        </w:tc>
      </w:tr>
      <w:tr w:rsidR="001F2DBB" w:rsidRPr="000A7BB0" w14:paraId="217F7802" w14:textId="77777777" w:rsidTr="00C802B4">
        <w:trPr>
          <w:trHeight w:val="20"/>
          <w:jc w:val="center"/>
        </w:trPr>
        <w:tc>
          <w:tcPr>
            <w:tcW w:w="8995" w:type="dxa"/>
          </w:tcPr>
          <w:p w14:paraId="18A232B1" w14:textId="77777777" w:rsidR="001F2DBB" w:rsidRPr="000A7BB0" w:rsidRDefault="001F2DBB" w:rsidP="002553CE">
            <w:pPr>
              <w:pStyle w:val="Tabletext0"/>
              <w:rPr>
                <w:rFonts w:eastAsia="Aptos"/>
                <w:snapToGrid/>
              </w:rPr>
            </w:pPr>
            <w:r w:rsidRPr="000A7BB0">
              <w:rPr>
                <w:rFonts w:eastAsia="Aptos"/>
                <w:snapToGrid/>
              </w:rPr>
              <w:t>Administrative Advice: No increase in the maximum number of repeats may be authorised. </w:t>
            </w:r>
          </w:p>
        </w:tc>
      </w:tr>
      <w:tr w:rsidR="001F2DBB" w:rsidRPr="000A7BB0" w14:paraId="3C7CFACB" w14:textId="77777777" w:rsidTr="00C802B4">
        <w:trPr>
          <w:trHeight w:val="20"/>
          <w:jc w:val="center"/>
        </w:trPr>
        <w:tc>
          <w:tcPr>
            <w:tcW w:w="8995" w:type="dxa"/>
          </w:tcPr>
          <w:p w14:paraId="0F1F3D3D" w14:textId="77777777" w:rsidR="001F2DBB" w:rsidRPr="000A7BB0" w:rsidRDefault="001F2DBB" w:rsidP="002553CE">
            <w:pPr>
              <w:pStyle w:val="Tabletext0"/>
              <w:rPr>
                <w:rFonts w:eastAsia="Aptos"/>
                <w:snapToGrid/>
              </w:rPr>
            </w:pPr>
            <w:r w:rsidRPr="000A7BB0">
              <w:rPr>
                <w:rFonts w:eastAsia="Aptos"/>
                <w:snapToGrid/>
              </w:rPr>
              <w:t>Administrative Advice: Special Pricing Arrangements apply. </w:t>
            </w:r>
          </w:p>
        </w:tc>
      </w:tr>
      <w:tr w:rsidR="001F2DBB" w:rsidRPr="000A7BB0" w14:paraId="6C2EDD34" w14:textId="77777777" w:rsidTr="00C802B4">
        <w:trPr>
          <w:trHeight w:val="20"/>
          <w:jc w:val="center"/>
        </w:trPr>
        <w:tc>
          <w:tcPr>
            <w:tcW w:w="8995" w:type="dxa"/>
          </w:tcPr>
          <w:p w14:paraId="563626F8" w14:textId="77777777" w:rsidR="001F2DBB" w:rsidRPr="000A7BB0" w:rsidRDefault="001F2DBB" w:rsidP="002553CE">
            <w:pPr>
              <w:pStyle w:val="Tabletext0"/>
              <w:rPr>
                <w:rFonts w:eastAsia="Aptos"/>
                <w:i/>
                <w:iCs/>
                <w:snapToGrid/>
              </w:rPr>
            </w:pPr>
            <w:r w:rsidRPr="000A7BB0">
              <w:rPr>
                <w:rFonts w:eastAsia="Aptos"/>
                <w:i/>
                <w:iCs/>
                <w:snapToGrid/>
              </w:rPr>
              <w:t>Administrative Advice:</w:t>
            </w:r>
          </w:p>
          <w:p w14:paraId="7681C9FD" w14:textId="77777777" w:rsidR="001F2DBB" w:rsidRPr="000A7BB0" w:rsidRDefault="001F2DBB" w:rsidP="002553CE">
            <w:pPr>
              <w:pStyle w:val="Tabletext0"/>
              <w:rPr>
                <w:rFonts w:eastAsia="Aptos"/>
                <w:i/>
                <w:iCs/>
                <w:snapToGrid/>
              </w:rPr>
            </w:pPr>
            <w:r w:rsidRPr="000A7BB0">
              <w:rPr>
                <w:rFonts w:eastAsia="Aptos"/>
                <w:i/>
                <w:iCs/>
                <w:snapToGrid/>
              </w:rPr>
              <w:t>Cyclin-dependent kinase 4 and 6 (CDK4/6) inhibitors for the purposes of this restriction are abemaciclib, palbociclib and ribociclib.</w:t>
            </w:r>
          </w:p>
        </w:tc>
      </w:tr>
      <w:tr w:rsidR="001F2DBB" w:rsidRPr="000A7BB0" w14:paraId="3D17893A" w14:textId="77777777" w:rsidTr="00C802B4">
        <w:trPr>
          <w:trHeight w:val="20"/>
          <w:jc w:val="center"/>
        </w:trPr>
        <w:tc>
          <w:tcPr>
            <w:tcW w:w="8995" w:type="dxa"/>
          </w:tcPr>
          <w:p w14:paraId="7A918E93" w14:textId="77777777" w:rsidR="001F2DBB" w:rsidRPr="000A7BB0" w:rsidRDefault="001F2DBB" w:rsidP="002553CE">
            <w:pPr>
              <w:pStyle w:val="Tabletext0"/>
              <w:rPr>
                <w:rFonts w:eastAsia="Aptos"/>
                <w:i/>
                <w:iCs/>
                <w:snapToGrid/>
              </w:rPr>
            </w:pPr>
            <w:r w:rsidRPr="000A7BB0">
              <w:rPr>
                <w:rFonts w:eastAsia="Aptos"/>
                <w:i/>
                <w:iCs/>
                <w:snapToGrid/>
              </w:rPr>
              <w:t>Administrative Advice: Applications for authorisation under this restriction may be made in real time using the Online PBS Authorities system (see www.servicesaustralia.gov.au/HPOS) or by telephone by contacting Services Australia on 1800 888 333.</w:t>
            </w:r>
          </w:p>
        </w:tc>
      </w:tr>
      <w:tr w:rsidR="001F2DBB" w:rsidRPr="000A7BB0" w14:paraId="12B69A5E" w14:textId="77777777" w:rsidTr="00C802B4">
        <w:trPr>
          <w:trHeight w:val="20"/>
          <w:jc w:val="center"/>
        </w:trPr>
        <w:tc>
          <w:tcPr>
            <w:tcW w:w="8995" w:type="dxa"/>
            <w:hideMark/>
          </w:tcPr>
          <w:p w14:paraId="2F92182F" w14:textId="77777777" w:rsidR="001F2DBB" w:rsidRPr="000A7BB0" w:rsidRDefault="001F2DBB" w:rsidP="002553CE">
            <w:pPr>
              <w:pStyle w:val="Tabletext0"/>
              <w:rPr>
                <w:rFonts w:eastAsia="Aptos"/>
                <w:snapToGrid/>
              </w:rPr>
            </w:pPr>
            <w:r w:rsidRPr="000A7BB0">
              <w:rPr>
                <w:rFonts w:eastAsia="Aptos"/>
                <w:snapToGrid/>
              </w:rPr>
              <w:t>Indication: Locally advanced or metastatic breast cancer </w:t>
            </w:r>
          </w:p>
        </w:tc>
      </w:tr>
      <w:tr w:rsidR="001F2DBB" w:rsidRPr="000A7BB0" w14:paraId="3B107548" w14:textId="77777777" w:rsidTr="00C802B4">
        <w:trPr>
          <w:trHeight w:val="20"/>
          <w:jc w:val="center"/>
        </w:trPr>
        <w:tc>
          <w:tcPr>
            <w:tcW w:w="8995" w:type="dxa"/>
            <w:vAlign w:val="center"/>
          </w:tcPr>
          <w:p w14:paraId="584A7251" w14:textId="77777777" w:rsidR="001F2DBB" w:rsidRPr="000A7BB0" w:rsidRDefault="001F2DBB" w:rsidP="002553CE">
            <w:pPr>
              <w:pStyle w:val="Tabletext0"/>
              <w:rPr>
                <w:rFonts w:eastAsia="Aptos"/>
                <w:snapToGrid/>
              </w:rPr>
            </w:pPr>
            <w:r w:rsidRPr="000A7BB0">
              <w:rPr>
                <w:rFonts w:eastAsia="Calibri" w:cs="Calibri"/>
                <w:snapToGrid/>
              </w:rPr>
              <w:t xml:space="preserve">Treatment Phase: </w:t>
            </w:r>
            <w:r w:rsidRPr="000A7BB0">
              <w:rPr>
                <w:rFonts w:eastAsia="Calibri" w:cs="Calibri"/>
                <w:strike/>
                <w:snapToGrid/>
              </w:rPr>
              <w:t>Initial and Continuing Treatment and Grandfather arrangements</w:t>
            </w:r>
          </w:p>
        </w:tc>
      </w:tr>
      <w:tr w:rsidR="001F2DBB" w:rsidRPr="000A7BB0" w14:paraId="4267F248" w14:textId="77777777" w:rsidTr="00C802B4">
        <w:trPr>
          <w:trHeight w:val="20"/>
          <w:jc w:val="center"/>
        </w:trPr>
        <w:tc>
          <w:tcPr>
            <w:tcW w:w="8995" w:type="dxa"/>
            <w:hideMark/>
          </w:tcPr>
          <w:p w14:paraId="4290A71E" w14:textId="77777777" w:rsidR="001F2DBB" w:rsidRPr="000A7BB0" w:rsidRDefault="001F2DBB" w:rsidP="002553CE">
            <w:pPr>
              <w:pStyle w:val="Tabletext0"/>
              <w:rPr>
                <w:rFonts w:eastAsia="Aptos"/>
                <w:snapToGrid/>
              </w:rPr>
            </w:pPr>
            <w:r w:rsidRPr="000A7BB0">
              <w:rPr>
                <w:rFonts w:eastAsia="Aptos"/>
                <w:snapToGrid/>
              </w:rPr>
              <w:t>Clinical criteria: </w:t>
            </w:r>
          </w:p>
        </w:tc>
      </w:tr>
      <w:tr w:rsidR="001F2DBB" w:rsidRPr="000A7BB0" w14:paraId="3D884052" w14:textId="77777777" w:rsidTr="00C802B4">
        <w:trPr>
          <w:trHeight w:val="20"/>
          <w:jc w:val="center"/>
        </w:trPr>
        <w:tc>
          <w:tcPr>
            <w:tcW w:w="8995" w:type="dxa"/>
            <w:hideMark/>
          </w:tcPr>
          <w:p w14:paraId="62E670F5" w14:textId="77777777" w:rsidR="001F2DBB" w:rsidRPr="000A7BB0" w:rsidRDefault="001F2DBB" w:rsidP="002553CE">
            <w:pPr>
              <w:pStyle w:val="Tabletext0"/>
              <w:rPr>
                <w:rFonts w:eastAsia="Aptos"/>
                <w:snapToGrid/>
              </w:rPr>
            </w:pPr>
            <w:r w:rsidRPr="000A7BB0">
              <w:rPr>
                <w:rFonts w:eastAsia="Aptos"/>
                <w:snapToGrid/>
              </w:rPr>
              <w:lastRenderedPageBreak/>
              <w:t>The condition must be hormone receptor positive</w:t>
            </w:r>
          </w:p>
        </w:tc>
      </w:tr>
      <w:tr w:rsidR="001F2DBB" w:rsidRPr="000A7BB0" w14:paraId="77710E65" w14:textId="77777777" w:rsidTr="00C802B4">
        <w:trPr>
          <w:trHeight w:val="20"/>
          <w:jc w:val="center"/>
        </w:trPr>
        <w:tc>
          <w:tcPr>
            <w:tcW w:w="8995" w:type="dxa"/>
            <w:hideMark/>
          </w:tcPr>
          <w:p w14:paraId="52EA093B" w14:textId="77777777" w:rsidR="001F2DBB" w:rsidRPr="000A7BB0" w:rsidRDefault="001F2DBB" w:rsidP="002553CE">
            <w:pPr>
              <w:pStyle w:val="Tabletext0"/>
              <w:rPr>
                <w:rFonts w:eastAsia="Aptos"/>
                <w:snapToGrid/>
              </w:rPr>
            </w:pPr>
            <w:r w:rsidRPr="000A7BB0">
              <w:rPr>
                <w:rFonts w:eastAsia="Aptos"/>
                <w:snapToGrid/>
              </w:rPr>
              <w:t>AND </w:t>
            </w:r>
          </w:p>
        </w:tc>
      </w:tr>
      <w:tr w:rsidR="001F2DBB" w:rsidRPr="000A7BB0" w14:paraId="55779C42" w14:textId="77777777" w:rsidTr="00C802B4">
        <w:trPr>
          <w:trHeight w:val="20"/>
          <w:jc w:val="center"/>
        </w:trPr>
        <w:tc>
          <w:tcPr>
            <w:tcW w:w="8995" w:type="dxa"/>
            <w:hideMark/>
          </w:tcPr>
          <w:p w14:paraId="5422C8A1" w14:textId="77777777" w:rsidR="001F2DBB" w:rsidRPr="000A7BB0" w:rsidRDefault="001F2DBB" w:rsidP="002553CE">
            <w:pPr>
              <w:pStyle w:val="Tabletext0"/>
              <w:rPr>
                <w:rFonts w:eastAsia="Aptos"/>
                <w:snapToGrid/>
              </w:rPr>
            </w:pPr>
            <w:r w:rsidRPr="000A7BB0">
              <w:rPr>
                <w:rFonts w:eastAsia="Aptos"/>
                <w:snapToGrid/>
              </w:rPr>
              <w:t>Clinical criteria: </w:t>
            </w:r>
          </w:p>
        </w:tc>
      </w:tr>
      <w:tr w:rsidR="001F2DBB" w:rsidRPr="000A7BB0" w14:paraId="286BA6D2" w14:textId="77777777" w:rsidTr="00C802B4">
        <w:trPr>
          <w:trHeight w:val="20"/>
          <w:jc w:val="center"/>
        </w:trPr>
        <w:tc>
          <w:tcPr>
            <w:tcW w:w="8995" w:type="dxa"/>
            <w:hideMark/>
          </w:tcPr>
          <w:p w14:paraId="1FFF83AF" w14:textId="77777777" w:rsidR="001F2DBB" w:rsidRPr="000A7BB0" w:rsidRDefault="001F2DBB" w:rsidP="002553CE">
            <w:pPr>
              <w:pStyle w:val="Tabletext0"/>
              <w:rPr>
                <w:rFonts w:eastAsia="Aptos"/>
                <w:snapToGrid/>
              </w:rPr>
            </w:pPr>
            <w:r w:rsidRPr="000A7BB0">
              <w:rPr>
                <w:rFonts w:eastAsia="Aptos"/>
                <w:snapToGrid/>
              </w:rPr>
              <w:t>The condition must be human epidermal growth factor receptor 2 (HER2) negative</w:t>
            </w:r>
          </w:p>
        </w:tc>
      </w:tr>
      <w:tr w:rsidR="001F2DBB" w:rsidRPr="000A7BB0" w14:paraId="0C7955F1" w14:textId="77777777" w:rsidTr="00C802B4">
        <w:trPr>
          <w:trHeight w:val="20"/>
          <w:jc w:val="center"/>
        </w:trPr>
        <w:tc>
          <w:tcPr>
            <w:tcW w:w="8995" w:type="dxa"/>
            <w:hideMark/>
          </w:tcPr>
          <w:p w14:paraId="190FC15A" w14:textId="77777777" w:rsidR="001F2DBB" w:rsidRPr="000A7BB0" w:rsidRDefault="001F2DBB" w:rsidP="002553CE">
            <w:pPr>
              <w:pStyle w:val="Tabletext0"/>
              <w:rPr>
                <w:rFonts w:eastAsia="Aptos"/>
                <w:snapToGrid/>
              </w:rPr>
            </w:pPr>
            <w:r w:rsidRPr="000A7BB0">
              <w:rPr>
                <w:rFonts w:eastAsia="Aptos"/>
                <w:snapToGrid/>
              </w:rPr>
              <w:t>AND </w:t>
            </w:r>
          </w:p>
        </w:tc>
      </w:tr>
      <w:tr w:rsidR="001F2DBB" w:rsidRPr="000A7BB0" w14:paraId="05FAC530" w14:textId="77777777" w:rsidTr="00C802B4">
        <w:trPr>
          <w:trHeight w:val="20"/>
          <w:jc w:val="center"/>
        </w:trPr>
        <w:tc>
          <w:tcPr>
            <w:tcW w:w="8995" w:type="dxa"/>
            <w:hideMark/>
          </w:tcPr>
          <w:p w14:paraId="050E05A2" w14:textId="77777777" w:rsidR="001F2DBB" w:rsidRPr="000A7BB0" w:rsidRDefault="001F2DBB" w:rsidP="002553CE">
            <w:pPr>
              <w:pStyle w:val="Tabletext0"/>
              <w:rPr>
                <w:rFonts w:eastAsia="Aptos"/>
                <w:snapToGrid/>
              </w:rPr>
            </w:pPr>
            <w:r w:rsidRPr="000A7BB0">
              <w:rPr>
                <w:rFonts w:eastAsia="Aptos"/>
                <w:snapToGrid/>
              </w:rPr>
              <w:t>Clinical criteria: </w:t>
            </w:r>
          </w:p>
        </w:tc>
      </w:tr>
      <w:tr w:rsidR="001F2DBB" w:rsidRPr="000A7BB0" w14:paraId="5AB7239D" w14:textId="77777777" w:rsidTr="00C802B4">
        <w:trPr>
          <w:trHeight w:val="20"/>
          <w:jc w:val="center"/>
        </w:trPr>
        <w:tc>
          <w:tcPr>
            <w:tcW w:w="8995" w:type="dxa"/>
            <w:hideMark/>
          </w:tcPr>
          <w:p w14:paraId="34F94ACB" w14:textId="77777777" w:rsidR="001F2DBB" w:rsidRPr="000A7BB0" w:rsidRDefault="001F2DBB" w:rsidP="002553CE">
            <w:pPr>
              <w:pStyle w:val="Tabletext0"/>
              <w:rPr>
                <w:rFonts w:eastAsia="Aptos"/>
                <w:snapToGrid/>
              </w:rPr>
            </w:pPr>
            <w:r w:rsidRPr="000A7BB0">
              <w:rPr>
                <w:rFonts w:eastAsia="Aptos"/>
                <w:snapToGrid/>
              </w:rPr>
              <w:t xml:space="preserve">Patient must have evidence of an </w:t>
            </w:r>
            <w:r w:rsidRPr="000A7BB0">
              <w:rPr>
                <w:rFonts w:eastAsia="Aptos"/>
                <w:i/>
                <w:iCs/>
                <w:snapToGrid/>
              </w:rPr>
              <w:t>activating</w:t>
            </w:r>
            <w:r w:rsidRPr="000A7BB0">
              <w:rPr>
                <w:rFonts w:eastAsia="Aptos"/>
                <w:snapToGrid/>
              </w:rPr>
              <w:t xml:space="preserve"> estrogen receptor 1 (ESR1) variant</w:t>
            </w:r>
          </w:p>
        </w:tc>
      </w:tr>
      <w:tr w:rsidR="001F2DBB" w:rsidRPr="000A7BB0" w14:paraId="4BBD84EF" w14:textId="77777777" w:rsidTr="00C802B4">
        <w:trPr>
          <w:trHeight w:val="20"/>
          <w:jc w:val="center"/>
        </w:trPr>
        <w:tc>
          <w:tcPr>
            <w:tcW w:w="8995" w:type="dxa"/>
            <w:hideMark/>
          </w:tcPr>
          <w:p w14:paraId="6BEBAFA0" w14:textId="77777777" w:rsidR="001F2DBB" w:rsidRPr="000A7BB0" w:rsidRDefault="001F2DBB" w:rsidP="002553CE">
            <w:pPr>
              <w:pStyle w:val="Tabletext0"/>
              <w:rPr>
                <w:rFonts w:eastAsia="Aptos"/>
                <w:snapToGrid/>
              </w:rPr>
            </w:pPr>
            <w:r w:rsidRPr="000A7BB0">
              <w:rPr>
                <w:rFonts w:eastAsia="Aptos"/>
                <w:snapToGrid/>
              </w:rPr>
              <w:t>AND </w:t>
            </w:r>
          </w:p>
        </w:tc>
      </w:tr>
      <w:tr w:rsidR="001F2DBB" w:rsidRPr="000A7BB0" w14:paraId="5069F16C" w14:textId="77777777" w:rsidTr="00C802B4">
        <w:trPr>
          <w:trHeight w:val="20"/>
          <w:jc w:val="center"/>
        </w:trPr>
        <w:tc>
          <w:tcPr>
            <w:tcW w:w="8995" w:type="dxa"/>
            <w:hideMark/>
          </w:tcPr>
          <w:p w14:paraId="15E013F2" w14:textId="77777777" w:rsidR="001F2DBB" w:rsidRPr="000A7BB0" w:rsidRDefault="001F2DBB" w:rsidP="002553CE">
            <w:pPr>
              <w:pStyle w:val="Tabletext0"/>
              <w:rPr>
                <w:rFonts w:eastAsia="Aptos"/>
                <w:i/>
                <w:iCs/>
                <w:snapToGrid/>
              </w:rPr>
            </w:pPr>
            <w:r w:rsidRPr="000A7BB0">
              <w:rPr>
                <w:rFonts w:eastAsia="Aptos"/>
                <w:snapToGrid/>
              </w:rPr>
              <w:t>Clinical criteria: </w:t>
            </w:r>
          </w:p>
        </w:tc>
      </w:tr>
      <w:tr w:rsidR="001F2DBB" w:rsidRPr="000A7BB0" w14:paraId="6020470E" w14:textId="77777777" w:rsidTr="00C802B4">
        <w:trPr>
          <w:trHeight w:val="20"/>
          <w:jc w:val="center"/>
        </w:trPr>
        <w:tc>
          <w:tcPr>
            <w:tcW w:w="8995" w:type="dxa"/>
          </w:tcPr>
          <w:p w14:paraId="6C9D0D9E" w14:textId="77777777" w:rsidR="001F2DBB" w:rsidRPr="000A7BB0" w:rsidRDefault="001F2DBB" w:rsidP="002553CE">
            <w:pPr>
              <w:pStyle w:val="Tabletext0"/>
              <w:rPr>
                <w:rFonts w:eastAsia="Aptos"/>
                <w:i/>
                <w:iCs/>
                <w:snapToGrid/>
              </w:rPr>
            </w:pPr>
            <w:r w:rsidRPr="000A7BB0">
              <w:rPr>
                <w:rFonts w:eastAsia="Aptos"/>
                <w:snapToGrid/>
              </w:rPr>
              <w:t xml:space="preserve">Patient must have received at least one prior line of endocrine therapy including a CDK4/6 inhibitor </w:t>
            </w:r>
            <w:r w:rsidRPr="000A7BB0">
              <w:rPr>
                <w:rFonts w:eastAsia="Aptos"/>
                <w:i/>
                <w:iCs/>
                <w:snapToGrid/>
              </w:rPr>
              <w:t>prior to initiation of treatment with this drug for this condition</w:t>
            </w:r>
          </w:p>
        </w:tc>
      </w:tr>
      <w:tr w:rsidR="001F2DBB" w:rsidRPr="000A7BB0" w14:paraId="3FF27B06" w14:textId="77777777" w:rsidTr="00C802B4">
        <w:trPr>
          <w:trHeight w:val="20"/>
          <w:jc w:val="center"/>
        </w:trPr>
        <w:tc>
          <w:tcPr>
            <w:tcW w:w="8995" w:type="dxa"/>
          </w:tcPr>
          <w:p w14:paraId="7024698F" w14:textId="77777777" w:rsidR="001F2DBB" w:rsidRPr="000A7BB0" w:rsidRDefault="001F2DBB" w:rsidP="002553CE">
            <w:pPr>
              <w:pStyle w:val="Tabletext0"/>
              <w:rPr>
                <w:rFonts w:eastAsia="Aptos"/>
                <w:snapToGrid/>
              </w:rPr>
            </w:pPr>
            <w:r w:rsidRPr="000A7BB0">
              <w:rPr>
                <w:rFonts w:eastAsia="Aptos"/>
                <w:snapToGrid/>
              </w:rPr>
              <w:t>AND </w:t>
            </w:r>
          </w:p>
        </w:tc>
      </w:tr>
      <w:tr w:rsidR="001F2DBB" w:rsidRPr="000A7BB0" w14:paraId="7E4F1BF5" w14:textId="77777777" w:rsidTr="00C802B4">
        <w:trPr>
          <w:trHeight w:val="20"/>
          <w:jc w:val="center"/>
        </w:trPr>
        <w:tc>
          <w:tcPr>
            <w:tcW w:w="8995" w:type="dxa"/>
          </w:tcPr>
          <w:p w14:paraId="7A789092" w14:textId="77777777" w:rsidR="001F2DBB" w:rsidRPr="000A7BB0" w:rsidRDefault="001F2DBB" w:rsidP="002553CE">
            <w:pPr>
              <w:pStyle w:val="Tabletext0"/>
              <w:rPr>
                <w:rFonts w:eastAsia="Aptos"/>
                <w:snapToGrid/>
              </w:rPr>
            </w:pPr>
            <w:r w:rsidRPr="000A7BB0">
              <w:rPr>
                <w:rFonts w:eastAsia="Aptos"/>
                <w:snapToGrid/>
              </w:rPr>
              <w:t>Clinical criteria: </w:t>
            </w:r>
          </w:p>
        </w:tc>
      </w:tr>
      <w:tr w:rsidR="001F2DBB" w:rsidRPr="000A7BB0" w14:paraId="6FEBF1FC" w14:textId="77777777" w:rsidTr="00C802B4">
        <w:trPr>
          <w:trHeight w:val="20"/>
          <w:jc w:val="center"/>
        </w:trPr>
        <w:tc>
          <w:tcPr>
            <w:tcW w:w="8995" w:type="dxa"/>
            <w:hideMark/>
          </w:tcPr>
          <w:p w14:paraId="1684638E" w14:textId="77777777" w:rsidR="001F2DBB" w:rsidRPr="000A7BB0" w:rsidRDefault="001F2DBB" w:rsidP="002553CE">
            <w:pPr>
              <w:pStyle w:val="Tabletext0"/>
              <w:rPr>
                <w:rFonts w:eastAsia="Aptos"/>
                <w:snapToGrid/>
              </w:rPr>
            </w:pPr>
            <w:r w:rsidRPr="000A7BB0">
              <w:rPr>
                <w:rFonts w:eastAsia="Aptos"/>
              </w:rPr>
              <w:t>Patient must have/</w:t>
            </w:r>
            <w:r w:rsidRPr="000A7BB0">
              <w:rPr>
                <w:rFonts w:eastAsia="Aptos"/>
                <w:i/>
                <w:iCs/>
              </w:rPr>
              <w:t>have had</w:t>
            </w:r>
            <w:r w:rsidRPr="000A7BB0">
              <w:rPr>
                <w:rFonts w:eastAsia="Aptos"/>
              </w:rPr>
              <w:t xml:space="preserve"> </w:t>
            </w:r>
            <w:r w:rsidRPr="000A7BB0">
              <w:rPr>
                <w:rFonts w:eastAsia="Aptos"/>
                <w:strike/>
              </w:rPr>
              <w:t>an</w:t>
            </w:r>
            <w:r w:rsidRPr="000A7BB0">
              <w:rPr>
                <w:rFonts w:eastAsia="Aptos"/>
              </w:rPr>
              <w:t xml:space="preserve"> </w:t>
            </w:r>
            <w:r w:rsidRPr="000A7BB0">
              <w:rPr>
                <w:rFonts w:eastAsia="Aptos"/>
                <w:i/>
                <w:iCs/>
              </w:rPr>
              <w:t>a World Health Organisation (WHO) Eastern Cooperative Oncology Group</w:t>
            </w:r>
            <w:r w:rsidRPr="000A7BB0">
              <w:rPr>
                <w:rFonts w:eastAsia="Aptos"/>
              </w:rPr>
              <w:t xml:space="preserve"> </w:t>
            </w:r>
            <w:r w:rsidRPr="000A7BB0">
              <w:rPr>
                <w:rFonts w:eastAsia="Aptos"/>
                <w:i/>
                <w:iCs/>
              </w:rPr>
              <w:t>(</w:t>
            </w:r>
            <w:r w:rsidRPr="000A7BB0">
              <w:rPr>
                <w:rFonts w:eastAsia="Aptos"/>
              </w:rPr>
              <w:t>ECOG</w:t>
            </w:r>
            <w:r w:rsidRPr="000A7BB0">
              <w:rPr>
                <w:rFonts w:eastAsia="Aptos"/>
                <w:i/>
                <w:iCs/>
              </w:rPr>
              <w:t>)</w:t>
            </w:r>
            <w:r w:rsidRPr="000A7BB0">
              <w:rPr>
                <w:rFonts w:eastAsia="Aptos"/>
              </w:rPr>
              <w:t xml:space="preserve"> performance status score of no </w:t>
            </w:r>
            <w:r w:rsidRPr="000A7BB0">
              <w:rPr>
                <w:rFonts w:eastAsia="Aptos"/>
                <w:i/>
                <w:iCs/>
              </w:rPr>
              <w:t xml:space="preserve">higher </w:t>
            </w:r>
            <w:r w:rsidRPr="000A7BB0">
              <w:rPr>
                <w:rFonts w:eastAsia="Aptos"/>
                <w:strike/>
              </w:rPr>
              <w:t>greater</w:t>
            </w:r>
            <w:r w:rsidRPr="000A7BB0">
              <w:rPr>
                <w:rFonts w:eastAsia="Aptos"/>
              </w:rPr>
              <w:t xml:space="preserve"> than 1 at treatment initiation with this drug</w:t>
            </w:r>
          </w:p>
        </w:tc>
      </w:tr>
      <w:tr w:rsidR="001F2DBB" w:rsidRPr="000A7BB0" w14:paraId="1ACC0595" w14:textId="77777777" w:rsidTr="00C802B4">
        <w:trPr>
          <w:trHeight w:val="20"/>
          <w:jc w:val="center"/>
        </w:trPr>
        <w:tc>
          <w:tcPr>
            <w:tcW w:w="8995" w:type="dxa"/>
          </w:tcPr>
          <w:p w14:paraId="6375019E" w14:textId="77777777" w:rsidR="001F2DBB" w:rsidRPr="000A7BB0" w:rsidRDefault="001F2DBB" w:rsidP="002553CE">
            <w:pPr>
              <w:pStyle w:val="Tabletext0"/>
              <w:rPr>
                <w:rFonts w:eastAsia="Aptos"/>
                <w:i/>
                <w:iCs/>
                <w:snapToGrid/>
              </w:rPr>
            </w:pPr>
            <w:r w:rsidRPr="000A7BB0">
              <w:rPr>
                <w:rFonts w:eastAsia="Aptos"/>
                <w:i/>
                <w:iCs/>
                <w:snapToGrid/>
              </w:rPr>
              <w:t>AND</w:t>
            </w:r>
          </w:p>
        </w:tc>
      </w:tr>
      <w:tr w:rsidR="001F2DBB" w:rsidRPr="000A7BB0" w14:paraId="5C66C305" w14:textId="77777777" w:rsidTr="00C802B4">
        <w:trPr>
          <w:trHeight w:val="20"/>
          <w:jc w:val="center"/>
        </w:trPr>
        <w:tc>
          <w:tcPr>
            <w:tcW w:w="8995" w:type="dxa"/>
          </w:tcPr>
          <w:p w14:paraId="1254DB1E" w14:textId="77777777" w:rsidR="001F2DBB" w:rsidRPr="000A7BB0" w:rsidRDefault="001F2DBB" w:rsidP="002553CE">
            <w:pPr>
              <w:pStyle w:val="Tabletext0"/>
              <w:rPr>
                <w:rFonts w:eastAsia="Aptos"/>
                <w:i/>
                <w:iCs/>
                <w:snapToGrid/>
              </w:rPr>
            </w:pPr>
            <w:r w:rsidRPr="000A7BB0">
              <w:rPr>
                <w:rFonts w:eastAsia="Aptos"/>
                <w:i/>
                <w:iCs/>
                <w:snapToGrid/>
              </w:rPr>
              <w:t xml:space="preserve">Clinical criteria: </w:t>
            </w:r>
          </w:p>
        </w:tc>
      </w:tr>
      <w:tr w:rsidR="001F2DBB" w:rsidRPr="000A7BB0" w14:paraId="15F0E704" w14:textId="77777777" w:rsidTr="00C802B4">
        <w:trPr>
          <w:trHeight w:val="20"/>
          <w:jc w:val="center"/>
        </w:trPr>
        <w:tc>
          <w:tcPr>
            <w:tcW w:w="8995" w:type="dxa"/>
          </w:tcPr>
          <w:p w14:paraId="5FF35AD8" w14:textId="77777777" w:rsidR="001F2DBB" w:rsidRPr="000A7BB0" w:rsidRDefault="001F2DBB" w:rsidP="002553CE">
            <w:pPr>
              <w:pStyle w:val="Tabletext0"/>
              <w:rPr>
                <w:rFonts w:eastAsia="Aptos"/>
                <w:i/>
                <w:iCs/>
                <w:snapToGrid/>
              </w:rPr>
            </w:pPr>
            <w:r w:rsidRPr="000A7BB0">
              <w:rPr>
                <w:rFonts w:eastAsia="Aptos"/>
                <w:i/>
                <w:iCs/>
                <w:snapToGrid/>
              </w:rPr>
              <w:t>The condition must be inoperable</w:t>
            </w:r>
          </w:p>
        </w:tc>
      </w:tr>
      <w:tr w:rsidR="001F2DBB" w:rsidRPr="000A7BB0" w14:paraId="3CEEBE39" w14:textId="77777777" w:rsidTr="00C802B4">
        <w:trPr>
          <w:trHeight w:val="20"/>
          <w:jc w:val="center"/>
        </w:trPr>
        <w:tc>
          <w:tcPr>
            <w:tcW w:w="8995" w:type="dxa"/>
            <w:hideMark/>
          </w:tcPr>
          <w:p w14:paraId="54CFA4B6" w14:textId="77777777" w:rsidR="001F2DBB" w:rsidRPr="000A7BB0" w:rsidRDefault="001F2DBB" w:rsidP="002553CE">
            <w:pPr>
              <w:pStyle w:val="Tabletext0"/>
              <w:rPr>
                <w:rFonts w:eastAsia="Aptos"/>
                <w:snapToGrid/>
              </w:rPr>
            </w:pPr>
            <w:r w:rsidRPr="000A7BB0">
              <w:rPr>
                <w:rFonts w:eastAsia="Aptos"/>
                <w:snapToGrid/>
              </w:rPr>
              <w:t>AND </w:t>
            </w:r>
          </w:p>
        </w:tc>
      </w:tr>
      <w:tr w:rsidR="001F2DBB" w:rsidRPr="000A7BB0" w14:paraId="1634132B" w14:textId="77777777" w:rsidTr="00C802B4">
        <w:trPr>
          <w:trHeight w:val="20"/>
          <w:jc w:val="center"/>
        </w:trPr>
        <w:tc>
          <w:tcPr>
            <w:tcW w:w="8995" w:type="dxa"/>
          </w:tcPr>
          <w:p w14:paraId="78956441" w14:textId="77777777" w:rsidR="001F2DBB" w:rsidRPr="000A7BB0" w:rsidRDefault="001F2DBB" w:rsidP="002553CE">
            <w:pPr>
              <w:pStyle w:val="Tabletext0"/>
              <w:rPr>
                <w:rFonts w:eastAsia="Aptos"/>
                <w:snapToGrid/>
              </w:rPr>
            </w:pPr>
            <w:r w:rsidRPr="000A7BB0">
              <w:rPr>
                <w:rFonts w:eastAsia="Aptos"/>
                <w:snapToGrid/>
              </w:rPr>
              <w:t>Clinical criteria: </w:t>
            </w:r>
          </w:p>
        </w:tc>
      </w:tr>
      <w:tr w:rsidR="001F2DBB" w:rsidRPr="000A7BB0" w14:paraId="1803EA3A" w14:textId="77777777" w:rsidTr="00C802B4">
        <w:trPr>
          <w:trHeight w:val="20"/>
          <w:jc w:val="center"/>
        </w:trPr>
        <w:tc>
          <w:tcPr>
            <w:tcW w:w="8995" w:type="dxa"/>
          </w:tcPr>
          <w:p w14:paraId="56C328DF" w14:textId="77777777" w:rsidR="001F2DBB" w:rsidRPr="000A7BB0" w:rsidRDefault="001F2DBB" w:rsidP="002553CE">
            <w:pPr>
              <w:pStyle w:val="Tabletext0"/>
              <w:rPr>
                <w:rFonts w:eastAsia="Aptos"/>
                <w:i/>
                <w:iCs/>
                <w:snapToGrid/>
              </w:rPr>
            </w:pPr>
            <w:r w:rsidRPr="000A7BB0">
              <w:rPr>
                <w:rFonts w:eastAsia="Aptos"/>
                <w:snapToGrid/>
              </w:rPr>
              <w:t xml:space="preserve">The treatment must be the sole PBS-subsidised therapy for this </w:t>
            </w:r>
            <w:r w:rsidRPr="000A7BB0">
              <w:rPr>
                <w:rFonts w:eastAsia="Aptos"/>
                <w:strike/>
                <w:snapToGrid/>
              </w:rPr>
              <w:t xml:space="preserve">indication </w:t>
            </w:r>
            <w:r w:rsidRPr="000A7BB0">
              <w:rPr>
                <w:rFonts w:eastAsia="Aptos"/>
                <w:i/>
                <w:iCs/>
                <w:snapToGrid/>
              </w:rPr>
              <w:t>condition</w:t>
            </w:r>
          </w:p>
        </w:tc>
      </w:tr>
      <w:tr w:rsidR="001F2DBB" w:rsidRPr="000A7BB0" w14:paraId="62D35B57" w14:textId="77777777" w:rsidTr="00C802B4">
        <w:trPr>
          <w:trHeight w:val="20"/>
          <w:jc w:val="center"/>
        </w:trPr>
        <w:tc>
          <w:tcPr>
            <w:tcW w:w="8995" w:type="dxa"/>
          </w:tcPr>
          <w:p w14:paraId="73857B2D" w14:textId="77777777" w:rsidR="001F2DBB" w:rsidRPr="000A7BB0" w:rsidRDefault="001F2DBB" w:rsidP="002553CE">
            <w:pPr>
              <w:pStyle w:val="Tabletext0"/>
              <w:rPr>
                <w:rFonts w:eastAsia="Aptos"/>
                <w:snapToGrid/>
              </w:rPr>
            </w:pPr>
            <w:r w:rsidRPr="000A7BB0">
              <w:rPr>
                <w:rFonts w:eastAsia="Aptos"/>
                <w:snapToGrid/>
              </w:rPr>
              <w:t>AND</w:t>
            </w:r>
          </w:p>
        </w:tc>
      </w:tr>
      <w:tr w:rsidR="001F2DBB" w:rsidRPr="000A7BB0" w14:paraId="37AB6615" w14:textId="77777777" w:rsidTr="00C802B4">
        <w:trPr>
          <w:trHeight w:val="20"/>
          <w:jc w:val="center"/>
        </w:trPr>
        <w:tc>
          <w:tcPr>
            <w:tcW w:w="8995" w:type="dxa"/>
          </w:tcPr>
          <w:p w14:paraId="56132626" w14:textId="77777777" w:rsidR="001F2DBB" w:rsidRPr="000A7BB0" w:rsidRDefault="001F2DBB" w:rsidP="002553CE">
            <w:pPr>
              <w:pStyle w:val="Tabletext0"/>
              <w:keepNext/>
              <w:rPr>
                <w:rFonts w:eastAsia="Aptos"/>
                <w:snapToGrid/>
              </w:rPr>
            </w:pPr>
            <w:r w:rsidRPr="000A7BB0">
              <w:rPr>
                <w:rFonts w:eastAsia="Aptos"/>
                <w:snapToGrid/>
              </w:rPr>
              <w:t>Clinical criteria:</w:t>
            </w:r>
          </w:p>
        </w:tc>
      </w:tr>
      <w:tr w:rsidR="001F2DBB" w:rsidRPr="000A7BB0" w14:paraId="0D09E57C" w14:textId="77777777" w:rsidTr="00C802B4">
        <w:trPr>
          <w:trHeight w:val="20"/>
          <w:jc w:val="center"/>
        </w:trPr>
        <w:tc>
          <w:tcPr>
            <w:tcW w:w="8995" w:type="dxa"/>
          </w:tcPr>
          <w:p w14:paraId="29506A47" w14:textId="77777777" w:rsidR="001F2DBB" w:rsidRPr="000A7BB0" w:rsidRDefault="001F2DBB" w:rsidP="002553CE">
            <w:pPr>
              <w:pStyle w:val="Tabletext0"/>
              <w:rPr>
                <w:rFonts w:eastAsia="Aptos"/>
                <w:snapToGrid/>
              </w:rPr>
            </w:pPr>
            <w:r w:rsidRPr="000A7BB0">
              <w:rPr>
                <w:rFonts w:eastAsia="Aptos"/>
                <w:snapToGrid/>
              </w:rPr>
              <w:t>Patient must not have developed disease progression while being treated with this drug for this condition</w:t>
            </w:r>
          </w:p>
        </w:tc>
      </w:tr>
      <w:tr w:rsidR="001F2DBB" w:rsidRPr="000A7BB0" w14:paraId="32927300" w14:textId="77777777" w:rsidTr="00C802B4">
        <w:trPr>
          <w:trHeight w:val="260"/>
          <w:jc w:val="center"/>
        </w:trPr>
        <w:tc>
          <w:tcPr>
            <w:tcW w:w="8995" w:type="dxa"/>
            <w:hideMark/>
          </w:tcPr>
          <w:p w14:paraId="0248813B" w14:textId="77777777" w:rsidR="001F2DBB" w:rsidRPr="000A7BB0" w:rsidRDefault="001F2DBB" w:rsidP="002553CE">
            <w:pPr>
              <w:pStyle w:val="Tabletext0"/>
              <w:rPr>
                <w:rFonts w:eastAsia="Aptos"/>
                <w:strike/>
                <w:snapToGrid/>
              </w:rPr>
            </w:pPr>
            <w:r w:rsidRPr="000A7BB0">
              <w:rPr>
                <w:rFonts w:eastAsia="Aptos"/>
                <w:strike/>
                <w:snapToGrid/>
              </w:rPr>
              <w:t>Treatment criteria:</w:t>
            </w:r>
          </w:p>
        </w:tc>
      </w:tr>
      <w:tr w:rsidR="001F2DBB" w:rsidRPr="000A7BB0" w14:paraId="30D32175" w14:textId="77777777" w:rsidTr="00C802B4">
        <w:trPr>
          <w:trHeight w:val="20"/>
          <w:jc w:val="center"/>
        </w:trPr>
        <w:tc>
          <w:tcPr>
            <w:tcW w:w="8995" w:type="dxa"/>
          </w:tcPr>
          <w:p w14:paraId="760B76A2" w14:textId="77777777" w:rsidR="001F2DBB" w:rsidRPr="000A7BB0" w:rsidRDefault="001F2DBB" w:rsidP="002553CE">
            <w:pPr>
              <w:pStyle w:val="Tabletext0"/>
              <w:rPr>
                <w:rFonts w:eastAsia="Aptos"/>
                <w:i/>
                <w:iCs/>
                <w:snapToGrid/>
              </w:rPr>
            </w:pPr>
            <w:r w:rsidRPr="000A7BB0">
              <w:rPr>
                <w:rFonts w:eastAsia="Aptos"/>
                <w:strike/>
                <w:snapToGrid/>
              </w:rPr>
              <w:t>Must be treated by a physician experienced in the use of anticancer therapies</w:t>
            </w:r>
          </w:p>
        </w:tc>
      </w:tr>
      <w:tr w:rsidR="001F2DBB" w:rsidRPr="000A7BB0" w14:paraId="41C14508" w14:textId="77777777" w:rsidTr="00C802B4">
        <w:trPr>
          <w:trHeight w:val="20"/>
          <w:jc w:val="center"/>
        </w:trPr>
        <w:tc>
          <w:tcPr>
            <w:tcW w:w="8995" w:type="dxa"/>
          </w:tcPr>
          <w:p w14:paraId="4C38FFFC" w14:textId="77777777" w:rsidR="001F2DBB" w:rsidRPr="000A7BB0" w:rsidRDefault="001F2DBB" w:rsidP="002553CE">
            <w:pPr>
              <w:pStyle w:val="Tabletext0"/>
              <w:rPr>
                <w:rFonts w:eastAsia="Aptos"/>
                <w:snapToGrid/>
              </w:rPr>
            </w:pPr>
            <w:r w:rsidRPr="000A7BB0">
              <w:rPr>
                <w:rFonts w:eastAsia="Aptos"/>
                <w:snapToGrid/>
              </w:rPr>
              <w:t>Population criteria:</w:t>
            </w:r>
          </w:p>
        </w:tc>
      </w:tr>
      <w:tr w:rsidR="001F2DBB" w:rsidRPr="000A7BB0" w14:paraId="1B55421C" w14:textId="77777777" w:rsidTr="00C802B4">
        <w:trPr>
          <w:trHeight w:val="20"/>
          <w:jc w:val="center"/>
        </w:trPr>
        <w:tc>
          <w:tcPr>
            <w:tcW w:w="8995" w:type="dxa"/>
          </w:tcPr>
          <w:p w14:paraId="5103D6D3" w14:textId="77777777" w:rsidR="001F2DBB" w:rsidRPr="000A7BB0" w:rsidRDefault="001F2DBB" w:rsidP="002553CE">
            <w:pPr>
              <w:pStyle w:val="Tabletext0"/>
              <w:rPr>
                <w:rFonts w:eastAsia="Aptos"/>
                <w:snapToGrid/>
              </w:rPr>
            </w:pPr>
            <w:r w:rsidRPr="000A7BB0">
              <w:rPr>
                <w:rFonts w:eastAsia="Aptos"/>
                <w:snapToGrid/>
              </w:rPr>
              <w:t>Patient must not be premenopausal.</w:t>
            </w:r>
          </w:p>
        </w:tc>
      </w:tr>
      <w:tr w:rsidR="001F2DBB" w:rsidRPr="000A7BB0" w14:paraId="433C3AD3" w14:textId="77777777" w:rsidTr="00C802B4">
        <w:trPr>
          <w:trHeight w:val="20"/>
          <w:jc w:val="center"/>
        </w:trPr>
        <w:tc>
          <w:tcPr>
            <w:tcW w:w="8995" w:type="dxa"/>
          </w:tcPr>
          <w:p w14:paraId="179B78DC" w14:textId="77777777" w:rsidR="001F2DBB" w:rsidRPr="000A7BB0" w:rsidRDefault="001F2DBB" w:rsidP="002553CE">
            <w:pPr>
              <w:pStyle w:val="Tabletext0"/>
              <w:rPr>
                <w:rFonts w:eastAsia="Aptos"/>
                <w:i/>
                <w:iCs/>
                <w:snapToGrid/>
                <w:color w:val="333333"/>
                <w:szCs w:val="22"/>
              </w:rPr>
            </w:pPr>
            <w:r w:rsidRPr="000A7BB0">
              <w:rPr>
                <w:rFonts w:eastAsia="Aptos"/>
                <w:i/>
                <w:iCs/>
                <w:snapToGrid/>
                <w:color w:val="333333"/>
                <w:szCs w:val="22"/>
              </w:rPr>
              <w:t>Prescribing Instructions:</w:t>
            </w:r>
          </w:p>
          <w:p w14:paraId="42784B7D" w14:textId="77777777" w:rsidR="001F2DBB" w:rsidRPr="000A7BB0" w:rsidRDefault="001F2DBB" w:rsidP="002553CE">
            <w:pPr>
              <w:pStyle w:val="Tabletext0"/>
              <w:rPr>
                <w:rFonts w:eastAsia="Aptos"/>
                <w:i/>
                <w:iCs/>
                <w:snapToGrid/>
                <w:color w:val="000000"/>
                <w:shd w:val="clear" w:color="auto" w:fill="FFFFFF"/>
              </w:rPr>
            </w:pPr>
            <w:r w:rsidRPr="000A7BB0">
              <w:rPr>
                <w:rFonts w:eastAsia="Aptos"/>
                <w:i/>
                <w:iCs/>
                <w:snapToGrid/>
                <w:color w:val="000000"/>
                <w:shd w:val="clear" w:color="auto" w:fill="FFFFFF"/>
              </w:rPr>
              <w:t>Confirm that the following information is documented/retained in the patient's medical records once only with the first PBS prescription (evidence obtained in relation to past PBS treatment is acceptable):</w:t>
            </w:r>
          </w:p>
          <w:p w14:paraId="1BF4E3C3" w14:textId="77777777" w:rsidR="001F2DBB" w:rsidRPr="000A7BB0" w:rsidRDefault="001F2DBB" w:rsidP="002553CE">
            <w:pPr>
              <w:pStyle w:val="Tabletext0"/>
              <w:rPr>
                <w:rFonts w:eastAsia="Aptos"/>
                <w:i/>
                <w:iCs/>
                <w:snapToGrid/>
                <w:color w:val="000000"/>
                <w:shd w:val="clear" w:color="auto" w:fill="FFFFFF"/>
              </w:rPr>
            </w:pPr>
            <w:r w:rsidRPr="000A7BB0">
              <w:rPr>
                <w:rFonts w:eastAsia="Aptos"/>
                <w:i/>
                <w:iCs/>
                <w:snapToGrid/>
                <w:color w:val="000000"/>
                <w:shd w:val="clear" w:color="auto" w:fill="FFFFFF"/>
              </w:rPr>
              <w:t xml:space="preserve">1) Evidence of HER2 gene amplification </w:t>
            </w:r>
          </w:p>
          <w:p w14:paraId="1CD27227" w14:textId="77777777" w:rsidR="001F2DBB" w:rsidRPr="000A7BB0" w:rsidRDefault="001F2DBB" w:rsidP="002553CE">
            <w:pPr>
              <w:pStyle w:val="Tabletext0"/>
              <w:rPr>
                <w:rFonts w:eastAsia="Aptos"/>
                <w:i/>
                <w:iCs/>
                <w:snapToGrid/>
                <w:color w:val="000000"/>
                <w:shd w:val="clear" w:color="auto" w:fill="FFFFFF"/>
              </w:rPr>
            </w:pPr>
            <w:r w:rsidRPr="000A7BB0">
              <w:rPr>
                <w:rFonts w:eastAsia="Aptos"/>
                <w:i/>
                <w:iCs/>
                <w:snapToGrid/>
                <w:color w:val="000000"/>
                <w:shd w:val="clear" w:color="auto" w:fill="FFFFFF"/>
              </w:rPr>
              <w:t>2) Evidence of HR status</w:t>
            </w:r>
          </w:p>
          <w:p w14:paraId="5072127E" w14:textId="77777777" w:rsidR="001F2DBB" w:rsidRPr="000A7BB0" w:rsidRDefault="001F2DBB" w:rsidP="002553CE">
            <w:pPr>
              <w:pStyle w:val="Tabletext0"/>
              <w:rPr>
                <w:rFonts w:eastAsia="Aptos"/>
                <w:i/>
                <w:iCs/>
                <w:snapToGrid/>
              </w:rPr>
            </w:pPr>
            <w:r w:rsidRPr="000A7BB0">
              <w:rPr>
                <w:rFonts w:eastAsia="Aptos"/>
                <w:i/>
                <w:iCs/>
                <w:snapToGrid/>
                <w:color w:val="000000"/>
                <w:shd w:val="clear" w:color="auto" w:fill="FFFFFF"/>
              </w:rPr>
              <w:t>3) Evidence of an activating ESR1 variant</w:t>
            </w:r>
          </w:p>
        </w:tc>
      </w:tr>
      <w:bookmarkEnd w:id="10"/>
    </w:tbl>
    <w:p w14:paraId="39F9930F" w14:textId="77777777" w:rsidR="00C905D6" w:rsidRPr="000A7BB0" w:rsidRDefault="00C905D6" w:rsidP="002553CE">
      <w:pPr>
        <w:spacing w:before="0" w:after="0"/>
        <w:rPr>
          <w:rFonts w:ascii="Calibri" w:eastAsia="Times New Roman" w:hAnsi="Calibri" w:cs="Arial"/>
          <w:szCs w:val="24"/>
          <w:lang w:eastAsia="en-AU"/>
        </w:rPr>
      </w:pPr>
    </w:p>
    <w:p w14:paraId="41957C88" w14:textId="16ED6E8E" w:rsidR="00E44341" w:rsidRPr="008927C5" w:rsidRDefault="00E44341" w:rsidP="002553CE">
      <w:pPr>
        <w:numPr>
          <w:ilvl w:val="4"/>
          <w:numId w:val="11"/>
        </w:numPr>
        <w:spacing w:before="0"/>
        <w:ind w:left="709" w:hanging="709"/>
        <w:rPr>
          <w:color w:val="000000" w:themeColor="text1"/>
        </w:rPr>
      </w:pPr>
      <w:r w:rsidRPr="008927C5">
        <w:rPr>
          <w:color w:val="000000" w:themeColor="text1"/>
        </w:rPr>
        <w:t>The recommended dose of elacestrant is 345 mg once daily. Dose modifications are recommended to manage adverse reactions (dose reduction to 258 mg [three 86</w:t>
      </w:r>
      <w:r w:rsidR="00923749">
        <w:rPr>
          <w:color w:val="000000" w:themeColor="text1"/>
        </w:rPr>
        <w:t> </w:t>
      </w:r>
      <w:r w:rsidRPr="008927C5">
        <w:rPr>
          <w:color w:val="000000" w:themeColor="text1"/>
        </w:rPr>
        <w:t>mg tablets] once daily) and use with CYP3A4 inhibitors (86 mg or 172 mg [one or two 86</w:t>
      </w:r>
      <w:r w:rsidR="00923749">
        <w:rPr>
          <w:color w:val="000000" w:themeColor="text1"/>
        </w:rPr>
        <w:t> </w:t>
      </w:r>
      <w:r w:rsidRPr="008927C5">
        <w:rPr>
          <w:color w:val="000000" w:themeColor="text1"/>
        </w:rPr>
        <w:t>mg tablets] once daily). The maximum quantity proposed is sufficient for 28</w:t>
      </w:r>
      <w:r w:rsidR="00923749">
        <w:rPr>
          <w:color w:val="000000" w:themeColor="text1"/>
        </w:rPr>
        <w:t> </w:t>
      </w:r>
      <w:r w:rsidRPr="008927C5">
        <w:rPr>
          <w:color w:val="000000" w:themeColor="text1"/>
        </w:rPr>
        <w:t>days of treatment at the maximum recommended dose of each tablet strength; and</w:t>
      </w:r>
      <w:r w:rsidR="008927C5" w:rsidRPr="008927C5">
        <w:rPr>
          <w:color w:val="000000" w:themeColor="text1"/>
        </w:rPr>
        <w:t xml:space="preserve"> t</w:t>
      </w:r>
      <w:r w:rsidRPr="008927C5">
        <w:rPr>
          <w:color w:val="000000" w:themeColor="text1"/>
        </w:rPr>
        <w:t>he number of repeats proposed is sufficient for 6 months of treatment at the maximum recommended dose of each tablet strength.</w:t>
      </w:r>
    </w:p>
    <w:p w14:paraId="46C63945" w14:textId="210C03BC" w:rsidR="006E0843" w:rsidRDefault="006E0843" w:rsidP="002553CE">
      <w:pPr>
        <w:numPr>
          <w:ilvl w:val="4"/>
          <w:numId w:val="11"/>
        </w:numPr>
        <w:ind w:left="709" w:hanging="709"/>
        <w:rPr>
          <w:color w:val="000000" w:themeColor="text1"/>
        </w:rPr>
      </w:pPr>
      <w:r>
        <w:rPr>
          <w:color w:val="000000" w:themeColor="text1"/>
        </w:rPr>
        <w:t xml:space="preserve">The proposed price for </w:t>
      </w:r>
      <w:r w:rsidR="002A6A7C">
        <w:rPr>
          <w:color w:val="000000" w:themeColor="text1"/>
        </w:rPr>
        <w:t xml:space="preserve">elacestrant was </w:t>
      </w:r>
      <w:r w:rsidR="007B784D">
        <w:rPr>
          <w:color w:val="000000" w:themeColor="text1"/>
        </w:rPr>
        <w:t>$</w:t>
      </w:r>
      <w:r w:rsidR="00F4744A" w:rsidRPr="00B51309">
        <w:rPr>
          <w:color w:val="000000" w:themeColor="text1"/>
          <w:spacing w:val="6"/>
          <w:w w:val="62"/>
          <w:shd w:val="solid" w:color="000000" w:fill="000000"/>
          <w:fitText w:val="481" w:id="-694393846"/>
          <w14:textFill>
            <w14:solidFill>
              <w14:schemeClr w14:val="tx1">
                <w14:alpha w14:val="100000"/>
              </w14:schemeClr>
            </w14:solidFill>
          </w14:textFill>
        </w:rPr>
        <w:t>|||</w:t>
      </w:r>
      <w:r w:rsidR="00B51309" w:rsidRPr="00B51309">
        <w:rPr>
          <w:color w:val="000000" w:themeColor="text1"/>
          <w:spacing w:val="6"/>
          <w:w w:val="62"/>
          <w:shd w:val="solid" w:color="000000" w:fill="000000"/>
          <w:fitText w:val="481" w:id="-694393846"/>
          <w14:textFill>
            <w14:solidFill>
              <w14:schemeClr w14:val="tx1">
                <w14:alpha w14:val="100000"/>
              </w14:schemeClr>
            </w14:solidFill>
          </w14:textFill>
        </w:rPr>
        <w:t xml:space="preserve"> </w:t>
      </w:r>
      <w:r w:rsidR="00F4744A" w:rsidRPr="00B51309">
        <w:rPr>
          <w:color w:val="000000" w:themeColor="text1"/>
          <w:spacing w:val="6"/>
          <w:w w:val="62"/>
          <w:shd w:val="solid" w:color="000000" w:fill="000000"/>
          <w:fitText w:val="481" w:id="-694393846"/>
          <w14:textFill>
            <w14:solidFill>
              <w14:schemeClr w14:val="tx1">
                <w14:alpha w14:val="100000"/>
              </w14:schemeClr>
            </w14:solidFill>
          </w14:textFill>
        </w:rPr>
        <w:t>||</w:t>
      </w:r>
      <w:r w:rsidR="00F4744A" w:rsidRPr="00B51309">
        <w:rPr>
          <w:color w:val="000000" w:themeColor="text1"/>
          <w:spacing w:val="1"/>
          <w:w w:val="62"/>
          <w:shd w:val="solid" w:color="000000" w:fill="000000"/>
          <w:fitText w:val="481" w:id="-694393846"/>
          <w14:textFill>
            <w14:solidFill>
              <w14:schemeClr w14:val="tx1">
                <w14:alpha w14:val="100000"/>
              </w14:schemeClr>
            </w14:solidFill>
          </w14:textFill>
        </w:rPr>
        <w:t>|</w:t>
      </w:r>
      <w:r w:rsidR="007B784D">
        <w:rPr>
          <w:color w:val="000000" w:themeColor="text1"/>
        </w:rPr>
        <w:t xml:space="preserve"> (AEMP) for the </w:t>
      </w:r>
      <w:r w:rsidR="00453BB1">
        <w:rPr>
          <w:color w:val="000000" w:themeColor="text1"/>
        </w:rPr>
        <w:t xml:space="preserve">345 mg dose. The </w:t>
      </w:r>
      <w:r w:rsidR="00F737A8">
        <w:rPr>
          <w:color w:val="000000" w:themeColor="text1"/>
        </w:rPr>
        <w:t xml:space="preserve">proposed DPMQ for the </w:t>
      </w:r>
      <w:r w:rsidR="00BA3ADC">
        <w:rPr>
          <w:color w:val="000000" w:themeColor="text1"/>
        </w:rPr>
        <w:t xml:space="preserve">258 mg dose was the same as the 345 mg dose, </w:t>
      </w:r>
      <w:r w:rsidR="00783D86">
        <w:rPr>
          <w:color w:val="000000" w:themeColor="text1"/>
        </w:rPr>
        <w:t>result</w:t>
      </w:r>
      <w:r w:rsidR="0057238B">
        <w:rPr>
          <w:color w:val="000000" w:themeColor="text1"/>
        </w:rPr>
        <w:t>ing</w:t>
      </w:r>
      <w:r w:rsidR="00783D86">
        <w:rPr>
          <w:color w:val="000000" w:themeColor="text1"/>
        </w:rPr>
        <w:t xml:space="preserve"> in a higher price per mg than the 345 mg dose</w:t>
      </w:r>
      <w:r w:rsidR="00266266">
        <w:rPr>
          <w:color w:val="000000" w:themeColor="text1"/>
        </w:rPr>
        <w:t xml:space="preserve">. </w:t>
      </w:r>
      <w:r w:rsidR="0057238B">
        <w:rPr>
          <w:color w:val="000000" w:themeColor="text1"/>
        </w:rPr>
        <w:t xml:space="preserve">The proposed DPMQ for the </w:t>
      </w:r>
      <w:r w:rsidR="004F6CAE">
        <w:rPr>
          <w:color w:val="000000" w:themeColor="text1"/>
        </w:rPr>
        <w:t>172 mg dose was lower</w:t>
      </w:r>
      <w:r w:rsidR="00125F29">
        <w:rPr>
          <w:color w:val="000000" w:themeColor="text1"/>
        </w:rPr>
        <w:t xml:space="preserve"> than the 345 mg dose but still resulted in a higher price per </w:t>
      </w:r>
      <w:r w:rsidR="00970F1F">
        <w:rPr>
          <w:color w:val="000000" w:themeColor="text1"/>
        </w:rPr>
        <w:t>mg.</w:t>
      </w:r>
    </w:p>
    <w:p w14:paraId="660E816D" w14:textId="1E5B859C" w:rsidR="00C905D6" w:rsidRPr="000A7BB0" w:rsidRDefault="00C905D6" w:rsidP="002553CE">
      <w:pPr>
        <w:keepNext/>
        <w:keepLines/>
        <w:numPr>
          <w:ilvl w:val="4"/>
          <w:numId w:val="11"/>
        </w:numPr>
        <w:ind w:left="709" w:hanging="709"/>
        <w:rPr>
          <w:color w:val="000000" w:themeColor="text1"/>
        </w:rPr>
      </w:pPr>
      <w:r w:rsidRPr="00FF27D4">
        <w:rPr>
          <w:color w:val="000000" w:themeColor="text1"/>
        </w:rPr>
        <w:lastRenderedPageBreak/>
        <w:t xml:space="preserve">The requested restriction is largely consistent with the </w:t>
      </w:r>
      <w:r w:rsidR="005B3298">
        <w:rPr>
          <w:color w:val="000000" w:themeColor="text1"/>
        </w:rPr>
        <w:t>draft</w:t>
      </w:r>
      <w:r w:rsidRPr="00FF27D4">
        <w:rPr>
          <w:color w:val="000000" w:themeColor="text1"/>
        </w:rPr>
        <w:t xml:space="preserve"> TGA indication and the eligibility criteria for the key clinical trial, EMERALD. However, they both specified that patients must have ‘estrogen receptor positive’ (ER+) breast cancer, not the broader ‘hormone receptor positive’ term used in the proposed restriction. The term ‘hormone receptor positive’ would encompass both estrogen ER+ and progesterone receptor positive (PR+) breast cancers. While the two terms are often used interchangeably, </w:t>
      </w:r>
      <w:r w:rsidR="6982752C" w:rsidRPr="00FF27D4">
        <w:rPr>
          <w:color w:val="000000" w:themeColor="text1"/>
        </w:rPr>
        <w:t xml:space="preserve">the ESCs agreed with the evaluation that </w:t>
      </w:r>
      <w:r w:rsidRPr="00FF27D4">
        <w:rPr>
          <w:color w:val="000000" w:themeColor="text1"/>
        </w:rPr>
        <w:t>it would be more appropriate that the clinical criteria in the PBS restriction for elacestrant is specified as ‘estrogen receptor positive’</w:t>
      </w:r>
      <w:r w:rsidR="1825A715" w:rsidRPr="00FF27D4">
        <w:rPr>
          <w:color w:val="000000" w:themeColor="text1"/>
        </w:rPr>
        <w:t>, given the mechanism of action for elacestrant</w:t>
      </w:r>
      <w:r w:rsidRPr="00FF27D4">
        <w:rPr>
          <w:color w:val="000000" w:themeColor="text1"/>
        </w:rPr>
        <w:t xml:space="preserve">. </w:t>
      </w:r>
    </w:p>
    <w:p w14:paraId="7B8F8427" w14:textId="537D8CAA" w:rsidR="00867197" w:rsidRPr="005E5B26" w:rsidRDefault="00867197" w:rsidP="002553CE">
      <w:pPr>
        <w:numPr>
          <w:ilvl w:val="4"/>
          <w:numId w:val="11"/>
        </w:numPr>
        <w:ind w:left="709" w:hanging="709"/>
        <w:rPr>
          <w:color w:val="000000" w:themeColor="text1"/>
        </w:rPr>
      </w:pPr>
      <w:r w:rsidRPr="005E5B26">
        <w:rPr>
          <w:color w:val="000000" w:themeColor="text1"/>
        </w:rPr>
        <w:t xml:space="preserve">The ESCs considered the requirement for the </w:t>
      </w:r>
      <w:r w:rsidRPr="00A26835">
        <w:rPr>
          <w:i/>
          <w:iCs/>
          <w:color w:val="000000" w:themeColor="text1"/>
        </w:rPr>
        <w:t>ESR1</w:t>
      </w:r>
      <w:r w:rsidRPr="005E5B26">
        <w:rPr>
          <w:color w:val="000000" w:themeColor="text1"/>
        </w:rPr>
        <w:t xml:space="preserve"> variant to be an activating variant should be added to the criterion regarding </w:t>
      </w:r>
      <w:r w:rsidRPr="00A26835">
        <w:rPr>
          <w:i/>
          <w:iCs/>
          <w:color w:val="000000" w:themeColor="text1"/>
        </w:rPr>
        <w:t>ESR1</w:t>
      </w:r>
      <w:r w:rsidRPr="005E5B26">
        <w:rPr>
          <w:color w:val="000000" w:themeColor="text1"/>
        </w:rPr>
        <w:t xml:space="preserve"> status.</w:t>
      </w:r>
    </w:p>
    <w:p w14:paraId="6199A631" w14:textId="56359739" w:rsidR="00DC18E2" w:rsidRDefault="76C269AB" w:rsidP="002553CE">
      <w:pPr>
        <w:numPr>
          <w:ilvl w:val="4"/>
          <w:numId w:val="11"/>
        </w:numPr>
        <w:ind w:left="709" w:hanging="709"/>
        <w:rPr>
          <w:color w:val="000000" w:themeColor="text1"/>
        </w:rPr>
      </w:pPr>
      <w:r w:rsidRPr="005E5B26">
        <w:rPr>
          <w:color w:val="000000" w:themeColor="text1"/>
        </w:rPr>
        <w:t xml:space="preserve">The ESCs agreed </w:t>
      </w:r>
      <w:r w:rsidR="2E3B3BF3" w:rsidRPr="005E5B26">
        <w:rPr>
          <w:color w:val="000000" w:themeColor="text1"/>
        </w:rPr>
        <w:t>that removal of the treatment criterion “must be treated by a physician experienced in the use of anti</w:t>
      </w:r>
      <w:r w:rsidR="644AFE3D" w:rsidRPr="005E5B26">
        <w:rPr>
          <w:color w:val="000000" w:themeColor="text1"/>
        </w:rPr>
        <w:t>cancer therapies” would be appropriate, as proposed in the</w:t>
      </w:r>
      <w:r w:rsidRPr="005E5B26">
        <w:rPr>
          <w:color w:val="000000" w:themeColor="text1"/>
        </w:rPr>
        <w:t xml:space="preserve"> Secretariat </w:t>
      </w:r>
      <w:r w:rsidR="644AFE3D" w:rsidRPr="005E5B26">
        <w:rPr>
          <w:color w:val="000000" w:themeColor="text1"/>
        </w:rPr>
        <w:t>comments on the restriction.</w:t>
      </w:r>
    </w:p>
    <w:p w14:paraId="34750161" w14:textId="3D888ADE" w:rsidR="00D20532" w:rsidRPr="00D20532" w:rsidRDefault="00D20532" w:rsidP="002553CE">
      <w:pPr>
        <w:ind w:left="709"/>
        <w:rPr>
          <w:i/>
          <w:iCs/>
          <w:color w:val="000000" w:themeColor="text1"/>
        </w:rPr>
      </w:pPr>
      <w:r w:rsidRPr="00D20532">
        <w:rPr>
          <w:i/>
          <w:iCs/>
          <w:color w:val="000000" w:themeColor="text1"/>
        </w:rPr>
        <w:t>For more detail on PBAC’s view, see section 7 PBAC outcome.</w:t>
      </w:r>
    </w:p>
    <w:p w14:paraId="6229A638" w14:textId="77777777" w:rsidR="008D7BF5" w:rsidRPr="000A7BB0" w:rsidRDefault="008D7BF5" w:rsidP="002553CE">
      <w:pPr>
        <w:pStyle w:val="PBACESHeading1"/>
        <w:numPr>
          <w:ilvl w:val="0"/>
          <w:numId w:val="11"/>
        </w:numPr>
        <w:tabs>
          <w:tab w:val="clear" w:pos="1077"/>
          <w:tab w:val="left" w:pos="709"/>
        </w:tabs>
      </w:pPr>
      <w:bookmarkStart w:id="11" w:name="_Toc188374357"/>
      <w:r w:rsidRPr="000A7BB0">
        <w:t>Population and disease</w:t>
      </w:r>
      <w:bookmarkEnd w:id="5"/>
      <w:bookmarkEnd w:id="11"/>
    </w:p>
    <w:p w14:paraId="5EE916C5" w14:textId="77777777" w:rsidR="004B61FF" w:rsidRPr="000A7BB0" w:rsidRDefault="004B61FF" w:rsidP="002553CE">
      <w:pPr>
        <w:pStyle w:val="OutlineHeading2"/>
        <w:spacing w:before="0"/>
        <w:rPr>
          <w:rFonts w:asciiTheme="minorHAnsi" w:hAnsiTheme="minorHAnsi" w:cstheme="minorHAnsi"/>
        </w:rPr>
      </w:pPr>
      <w:r w:rsidRPr="000A7BB0">
        <w:rPr>
          <w:rFonts w:asciiTheme="minorHAnsi" w:hAnsiTheme="minorHAnsi" w:cstheme="minorHAnsi"/>
        </w:rPr>
        <w:t>Disease</w:t>
      </w:r>
    </w:p>
    <w:p w14:paraId="4E6FC11B" w14:textId="17492E2C" w:rsidR="004B61FF" w:rsidRPr="000A7BB0" w:rsidRDefault="3EFBA503" w:rsidP="002553CE">
      <w:pPr>
        <w:numPr>
          <w:ilvl w:val="4"/>
          <w:numId w:val="11"/>
        </w:numPr>
        <w:ind w:left="709" w:hanging="709"/>
        <w:rPr>
          <w:color w:val="000000" w:themeColor="text1"/>
        </w:rPr>
      </w:pPr>
      <w:r w:rsidRPr="000A7BB0">
        <w:rPr>
          <w:color w:val="000000" w:themeColor="text1"/>
        </w:rPr>
        <w:t>Breast cancer is a common, molecularly heterogenous malignancy that causes high levels of disability and mortality and predominantly occurs in postmenopausal women aged ≥50 years. In Australia it is the second most diagnosed cancer and the fifth most common cause of cancer death, with an estimated 20,640 new cases diagnosed and 3,214 deaths in 2022</w:t>
      </w:r>
      <w:r w:rsidR="00320FD0">
        <w:rPr>
          <w:rStyle w:val="FootnoteReference"/>
          <w:color w:val="000000" w:themeColor="text1"/>
        </w:rPr>
        <w:footnoteReference w:id="3"/>
      </w:r>
      <w:r w:rsidR="009E3AA2">
        <w:rPr>
          <w:color w:val="000000" w:themeColor="text1"/>
        </w:rPr>
        <w:t>.</w:t>
      </w:r>
    </w:p>
    <w:p w14:paraId="30500067" w14:textId="5ACD6156" w:rsidR="004B61FF" w:rsidRPr="000A7BB0" w:rsidRDefault="3EFBA503" w:rsidP="002553CE">
      <w:pPr>
        <w:numPr>
          <w:ilvl w:val="4"/>
          <w:numId w:val="11"/>
        </w:numPr>
        <w:ind w:left="709" w:hanging="709"/>
        <w:rPr>
          <w:color w:val="000000" w:themeColor="text1"/>
        </w:rPr>
      </w:pPr>
      <w:r w:rsidRPr="000A7BB0">
        <w:rPr>
          <w:color w:val="000000" w:themeColor="text1"/>
        </w:rPr>
        <w:t>In the early stages of breast cancer, where the cancer is confined to the breast or axillary lymph nodes, the disease can be potentially cured using surgery, usually with neoadjuvant or adjuvant systemic therapy. However, some patients (5-10%) present with mBC at diagnosis (de novo metastatic disease), and many with early breast cancer eventually progress to mBC (20% to 30%) (recurrent metastatic disease)</w:t>
      </w:r>
      <w:r w:rsidR="00457154" w:rsidRPr="000A7BB0">
        <w:rPr>
          <w:rStyle w:val="FootnoteReference"/>
          <w:color w:val="000000" w:themeColor="text1"/>
        </w:rPr>
        <w:footnoteReference w:id="4"/>
      </w:r>
      <w:r w:rsidRPr="000A7BB0">
        <w:rPr>
          <w:color w:val="000000" w:themeColor="text1"/>
        </w:rPr>
        <w:t xml:space="preserve">. </w:t>
      </w:r>
    </w:p>
    <w:p w14:paraId="082C2FDC" w14:textId="1D390330" w:rsidR="004B61FF" w:rsidRPr="000A7BB0" w:rsidRDefault="3EFBA503" w:rsidP="002553CE">
      <w:pPr>
        <w:numPr>
          <w:ilvl w:val="4"/>
          <w:numId w:val="11"/>
        </w:numPr>
        <w:ind w:left="709" w:hanging="709"/>
        <w:rPr>
          <w:color w:val="000000" w:themeColor="text1"/>
        </w:rPr>
      </w:pPr>
      <w:r w:rsidRPr="000A7BB0">
        <w:rPr>
          <w:color w:val="000000" w:themeColor="text1"/>
        </w:rPr>
        <w:t>While incurable, mBC is treatable, with the main goals of therapy to delay disease progression and prolong survival, while minimising treatment toxicity and preserving health related quality of life (HRQoL). Treatment choice depends on the histological and molecular characteristics of the tumour which drives carcinogenesis</w:t>
      </w:r>
      <w:r w:rsidR="001D386C" w:rsidRPr="001D386C">
        <w:rPr>
          <w:color w:val="000000" w:themeColor="text1"/>
          <w:vertAlign w:val="superscript"/>
        </w:rPr>
        <w:t>2</w:t>
      </w:r>
      <w:r w:rsidRPr="000A7BB0">
        <w:rPr>
          <w:color w:val="000000" w:themeColor="text1"/>
        </w:rPr>
        <w:t>. These characteristics have informed the classification of breast cancer into five subtypes, largely based on the expression of ER and HER2:</w:t>
      </w:r>
    </w:p>
    <w:p w14:paraId="2234C67E" w14:textId="77777777" w:rsidR="004B61FF" w:rsidRPr="000A7BB0" w:rsidRDefault="004B61FF" w:rsidP="002553CE">
      <w:pPr>
        <w:pStyle w:val="PBACESParagraphBulletPoint"/>
      </w:pPr>
      <w:r w:rsidRPr="000A7BB0">
        <w:lastRenderedPageBreak/>
        <w:t>Luminal A-like (ER+/HER2-): 40%-50% of invasive breast cancer</w:t>
      </w:r>
    </w:p>
    <w:p w14:paraId="5DAF92C2" w14:textId="77777777" w:rsidR="004B61FF" w:rsidRPr="000A7BB0" w:rsidRDefault="004B61FF" w:rsidP="002553CE">
      <w:pPr>
        <w:pStyle w:val="PBACESParagraphBulletPoint"/>
      </w:pPr>
      <w:r w:rsidRPr="000A7BB0">
        <w:t>Luminal B-like: ~20%-30% of invasive breast cancer</w:t>
      </w:r>
    </w:p>
    <w:p w14:paraId="339E0527" w14:textId="77777777" w:rsidR="004B61FF" w:rsidRPr="000A7BB0" w:rsidRDefault="004B61FF" w:rsidP="002553CE">
      <w:pPr>
        <w:pStyle w:val="PBACESParagraphBulletPoint"/>
        <w:numPr>
          <w:ilvl w:val="1"/>
          <w:numId w:val="8"/>
        </w:numPr>
      </w:pPr>
      <w:r w:rsidRPr="000A7BB0">
        <w:t>HER2- (ER+/HER2-; but ER expression lower than luminal A-like)</w:t>
      </w:r>
    </w:p>
    <w:p w14:paraId="5038797E" w14:textId="77777777" w:rsidR="004B61FF" w:rsidRPr="000A7BB0" w:rsidRDefault="004B61FF" w:rsidP="002553CE">
      <w:pPr>
        <w:pStyle w:val="PBACESParagraphBulletPoint"/>
        <w:numPr>
          <w:ilvl w:val="1"/>
          <w:numId w:val="8"/>
        </w:numPr>
        <w:rPr>
          <w:color w:val="auto"/>
        </w:rPr>
      </w:pPr>
      <w:r w:rsidRPr="000A7BB0">
        <w:t>HER2+ (ER+/HER2+; but ER expression lower than luminal A-like)</w:t>
      </w:r>
    </w:p>
    <w:p w14:paraId="2199A5D3" w14:textId="67FB93E4" w:rsidR="004B61FF" w:rsidRPr="000A7BB0" w:rsidRDefault="004B61FF" w:rsidP="002553CE">
      <w:pPr>
        <w:pStyle w:val="PBACESParagraphBulletPoint"/>
        <w:rPr>
          <w:color w:val="auto"/>
        </w:rPr>
      </w:pPr>
      <w:r w:rsidRPr="000A7BB0">
        <w:t>HER2-enriched (non-luminal; ER-/HER2+): 15%-20% of invasive breast cancer</w:t>
      </w:r>
    </w:p>
    <w:p w14:paraId="1E7B5B55" w14:textId="77777777" w:rsidR="004B61FF" w:rsidRPr="000A7BB0" w:rsidRDefault="004B61FF" w:rsidP="002553CE">
      <w:pPr>
        <w:pStyle w:val="PBACESParagraphBulletPoint"/>
      </w:pPr>
      <w:r w:rsidRPr="000A7BB0">
        <w:t>Triple negative (ER-/HER2-): ~10%-20% of invasive breast cancer</w:t>
      </w:r>
    </w:p>
    <w:p w14:paraId="7D6B90E2" w14:textId="28B73FA8" w:rsidR="004B61FF" w:rsidRPr="000A7BB0" w:rsidRDefault="3EFBA503" w:rsidP="002553CE">
      <w:pPr>
        <w:pStyle w:val="ListParagraph"/>
        <w:ind w:left="720"/>
        <w:rPr>
          <w:color w:val="auto"/>
        </w:rPr>
      </w:pPr>
      <w:r w:rsidRPr="000A7BB0">
        <w:rPr>
          <w:color w:val="auto"/>
        </w:rPr>
        <w:t>ER+/HER2- tumours comprise luminal A-like and luminal B-like HER2- tumours, which account for approximately 70% of mBC cases</w:t>
      </w:r>
      <w:r w:rsidR="00AE4C03" w:rsidRPr="000A7BB0">
        <w:rPr>
          <w:rStyle w:val="FootnoteReference"/>
          <w:color w:val="auto"/>
        </w:rPr>
        <w:footnoteReference w:id="5"/>
      </w:r>
      <w:r w:rsidRPr="000A7BB0">
        <w:rPr>
          <w:color w:val="auto"/>
        </w:rPr>
        <w:t xml:space="preserve">. </w:t>
      </w:r>
    </w:p>
    <w:p w14:paraId="22A23978" w14:textId="7B38A0D2" w:rsidR="004B61FF" w:rsidRPr="000A7BB0" w:rsidRDefault="3EFBA503" w:rsidP="002553CE">
      <w:pPr>
        <w:numPr>
          <w:ilvl w:val="4"/>
          <w:numId w:val="11"/>
        </w:numPr>
        <w:ind w:left="709" w:hanging="709"/>
        <w:rPr>
          <w:color w:val="000000" w:themeColor="text1"/>
        </w:rPr>
      </w:pPr>
      <w:r w:rsidRPr="000A7BB0">
        <w:rPr>
          <w:color w:val="000000" w:themeColor="text1"/>
        </w:rPr>
        <w:t>Except for patients with visceral crisis (imminent organ failure) in whom chemotherapy is recommended, ET, with either aromatase inhibitors AIs or fulvestrant, plus a CDK4/6i is the recommended SOC first-line treatment for patients with ER+/HER2- mBC</w:t>
      </w:r>
      <w:r w:rsidR="00CE1EA5">
        <w:rPr>
          <w:rStyle w:val="FootnoteReference"/>
          <w:color w:val="000000" w:themeColor="text1"/>
        </w:rPr>
        <w:footnoteReference w:id="6"/>
      </w:r>
      <w:r w:rsidRPr="000A7BB0">
        <w:rPr>
          <w:color w:val="000000" w:themeColor="text1"/>
        </w:rPr>
        <w:t xml:space="preserve">. </w:t>
      </w:r>
    </w:p>
    <w:p w14:paraId="448384BD" w14:textId="66D65E6A" w:rsidR="004B61FF" w:rsidRPr="000A7BB0" w:rsidRDefault="3EFBA503" w:rsidP="002553CE">
      <w:pPr>
        <w:numPr>
          <w:ilvl w:val="4"/>
          <w:numId w:val="11"/>
        </w:numPr>
        <w:ind w:left="709" w:hanging="709"/>
        <w:rPr>
          <w:color w:val="000000" w:themeColor="text1"/>
        </w:rPr>
      </w:pPr>
      <w:r w:rsidRPr="000A7BB0">
        <w:rPr>
          <w:color w:val="000000" w:themeColor="text1"/>
        </w:rPr>
        <w:t>However, approximately 20% of mBC patients progress rapidly on initial ET (i.e., have de novo or primary resistance, with disease progression within the first 6 months of 1L treatment with ET+ CDK4/6i), while the remaining acquire resistance over time (secondary resistance, with disease progression at least 6 months after initiating ET for mBC)</w:t>
      </w:r>
      <w:r w:rsidR="00092F97">
        <w:rPr>
          <w:color w:val="000000" w:themeColor="text1"/>
          <w:vertAlign w:val="superscript"/>
        </w:rPr>
        <w:t>3</w:t>
      </w:r>
      <w:r w:rsidRPr="000A7BB0">
        <w:rPr>
          <w:color w:val="000000" w:themeColor="text1"/>
        </w:rPr>
        <w:t xml:space="preserve">. Several molecular mechanisms have been identified which underlie acquired endocrine resistance, including acquired variants in specific genes (e.g., </w:t>
      </w:r>
      <w:r w:rsidRPr="000A7BB0">
        <w:rPr>
          <w:i/>
          <w:iCs/>
          <w:color w:val="000000" w:themeColor="text1"/>
        </w:rPr>
        <w:t>ESR1</w:t>
      </w:r>
      <w:r w:rsidRPr="000A7BB0">
        <w:rPr>
          <w:color w:val="000000" w:themeColor="text1"/>
        </w:rPr>
        <w:t xml:space="preserve">, the gene which encodes for estrogen receptor alpha [ERα]). </w:t>
      </w:r>
    </w:p>
    <w:p w14:paraId="5C7B4E97" w14:textId="77777777" w:rsidR="004B61FF" w:rsidRPr="000A7BB0" w:rsidRDefault="004B61FF" w:rsidP="002553CE">
      <w:pPr>
        <w:pStyle w:val="OutlineHeading2"/>
        <w:rPr>
          <w:rFonts w:asciiTheme="minorHAnsi" w:hAnsiTheme="minorHAnsi" w:cstheme="minorHAnsi"/>
        </w:rPr>
      </w:pPr>
      <w:r w:rsidRPr="000A7BB0">
        <w:rPr>
          <w:rFonts w:asciiTheme="minorHAnsi" w:hAnsiTheme="minorHAnsi" w:cstheme="minorHAnsi"/>
        </w:rPr>
        <w:t xml:space="preserve">Biomarker </w:t>
      </w:r>
    </w:p>
    <w:p w14:paraId="73DD8EB9" w14:textId="1421EAA9" w:rsidR="004B61FF" w:rsidRPr="000A7BB0" w:rsidRDefault="3EFBA503" w:rsidP="002553CE">
      <w:pPr>
        <w:numPr>
          <w:ilvl w:val="4"/>
          <w:numId w:val="11"/>
        </w:numPr>
        <w:ind w:left="709" w:hanging="709"/>
        <w:rPr>
          <w:color w:val="000000" w:themeColor="text1"/>
        </w:rPr>
      </w:pPr>
      <w:bookmarkStart w:id="12" w:name="_Ref187393200"/>
      <w:r w:rsidRPr="000A7BB0">
        <w:rPr>
          <w:i/>
          <w:iCs/>
          <w:color w:val="000000" w:themeColor="text1"/>
        </w:rPr>
        <w:t>ESR1</w:t>
      </w:r>
      <w:r w:rsidRPr="000A7BB0">
        <w:rPr>
          <w:color w:val="000000" w:themeColor="text1"/>
        </w:rPr>
        <w:t xml:space="preserve"> variants are a key mechanism of acquired resistance to ET. </w:t>
      </w:r>
      <w:r w:rsidRPr="000A7BB0">
        <w:rPr>
          <w:i/>
          <w:iCs/>
          <w:color w:val="000000" w:themeColor="text1"/>
        </w:rPr>
        <w:t>ESR1</w:t>
      </w:r>
      <w:r w:rsidRPr="000A7BB0">
        <w:rPr>
          <w:color w:val="000000" w:themeColor="text1"/>
        </w:rPr>
        <w:t xml:space="preserve"> variants are somatic variants that alter the ligand-binding domain (LBD) of estrogen receptors, resulting in a ligand-independent, constitutively active conformation that enhances cancer growth, metastasis, and resistance. This decreases the affinity of estrogen receptors for estrogen (thereby making AIs, which reduce estrogen production, ineffective), selective estrogen receptor modulators (SERMs- e</w:t>
      </w:r>
      <w:r w:rsidR="000442CE">
        <w:rPr>
          <w:color w:val="000000" w:themeColor="text1"/>
        </w:rPr>
        <w:t>.</w:t>
      </w:r>
      <w:r w:rsidRPr="000A7BB0">
        <w:rPr>
          <w:color w:val="000000" w:themeColor="text1"/>
        </w:rPr>
        <w:t>g</w:t>
      </w:r>
      <w:r w:rsidR="000442CE">
        <w:rPr>
          <w:color w:val="000000" w:themeColor="text1"/>
        </w:rPr>
        <w:t>.</w:t>
      </w:r>
      <w:r w:rsidRPr="000A7BB0">
        <w:rPr>
          <w:color w:val="000000" w:themeColor="text1"/>
        </w:rPr>
        <w:t xml:space="preserve"> tamoxifen) and selective estrogen receptor degraders (SERDs – e</w:t>
      </w:r>
      <w:r w:rsidR="000442CE">
        <w:rPr>
          <w:color w:val="000000" w:themeColor="text1"/>
        </w:rPr>
        <w:t>.</w:t>
      </w:r>
      <w:r w:rsidRPr="000A7BB0">
        <w:rPr>
          <w:color w:val="000000" w:themeColor="text1"/>
        </w:rPr>
        <w:t>g</w:t>
      </w:r>
      <w:r w:rsidR="000442CE">
        <w:rPr>
          <w:color w:val="000000" w:themeColor="text1"/>
        </w:rPr>
        <w:t>.</w:t>
      </w:r>
      <w:r w:rsidRPr="000A7BB0">
        <w:rPr>
          <w:color w:val="000000" w:themeColor="text1"/>
        </w:rPr>
        <w:t xml:space="preserve"> fulvestrant). </w:t>
      </w:r>
      <w:bookmarkEnd w:id="12"/>
    </w:p>
    <w:p w14:paraId="6548052E" w14:textId="7DB1D086" w:rsidR="004B61FF" w:rsidRPr="000A7BB0" w:rsidRDefault="3EFBA503" w:rsidP="002553CE">
      <w:pPr>
        <w:pStyle w:val="Caption"/>
      </w:pPr>
      <w:bookmarkStart w:id="13" w:name="_Ref184473176"/>
      <w:r w:rsidRPr="000A7BB0">
        <w:lastRenderedPageBreak/>
        <w:t xml:space="preserve">Figure </w:t>
      </w:r>
      <w:r>
        <w:fldChar w:fldCharType="begin"/>
      </w:r>
      <w:r>
        <w:instrText>SEQ Figure_PBAC. \* ARABIC</w:instrText>
      </w:r>
      <w:r>
        <w:fldChar w:fldCharType="separate"/>
      </w:r>
      <w:r w:rsidR="004F224A">
        <w:rPr>
          <w:noProof/>
        </w:rPr>
        <w:t>1</w:t>
      </w:r>
      <w:r>
        <w:fldChar w:fldCharType="end"/>
      </w:r>
      <w:bookmarkEnd w:id="13"/>
      <w:r w:rsidRPr="000A7BB0">
        <w:t>: Mechanisms of resistance in ER+/HER2- mBC</w:t>
      </w:r>
    </w:p>
    <w:p w14:paraId="16FBA6A1" w14:textId="77777777" w:rsidR="004B61FF" w:rsidRPr="000A7BB0" w:rsidRDefault="004B61FF" w:rsidP="002553CE">
      <w:pPr>
        <w:spacing w:before="0" w:after="0"/>
        <w:jc w:val="center"/>
        <w:rPr>
          <w:rFonts w:cs="Arial"/>
        </w:rPr>
      </w:pPr>
      <w:r w:rsidRPr="000A7BB0">
        <w:rPr>
          <w:noProof/>
          <w:lang w:eastAsia="en-AU"/>
        </w:rPr>
        <w:drawing>
          <wp:inline distT="0" distB="0" distL="0" distR="0" wp14:anchorId="5B89E5B9" wp14:editId="15DFD0AF">
            <wp:extent cx="4636976" cy="3020767"/>
            <wp:effectExtent l="19050" t="0" r="0" b="0"/>
            <wp:docPr id="1129205715" name="Picture 1129205715" descr="Figure 1: Diagram showing mechanisms of resistance in ER+/HER2- 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05715" name="Picture 1129205715" descr="Figure 1: Diagram showing mechanisms of resistance in ER+/HER2- mBC"/>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558" b="11042"/>
                    <a:stretch/>
                  </pic:blipFill>
                  <pic:spPr bwMode="auto">
                    <a:xfrm>
                      <a:off x="0" y="0"/>
                      <a:ext cx="4640470" cy="3023043"/>
                    </a:xfrm>
                    <a:prstGeom prst="rect">
                      <a:avLst/>
                    </a:prstGeom>
                    <a:noFill/>
                    <a:ln>
                      <a:noFill/>
                    </a:ln>
                    <a:extLst>
                      <a:ext uri="{53640926-AAD7-44D8-BBD7-CCE9431645EC}">
                        <a14:shadowObscured xmlns:a14="http://schemas.microsoft.com/office/drawing/2010/main"/>
                      </a:ext>
                    </a:extLst>
                  </pic:spPr>
                </pic:pic>
              </a:graphicData>
            </a:graphic>
          </wp:inline>
        </w:drawing>
      </w:r>
    </w:p>
    <w:p w14:paraId="4F343E10" w14:textId="77777777" w:rsidR="004B61FF" w:rsidRPr="000A7BB0" w:rsidRDefault="004B61FF" w:rsidP="002553CE">
      <w:pPr>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Source: Figure 1.3, p26 of the submission.</w:t>
      </w:r>
    </w:p>
    <w:p w14:paraId="223DC1E8" w14:textId="53970B7F" w:rsidR="004B61FF" w:rsidRPr="000A7BB0" w:rsidRDefault="3EFBA503" w:rsidP="002553CE">
      <w:pPr>
        <w:spacing w:before="0" w:after="0"/>
        <w:contextualSpacing/>
        <w:rPr>
          <w:rFonts w:ascii="Arial Narrow" w:eastAsia="Times New Roman" w:hAnsi="Arial Narrow" w:cs="Arial"/>
          <w:snapToGrid w:val="0"/>
          <w:sz w:val="18"/>
          <w:szCs w:val="18"/>
        </w:rPr>
      </w:pPr>
      <w:r w:rsidRPr="000A7BB0">
        <w:rPr>
          <w:rFonts w:ascii="Arial Narrow" w:eastAsia="Times New Roman" w:hAnsi="Arial Narrow" w:cs="Arial"/>
          <w:snapToGrid w:val="0"/>
          <w:sz w:val="18"/>
          <w:szCs w:val="18"/>
        </w:rPr>
        <w:t xml:space="preserve">AI = aromatase inhibitor; CCND1 = cyclin D1; </w:t>
      </w:r>
      <w:r w:rsidRPr="000A7BB0">
        <w:rPr>
          <w:rFonts w:ascii="Arial Narrow" w:eastAsia="Arial" w:hAnsi="Arial Narrow" w:cs="Arial"/>
          <w:snapToGrid w:val="0"/>
          <w:sz w:val="18"/>
          <w:szCs w:val="18"/>
        </w:rPr>
        <w:t xml:space="preserve">CDK4/6 = cyclin-dependent kinase 4 and 6; </w:t>
      </w:r>
      <w:r w:rsidRPr="000A7BB0">
        <w:rPr>
          <w:rFonts w:ascii="Arial Narrow" w:eastAsia="Times New Roman" w:hAnsi="Arial Narrow" w:cs="Arial"/>
          <w:snapToGrid w:val="0"/>
          <w:sz w:val="18"/>
          <w:szCs w:val="18"/>
        </w:rPr>
        <w:t xml:space="preserve">ER+/ HR2-mBC = estrogen receptor positive, human epidermal growth factor receptor 2 </w:t>
      </w:r>
      <w:r w:rsidR="024B21CD" w:rsidRPr="000A7BB0">
        <w:rPr>
          <w:rFonts w:ascii="Arial Narrow" w:eastAsia="Times New Roman" w:hAnsi="Arial Narrow" w:cs="Arial"/>
          <w:snapToGrid w:val="0"/>
          <w:sz w:val="18"/>
          <w:szCs w:val="18"/>
        </w:rPr>
        <w:t>metastatic</w:t>
      </w:r>
      <w:r w:rsidRPr="000A7BB0">
        <w:rPr>
          <w:rFonts w:ascii="Arial Narrow" w:eastAsia="Times New Roman" w:hAnsi="Arial Narrow" w:cs="Arial"/>
          <w:snapToGrid w:val="0"/>
          <w:sz w:val="18"/>
          <w:szCs w:val="18"/>
        </w:rPr>
        <w:t xml:space="preserve"> breast cancer; </w:t>
      </w:r>
      <w:r w:rsidRPr="000A7BB0">
        <w:rPr>
          <w:rFonts w:ascii="Arial Narrow" w:eastAsia="Times New Roman" w:hAnsi="Arial Narrow" w:cs="Arial"/>
          <w:i/>
          <w:iCs/>
          <w:snapToGrid w:val="0"/>
          <w:sz w:val="18"/>
          <w:szCs w:val="18"/>
        </w:rPr>
        <w:t>ESR1-WT</w:t>
      </w:r>
      <w:r w:rsidRPr="000A7BB0">
        <w:rPr>
          <w:rFonts w:ascii="Arial Narrow" w:eastAsia="Times New Roman" w:hAnsi="Arial Narrow" w:cs="Arial"/>
          <w:snapToGrid w:val="0"/>
          <w:sz w:val="18"/>
          <w:szCs w:val="18"/>
        </w:rPr>
        <w:t xml:space="preserve"> = estrogen receptor 1 wild type;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mut = </w:t>
      </w:r>
      <w:r w:rsidR="70DA3C11" w:rsidRPr="000A7BB0">
        <w:rPr>
          <w:rFonts w:ascii="Arial Narrow" w:eastAsia="Times New Roman" w:hAnsi="Arial Narrow" w:cs="Arial"/>
          <w:snapToGrid w:val="0"/>
          <w:sz w:val="18"/>
          <w:szCs w:val="18"/>
        </w:rPr>
        <w:t>estrogen receptor 1 variant</w:t>
      </w:r>
      <w:r w:rsidRPr="000A7BB0">
        <w:rPr>
          <w:rFonts w:ascii="Arial Narrow" w:eastAsia="Times New Roman" w:hAnsi="Arial Narrow" w:cs="Arial"/>
          <w:snapToGrid w:val="0"/>
          <w:sz w:val="18"/>
          <w:szCs w:val="18"/>
        </w:rPr>
        <w:t xml:space="preserve">; E2 = estradiol; mTORC = mammalian target of rapamycin complex; PI3K = phosphoinositol three kinase; TFs = transcription factors; </w:t>
      </w:r>
    </w:p>
    <w:p w14:paraId="3644AFCF" w14:textId="77777777" w:rsidR="004B61FF" w:rsidRPr="000A7BB0" w:rsidRDefault="3EFBA503" w:rsidP="002553CE">
      <w:pPr>
        <w:spacing w:before="0" w:after="0"/>
        <w:contextualSpacing/>
        <w:rPr>
          <w:rFonts w:ascii="Arial Narrow" w:eastAsia="Times New Roman" w:hAnsi="Arial Narrow" w:cs="Arial"/>
          <w:snapToGrid w:val="0"/>
          <w:sz w:val="18"/>
          <w:szCs w:val="18"/>
        </w:rPr>
      </w:pPr>
      <w:r w:rsidRPr="000A7BB0">
        <w:rPr>
          <w:rFonts w:ascii="Arial Narrow" w:eastAsia="Times New Roman" w:hAnsi="Arial Narrow" w:cs="Arial"/>
          <w:snapToGrid w:val="0"/>
          <w:sz w:val="18"/>
          <w:szCs w:val="18"/>
        </w:rPr>
        <w:t xml:space="preserve">Note: In the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-WT situation, AI depletion of estrogen inhibits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 activity, SERMs such as tamoxifen alter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 binding partners and transactivation ability, and SERDs such as fulvestrant inhibit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 activity and proteolytic stability. In the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-mut situation, AI is ineffective since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-mut does not require estrogen, and tamoxifen and fulvestrant bind less strongly to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-mut. CDK4/6i is effective in both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 xml:space="preserve">-wt and </w:t>
      </w:r>
      <w:r w:rsidRPr="000A7BB0">
        <w:rPr>
          <w:rFonts w:ascii="Arial Narrow" w:eastAsia="Times New Roman" w:hAnsi="Arial Narrow" w:cs="Arial"/>
          <w:i/>
          <w:iCs/>
          <w:snapToGrid w:val="0"/>
          <w:sz w:val="18"/>
          <w:szCs w:val="18"/>
        </w:rPr>
        <w:t>ESR1</w:t>
      </w:r>
      <w:r w:rsidRPr="000A7BB0">
        <w:rPr>
          <w:rFonts w:ascii="Arial Narrow" w:eastAsia="Times New Roman" w:hAnsi="Arial Narrow" w:cs="Arial"/>
          <w:snapToGrid w:val="0"/>
          <w:sz w:val="18"/>
          <w:szCs w:val="18"/>
        </w:rPr>
        <w:t>-mut BC.</w:t>
      </w:r>
    </w:p>
    <w:p w14:paraId="1097CE98" w14:textId="06758978" w:rsidR="004B61FF" w:rsidRPr="000A7BB0" w:rsidRDefault="3EFBA503" w:rsidP="002553CE">
      <w:pPr>
        <w:numPr>
          <w:ilvl w:val="4"/>
          <w:numId w:val="11"/>
        </w:numPr>
        <w:ind w:left="709" w:hanging="709"/>
        <w:rPr>
          <w:color w:val="000000" w:themeColor="text1"/>
        </w:rPr>
      </w:pPr>
      <w:r w:rsidRPr="000A7BB0">
        <w:rPr>
          <w:i/>
          <w:iCs/>
          <w:color w:val="000000" w:themeColor="text1"/>
        </w:rPr>
        <w:t>ESR1</w:t>
      </w:r>
      <w:r w:rsidRPr="000A7BB0">
        <w:rPr>
          <w:color w:val="000000" w:themeColor="text1"/>
        </w:rPr>
        <w:t xml:space="preserve"> variants are rarely detected in treatment-naive primary tumours</w:t>
      </w:r>
      <w:r w:rsidR="00E10B29" w:rsidRPr="000A7BB0">
        <w:rPr>
          <w:rStyle w:val="FootnoteReference"/>
          <w:color w:val="000000" w:themeColor="text1"/>
        </w:rPr>
        <w:footnoteReference w:id="7"/>
      </w:r>
      <w:r w:rsidRPr="000A7BB0">
        <w:rPr>
          <w:color w:val="000000" w:themeColor="text1"/>
        </w:rPr>
        <w:t xml:space="preserve">, </w:t>
      </w:r>
      <w:r w:rsidR="33EA81A3" w:rsidRPr="000A7BB0">
        <w:rPr>
          <w:color w:val="000000" w:themeColor="text1"/>
        </w:rPr>
        <w:t>occurring</w:t>
      </w:r>
      <w:r w:rsidRPr="000A7BB0">
        <w:rPr>
          <w:color w:val="000000" w:themeColor="text1"/>
        </w:rPr>
        <w:t xml:space="preserve"> more frequently with longer exposure to conventional ET (AIs, fulvestrant) for mBC</w:t>
      </w:r>
      <w:r w:rsidR="00C415FB" w:rsidRPr="000A7BB0">
        <w:rPr>
          <w:rStyle w:val="FootnoteReference"/>
          <w:color w:val="000000" w:themeColor="text1"/>
        </w:rPr>
        <w:footnoteReference w:id="8"/>
      </w:r>
      <w:r w:rsidRPr="000A7BB0">
        <w:rPr>
          <w:color w:val="000000" w:themeColor="text1"/>
        </w:rPr>
        <w:t>. The duration of exposure to ET in first line (1L) treatment has increased due to combination with CDK4/6i, with median progression free survival (PFS) ranging from 9.5 months to 28.1 months</w:t>
      </w:r>
      <w:r w:rsidR="00C415FB" w:rsidRPr="000A7BB0">
        <w:rPr>
          <w:rStyle w:val="FootnoteReference"/>
          <w:color w:val="000000" w:themeColor="text1"/>
        </w:rPr>
        <w:footnoteReference w:id="9"/>
      </w:r>
      <w:r w:rsidRPr="000A7BB0">
        <w:rPr>
          <w:color w:val="000000" w:themeColor="text1"/>
        </w:rPr>
        <w:t xml:space="preserve">. As such, </w:t>
      </w:r>
      <w:r w:rsidRPr="000A7BB0">
        <w:rPr>
          <w:i/>
          <w:iCs/>
          <w:color w:val="000000" w:themeColor="text1"/>
        </w:rPr>
        <w:t>ESR1</w:t>
      </w:r>
      <w:r w:rsidRPr="000A7BB0">
        <w:rPr>
          <w:color w:val="000000" w:themeColor="text1"/>
        </w:rPr>
        <w:t xml:space="preserve"> variants predominantly emerge during first line treatment, although they may develop during any subsequent line of therapy; therefore, testing for </w:t>
      </w:r>
      <w:r w:rsidRPr="000A7BB0">
        <w:rPr>
          <w:i/>
          <w:iCs/>
          <w:color w:val="000000" w:themeColor="text1"/>
        </w:rPr>
        <w:t>ESR1</w:t>
      </w:r>
      <w:r w:rsidRPr="000A7BB0">
        <w:rPr>
          <w:color w:val="000000" w:themeColor="text1"/>
        </w:rPr>
        <w:t xml:space="preserve"> variants is relevant at each episode of disease progression. It is estimated that up to 40-50% of patients with ER+/HER2- mBC will develop </w:t>
      </w:r>
      <w:r w:rsidRPr="000A7BB0">
        <w:rPr>
          <w:i/>
          <w:iCs/>
          <w:color w:val="000000" w:themeColor="text1"/>
        </w:rPr>
        <w:t>ESR1</w:t>
      </w:r>
      <w:r w:rsidRPr="000A7BB0">
        <w:rPr>
          <w:color w:val="000000" w:themeColor="text1"/>
        </w:rPr>
        <w:t xml:space="preserve"> variants during their treatment course.</w:t>
      </w:r>
    </w:p>
    <w:p w14:paraId="2ADD5471" w14:textId="1FE03810" w:rsidR="004B61FF" w:rsidRPr="000A7BB0" w:rsidRDefault="3EFBA503" w:rsidP="002553CE">
      <w:pPr>
        <w:numPr>
          <w:ilvl w:val="4"/>
          <w:numId w:val="11"/>
        </w:numPr>
        <w:ind w:left="709" w:hanging="709"/>
        <w:rPr>
          <w:color w:val="000000" w:themeColor="text1"/>
        </w:rPr>
      </w:pPr>
      <w:r w:rsidRPr="000A7BB0">
        <w:rPr>
          <w:color w:val="000000" w:themeColor="text1"/>
        </w:rPr>
        <w:lastRenderedPageBreak/>
        <w:t xml:space="preserve">Patients harbouring </w:t>
      </w:r>
      <w:r w:rsidRPr="000A7BB0">
        <w:rPr>
          <w:i/>
          <w:iCs/>
          <w:color w:val="000000" w:themeColor="text1"/>
        </w:rPr>
        <w:t>ESR1</w:t>
      </w:r>
      <w:r w:rsidRPr="000A7BB0">
        <w:rPr>
          <w:color w:val="000000" w:themeColor="text1"/>
        </w:rPr>
        <w:t xml:space="preserve"> variants have a poorer prognosis, with inferior PFS and overall survival (OS) outcomes</w:t>
      </w:r>
      <w:r w:rsidR="005A5108" w:rsidRPr="000A7BB0">
        <w:rPr>
          <w:rStyle w:val="FootnoteReference"/>
          <w:color w:val="000000" w:themeColor="text1"/>
        </w:rPr>
        <w:footnoteReference w:id="10"/>
      </w:r>
      <w:r w:rsidRPr="000A7BB0">
        <w:rPr>
          <w:color w:val="000000" w:themeColor="text1"/>
        </w:rPr>
        <w:t>, as currently available second line plus (2L+) treatments are less effective (tamoxifen, fulvestrant) or not effective (in the case of AIs) (</w:t>
      </w:r>
      <w:r w:rsidR="002B293F">
        <w:rPr>
          <w:color w:val="000000" w:themeColor="text1"/>
        </w:rPr>
        <w:t xml:space="preserve">see </w:t>
      </w:r>
      <w:r w:rsidR="002D1B71" w:rsidRPr="000A7BB0">
        <w:rPr>
          <w:color w:val="000000" w:themeColor="text1"/>
        </w:rPr>
        <w:fldChar w:fldCharType="begin"/>
      </w:r>
      <w:r w:rsidR="002D1B71" w:rsidRPr="000A7BB0">
        <w:rPr>
          <w:color w:val="000000" w:themeColor="text1"/>
        </w:rPr>
        <w:instrText xml:space="preserve"> REF _Ref184473176 \h </w:instrText>
      </w:r>
      <w:r w:rsidR="00FD1930" w:rsidRPr="000A7BB0">
        <w:rPr>
          <w:color w:val="000000" w:themeColor="text1"/>
        </w:rPr>
        <w:instrText xml:space="preserve"> \* MERGEFORMAT </w:instrText>
      </w:r>
      <w:r w:rsidR="002D1B71" w:rsidRPr="000A7BB0">
        <w:rPr>
          <w:color w:val="000000" w:themeColor="text1"/>
        </w:rPr>
      </w:r>
      <w:r w:rsidR="002D1B71" w:rsidRPr="000A7BB0">
        <w:rPr>
          <w:color w:val="000000" w:themeColor="text1"/>
        </w:rPr>
        <w:fldChar w:fldCharType="separate"/>
      </w:r>
      <w:r w:rsidR="004F224A" w:rsidRPr="004F224A">
        <w:rPr>
          <w:color w:val="000000" w:themeColor="text1"/>
        </w:rPr>
        <w:t>Figure 1</w:t>
      </w:r>
      <w:r w:rsidR="002D1B71" w:rsidRPr="000A7BB0">
        <w:rPr>
          <w:color w:val="000000" w:themeColor="text1"/>
        </w:rPr>
        <w:fldChar w:fldCharType="end"/>
      </w:r>
      <w:r w:rsidRPr="000A7BB0">
        <w:rPr>
          <w:color w:val="000000" w:themeColor="text1"/>
        </w:rPr>
        <w:t xml:space="preserve">). Chemotherapy is an alternative treatment option for these patients but is associated with toxicities. </w:t>
      </w:r>
    </w:p>
    <w:p w14:paraId="67FB3CE3" w14:textId="2C6D09C9" w:rsidR="004B61FF" w:rsidRPr="000A7BB0" w:rsidRDefault="3EFBA503" w:rsidP="002553CE">
      <w:pPr>
        <w:pStyle w:val="OutlineHeading2"/>
        <w:rPr>
          <w:rFonts w:asciiTheme="minorHAnsi" w:hAnsiTheme="minorHAnsi" w:cstheme="minorBidi"/>
        </w:rPr>
      </w:pPr>
      <w:r w:rsidRPr="000A7BB0">
        <w:rPr>
          <w:rFonts w:asciiTheme="minorHAnsi" w:hAnsiTheme="minorHAnsi" w:cstheme="minorBidi"/>
        </w:rPr>
        <w:t>Elacestrant treatment</w:t>
      </w:r>
    </w:p>
    <w:p w14:paraId="5A07A93B" w14:textId="78CEA35C" w:rsidR="004B61FF" w:rsidRPr="000A7BB0" w:rsidRDefault="3EFBA503" w:rsidP="002553CE">
      <w:pPr>
        <w:numPr>
          <w:ilvl w:val="4"/>
          <w:numId w:val="11"/>
        </w:numPr>
        <w:ind w:left="709" w:hanging="709"/>
        <w:rPr>
          <w:color w:val="000000" w:themeColor="text1"/>
        </w:rPr>
      </w:pPr>
      <w:r w:rsidRPr="000A7BB0">
        <w:rPr>
          <w:color w:val="000000" w:themeColor="text1"/>
        </w:rPr>
        <w:t xml:space="preserve">Elacestrant is a potent, selective and orally active ERα antagonist and SERD. Elacestrant inhibits the estrogen-dependent and independent growth of ERα-positive breast cancer cells, including those harbouring </w:t>
      </w:r>
      <w:r w:rsidRPr="000A7BB0">
        <w:rPr>
          <w:i/>
          <w:iCs/>
          <w:color w:val="000000" w:themeColor="text1"/>
        </w:rPr>
        <w:t>ESR1</w:t>
      </w:r>
      <w:r w:rsidRPr="000A7BB0">
        <w:rPr>
          <w:color w:val="000000" w:themeColor="text1"/>
        </w:rPr>
        <w:t xml:space="preserve"> gene variants, thus providing a 2L+ treatment option for patients with ER+/HER2-mBC and </w:t>
      </w:r>
      <w:r w:rsidRPr="000A7BB0">
        <w:rPr>
          <w:i/>
          <w:iCs/>
          <w:color w:val="000000" w:themeColor="text1"/>
        </w:rPr>
        <w:t>ESR1</w:t>
      </w:r>
      <w:r w:rsidRPr="000A7BB0">
        <w:rPr>
          <w:color w:val="000000" w:themeColor="text1"/>
        </w:rPr>
        <w:t xml:space="preserve"> variants. </w:t>
      </w:r>
      <w:r w:rsidR="00A36388">
        <w:rPr>
          <w:color w:val="000000" w:themeColor="text1"/>
        </w:rPr>
        <w:t>The submission stated that a</w:t>
      </w:r>
      <w:r w:rsidRPr="000A7BB0">
        <w:rPr>
          <w:color w:val="000000" w:themeColor="text1"/>
        </w:rPr>
        <w:t xml:space="preserve">s it is administered orally, </w:t>
      </w:r>
      <w:r w:rsidR="00764765">
        <w:rPr>
          <w:color w:val="000000" w:themeColor="text1"/>
        </w:rPr>
        <w:t xml:space="preserve">elacestrant </w:t>
      </w:r>
      <w:r w:rsidRPr="000A7BB0">
        <w:rPr>
          <w:color w:val="000000" w:themeColor="text1"/>
        </w:rPr>
        <w:t>reduces healthcare resource utilisation costs associated with the toxicities and administration of other treatments (fulvestrant [monthly IM (intramuscular) injections] and chemotherapy) and minimises disruptions to patients</w:t>
      </w:r>
      <w:r w:rsidR="355A4F8D" w:rsidRPr="000A7BB0">
        <w:rPr>
          <w:color w:val="000000" w:themeColor="text1"/>
        </w:rPr>
        <w:t>’</w:t>
      </w:r>
      <w:r w:rsidRPr="000A7BB0">
        <w:rPr>
          <w:color w:val="000000" w:themeColor="text1"/>
        </w:rPr>
        <w:t xml:space="preserve"> lives while maintaining their HRQoL.</w:t>
      </w:r>
    </w:p>
    <w:p w14:paraId="2C84D3A4" w14:textId="3039B717" w:rsidR="009E18C3" w:rsidRPr="000A7BB0" w:rsidRDefault="3EFBA503" w:rsidP="002553CE">
      <w:pPr>
        <w:numPr>
          <w:ilvl w:val="4"/>
          <w:numId w:val="11"/>
        </w:numPr>
        <w:ind w:left="709" w:hanging="709"/>
        <w:rPr>
          <w:color w:val="000000" w:themeColor="text1"/>
        </w:rPr>
      </w:pPr>
      <w:r w:rsidRPr="000A7BB0">
        <w:rPr>
          <w:color w:val="000000" w:themeColor="text1"/>
        </w:rPr>
        <w:t xml:space="preserve">Australian clinical practice is informed by international guidelines, including European Society for Medical Oncology (ESMO) and National Comprehensive Cancer Network (NCCN). Both of these clinical guidelines have recently been updated and have added elacestrant as a treatment option for postmenopausal females and adult males with ER+/HER2- mBC who test positive for </w:t>
      </w:r>
      <w:r w:rsidRPr="000A7BB0">
        <w:rPr>
          <w:i/>
          <w:iCs/>
          <w:color w:val="000000" w:themeColor="text1"/>
        </w:rPr>
        <w:t>ESR1</w:t>
      </w:r>
      <w:r w:rsidRPr="000A7BB0">
        <w:rPr>
          <w:color w:val="000000" w:themeColor="text1"/>
        </w:rPr>
        <w:t xml:space="preserve"> variants after disease progression following at least one line of ET including a CDK4/6i</w:t>
      </w:r>
      <w:r w:rsidR="00297166" w:rsidRPr="000A7BB0">
        <w:rPr>
          <w:rStyle w:val="FootnoteReference"/>
          <w:color w:val="000000" w:themeColor="text1"/>
        </w:rPr>
        <w:footnoteReference w:id="11"/>
      </w:r>
      <w:r w:rsidR="00857862" w:rsidRPr="00857862">
        <w:rPr>
          <w:color w:val="000000" w:themeColor="text1"/>
          <w:vertAlign w:val="superscript"/>
        </w:rPr>
        <w:t>,</w:t>
      </w:r>
      <w:r w:rsidR="001C5A36">
        <w:rPr>
          <w:rStyle w:val="FootnoteReference"/>
          <w:color w:val="000000" w:themeColor="text1"/>
        </w:rPr>
        <w:footnoteReference w:id="12"/>
      </w:r>
      <w:r w:rsidRPr="000A7BB0">
        <w:rPr>
          <w:color w:val="000000" w:themeColor="text1"/>
        </w:rPr>
        <w:t xml:space="preserve">. </w:t>
      </w:r>
    </w:p>
    <w:p w14:paraId="23B71D02" w14:textId="3E3FFAE1" w:rsidR="00D20532" w:rsidRPr="00D20532" w:rsidRDefault="00D20532" w:rsidP="002553CE">
      <w:pPr>
        <w:ind w:left="709"/>
        <w:rPr>
          <w:i/>
          <w:iCs/>
          <w:color w:val="000000" w:themeColor="text1"/>
        </w:rPr>
      </w:pPr>
      <w:r w:rsidRPr="00D20532">
        <w:rPr>
          <w:i/>
          <w:iCs/>
          <w:color w:val="000000" w:themeColor="text1"/>
        </w:rPr>
        <w:t>For more detail on PBAC’s view, see section 7 PBAC outcome.</w:t>
      </w:r>
    </w:p>
    <w:p w14:paraId="3E1782A8" w14:textId="77777777" w:rsidR="00C317F3" w:rsidRPr="000A7BB0" w:rsidRDefault="00C317F3" w:rsidP="002553CE">
      <w:pPr>
        <w:pStyle w:val="PBACESHeading1"/>
        <w:numPr>
          <w:ilvl w:val="0"/>
          <w:numId w:val="11"/>
        </w:numPr>
        <w:tabs>
          <w:tab w:val="clear" w:pos="1077"/>
          <w:tab w:val="left" w:pos="709"/>
        </w:tabs>
      </w:pPr>
      <w:bookmarkStart w:id="14" w:name="_Toc188374358"/>
      <w:r w:rsidRPr="000A7BB0">
        <w:t>Comparator</w:t>
      </w:r>
      <w:bookmarkEnd w:id="6"/>
      <w:bookmarkEnd w:id="14"/>
    </w:p>
    <w:p w14:paraId="08136767" w14:textId="68B54917" w:rsidR="009E18C3" w:rsidRPr="000A7BB0" w:rsidRDefault="009E18C3" w:rsidP="002553CE">
      <w:pPr>
        <w:numPr>
          <w:ilvl w:val="4"/>
          <w:numId w:val="11"/>
        </w:numPr>
        <w:ind w:left="709" w:hanging="709"/>
        <w:rPr>
          <w:color w:val="000000" w:themeColor="text1"/>
        </w:rPr>
      </w:pPr>
      <w:r w:rsidRPr="000A7BB0">
        <w:rPr>
          <w:color w:val="000000" w:themeColor="text1"/>
        </w:rPr>
        <w:t>The submission nominated endocrine monotherapy as the main comparator for the proposed drug. This consisted of fulvestrant (500 mg [IM] days 1 and 15 [cycle 1], then day 1 in subsequent cycles [frequency: 28 days]), or an AI (anastrozole 1 mg oral daily, letrozole 2.5 mg oral daily, or exemestane 25 mg oral daily) until disease progression or unacceptable toxicity. The main arguments provided in support of this nomination were:</w:t>
      </w:r>
    </w:p>
    <w:p w14:paraId="6B727C5C" w14:textId="728FBC7F" w:rsidR="009E18C3" w:rsidRPr="001B5EAE" w:rsidRDefault="009E18C3" w:rsidP="002553CE">
      <w:pPr>
        <w:pStyle w:val="PBACESParagraphBulletPoint"/>
        <w:ind w:left="993" w:hanging="284"/>
      </w:pPr>
      <w:r w:rsidRPr="000A7BB0">
        <w:t xml:space="preserve">In the 2L+ treatment setting, clinical guidelines recommend sequential endocrine </w:t>
      </w:r>
      <w:r w:rsidRPr="001B5EAE">
        <w:t xml:space="preserve">monotherapy (unless there is imminent organ failure, where chemotherapy is recommended), until all ET options have been exhausted or where there is </w:t>
      </w:r>
      <w:r w:rsidRPr="001B5EAE">
        <w:lastRenderedPageBreak/>
        <w:t>evidence of endocrine resistance.</w:t>
      </w:r>
      <w:r w:rsidR="73866C02" w:rsidRPr="001B5EAE">
        <w:t xml:space="preserve"> However, clinical guidelines also state that selection of second-line therapy (chemotherapy vs further endocrine-based therapy) should be based on disease aggressiveness, extent and orga</w:t>
      </w:r>
      <w:r w:rsidR="3E1CF5B2" w:rsidRPr="001B5EAE">
        <w:t>n</w:t>
      </w:r>
      <w:r w:rsidR="73866C02" w:rsidRPr="001B5EAE">
        <w:t xml:space="preserve"> function, and consider the associated toxicity profile.</w:t>
      </w:r>
    </w:p>
    <w:p w14:paraId="2219BA21" w14:textId="5F66C486" w:rsidR="009E18C3" w:rsidRPr="001B5EAE" w:rsidRDefault="009E18C3" w:rsidP="002553CE">
      <w:pPr>
        <w:pStyle w:val="PBACESParagraphBulletPoint"/>
        <w:ind w:left="993" w:hanging="284"/>
      </w:pPr>
      <w:r w:rsidRPr="001B5EAE">
        <w:t>In the comparator arm of EMERALD, 73% of patients received fulvestrant and 27% of patients received an AI (either anastrozole, letrozole or exemestane). This split was considered relevant to Australian clinical practice, particularly given AIs are the preferred 1L endocrine therapy option for postmenopausal women</w:t>
      </w:r>
      <w:r w:rsidR="00B530AF" w:rsidRPr="00784F8D">
        <w:rPr>
          <w:vertAlign w:val="superscript"/>
        </w:rPr>
        <w:footnoteReference w:id="13"/>
      </w:r>
      <w:r w:rsidR="00B530AF" w:rsidRPr="00784F8D">
        <w:rPr>
          <w:vertAlign w:val="superscript"/>
        </w:rPr>
        <w:t>,</w:t>
      </w:r>
      <w:r w:rsidR="002B57AF" w:rsidRPr="00784F8D">
        <w:rPr>
          <w:vertAlign w:val="superscript"/>
        </w:rPr>
        <w:footnoteReference w:id="14"/>
      </w:r>
      <w:r w:rsidRPr="001B5EAE">
        <w:t>.</w:t>
      </w:r>
    </w:p>
    <w:p w14:paraId="644B8410" w14:textId="76BC7920" w:rsidR="009E18C3" w:rsidRPr="000A7BB0" w:rsidRDefault="009E18C3" w:rsidP="002553CE">
      <w:pPr>
        <w:pStyle w:val="PBACESParagraphBulletPoint"/>
        <w:ind w:left="993" w:hanging="284"/>
      </w:pPr>
      <w:r w:rsidRPr="001B5EAE">
        <w:t xml:space="preserve">Fulvestrant and AIs are listed on the PBS (fulvestrant is restricted to the treatment of inoperable </w:t>
      </w:r>
      <w:r w:rsidR="7B89E5FD" w:rsidRPr="001B5EAE">
        <w:t>HR</w:t>
      </w:r>
      <w:r w:rsidRPr="001B5EAE">
        <w:t>+/HER2- mBC, and anastrozole, letrozole or exemestane are restricted to the treatment</w:t>
      </w:r>
      <w:r w:rsidRPr="000A7BB0">
        <w:t xml:space="preserve"> of HR+ BC).</w:t>
      </w:r>
    </w:p>
    <w:p w14:paraId="1138D90E" w14:textId="0AF0A592" w:rsidR="009E18C3" w:rsidRPr="000A7BB0" w:rsidRDefault="009E18C3" w:rsidP="002553CE">
      <w:pPr>
        <w:numPr>
          <w:ilvl w:val="4"/>
          <w:numId w:val="11"/>
        </w:numPr>
        <w:ind w:left="709" w:hanging="709"/>
        <w:rPr>
          <w:color w:val="000000" w:themeColor="text1"/>
        </w:rPr>
      </w:pPr>
      <w:r w:rsidRPr="000A7BB0">
        <w:rPr>
          <w:color w:val="000000" w:themeColor="text1"/>
        </w:rPr>
        <w:t>However, for the financial estimates, the submission conducted analysis of the PBS 10% sample dataset from 2023 which identified a range of 2L+ therapies for patients with ER+/HER2- mBC and disease progression following 1L therapy (ET + CDK4/6i). This included fulvestrant and AI monotherapies, which comprised approximately 51% of treatments given in the 2L (with an additional 8% of patients receiving exemestane in combination with everolimus or goserelin). Large proportions of patients also received chemotherapy in the 2L setting (17%) or discontinued treatment (21%).</w:t>
      </w:r>
      <w:r w:rsidR="00B51309">
        <w:rPr>
          <w:color w:val="000000" w:themeColor="text1"/>
        </w:rPr>
        <w:t xml:space="preserve"> </w:t>
      </w:r>
      <w:r w:rsidRPr="000A7BB0">
        <w:rPr>
          <w:color w:val="000000" w:themeColor="text1"/>
        </w:rPr>
        <w:t xml:space="preserve">Only a small proportion of patients received tamoxifen (1%). </w:t>
      </w:r>
      <w:r w:rsidR="392DC213" w:rsidRPr="000A7BB0">
        <w:rPr>
          <w:color w:val="000000" w:themeColor="text1"/>
        </w:rPr>
        <w:t xml:space="preserve">Based on </w:t>
      </w:r>
      <w:r w:rsidR="7BEF0AE5" w:rsidRPr="000A7BB0">
        <w:rPr>
          <w:color w:val="000000" w:themeColor="text1"/>
        </w:rPr>
        <w:t xml:space="preserve">the 10% sample </w:t>
      </w:r>
      <w:r w:rsidR="7E926892" w:rsidRPr="000A7BB0">
        <w:rPr>
          <w:color w:val="000000" w:themeColor="text1"/>
        </w:rPr>
        <w:t>dataset from 2023, a</w:t>
      </w:r>
      <w:r w:rsidRPr="000A7BB0">
        <w:rPr>
          <w:color w:val="000000" w:themeColor="text1"/>
        </w:rPr>
        <w:t xml:space="preserve">fter disease progression following 2L therapy, most patients discontinue treatment (70%) although some will elect for chemotherapy (17%). </w:t>
      </w:r>
    </w:p>
    <w:p w14:paraId="3306B08D" w14:textId="4D06E70E" w:rsidR="00A57BE0" w:rsidRPr="004A232C" w:rsidRDefault="0AA3E09D" w:rsidP="002553CE">
      <w:pPr>
        <w:numPr>
          <w:ilvl w:val="4"/>
          <w:numId w:val="11"/>
        </w:numPr>
        <w:ind w:left="709" w:hanging="709"/>
        <w:rPr>
          <w:color w:val="000000" w:themeColor="text1"/>
        </w:rPr>
      </w:pPr>
      <w:r w:rsidRPr="000A7BB0">
        <w:rPr>
          <w:color w:val="000000" w:themeColor="text1"/>
        </w:rPr>
        <w:t xml:space="preserve">As noted in paragraph </w:t>
      </w:r>
      <w:r w:rsidR="00A13A51" w:rsidRPr="000A7BB0">
        <w:rPr>
          <w:color w:val="000000" w:themeColor="text1"/>
        </w:rPr>
        <w:fldChar w:fldCharType="begin"/>
      </w:r>
      <w:r w:rsidR="00A13A51" w:rsidRPr="000A7BB0">
        <w:rPr>
          <w:color w:val="000000" w:themeColor="text1"/>
        </w:rPr>
        <w:instrText xml:space="preserve"> REF _Ref187393200 \r \h </w:instrText>
      </w:r>
      <w:r w:rsidR="00FD1930" w:rsidRPr="000A7BB0">
        <w:rPr>
          <w:color w:val="000000" w:themeColor="text1"/>
        </w:rPr>
        <w:instrText xml:space="preserve"> \* MERGEFORMAT </w:instrText>
      </w:r>
      <w:r w:rsidR="00A13A51" w:rsidRPr="000A7BB0">
        <w:rPr>
          <w:color w:val="000000" w:themeColor="text1"/>
        </w:rPr>
      </w:r>
      <w:r w:rsidR="00A13A51" w:rsidRPr="000A7BB0">
        <w:rPr>
          <w:color w:val="000000" w:themeColor="text1"/>
        </w:rPr>
        <w:fldChar w:fldCharType="separate"/>
      </w:r>
      <w:r w:rsidR="004F224A">
        <w:rPr>
          <w:color w:val="000000" w:themeColor="text1"/>
        </w:rPr>
        <w:t>4.6</w:t>
      </w:r>
      <w:r w:rsidR="00A13A51" w:rsidRPr="000A7BB0">
        <w:rPr>
          <w:color w:val="000000" w:themeColor="text1"/>
        </w:rPr>
        <w:fldChar w:fldCharType="end"/>
      </w:r>
      <w:r w:rsidRPr="000A7BB0">
        <w:rPr>
          <w:color w:val="000000" w:themeColor="text1"/>
        </w:rPr>
        <w:t xml:space="preserve">, patients who develop </w:t>
      </w:r>
      <w:r w:rsidRPr="000A7BB0">
        <w:rPr>
          <w:i/>
          <w:iCs/>
          <w:color w:val="000000" w:themeColor="text1"/>
        </w:rPr>
        <w:t>ESR1</w:t>
      </w:r>
      <w:r w:rsidRPr="000A7BB0">
        <w:rPr>
          <w:color w:val="000000" w:themeColor="text1"/>
        </w:rPr>
        <w:t xml:space="preserve"> variants will no longer respond to AI monotherapy and experience a reduced response to SERMs (e</w:t>
      </w:r>
      <w:r w:rsidR="002050AC">
        <w:rPr>
          <w:color w:val="000000" w:themeColor="text1"/>
        </w:rPr>
        <w:t>.</w:t>
      </w:r>
      <w:r w:rsidRPr="000A7BB0">
        <w:rPr>
          <w:color w:val="000000" w:themeColor="text1"/>
        </w:rPr>
        <w:t>g</w:t>
      </w:r>
      <w:r w:rsidR="002050AC">
        <w:rPr>
          <w:color w:val="000000" w:themeColor="text1"/>
        </w:rPr>
        <w:t>.</w:t>
      </w:r>
      <w:r w:rsidRPr="000A7BB0">
        <w:rPr>
          <w:color w:val="000000" w:themeColor="text1"/>
        </w:rPr>
        <w:t xml:space="preserve"> </w:t>
      </w:r>
      <w:r w:rsidR="0EDADFAC" w:rsidRPr="000A7BB0">
        <w:rPr>
          <w:color w:val="000000" w:themeColor="text1"/>
        </w:rPr>
        <w:t>t</w:t>
      </w:r>
      <w:r w:rsidRPr="000A7BB0">
        <w:rPr>
          <w:color w:val="000000" w:themeColor="text1"/>
        </w:rPr>
        <w:t>amoxifen) and SERDs (e</w:t>
      </w:r>
      <w:r w:rsidR="002050AC">
        <w:rPr>
          <w:color w:val="000000" w:themeColor="text1"/>
        </w:rPr>
        <w:t>.</w:t>
      </w:r>
      <w:r w:rsidRPr="000A7BB0">
        <w:rPr>
          <w:color w:val="000000" w:themeColor="text1"/>
        </w:rPr>
        <w:t>g</w:t>
      </w:r>
      <w:r w:rsidR="002050AC">
        <w:rPr>
          <w:color w:val="000000" w:themeColor="text1"/>
        </w:rPr>
        <w:t>.</w:t>
      </w:r>
      <w:r w:rsidRPr="000A7BB0">
        <w:rPr>
          <w:color w:val="000000" w:themeColor="text1"/>
        </w:rPr>
        <w:t xml:space="preserve"> </w:t>
      </w:r>
      <w:r w:rsidR="0EDADFAC" w:rsidRPr="000A7BB0">
        <w:rPr>
          <w:color w:val="000000" w:themeColor="text1"/>
        </w:rPr>
        <w:t>f</w:t>
      </w:r>
      <w:r w:rsidRPr="000A7BB0">
        <w:rPr>
          <w:color w:val="000000" w:themeColor="text1"/>
        </w:rPr>
        <w:t>ulvestrant</w:t>
      </w:r>
      <w:r w:rsidRPr="000A7BB0">
        <w:rPr>
          <w:i/>
          <w:iCs/>
          <w:color w:val="000000" w:themeColor="text1"/>
        </w:rPr>
        <w:t xml:space="preserve">). </w:t>
      </w:r>
      <w:r w:rsidR="49733E81" w:rsidRPr="004A232C">
        <w:rPr>
          <w:color w:val="000000" w:themeColor="text1"/>
        </w:rPr>
        <w:t>However</w:t>
      </w:r>
      <w:r w:rsidR="00D97865">
        <w:rPr>
          <w:color w:val="000000" w:themeColor="text1"/>
        </w:rPr>
        <w:t>,</w:t>
      </w:r>
      <w:r w:rsidR="49733E81" w:rsidRPr="004A232C">
        <w:rPr>
          <w:color w:val="000000" w:themeColor="text1"/>
        </w:rPr>
        <w:t xml:space="preserve"> the ESCs noted that </w:t>
      </w:r>
      <w:r w:rsidR="3A68535A" w:rsidRPr="00C73DF5">
        <w:rPr>
          <w:i/>
          <w:iCs/>
          <w:color w:val="000000" w:themeColor="text1"/>
        </w:rPr>
        <w:t>ESR1</w:t>
      </w:r>
      <w:r w:rsidR="3A68535A" w:rsidRPr="004A232C">
        <w:rPr>
          <w:color w:val="000000" w:themeColor="text1"/>
        </w:rPr>
        <w:t xml:space="preserve"> testing is not widely available and</w:t>
      </w:r>
      <w:r w:rsidR="5BC062D8" w:rsidRPr="004A232C">
        <w:rPr>
          <w:color w:val="000000" w:themeColor="text1"/>
        </w:rPr>
        <w:t xml:space="preserve"> </w:t>
      </w:r>
      <w:r w:rsidR="5BC062D8" w:rsidRPr="00C73DF5">
        <w:rPr>
          <w:i/>
          <w:iCs/>
          <w:color w:val="000000" w:themeColor="text1"/>
        </w:rPr>
        <w:t>ESR1</w:t>
      </w:r>
      <w:r w:rsidR="5BC062D8" w:rsidRPr="004A232C">
        <w:rPr>
          <w:color w:val="000000" w:themeColor="text1"/>
        </w:rPr>
        <w:t xml:space="preserve"> status is not likely to be known without the </w:t>
      </w:r>
      <w:r w:rsidR="34E4DBAE" w:rsidRPr="004A232C">
        <w:rPr>
          <w:color w:val="000000" w:themeColor="text1"/>
        </w:rPr>
        <w:t xml:space="preserve">proposed MBS item for testing. </w:t>
      </w:r>
      <w:r w:rsidR="28223509" w:rsidRPr="004A232C">
        <w:rPr>
          <w:color w:val="000000" w:themeColor="text1"/>
        </w:rPr>
        <w:t>C</w:t>
      </w:r>
      <w:r w:rsidR="0C6A8CD2" w:rsidRPr="004A232C">
        <w:rPr>
          <w:color w:val="000000" w:themeColor="text1"/>
        </w:rPr>
        <w:t xml:space="preserve">linical guidelines recommend that patients with tumours that are endocrine resistant should be considered for chemotherapy. </w:t>
      </w:r>
      <w:r w:rsidR="020B1337" w:rsidRPr="004A232C">
        <w:rPr>
          <w:color w:val="000000" w:themeColor="text1"/>
        </w:rPr>
        <w:t xml:space="preserve">The ESCs </w:t>
      </w:r>
      <w:r w:rsidR="3B931E40" w:rsidRPr="004A232C">
        <w:rPr>
          <w:color w:val="000000" w:themeColor="text1"/>
        </w:rPr>
        <w:t xml:space="preserve">noted that </w:t>
      </w:r>
      <w:r w:rsidR="3020E70E" w:rsidRPr="004A232C">
        <w:rPr>
          <w:color w:val="000000" w:themeColor="text1"/>
        </w:rPr>
        <w:t xml:space="preserve">a significant proportion of patients in </w:t>
      </w:r>
      <w:r w:rsidR="000B3A88">
        <w:rPr>
          <w:color w:val="000000" w:themeColor="text1"/>
        </w:rPr>
        <w:t xml:space="preserve">the </w:t>
      </w:r>
      <w:r w:rsidR="3020E70E" w:rsidRPr="004A232C">
        <w:rPr>
          <w:color w:val="000000" w:themeColor="text1"/>
        </w:rPr>
        <w:t xml:space="preserve">EMERALD </w:t>
      </w:r>
      <w:r w:rsidR="000B3A88">
        <w:rPr>
          <w:color w:val="000000" w:themeColor="text1"/>
        </w:rPr>
        <w:t xml:space="preserve">trial </w:t>
      </w:r>
      <w:r w:rsidR="5800A47D" w:rsidRPr="004A232C">
        <w:rPr>
          <w:color w:val="000000" w:themeColor="text1"/>
        </w:rPr>
        <w:t xml:space="preserve">had two prior lines of ET </w:t>
      </w:r>
      <w:r w:rsidR="3020E70E" w:rsidRPr="004A232C">
        <w:rPr>
          <w:color w:val="000000" w:themeColor="text1"/>
        </w:rPr>
        <w:t>(38.9%</w:t>
      </w:r>
      <w:r w:rsidR="7EBD7103" w:rsidRPr="004A232C">
        <w:rPr>
          <w:color w:val="000000" w:themeColor="text1"/>
        </w:rPr>
        <w:t xml:space="preserve"> of </w:t>
      </w:r>
      <w:r w:rsidR="003672C4">
        <w:rPr>
          <w:color w:val="000000" w:themeColor="text1"/>
        </w:rPr>
        <w:t>pa</w:t>
      </w:r>
      <w:r w:rsidR="00EA4F79">
        <w:rPr>
          <w:color w:val="000000" w:themeColor="text1"/>
        </w:rPr>
        <w:t xml:space="preserve">tients in </w:t>
      </w:r>
      <w:r w:rsidR="4F7CEB87" w:rsidRPr="004A232C">
        <w:rPr>
          <w:color w:val="000000" w:themeColor="text1"/>
        </w:rPr>
        <w:t xml:space="preserve">the </w:t>
      </w:r>
      <w:r w:rsidR="0053170A" w:rsidRPr="0053170A">
        <w:rPr>
          <w:i/>
          <w:iCs/>
          <w:color w:val="000000" w:themeColor="text1"/>
        </w:rPr>
        <w:t>ESR1</w:t>
      </w:r>
      <w:r w:rsidR="0053170A">
        <w:rPr>
          <w:color w:val="000000" w:themeColor="text1"/>
        </w:rPr>
        <w:t xml:space="preserve"> subgroup </w:t>
      </w:r>
      <w:r w:rsidR="4F7CEB87" w:rsidRPr="004A232C">
        <w:rPr>
          <w:color w:val="000000" w:themeColor="text1"/>
        </w:rPr>
        <w:t>SOC arm</w:t>
      </w:r>
      <w:r w:rsidR="3020E70E" w:rsidRPr="004A232C">
        <w:rPr>
          <w:color w:val="000000" w:themeColor="text1"/>
        </w:rPr>
        <w:t>)</w:t>
      </w:r>
      <w:r w:rsidR="5800A47D" w:rsidRPr="004A232C">
        <w:rPr>
          <w:color w:val="000000" w:themeColor="text1"/>
        </w:rPr>
        <w:t>. The ESCs</w:t>
      </w:r>
      <w:r w:rsidR="3020E70E" w:rsidRPr="004A232C">
        <w:rPr>
          <w:color w:val="000000" w:themeColor="text1"/>
        </w:rPr>
        <w:t xml:space="preserve"> </w:t>
      </w:r>
      <w:r w:rsidR="020B1337" w:rsidRPr="004A232C">
        <w:rPr>
          <w:color w:val="000000" w:themeColor="text1"/>
        </w:rPr>
        <w:t>considered that</w:t>
      </w:r>
      <w:r w:rsidR="431A8AE8" w:rsidRPr="004A232C">
        <w:rPr>
          <w:color w:val="000000" w:themeColor="text1"/>
        </w:rPr>
        <w:t xml:space="preserve"> for patients </w:t>
      </w:r>
      <w:r w:rsidR="4221826F" w:rsidRPr="004A232C">
        <w:rPr>
          <w:color w:val="000000" w:themeColor="text1"/>
        </w:rPr>
        <w:t>who ha</w:t>
      </w:r>
      <w:r w:rsidR="4ABD85F7" w:rsidRPr="004A232C">
        <w:rPr>
          <w:color w:val="000000" w:themeColor="text1"/>
        </w:rPr>
        <w:t>ve</w:t>
      </w:r>
      <w:r w:rsidR="4221826F" w:rsidRPr="004A232C">
        <w:rPr>
          <w:color w:val="000000" w:themeColor="text1"/>
        </w:rPr>
        <w:t xml:space="preserve"> received 2 prior lines of </w:t>
      </w:r>
      <w:r w:rsidR="000B3A88">
        <w:rPr>
          <w:color w:val="000000" w:themeColor="text1"/>
        </w:rPr>
        <w:t>ET,</w:t>
      </w:r>
      <w:r w:rsidR="14479173" w:rsidRPr="004A232C">
        <w:rPr>
          <w:color w:val="000000" w:themeColor="text1"/>
        </w:rPr>
        <w:t xml:space="preserve"> single agent </w:t>
      </w:r>
      <w:r w:rsidR="3FFC0F81" w:rsidRPr="004A232C">
        <w:rPr>
          <w:color w:val="000000" w:themeColor="text1"/>
        </w:rPr>
        <w:t>ET</w:t>
      </w:r>
      <w:r w:rsidR="1B770876" w:rsidRPr="004A232C">
        <w:rPr>
          <w:color w:val="000000" w:themeColor="text1"/>
        </w:rPr>
        <w:t xml:space="preserve"> would be unlikely to </w:t>
      </w:r>
      <w:r w:rsidR="08433C14" w:rsidRPr="004A232C">
        <w:rPr>
          <w:color w:val="000000" w:themeColor="text1"/>
        </w:rPr>
        <w:t xml:space="preserve">provide a </w:t>
      </w:r>
      <w:r w:rsidR="4545FE8E" w:rsidRPr="004A232C">
        <w:rPr>
          <w:color w:val="000000" w:themeColor="text1"/>
        </w:rPr>
        <w:t>significant benefit</w:t>
      </w:r>
      <w:r w:rsidR="606D58D7" w:rsidRPr="004A232C">
        <w:rPr>
          <w:color w:val="000000" w:themeColor="text1"/>
        </w:rPr>
        <w:t xml:space="preserve"> and would not be the </w:t>
      </w:r>
      <w:r w:rsidR="7EAE6599" w:rsidRPr="004A232C">
        <w:rPr>
          <w:color w:val="000000" w:themeColor="text1"/>
        </w:rPr>
        <w:t>preferred treatment</w:t>
      </w:r>
      <w:r w:rsidR="4E027EBE" w:rsidRPr="004A232C">
        <w:rPr>
          <w:color w:val="000000" w:themeColor="text1"/>
        </w:rPr>
        <w:t>.</w:t>
      </w:r>
      <w:r w:rsidR="020B1337" w:rsidRPr="004A232C">
        <w:rPr>
          <w:color w:val="000000" w:themeColor="text1"/>
        </w:rPr>
        <w:t xml:space="preserve"> </w:t>
      </w:r>
    </w:p>
    <w:p w14:paraId="033EFFCB" w14:textId="059AC098" w:rsidR="00120DBE" w:rsidRPr="004A232C" w:rsidRDefault="485BB447" w:rsidP="002553CE">
      <w:pPr>
        <w:numPr>
          <w:ilvl w:val="4"/>
          <w:numId w:val="11"/>
        </w:numPr>
        <w:ind w:left="709" w:hanging="709"/>
      </w:pPr>
      <w:bookmarkStart w:id="15" w:name="_Ref187213262"/>
      <w:r w:rsidRPr="004A232C">
        <w:t xml:space="preserve">The ESCs noted the choice of comparator is complex, and there are subgroups of patients for whom a different therapy could be the appropriate comparator depending on the previous treatments or other biomarkers, as well as the line of treatment for elacestrant. There are a range of different treatment options in the 2L </w:t>
      </w:r>
      <w:r w:rsidRPr="004A232C">
        <w:lastRenderedPageBreak/>
        <w:t xml:space="preserve">setting and no clear SOC. </w:t>
      </w:r>
      <w:bookmarkStart w:id="16" w:name="_Ref179805038"/>
      <w:r w:rsidRPr="004A232C">
        <w:t>While the nominated comparator of ET monotherapy is a relevant 2L therapy, the ESCs considered that ET monotherapy was not representative SOC in the 2L+ setting as other viable options may be preferred due to improved efficacy compared with FULV monotherapy</w:t>
      </w:r>
      <w:r w:rsidR="00120DBE" w:rsidRPr="004A232C">
        <w:rPr>
          <w:rStyle w:val="FootnoteReference"/>
        </w:rPr>
        <w:footnoteReference w:id="15"/>
      </w:r>
      <w:r w:rsidRPr="004A232C">
        <w:t>:</w:t>
      </w:r>
      <w:bookmarkEnd w:id="16"/>
    </w:p>
    <w:p w14:paraId="22E7C811" w14:textId="77777777" w:rsidR="00120DBE" w:rsidRPr="004A232C" w:rsidRDefault="485BB447" w:rsidP="002553CE">
      <w:pPr>
        <w:pStyle w:val="PBACESParagraphBulletPoint"/>
        <w:ind w:left="993" w:hanging="284"/>
      </w:pPr>
      <w:r w:rsidRPr="004A232C">
        <w:t>In patients with BRCA positive tumours olaparib may be used.</w:t>
      </w:r>
    </w:p>
    <w:p w14:paraId="30F30C4C" w14:textId="2E0F6A2E" w:rsidR="00120DBE" w:rsidRPr="004A232C" w:rsidRDefault="485BB447" w:rsidP="002553CE">
      <w:pPr>
        <w:pStyle w:val="PBACESParagraphBulletPoint"/>
        <w:ind w:left="993" w:hanging="284"/>
      </w:pPr>
      <w:r w:rsidRPr="004A232C">
        <w:t xml:space="preserve">In patients with HER2 low tumours (a subset of HER2-), trastuzumab deruxtecan may be used. </w:t>
      </w:r>
    </w:p>
    <w:p w14:paraId="772B7B19" w14:textId="5BE5DBD8" w:rsidR="00120DBE" w:rsidRPr="004A232C" w:rsidRDefault="485BB447" w:rsidP="002553CE">
      <w:pPr>
        <w:pStyle w:val="PBACESParagraphBulletPoint"/>
        <w:ind w:left="993" w:hanging="284"/>
      </w:pPr>
      <w:r w:rsidRPr="004A232C">
        <w:t>Everolimus+exemestane/FULV/tamoxifen are PBS-listed and are also recommended combination 2L options.</w:t>
      </w:r>
    </w:p>
    <w:p w14:paraId="5A1E76D3" w14:textId="77777777" w:rsidR="00120DBE" w:rsidRPr="004A232C" w:rsidRDefault="00120DBE" w:rsidP="002553CE">
      <w:pPr>
        <w:pStyle w:val="PBACESParagraphBulletPoint"/>
        <w:ind w:left="993" w:hanging="284"/>
      </w:pPr>
      <w:r w:rsidRPr="004A232C">
        <w:t>Chemotherapy may be preferred in some patients as it is likely to provide longer PFS compared with FULV alone.</w:t>
      </w:r>
    </w:p>
    <w:p w14:paraId="5DC16986" w14:textId="71580370" w:rsidR="00120DBE" w:rsidRPr="004A232C" w:rsidRDefault="485BB447" w:rsidP="002553CE">
      <w:pPr>
        <w:pStyle w:val="PBACESParagraphBulletPoint"/>
        <w:ind w:left="993" w:hanging="284"/>
      </w:pPr>
      <w:r w:rsidRPr="004A232C">
        <w:t>In addition, potential near market comparators (capivasertib, alpelisib, inavolisib and pembrolizumab) suggest an evolving clinical landscape in which the use of 2L FULV monotherapy may be diminished.</w:t>
      </w:r>
    </w:p>
    <w:p w14:paraId="36496D00" w14:textId="2F0A5F14" w:rsidR="002358FF" w:rsidRPr="000A7BB0" w:rsidRDefault="009E18C3" w:rsidP="002553CE">
      <w:pPr>
        <w:numPr>
          <w:ilvl w:val="4"/>
          <w:numId w:val="11"/>
        </w:numPr>
        <w:ind w:left="709" w:hanging="709"/>
        <w:rPr>
          <w:color w:val="000000" w:themeColor="text1"/>
        </w:rPr>
      </w:pPr>
      <w:r w:rsidRPr="000A7BB0">
        <w:rPr>
          <w:color w:val="000000" w:themeColor="text1"/>
        </w:rPr>
        <w:t xml:space="preserve">Therefore, the nominated comparator of fulvestrant or AI monotherapy does not reflect current </w:t>
      </w:r>
      <w:r w:rsidR="483D959A" w:rsidRPr="000A7BB0">
        <w:rPr>
          <w:color w:val="000000" w:themeColor="text1"/>
        </w:rPr>
        <w:t xml:space="preserve">2L+ </w:t>
      </w:r>
      <w:r w:rsidR="384DE4A6" w:rsidRPr="000A7BB0">
        <w:rPr>
          <w:color w:val="000000" w:themeColor="text1"/>
        </w:rPr>
        <w:t xml:space="preserve">SOC </w:t>
      </w:r>
      <w:r w:rsidRPr="000A7BB0">
        <w:rPr>
          <w:color w:val="000000" w:themeColor="text1"/>
        </w:rPr>
        <w:t>therapies received by Australian patients.</w:t>
      </w:r>
      <w:r w:rsidR="0C6A8CD2" w:rsidRPr="000A7BB0">
        <w:rPr>
          <w:color w:val="000000" w:themeColor="text1"/>
        </w:rPr>
        <w:t xml:space="preserve"> </w:t>
      </w:r>
      <w:r w:rsidR="00E26A62">
        <w:rPr>
          <w:color w:val="000000" w:themeColor="text1"/>
        </w:rPr>
        <w:t xml:space="preserve">The pre-PBAC response argued that everolimus is rarely used in Australian due to toxicity, and </w:t>
      </w:r>
      <w:r w:rsidR="003735F6">
        <w:rPr>
          <w:color w:val="000000" w:themeColor="text1"/>
        </w:rPr>
        <w:t xml:space="preserve">that </w:t>
      </w:r>
      <w:r w:rsidR="00E26A62">
        <w:rPr>
          <w:color w:val="000000" w:themeColor="text1"/>
        </w:rPr>
        <w:t>chemotherapy is reserved for visceral crisis.</w:t>
      </w:r>
    </w:p>
    <w:p w14:paraId="7CDB59AD" w14:textId="53DE76C6" w:rsidR="009E18C3" w:rsidRDefault="009E18C3" w:rsidP="002553CE">
      <w:pPr>
        <w:numPr>
          <w:ilvl w:val="4"/>
          <w:numId w:val="11"/>
        </w:numPr>
        <w:ind w:left="709" w:hanging="709"/>
        <w:rPr>
          <w:color w:val="000000" w:themeColor="text1"/>
        </w:rPr>
      </w:pPr>
      <w:r w:rsidRPr="000A7BB0">
        <w:rPr>
          <w:color w:val="000000" w:themeColor="text1"/>
        </w:rPr>
        <w:t xml:space="preserve">The nominated comparator </w:t>
      </w:r>
      <w:r w:rsidR="002C56FF">
        <w:rPr>
          <w:color w:val="000000" w:themeColor="text1"/>
        </w:rPr>
        <w:t xml:space="preserve">of AI monotherapy </w:t>
      </w:r>
      <w:r w:rsidRPr="000A7BB0">
        <w:rPr>
          <w:color w:val="000000" w:themeColor="text1"/>
        </w:rPr>
        <w:t>was consistent with that used in the economic model, however the submission considered substitution of the broader list of all 2L+ treatments (relative to their use as analysed by the PBS</w:t>
      </w:r>
      <w:r w:rsidR="00072056" w:rsidRPr="000A7BB0">
        <w:rPr>
          <w:color w:val="000000" w:themeColor="text1"/>
        </w:rPr>
        <w:t xml:space="preserve"> </w:t>
      </w:r>
      <w:r w:rsidRPr="000A7BB0">
        <w:rPr>
          <w:color w:val="000000" w:themeColor="text1"/>
        </w:rPr>
        <w:t>10% dataset) in the utilisation and financial estimates.</w:t>
      </w:r>
      <w:bookmarkEnd w:id="15"/>
    </w:p>
    <w:p w14:paraId="2F405171" w14:textId="417F8B71" w:rsidR="00D20532" w:rsidRPr="00D20532" w:rsidRDefault="00D20532" w:rsidP="002553CE">
      <w:pPr>
        <w:ind w:left="709"/>
        <w:rPr>
          <w:i/>
          <w:iCs/>
          <w:color w:val="000000" w:themeColor="text1"/>
        </w:rPr>
      </w:pPr>
      <w:r w:rsidRPr="00D20532">
        <w:rPr>
          <w:i/>
          <w:iCs/>
          <w:color w:val="000000" w:themeColor="text1"/>
        </w:rPr>
        <w:t>For more detail on PBAC’s view, see section 7 PBAC outcome.</w:t>
      </w:r>
    </w:p>
    <w:p w14:paraId="1D7F58E5" w14:textId="77777777" w:rsidR="00015290" w:rsidRPr="000A7BB0" w:rsidRDefault="00015290" w:rsidP="002553CE">
      <w:pPr>
        <w:pStyle w:val="PBACESHeading1"/>
        <w:numPr>
          <w:ilvl w:val="0"/>
          <w:numId w:val="11"/>
        </w:numPr>
        <w:tabs>
          <w:tab w:val="clear" w:pos="1077"/>
          <w:tab w:val="left" w:pos="720"/>
        </w:tabs>
      </w:pPr>
      <w:bookmarkStart w:id="17" w:name="_Toc188374359"/>
      <w:r w:rsidRPr="000A7BB0">
        <w:t>Consideration of the evidence</w:t>
      </w:r>
      <w:bookmarkEnd w:id="17"/>
    </w:p>
    <w:p w14:paraId="31ABBE0F" w14:textId="77777777" w:rsidR="002D3B05" w:rsidRPr="002D3B05" w:rsidRDefault="002D3B05" w:rsidP="002553CE">
      <w:pPr>
        <w:pStyle w:val="OutlineHeading2"/>
        <w:rPr>
          <w:rFonts w:asciiTheme="minorHAnsi" w:hAnsiTheme="minorHAnsi" w:cstheme="minorHAnsi"/>
        </w:rPr>
      </w:pPr>
      <w:bookmarkStart w:id="18" w:name="_Hlk76375935"/>
      <w:r w:rsidRPr="002D3B05">
        <w:rPr>
          <w:rFonts w:asciiTheme="minorHAnsi" w:hAnsiTheme="minorHAnsi" w:cstheme="minorHAnsi"/>
        </w:rPr>
        <w:t>Sponsor hearing</w:t>
      </w:r>
    </w:p>
    <w:p w14:paraId="207221C8" w14:textId="710096A7" w:rsidR="002D3B05" w:rsidRPr="006860A8" w:rsidRDefault="002D3B05" w:rsidP="002553CE">
      <w:pPr>
        <w:numPr>
          <w:ilvl w:val="4"/>
          <w:numId w:val="11"/>
        </w:numPr>
        <w:ind w:left="709" w:hanging="709"/>
        <w:rPr>
          <w:color w:val="000000" w:themeColor="text1"/>
        </w:rPr>
      </w:pPr>
      <w:bookmarkStart w:id="19" w:name="_Hlk76382586"/>
      <w:r w:rsidRPr="006860A8">
        <w:rPr>
          <w:color w:val="000000" w:themeColor="text1"/>
        </w:rPr>
        <w:t xml:space="preserve">The sponsor requested a hearing for this item. The clinician </w:t>
      </w:r>
      <w:r w:rsidR="00AC5564" w:rsidRPr="006860A8">
        <w:rPr>
          <w:color w:val="000000" w:themeColor="text1"/>
        </w:rPr>
        <w:t>responded to questions from the committee and discussed</w:t>
      </w:r>
      <w:r w:rsidRPr="006860A8">
        <w:rPr>
          <w:color w:val="000000" w:themeColor="text1"/>
        </w:rPr>
        <w:t xml:space="preserve"> how </w:t>
      </w:r>
      <w:r w:rsidR="005F7E93" w:rsidRPr="006860A8">
        <w:rPr>
          <w:color w:val="000000" w:themeColor="text1"/>
        </w:rPr>
        <w:t>elacestrant</w:t>
      </w:r>
      <w:r w:rsidRPr="006860A8">
        <w:rPr>
          <w:color w:val="000000" w:themeColor="text1"/>
        </w:rPr>
        <w:t xml:space="preserve"> would be used in practice.</w:t>
      </w:r>
      <w:r w:rsidR="00AC5564" w:rsidRPr="006860A8">
        <w:rPr>
          <w:color w:val="000000" w:themeColor="text1"/>
        </w:rPr>
        <w:t xml:space="preserve"> </w:t>
      </w:r>
      <w:r w:rsidR="008D3412" w:rsidRPr="006860A8">
        <w:rPr>
          <w:color w:val="000000" w:themeColor="text1"/>
        </w:rPr>
        <w:t xml:space="preserve">The clinician noted that fulvestrant </w:t>
      </w:r>
      <w:r w:rsidR="00BF7562" w:rsidRPr="006860A8">
        <w:rPr>
          <w:color w:val="000000" w:themeColor="text1"/>
        </w:rPr>
        <w:t xml:space="preserve">has only a </w:t>
      </w:r>
      <w:r w:rsidR="004276CF" w:rsidRPr="006860A8">
        <w:rPr>
          <w:color w:val="000000" w:themeColor="text1"/>
        </w:rPr>
        <w:t>modest</w:t>
      </w:r>
      <w:r w:rsidR="00BF7562" w:rsidRPr="006860A8">
        <w:rPr>
          <w:color w:val="000000" w:themeColor="text1"/>
        </w:rPr>
        <w:t xml:space="preserve"> </w:t>
      </w:r>
      <w:r w:rsidR="007E3760" w:rsidRPr="006860A8">
        <w:rPr>
          <w:color w:val="000000" w:themeColor="text1"/>
        </w:rPr>
        <w:t xml:space="preserve">benefit (2-3 months additional PFS) and noted that patients </w:t>
      </w:r>
      <w:r w:rsidR="00AE6AC0" w:rsidRPr="006860A8">
        <w:rPr>
          <w:color w:val="000000" w:themeColor="text1"/>
        </w:rPr>
        <w:t>may benefit more from an oral treatment</w:t>
      </w:r>
      <w:r w:rsidR="00114FE3" w:rsidRPr="006860A8">
        <w:rPr>
          <w:color w:val="000000" w:themeColor="text1"/>
        </w:rPr>
        <w:t xml:space="preserve">. </w:t>
      </w:r>
      <w:r w:rsidR="00111D90" w:rsidRPr="006860A8">
        <w:rPr>
          <w:color w:val="000000" w:themeColor="text1"/>
        </w:rPr>
        <w:t>The clinician noted that elacestrant was well</w:t>
      </w:r>
      <w:r w:rsidR="005D506C">
        <w:rPr>
          <w:color w:val="000000" w:themeColor="text1"/>
        </w:rPr>
        <w:t>-</w:t>
      </w:r>
      <w:r w:rsidR="00111D90" w:rsidRPr="006860A8">
        <w:rPr>
          <w:color w:val="000000" w:themeColor="text1"/>
        </w:rPr>
        <w:t>tolerated in practice and few patien</w:t>
      </w:r>
      <w:r w:rsidR="00DE6556" w:rsidRPr="006860A8">
        <w:rPr>
          <w:color w:val="000000" w:themeColor="text1"/>
        </w:rPr>
        <w:t>t</w:t>
      </w:r>
      <w:r w:rsidR="00111D90" w:rsidRPr="006860A8">
        <w:rPr>
          <w:color w:val="000000" w:themeColor="text1"/>
        </w:rPr>
        <w:t>s discontinued treatment</w:t>
      </w:r>
      <w:r w:rsidR="00DE6556" w:rsidRPr="006860A8">
        <w:rPr>
          <w:color w:val="000000" w:themeColor="text1"/>
        </w:rPr>
        <w:t xml:space="preserve">. </w:t>
      </w:r>
      <w:r w:rsidR="00903763" w:rsidRPr="006860A8">
        <w:rPr>
          <w:color w:val="000000" w:themeColor="text1"/>
        </w:rPr>
        <w:t xml:space="preserve">The clinician noted that </w:t>
      </w:r>
      <w:r w:rsidR="004276CF" w:rsidRPr="006860A8">
        <w:rPr>
          <w:color w:val="000000" w:themeColor="text1"/>
        </w:rPr>
        <w:t>elacestrant</w:t>
      </w:r>
      <w:r w:rsidR="00903763" w:rsidRPr="006860A8">
        <w:rPr>
          <w:color w:val="000000" w:themeColor="text1"/>
        </w:rPr>
        <w:t xml:space="preserve"> could be used 1L (after CDK4/6i in the e</w:t>
      </w:r>
      <w:r w:rsidR="009F6A33">
        <w:rPr>
          <w:color w:val="000000" w:themeColor="text1"/>
        </w:rPr>
        <w:t xml:space="preserve">arly </w:t>
      </w:r>
      <w:r w:rsidR="00FD2617">
        <w:rPr>
          <w:color w:val="000000" w:themeColor="text1"/>
        </w:rPr>
        <w:t>(e</w:t>
      </w:r>
      <w:r w:rsidR="00903763" w:rsidRPr="006860A8">
        <w:rPr>
          <w:color w:val="000000" w:themeColor="text1"/>
        </w:rPr>
        <w:t>BC</w:t>
      </w:r>
      <w:r w:rsidR="00FD2617">
        <w:rPr>
          <w:color w:val="000000" w:themeColor="text1"/>
        </w:rPr>
        <w:t>)</w:t>
      </w:r>
      <w:r w:rsidR="00903763" w:rsidRPr="006860A8">
        <w:rPr>
          <w:color w:val="000000" w:themeColor="text1"/>
        </w:rPr>
        <w:t xml:space="preserve"> setting), however it is expected that </w:t>
      </w:r>
      <w:r w:rsidR="00C97EAD" w:rsidRPr="006860A8">
        <w:rPr>
          <w:color w:val="000000" w:themeColor="text1"/>
        </w:rPr>
        <w:t xml:space="preserve">relatively </w:t>
      </w:r>
      <w:r w:rsidR="00903763" w:rsidRPr="006860A8">
        <w:rPr>
          <w:color w:val="000000" w:themeColor="text1"/>
        </w:rPr>
        <w:t xml:space="preserve">few patients </w:t>
      </w:r>
      <w:r w:rsidR="009B57DD" w:rsidRPr="006860A8">
        <w:rPr>
          <w:color w:val="000000" w:themeColor="text1"/>
        </w:rPr>
        <w:t xml:space="preserve">would </w:t>
      </w:r>
      <w:r w:rsidR="00903763" w:rsidRPr="006860A8">
        <w:rPr>
          <w:color w:val="000000" w:themeColor="text1"/>
        </w:rPr>
        <w:t xml:space="preserve">progress following a CDK4/6i for eBC. </w:t>
      </w:r>
      <w:r w:rsidR="009225C5" w:rsidRPr="006860A8">
        <w:rPr>
          <w:color w:val="000000" w:themeColor="text1"/>
        </w:rPr>
        <w:t xml:space="preserve">The clinician noted that there may be some patients </w:t>
      </w:r>
      <w:r w:rsidR="009225C5" w:rsidRPr="006860A8">
        <w:rPr>
          <w:color w:val="000000" w:themeColor="text1"/>
        </w:rPr>
        <w:lastRenderedPageBreak/>
        <w:t>previously treated with chemotherapy who would wish to try elacestrant</w:t>
      </w:r>
      <w:r w:rsidR="00A70667" w:rsidRPr="006860A8">
        <w:rPr>
          <w:color w:val="000000" w:themeColor="text1"/>
        </w:rPr>
        <w:t xml:space="preserve"> and may benefit from it. </w:t>
      </w:r>
      <w:bookmarkEnd w:id="19"/>
    </w:p>
    <w:p w14:paraId="5586B831" w14:textId="5F5B32F1" w:rsidR="002D3B05" w:rsidRPr="002D3B05" w:rsidRDefault="002D3B05" w:rsidP="002553CE">
      <w:pPr>
        <w:pStyle w:val="OutlineHeading2"/>
        <w:rPr>
          <w:rFonts w:asciiTheme="minorHAnsi" w:hAnsiTheme="minorHAnsi" w:cstheme="minorHAnsi"/>
        </w:rPr>
      </w:pPr>
      <w:r w:rsidRPr="002D3B05">
        <w:rPr>
          <w:rFonts w:asciiTheme="minorHAnsi" w:hAnsiTheme="minorHAnsi" w:cstheme="minorHAnsi"/>
        </w:rPr>
        <w:t>Consumer comments</w:t>
      </w:r>
    </w:p>
    <w:p w14:paraId="2C551508" w14:textId="136D11F7" w:rsidR="002D3B05" w:rsidRPr="002D3B05" w:rsidRDefault="002D3B05" w:rsidP="002553CE">
      <w:pPr>
        <w:numPr>
          <w:ilvl w:val="4"/>
          <w:numId w:val="11"/>
        </w:numPr>
        <w:ind w:left="709" w:hanging="709"/>
        <w:rPr>
          <w:color w:val="000000" w:themeColor="text1"/>
        </w:rPr>
      </w:pPr>
      <w:bookmarkStart w:id="20" w:name="_Hlk76382618"/>
      <w:r w:rsidRPr="002D3B05">
        <w:rPr>
          <w:color w:val="000000" w:themeColor="text1"/>
        </w:rPr>
        <w:t>The PBAC noted and welcomed the input from individuals (</w:t>
      </w:r>
      <w:r w:rsidR="0048613B">
        <w:rPr>
          <w:color w:val="000000" w:themeColor="text1"/>
        </w:rPr>
        <w:t>1</w:t>
      </w:r>
      <w:r w:rsidRPr="002D3B05">
        <w:rPr>
          <w:color w:val="000000" w:themeColor="text1"/>
        </w:rPr>
        <w:t>), health care professionals (</w:t>
      </w:r>
      <w:r w:rsidR="00981F2F">
        <w:rPr>
          <w:color w:val="000000" w:themeColor="text1"/>
        </w:rPr>
        <w:t>2</w:t>
      </w:r>
      <w:r w:rsidRPr="002D3B05">
        <w:rPr>
          <w:color w:val="000000" w:themeColor="text1"/>
        </w:rPr>
        <w:t>) and organisations (</w:t>
      </w:r>
      <w:r w:rsidR="00981F2F">
        <w:rPr>
          <w:color w:val="000000" w:themeColor="text1"/>
        </w:rPr>
        <w:t>3</w:t>
      </w:r>
      <w:r w:rsidRPr="002D3B05">
        <w:rPr>
          <w:color w:val="000000" w:themeColor="text1"/>
        </w:rPr>
        <w:t xml:space="preserve">) via the Consumer Comments facility on the PBS website. The comments </w:t>
      </w:r>
      <w:r w:rsidR="00753F2C">
        <w:rPr>
          <w:color w:val="000000" w:themeColor="text1"/>
        </w:rPr>
        <w:t>from individuals</w:t>
      </w:r>
      <w:r w:rsidR="009C6759">
        <w:rPr>
          <w:color w:val="000000" w:themeColor="text1"/>
        </w:rPr>
        <w:t xml:space="preserve">, healthcare professionals and </w:t>
      </w:r>
      <w:r w:rsidR="00160635">
        <w:rPr>
          <w:color w:val="000000" w:themeColor="text1"/>
        </w:rPr>
        <w:t>consumer groups</w:t>
      </w:r>
      <w:r w:rsidR="00B51309">
        <w:rPr>
          <w:color w:val="000000" w:themeColor="text1"/>
        </w:rPr>
        <w:t xml:space="preserve"> </w:t>
      </w:r>
      <w:r w:rsidR="00BB794C">
        <w:rPr>
          <w:color w:val="000000" w:themeColor="text1"/>
        </w:rPr>
        <w:t xml:space="preserve">(Rare Cancers Australia and Breast Cancer Network Australia) </w:t>
      </w:r>
      <w:r w:rsidRPr="002D3B05">
        <w:rPr>
          <w:color w:val="000000" w:themeColor="text1"/>
        </w:rPr>
        <w:t xml:space="preserve">described </w:t>
      </w:r>
      <w:r w:rsidR="00753F2C">
        <w:rPr>
          <w:color w:val="000000" w:themeColor="text1"/>
        </w:rPr>
        <w:t xml:space="preserve">the advantages of an oral treatment, noting that </w:t>
      </w:r>
      <w:r w:rsidR="00C91195">
        <w:rPr>
          <w:color w:val="000000" w:themeColor="text1"/>
        </w:rPr>
        <w:t xml:space="preserve">monthly </w:t>
      </w:r>
      <w:r w:rsidR="00A26097">
        <w:rPr>
          <w:color w:val="000000" w:themeColor="text1"/>
        </w:rPr>
        <w:t>fulvestrant injections are extremely painful</w:t>
      </w:r>
      <w:r w:rsidR="00C91195">
        <w:rPr>
          <w:color w:val="000000" w:themeColor="text1"/>
        </w:rPr>
        <w:t xml:space="preserve">, distressing and </w:t>
      </w:r>
      <w:r w:rsidR="00A26097">
        <w:rPr>
          <w:color w:val="000000" w:themeColor="text1"/>
        </w:rPr>
        <w:t>debilitating</w:t>
      </w:r>
      <w:r w:rsidR="00FF54B9">
        <w:rPr>
          <w:color w:val="000000" w:themeColor="text1"/>
        </w:rPr>
        <w:t xml:space="preserve"> and less accessible for </w:t>
      </w:r>
      <w:r w:rsidR="006B5362">
        <w:rPr>
          <w:color w:val="000000" w:themeColor="text1"/>
        </w:rPr>
        <w:t>people living in rural and remote areas</w:t>
      </w:r>
      <w:r w:rsidR="00A26097">
        <w:rPr>
          <w:color w:val="000000" w:themeColor="text1"/>
        </w:rPr>
        <w:t xml:space="preserve">. </w:t>
      </w:r>
      <w:r w:rsidR="00684358">
        <w:rPr>
          <w:color w:val="000000" w:themeColor="text1"/>
        </w:rPr>
        <w:t xml:space="preserve">Healthcare professionals </w:t>
      </w:r>
      <w:r w:rsidRPr="002D3B05">
        <w:rPr>
          <w:color w:val="000000" w:themeColor="text1"/>
        </w:rPr>
        <w:t>a</w:t>
      </w:r>
      <w:r w:rsidR="00BB794C">
        <w:rPr>
          <w:color w:val="000000" w:themeColor="text1"/>
        </w:rPr>
        <w:t xml:space="preserve">nd </w:t>
      </w:r>
      <w:r w:rsidR="00160635">
        <w:rPr>
          <w:color w:val="000000" w:themeColor="text1"/>
        </w:rPr>
        <w:t xml:space="preserve">consumer groups described the </w:t>
      </w:r>
      <w:r w:rsidR="001215AB">
        <w:rPr>
          <w:color w:val="000000" w:themeColor="text1"/>
        </w:rPr>
        <w:t xml:space="preserve">PFS </w:t>
      </w:r>
      <w:r w:rsidR="00160635">
        <w:rPr>
          <w:color w:val="000000" w:themeColor="text1"/>
        </w:rPr>
        <w:t>benefit of elacestrant as being clinically meaningful</w:t>
      </w:r>
      <w:r w:rsidR="000475AE">
        <w:rPr>
          <w:color w:val="000000" w:themeColor="text1"/>
        </w:rPr>
        <w:t xml:space="preserve"> and potentially prolonging the time before chemotherapy is required</w:t>
      </w:r>
      <w:r w:rsidR="001215AB">
        <w:rPr>
          <w:color w:val="000000" w:themeColor="text1"/>
        </w:rPr>
        <w:t>.</w:t>
      </w:r>
      <w:r w:rsidR="00B51309">
        <w:rPr>
          <w:color w:val="000000" w:themeColor="text1"/>
        </w:rPr>
        <w:t xml:space="preserve"> </w:t>
      </w:r>
    </w:p>
    <w:bookmarkEnd w:id="18"/>
    <w:bookmarkEnd w:id="20"/>
    <w:p w14:paraId="095A0B9E" w14:textId="3340BB1E" w:rsidR="002D3B05" w:rsidRPr="00255699" w:rsidRDefault="002D3B05" w:rsidP="002553CE">
      <w:pPr>
        <w:numPr>
          <w:ilvl w:val="4"/>
          <w:numId w:val="11"/>
        </w:numPr>
        <w:ind w:left="709" w:hanging="709"/>
        <w:rPr>
          <w:rFonts w:cs="Arial"/>
          <w:bCs/>
          <w:snapToGrid w:val="0"/>
        </w:rPr>
      </w:pPr>
      <w:r w:rsidRPr="00255699">
        <w:rPr>
          <w:rFonts w:cs="Arial"/>
          <w:bCs/>
          <w:snapToGrid w:val="0"/>
        </w:rPr>
        <w:t xml:space="preserve">The Medical Oncology Group of Australia (MOGA) also expressed its strong support for the </w:t>
      </w:r>
      <w:r w:rsidR="00255699">
        <w:rPr>
          <w:rFonts w:cs="Arial"/>
          <w:bCs/>
          <w:snapToGrid w:val="0"/>
        </w:rPr>
        <w:t>elacestrant</w:t>
      </w:r>
      <w:r w:rsidRPr="00255699">
        <w:rPr>
          <w:rFonts w:cs="Arial"/>
          <w:bCs/>
          <w:snapToGrid w:val="0"/>
        </w:rPr>
        <w:t xml:space="preserve"> submission, categorising it as one of the therapies of “highest priority for PBS listing” on the basis of the </w:t>
      </w:r>
      <w:r w:rsidR="005E61CF">
        <w:rPr>
          <w:rFonts w:cs="Arial"/>
          <w:bCs/>
          <w:snapToGrid w:val="0"/>
        </w:rPr>
        <w:t>EMERALD 3</w:t>
      </w:r>
      <w:r w:rsidRPr="00255699">
        <w:rPr>
          <w:rFonts w:cs="Arial"/>
          <w:bCs/>
          <w:snapToGrid w:val="0"/>
        </w:rPr>
        <w:t xml:space="preserve"> trial. The PBAC noted that the MOGA presented a European Society for Medical Oncology Magnitude of Clinical Benefit Scale (ESMO-MCBS) for </w:t>
      </w:r>
      <w:r w:rsidR="005E61CF">
        <w:rPr>
          <w:rFonts w:cs="Arial"/>
          <w:bCs/>
          <w:snapToGrid w:val="0"/>
        </w:rPr>
        <w:t>elacestrant</w:t>
      </w:r>
      <w:r w:rsidRPr="00255699">
        <w:rPr>
          <w:rFonts w:cs="Arial"/>
          <w:bCs/>
          <w:snapToGrid w:val="0"/>
        </w:rPr>
        <w:t xml:space="preserve">, which was limited to </w:t>
      </w:r>
      <w:r w:rsidR="005E61CF">
        <w:rPr>
          <w:rFonts w:cs="Arial"/>
          <w:bCs/>
          <w:snapToGrid w:val="0"/>
        </w:rPr>
        <w:t>3</w:t>
      </w:r>
      <w:r w:rsidRPr="00255699">
        <w:rPr>
          <w:rFonts w:cs="Arial"/>
          <w:bCs/>
          <w:snapToGrid w:val="0"/>
        </w:rPr>
        <w:t xml:space="preserve"> (out of a maximum of 5, where 5 and 4 represent the grades with substantial improvement)</w:t>
      </w:r>
      <w:r w:rsidR="005E61CF">
        <w:rPr>
          <w:rStyle w:val="FootnoteReference"/>
          <w:rFonts w:cs="Arial"/>
          <w:bCs/>
          <w:snapToGrid w:val="0"/>
        </w:rPr>
        <w:footnoteReference w:id="16"/>
      </w:r>
      <w:r w:rsidR="005E61CF">
        <w:rPr>
          <w:rFonts w:cs="Arial"/>
          <w:bCs/>
          <w:snapToGrid w:val="0"/>
        </w:rPr>
        <w:t>.</w:t>
      </w:r>
    </w:p>
    <w:p w14:paraId="39820EF3" w14:textId="77777777" w:rsidR="00214438" w:rsidRPr="000A7BB0" w:rsidRDefault="00214438" w:rsidP="002553CE">
      <w:pPr>
        <w:pStyle w:val="OutlineHeading2"/>
        <w:rPr>
          <w:rFonts w:ascii="Calibri" w:hAnsi="Calibri" w:cs="Calibri"/>
        </w:rPr>
      </w:pPr>
      <w:r w:rsidRPr="000A7BB0">
        <w:rPr>
          <w:rFonts w:ascii="Calibri" w:hAnsi="Calibri" w:cs="Calibri"/>
        </w:rPr>
        <w:t>Overview of the evidence base</w:t>
      </w:r>
    </w:p>
    <w:p w14:paraId="5F642852" w14:textId="51CC94EB" w:rsidR="009E18C3" w:rsidRDefault="009E18C3" w:rsidP="002553CE">
      <w:pPr>
        <w:numPr>
          <w:ilvl w:val="4"/>
          <w:numId w:val="11"/>
        </w:numPr>
        <w:ind w:left="709" w:hanging="709"/>
        <w:rPr>
          <w:color w:val="000000" w:themeColor="text1"/>
        </w:rPr>
      </w:pPr>
      <w:r w:rsidRPr="000A7BB0">
        <w:rPr>
          <w:color w:val="000000" w:themeColor="text1"/>
        </w:rPr>
        <w:t xml:space="preserve">The approach taken in the submission was to present direct evidence of the effect of targeting </w:t>
      </w:r>
      <w:r w:rsidRPr="000A7BB0">
        <w:rPr>
          <w:i/>
          <w:iCs/>
          <w:color w:val="000000" w:themeColor="text1"/>
        </w:rPr>
        <w:t>ESR1</w:t>
      </w:r>
      <w:r w:rsidRPr="000A7BB0">
        <w:rPr>
          <w:color w:val="000000" w:themeColor="text1"/>
        </w:rPr>
        <w:t xml:space="preserve"> variants with elacestrant. This was based on a single, randomised, Phase 3 clinical trial of elacestrant versus SOC (</w:t>
      </w:r>
      <w:r w:rsidR="1DD760B0" w:rsidRPr="000A7BB0">
        <w:rPr>
          <w:color w:val="000000" w:themeColor="text1"/>
        </w:rPr>
        <w:t xml:space="preserve">which included only </w:t>
      </w:r>
      <w:r w:rsidRPr="000A7BB0">
        <w:rPr>
          <w:color w:val="000000" w:themeColor="text1"/>
        </w:rPr>
        <w:t xml:space="preserve">AI or fulvestrant monotherapy) in patients with ER+/HER2- mBC who had disease progression following 1L or 2L treatment with a CDK4/6 inhibitor and ET: EMERALD. Comparative efficacy between treatment arms was analysed in the whole trial population and in patients with a detectable </w:t>
      </w:r>
      <w:r w:rsidRPr="000A7BB0">
        <w:rPr>
          <w:i/>
          <w:iCs/>
          <w:color w:val="000000" w:themeColor="text1"/>
        </w:rPr>
        <w:t>ESR1</w:t>
      </w:r>
      <w:r w:rsidRPr="000A7BB0">
        <w:rPr>
          <w:color w:val="000000" w:themeColor="text1"/>
        </w:rPr>
        <w:t xml:space="preserve"> variant</w:t>
      </w:r>
      <w:r w:rsidR="00D0552C">
        <w:rPr>
          <w:color w:val="000000" w:themeColor="text1"/>
        </w:rPr>
        <w:t xml:space="preserve"> (47.7% of patients)</w:t>
      </w:r>
      <w:r w:rsidRPr="000A7BB0">
        <w:rPr>
          <w:color w:val="000000" w:themeColor="text1"/>
        </w:rPr>
        <w:t xml:space="preserve">. The </w:t>
      </w:r>
      <w:r w:rsidR="00C268E4">
        <w:rPr>
          <w:color w:val="000000" w:themeColor="text1"/>
        </w:rPr>
        <w:t xml:space="preserve">evaluation considered the </w:t>
      </w:r>
      <w:r w:rsidRPr="000A7BB0">
        <w:rPr>
          <w:color w:val="000000" w:themeColor="text1"/>
        </w:rPr>
        <w:t>overall risk of bias in the EMERALD trial was low.</w:t>
      </w:r>
    </w:p>
    <w:p w14:paraId="5216E867" w14:textId="564AD9DA" w:rsidR="00C268E4" w:rsidRPr="00C268E4" w:rsidRDefault="00C268E4" w:rsidP="002553CE">
      <w:pPr>
        <w:numPr>
          <w:ilvl w:val="4"/>
          <w:numId w:val="11"/>
        </w:numPr>
        <w:ind w:left="709" w:hanging="709"/>
        <w:rPr>
          <w:color w:val="000000" w:themeColor="text1"/>
        </w:rPr>
      </w:pPr>
      <w:r>
        <w:rPr>
          <w:color w:val="000000" w:themeColor="text1"/>
        </w:rPr>
        <w:t xml:space="preserve">The PBAC noted that the EMERALD trial included a comparator arm described as representing SOC, consisting of investigators choice of: fulvestrant, anastrozole, letrozole or exemestane. In the SOC arm 70% of patients received fulvestrant and 30% received an AI. In the </w:t>
      </w:r>
      <w:r w:rsidRPr="00B97E96">
        <w:rPr>
          <w:i/>
          <w:iCs/>
          <w:color w:val="000000" w:themeColor="text1"/>
        </w:rPr>
        <w:t>ESR1</w:t>
      </w:r>
      <w:r>
        <w:rPr>
          <w:color w:val="000000" w:themeColor="text1"/>
        </w:rPr>
        <w:t xml:space="preserve"> variant subgroup 38% of patients had 2 prior lines of ET, 25% had prior chemotherapy and 7</w:t>
      </w:r>
      <w:r w:rsidR="00552554">
        <w:rPr>
          <w:color w:val="000000" w:themeColor="text1"/>
        </w:rPr>
        <w:t>3</w:t>
      </w:r>
      <w:r>
        <w:rPr>
          <w:color w:val="000000" w:themeColor="text1"/>
        </w:rPr>
        <w:t>% had visceral metastases.</w:t>
      </w:r>
      <w:r w:rsidR="00105FF2">
        <w:rPr>
          <w:color w:val="000000" w:themeColor="text1"/>
        </w:rPr>
        <w:t xml:space="preserve"> The PBAC noted that </w:t>
      </w:r>
      <w:r w:rsidR="00F43BE0">
        <w:rPr>
          <w:color w:val="000000" w:themeColor="text1"/>
        </w:rPr>
        <w:t>60% of the AI control arm had already received a prior AI (strongly predicting resistance).</w:t>
      </w:r>
      <w:r>
        <w:rPr>
          <w:color w:val="000000" w:themeColor="text1"/>
        </w:rPr>
        <w:t xml:space="preserve"> The PBAC considered that </w:t>
      </w:r>
      <w:r w:rsidR="00B72E0D">
        <w:rPr>
          <w:color w:val="000000" w:themeColor="text1"/>
        </w:rPr>
        <w:t xml:space="preserve">retreatment with an AI </w:t>
      </w:r>
      <w:r w:rsidR="00853B0F">
        <w:rPr>
          <w:color w:val="000000" w:themeColor="text1"/>
        </w:rPr>
        <w:t>following progression is not clinically appropriate and</w:t>
      </w:r>
      <w:r w:rsidR="008135D1">
        <w:rPr>
          <w:color w:val="000000" w:themeColor="text1"/>
        </w:rPr>
        <w:t xml:space="preserve"> would be expected to be ineffective. Further, f</w:t>
      </w:r>
      <w:r>
        <w:rPr>
          <w:color w:val="000000" w:themeColor="text1"/>
        </w:rPr>
        <w:t xml:space="preserve">or patients with 2 lines of prior ET or patients with visceral metastases, endocrine monotherapy would be expected to be ineffective and equivalent to placebo rather </w:t>
      </w:r>
      <w:r>
        <w:rPr>
          <w:color w:val="000000" w:themeColor="text1"/>
        </w:rPr>
        <w:lastRenderedPageBreak/>
        <w:t>than SOC</w:t>
      </w:r>
      <w:r>
        <w:rPr>
          <w:rStyle w:val="FootnoteReference"/>
          <w:color w:val="000000" w:themeColor="text1"/>
        </w:rPr>
        <w:footnoteReference w:id="17"/>
      </w:r>
      <w:r>
        <w:rPr>
          <w:color w:val="000000" w:themeColor="text1"/>
        </w:rPr>
        <w:t xml:space="preserve">. </w:t>
      </w:r>
      <w:r w:rsidR="007C4944">
        <w:rPr>
          <w:color w:val="000000" w:themeColor="text1"/>
        </w:rPr>
        <w:t xml:space="preserve">As such, the PBAC considered that the </w:t>
      </w:r>
      <w:r w:rsidR="00CF7252">
        <w:rPr>
          <w:color w:val="000000" w:themeColor="text1"/>
        </w:rPr>
        <w:t xml:space="preserve">EMERALD trial is likely to overestimate the benefit for elacestrant compared to SOC as the comparator arm was </w:t>
      </w:r>
      <w:r w:rsidR="00AF133D">
        <w:rPr>
          <w:color w:val="000000" w:themeColor="text1"/>
        </w:rPr>
        <w:t xml:space="preserve">inappropriate and </w:t>
      </w:r>
      <w:r w:rsidR="005D0B86">
        <w:rPr>
          <w:color w:val="000000" w:themeColor="text1"/>
        </w:rPr>
        <w:t>expected to be ineffective for a substantial proportion of patients.</w:t>
      </w:r>
      <w:r>
        <w:rPr>
          <w:color w:val="000000" w:themeColor="text1"/>
        </w:rPr>
        <w:t xml:space="preserve"> </w:t>
      </w:r>
    </w:p>
    <w:p w14:paraId="206BC541" w14:textId="280A3C83" w:rsidR="009E18C3" w:rsidRPr="000A7BB0" w:rsidRDefault="009E18C3" w:rsidP="002553CE">
      <w:pPr>
        <w:spacing w:before="0" w:line="259" w:lineRule="auto"/>
        <w:contextualSpacing/>
        <w:jc w:val="left"/>
        <w:rPr>
          <w:rFonts w:ascii="Arial Narrow" w:hAnsi="Arial Narrow"/>
          <w:b/>
          <w:iCs/>
          <w:sz w:val="20"/>
          <w:szCs w:val="18"/>
        </w:rPr>
      </w:pPr>
      <w:r w:rsidRPr="000A7BB0">
        <w:rPr>
          <w:rFonts w:ascii="Arial Narrow" w:hAnsi="Arial Narrow"/>
          <w:b/>
          <w:iCs/>
          <w:sz w:val="20"/>
          <w:szCs w:val="18"/>
        </w:rPr>
        <w:t xml:space="preserve">Table </w:t>
      </w:r>
      <w:r w:rsidRPr="000A7BB0">
        <w:rPr>
          <w:rFonts w:ascii="Arial Narrow" w:hAnsi="Arial Narrow"/>
          <w:b/>
          <w:iCs/>
          <w:sz w:val="20"/>
          <w:szCs w:val="18"/>
        </w:rPr>
        <w:fldChar w:fldCharType="begin"/>
      </w:r>
      <w:r w:rsidRPr="000A7BB0">
        <w:rPr>
          <w:rFonts w:ascii="Arial Narrow" w:hAnsi="Arial Narrow"/>
          <w:b/>
          <w:iCs/>
          <w:sz w:val="20"/>
          <w:szCs w:val="18"/>
        </w:rPr>
        <w:instrText xml:space="preserve"> SEQ Table_PBAC. \* ARABIC </w:instrText>
      </w:r>
      <w:r w:rsidRPr="000A7BB0">
        <w:rPr>
          <w:rFonts w:ascii="Arial Narrow" w:hAnsi="Arial Narrow"/>
          <w:b/>
          <w:iCs/>
          <w:sz w:val="20"/>
          <w:szCs w:val="18"/>
        </w:rPr>
        <w:fldChar w:fldCharType="separate"/>
      </w:r>
      <w:r w:rsidR="004F224A">
        <w:rPr>
          <w:rFonts w:ascii="Arial Narrow" w:hAnsi="Arial Narrow"/>
          <w:b/>
          <w:iCs/>
          <w:noProof/>
          <w:sz w:val="20"/>
          <w:szCs w:val="18"/>
        </w:rPr>
        <w:t>2</w:t>
      </w:r>
      <w:r w:rsidRPr="000A7BB0">
        <w:rPr>
          <w:rFonts w:ascii="Arial Narrow" w:hAnsi="Arial Narrow"/>
          <w:b/>
          <w:iCs/>
          <w:sz w:val="20"/>
          <w:szCs w:val="18"/>
        </w:rPr>
        <w:fldChar w:fldCharType="end"/>
      </w:r>
      <w:r w:rsidRPr="000A7BB0">
        <w:rPr>
          <w:rFonts w:ascii="Arial Narrow" w:hAnsi="Arial Narrow"/>
          <w:b/>
          <w:iCs/>
          <w:sz w:val="20"/>
          <w:szCs w:val="18"/>
        </w:rPr>
        <w:t>: Direct evidence provided in the submission to support the use of the codependent technology</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Direct evidence provided in the submission to support the use of the codependent technology"/>
      </w:tblPr>
      <w:tblGrid>
        <w:gridCol w:w="4162"/>
        <w:gridCol w:w="2428"/>
        <w:gridCol w:w="2428"/>
      </w:tblGrid>
      <w:tr w:rsidR="009E18C3" w:rsidRPr="000A7BB0" w14:paraId="21C8EC57" w14:textId="77777777" w:rsidTr="74877A7E">
        <w:trPr>
          <w:trHeight w:val="384"/>
        </w:trPr>
        <w:tc>
          <w:tcPr>
            <w:tcW w:w="2308" w:type="pct"/>
            <w:tcBorders>
              <w:top w:val="single" w:sz="4" w:space="0" w:color="auto"/>
              <w:left w:val="single" w:sz="4" w:space="0" w:color="auto"/>
              <w:bottom w:val="single" w:sz="4" w:space="0" w:color="auto"/>
              <w:right w:val="single" w:sz="4" w:space="0" w:color="auto"/>
            </w:tcBorders>
            <w:hideMark/>
          </w:tcPr>
          <w:p w14:paraId="617B24EE" w14:textId="77777777" w:rsidR="009E18C3" w:rsidRPr="000A7BB0" w:rsidRDefault="009E18C3" w:rsidP="002553CE">
            <w:pPr>
              <w:spacing w:before="0" w:after="0"/>
              <w:contextualSpacing/>
              <w:jc w:val="left"/>
              <w:rPr>
                <w:rFonts w:ascii="Arial Narrow" w:hAnsi="Arial Narrow"/>
                <w:b/>
                <w:sz w:val="20"/>
              </w:rPr>
            </w:pPr>
            <w:r w:rsidRPr="000A7BB0">
              <w:rPr>
                <w:rFonts w:ascii="Arial Narrow" w:hAnsi="Arial Narrow"/>
                <w:b/>
                <w:sz w:val="20"/>
              </w:rPr>
              <w:t>Study design</w:t>
            </w:r>
          </w:p>
        </w:tc>
        <w:tc>
          <w:tcPr>
            <w:tcW w:w="1346" w:type="pct"/>
            <w:tcBorders>
              <w:top w:val="single" w:sz="4" w:space="0" w:color="auto"/>
              <w:left w:val="single" w:sz="4" w:space="0" w:color="auto"/>
              <w:bottom w:val="single" w:sz="4" w:space="0" w:color="auto"/>
              <w:right w:val="single" w:sz="4" w:space="0" w:color="auto"/>
            </w:tcBorders>
            <w:hideMark/>
          </w:tcPr>
          <w:p w14:paraId="4C44A1E4" w14:textId="77777777" w:rsidR="009E18C3" w:rsidRPr="000A7BB0" w:rsidRDefault="009E18C3" w:rsidP="002553CE">
            <w:pPr>
              <w:spacing w:before="0" w:after="0"/>
              <w:contextualSpacing/>
              <w:jc w:val="left"/>
              <w:rPr>
                <w:rFonts w:ascii="Arial Narrow" w:hAnsi="Arial Narrow"/>
                <w:b/>
                <w:sz w:val="20"/>
              </w:rPr>
            </w:pPr>
            <w:r w:rsidRPr="000A7BB0">
              <w:rPr>
                <w:rFonts w:ascii="Arial Narrow" w:hAnsi="Arial Narrow"/>
                <w:b/>
                <w:sz w:val="20"/>
              </w:rPr>
              <w:t>Extent of evidence supplied</w:t>
            </w:r>
          </w:p>
        </w:tc>
        <w:tc>
          <w:tcPr>
            <w:tcW w:w="1346" w:type="pct"/>
            <w:tcBorders>
              <w:top w:val="single" w:sz="4" w:space="0" w:color="auto"/>
              <w:left w:val="single" w:sz="4" w:space="0" w:color="auto"/>
              <w:bottom w:val="single" w:sz="4" w:space="0" w:color="auto"/>
              <w:right w:val="single" w:sz="4" w:space="0" w:color="auto"/>
            </w:tcBorders>
            <w:hideMark/>
          </w:tcPr>
          <w:p w14:paraId="00038318" w14:textId="77777777" w:rsidR="009E18C3" w:rsidRPr="000A7BB0" w:rsidRDefault="009E18C3" w:rsidP="002553CE">
            <w:pPr>
              <w:spacing w:before="0" w:after="0"/>
              <w:contextualSpacing/>
              <w:jc w:val="left"/>
              <w:rPr>
                <w:rFonts w:ascii="Arial Narrow" w:hAnsi="Arial Narrow"/>
                <w:b/>
                <w:sz w:val="20"/>
              </w:rPr>
            </w:pPr>
            <w:r w:rsidRPr="000A7BB0">
              <w:rPr>
                <w:rFonts w:ascii="Arial Narrow" w:hAnsi="Arial Narrow"/>
                <w:b/>
                <w:sz w:val="20"/>
              </w:rPr>
              <w:t>Overall risk of bias in clinical trials</w:t>
            </w:r>
          </w:p>
        </w:tc>
      </w:tr>
      <w:tr w:rsidR="009E18C3" w:rsidRPr="000A7BB0" w14:paraId="5A64DC66" w14:textId="77777777" w:rsidTr="74877A7E">
        <w:trPr>
          <w:trHeight w:val="384"/>
        </w:trPr>
        <w:tc>
          <w:tcPr>
            <w:tcW w:w="2308" w:type="pct"/>
            <w:tcBorders>
              <w:top w:val="single" w:sz="4" w:space="0" w:color="auto"/>
              <w:left w:val="single" w:sz="4" w:space="0" w:color="auto"/>
              <w:bottom w:val="single" w:sz="4" w:space="0" w:color="auto"/>
              <w:right w:val="single" w:sz="4" w:space="0" w:color="auto"/>
            </w:tcBorders>
            <w:hideMark/>
          </w:tcPr>
          <w:p w14:paraId="341F7710" w14:textId="24AE9172" w:rsidR="009E18C3" w:rsidRPr="000A7BB0" w:rsidRDefault="009E18C3" w:rsidP="002553CE">
            <w:pPr>
              <w:spacing w:before="0" w:after="0"/>
              <w:contextualSpacing/>
              <w:jc w:val="left"/>
              <w:rPr>
                <w:rFonts w:ascii="Arial Narrow" w:hAnsi="Arial Narrow"/>
                <w:sz w:val="20"/>
                <w:szCs w:val="20"/>
                <w:vertAlign w:val="superscript"/>
              </w:rPr>
            </w:pPr>
            <w:r w:rsidRPr="000A7BB0">
              <w:rPr>
                <w:rFonts w:ascii="Arial Narrow" w:hAnsi="Arial Narrow"/>
                <w:sz w:val="20"/>
                <w:szCs w:val="20"/>
              </w:rPr>
              <w:t>Prospective biomarker stratified randomised controlled trial of drug</w:t>
            </w:r>
            <w:r w:rsidRPr="000A7BB0">
              <w:rPr>
                <w:rFonts w:ascii="Arial Narrow" w:hAnsi="Arial Narrow"/>
                <w:sz w:val="20"/>
                <w:szCs w:val="20"/>
                <w:vertAlign w:val="superscript"/>
              </w:rPr>
              <w:t>a</w:t>
            </w:r>
          </w:p>
        </w:tc>
        <w:tc>
          <w:tcPr>
            <w:tcW w:w="1346" w:type="pct"/>
            <w:tcBorders>
              <w:top w:val="single" w:sz="4" w:space="0" w:color="auto"/>
              <w:left w:val="single" w:sz="4" w:space="0" w:color="auto"/>
              <w:bottom w:val="single" w:sz="4" w:space="0" w:color="auto"/>
              <w:right w:val="single" w:sz="4" w:space="0" w:color="auto"/>
            </w:tcBorders>
            <w:hideMark/>
          </w:tcPr>
          <w:p w14:paraId="36275D9E" w14:textId="30CFCCEB" w:rsidR="009E18C3" w:rsidRPr="000A7BB0" w:rsidRDefault="009E18C3" w:rsidP="002553CE">
            <w:pPr>
              <w:spacing w:before="0" w:after="0"/>
              <w:contextualSpacing/>
              <w:jc w:val="left"/>
              <w:rPr>
                <w:rFonts w:ascii="Arial Narrow" w:hAnsi="Arial Narrow"/>
                <w:sz w:val="20"/>
                <w:szCs w:val="20"/>
              </w:rPr>
            </w:pPr>
            <w:r w:rsidRPr="000A7BB0">
              <w:rPr>
                <w:rFonts w:ascii="Segoe UI Symbol" w:eastAsia="MS Gothic" w:hAnsi="Segoe UI Symbol" w:cs="Segoe UI Symbol"/>
                <w:sz w:val="20"/>
                <w:szCs w:val="20"/>
              </w:rPr>
              <w:t>☒</w:t>
            </w:r>
            <w:r w:rsidRPr="000A7BB0">
              <w:rPr>
                <w:rFonts w:ascii="Arial Narrow" w:hAnsi="Arial Narrow"/>
                <w:sz w:val="20"/>
                <w:szCs w:val="20"/>
              </w:rPr>
              <w:tab/>
              <w:t>k=1</w:t>
            </w:r>
            <w:r w:rsidRPr="000A7BB0">
              <w:rPr>
                <w:rFonts w:ascii="Arial Narrow" w:hAnsi="Arial Narrow"/>
                <w:sz w:val="20"/>
                <w:szCs w:val="20"/>
              </w:rPr>
              <w:tab/>
              <w:t>n=478</w:t>
            </w:r>
          </w:p>
        </w:tc>
        <w:tc>
          <w:tcPr>
            <w:tcW w:w="1346" w:type="pct"/>
            <w:tcBorders>
              <w:top w:val="single" w:sz="4" w:space="0" w:color="auto"/>
              <w:left w:val="single" w:sz="4" w:space="0" w:color="auto"/>
              <w:bottom w:val="single" w:sz="4" w:space="0" w:color="auto"/>
              <w:right w:val="single" w:sz="4" w:space="0" w:color="auto"/>
            </w:tcBorders>
            <w:vAlign w:val="center"/>
          </w:tcPr>
          <w:p w14:paraId="1F3F4C75" w14:textId="77777777" w:rsidR="009E18C3" w:rsidRPr="000A7BB0" w:rsidRDefault="009E18C3" w:rsidP="002553CE">
            <w:pPr>
              <w:spacing w:before="0" w:after="0"/>
              <w:contextualSpacing/>
              <w:jc w:val="left"/>
              <w:rPr>
                <w:rFonts w:ascii="Arial Narrow" w:hAnsi="Arial Narrow"/>
                <w:sz w:val="20"/>
                <w:szCs w:val="20"/>
              </w:rPr>
            </w:pPr>
            <w:r w:rsidRPr="000A7BB0">
              <w:rPr>
                <w:rFonts w:ascii="Arial Narrow" w:hAnsi="Arial Narrow"/>
                <w:sz w:val="20"/>
                <w:szCs w:val="20"/>
              </w:rPr>
              <w:t>Low</w:t>
            </w:r>
          </w:p>
        </w:tc>
      </w:tr>
    </w:tbl>
    <w:p w14:paraId="6A682239" w14:textId="77777777" w:rsidR="009E18C3" w:rsidRPr="000A7BB0" w:rsidRDefault="009E18C3" w:rsidP="002553CE">
      <w:pPr>
        <w:spacing w:before="0" w:after="0"/>
        <w:contextualSpacing/>
        <w:rPr>
          <w:rFonts w:ascii="Arial Narrow" w:eastAsia="Times New Roman" w:hAnsi="Arial Narrow" w:cs="Arial"/>
          <w:snapToGrid w:val="0"/>
          <w:sz w:val="18"/>
          <w:szCs w:val="20"/>
          <w:vertAlign w:val="superscript"/>
        </w:rPr>
      </w:pPr>
      <w:r w:rsidRPr="000A7BB0">
        <w:rPr>
          <w:rFonts w:ascii="Arial Narrow" w:eastAsia="Times New Roman" w:hAnsi="Arial Narrow" w:cs="Arial"/>
          <w:snapToGrid w:val="0"/>
          <w:sz w:val="18"/>
          <w:szCs w:val="20"/>
        </w:rPr>
        <w:t xml:space="preserve">Source: compiled during the evaluation from section 2B.3.1. Study design, pp171-173. </w:t>
      </w:r>
    </w:p>
    <w:p w14:paraId="37F5D77F" w14:textId="77777777" w:rsidR="009E18C3" w:rsidRPr="000A7BB0" w:rsidRDefault="009E18C3" w:rsidP="002553CE">
      <w:pPr>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vertAlign w:val="superscript"/>
        </w:rPr>
        <w:t>a</w:t>
      </w:r>
      <w:r w:rsidRPr="000A7BB0">
        <w:rPr>
          <w:rFonts w:ascii="Arial Narrow" w:eastAsia="Times New Roman" w:hAnsi="Arial Narrow" w:cs="Arial"/>
          <w:snapToGrid w:val="0"/>
          <w:sz w:val="18"/>
          <w:szCs w:val="20"/>
        </w:rPr>
        <w:t xml:space="preserve"> population with and without the biomarker randomised to drug or usual care</w:t>
      </w:r>
    </w:p>
    <w:p w14:paraId="6D590777" w14:textId="77777777" w:rsidR="009E18C3" w:rsidRPr="000A7BB0" w:rsidRDefault="009E18C3" w:rsidP="002553CE">
      <w:pPr>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 xml:space="preserve"> k=number of studies; n=overall number of patients</w:t>
      </w:r>
    </w:p>
    <w:p w14:paraId="0E503F33" w14:textId="649CAE26" w:rsidR="00981467" w:rsidRPr="000A7BB0" w:rsidRDefault="009E18C3" w:rsidP="002553CE">
      <w:pPr>
        <w:numPr>
          <w:ilvl w:val="4"/>
          <w:numId w:val="11"/>
        </w:numPr>
        <w:ind w:left="709" w:hanging="709"/>
        <w:rPr>
          <w:color w:val="000000" w:themeColor="text1"/>
        </w:rPr>
      </w:pPr>
      <w:r w:rsidRPr="000A7BB0">
        <w:rPr>
          <w:color w:val="000000" w:themeColor="text1"/>
        </w:rPr>
        <w:t xml:space="preserve">Details of the EMERALD trial are provided in </w:t>
      </w:r>
      <w:r w:rsidRPr="000A7BB0">
        <w:rPr>
          <w:color w:val="000000" w:themeColor="text1"/>
        </w:rPr>
        <w:fldChar w:fldCharType="begin"/>
      </w:r>
      <w:r w:rsidRPr="000A7BB0">
        <w:rPr>
          <w:color w:val="000000" w:themeColor="text1"/>
        </w:rPr>
        <w:instrText xml:space="preserve"> REF _Ref184474046 \h </w:instrText>
      </w:r>
      <w:r w:rsidR="001023DD" w:rsidRPr="000A7BB0">
        <w:rPr>
          <w:color w:val="000000" w:themeColor="text1"/>
        </w:rPr>
        <w:instrText xml:space="preserve">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3</w:t>
      </w:r>
      <w:r w:rsidRPr="000A7BB0">
        <w:rPr>
          <w:color w:val="000000" w:themeColor="text1"/>
        </w:rPr>
        <w:fldChar w:fldCharType="end"/>
      </w:r>
      <w:r w:rsidRPr="000A7BB0">
        <w:rPr>
          <w:color w:val="000000" w:themeColor="text1"/>
        </w:rPr>
        <w:t xml:space="preserve"> and </w:t>
      </w:r>
      <w:r w:rsidRPr="000A7BB0">
        <w:rPr>
          <w:color w:val="000000" w:themeColor="text1"/>
        </w:rPr>
        <w:fldChar w:fldCharType="begin"/>
      </w:r>
      <w:r w:rsidRPr="000A7BB0">
        <w:rPr>
          <w:color w:val="000000" w:themeColor="text1"/>
        </w:rPr>
        <w:instrText xml:space="preserve"> REF _Ref184474277 \h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4</w:t>
      </w:r>
      <w:r w:rsidRPr="000A7BB0">
        <w:rPr>
          <w:color w:val="000000" w:themeColor="text1"/>
        </w:rPr>
        <w:fldChar w:fldCharType="end"/>
      </w:r>
      <w:r w:rsidR="000F151A">
        <w:rPr>
          <w:color w:val="000000" w:themeColor="text1"/>
        </w:rPr>
        <w:t>.</w:t>
      </w:r>
    </w:p>
    <w:p w14:paraId="4003F676" w14:textId="32880D78" w:rsidR="009E18C3" w:rsidRPr="000A7BB0" w:rsidRDefault="009E18C3" w:rsidP="002553CE">
      <w:pPr>
        <w:keepNext/>
        <w:tabs>
          <w:tab w:val="left" w:pos="1418"/>
        </w:tabs>
        <w:spacing w:before="240" w:after="0" w:line="259" w:lineRule="auto"/>
        <w:contextualSpacing/>
        <w:jc w:val="left"/>
        <w:rPr>
          <w:rFonts w:ascii="Arial Narrow" w:hAnsi="Arial Narrow"/>
          <w:b/>
          <w:iCs/>
          <w:sz w:val="20"/>
          <w:szCs w:val="18"/>
        </w:rPr>
      </w:pPr>
      <w:bookmarkStart w:id="21" w:name="_Ref184474046"/>
      <w:r w:rsidRPr="000A7BB0">
        <w:rPr>
          <w:rFonts w:ascii="Arial Narrow" w:hAnsi="Arial Narrow"/>
          <w:b/>
          <w:iCs/>
          <w:sz w:val="20"/>
          <w:szCs w:val="18"/>
        </w:rPr>
        <w:t xml:space="preserve">Table </w:t>
      </w:r>
      <w:r w:rsidRPr="000A7BB0">
        <w:rPr>
          <w:rFonts w:ascii="Arial Narrow" w:hAnsi="Arial Narrow"/>
          <w:b/>
          <w:iCs/>
          <w:sz w:val="20"/>
          <w:szCs w:val="18"/>
        </w:rPr>
        <w:fldChar w:fldCharType="begin"/>
      </w:r>
      <w:r w:rsidRPr="000A7BB0">
        <w:rPr>
          <w:rFonts w:ascii="Arial Narrow" w:hAnsi="Arial Narrow"/>
          <w:b/>
          <w:iCs/>
          <w:sz w:val="20"/>
          <w:szCs w:val="18"/>
        </w:rPr>
        <w:instrText xml:space="preserve"> SEQ Table_PBAC. \* ARABIC </w:instrText>
      </w:r>
      <w:r w:rsidRPr="000A7BB0">
        <w:rPr>
          <w:rFonts w:ascii="Arial Narrow" w:hAnsi="Arial Narrow"/>
          <w:b/>
          <w:iCs/>
          <w:sz w:val="20"/>
          <w:szCs w:val="18"/>
        </w:rPr>
        <w:fldChar w:fldCharType="separate"/>
      </w:r>
      <w:r w:rsidR="004F224A">
        <w:rPr>
          <w:rFonts w:ascii="Arial Narrow" w:hAnsi="Arial Narrow"/>
          <w:b/>
          <w:iCs/>
          <w:noProof/>
          <w:sz w:val="20"/>
          <w:szCs w:val="18"/>
        </w:rPr>
        <w:t>3</w:t>
      </w:r>
      <w:r w:rsidRPr="000A7BB0">
        <w:rPr>
          <w:rFonts w:ascii="Arial Narrow" w:hAnsi="Arial Narrow"/>
          <w:b/>
          <w:iCs/>
          <w:sz w:val="20"/>
          <w:szCs w:val="18"/>
        </w:rPr>
        <w:fldChar w:fldCharType="end"/>
      </w:r>
      <w:bookmarkEnd w:id="21"/>
      <w:r w:rsidRPr="000A7BB0">
        <w:rPr>
          <w:rFonts w:ascii="Arial Narrow" w:hAnsi="Arial Narrow"/>
          <w:b/>
          <w:iCs/>
          <w:sz w:val="20"/>
          <w:szCs w:val="18"/>
        </w:rPr>
        <w:t>: Trials and associated reports presented in the submission</w:t>
      </w:r>
    </w:p>
    <w:tbl>
      <w:tblPr>
        <w:tblStyle w:val="PBACTableStyle21"/>
        <w:tblW w:w="5000" w:type="pct"/>
        <w:tblLook w:val="01E0" w:firstRow="1" w:lastRow="1" w:firstColumn="1" w:lastColumn="1" w:noHBand="0" w:noVBand="0"/>
        <w:tblCaption w:val="Table 3: Trials and associated reports presented in the submission"/>
      </w:tblPr>
      <w:tblGrid>
        <w:gridCol w:w="1129"/>
        <w:gridCol w:w="5812"/>
        <w:gridCol w:w="2075"/>
      </w:tblGrid>
      <w:tr w:rsidR="009E18C3" w:rsidRPr="000A7BB0" w14:paraId="64A463C5" w14:textId="77777777" w:rsidTr="0086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 w:type="pct"/>
            <w:tcBorders>
              <w:top w:val="single" w:sz="4" w:space="0" w:color="auto"/>
              <w:left w:val="single" w:sz="4" w:space="0" w:color="auto"/>
              <w:bottom w:val="single" w:sz="4" w:space="0" w:color="auto"/>
              <w:right w:val="single" w:sz="4" w:space="0" w:color="auto"/>
            </w:tcBorders>
            <w:hideMark/>
          </w:tcPr>
          <w:p w14:paraId="7312E056" w14:textId="77777777" w:rsidR="009E18C3" w:rsidRPr="000A7BB0" w:rsidRDefault="009E18C3" w:rsidP="002553CE">
            <w:pPr>
              <w:pStyle w:val="TableFigureHeading"/>
              <w:widowControl/>
              <w:rPr>
                <w:lang w:val="en-AU"/>
              </w:rPr>
            </w:pPr>
            <w:r w:rsidRPr="000A7BB0">
              <w:rPr>
                <w:lang w:val="en-AU"/>
              </w:rPr>
              <w:t>Trial ID</w:t>
            </w:r>
          </w:p>
        </w:tc>
        <w:tc>
          <w:tcPr>
            <w:tcW w:w="3223" w:type="pct"/>
            <w:tcBorders>
              <w:top w:val="single" w:sz="4" w:space="0" w:color="auto"/>
              <w:left w:val="single" w:sz="4" w:space="0" w:color="auto"/>
              <w:bottom w:val="single" w:sz="4" w:space="0" w:color="auto"/>
              <w:right w:val="single" w:sz="4" w:space="0" w:color="auto"/>
            </w:tcBorders>
            <w:hideMark/>
          </w:tcPr>
          <w:p w14:paraId="36352A6B" w14:textId="77777777" w:rsidR="009E18C3" w:rsidRPr="000A7BB0" w:rsidRDefault="009E18C3" w:rsidP="002553CE">
            <w:pPr>
              <w:pStyle w:val="TableFigureHeading"/>
              <w:widowControl/>
              <w:cnfStyle w:val="100000000000" w:firstRow="1" w:lastRow="0" w:firstColumn="0" w:lastColumn="0" w:oddVBand="0" w:evenVBand="0" w:oddHBand="0" w:evenHBand="0" w:firstRowFirstColumn="0" w:firstRowLastColumn="0" w:lastRowFirstColumn="0" w:lastRowLastColumn="0"/>
              <w:rPr>
                <w:lang w:val="en-AU"/>
              </w:rPr>
            </w:pPr>
            <w:r w:rsidRPr="000A7BB0">
              <w:rPr>
                <w:lang w:val="en-AU"/>
              </w:rPr>
              <w:t>Protocol title/ Publication title</w:t>
            </w:r>
          </w:p>
        </w:tc>
        <w:tc>
          <w:tcPr>
            <w:cnfStyle w:val="000100000000" w:firstRow="0" w:lastRow="0" w:firstColumn="0" w:lastColumn="1" w:oddVBand="0" w:evenVBand="0" w:oddHBand="0" w:evenHBand="0" w:firstRowFirstColumn="0" w:firstRowLastColumn="0" w:lastRowFirstColumn="0" w:lastRowLastColumn="0"/>
            <w:tcW w:w="1151" w:type="pct"/>
            <w:hideMark/>
          </w:tcPr>
          <w:p w14:paraId="30A9295B" w14:textId="77777777" w:rsidR="009E18C3" w:rsidRPr="000A7BB0" w:rsidRDefault="009E18C3" w:rsidP="002553CE">
            <w:pPr>
              <w:pStyle w:val="TableFigureFooter"/>
              <w:widowControl/>
              <w:rPr>
                <w:lang w:val="en-AU"/>
              </w:rPr>
            </w:pPr>
            <w:r w:rsidRPr="000A7BB0">
              <w:rPr>
                <w:lang w:val="en-AU"/>
              </w:rPr>
              <w:t>Publication citation</w:t>
            </w:r>
          </w:p>
        </w:tc>
      </w:tr>
      <w:tr w:rsidR="009E18C3" w:rsidRPr="000A7BB0" w14:paraId="732A1259" w14:textId="77777777" w:rsidTr="00867197">
        <w:tc>
          <w:tcPr>
            <w:cnfStyle w:val="001000000000" w:firstRow="0" w:lastRow="0" w:firstColumn="1" w:lastColumn="0" w:oddVBand="0" w:evenVBand="0" w:oddHBand="0" w:evenHBand="0" w:firstRowFirstColumn="0" w:firstRowLastColumn="0" w:lastRowFirstColumn="0" w:lastRowLastColumn="0"/>
            <w:tcW w:w="626" w:type="pct"/>
            <w:tcBorders>
              <w:top w:val="single" w:sz="4" w:space="0" w:color="auto"/>
              <w:left w:val="single" w:sz="4" w:space="0" w:color="auto"/>
              <w:bottom w:val="nil"/>
              <w:right w:val="single" w:sz="4" w:space="0" w:color="auto"/>
            </w:tcBorders>
            <w:hideMark/>
          </w:tcPr>
          <w:p w14:paraId="119462FF" w14:textId="77777777" w:rsidR="009E18C3" w:rsidRPr="000A7BB0" w:rsidRDefault="009E18C3" w:rsidP="002553CE">
            <w:pPr>
              <w:pStyle w:val="TableFigureHeading"/>
              <w:widowControl/>
              <w:rPr>
                <w:lang w:val="en-AU"/>
              </w:rPr>
            </w:pPr>
            <w:r w:rsidRPr="000A7BB0">
              <w:rPr>
                <w:lang w:val="en-AU"/>
              </w:rPr>
              <w:t>EMERALD</w:t>
            </w:r>
          </w:p>
          <w:p w14:paraId="04A68FBB" w14:textId="77777777" w:rsidR="009E18C3" w:rsidRPr="000A7BB0" w:rsidRDefault="009E18C3" w:rsidP="002553CE">
            <w:pPr>
              <w:pStyle w:val="TableFigureHeading"/>
              <w:widowControl/>
              <w:rPr>
                <w:lang w:val="en-AU"/>
              </w:rPr>
            </w:pPr>
          </w:p>
        </w:tc>
        <w:tc>
          <w:tcPr>
            <w:tcW w:w="3223" w:type="pct"/>
            <w:tcBorders>
              <w:top w:val="single" w:sz="4" w:space="0" w:color="auto"/>
              <w:left w:val="single" w:sz="4" w:space="0" w:color="auto"/>
              <w:bottom w:val="nil"/>
              <w:right w:val="single" w:sz="4" w:space="0" w:color="auto"/>
            </w:tcBorders>
          </w:tcPr>
          <w:p w14:paraId="04E4AA2A"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b/>
                <w:bCs/>
                <w:lang w:val="en-AU" w:bidi="en-US"/>
              </w:rPr>
            </w:pPr>
            <w:r w:rsidRPr="000A7BB0">
              <w:rPr>
                <w:b/>
                <w:bCs/>
                <w:lang w:val="en-AU" w:bidi="en-US"/>
              </w:rPr>
              <w:t>Clinical study reports:</w:t>
            </w:r>
          </w:p>
          <w:p w14:paraId="2F73EE09"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r w:rsidRPr="000A7BB0">
              <w:rPr>
                <w:lang w:val="en-AU" w:bidi="en-US"/>
              </w:rPr>
              <w:t>Elacestrant Monotherapy vs Standard of Care for the Treatment of Patients with ER+/HER2- Advanced Breast Cancer Following CDK4/6 Inhibitor Therapy: A Phase 3 Randomised, Open-Label, Active-Controlled, Multicenter Trial.</w:t>
            </w:r>
          </w:p>
          <w:p w14:paraId="5360CDB2" w14:textId="77777777" w:rsidR="00616D40" w:rsidRPr="000A7BB0" w:rsidRDefault="00616D40"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p>
        </w:tc>
        <w:tc>
          <w:tcPr>
            <w:cnfStyle w:val="000100000000" w:firstRow="0" w:lastRow="0" w:firstColumn="0" w:lastColumn="1" w:oddVBand="0" w:evenVBand="0" w:oddHBand="0" w:evenHBand="0" w:firstRowFirstColumn="0" w:firstRowLastColumn="0" w:lastRowFirstColumn="0" w:lastRowLastColumn="0"/>
            <w:tcW w:w="1151" w:type="pct"/>
            <w:tcBorders>
              <w:bottom w:val="nil"/>
            </w:tcBorders>
          </w:tcPr>
          <w:p w14:paraId="43C00798" w14:textId="77777777" w:rsidR="009E18C3" w:rsidRPr="000A7BB0" w:rsidRDefault="009E18C3" w:rsidP="002553CE">
            <w:pPr>
              <w:pStyle w:val="TableFigureFooter"/>
              <w:widowControl/>
              <w:rPr>
                <w:rFonts w:eastAsiaTheme="majorEastAsia" w:cstheme="majorBidi"/>
                <w:i w:val="0"/>
                <w:sz w:val="20"/>
                <w:lang w:val="en-AU" w:bidi="en-US"/>
              </w:rPr>
            </w:pPr>
            <w:r w:rsidRPr="000A7BB0">
              <w:rPr>
                <w:rFonts w:eastAsiaTheme="majorEastAsia" w:cstheme="majorBidi"/>
                <w:sz w:val="20"/>
                <w:lang w:val="en-AU" w:bidi="en-US"/>
              </w:rPr>
              <w:t>RAD1901-308</w:t>
            </w:r>
          </w:p>
          <w:p w14:paraId="38F03B92" w14:textId="77777777" w:rsidR="009E18C3" w:rsidRPr="000A7BB0" w:rsidRDefault="009E18C3" w:rsidP="002553CE">
            <w:pPr>
              <w:pStyle w:val="TableFigureFooter"/>
              <w:widowControl/>
              <w:rPr>
                <w:i w:val="0"/>
                <w:sz w:val="20"/>
                <w:lang w:val="en-AU"/>
              </w:rPr>
            </w:pPr>
          </w:p>
        </w:tc>
      </w:tr>
      <w:tr w:rsidR="009E18C3" w:rsidRPr="000A7BB0" w14:paraId="43693EB8" w14:textId="77777777" w:rsidTr="00867197">
        <w:tc>
          <w:tcPr>
            <w:cnfStyle w:val="001000000000" w:firstRow="0" w:lastRow="0" w:firstColumn="1" w:lastColumn="0" w:oddVBand="0" w:evenVBand="0" w:oddHBand="0" w:evenHBand="0" w:firstRowFirstColumn="0" w:firstRowLastColumn="0" w:lastRowFirstColumn="0" w:lastRowLastColumn="0"/>
            <w:tcW w:w="626" w:type="pct"/>
            <w:tcBorders>
              <w:top w:val="nil"/>
              <w:left w:val="single" w:sz="4" w:space="0" w:color="auto"/>
              <w:bottom w:val="nil"/>
              <w:right w:val="single" w:sz="4" w:space="0" w:color="auto"/>
            </w:tcBorders>
          </w:tcPr>
          <w:p w14:paraId="300ED705" w14:textId="77777777" w:rsidR="009E18C3" w:rsidRPr="000A7BB0" w:rsidRDefault="009E18C3" w:rsidP="002553CE">
            <w:pPr>
              <w:pStyle w:val="TableFigureHeading"/>
              <w:widowControl/>
              <w:rPr>
                <w:lang w:val="en-AU"/>
              </w:rPr>
            </w:pPr>
          </w:p>
        </w:tc>
        <w:tc>
          <w:tcPr>
            <w:tcW w:w="3223" w:type="pct"/>
            <w:tcBorders>
              <w:top w:val="nil"/>
              <w:left w:val="single" w:sz="4" w:space="0" w:color="auto"/>
              <w:bottom w:val="nil"/>
              <w:right w:val="single" w:sz="4" w:space="0" w:color="auto"/>
            </w:tcBorders>
          </w:tcPr>
          <w:p w14:paraId="445BA9DE"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r w:rsidRPr="000A7BB0">
              <w:rPr>
                <w:lang w:val="en-AU" w:bidi="en-US"/>
              </w:rPr>
              <w:t>Elacestrant Monotherapy Vs. Standard Of Care For The Treatment Of Patients With ER+/HER2- Advanced Breast Cancer Following CDK4/6 Inhibitor Therapy: A Phase 3 Randomised, Open-Label, Active-Controlled, Multicenter Trial (EMERALD).</w:t>
            </w:r>
          </w:p>
          <w:p w14:paraId="39668ADF" w14:textId="77777777" w:rsidR="00616D40" w:rsidRPr="000A7BB0" w:rsidRDefault="00616D40"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p>
          <w:p w14:paraId="0B907554"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r w:rsidRPr="000A7BB0">
              <w:rPr>
                <w:lang w:val="en-AU" w:bidi="en-US"/>
              </w:rPr>
              <w:t>Overall Survival Addendum As Of 02 September 2022</w:t>
            </w:r>
          </w:p>
        </w:tc>
        <w:tc>
          <w:tcPr>
            <w:cnfStyle w:val="000100000000" w:firstRow="0" w:lastRow="0" w:firstColumn="0" w:lastColumn="1" w:oddVBand="0" w:evenVBand="0" w:oddHBand="0" w:evenHBand="0" w:firstRowFirstColumn="0" w:firstRowLastColumn="0" w:lastRowFirstColumn="0" w:lastRowLastColumn="0"/>
            <w:tcW w:w="1151" w:type="pct"/>
            <w:tcBorders>
              <w:top w:val="nil"/>
              <w:bottom w:val="nil"/>
            </w:tcBorders>
          </w:tcPr>
          <w:p w14:paraId="3FF1DC86" w14:textId="77777777" w:rsidR="009E18C3" w:rsidRPr="000A7BB0" w:rsidRDefault="009E18C3" w:rsidP="002553CE">
            <w:pPr>
              <w:pStyle w:val="TableFigureFooter"/>
              <w:widowControl/>
              <w:rPr>
                <w:rFonts w:eastAsiaTheme="majorEastAsia" w:cstheme="majorBidi"/>
                <w:i w:val="0"/>
                <w:sz w:val="20"/>
                <w:lang w:val="en-AU" w:bidi="en-US"/>
              </w:rPr>
            </w:pPr>
            <w:r w:rsidRPr="000A7BB0">
              <w:rPr>
                <w:rFonts w:eastAsiaTheme="majorEastAsia" w:cstheme="majorBidi"/>
                <w:sz w:val="20"/>
                <w:lang w:val="en-AU" w:bidi="en-US"/>
              </w:rPr>
              <w:t>RAD1901-308</w:t>
            </w:r>
          </w:p>
          <w:p w14:paraId="3CA5E5AF" w14:textId="77777777" w:rsidR="009E18C3" w:rsidRPr="000A7BB0" w:rsidRDefault="009E18C3" w:rsidP="002553CE">
            <w:pPr>
              <w:pStyle w:val="TableFigureFooter"/>
              <w:widowControl/>
              <w:rPr>
                <w:i w:val="0"/>
                <w:sz w:val="20"/>
                <w:lang w:val="en-AU"/>
              </w:rPr>
            </w:pPr>
          </w:p>
        </w:tc>
      </w:tr>
      <w:tr w:rsidR="009E18C3" w:rsidRPr="000A7BB0" w14:paraId="4199CADC" w14:textId="77777777" w:rsidTr="00867197">
        <w:tc>
          <w:tcPr>
            <w:cnfStyle w:val="001000000000" w:firstRow="0" w:lastRow="0" w:firstColumn="1" w:lastColumn="0" w:oddVBand="0" w:evenVBand="0" w:oddHBand="0" w:evenHBand="0" w:firstRowFirstColumn="0" w:firstRowLastColumn="0" w:lastRowFirstColumn="0" w:lastRowLastColumn="0"/>
            <w:tcW w:w="626" w:type="pct"/>
            <w:tcBorders>
              <w:top w:val="nil"/>
              <w:left w:val="single" w:sz="4" w:space="0" w:color="auto"/>
              <w:bottom w:val="nil"/>
              <w:right w:val="single" w:sz="4" w:space="0" w:color="auto"/>
            </w:tcBorders>
          </w:tcPr>
          <w:p w14:paraId="3797F202" w14:textId="77777777" w:rsidR="009E18C3" w:rsidRPr="000A7BB0" w:rsidRDefault="009E18C3" w:rsidP="002553CE">
            <w:pPr>
              <w:pStyle w:val="TableFigureHeading"/>
              <w:widowControl/>
              <w:rPr>
                <w:lang w:val="en-AU"/>
              </w:rPr>
            </w:pPr>
          </w:p>
        </w:tc>
        <w:tc>
          <w:tcPr>
            <w:tcW w:w="3223" w:type="pct"/>
            <w:tcBorders>
              <w:top w:val="nil"/>
              <w:left w:val="single" w:sz="4" w:space="0" w:color="auto"/>
              <w:bottom w:val="nil"/>
              <w:right w:val="single" w:sz="4" w:space="0" w:color="auto"/>
            </w:tcBorders>
          </w:tcPr>
          <w:p w14:paraId="5B2C1669" w14:textId="10A44A4E"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r w:rsidRPr="000A7BB0">
              <w:rPr>
                <w:lang w:val="en-AU" w:bidi="en-US"/>
              </w:rPr>
              <w:t xml:space="preserve">Phase 3 Trial of Elacestrant vs. Standard of Care for the Treatment of Patients With ER+/HER2- Advanced Breast Cancer </w:t>
            </w:r>
            <w:hyperlink r:id="rId12" w:history="1">
              <w:r w:rsidRPr="000A7BB0">
                <w:rPr>
                  <w:rFonts w:cstheme="minorHAnsi"/>
                  <w:u w:val="single"/>
                  <w:lang w:val="en-AU" w:bidi="en-US"/>
                </w:rPr>
                <w:t>https://clinicaltrials.gov/study/NCT03778931</w:t>
              </w:r>
            </w:hyperlink>
          </w:p>
          <w:p w14:paraId="45649243"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u w:val="single"/>
                <w:lang w:val="en-AU" w:bidi="en-US"/>
              </w:rPr>
            </w:pPr>
          </w:p>
        </w:tc>
        <w:tc>
          <w:tcPr>
            <w:cnfStyle w:val="000100000000" w:firstRow="0" w:lastRow="0" w:firstColumn="0" w:lastColumn="1" w:oddVBand="0" w:evenVBand="0" w:oddHBand="0" w:evenHBand="0" w:firstRowFirstColumn="0" w:firstRowLastColumn="0" w:lastRowFirstColumn="0" w:lastRowLastColumn="0"/>
            <w:tcW w:w="1151" w:type="pct"/>
            <w:tcBorders>
              <w:top w:val="nil"/>
              <w:bottom w:val="nil"/>
            </w:tcBorders>
          </w:tcPr>
          <w:p w14:paraId="3E4BDF32" w14:textId="77777777" w:rsidR="009E18C3" w:rsidRPr="000A7BB0" w:rsidRDefault="009E18C3" w:rsidP="002553CE">
            <w:pPr>
              <w:pStyle w:val="TableFigureFooter"/>
              <w:widowControl/>
              <w:rPr>
                <w:i w:val="0"/>
                <w:sz w:val="20"/>
                <w:lang w:val="en-AU"/>
              </w:rPr>
            </w:pPr>
            <w:r w:rsidRPr="000A7BB0">
              <w:rPr>
                <w:sz w:val="20"/>
                <w:lang w:val="en-AU"/>
              </w:rPr>
              <w:t>NCT03778931</w:t>
            </w:r>
          </w:p>
          <w:p w14:paraId="7FBE463F" w14:textId="77777777" w:rsidR="009E18C3" w:rsidRPr="000A7BB0" w:rsidRDefault="009E18C3" w:rsidP="002553CE">
            <w:pPr>
              <w:pStyle w:val="TableFigureFooter"/>
              <w:widowControl/>
              <w:rPr>
                <w:i w:val="0"/>
                <w:sz w:val="20"/>
                <w:lang w:val="en-AU"/>
              </w:rPr>
            </w:pPr>
          </w:p>
        </w:tc>
      </w:tr>
      <w:tr w:rsidR="009E18C3" w:rsidRPr="000A7BB0" w14:paraId="4C931AB2" w14:textId="77777777" w:rsidTr="00867197">
        <w:tc>
          <w:tcPr>
            <w:cnfStyle w:val="001000000000" w:firstRow="0" w:lastRow="0" w:firstColumn="1" w:lastColumn="0" w:oddVBand="0" w:evenVBand="0" w:oddHBand="0" w:evenHBand="0" w:firstRowFirstColumn="0" w:firstRowLastColumn="0" w:lastRowFirstColumn="0" w:lastRowLastColumn="0"/>
            <w:tcW w:w="626" w:type="pct"/>
            <w:tcBorders>
              <w:top w:val="nil"/>
              <w:left w:val="single" w:sz="4" w:space="0" w:color="auto"/>
              <w:bottom w:val="nil"/>
              <w:right w:val="single" w:sz="4" w:space="0" w:color="auto"/>
            </w:tcBorders>
          </w:tcPr>
          <w:p w14:paraId="44082A05" w14:textId="77777777" w:rsidR="009E18C3" w:rsidRPr="000A7BB0" w:rsidRDefault="009E18C3" w:rsidP="002553CE">
            <w:pPr>
              <w:pStyle w:val="TableFigureHeading"/>
              <w:widowControl/>
              <w:rPr>
                <w:lang w:val="en-AU"/>
              </w:rPr>
            </w:pPr>
          </w:p>
        </w:tc>
        <w:tc>
          <w:tcPr>
            <w:tcW w:w="3223" w:type="pct"/>
            <w:tcBorders>
              <w:top w:val="nil"/>
              <w:left w:val="single" w:sz="4" w:space="0" w:color="auto"/>
              <w:bottom w:val="nil"/>
              <w:right w:val="single" w:sz="4" w:space="0" w:color="auto"/>
            </w:tcBorders>
          </w:tcPr>
          <w:p w14:paraId="0840E254" w14:textId="77777777" w:rsidR="009E18C3" w:rsidRPr="000A7BB0" w:rsidRDefault="009E18C3" w:rsidP="002553CE">
            <w:pPr>
              <w:widowControl/>
              <w:spacing w:before="0" w:after="0"/>
              <w:cnfStyle w:val="000000000000" w:firstRow="0" w:lastRow="0" w:firstColumn="0" w:lastColumn="0" w:oddVBand="0" w:evenVBand="0" w:oddHBand="0" w:evenHBand="0" w:firstRowFirstColumn="0" w:firstRowLastColumn="0" w:lastRowFirstColumn="0" w:lastRowLastColumn="0"/>
              <w:rPr>
                <w:rFonts w:eastAsiaTheme="majorEastAsia" w:cstheme="majorBidi"/>
                <w:b/>
                <w:sz w:val="20"/>
                <w:lang w:val="en-AU" w:bidi="en-US"/>
              </w:rPr>
            </w:pPr>
            <w:r w:rsidRPr="000A7BB0">
              <w:rPr>
                <w:rFonts w:eastAsiaTheme="majorEastAsia" w:cstheme="majorBidi"/>
                <w:b/>
                <w:sz w:val="20"/>
                <w:lang w:val="en-AU" w:bidi="en-US"/>
              </w:rPr>
              <w:t>Key study publications:</w:t>
            </w:r>
          </w:p>
          <w:p w14:paraId="33BEDC0D" w14:textId="27D3931E"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r w:rsidRPr="000A7BB0">
              <w:rPr>
                <w:lang w:val="en-AU" w:bidi="en-US"/>
              </w:rPr>
              <w:t>Bidard, FC. et al.</w:t>
            </w:r>
            <w:r w:rsidR="00616D40" w:rsidRPr="000A7BB0">
              <w:rPr>
                <w:lang w:val="en-AU" w:bidi="en-US"/>
              </w:rPr>
              <w:t xml:space="preserve"> </w:t>
            </w:r>
            <w:r w:rsidRPr="000A7BB0">
              <w:rPr>
                <w:lang w:val="en-AU" w:bidi="en-US"/>
              </w:rPr>
              <w:t>Elacestrant (oral selective estrogen receptor degrader) Versus Standard Endocrine Therapy for Estrogen Receptor-Positive, Human Epidermal Growth Factor Receptor 2-Negative Advanced Breast Cancer: Results From the Randomized Phase III EMERALD Trial</w:t>
            </w:r>
          </w:p>
        </w:tc>
        <w:tc>
          <w:tcPr>
            <w:cnfStyle w:val="000100000000" w:firstRow="0" w:lastRow="0" w:firstColumn="0" w:lastColumn="1" w:oddVBand="0" w:evenVBand="0" w:oddHBand="0" w:evenHBand="0" w:firstRowFirstColumn="0" w:firstRowLastColumn="0" w:lastRowFirstColumn="0" w:lastRowLastColumn="0"/>
            <w:tcW w:w="1151" w:type="pct"/>
            <w:tcBorders>
              <w:top w:val="nil"/>
              <w:bottom w:val="nil"/>
            </w:tcBorders>
          </w:tcPr>
          <w:p w14:paraId="3C0CA7EE" w14:textId="77777777" w:rsidR="009E18C3" w:rsidRPr="000A7BB0" w:rsidRDefault="009E18C3" w:rsidP="002553CE">
            <w:pPr>
              <w:pStyle w:val="TableFigureFooter"/>
              <w:widowControl/>
              <w:rPr>
                <w:i w:val="0"/>
                <w:sz w:val="20"/>
                <w:lang w:val="en-AU"/>
              </w:rPr>
            </w:pPr>
            <w:r w:rsidRPr="000A7BB0">
              <w:rPr>
                <w:sz w:val="20"/>
                <w:lang w:val="en-AU"/>
              </w:rPr>
              <w:t>J Clin Oncol. 2022 Oct 1;40(28):3246-3256.</w:t>
            </w:r>
          </w:p>
        </w:tc>
      </w:tr>
      <w:tr w:rsidR="009E18C3" w:rsidRPr="000A7BB0" w14:paraId="6A916012" w14:textId="77777777" w:rsidTr="00867197">
        <w:tc>
          <w:tcPr>
            <w:cnfStyle w:val="001000000000" w:firstRow="0" w:lastRow="0" w:firstColumn="1" w:lastColumn="0" w:oddVBand="0" w:evenVBand="0" w:oddHBand="0" w:evenHBand="0" w:firstRowFirstColumn="0" w:firstRowLastColumn="0" w:lastRowFirstColumn="0" w:lastRowLastColumn="0"/>
            <w:tcW w:w="626" w:type="pct"/>
            <w:tcBorders>
              <w:top w:val="nil"/>
              <w:left w:val="single" w:sz="4" w:space="0" w:color="auto"/>
              <w:bottom w:val="nil"/>
              <w:right w:val="single" w:sz="4" w:space="0" w:color="auto"/>
            </w:tcBorders>
          </w:tcPr>
          <w:p w14:paraId="4273F236" w14:textId="77777777" w:rsidR="009E18C3" w:rsidRPr="000A7BB0" w:rsidRDefault="009E18C3" w:rsidP="002553CE">
            <w:pPr>
              <w:pStyle w:val="TableFigureHeading"/>
              <w:widowControl/>
              <w:rPr>
                <w:lang w:val="en-AU"/>
              </w:rPr>
            </w:pPr>
          </w:p>
        </w:tc>
        <w:tc>
          <w:tcPr>
            <w:tcW w:w="3223" w:type="pct"/>
            <w:tcBorders>
              <w:top w:val="nil"/>
              <w:left w:val="single" w:sz="4" w:space="0" w:color="auto"/>
              <w:bottom w:val="nil"/>
              <w:right w:val="single" w:sz="4" w:space="0" w:color="auto"/>
            </w:tcBorders>
          </w:tcPr>
          <w:p w14:paraId="751FC965"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b/>
                <w:bCs/>
                <w:lang w:val="en-AU" w:bidi="en-US"/>
              </w:rPr>
            </w:pPr>
            <w:r w:rsidRPr="000A7BB0">
              <w:rPr>
                <w:b/>
                <w:bCs/>
                <w:lang w:val="en-AU" w:bidi="en-US"/>
              </w:rPr>
              <w:t>Additional publications:</w:t>
            </w:r>
          </w:p>
          <w:p w14:paraId="741EFADE" w14:textId="77777777"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r w:rsidRPr="000A7BB0">
              <w:rPr>
                <w:lang w:val="en-AU" w:bidi="en-US"/>
              </w:rPr>
              <w:t>Anonymous</w:t>
            </w:r>
            <w:r w:rsidR="00616D40" w:rsidRPr="000A7BB0">
              <w:rPr>
                <w:lang w:val="en-AU" w:bidi="en-US"/>
              </w:rPr>
              <w:t xml:space="preserve">, </w:t>
            </w:r>
            <w:r w:rsidRPr="000A7BB0">
              <w:rPr>
                <w:lang w:val="en-AU" w:bidi="en-US"/>
              </w:rPr>
              <w:t>Erratum: Elacestrant (oral selective estrogen receptor degrader) Versus Standard Endocrine Therapy for Estrogen Receptor-Positive, Human Epidermal Growth Factor Receptor 2-Negative Advanced Breast Cancer: Results From the Randomized Phase III EMERALD Trial</w:t>
            </w:r>
          </w:p>
          <w:p w14:paraId="05DE8D2B" w14:textId="4338685B" w:rsidR="009E18C3" w:rsidRPr="000A7BB0" w:rsidRDefault="009E18C3" w:rsidP="002553CE">
            <w:pPr>
              <w:pStyle w:val="TableText"/>
              <w:widowControl/>
              <w:cnfStyle w:val="000000000000" w:firstRow="0" w:lastRow="0" w:firstColumn="0" w:lastColumn="0" w:oddVBand="0" w:evenVBand="0" w:oddHBand="0" w:evenHBand="0" w:firstRowFirstColumn="0" w:firstRowLastColumn="0" w:lastRowFirstColumn="0" w:lastRowLastColumn="0"/>
              <w:rPr>
                <w:lang w:val="en-AU" w:bidi="en-US"/>
              </w:rPr>
            </w:pPr>
          </w:p>
        </w:tc>
        <w:tc>
          <w:tcPr>
            <w:cnfStyle w:val="000100000000" w:firstRow="0" w:lastRow="0" w:firstColumn="0" w:lastColumn="1" w:oddVBand="0" w:evenVBand="0" w:oddHBand="0" w:evenHBand="0" w:firstRowFirstColumn="0" w:firstRowLastColumn="0" w:lastRowFirstColumn="0" w:lastRowLastColumn="0"/>
            <w:tcW w:w="1151" w:type="pct"/>
            <w:tcBorders>
              <w:top w:val="nil"/>
              <w:bottom w:val="nil"/>
            </w:tcBorders>
          </w:tcPr>
          <w:p w14:paraId="45DA4BE4" w14:textId="77777777" w:rsidR="009E18C3" w:rsidRPr="000A7BB0" w:rsidRDefault="009E18C3" w:rsidP="002553CE">
            <w:pPr>
              <w:pStyle w:val="TableFigureFooter"/>
              <w:widowControl/>
              <w:rPr>
                <w:rFonts w:eastAsiaTheme="majorEastAsia" w:cstheme="majorBidi"/>
                <w:i w:val="0"/>
                <w:sz w:val="20"/>
                <w:lang w:val="en-AU" w:bidi="en-US"/>
              </w:rPr>
            </w:pPr>
            <w:r w:rsidRPr="000A7BB0">
              <w:rPr>
                <w:rFonts w:eastAsiaTheme="majorEastAsia" w:cstheme="majorBidi"/>
                <w:sz w:val="20"/>
                <w:lang w:val="en-AU" w:bidi="en-US"/>
              </w:rPr>
              <w:t>J Clin Oncol. 2023 Aug 10;41(23):3962</w:t>
            </w:r>
          </w:p>
          <w:p w14:paraId="629E362E" w14:textId="77777777" w:rsidR="009E18C3" w:rsidRPr="000A7BB0" w:rsidRDefault="009E18C3" w:rsidP="002553CE">
            <w:pPr>
              <w:pStyle w:val="TableFigureFooter"/>
              <w:widowControl/>
              <w:rPr>
                <w:i w:val="0"/>
                <w:sz w:val="20"/>
                <w:lang w:val="en-AU"/>
              </w:rPr>
            </w:pPr>
          </w:p>
        </w:tc>
      </w:tr>
      <w:tr w:rsidR="009E18C3" w:rsidRPr="000A7BB0" w14:paraId="4582784B" w14:textId="77777777" w:rsidTr="0086719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 w:type="pct"/>
            <w:tcBorders>
              <w:top w:val="nil"/>
              <w:left w:val="single" w:sz="4" w:space="0" w:color="auto"/>
              <w:bottom w:val="single" w:sz="4" w:space="0" w:color="auto"/>
              <w:right w:val="single" w:sz="4" w:space="0" w:color="auto"/>
            </w:tcBorders>
          </w:tcPr>
          <w:p w14:paraId="661F78D0" w14:textId="77777777" w:rsidR="009E18C3" w:rsidRPr="000A7BB0" w:rsidRDefault="009E18C3" w:rsidP="002553CE">
            <w:pPr>
              <w:pStyle w:val="TableFigureHeading"/>
              <w:widowControl/>
              <w:rPr>
                <w:lang w:val="en-AU"/>
              </w:rPr>
            </w:pPr>
          </w:p>
        </w:tc>
        <w:tc>
          <w:tcPr>
            <w:tcW w:w="3223" w:type="pct"/>
            <w:tcBorders>
              <w:top w:val="nil"/>
              <w:left w:val="single" w:sz="4" w:space="0" w:color="auto"/>
              <w:bottom w:val="single" w:sz="4" w:space="0" w:color="auto"/>
              <w:right w:val="single" w:sz="4" w:space="0" w:color="auto"/>
            </w:tcBorders>
          </w:tcPr>
          <w:p w14:paraId="7A8BEBE1" w14:textId="7CE8794F" w:rsidR="009E18C3" w:rsidRPr="000A7BB0" w:rsidRDefault="009E18C3" w:rsidP="002553CE">
            <w:pPr>
              <w:pStyle w:val="TableText"/>
              <w:widowControl/>
              <w:cnfStyle w:val="010000000000" w:firstRow="0" w:lastRow="1" w:firstColumn="0" w:lastColumn="0" w:oddVBand="0" w:evenVBand="0" w:oddHBand="0" w:evenHBand="0" w:firstRowFirstColumn="0" w:firstRowLastColumn="0" w:lastRowFirstColumn="0" w:lastRowLastColumn="0"/>
              <w:rPr>
                <w:i w:val="0"/>
                <w:lang w:val="en-AU" w:bidi="en-US"/>
              </w:rPr>
            </w:pPr>
            <w:r w:rsidRPr="000A7BB0">
              <w:rPr>
                <w:i w:val="0"/>
                <w:lang w:val="en-AU" w:bidi="en-US"/>
              </w:rPr>
              <w:t>Bardia, A. et al.</w:t>
            </w:r>
            <w:r w:rsidR="00616D40" w:rsidRPr="000A7BB0">
              <w:rPr>
                <w:i w:val="0"/>
                <w:lang w:val="en-AU" w:bidi="en-US"/>
              </w:rPr>
              <w:t xml:space="preserve"> </w:t>
            </w:r>
            <w:r w:rsidRPr="000A7BB0">
              <w:rPr>
                <w:i w:val="0"/>
                <w:lang w:val="en-AU" w:bidi="en-US"/>
              </w:rPr>
              <w:t xml:space="preserve">Elacestrant in ER+, HER2− Metastatic Breast Cancer with </w:t>
            </w:r>
            <w:r w:rsidRPr="000A7BB0">
              <w:rPr>
                <w:lang w:val="en-AU" w:bidi="en-US"/>
              </w:rPr>
              <w:t>ESR1</w:t>
            </w:r>
            <w:r w:rsidRPr="000A7BB0">
              <w:rPr>
                <w:i w:val="0"/>
                <w:lang w:val="en-AU" w:bidi="en-US"/>
              </w:rPr>
              <w:t>-Mutated Tumours: Subgroup Analyses from the Phase III EMERALD Trial by Prior Duration of Endocrine Therapy plus CDK4/6 Inhibitor and in Clinical Subgroups</w:t>
            </w:r>
          </w:p>
        </w:tc>
        <w:tc>
          <w:tcPr>
            <w:cnfStyle w:val="000100000000" w:firstRow="0" w:lastRow="0" w:firstColumn="0" w:lastColumn="1" w:oddVBand="0" w:evenVBand="0" w:oddHBand="0" w:evenHBand="0" w:firstRowFirstColumn="0" w:firstRowLastColumn="0" w:lastRowFirstColumn="0" w:lastRowLastColumn="0"/>
            <w:tcW w:w="1151" w:type="pct"/>
            <w:tcBorders>
              <w:top w:val="nil"/>
            </w:tcBorders>
          </w:tcPr>
          <w:p w14:paraId="64E52327" w14:textId="77777777" w:rsidR="009E18C3" w:rsidRPr="000A7BB0" w:rsidRDefault="009E18C3" w:rsidP="002553CE">
            <w:pPr>
              <w:pStyle w:val="TableFigureFooter"/>
              <w:widowControl/>
              <w:rPr>
                <w:i w:val="0"/>
                <w:sz w:val="20"/>
                <w:lang w:val="en-AU"/>
              </w:rPr>
            </w:pPr>
            <w:r w:rsidRPr="000A7BB0">
              <w:rPr>
                <w:sz w:val="20"/>
                <w:lang w:val="en-AU"/>
              </w:rPr>
              <w:t>Clin Cancer Res 2024 OF1–OF11</w:t>
            </w:r>
          </w:p>
        </w:tc>
      </w:tr>
    </w:tbl>
    <w:p w14:paraId="394DA904" w14:textId="77777777" w:rsidR="009E18C3" w:rsidRPr="000A7BB0" w:rsidRDefault="009E18C3" w:rsidP="002553CE">
      <w:pPr>
        <w:spacing w:before="0"/>
        <w:contextualSpacing/>
        <w:jc w:val="left"/>
        <w:rPr>
          <w:rFonts w:ascii="Arial Narrow" w:eastAsia="Times New Roman" w:hAnsi="Arial Narrow" w:cs="Times New Roman"/>
          <w:snapToGrid w:val="0"/>
          <w:sz w:val="18"/>
          <w:lang w:eastAsia="en-GB"/>
        </w:rPr>
      </w:pPr>
      <w:r w:rsidRPr="000A7BB0">
        <w:rPr>
          <w:rFonts w:ascii="Arial Narrow" w:eastAsia="Times New Roman" w:hAnsi="Arial Narrow" w:cs="Times New Roman"/>
          <w:snapToGrid w:val="0"/>
          <w:sz w:val="18"/>
          <w:lang w:eastAsia="en-GB"/>
        </w:rPr>
        <w:t>Source: Table 2.55, pp168-169 of the submission</w:t>
      </w:r>
    </w:p>
    <w:p w14:paraId="68A22DD0" w14:textId="3F9F055D" w:rsidR="001D10C7" w:rsidRPr="000A7BB0" w:rsidRDefault="009E18C3" w:rsidP="002553CE">
      <w:pPr>
        <w:spacing w:before="0"/>
        <w:contextualSpacing/>
        <w:jc w:val="left"/>
        <w:rPr>
          <w:rFonts w:ascii="Arial Narrow" w:eastAsia="Times New Roman" w:hAnsi="Arial Narrow" w:cs="Times New Roman"/>
          <w:snapToGrid w:val="0"/>
          <w:sz w:val="18"/>
          <w:lang w:eastAsia="en-GB"/>
        </w:rPr>
      </w:pPr>
      <w:r w:rsidRPr="000A7BB0">
        <w:rPr>
          <w:rFonts w:ascii="Arial Narrow" w:eastAsia="Times New Roman" w:hAnsi="Arial Narrow" w:cs="Times New Roman"/>
          <w:snapToGrid w:val="0"/>
          <w:sz w:val="18"/>
          <w:lang w:eastAsia="en-GB"/>
        </w:rPr>
        <w:t>CDK4/6 = cyclin-dependent kinase 4/6; ER+/HER2- = oestrogen receptor positive, human epidermal growth factor receptor 2 negative</w:t>
      </w:r>
    </w:p>
    <w:p w14:paraId="5938C201" w14:textId="2A7816AD" w:rsidR="009E18C3" w:rsidRPr="000A7BB0" w:rsidRDefault="009E18C3" w:rsidP="002553CE">
      <w:pPr>
        <w:keepNext/>
        <w:tabs>
          <w:tab w:val="left" w:pos="1418"/>
        </w:tabs>
        <w:spacing w:before="240" w:after="0" w:line="259" w:lineRule="auto"/>
        <w:ind w:left="1418" w:hanging="1418"/>
        <w:contextualSpacing/>
        <w:jc w:val="left"/>
        <w:rPr>
          <w:rFonts w:ascii="Arial Narrow" w:hAnsi="Arial Narrow"/>
          <w:b/>
          <w:iCs/>
          <w:sz w:val="20"/>
          <w:szCs w:val="18"/>
        </w:rPr>
      </w:pPr>
      <w:bookmarkStart w:id="22" w:name="_Ref184474277"/>
      <w:r w:rsidRPr="000A7BB0">
        <w:rPr>
          <w:rFonts w:ascii="Arial Narrow" w:hAnsi="Arial Narrow"/>
          <w:b/>
          <w:iCs/>
          <w:sz w:val="20"/>
          <w:szCs w:val="18"/>
        </w:rPr>
        <w:lastRenderedPageBreak/>
        <w:t xml:space="preserve">Table </w:t>
      </w:r>
      <w:r w:rsidRPr="000A7BB0">
        <w:rPr>
          <w:rFonts w:ascii="Arial Narrow" w:hAnsi="Arial Narrow"/>
          <w:b/>
          <w:iCs/>
          <w:sz w:val="20"/>
          <w:szCs w:val="18"/>
        </w:rPr>
        <w:fldChar w:fldCharType="begin"/>
      </w:r>
      <w:r w:rsidRPr="000A7BB0">
        <w:rPr>
          <w:rFonts w:ascii="Arial Narrow" w:hAnsi="Arial Narrow"/>
          <w:b/>
          <w:iCs/>
          <w:sz w:val="20"/>
          <w:szCs w:val="18"/>
        </w:rPr>
        <w:instrText xml:space="preserve"> SEQ Table_PBAC. \* ARABIC </w:instrText>
      </w:r>
      <w:r w:rsidRPr="000A7BB0">
        <w:rPr>
          <w:rFonts w:ascii="Arial Narrow" w:hAnsi="Arial Narrow"/>
          <w:b/>
          <w:iCs/>
          <w:sz w:val="20"/>
          <w:szCs w:val="18"/>
        </w:rPr>
        <w:fldChar w:fldCharType="separate"/>
      </w:r>
      <w:r w:rsidR="004F224A">
        <w:rPr>
          <w:rFonts w:ascii="Arial Narrow" w:hAnsi="Arial Narrow"/>
          <w:b/>
          <w:iCs/>
          <w:noProof/>
          <w:sz w:val="20"/>
          <w:szCs w:val="18"/>
        </w:rPr>
        <w:t>4</w:t>
      </w:r>
      <w:r w:rsidRPr="000A7BB0">
        <w:rPr>
          <w:rFonts w:ascii="Arial Narrow" w:hAnsi="Arial Narrow"/>
          <w:b/>
          <w:iCs/>
          <w:sz w:val="20"/>
          <w:szCs w:val="18"/>
        </w:rPr>
        <w:fldChar w:fldCharType="end"/>
      </w:r>
      <w:bookmarkEnd w:id="22"/>
      <w:r w:rsidRPr="000A7BB0">
        <w:rPr>
          <w:rFonts w:ascii="Arial Narrow" w:hAnsi="Arial Narrow"/>
          <w:b/>
          <w:iCs/>
          <w:sz w:val="20"/>
          <w:szCs w:val="18"/>
        </w:rPr>
        <w:t xml:space="preserve">: Key features of the included evidence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
      </w:tblPr>
      <w:tblGrid>
        <w:gridCol w:w="676"/>
        <w:gridCol w:w="330"/>
        <w:gridCol w:w="2255"/>
        <w:gridCol w:w="3085"/>
        <w:gridCol w:w="1340"/>
        <w:gridCol w:w="1330"/>
      </w:tblGrid>
      <w:tr w:rsidR="009E18C3" w:rsidRPr="000A7BB0" w14:paraId="3A2CBE85" w14:textId="77777777" w:rsidTr="74877A7E">
        <w:tc>
          <w:tcPr>
            <w:tcW w:w="0" w:type="auto"/>
            <w:tcBorders>
              <w:top w:val="single" w:sz="4" w:space="0" w:color="auto"/>
              <w:left w:val="single" w:sz="4" w:space="0" w:color="auto"/>
              <w:bottom w:val="single" w:sz="4" w:space="0" w:color="auto"/>
              <w:right w:val="single" w:sz="4" w:space="0" w:color="auto"/>
            </w:tcBorders>
            <w:hideMark/>
          </w:tcPr>
          <w:p w14:paraId="7177769A" w14:textId="77777777" w:rsidR="009E18C3" w:rsidRPr="000A7BB0" w:rsidRDefault="009E18C3" w:rsidP="002553CE">
            <w:pPr>
              <w:keepNext/>
              <w:spacing w:before="0" w:after="0"/>
              <w:jc w:val="left"/>
              <w:rPr>
                <w:rFonts w:ascii="Arial Narrow" w:hAnsi="Arial Narrow"/>
                <w:b/>
                <w:sz w:val="20"/>
              </w:rPr>
            </w:pPr>
            <w:r w:rsidRPr="000A7BB0">
              <w:rPr>
                <w:rFonts w:ascii="Arial Narrow" w:hAnsi="Arial Narrow"/>
                <w:b/>
                <w:sz w:val="20"/>
              </w:rPr>
              <w:t>Trial</w:t>
            </w:r>
          </w:p>
        </w:tc>
        <w:tc>
          <w:tcPr>
            <w:tcW w:w="0" w:type="auto"/>
            <w:tcBorders>
              <w:top w:val="single" w:sz="4" w:space="0" w:color="auto"/>
              <w:left w:val="single" w:sz="4" w:space="0" w:color="auto"/>
              <w:bottom w:val="single" w:sz="4" w:space="0" w:color="auto"/>
              <w:right w:val="single" w:sz="4" w:space="0" w:color="auto"/>
            </w:tcBorders>
            <w:hideMark/>
          </w:tcPr>
          <w:p w14:paraId="0F0DF4C6" w14:textId="77777777" w:rsidR="009E18C3" w:rsidRPr="000A7BB0" w:rsidRDefault="009E18C3" w:rsidP="002553CE">
            <w:pPr>
              <w:keepNext/>
              <w:spacing w:before="0" w:after="0"/>
              <w:jc w:val="left"/>
              <w:rPr>
                <w:rFonts w:ascii="Arial Narrow" w:hAnsi="Arial Narrow"/>
                <w:b/>
                <w:sz w:val="20"/>
              </w:rPr>
            </w:pPr>
            <w:r w:rsidRPr="000A7BB0">
              <w:rPr>
                <w:rFonts w:ascii="Arial Narrow" w:hAnsi="Arial Narrow"/>
                <w:b/>
                <w:sz w:val="20"/>
              </w:rPr>
              <w:t>N</w:t>
            </w:r>
          </w:p>
        </w:tc>
        <w:tc>
          <w:tcPr>
            <w:tcW w:w="0" w:type="auto"/>
            <w:tcBorders>
              <w:top w:val="single" w:sz="4" w:space="0" w:color="auto"/>
              <w:left w:val="single" w:sz="4" w:space="0" w:color="auto"/>
              <w:bottom w:val="single" w:sz="4" w:space="0" w:color="auto"/>
              <w:right w:val="single" w:sz="4" w:space="0" w:color="auto"/>
            </w:tcBorders>
            <w:hideMark/>
          </w:tcPr>
          <w:p w14:paraId="2574091A" w14:textId="77777777" w:rsidR="009E18C3" w:rsidRPr="000A7BB0" w:rsidRDefault="009E18C3" w:rsidP="002553CE">
            <w:pPr>
              <w:keepNext/>
              <w:spacing w:before="0" w:after="0"/>
              <w:jc w:val="left"/>
              <w:rPr>
                <w:rFonts w:ascii="Arial Narrow" w:hAnsi="Arial Narrow"/>
                <w:b/>
                <w:sz w:val="20"/>
              </w:rPr>
            </w:pPr>
            <w:r w:rsidRPr="000A7BB0">
              <w:rPr>
                <w:rFonts w:ascii="Arial Narrow" w:hAnsi="Arial Narrow"/>
                <w:b/>
                <w:sz w:val="20"/>
              </w:rPr>
              <w:t>Design/ duration</w:t>
            </w:r>
          </w:p>
        </w:tc>
        <w:tc>
          <w:tcPr>
            <w:tcW w:w="0" w:type="auto"/>
            <w:tcBorders>
              <w:top w:val="single" w:sz="4" w:space="0" w:color="auto"/>
              <w:left w:val="single" w:sz="4" w:space="0" w:color="auto"/>
              <w:bottom w:val="single" w:sz="4" w:space="0" w:color="auto"/>
              <w:right w:val="single" w:sz="4" w:space="0" w:color="auto"/>
            </w:tcBorders>
            <w:hideMark/>
          </w:tcPr>
          <w:p w14:paraId="6F8DF49F" w14:textId="77777777" w:rsidR="009E18C3" w:rsidRPr="000A7BB0" w:rsidRDefault="009E18C3" w:rsidP="002553CE">
            <w:pPr>
              <w:keepNext/>
              <w:spacing w:before="0" w:after="0"/>
              <w:jc w:val="left"/>
              <w:rPr>
                <w:rFonts w:ascii="Arial Narrow" w:hAnsi="Arial Narrow"/>
                <w:b/>
                <w:sz w:val="20"/>
              </w:rPr>
            </w:pPr>
            <w:r w:rsidRPr="000A7BB0">
              <w:rPr>
                <w:rFonts w:ascii="Arial Narrow" w:hAnsi="Arial Narrow"/>
                <w:b/>
                <w:sz w:val="20"/>
              </w:rPr>
              <w:t>Patient population</w:t>
            </w:r>
          </w:p>
        </w:tc>
        <w:tc>
          <w:tcPr>
            <w:tcW w:w="0" w:type="auto"/>
            <w:tcBorders>
              <w:top w:val="single" w:sz="4" w:space="0" w:color="auto"/>
              <w:left w:val="single" w:sz="4" w:space="0" w:color="auto"/>
              <w:bottom w:val="single" w:sz="4" w:space="0" w:color="auto"/>
              <w:right w:val="single" w:sz="4" w:space="0" w:color="auto"/>
            </w:tcBorders>
            <w:hideMark/>
          </w:tcPr>
          <w:p w14:paraId="33EE7139" w14:textId="77777777" w:rsidR="009E18C3" w:rsidRPr="000A7BB0" w:rsidRDefault="009E18C3" w:rsidP="002553CE">
            <w:pPr>
              <w:keepNext/>
              <w:spacing w:before="0" w:after="0"/>
              <w:jc w:val="left"/>
              <w:rPr>
                <w:rFonts w:ascii="Arial Narrow" w:hAnsi="Arial Narrow"/>
                <w:b/>
                <w:sz w:val="20"/>
              </w:rPr>
            </w:pPr>
            <w:r w:rsidRPr="000A7BB0">
              <w:rPr>
                <w:rFonts w:ascii="Arial Narrow" w:hAnsi="Arial Narrow"/>
                <w:b/>
                <w:sz w:val="20"/>
              </w:rPr>
              <w:t>Outcome(s)</w:t>
            </w:r>
          </w:p>
        </w:tc>
        <w:tc>
          <w:tcPr>
            <w:tcW w:w="0" w:type="auto"/>
            <w:tcBorders>
              <w:top w:val="single" w:sz="4" w:space="0" w:color="auto"/>
              <w:left w:val="single" w:sz="4" w:space="0" w:color="auto"/>
              <w:bottom w:val="single" w:sz="4" w:space="0" w:color="auto"/>
              <w:right w:val="single" w:sz="4" w:space="0" w:color="auto"/>
            </w:tcBorders>
            <w:hideMark/>
          </w:tcPr>
          <w:p w14:paraId="5D7A5C1D" w14:textId="77777777" w:rsidR="009E18C3" w:rsidRPr="000A7BB0" w:rsidRDefault="009E18C3" w:rsidP="002553CE">
            <w:pPr>
              <w:keepNext/>
              <w:spacing w:before="0" w:after="0"/>
              <w:jc w:val="left"/>
              <w:rPr>
                <w:rFonts w:ascii="Arial Narrow" w:hAnsi="Arial Narrow"/>
                <w:b/>
                <w:sz w:val="20"/>
              </w:rPr>
            </w:pPr>
            <w:r w:rsidRPr="000A7BB0">
              <w:rPr>
                <w:rFonts w:ascii="Arial Narrow" w:hAnsi="Arial Narrow"/>
                <w:b/>
                <w:sz w:val="20"/>
              </w:rPr>
              <w:t>Use in modelled evaluation</w:t>
            </w:r>
          </w:p>
        </w:tc>
      </w:tr>
      <w:tr w:rsidR="009E18C3" w:rsidRPr="000A7BB0" w14:paraId="49693958" w14:textId="77777777" w:rsidTr="74877A7E">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6195C310" w14:textId="73E6E234" w:rsidR="009E18C3" w:rsidRPr="000A7BB0" w:rsidRDefault="009E18C3" w:rsidP="002553CE">
            <w:pPr>
              <w:keepNext/>
              <w:spacing w:before="0" w:after="0"/>
              <w:jc w:val="left"/>
              <w:rPr>
                <w:rFonts w:ascii="Arial Narrow" w:hAnsi="Arial Narrow"/>
                <w:sz w:val="20"/>
                <w:szCs w:val="20"/>
              </w:rPr>
            </w:pPr>
            <w:r w:rsidRPr="000A7BB0">
              <w:rPr>
                <w:rFonts w:ascii="Arial Narrow" w:hAnsi="Arial Narrow"/>
                <w:sz w:val="20"/>
                <w:szCs w:val="20"/>
              </w:rPr>
              <w:t xml:space="preserve">Elacestrant vs SOC (in both </w:t>
            </w:r>
            <w:r w:rsidR="005776FC" w:rsidRPr="000A7BB0">
              <w:rPr>
                <w:rFonts w:ascii="Arial Narrow" w:hAnsi="Arial Narrow"/>
                <w:sz w:val="20"/>
                <w:szCs w:val="20"/>
              </w:rPr>
              <w:t xml:space="preserve">with and without </w:t>
            </w:r>
            <w:r w:rsidRPr="000A7BB0">
              <w:rPr>
                <w:rFonts w:ascii="Arial Narrow" w:hAnsi="Arial Narrow"/>
                <w:i/>
                <w:iCs/>
                <w:sz w:val="20"/>
                <w:szCs w:val="20"/>
              </w:rPr>
              <w:t xml:space="preserve">ESR1 </w:t>
            </w:r>
            <w:r w:rsidRPr="000A7BB0">
              <w:rPr>
                <w:rFonts w:ascii="Arial Narrow" w:hAnsi="Arial Narrow"/>
                <w:sz w:val="20"/>
                <w:szCs w:val="20"/>
              </w:rPr>
              <w:t>variant patients)</w:t>
            </w:r>
          </w:p>
        </w:tc>
      </w:tr>
      <w:tr w:rsidR="009E18C3" w:rsidRPr="000A7BB0" w14:paraId="6D5187D8" w14:textId="77777777" w:rsidTr="74877A7E">
        <w:tc>
          <w:tcPr>
            <w:tcW w:w="0" w:type="auto"/>
            <w:tcBorders>
              <w:top w:val="single" w:sz="4" w:space="0" w:color="auto"/>
              <w:left w:val="single" w:sz="4" w:space="0" w:color="auto"/>
              <w:bottom w:val="single" w:sz="4" w:space="0" w:color="auto"/>
              <w:right w:val="single" w:sz="4" w:space="0" w:color="auto"/>
            </w:tcBorders>
            <w:vAlign w:val="center"/>
            <w:hideMark/>
          </w:tcPr>
          <w:p w14:paraId="64C9BA76" w14:textId="77777777" w:rsidR="009E18C3" w:rsidRPr="000A7BB0" w:rsidRDefault="009E18C3" w:rsidP="002553CE">
            <w:pPr>
              <w:keepNext/>
              <w:spacing w:before="0" w:after="0"/>
              <w:jc w:val="left"/>
              <w:rPr>
                <w:rFonts w:ascii="Arial Narrow" w:hAnsi="Arial Narrow"/>
                <w:sz w:val="20"/>
              </w:rPr>
            </w:pPr>
            <w:r w:rsidRPr="000A7BB0">
              <w:rPr>
                <w:rFonts w:ascii="Arial Narrow" w:hAnsi="Arial Narrow"/>
                <w:sz w:val="20"/>
              </w:rPr>
              <w:t>Bidard 2022</w:t>
            </w:r>
          </w:p>
        </w:tc>
        <w:tc>
          <w:tcPr>
            <w:tcW w:w="0" w:type="auto"/>
            <w:tcBorders>
              <w:top w:val="single" w:sz="4" w:space="0" w:color="auto"/>
              <w:left w:val="single" w:sz="4" w:space="0" w:color="auto"/>
              <w:bottom w:val="single" w:sz="4" w:space="0" w:color="auto"/>
              <w:right w:val="single" w:sz="4" w:space="0" w:color="auto"/>
            </w:tcBorders>
            <w:vAlign w:val="center"/>
            <w:hideMark/>
          </w:tcPr>
          <w:p w14:paraId="2A032460" w14:textId="77777777" w:rsidR="009E18C3" w:rsidRPr="000A7BB0" w:rsidRDefault="009E18C3" w:rsidP="002553CE">
            <w:pPr>
              <w:keepNext/>
              <w:spacing w:before="0" w:after="0"/>
              <w:jc w:val="left"/>
              <w:rPr>
                <w:rFonts w:ascii="Arial Narrow" w:hAnsi="Arial Narrow"/>
                <w:sz w:val="20"/>
              </w:rPr>
            </w:pPr>
            <w:r w:rsidRPr="000A7BB0">
              <w:rPr>
                <w:rFonts w:ascii="Arial Narrow" w:hAnsi="Arial Narrow"/>
                <w:sz w:val="20"/>
              </w:rPr>
              <w:t>478</w:t>
            </w:r>
          </w:p>
        </w:tc>
        <w:tc>
          <w:tcPr>
            <w:tcW w:w="0" w:type="auto"/>
            <w:tcBorders>
              <w:top w:val="single" w:sz="4" w:space="0" w:color="auto"/>
              <w:left w:val="single" w:sz="4" w:space="0" w:color="auto"/>
              <w:bottom w:val="single" w:sz="4" w:space="0" w:color="auto"/>
              <w:right w:val="single" w:sz="4" w:space="0" w:color="auto"/>
            </w:tcBorders>
            <w:vAlign w:val="center"/>
            <w:hideMark/>
          </w:tcPr>
          <w:p w14:paraId="559732BE" w14:textId="77777777" w:rsidR="009E18C3" w:rsidRPr="000A7BB0" w:rsidRDefault="009E18C3" w:rsidP="002553CE">
            <w:pPr>
              <w:keepNext/>
              <w:spacing w:before="0" w:after="0" w:line="254" w:lineRule="auto"/>
              <w:jc w:val="left"/>
              <w:rPr>
                <w:rFonts w:ascii="Arial Narrow" w:hAnsi="Arial Narrow"/>
                <w:sz w:val="20"/>
              </w:rPr>
            </w:pPr>
            <w:r w:rsidRPr="000A7BB0">
              <w:rPr>
                <w:rFonts w:ascii="Arial Narrow" w:hAnsi="Arial Narrow"/>
                <w:sz w:val="20"/>
              </w:rPr>
              <w:t>R, DB, MC</w:t>
            </w:r>
          </w:p>
          <w:p w14:paraId="248281E2" w14:textId="3965873E" w:rsidR="009E18C3" w:rsidRPr="000A7BB0" w:rsidRDefault="009E18C3" w:rsidP="002553CE">
            <w:pPr>
              <w:keepNext/>
              <w:spacing w:before="0" w:after="0"/>
              <w:jc w:val="left"/>
              <w:rPr>
                <w:rFonts w:ascii="Arial Narrow" w:hAnsi="Arial Narrow"/>
                <w:sz w:val="20"/>
              </w:rPr>
            </w:pPr>
            <w:r w:rsidRPr="000A7BB0">
              <w:rPr>
                <w:rFonts w:ascii="Arial Narrow" w:hAnsi="Arial Narrow"/>
                <w:sz w:val="20"/>
              </w:rPr>
              <w:t>median duration follow-up 15.9 months for PFS (26.0 months for OS)</w:t>
            </w:r>
          </w:p>
        </w:tc>
        <w:tc>
          <w:tcPr>
            <w:tcW w:w="0" w:type="auto"/>
            <w:tcBorders>
              <w:top w:val="single" w:sz="4" w:space="0" w:color="auto"/>
              <w:left w:val="single" w:sz="4" w:space="0" w:color="auto"/>
              <w:bottom w:val="single" w:sz="4" w:space="0" w:color="auto"/>
              <w:right w:val="single" w:sz="4" w:space="0" w:color="auto"/>
            </w:tcBorders>
            <w:vAlign w:val="center"/>
            <w:hideMark/>
          </w:tcPr>
          <w:p w14:paraId="3DBD934B" w14:textId="519F4B50" w:rsidR="009E18C3" w:rsidRPr="000A7BB0" w:rsidRDefault="009E18C3" w:rsidP="002553CE">
            <w:pPr>
              <w:keepNext/>
              <w:spacing w:before="0" w:after="0"/>
              <w:jc w:val="left"/>
              <w:rPr>
                <w:rFonts w:ascii="Arial Narrow" w:hAnsi="Arial Narrow"/>
                <w:sz w:val="20"/>
                <w:szCs w:val="20"/>
              </w:rPr>
            </w:pPr>
            <w:r w:rsidRPr="000A7BB0">
              <w:rPr>
                <w:rFonts w:ascii="Arial Narrow" w:hAnsi="Arial Narrow"/>
                <w:sz w:val="20"/>
                <w:szCs w:val="20"/>
              </w:rPr>
              <w:t>ER+/HER2- mBC with disease progression following at least one line of ET, including a CDK4/6i</w:t>
            </w:r>
          </w:p>
        </w:tc>
        <w:tc>
          <w:tcPr>
            <w:tcW w:w="0" w:type="auto"/>
            <w:tcBorders>
              <w:top w:val="single" w:sz="4" w:space="0" w:color="auto"/>
              <w:left w:val="single" w:sz="4" w:space="0" w:color="auto"/>
              <w:bottom w:val="single" w:sz="4" w:space="0" w:color="auto"/>
              <w:right w:val="single" w:sz="4" w:space="0" w:color="auto"/>
            </w:tcBorders>
            <w:vAlign w:val="center"/>
            <w:hideMark/>
          </w:tcPr>
          <w:p w14:paraId="2CC87612" w14:textId="7FA1212C" w:rsidR="009E18C3" w:rsidRPr="000A7BB0" w:rsidRDefault="009E18C3" w:rsidP="002553CE">
            <w:pPr>
              <w:keepNext/>
              <w:spacing w:before="0" w:after="0"/>
              <w:jc w:val="left"/>
              <w:rPr>
                <w:rFonts w:ascii="Arial Narrow" w:hAnsi="Arial Narrow"/>
                <w:sz w:val="20"/>
                <w:szCs w:val="20"/>
              </w:rPr>
            </w:pPr>
            <w:r w:rsidRPr="000A7BB0">
              <w:rPr>
                <w:rFonts w:ascii="Arial Narrow" w:hAnsi="Arial Narrow"/>
                <w:sz w:val="20"/>
                <w:szCs w:val="20"/>
              </w:rPr>
              <w:t>PFS, OS, ORR, DoR, CBR</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65181" w14:textId="77777777" w:rsidR="009E18C3" w:rsidRPr="000A7BB0" w:rsidRDefault="009E18C3" w:rsidP="002553CE">
            <w:pPr>
              <w:keepNext/>
              <w:spacing w:before="0" w:after="0"/>
              <w:jc w:val="left"/>
              <w:rPr>
                <w:rFonts w:ascii="Arial Narrow" w:hAnsi="Arial Narrow"/>
                <w:sz w:val="20"/>
              </w:rPr>
            </w:pPr>
            <w:r w:rsidRPr="000A7BB0">
              <w:rPr>
                <w:rFonts w:ascii="Arial Narrow" w:hAnsi="Arial Narrow"/>
                <w:sz w:val="20"/>
              </w:rPr>
              <w:t>PFS, OS, TTD, TCD</w:t>
            </w:r>
          </w:p>
        </w:tc>
      </w:tr>
    </w:tbl>
    <w:p w14:paraId="6BD55C55" w14:textId="77777777" w:rsidR="009E18C3" w:rsidRPr="000A7BB0" w:rsidRDefault="009E18C3" w:rsidP="002553CE">
      <w:pPr>
        <w:keepNext/>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Source: Compiled during the evaluation using information from Section 2B.4 of the submission.</w:t>
      </w:r>
    </w:p>
    <w:p w14:paraId="32337D52" w14:textId="0D41452F" w:rsidR="00025268" w:rsidRDefault="009E18C3" w:rsidP="002553CE">
      <w:pPr>
        <w:spacing w:before="0" w:after="0"/>
        <w:contextualSpacing/>
        <w:rPr>
          <w:rFonts w:ascii="Arial Narrow" w:eastAsia="Times New Roman" w:hAnsi="Arial Narrow" w:cs="Arial"/>
          <w:snapToGrid w:val="0"/>
          <w:sz w:val="18"/>
          <w:szCs w:val="18"/>
        </w:rPr>
      </w:pPr>
      <w:r w:rsidRPr="000A7BB0">
        <w:rPr>
          <w:rFonts w:ascii="Arial Narrow" w:eastAsia="Times New Roman" w:hAnsi="Arial Narrow" w:cs="Arial"/>
          <w:snapToGrid w:val="0"/>
          <w:sz w:val="18"/>
          <w:szCs w:val="18"/>
        </w:rPr>
        <w:t xml:space="preserve">CBR = clinical benefit rate; CDK4/6i = cyclin-dependent kinase 4/6 inhibitor; DB=double blind; DoR = duration of response; ER+/HER2-mBC = oestrogen receptor positive/ human epidermal growth factor receptor 2 negative metastatic breast cancer; </w:t>
      </w:r>
      <w:r w:rsidRPr="000A7BB0">
        <w:rPr>
          <w:rFonts w:ascii="Arial Narrow" w:eastAsia="Times New Roman" w:hAnsi="Arial Narrow" w:cs="Arial"/>
          <w:i/>
          <w:iCs/>
          <w:snapToGrid w:val="0"/>
          <w:sz w:val="18"/>
          <w:szCs w:val="18"/>
        </w:rPr>
        <w:t xml:space="preserve">ESR1 </w:t>
      </w:r>
      <w:r w:rsidRPr="000A7BB0">
        <w:rPr>
          <w:rFonts w:ascii="Arial Narrow" w:eastAsia="Times New Roman" w:hAnsi="Arial Narrow" w:cs="Arial"/>
          <w:snapToGrid w:val="0"/>
          <w:sz w:val="18"/>
          <w:szCs w:val="18"/>
        </w:rPr>
        <w:t>= estrogen receptor 1; ET = endocrine therapy; MC=multi-centre; OS = overall survival; ORR = objective response rate; PFS=progression-free survival; R=randomised; SOC = standard of care; TCD = time to chemotherapy or death; TTD = time to treatment discontinuation</w:t>
      </w:r>
    </w:p>
    <w:p w14:paraId="1268A564" w14:textId="77777777" w:rsidR="005B3285" w:rsidRPr="000A7BB0" w:rsidRDefault="005B3285" w:rsidP="002553CE">
      <w:pPr>
        <w:pStyle w:val="PBACESHeading2"/>
        <w:spacing w:before="120"/>
        <w:rPr>
          <w:rFonts w:asciiTheme="minorHAnsi" w:hAnsiTheme="minorHAnsi" w:cstheme="minorHAnsi"/>
        </w:rPr>
      </w:pPr>
      <w:bookmarkStart w:id="23" w:name="_Toc177560728"/>
      <w:bookmarkStart w:id="24" w:name="_Toc188374360"/>
      <w:r w:rsidRPr="000A7BB0">
        <w:rPr>
          <w:rFonts w:asciiTheme="minorHAnsi" w:hAnsiTheme="minorHAnsi" w:cstheme="minorHAnsi"/>
        </w:rPr>
        <w:t>Comparative effectiveness</w:t>
      </w:r>
      <w:bookmarkEnd w:id="23"/>
      <w:bookmarkEnd w:id="24"/>
    </w:p>
    <w:p w14:paraId="7FAE0DA7" w14:textId="2E1167D1" w:rsidR="00615000" w:rsidRPr="000A7BB0" w:rsidRDefault="00615000" w:rsidP="002553CE">
      <w:pPr>
        <w:numPr>
          <w:ilvl w:val="4"/>
          <w:numId w:val="11"/>
        </w:numPr>
        <w:ind w:left="709" w:hanging="709"/>
        <w:rPr>
          <w:color w:val="000000" w:themeColor="text1"/>
        </w:rPr>
      </w:pPr>
      <w:r w:rsidRPr="000A7BB0">
        <w:rPr>
          <w:color w:val="000000" w:themeColor="text1"/>
        </w:rPr>
        <w:t xml:space="preserve">A summary of the PFS and OS results from EMERALD comparing the whole trial population and those with and without the </w:t>
      </w:r>
      <w:r w:rsidRPr="000A7BB0">
        <w:rPr>
          <w:i/>
          <w:iCs/>
          <w:color w:val="000000" w:themeColor="text1"/>
        </w:rPr>
        <w:t>ESR1</w:t>
      </w:r>
      <w:r w:rsidRPr="000A7BB0">
        <w:rPr>
          <w:color w:val="000000" w:themeColor="text1"/>
        </w:rPr>
        <w:t xml:space="preserve"> variant is presented in </w:t>
      </w:r>
      <w:r w:rsidRPr="000A7BB0">
        <w:rPr>
          <w:color w:val="000000" w:themeColor="text1"/>
        </w:rPr>
        <w:fldChar w:fldCharType="begin"/>
      </w:r>
      <w:r w:rsidRPr="000A7BB0">
        <w:rPr>
          <w:color w:val="000000" w:themeColor="text1"/>
        </w:rPr>
        <w:instrText xml:space="preserve"> REF _Ref187418392 \h </w:instrText>
      </w:r>
      <w:r w:rsidR="00FD1930" w:rsidRPr="000A7BB0">
        <w:rPr>
          <w:color w:val="000000" w:themeColor="text1"/>
        </w:rPr>
        <w:instrText xml:space="preserve">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5</w:t>
      </w:r>
      <w:r w:rsidRPr="000A7BB0">
        <w:rPr>
          <w:color w:val="000000" w:themeColor="text1"/>
        </w:rPr>
        <w:fldChar w:fldCharType="end"/>
      </w:r>
      <w:r w:rsidRPr="000A7BB0">
        <w:rPr>
          <w:color w:val="000000" w:themeColor="text1"/>
        </w:rPr>
        <w:t>.</w:t>
      </w:r>
    </w:p>
    <w:p w14:paraId="12496818" w14:textId="76A8F0DE" w:rsidR="00615000" w:rsidRPr="000A7BB0" w:rsidRDefault="00615000" w:rsidP="002553CE">
      <w:pPr>
        <w:pStyle w:val="Caption"/>
      </w:pPr>
      <w:bookmarkStart w:id="25" w:name="_Ref187418392"/>
      <w:r w:rsidRPr="000A7BB0">
        <w:rPr>
          <w:bCs/>
        </w:rPr>
        <w:t xml:space="preserve">Table </w:t>
      </w:r>
      <w:r w:rsidRPr="000A7BB0">
        <w:rPr>
          <w:bCs/>
        </w:rPr>
        <w:fldChar w:fldCharType="begin"/>
      </w:r>
      <w:r w:rsidRPr="000A7BB0">
        <w:rPr>
          <w:bCs/>
        </w:rPr>
        <w:instrText xml:space="preserve"> SEQ Table_PBAC. \* ARABIC </w:instrText>
      </w:r>
      <w:r w:rsidRPr="000A7BB0">
        <w:rPr>
          <w:bCs/>
        </w:rPr>
        <w:fldChar w:fldCharType="separate"/>
      </w:r>
      <w:r w:rsidR="004F224A">
        <w:rPr>
          <w:bCs/>
          <w:noProof/>
        </w:rPr>
        <w:t>5</w:t>
      </w:r>
      <w:r w:rsidRPr="000A7BB0">
        <w:rPr>
          <w:bCs/>
        </w:rPr>
        <w:fldChar w:fldCharType="end"/>
      </w:r>
      <w:bookmarkEnd w:id="25"/>
      <w:r w:rsidRPr="000A7BB0">
        <w:rPr>
          <w:bCs/>
        </w:rPr>
        <w:t>:</w:t>
      </w:r>
      <w:r w:rsidRPr="000A7BB0">
        <w:t xml:space="preserve"> Results of PFS and OS in EMERALD comparing </w:t>
      </w:r>
      <w:r w:rsidRPr="000A7BB0">
        <w:rPr>
          <w:rFonts w:eastAsiaTheme="majorEastAsia" w:cstheme="majorBidi"/>
          <w:bCs/>
          <w:szCs w:val="24"/>
          <w:lang w:eastAsia="en-AU"/>
        </w:rPr>
        <w:t xml:space="preserve">whole of trial population and those </w:t>
      </w:r>
      <w:r w:rsidRPr="000A7BB0">
        <w:t>with and without ESR1 variant subgroup populations (BIRC, ITT)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Caption w:val="Table 5: Results of PFS and OS in EMERALD comparing whole of trial population and those with and without ESR1 variant subgroup populations (BIRC, ITT)"/>
      </w:tblPr>
      <w:tblGrid>
        <w:gridCol w:w="1413"/>
        <w:gridCol w:w="1359"/>
        <w:gridCol w:w="1484"/>
        <w:gridCol w:w="1484"/>
        <w:gridCol w:w="1485"/>
        <w:gridCol w:w="1791"/>
      </w:tblGrid>
      <w:tr w:rsidR="00615000" w:rsidRPr="000A7BB0" w14:paraId="1E7F221C" w14:textId="77777777" w:rsidTr="74877A7E">
        <w:trPr>
          <w:trHeight w:val="20"/>
          <w:tblHeader/>
        </w:trPr>
        <w:tc>
          <w:tcPr>
            <w:tcW w:w="1413" w:type="dxa"/>
            <w:vMerge w:val="restart"/>
            <w:vAlign w:val="center"/>
          </w:tcPr>
          <w:p w14:paraId="252B0E6D" w14:textId="77777777" w:rsidR="00615000" w:rsidRPr="000A7BB0" w:rsidRDefault="00615000" w:rsidP="002553CE">
            <w:pPr>
              <w:keepNext/>
              <w:keepLines/>
              <w:spacing w:before="0" w:after="0"/>
              <w:jc w:val="left"/>
              <w:rPr>
                <w:rFonts w:ascii="Arial Narrow" w:hAnsi="Arial Narrow"/>
                <w:b/>
                <w:bCs/>
                <w:sz w:val="20"/>
              </w:rPr>
            </w:pPr>
            <w:r w:rsidRPr="000A7BB0">
              <w:rPr>
                <w:rFonts w:ascii="Arial Narrow" w:hAnsi="Arial Narrow"/>
                <w:b/>
                <w:bCs/>
                <w:sz w:val="20"/>
              </w:rPr>
              <w:t>Population</w:t>
            </w:r>
          </w:p>
        </w:tc>
        <w:tc>
          <w:tcPr>
            <w:tcW w:w="2843" w:type="dxa"/>
            <w:gridSpan w:val="2"/>
            <w:vAlign w:val="center"/>
            <w:hideMark/>
          </w:tcPr>
          <w:p w14:paraId="7FD53DCA" w14:textId="765B63A5" w:rsidR="00615000" w:rsidRPr="000A7BB0" w:rsidRDefault="6D9B006F" w:rsidP="002553CE">
            <w:pPr>
              <w:keepNext/>
              <w:keepLines/>
              <w:spacing w:before="0" w:after="0"/>
              <w:jc w:val="center"/>
              <w:rPr>
                <w:rFonts w:ascii="Arial Narrow" w:hAnsi="Arial Narrow"/>
                <w:b/>
                <w:bCs/>
                <w:sz w:val="20"/>
                <w:szCs w:val="20"/>
              </w:rPr>
            </w:pPr>
            <w:r w:rsidRPr="000A7BB0">
              <w:rPr>
                <w:rFonts w:ascii="Arial Narrow" w:hAnsi="Arial Narrow"/>
                <w:b/>
                <w:bCs/>
                <w:sz w:val="20"/>
                <w:szCs w:val="20"/>
              </w:rPr>
              <w:t>Elacestrant</w:t>
            </w:r>
          </w:p>
        </w:tc>
        <w:tc>
          <w:tcPr>
            <w:tcW w:w="2969" w:type="dxa"/>
            <w:gridSpan w:val="2"/>
            <w:vAlign w:val="center"/>
            <w:hideMark/>
          </w:tcPr>
          <w:p w14:paraId="32B0788D" w14:textId="77777777" w:rsidR="00615000" w:rsidRPr="000A7BB0" w:rsidRDefault="00615000" w:rsidP="002553CE">
            <w:pPr>
              <w:keepNext/>
              <w:keepLines/>
              <w:spacing w:before="0" w:after="0"/>
              <w:jc w:val="center"/>
              <w:rPr>
                <w:rFonts w:ascii="Arial Narrow" w:hAnsi="Arial Narrow"/>
                <w:b/>
                <w:bCs/>
                <w:sz w:val="20"/>
                <w:vertAlign w:val="superscript"/>
              </w:rPr>
            </w:pPr>
            <w:r w:rsidRPr="000A7BB0">
              <w:rPr>
                <w:rFonts w:ascii="Arial Narrow" w:hAnsi="Arial Narrow"/>
                <w:b/>
                <w:bCs/>
                <w:sz w:val="20"/>
              </w:rPr>
              <w:t xml:space="preserve">SOC </w:t>
            </w:r>
            <w:r w:rsidRPr="000A7BB0">
              <w:rPr>
                <w:rFonts w:ascii="Arial Narrow" w:hAnsi="Arial Narrow"/>
                <w:b/>
                <w:bCs/>
                <w:sz w:val="20"/>
                <w:vertAlign w:val="superscript"/>
              </w:rPr>
              <w:t>c</w:t>
            </w:r>
          </w:p>
        </w:tc>
        <w:tc>
          <w:tcPr>
            <w:tcW w:w="1791" w:type="dxa"/>
            <w:vMerge w:val="restart"/>
            <w:vAlign w:val="center"/>
            <w:hideMark/>
          </w:tcPr>
          <w:p w14:paraId="370D90F7" w14:textId="77777777" w:rsidR="00615000" w:rsidRPr="000A7BB0" w:rsidRDefault="00615000" w:rsidP="002553CE">
            <w:pPr>
              <w:keepNext/>
              <w:keepLines/>
              <w:spacing w:before="0" w:after="0"/>
              <w:jc w:val="left"/>
              <w:rPr>
                <w:rFonts w:ascii="Arial Narrow" w:hAnsi="Arial Narrow"/>
                <w:b/>
                <w:bCs/>
                <w:sz w:val="20"/>
              </w:rPr>
            </w:pPr>
            <w:r w:rsidRPr="000A7BB0">
              <w:rPr>
                <w:rFonts w:ascii="Arial Narrow" w:hAnsi="Arial Narrow"/>
                <w:b/>
                <w:bCs/>
                <w:sz w:val="20"/>
              </w:rPr>
              <w:t xml:space="preserve">HR (95% CI); p-value </w:t>
            </w:r>
          </w:p>
        </w:tc>
      </w:tr>
      <w:tr w:rsidR="00615000" w:rsidRPr="000A7BB0" w14:paraId="68109F25" w14:textId="77777777" w:rsidTr="74877A7E">
        <w:trPr>
          <w:trHeight w:val="20"/>
        </w:trPr>
        <w:tc>
          <w:tcPr>
            <w:tcW w:w="1413" w:type="dxa"/>
            <w:vMerge/>
            <w:vAlign w:val="center"/>
          </w:tcPr>
          <w:p w14:paraId="0E4C3F80" w14:textId="77777777" w:rsidR="00615000" w:rsidRPr="000A7BB0" w:rsidRDefault="00615000" w:rsidP="002553CE">
            <w:pPr>
              <w:keepNext/>
              <w:keepLines/>
              <w:spacing w:before="0" w:after="0"/>
              <w:jc w:val="left"/>
              <w:rPr>
                <w:rFonts w:ascii="Arial Narrow" w:hAnsi="Arial Narrow"/>
                <w:b/>
                <w:bCs/>
                <w:sz w:val="20"/>
              </w:rPr>
            </w:pPr>
          </w:p>
        </w:tc>
        <w:tc>
          <w:tcPr>
            <w:tcW w:w="1359" w:type="dxa"/>
            <w:vAlign w:val="center"/>
          </w:tcPr>
          <w:p w14:paraId="1E2CD53D" w14:textId="77777777" w:rsidR="00615000" w:rsidRPr="000A7BB0" w:rsidRDefault="00615000" w:rsidP="002553CE">
            <w:pPr>
              <w:keepNext/>
              <w:keepLines/>
              <w:spacing w:before="0" w:after="0"/>
              <w:jc w:val="center"/>
              <w:rPr>
                <w:rFonts w:ascii="Arial Narrow" w:hAnsi="Arial Narrow"/>
                <w:b/>
                <w:bCs/>
                <w:sz w:val="20"/>
              </w:rPr>
            </w:pPr>
            <w:r w:rsidRPr="000A7BB0">
              <w:rPr>
                <w:rFonts w:ascii="Arial Narrow" w:hAnsi="Arial Narrow"/>
                <w:b/>
                <w:bCs/>
                <w:sz w:val="20"/>
              </w:rPr>
              <w:t>Event n/N (%)</w:t>
            </w:r>
          </w:p>
        </w:tc>
        <w:tc>
          <w:tcPr>
            <w:tcW w:w="1484" w:type="dxa"/>
            <w:vAlign w:val="center"/>
          </w:tcPr>
          <w:p w14:paraId="38FD406E" w14:textId="77777777" w:rsidR="00615000" w:rsidRPr="000A7BB0" w:rsidRDefault="00615000" w:rsidP="002553CE">
            <w:pPr>
              <w:keepNext/>
              <w:keepLines/>
              <w:spacing w:before="0" w:after="0"/>
              <w:jc w:val="center"/>
              <w:rPr>
                <w:rFonts w:ascii="Arial Narrow" w:hAnsi="Arial Narrow"/>
                <w:b/>
                <w:bCs/>
                <w:sz w:val="20"/>
              </w:rPr>
            </w:pPr>
            <w:r w:rsidRPr="000A7BB0">
              <w:rPr>
                <w:rFonts w:ascii="Arial Narrow" w:hAnsi="Arial Narrow"/>
                <w:b/>
                <w:bCs/>
                <w:sz w:val="20"/>
              </w:rPr>
              <w:t>Median, months (95%CI)</w:t>
            </w:r>
          </w:p>
        </w:tc>
        <w:tc>
          <w:tcPr>
            <w:tcW w:w="1484" w:type="dxa"/>
            <w:vAlign w:val="center"/>
          </w:tcPr>
          <w:p w14:paraId="669D896F" w14:textId="77777777" w:rsidR="00615000" w:rsidRPr="000A7BB0" w:rsidRDefault="00615000" w:rsidP="002553CE">
            <w:pPr>
              <w:keepNext/>
              <w:keepLines/>
              <w:spacing w:before="0" w:after="0"/>
              <w:jc w:val="center"/>
              <w:rPr>
                <w:rFonts w:ascii="Arial Narrow" w:hAnsi="Arial Narrow"/>
                <w:b/>
                <w:bCs/>
                <w:sz w:val="20"/>
              </w:rPr>
            </w:pPr>
            <w:r w:rsidRPr="000A7BB0">
              <w:rPr>
                <w:rFonts w:ascii="Arial Narrow" w:hAnsi="Arial Narrow"/>
                <w:b/>
                <w:bCs/>
                <w:sz w:val="20"/>
              </w:rPr>
              <w:t>Event n/N (%)</w:t>
            </w:r>
          </w:p>
        </w:tc>
        <w:tc>
          <w:tcPr>
            <w:tcW w:w="1485" w:type="dxa"/>
            <w:vAlign w:val="center"/>
          </w:tcPr>
          <w:p w14:paraId="44AE607C" w14:textId="77777777" w:rsidR="00615000" w:rsidRPr="000A7BB0" w:rsidRDefault="00615000" w:rsidP="002553CE">
            <w:pPr>
              <w:keepNext/>
              <w:keepLines/>
              <w:spacing w:before="0" w:after="0"/>
              <w:jc w:val="center"/>
              <w:rPr>
                <w:rFonts w:ascii="Arial Narrow" w:hAnsi="Arial Narrow"/>
                <w:b/>
                <w:bCs/>
                <w:sz w:val="20"/>
              </w:rPr>
            </w:pPr>
            <w:r w:rsidRPr="000A7BB0">
              <w:rPr>
                <w:rFonts w:ascii="Arial Narrow" w:hAnsi="Arial Narrow"/>
                <w:b/>
                <w:bCs/>
                <w:sz w:val="20"/>
              </w:rPr>
              <w:t>Median, months (95%CI)</w:t>
            </w:r>
          </w:p>
        </w:tc>
        <w:tc>
          <w:tcPr>
            <w:tcW w:w="1791" w:type="dxa"/>
            <w:vMerge/>
            <w:vAlign w:val="center"/>
          </w:tcPr>
          <w:p w14:paraId="70B843DE" w14:textId="77777777" w:rsidR="00615000" w:rsidRPr="000A7BB0" w:rsidRDefault="00615000" w:rsidP="002553CE">
            <w:pPr>
              <w:keepNext/>
              <w:keepLines/>
              <w:spacing w:before="0" w:after="0"/>
              <w:jc w:val="center"/>
              <w:rPr>
                <w:rFonts w:ascii="Arial Narrow" w:hAnsi="Arial Narrow"/>
                <w:b/>
                <w:bCs/>
                <w:sz w:val="20"/>
              </w:rPr>
            </w:pPr>
          </w:p>
        </w:tc>
      </w:tr>
      <w:tr w:rsidR="00615000" w:rsidRPr="000A7BB0" w14:paraId="4BB1F019" w14:textId="77777777" w:rsidTr="74877A7E">
        <w:trPr>
          <w:trHeight w:val="20"/>
        </w:trPr>
        <w:tc>
          <w:tcPr>
            <w:tcW w:w="0" w:type="auto"/>
            <w:gridSpan w:val="6"/>
            <w:vAlign w:val="center"/>
          </w:tcPr>
          <w:p w14:paraId="60B64640" w14:textId="16FBD4F4" w:rsidR="00615000" w:rsidRPr="000A7BB0" w:rsidRDefault="6D9B006F" w:rsidP="002553CE">
            <w:pPr>
              <w:keepNext/>
              <w:keepLines/>
              <w:spacing w:before="0" w:after="0"/>
              <w:jc w:val="left"/>
              <w:rPr>
                <w:rFonts w:ascii="Arial Narrow" w:hAnsi="Arial Narrow"/>
                <w:b/>
                <w:bCs/>
                <w:sz w:val="20"/>
                <w:szCs w:val="20"/>
              </w:rPr>
            </w:pPr>
            <w:r w:rsidRPr="000A7BB0">
              <w:rPr>
                <w:rFonts w:ascii="Arial Narrow" w:hAnsi="Arial Narrow"/>
                <w:b/>
                <w:bCs/>
                <w:sz w:val="20"/>
                <w:szCs w:val="20"/>
              </w:rPr>
              <w:t>PFS</w:t>
            </w:r>
            <w:r w:rsidRPr="000A7BB0">
              <w:rPr>
                <w:rFonts w:ascii="Arial Narrow" w:hAnsi="Arial Narrow"/>
                <w:b/>
                <w:bCs/>
                <w:sz w:val="20"/>
                <w:szCs w:val="20"/>
                <w:vertAlign w:val="superscript"/>
              </w:rPr>
              <w:t>a</w:t>
            </w:r>
          </w:p>
        </w:tc>
      </w:tr>
      <w:tr w:rsidR="00615000" w:rsidRPr="000A7BB0" w14:paraId="6F2B642E" w14:textId="77777777" w:rsidTr="74877A7E">
        <w:trPr>
          <w:trHeight w:val="20"/>
        </w:trPr>
        <w:tc>
          <w:tcPr>
            <w:tcW w:w="1413" w:type="dxa"/>
            <w:vAlign w:val="center"/>
          </w:tcPr>
          <w:p w14:paraId="0454C9AD" w14:textId="77777777" w:rsidR="00615000" w:rsidRPr="000A7BB0" w:rsidRDefault="00615000" w:rsidP="002553CE">
            <w:pPr>
              <w:keepNext/>
              <w:keepLines/>
              <w:spacing w:before="0" w:after="0"/>
              <w:jc w:val="left"/>
              <w:rPr>
                <w:rFonts w:ascii="Arial Narrow" w:hAnsi="Arial Narrow"/>
                <w:sz w:val="20"/>
              </w:rPr>
            </w:pPr>
            <w:r w:rsidRPr="000A7BB0">
              <w:rPr>
                <w:rFonts w:ascii="Arial Narrow" w:hAnsi="Arial Narrow"/>
                <w:sz w:val="20"/>
              </w:rPr>
              <w:t>Whole trial population</w:t>
            </w:r>
          </w:p>
        </w:tc>
        <w:tc>
          <w:tcPr>
            <w:tcW w:w="1359" w:type="dxa"/>
            <w:vAlign w:val="center"/>
          </w:tcPr>
          <w:p w14:paraId="43C9961D"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144/239 (60.3)</w:t>
            </w:r>
          </w:p>
        </w:tc>
        <w:tc>
          <w:tcPr>
            <w:tcW w:w="1484" w:type="dxa"/>
            <w:vAlign w:val="center"/>
          </w:tcPr>
          <w:p w14:paraId="2790AD14"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2.79</w:t>
            </w:r>
          </w:p>
          <w:p w14:paraId="744CAA3C"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(1.94, 3.78)</w:t>
            </w:r>
          </w:p>
        </w:tc>
        <w:tc>
          <w:tcPr>
            <w:tcW w:w="1484" w:type="dxa"/>
            <w:vAlign w:val="center"/>
          </w:tcPr>
          <w:p w14:paraId="3C2BB50F"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156/239 (65.3)</w:t>
            </w:r>
          </w:p>
        </w:tc>
        <w:tc>
          <w:tcPr>
            <w:tcW w:w="1485" w:type="dxa"/>
            <w:vAlign w:val="center"/>
          </w:tcPr>
          <w:p w14:paraId="73CDE4A0"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 xml:space="preserve">1.91 </w:t>
            </w:r>
          </w:p>
          <w:p w14:paraId="3CC8C8B5"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(1.87, 2.10)</w:t>
            </w:r>
          </w:p>
        </w:tc>
        <w:tc>
          <w:tcPr>
            <w:tcW w:w="1791" w:type="dxa"/>
            <w:vAlign w:val="center"/>
          </w:tcPr>
          <w:p w14:paraId="7DC8A7E2" w14:textId="77777777" w:rsidR="00615000" w:rsidRPr="000A7BB0" w:rsidRDefault="00615000" w:rsidP="002553CE">
            <w:pPr>
              <w:spacing w:before="0" w:after="0"/>
              <w:jc w:val="center"/>
              <w:rPr>
                <w:rFonts w:ascii="Arial Narrow" w:hAnsi="Arial Narrow"/>
                <w:b/>
                <w:bCs/>
                <w:sz w:val="20"/>
              </w:rPr>
            </w:pPr>
            <w:r w:rsidRPr="000A7BB0">
              <w:rPr>
                <w:rFonts w:ascii="Arial Narrow" w:hAnsi="Arial Narrow"/>
                <w:b/>
                <w:bCs/>
                <w:sz w:val="20"/>
              </w:rPr>
              <w:t>0.70 (0.55, 0.88);</w:t>
            </w:r>
          </w:p>
          <w:p w14:paraId="15DD8B08" w14:textId="77777777" w:rsidR="00615000" w:rsidRPr="000A7BB0" w:rsidRDefault="00615000" w:rsidP="002553CE">
            <w:pPr>
              <w:spacing w:before="0" w:after="0"/>
              <w:jc w:val="center"/>
              <w:rPr>
                <w:rFonts w:ascii="Arial Narrow" w:hAnsi="Arial Narrow"/>
                <w:b/>
                <w:bCs/>
                <w:sz w:val="20"/>
              </w:rPr>
            </w:pPr>
            <w:r w:rsidRPr="000A7BB0">
              <w:rPr>
                <w:rFonts w:ascii="Arial Narrow" w:hAnsi="Arial Narrow"/>
                <w:b/>
                <w:bCs/>
                <w:sz w:val="20"/>
              </w:rPr>
              <w:t>0.0018</w:t>
            </w:r>
          </w:p>
        </w:tc>
      </w:tr>
      <w:tr w:rsidR="00615000" w:rsidRPr="000A7BB0" w14:paraId="44B137CB" w14:textId="77777777" w:rsidTr="74877A7E">
        <w:trPr>
          <w:trHeight w:val="20"/>
        </w:trPr>
        <w:tc>
          <w:tcPr>
            <w:tcW w:w="1413" w:type="dxa"/>
            <w:vAlign w:val="center"/>
          </w:tcPr>
          <w:p w14:paraId="6EAF3457" w14:textId="77777777" w:rsidR="00615000" w:rsidRPr="000A7BB0" w:rsidRDefault="00615000" w:rsidP="002553CE">
            <w:pPr>
              <w:keepNext/>
              <w:keepLines/>
              <w:spacing w:before="0" w:after="0"/>
              <w:jc w:val="left"/>
              <w:rPr>
                <w:rFonts w:ascii="Arial Narrow" w:hAnsi="Arial Narrow"/>
                <w:i/>
                <w:iCs/>
                <w:sz w:val="20"/>
              </w:rPr>
            </w:pPr>
            <w:r w:rsidRPr="000A7BB0">
              <w:rPr>
                <w:rFonts w:ascii="Arial Narrow" w:hAnsi="Arial Narrow"/>
                <w:i/>
                <w:iCs/>
                <w:sz w:val="20"/>
              </w:rPr>
              <w:t>ESR1</w:t>
            </w:r>
            <w:r w:rsidRPr="000A7BB0">
              <w:rPr>
                <w:rFonts w:ascii="Arial Narrow" w:hAnsi="Arial Narrow"/>
                <w:sz w:val="20"/>
              </w:rPr>
              <w:t>-mut</w:t>
            </w:r>
          </w:p>
        </w:tc>
        <w:tc>
          <w:tcPr>
            <w:tcW w:w="1359" w:type="dxa"/>
            <w:vAlign w:val="center"/>
          </w:tcPr>
          <w:p w14:paraId="5277E2B8"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62/115 (53.9)</w:t>
            </w:r>
          </w:p>
        </w:tc>
        <w:tc>
          <w:tcPr>
            <w:tcW w:w="1484" w:type="dxa"/>
            <w:vAlign w:val="center"/>
          </w:tcPr>
          <w:p w14:paraId="5C418316"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3.78</w:t>
            </w:r>
          </w:p>
          <w:p w14:paraId="584EBF74"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(2.17, 7.26)</w:t>
            </w:r>
          </w:p>
        </w:tc>
        <w:tc>
          <w:tcPr>
            <w:tcW w:w="1484" w:type="dxa"/>
            <w:vAlign w:val="center"/>
          </w:tcPr>
          <w:p w14:paraId="6013A486"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78/113 (69.0)</w:t>
            </w:r>
          </w:p>
        </w:tc>
        <w:tc>
          <w:tcPr>
            <w:tcW w:w="1485" w:type="dxa"/>
            <w:vAlign w:val="center"/>
          </w:tcPr>
          <w:p w14:paraId="6C9B8B48"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1.87</w:t>
            </w:r>
          </w:p>
          <w:p w14:paraId="263B4ADC"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(1.87, 2.14)</w:t>
            </w:r>
          </w:p>
        </w:tc>
        <w:tc>
          <w:tcPr>
            <w:tcW w:w="1791" w:type="dxa"/>
            <w:vAlign w:val="center"/>
          </w:tcPr>
          <w:p w14:paraId="4BB39D95" w14:textId="77777777" w:rsidR="00615000" w:rsidRPr="000A7BB0" w:rsidRDefault="00615000" w:rsidP="002553CE">
            <w:pPr>
              <w:spacing w:before="0" w:after="0"/>
              <w:jc w:val="center"/>
              <w:rPr>
                <w:rFonts w:ascii="Arial Narrow" w:hAnsi="Arial Narrow"/>
                <w:b/>
                <w:bCs/>
                <w:sz w:val="20"/>
              </w:rPr>
            </w:pPr>
            <w:r w:rsidRPr="000A7BB0">
              <w:rPr>
                <w:rFonts w:ascii="Arial Narrow" w:hAnsi="Arial Narrow"/>
                <w:b/>
                <w:bCs/>
                <w:sz w:val="20"/>
              </w:rPr>
              <w:t>0.55 (0.39, 0.77); 0.0005</w:t>
            </w:r>
          </w:p>
        </w:tc>
      </w:tr>
      <w:tr w:rsidR="00615000" w:rsidRPr="000A7BB0" w14:paraId="5AF5119F" w14:textId="77777777" w:rsidTr="74877A7E">
        <w:trPr>
          <w:trHeight w:val="20"/>
        </w:trPr>
        <w:tc>
          <w:tcPr>
            <w:tcW w:w="1413" w:type="dxa"/>
            <w:vAlign w:val="center"/>
          </w:tcPr>
          <w:p w14:paraId="5DB63857" w14:textId="77777777" w:rsidR="00615000" w:rsidRPr="000A7BB0" w:rsidRDefault="00615000" w:rsidP="002553CE">
            <w:pPr>
              <w:keepNext/>
              <w:keepLines/>
              <w:spacing w:before="0" w:after="0"/>
              <w:jc w:val="left"/>
              <w:rPr>
                <w:rFonts w:ascii="Arial Narrow" w:hAnsi="Arial Narrow"/>
                <w:i/>
                <w:iCs/>
                <w:sz w:val="20"/>
              </w:rPr>
            </w:pPr>
            <w:r w:rsidRPr="000A7BB0">
              <w:rPr>
                <w:rFonts w:ascii="Arial Narrow" w:hAnsi="Arial Narrow"/>
                <w:i/>
                <w:iCs/>
                <w:sz w:val="20"/>
              </w:rPr>
              <w:t>ESR1</w:t>
            </w:r>
            <w:r w:rsidRPr="000A7BB0">
              <w:rPr>
                <w:rFonts w:ascii="Arial Narrow" w:hAnsi="Arial Narrow"/>
                <w:sz w:val="20"/>
              </w:rPr>
              <w:t>-mut-nd</w:t>
            </w:r>
          </w:p>
        </w:tc>
        <w:tc>
          <w:tcPr>
            <w:tcW w:w="1359" w:type="dxa"/>
            <w:vAlign w:val="center"/>
          </w:tcPr>
          <w:p w14:paraId="329C5A64"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82/124 (66.1)</w:t>
            </w:r>
          </w:p>
        </w:tc>
        <w:tc>
          <w:tcPr>
            <w:tcW w:w="1484" w:type="dxa"/>
            <w:vAlign w:val="center"/>
          </w:tcPr>
          <w:p w14:paraId="334480AD"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 xml:space="preserve">1.94 </w:t>
            </w:r>
          </w:p>
          <w:p w14:paraId="66093839"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(1.87, 3.55)</w:t>
            </w:r>
          </w:p>
        </w:tc>
        <w:tc>
          <w:tcPr>
            <w:tcW w:w="1484" w:type="dxa"/>
            <w:vAlign w:val="center"/>
          </w:tcPr>
          <w:p w14:paraId="0ABED893"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78/126 (61.9)</w:t>
            </w:r>
          </w:p>
        </w:tc>
        <w:tc>
          <w:tcPr>
            <w:tcW w:w="1485" w:type="dxa"/>
            <w:vAlign w:val="center"/>
          </w:tcPr>
          <w:p w14:paraId="5687282A"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 xml:space="preserve">1.97 </w:t>
            </w:r>
          </w:p>
          <w:p w14:paraId="1A1CA5E8"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(1.87, 2.20)</w:t>
            </w:r>
          </w:p>
        </w:tc>
        <w:tc>
          <w:tcPr>
            <w:tcW w:w="1791" w:type="dxa"/>
            <w:vAlign w:val="center"/>
          </w:tcPr>
          <w:p w14:paraId="5815762B" w14:textId="77777777"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0.86 (0.63, 1.19);</w:t>
            </w:r>
          </w:p>
          <w:p w14:paraId="4A633500" w14:textId="77777777" w:rsidR="00615000" w:rsidRPr="000A7BB0" w:rsidRDefault="00615000" w:rsidP="002553CE">
            <w:pPr>
              <w:keepNext/>
              <w:keepLines/>
              <w:spacing w:before="0" w:after="0"/>
              <w:jc w:val="center"/>
              <w:rPr>
                <w:rFonts w:ascii="Arial Narrow" w:hAnsi="Arial Narrow"/>
                <w:b/>
                <w:bCs/>
                <w:sz w:val="20"/>
              </w:rPr>
            </w:pPr>
            <w:r w:rsidRPr="000A7BB0">
              <w:rPr>
                <w:rFonts w:ascii="Arial Narrow" w:hAnsi="Arial Narrow"/>
                <w:sz w:val="20"/>
              </w:rPr>
              <w:t>0.31</w:t>
            </w:r>
          </w:p>
        </w:tc>
      </w:tr>
      <w:tr w:rsidR="00615000" w:rsidRPr="000A7BB0" w14:paraId="377930DC" w14:textId="77777777" w:rsidTr="74877A7E">
        <w:trPr>
          <w:trHeight w:val="20"/>
        </w:trPr>
        <w:tc>
          <w:tcPr>
            <w:tcW w:w="7225" w:type="dxa"/>
            <w:gridSpan w:val="5"/>
            <w:vAlign w:val="center"/>
          </w:tcPr>
          <w:p w14:paraId="06B1EBB0" w14:textId="7DA696E7" w:rsidR="00615000" w:rsidRPr="000A7BB0" w:rsidRDefault="00615000" w:rsidP="002553CE">
            <w:pPr>
              <w:pStyle w:val="Tabletext0"/>
              <w:jc w:val="right"/>
            </w:pPr>
            <w:r w:rsidRPr="000A7BB0">
              <w:t>Test for interaction</w:t>
            </w:r>
          </w:p>
        </w:tc>
        <w:tc>
          <w:tcPr>
            <w:tcW w:w="1791" w:type="dxa"/>
            <w:vAlign w:val="center"/>
          </w:tcPr>
          <w:p w14:paraId="72AB7A21" w14:textId="063B0AE0" w:rsidR="00615000" w:rsidRPr="000A7BB0" w:rsidRDefault="00615000" w:rsidP="002553CE">
            <w:pPr>
              <w:keepNext/>
              <w:keepLines/>
              <w:spacing w:before="0" w:after="0"/>
              <w:jc w:val="center"/>
              <w:rPr>
                <w:rFonts w:ascii="Arial Narrow" w:hAnsi="Arial Narrow"/>
                <w:sz w:val="20"/>
              </w:rPr>
            </w:pPr>
            <w:r w:rsidRPr="000A7BB0">
              <w:rPr>
                <w:rFonts w:ascii="Arial Narrow" w:hAnsi="Arial Narrow"/>
                <w:sz w:val="20"/>
              </w:rPr>
              <w:t>0.</w:t>
            </w:r>
            <w:r w:rsidR="00D003DE" w:rsidRPr="000A7BB0">
              <w:rPr>
                <w:rFonts w:ascii="Arial Narrow" w:hAnsi="Arial Narrow"/>
                <w:sz w:val="20"/>
              </w:rPr>
              <w:t>053</w:t>
            </w:r>
          </w:p>
        </w:tc>
      </w:tr>
      <w:tr w:rsidR="00615000" w:rsidRPr="000A7BB0" w14:paraId="1DFE6C6E" w14:textId="77777777" w:rsidTr="74877A7E">
        <w:trPr>
          <w:trHeight w:val="20"/>
        </w:trPr>
        <w:tc>
          <w:tcPr>
            <w:tcW w:w="9016" w:type="dxa"/>
            <w:gridSpan w:val="6"/>
            <w:vAlign w:val="center"/>
          </w:tcPr>
          <w:p w14:paraId="3F543EEA" w14:textId="120EE58C" w:rsidR="00615000" w:rsidRPr="000A7BB0" w:rsidRDefault="6D9B006F" w:rsidP="002553CE">
            <w:pPr>
              <w:spacing w:before="0" w:after="0"/>
              <w:jc w:val="left"/>
              <w:rPr>
                <w:rFonts w:ascii="Arial Narrow" w:hAnsi="Arial Narrow"/>
                <w:sz w:val="20"/>
                <w:szCs w:val="20"/>
              </w:rPr>
            </w:pPr>
            <w:r w:rsidRPr="000A7BB0">
              <w:rPr>
                <w:rFonts w:ascii="Arial Narrow" w:hAnsi="Arial Narrow"/>
                <w:b/>
                <w:bCs/>
                <w:sz w:val="20"/>
                <w:szCs w:val="20"/>
              </w:rPr>
              <w:t>OS</w:t>
            </w:r>
            <w:r w:rsidRPr="000A7BB0">
              <w:rPr>
                <w:rFonts w:ascii="Arial Narrow" w:hAnsi="Arial Narrow"/>
                <w:b/>
                <w:bCs/>
                <w:sz w:val="20"/>
                <w:szCs w:val="20"/>
                <w:vertAlign w:val="superscript"/>
              </w:rPr>
              <w:t>b</w:t>
            </w:r>
          </w:p>
        </w:tc>
      </w:tr>
      <w:tr w:rsidR="00615000" w:rsidRPr="000A7BB0" w14:paraId="46200B7A" w14:textId="77777777" w:rsidTr="74877A7E">
        <w:trPr>
          <w:trHeight w:val="20"/>
        </w:trPr>
        <w:tc>
          <w:tcPr>
            <w:tcW w:w="1413" w:type="dxa"/>
            <w:vAlign w:val="center"/>
          </w:tcPr>
          <w:p w14:paraId="44926E22" w14:textId="77777777" w:rsidR="00615000" w:rsidRPr="000A7BB0" w:rsidRDefault="00615000" w:rsidP="002553CE">
            <w:pPr>
              <w:spacing w:before="0" w:after="0"/>
              <w:jc w:val="left"/>
              <w:rPr>
                <w:rFonts w:ascii="Arial Narrow" w:hAnsi="Arial Narrow"/>
                <w:sz w:val="20"/>
              </w:rPr>
            </w:pPr>
            <w:r w:rsidRPr="000A7BB0">
              <w:rPr>
                <w:rFonts w:ascii="Arial Narrow" w:hAnsi="Arial Narrow"/>
                <w:sz w:val="20"/>
              </w:rPr>
              <w:t>Whole trial population</w:t>
            </w:r>
          </w:p>
        </w:tc>
        <w:tc>
          <w:tcPr>
            <w:tcW w:w="1359" w:type="dxa"/>
            <w:vAlign w:val="center"/>
          </w:tcPr>
          <w:p w14:paraId="4097F4B4"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124/239 (51.9)</w:t>
            </w:r>
          </w:p>
        </w:tc>
        <w:tc>
          <w:tcPr>
            <w:tcW w:w="1484" w:type="dxa"/>
            <w:vAlign w:val="center"/>
          </w:tcPr>
          <w:p w14:paraId="20937BE1"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pacing w:val="-2"/>
                <w:sz w:val="20"/>
                <w:szCs w:val="20"/>
              </w:rPr>
              <w:t>24.61</w:t>
            </w:r>
          </w:p>
          <w:p w14:paraId="55041C16" w14:textId="77777777" w:rsidR="00615000" w:rsidRPr="000A7BB0" w:rsidRDefault="00615000" w:rsidP="002553CE">
            <w:pPr>
              <w:spacing w:before="0" w:after="0"/>
              <w:jc w:val="center"/>
              <w:rPr>
                <w:rFonts w:ascii="Arial Narrow" w:hAnsi="Arial Narrow"/>
                <w:sz w:val="20"/>
              </w:rPr>
            </w:pPr>
            <w:r w:rsidRPr="000A7BB0">
              <w:rPr>
                <w:rFonts w:ascii="Arial Narrow" w:hAnsi="Arial Narrow"/>
                <w:spacing w:val="-2"/>
                <w:sz w:val="20"/>
                <w:szCs w:val="20"/>
              </w:rPr>
              <w:t>(</w:t>
            </w:r>
            <w:r w:rsidRPr="000A7BB0">
              <w:rPr>
                <w:rFonts w:ascii="Arial Narrow" w:hAnsi="Arial Narrow"/>
                <w:sz w:val="20"/>
                <w:szCs w:val="20"/>
              </w:rPr>
              <w:t xml:space="preserve">20.67, </w:t>
            </w:r>
            <w:r w:rsidRPr="000A7BB0">
              <w:rPr>
                <w:rFonts w:ascii="Arial Narrow" w:hAnsi="Arial Narrow"/>
                <w:spacing w:val="-2"/>
                <w:sz w:val="20"/>
                <w:szCs w:val="20"/>
              </w:rPr>
              <w:t>29.47)</w:t>
            </w:r>
          </w:p>
        </w:tc>
        <w:tc>
          <w:tcPr>
            <w:tcW w:w="1484" w:type="dxa"/>
            <w:vAlign w:val="center"/>
          </w:tcPr>
          <w:p w14:paraId="19B65E6C"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121/239 (50.6)</w:t>
            </w:r>
          </w:p>
        </w:tc>
        <w:tc>
          <w:tcPr>
            <w:tcW w:w="1485" w:type="dxa"/>
            <w:vAlign w:val="center"/>
          </w:tcPr>
          <w:p w14:paraId="04511454"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pacing w:val="-2"/>
                <w:sz w:val="20"/>
                <w:szCs w:val="20"/>
              </w:rPr>
              <w:t>22.57</w:t>
            </w:r>
          </w:p>
          <w:p w14:paraId="35858BBF" w14:textId="77777777" w:rsidR="00615000" w:rsidRPr="000A7BB0" w:rsidRDefault="00615000" w:rsidP="002553CE">
            <w:pPr>
              <w:spacing w:before="0" w:after="0"/>
              <w:jc w:val="center"/>
              <w:rPr>
                <w:rFonts w:ascii="Arial Narrow" w:hAnsi="Arial Narrow"/>
                <w:sz w:val="20"/>
              </w:rPr>
            </w:pPr>
            <w:r w:rsidRPr="000A7BB0">
              <w:rPr>
                <w:rFonts w:ascii="Arial Narrow" w:hAnsi="Arial Narrow"/>
                <w:spacing w:val="-2"/>
                <w:sz w:val="20"/>
                <w:szCs w:val="20"/>
              </w:rPr>
              <w:t>(18.14, 28.88)</w:t>
            </w:r>
          </w:p>
        </w:tc>
        <w:tc>
          <w:tcPr>
            <w:tcW w:w="1791" w:type="dxa"/>
            <w:vAlign w:val="center"/>
          </w:tcPr>
          <w:p w14:paraId="5F4EDED3"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z w:val="20"/>
                <w:szCs w:val="20"/>
              </w:rPr>
              <w:t xml:space="preserve">0.91 (0.71, </w:t>
            </w:r>
            <w:r w:rsidRPr="000A7BB0">
              <w:rPr>
                <w:rFonts w:ascii="Arial Narrow" w:hAnsi="Arial Narrow"/>
                <w:spacing w:val="-2"/>
                <w:sz w:val="20"/>
                <w:szCs w:val="20"/>
              </w:rPr>
              <w:t>1.18);</w:t>
            </w:r>
          </w:p>
          <w:p w14:paraId="6FC72695" w14:textId="77777777" w:rsidR="00615000" w:rsidRPr="000A7BB0" w:rsidRDefault="00615000" w:rsidP="002553CE">
            <w:pPr>
              <w:spacing w:before="0" w:after="0"/>
              <w:jc w:val="center"/>
              <w:rPr>
                <w:rFonts w:ascii="Arial Narrow" w:hAnsi="Arial Narrow"/>
                <w:sz w:val="20"/>
              </w:rPr>
            </w:pPr>
            <w:r w:rsidRPr="000A7BB0">
              <w:rPr>
                <w:rFonts w:ascii="Arial Narrow" w:hAnsi="Arial Narrow"/>
                <w:spacing w:val="-4"/>
                <w:sz w:val="20"/>
                <w:szCs w:val="20"/>
              </w:rPr>
              <w:t>0.48</w:t>
            </w:r>
          </w:p>
        </w:tc>
      </w:tr>
      <w:tr w:rsidR="00615000" w:rsidRPr="000A7BB0" w14:paraId="3F454C0F" w14:textId="77777777" w:rsidTr="74877A7E">
        <w:trPr>
          <w:trHeight w:val="20"/>
        </w:trPr>
        <w:tc>
          <w:tcPr>
            <w:tcW w:w="1413" w:type="dxa"/>
            <w:vAlign w:val="center"/>
          </w:tcPr>
          <w:p w14:paraId="56653025" w14:textId="77777777" w:rsidR="00615000" w:rsidRPr="000A7BB0" w:rsidRDefault="00615000" w:rsidP="002553CE">
            <w:pPr>
              <w:spacing w:before="0" w:after="0"/>
              <w:jc w:val="left"/>
              <w:rPr>
                <w:rFonts w:ascii="Arial Narrow" w:hAnsi="Arial Narrow"/>
                <w:i/>
                <w:iCs/>
                <w:sz w:val="20"/>
              </w:rPr>
            </w:pPr>
            <w:r w:rsidRPr="000A7BB0">
              <w:rPr>
                <w:rFonts w:ascii="Arial Narrow" w:hAnsi="Arial Narrow"/>
                <w:i/>
                <w:iCs/>
                <w:sz w:val="20"/>
              </w:rPr>
              <w:t>ESR1</w:t>
            </w:r>
            <w:r w:rsidRPr="000A7BB0">
              <w:rPr>
                <w:rFonts w:ascii="Arial Narrow" w:hAnsi="Arial Narrow"/>
                <w:sz w:val="20"/>
              </w:rPr>
              <w:t>-mut</w:t>
            </w:r>
          </w:p>
        </w:tc>
        <w:tc>
          <w:tcPr>
            <w:tcW w:w="1359" w:type="dxa"/>
            <w:vAlign w:val="center"/>
          </w:tcPr>
          <w:p w14:paraId="02F4D9B5"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61/115 (53.0)</w:t>
            </w:r>
          </w:p>
        </w:tc>
        <w:tc>
          <w:tcPr>
            <w:tcW w:w="1484" w:type="dxa"/>
            <w:vAlign w:val="center"/>
          </w:tcPr>
          <w:p w14:paraId="06509534"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pacing w:val="-2"/>
                <w:sz w:val="20"/>
                <w:szCs w:val="20"/>
              </w:rPr>
              <w:t>24.18</w:t>
            </w:r>
          </w:p>
          <w:p w14:paraId="5C7891F5"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pacing w:val="-2"/>
                <w:sz w:val="20"/>
                <w:szCs w:val="20"/>
              </w:rPr>
              <w:t>(20.53, 28.71)</w:t>
            </w:r>
          </w:p>
        </w:tc>
        <w:tc>
          <w:tcPr>
            <w:tcW w:w="1484" w:type="dxa"/>
            <w:vAlign w:val="center"/>
          </w:tcPr>
          <w:p w14:paraId="188438F7"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60/113 (53.1)</w:t>
            </w:r>
          </w:p>
        </w:tc>
        <w:tc>
          <w:tcPr>
            <w:tcW w:w="1485" w:type="dxa"/>
            <w:vAlign w:val="center"/>
          </w:tcPr>
          <w:p w14:paraId="238A2589"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pacing w:val="-2"/>
                <w:sz w:val="20"/>
                <w:szCs w:val="20"/>
              </w:rPr>
              <w:t>23.49</w:t>
            </w:r>
          </w:p>
          <w:p w14:paraId="05CECF64" w14:textId="77777777" w:rsidR="00615000" w:rsidRPr="000A7BB0" w:rsidRDefault="00615000" w:rsidP="002553CE">
            <w:pPr>
              <w:spacing w:before="0" w:after="0"/>
              <w:jc w:val="center"/>
              <w:rPr>
                <w:rFonts w:ascii="Arial Narrow" w:hAnsi="Arial Narrow"/>
                <w:spacing w:val="-2"/>
                <w:sz w:val="20"/>
                <w:szCs w:val="20"/>
              </w:rPr>
            </w:pPr>
            <w:r w:rsidRPr="000A7BB0">
              <w:rPr>
                <w:rFonts w:ascii="Arial Narrow" w:hAnsi="Arial Narrow"/>
                <w:spacing w:val="-2"/>
                <w:sz w:val="20"/>
                <w:szCs w:val="20"/>
              </w:rPr>
              <w:t>(15.64, 29.90)</w:t>
            </w:r>
          </w:p>
        </w:tc>
        <w:tc>
          <w:tcPr>
            <w:tcW w:w="1791" w:type="dxa"/>
            <w:vAlign w:val="center"/>
          </w:tcPr>
          <w:p w14:paraId="69F6E1E7" w14:textId="77777777" w:rsidR="00615000" w:rsidRPr="000A7BB0" w:rsidRDefault="00615000" w:rsidP="002553CE">
            <w:pPr>
              <w:spacing w:before="0" w:after="0"/>
              <w:jc w:val="center"/>
              <w:rPr>
                <w:rFonts w:ascii="Arial Narrow" w:hAnsi="Arial Narrow"/>
                <w:sz w:val="20"/>
                <w:szCs w:val="20"/>
              </w:rPr>
            </w:pPr>
            <w:r w:rsidRPr="000A7BB0">
              <w:rPr>
                <w:rFonts w:ascii="Arial Narrow" w:hAnsi="Arial Narrow"/>
                <w:sz w:val="20"/>
                <w:szCs w:val="20"/>
              </w:rPr>
              <w:t xml:space="preserve">0.90 (0.623, </w:t>
            </w:r>
            <w:r w:rsidRPr="000A7BB0">
              <w:rPr>
                <w:rFonts w:ascii="Arial Narrow" w:hAnsi="Arial Narrow"/>
                <w:spacing w:val="-2"/>
                <w:sz w:val="20"/>
                <w:szCs w:val="20"/>
              </w:rPr>
              <w:t xml:space="preserve">1.30); </w:t>
            </w:r>
            <w:r w:rsidRPr="000A7BB0">
              <w:rPr>
                <w:rFonts w:ascii="Arial Narrow" w:hAnsi="Arial Narrow"/>
                <w:spacing w:val="-4"/>
                <w:sz w:val="20"/>
                <w:szCs w:val="20"/>
              </w:rPr>
              <w:t>0.58</w:t>
            </w:r>
          </w:p>
        </w:tc>
      </w:tr>
      <w:tr w:rsidR="00615000" w:rsidRPr="000A7BB0" w14:paraId="21AB3552" w14:textId="77777777" w:rsidTr="74877A7E">
        <w:trPr>
          <w:trHeight w:val="20"/>
        </w:trPr>
        <w:tc>
          <w:tcPr>
            <w:tcW w:w="1413" w:type="dxa"/>
            <w:vAlign w:val="center"/>
          </w:tcPr>
          <w:p w14:paraId="6083BFED" w14:textId="77777777" w:rsidR="00615000" w:rsidRPr="000A7BB0" w:rsidRDefault="00615000" w:rsidP="002553CE">
            <w:pPr>
              <w:spacing w:before="0" w:after="0"/>
              <w:jc w:val="left"/>
              <w:rPr>
                <w:rFonts w:ascii="Arial Narrow" w:hAnsi="Arial Narrow"/>
                <w:sz w:val="20"/>
              </w:rPr>
            </w:pPr>
            <w:r w:rsidRPr="000A7BB0">
              <w:rPr>
                <w:rFonts w:ascii="Arial Narrow" w:hAnsi="Arial Narrow"/>
                <w:i/>
                <w:iCs/>
                <w:sz w:val="20"/>
              </w:rPr>
              <w:t>ESR1</w:t>
            </w:r>
            <w:r w:rsidRPr="000A7BB0">
              <w:rPr>
                <w:rFonts w:ascii="Arial Narrow" w:hAnsi="Arial Narrow"/>
                <w:sz w:val="20"/>
              </w:rPr>
              <w:t>-mut-nd</w:t>
            </w:r>
          </w:p>
        </w:tc>
        <w:tc>
          <w:tcPr>
            <w:tcW w:w="1359" w:type="dxa"/>
            <w:vAlign w:val="center"/>
          </w:tcPr>
          <w:p w14:paraId="3966D731"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63/124 (50.8)</w:t>
            </w:r>
          </w:p>
        </w:tc>
        <w:tc>
          <w:tcPr>
            <w:tcW w:w="1484" w:type="dxa"/>
            <w:vAlign w:val="center"/>
          </w:tcPr>
          <w:p w14:paraId="395A4273"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26.12</w:t>
            </w:r>
          </w:p>
          <w:p w14:paraId="56B412D6"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(18.83- NC)</w:t>
            </w:r>
          </w:p>
        </w:tc>
        <w:tc>
          <w:tcPr>
            <w:tcW w:w="1484" w:type="dxa"/>
            <w:vAlign w:val="center"/>
          </w:tcPr>
          <w:p w14:paraId="55438C82"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61/126 (48.4)</w:t>
            </w:r>
          </w:p>
        </w:tc>
        <w:tc>
          <w:tcPr>
            <w:tcW w:w="1485" w:type="dxa"/>
            <w:vAlign w:val="center"/>
          </w:tcPr>
          <w:p w14:paraId="1B723F3B"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22.57</w:t>
            </w:r>
          </w:p>
          <w:p w14:paraId="08F07269"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(18.37, 30.98)</w:t>
            </w:r>
          </w:p>
        </w:tc>
        <w:tc>
          <w:tcPr>
            <w:tcW w:w="1791" w:type="dxa"/>
            <w:vAlign w:val="center"/>
          </w:tcPr>
          <w:p w14:paraId="0B61CD8F"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0.92 (0.65, 1.31);</w:t>
            </w:r>
          </w:p>
          <w:p w14:paraId="4217AF41"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0.65</w:t>
            </w:r>
          </w:p>
        </w:tc>
      </w:tr>
      <w:tr w:rsidR="00615000" w:rsidRPr="000A7BB0" w14:paraId="03851D45" w14:textId="77777777" w:rsidTr="74877A7E">
        <w:trPr>
          <w:trHeight w:val="20"/>
        </w:trPr>
        <w:tc>
          <w:tcPr>
            <w:tcW w:w="7225" w:type="dxa"/>
            <w:gridSpan w:val="5"/>
            <w:vAlign w:val="center"/>
          </w:tcPr>
          <w:p w14:paraId="4029430F" w14:textId="77777777" w:rsidR="00615000" w:rsidRPr="000A7BB0" w:rsidRDefault="00615000" w:rsidP="002553CE">
            <w:pPr>
              <w:pStyle w:val="TableText"/>
              <w:widowControl/>
              <w:jc w:val="right"/>
            </w:pPr>
            <w:r w:rsidRPr="000A7BB0">
              <w:t xml:space="preserve">Test for interaction </w:t>
            </w:r>
            <w:r w:rsidRPr="000A7BB0">
              <w:rPr>
                <w:vertAlign w:val="superscript"/>
              </w:rPr>
              <w:t>d</w:t>
            </w:r>
          </w:p>
        </w:tc>
        <w:tc>
          <w:tcPr>
            <w:tcW w:w="1791" w:type="dxa"/>
            <w:vAlign w:val="center"/>
          </w:tcPr>
          <w:p w14:paraId="09FE801A" w14:textId="77777777" w:rsidR="00615000" w:rsidRPr="000A7BB0" w:rsidRDefault="00615000" w:rsidP="002553CE">
            <w:pPr>
              <w:spacing w:before="0" w:after="0"/>
              <w:jc w:val="center"/>
              <w:rPr>
                <w:rFonts w:ascii="Arial Narrow" w:hAnsi="Arial Narrow"/>
                <w:sz w:val="20"/>
              </w:rPr>
            </w:pPr>
            <w:r w:rsidRPr="000A7BB0">
              <w:rPr>
                <w:rFonts w:ascii="Arial Narrow" w:hAnsi="Arial Narrow"/>
                <w:sz w:val="20"/>
              </w:rPr>
              <w:t>0.93</w:t>
            </w:r>
          </w:p>
        </w:tc>
      </w:tr>
    </w:tbl>
    <w:p w14:paraId="24C09FE8" w14:textId="73C26922" w:rsidR="00615000" w:rsidRPr="000A7BB0" w:rsidRDefault="00615000"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 xml:space="preserve">Source: Table 2.5: Number of patients with reference to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-mut status (ITT), p75 of the submission</w:t>
      </w:r>
      <w:r w:rsidR="00806EA8" w:rsidRPr="000A7BB0">
        <w:rPr>
          <w:rFonts w:ascii="Arial Narrow" w:eastAsia="Times New Roman" w:hAnsi="Arial Narrow" w:cs="Arial"/>
          <w:snapToGrid w:val="0"/>
          <w:sz w:val="18"/>
          <w:lang w:eastAsia="en-AU"/>
        </w:rPr>
        <w:t xml:space="preserve">, </w:t>
      </w:r>
      <w:r w:rsidR="00AD0C33" w:rsidRPr="000A7BB0">
        <w:rPr>
          <w:rFonts w:ascii="Arial Narrow" w:eastAsia="Times New Roman" w:hAnsi="Arial Narrow" w:cs="Arial"/>
          <w:snapToGrid w:val="0"/>
          <w:sz w:val="18"/>
          <w:lang w:eastAsia="en-AU"/>
        </w:rPr>
        <w:t>Bidard 2022</w:t>
      </w:r>
      <w:r w:rsidRPr="000A7BB0">
        <w:rPr>
          <w:rFonts w:ascii="Arial Narrow" w:eastAsia="Times New Roman" w:hAnsi="Arial Narrow" w:cs="Arial"/>
          <w:snapToGrid w:val="0"/>
          <w:sz w:val="18"/>
          <w:lang w:eastAsia="en-AU"/>
        </w:rPr>
        <w:tab/>
      </w:r>
      <w:r w:rsidRPr="000A7BB0">
        <w:rPr>
          <w:rFonts w:ascii="Arial Narrow" w:eastAsia="Times New Roman" w:hAnsi="Arial Narrow" w:cs="Arial"/>
          <w:snapToGrid w:val="0"/>
          <w:sz w:val="18"/>
          <w:lang w:eastAsia="en-AU"/>
        </w:rPr>
        <w:br/>
        <w:t xml:space="preserve">CI = confidence interval;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 xml:space="preserve"> = estrogen receptor 1;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 xml:space="preserve">-mut =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 xml:space="preserve"> mutated;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 xml:space="preserve">-mut-nd =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 xml:space="preserve"> mutation not detected; HR = hazard ratio; ITT = intent to treat analysis population; NC = not calculable; OS = overall survival; PFS = progression-free survival; SOC = standard of care. </w:t>
      </w:r>
    </w:p>
    <w:p w14:paraId="0CC357D5" w14:textId="77777777" w:rsidR="00615000" w:rsidRPr="000A7BB0" w:rsidRDefault="00615000"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b/>
          <w:bCs/>
          <w:snapToGrid w:val="0"/>
          <w:sz w:val="18"/>
          <w:vertAlign w:val="superscript"/>
          <w:lang w:eastAsia="en-AU"/>
        </w:rPr>
        <w:t xml:space="preserve">a </w:t>
      </w:r>
      <w:r w:rsidRPr="000A7BB0">
        <w:rPr>
          <w:rFonts w:ascii="Arial Narrow" w:eastAsia="Times New Roman" w:hAnsi="Arial Narrow" w:cs="Arial"/>
          <w:snapToGrid w:val="0"/>
          <w:sz w:val="18"/>
          <w:lang w:eastAsia="en-AU"/>
        </w:rPr>
        <w:t>September 2021 data cut off</w:t>
      </w:r>
    </w:p>
    <w:p w14:paraId="3D0D43F8" w14:textId="77777777" w:rsidR="00615000" w:rsidRPr="000A7BB0" w:rsidRDefault="00615000"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b/>
          <w:bCs/>
          <w:snapToGrid w:val="0"/>
          <w:sz w:val="18"/>
          <w:vertAlign w:val="superscript"/>
          <w:lang w:eastAsia="en-AU"/>
        </w:rPr>
        <w:t xml:space="preserve">b </w:t>
      </w:r>
      <w:r w:rsidRPr="000A7BB0">
        <w:rPr>
          <w:rFonts w:ascii="Arial Narrow" w:eastAsia="Times New Roman" w:hAnsi="Arial Narrow" w:cs="Arial"/>
          <w:snapToGrid w:val="0"/>
          <w:sz w:val="18"/>
          <w:lang w:eastAsia="en-AU"/>
        </w:rPr>
        <w:t>September 2022 data cut off</w:t>
      </w:r>
    </w:p>
    <w:p w14:paraId="40F566C6" w14:textId="1C715F38" w:rsidR="00615000" w:rsidRPr="000A7BB0" w:rsidRDefault="6D9B006F" w:rsidP="002553CE">
      <w:pPr>
        <w:pStyle w:val="TableFooter"/>
        <w:widowControl/>
        <w:rPr>
          <w:lang w:eastAsia="en-AU"/>
        </w:rPr>
      </w:pPr>
      <w:r w:rsidRPr="000A7BB0">
        <w:rPr>
          <w:vertAlign w:val="superscript"/>
          <w:lang w:eastAsia="en-AU"/>
        </w:rPr>
        <w:t>c</w:t>
      </w:r>
      <w:r w:rsidRPr="000A7BB0">
        <w:rPr>
          <w:lang w:eastAsia="en-AU"/>
        </w:rPr>
        <w:t xml:space="preserve"> SOC in the EMERALD trial comprises of choice of aromatase inhibitor (AI) or fulvestrant monotherapy which may not reflect the true extent of current therapies received by Australian patients.</w:t>
      </w:r>
    </w:p>
    <w:p w14:paraId="21748011" w14:textId="42E849A0" w:rsidR="00615000" w:rsidRPr="000A7BB0" w:rsidRDefault="00615000" w:rsidP="002553CE">
      <w:pPr>
        <w:pStyle w:val="TableFigureFooter"/>
        <w:keepNext/>
      </w:pPr>
      <w:r w:rsidRPr="000A7BB0">
        <w:rPr>
          <w:vertAlign w:val="superscript"/>
        </w:rPr>
        <w:t>d</w:t>
      </w:r>
      <w:r w:rsidRPr="000A7BB0">
        <w:t xml:space="preserve"> </w:t>
      </w:r>
      <w:r w:rsidRPr="000A7BB0">
        <w:rPr>
          <w:iCs/>
        </w:rPr>
        <w:t xml:space="preserve">Test for interaction conducted during the evaluation </w:t>
      </w:r>
      <w:r w:rsidRPr="000A7BB0">
        <w:br/>
        <w:t>Note: p-values using stratified log-rank test.</w:t>
      </w:r>
    </w:p>
    <w:p w14:paraId="0D61C041" w14:textId="77777777" w:rsidR="00615000" w:rsidRPr="000A7BB0" w:rsidRDefault="6D9B006F" w:rsidP="002553CE">
      <w:pPr>
        <w:tabs>
          <w:tab w:val="left" w:pos="284"/>
        </w:tabs>
        <w:spacing w:before="0" w:after="0"/>
        <w:jc w:val="left"/>
        <w:rPr>
          <w:rFonts w:ascii="Arial Narrow" w:eastAsia="Times New Roman" w:hAnsi="Arial Narrow" w:cs="Arial"/>
          <w:snapToGrid w:val="0"/>
          <w:sz w:val="18"/>
          <w:szCs w:val="18"/>
          <w:lang w:eastAsia="en-AU"/>
        </w:rPr>
      </w:pPr>
      <w:r w:rsidRPr="000A7BB0">
        <w:rPr>
          <w:rFonts w:ascii="Arial Narrow" w:eastAsia="Times New Roman" w:hAnsi="Arial Narrow" w:cs="Arial"/>
          <w:b/>
          <w:bCs/>
          <w:snapToGrid w:val="0"/>
          <w:sz w:val="18"/>
          <w:szCs w:val="18"/>
          <w:lang w:eastAsia="en-AU"/>
        </w:rPr>
        <w:t>Bold</w:t>
      </w:r>
      <w:r w:rsidRPr="000A7BB0">
        <w:rPr>
          <w:rFonts w:ascii="Arial Narrow" w:eastAsia="Times New Roman" w:hAnsi="Arial Narrow" w:cs="Arial"/>
          <w:snapToGrid w:val="0"/>
          <w:sz w:val="18"/>
          <w:szCs w:val="18"/>
          <w:lang w:eastAsia="en-AU"/>
        </w:rPr>
        <w:t xml:space="preserve"> text indicates a statistically significant p-value</w:t>
      </w:r>
    </w:p>
    <w:p w14:paraId="64238A82" w14:textId="2A04E601" w:rsidR="009E18C3" w:rsidRPr="000A7BB0" w:rsidRDefault="009E18C3" w:rsidP="002553CE">
      <w:pPr>
        <w:numPr>
          <w:ilvl w:val="4"/>
          <w:numId w:val="11"/>
        </w:numPr>
        <w:ind w:left="709" w:hanging="709"/>
        <w:rPr>
          <w:color w:val="000000" w:themeColor="text1"/>
        </w:rPr>
      </w:pPr>
      <w:r w:rsidRPr="000A7BB0">
        <w:rPr>
          <w:color w:val="000000" w:themeColor="text1"/>
        </w:rPr>
        <w:t xml:space="preserve">Both primary endpoints of the study (PFS in all subjects (whole trial population) and in </w:t>
      </w:r>
      <w:r w:rsidRPr="000A7BB0">
        <w:rPr>
          <w:i/>
          <w:iCs/>
          <w:color w:val="000000" w:themeColor="text1"/>
        </w:rPr>
        <w:t>ESR1</w:t>
      </w:r>
      <w:r w:rsidRPr="000A7BB0">
        <w:rPr>
          <w:color w:val="000000" w:themeColor="text1"/>
        </w:rPr>
        <w:t xml:space="preserve"> variant subjects) were met by the September 2021 data cutoff date (median follow up 16 months).</w:t>
      </w:r>
    </w:p>
    <w:p w14:paraId="42858BF9" w14:textId="36944099" w:rsidR="009E18C3" w:rsidRPr="000A7BB0" w:rsidRDefault="009E18C3" w:rsidP="002553CE">
      <w:pPr>
        <w:numPr>
          <w:ilvl w:val="4"/>
          <w:numId w:val="11"/>
        </w:numPr>
        <w:ind w:left="709" w:hanging="709"/>
        <w:rPr>
          <w:color w:val="000000" w:themeColor="text1"/>
        </w:rPr>
      </w:pPr>
      <w:r w:rsidRPr="000A7BB0">
        <w:rPr>
          <w:color w:val="000000" w:themeColor="text1"/>
        </w:rPr>
        <w:lastRenderedPageBreak/>
        <w:t>In the whole trial population, elacestrant demonstrated statistically significant improvements in PFS, reducing the risk of disease progression or death by 30% compared to SOC (hazard ratio [HR] 0.697 [95% CI: 0.552 to 0.880]. The median PFS was 2.79 months for the elacestrant group and 1.91 months for the SOC group.</w:t>
      </w:r>
    </w:p>
    <w:p w14:paraId="185794C5" w14:textId="0085BA99" w:rsidR="009E18C3" w:rsidRPr="000A7BB0" w:rsidRDefault="009E18C3" w:rsidP="002553CE">
      <w:pPr>
        <w:numPr>
          <w:ilvl w:val="4"/>
          <w:numId w:val="11"/>
        </w:numPr>
        <w:ind w:left="709" w:hanging="709"/>
        <w:rPr>
          <w:color w:val="000000" w:themeColor="text1"/>
        </w:rPr>
      </w:pPr>
      <w:r w:rsidRPr="000A7BB0">
        <w:rPr>
          <w:color w:val="000000" w:themeColor="text1"/>
        </w:rPr>
        <w:t xml:space="preserve">In patients with </w:t>
      </w:r>
      <w:r w:rsidRPr="000A7BB0">
        <w:rPr>
          <w:i/>
          <w:iCs/>
          <w:color w:val="000000" w:themeColor="text1"/>
        </w:rPr>
        <w:t>ESR1</w:t>
      </w:r>
      <w:r w:rsidRPr="000A7BB0">
        <w:rPr>
          <w:color w:val="000000" w:themeColor="text1"/>
        </w:rPr>
        <w:t xml:space="preserve"> variant tumours, elacestrant was associated with significant improvements in PFS, reducing the risk of disease progression or death by 45% compared to SOC (HR 0.546 [95% CI: 0.387 to 0.768]. The median PFS was 3.78 months for the elacestrant group compared to 1.87 months in the SOC group.</w:t>
      </w:r>
      <w:r w:rsidR="00B51309">
        <w:rPr>
          <w:color w:val="000000" w:themeColor="text1"/>
        </w:rPr>
        <w:t xml:space="preserve"> </w:t>
      </w:r>
    </w:p>
    <w:p w14:paraId="0A13DCA2" w14:textId="189FFBC5" w:rsidR="00B40280" w:rsidRPr="00E30425" w:rsidRDefault="003E30E7" w:rsidP="002553CE">
      <w:pPr>
        <w:numPr>
          <w:ilvl w:val="4"/>
          <w:numId w:val="11"/>
        </w:numPr>
        <w:ind w:left="709" w:hanging="709"/>
        <w:rPr>
          <w:color w:val="000000" w:themeColor="text1"/>
        </w:rPr>
      </w:pPr>
      <w:r w:rsidRPr="00E30425">
        <w:rPr>
          <w:color w:val="000000" w:themeColor="text1"/>
        </w:rPr>
        <w:t>In the non-</w:t>
      </w:r>
      <w:r w:rsidRPr="00E30425">
        <w:rPr>
          <w:i/>
          <w:iCs/>
          <w:color w:val="000000" w:themeColor="text1"/>
        </w:rPr>
        <w:t>ESR1</w:t>
      </w:r>
      <w:r w:rsidRPr="00E30425">
        <w:rPr>
          <w:color w:val="000000" w:themeColor="text1"/>
        </w:rPr>
        <w:t xml:space="preserve"> variant (complement) subgroup, </w:t>
      </w:r>
      <w:r w:rsidR="00297917" w:rsidRPr="00E30425">
        <w:rPr>
          <w:color w:val="000000" w:themeColor="text1"/>
        </w:rPr>
        <w:t>there was no significan</w:t>
      </w:r>
      <w:r w:rsidR="00CC7F3D" w:rsidRPr="00E30425">
        <w:rPr>
          <w:color w:val="000000" w:themeColor="text1"/>
        </w:rPr>
        <w:t>t</w:t>
      </w:r>
      <w:r w:rsidR="00297917" w:rsidRPr="00E30425">
        <w:rPr>
          <w:color w:val="000000" w:themeColor="text1"/>
        </w:rPr>
        <w:t xml:space="preserve"> </w:t>
      </w:r>
      <w:r w:rsidR="00F349D9" w:rsidRPr="00E30425">
        <w:rPr>
          <w:color w:val="000000" w:themeColor="text1"/>
        </w:rPr>
        <w:t>improvement in PFS (HR 0.86 [95%</w:t>
      </w:r>
      <w:r w:rsidR="00CC7F3D" w:rsidRPr="00E30425">
        <w:rPr>
          <w:color w:val="000000" w:themeColor="text1"/>
        </w:rPr>
        <w:t xml:space="preserve"> </w:t>
      </w:r>
      <w:r w:rsidR="00F349D9" w:rsidRPr="00E30425">
        <w:rPr>
          <w:color w:val="000000" w:themeColor="text1"/>
        </w:rPr>
        <w:t xml:space="preserve">CI: </w:t>
      </w:r>
      <w:r w:rsidR="004A7E4A" w:rsidRPr="00E30425">
        <w:rPr>
          <w:color w:val="000000" w:themeColor="text1"/>
        </w:rPr>
        <w:t>0.63</w:t>
      </w:r>
      <w:r w:rsidR="00CC7F3D" w:rsidRPr="00E30425">
        <w:rPr>
          <w:color w:val="000000" w:themeColor="text1"/>
        </w:rPr>
        <w:t xml:space="preserve"> to</w:t>
      </w:r>
      <w:r w:rsidR="004A7E4A" w:rsidRPr="00E30425">
        <w:rPr>
          <w:color w:val="000000" w:themeColor="text1"/>
        </w:rPr>
        <w:t xml:space="preserve"> 1.19</w:t>
      </w:r>
      <w:r w:rsidR="00CC7F3D" w:rsidRPr="00E30425">
        <w:rPr>
          <w:color w:val="000000" w:themeColor="text1"/>
        </w:rPr>
        <w:t>]).</w:t>
      </w:r>
      <w:r w:rsidR="00E30425">
        <w:rPr>
          <w:color w:val="000000" w:themeColor="text1"/>
        </w:rPr>
        <w:t xml:space="preserve"> </w:t>
      </w:r>
      <w:r w:rsidR="00B40280" w:rsidRPr="00E30425">
        <w:rPr>
          <w:color w:val="000000" w:themeColor="text1"/>
        </w:rPr>
        <w:t xml:space="preserve">The test for interaction between the </w:t>
      </w:r>
      <w:r w:rsidR="00B40280" w:rsidRPr="000A2687">
        <w:rPr>
          <w:i/>
          <w:iCs/>
          <w:color w:val="000000" w:themeColor="text1"/>
        </w:rPr>
        <w:t>ESR1</w:t>
      </w:r>
      <w:r w:rsidR="00B40280" w:rsidRPr="00E30425">
        <w:rPr>
          <w:color w:val="000000" w:themeColor="text1"/>
        </w:rPr>
        <w:t xml:space="preserve"> and non-</w:t>
      </w:r>
      <w:r w:rsidR="00B40280" w:rsidRPr="000A2687">
        <w:rPr>
          <w:i/>
          <w:iCs/>
          <w:color w:val="000000" w:themeColor="text1"/>
        </w:rPr>
        <w:t>ESR1</w:t>
      </w:r>
      <w:r w:rsidR="00B40280" w:rsidRPr="00E30425">
        <w:rPr>
          <w:color w:val="000000" w:themeColor="text1"/>
        </w:rPr>
        <w:t xml:space="preserve"> variant subgroup did not </w:t>
      </w:r>
      <w:r w:rsidR="00D75259" w:rsidRPr="00E30425">
        <w:rPr>
          <w:color w:val="000000" w:themeColor="text1"/>
        </w:rPr>
        <w:t>unequivocally confirm</w:t>
      </w:r>
      <w:r w:rsidR="00B40280" w:rsidRPr="00E30425">
        <w:rPr>
          <w:color w:val="000000" w:themeColor="text1"/>
        </w:rPr>
        <w:t xml:space="preserve"> </w:t>
      </w:r>
      <w:r w:rsidR="00F05D5B" w:rsidRPr="00E30425">
        <w:rPr>
          <w:color w:val="000000" w:themeColor="text1"/>
        </w:rPr>
        <w:t xml:space="preserve">the presence of an </w:t>
      </w:r>
      <w:r w:rsidR="00B40280" w:rsidRPr="000A2687">
        <w:rPr>
          <w:i/>
          <w:iCs/>
          <w:color w:val="000000" w:themeColor="text1"/>
        </w:rPr>
        <w:t>ESR1</w:t>
      </w:r>
      <w:r w:rsidR="00B40280" w:rsidRPr="00E30425">
        <w:rPr>
          <w:color w:val="000000" w:themeColor="text1"/>
        </w:rPr>
        <w:t xml:space="preserve"> variant </w:t>
      </w:r>
      <w:r w:rsidR="00F05D5B" w:rsidRPr="00E30425">
        <w:rPr>
          <w:color w:val="000000" w:themeColor="text1"/>
        </w:rPr>
        <w:t>is a</w:t>
      </w:r>
      <w:r w:rsidR="00B40280" w:rsidRPr="00E30425">
        <w:rPr>
          <w:color w:val="000000" w:themeColor="text1"/>
        </w:rPr>
        <w:t xml:space="preserve"> significant treatment effect modifier (p=0.053). </w:t>
      </w:r>
    </w:p>
    <w:p w14:paraId="1B795B4F" w14:textId="5E08939D" w:rsidR="00CF515F" w:rsidRPr="000A7BB0" w:rsidRDefault="00CF515F" w:rsidP="002553CE">
      <w:pPr>
        <w:numPr>
          <w:ilvl w:val="4"/>
          <w:numId w:val="11"/>
        </w:numPr>
        <w:ind w:left="709" w:hanging="709"/>
        <w:rPr>
          <w:color w:val="000000" w:themeColor="text1"/>
        </w:rPr>
      </w:pPr>
      <w:r w:rsidRPr="000A7BB0">
        <w:rPr>
          <w:color w:val="000000" w:themeColor="text1"/>
        </w:rPr>
        <w:t xml:space="preserve">The K-M estimates for PFS in the whole trial population, the </w:t>
      </w:r>
      <w:r w:rsidRPr="000A7BB0">
        <w:rPr>
          <w:i/>
          <w:iCs/>
          <w:color w:val="000000" w:themeColor="text1"/>
        </w:rPr>
        <w:t>ESR1</w:t>
      </w:r>
      <w:r w:rsidRPr="000A7BB0">
        <w:rPr>
          <w:color w:val="000000" w:themeColor="text1"/>
        </w:rPr>
        <w:t xml:space="preserve"> variant subgroup and its complement are shown below.</w:t>
      </w:r>
    </w:p>
    <w:p w14:paraId="4AD1FF91" w14:textId="5C6CCAD8" w:rsidR="00C27DAF" w:rsidRPr="000A7BB0" w:rsidRDefault="00E44EFB" w:rsidP="002553CE">
      <w:pPr>
        <w:keepNext/>
        <w:spacing w:before="0" w:after="0"/>
        <w:jc w:val="left"/>
        <w:rPr>
          <w:rFonts w:ascii="Arial Narrow" w:eastAsiaTheme="majorEastAsia" w:hAnsi="Arial Narrow" w:cstheme="majorBidi"/>
          <w:b/>
          <w:bCs/>
          <w:sz w:val="20"/>
          <w:szCs w:val="24"/>
          <w:lang w:eastAsia="en-AU"/>
        </w:rPr>
      </w:pPr>
      <w:r w:rsidRPr="000A7BB0">
        <w:rPr>
          <w:rFonts w:ascii="Arial Narrow" w:eastAsiaTheme="majorEastAsia" w:hAnsi="Arial Narrow" w:cstheme="majorBidi"/>
          <w:b/>
          <w:bCs/>
          <w:sz w:val="20"/>
          <w:szCs w:val="24"/>
          <w:lang w:eastAsia="en-AU"/>
        </w:rPr>
        <w:t xml:space="preserve">Figure </w:t>
      </w:r>
      <w:r w:rsidRPr="000A7BB0">
        <w:rPr>
          <w:rFonts w:ascii="Arial Narrow" w:eastAsiaTheme="majorEastAsia" w:hAnsi="Arial Narrow" w:cstheme="majorBidi"/>
          <w:b/>
          <w:bCs/>
          <w:sz w:val="20"/>
          <w:szCs w:val="24"/>
          <w:lang w:eastAsia="en-AU"/>
        </w:rPr>
        <w:fldChar w:fldCharType="begin"/>
      </w:r>
      <w:r w:rsidRPr="000A7BB0">
        <w:rPr>
          <w:rFonts w:ascii="Arial Narrow" w:eastAsiaTheme="majorEastAsia" w:hAnsi="Arial Narrow" w:cstheme="majorBidi"/>
          <w:b/>
          <w:bCs/>
          <w:sz w:val="20"/>
          <w:szCs w:val="24"/>
          <w:lang w:eastAsia="en-AU"/>
        </w:rPr>
        <w:instrText xml:space="preserve"> SEQ Figure_PBAC. \* ARABIC </w:instrText>
      </w:r>
      <w:r w:rsidRPr="000A7BB0">
        <w:rPr>
          <w:rFonts w:ascii="Arial Narrow" w:eastAsiaTheme="majorEastAsia" w:hAnsi="Arial Narrow" w:cstheme="majorBidi"/>
          <w:b/>
          <w:bCs/>
          <w:sz w:val="20"/>
          <w:szCs w:val="24"/>
          <w:lang w:eastAsia="en-AU"/>
        </w:rPr>
        <w:fldChar w:fldCharType="separate"/>
      </w:r>
      <w:r w:rsidR="004F224A">
        <w:rPr>
          <w:rFonts w:ascii="Arial Narrow" w:eastAsiaTheme="majorEastAsia" w:hAnsi="Arial Narrow" w:cstheme="majorBidi"/>
          <w:b/>
          <w:bCs/>
          <w:noProof/>
          <w:sz w:val="20"/>
          <w:szCs w:val="24"/>
          <w:lang w:eastAsia="en-AU"/>
        </w:rPr>
        <w:t>2</w:t>
      </w:r>
      <w:r w:rsidRPr="000A7BB0">
        <w:rPr>
          <w:rFonts w:ascii="Arial Narrow" w:eastAsiaTheme="majorEastAsia" w:hAnsi="Arial Narrow" w:cstheme="majorBidi"/>
          <w:b/>
          <w:bCs/>
          <w:sz w:val="20"/>
          <w:szCs w:val="24"/>
          <w:lang w:eastAsia="en-AU"/>
        </w:rPr>
        <w:fldChar w:fldCharType="end"/>
      </w:r>
      <w:r w:rsidRPr="000A7BB0">
        <w:rPr>
          <w:rFonts w:ascii="Arial Narrow" w:eastAsiaTheme="majorEastAsia" w:hAnsi="Arial Narrow" w:cstheme="majorBidi"/>
          <w:b/>
          <w:bCs/>
          <w:sz w:val="20"/>
          <w:szCs w:val="24"/>
          <w:lang w:eastAsia="en-AU"/>
        </w:rPr>
        <w:t>:</w:t>
      </w:r>
      <w:r w:rsidR="00C27DAF" w:rsidRPr="000A7BB0">
        <w:rPr>
          <w:rFonts w:ascii="Arial Narrow" w:eastAsiaTheme="majorEastAsia" w:hAnsi="Arial Narrow" w:cstheme="majorBidi"/>
          <w:b/>
          <w:bCs/>
          <w:sz w:val="20"/>
          <w:szCs w:val="24"/>
          <w:lang w:eastAsia="en-AU"/>
        </w:rPr>
        <w:t xml:space="preserve"> PFS Kaplan Meier plot in whole of trial population (BIRC, ITT) </w:t>
      </w:r>
      <w:r w:rsidR="00C27DAF" w:rsidRPr="000A7BB0">
        <w:rPr>
          <w:rFonts w:ascii="Arial Narrow" w:eastAsiaTheme="majorEastAsia" w:hAnsi="Arial Narrow" w:cstheme="majorBidi"/>
          <w:b/>
          <w:bCs/>
          <w:noProof/>
          <w:sz w:val="20"/>
          <w:szCs w:val="24"/>
          <w:lang w:eastAsia="en-AU"/>
        </w:rPr>
        <w:drawing>
          <wp:inline distT="0" distB="0" distL="0" distR="0" wp14:anchorId="2DBB5B76" wp14:editId="59A35E8E">
            <wp:extent cx="5731510" cy="3091844"/>
            <wp:effectExtent l="0" t="0" r="2540" b="0"/>
            <wp:docPr id="1253682873" name="Picture 1993805137" descr="Figure 2: PFS Kaplan Meier plot in whole of trial population (BIRC, IT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82873" name="Picture 1993805137" descr="Figure 2: PFS Kaplan Meier plot in whole of trial population (BIRC, ITT) "/>
                    <pic:cNvPicPr>
                      <a:picLocks noChangeAspect="1" noChangeArrowheads="1"/>
                    </pic:cNvPicPr>
                  </pic:nvPicPr>
                  <pic:blipFill>
                    <a:blip r:embed="rId13" cstate="print"/>
                    <a:srcRect/>
                    <a:stretch>
                      <a:fillRect/>
                    </a:stretch>
                  </pic:blipFill>
                  <pic:spPr bwMode="auto">
                    <a:xfrm>
                      <a:off x="0" y="0"/>
                      <a:ext cx="5731510" cy="3091844"/>
                    </a:xfrm>
                    <a:prstGeom prst="rect">
                      <a:avLst/>
                    </a:prstGeom>
                    <a:noFill/>
                    <a:ln w="9525">
                      <a:noFill/>
                      <a:miter lim="800000"/>
                      <a:headEnd/>
                      <a:tailEnd/>
                    </a:ln>
                  </pic:spPr>
                </pic:pic>
              </a:graphicData>
            </a:graphic>
          </wp:inline>
        </w:drawing>
      </w:r>
    </w:p>
    <w:p w14:paraId="754633EA" w14:textId="77777777" w:rsidR="00C27DAF" w:rsidRPr="000A7BB0" w:rsidRDefault="00C27DAF"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Source: Figure 2.32, p204 of the submission</w:t>
      </w:r>
    </w:p>
    <w:p w14:paraId="133ABCEA" w14:textId="31FDB4E3" w:rsidR="00C27DAF" w:rsidRPr="000A7BB0" w:rsidRDefault="00C27DAF"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BIRC = blind independent central review; CI = confidence interval; ITT = intention to treat; N = total number of subjects in group; PFS = progression free survival</w:t>
      </w:r>
    </w:p>
    <w:p w14:paraId="4F6E2730" w14:textId="5C142F20" w:rsidR="00C27DAF" w:rsidRPr="000A7BB0" w:rsidRDefault="00E44EFB" w:rsidP="002553CE">
      <w:pPr>
        <w:keepNext/>
        <w:spacing w:before="0" w:after="0"/>
        <w:jc w:val="left"/>
        <w:rPr>
          <w:rFonts w:ascii="Arial Narrow" w:eastAsiaTheme="majorEastAsia" w:hAnsi="Arial Narrow" w:cstheme="majorBidi"/>
          <w:b/>
          <w:bCs/>
          <w:sz w:val="20"/>
          <w:szCs w:val="24"/>
          <w:lang w:eastAsia="en-AU"/>
        </w:rPr>
      </w:pPr>
      <w:r w:rsidRPr="000A7BB0">
        <w:rPr>
          <w:rFonts w:ascii="Arial Narrow" w:eastAsiaTheme="majorEastAsia" w:hAnsi="Arial Narrow" w:cstheme="majorBidi"/>
          <w:b/>
          <w:bCs/>
          <w:sz w:val="20"/>
          <w:szCs w:val="24"/>
          <w:lang w:eastAsia="en-AU"/>
        </w:rPr>
        <w:lastRenderedPageBreak/>
        <w:t xml:space="preserve">Figure </w:t>
      </w:r>
      <w:r w:rsidRPr="000A7BB0">
        <w:rPr>
          <w:rFonts w:ascii="Arial Narrow" w:eastAsiaTheme="majorEastAsia" w:hAnsi="Arial Narrow" w:cstheme="majorBidi"/>
          <w:b/>
          <w:bCs/>
          <w:sz w:val="20"/>
          <w:szCs w:val="24"/>
          <w:lang w:eastAsia="en-AU"/>
        </w:rPr>
        <w:fldChar w:fldCharType="begin"/>
      </w:r>
      <w:r w:rsidRPr="000A7BB0">
        <w:rPr>
          <w:rFonts w:ascii="Arial Narrow" w:eastAsiaTheme="majorEastAsia" w:hAnsi="Arial Narrow" w:cstheme="majorBidi"/>
          <w:b/>
          <w:bCs/>
          <w:sz w:val="20"/>
          <w:szCs w:val="24"/>
          <w:lang w:eastAsia="en-AU"/>
        </w:rPr>
        <w:instrText xml:space="preserve"> SEQ Figure_PBAC. \* ARABIC </w:instrText>
      </w:r>
      <w:r w:rsidRPr="000A7BB0">
        <w:rPr>
          <w:rFonts w:ascii="Arial Narrow" w:eastAsiaTheme="majorEastAsia" w:hAnsi="Arial Narrow" w:cstheme="majorBidi"/>
          <w:b/>
          <w:bCs/>
          <w:sz w:val="20"/>
          <w:szCs w:val="24"/>
          <w:lang w:eastAsia="en-AU"/>
        </w:rPr>
        <w:fldChar w:fldCharType="separate"/>
      </w:r>
      <w:r w:rsidR="004F224A">
        <w:rPr>
          <w:rFonts w:ascii="Arial Narrow" w:eastAsiaTheme="majorEastAsia" w:hAnsi="Arial Narrow" w:cstheme="majorBidi"/>
          <w:b/>
          <w:bCs/>
          <w:noProof/>
          <w:sz w:val="20"/>
          <w:szCs w:val="24"/>
          <w:lang w:eastAsia="en-AU"/>
        </w:rPr>
        <w:t>3</w:t>
      </w:r>
      <w:r w:rsidRPr="000A7BB0">
        <w:rPr>
          <w:rFonts w:ascii="Arial Narrow" w:eastAsiaTheme="majorEastAsia" w:hAnsi="Arial Narrow" w:cstheme="majorBidi"/>
          <w:b/>
          <w:bCs/>
          <w:sz w:val="20"/>
          <w:szCs w:val="24"/>
          <w:lang w:eastAsia="en-AU"/>
        </w:rPr>
        <w:fldChar w:fldCharType="end"/>
      </w:r>
      <w:r w:rsidRPr="000A7BB0">
        <w:rPr>
          <w:rFonts w:ascii="Arial Narrow" w:eastAsiaTheme="majorEastAsia" w:hAnsi="Arial Narrow" w:cstheme="majorBidi"/>
          <w:b/>
          <w:bCs/>
          <w:sz w:val="20"/>
          <w:szCs w:val="24"/>
          <w:lang w:eastAsia="en-AU"/>
        </w:rPr>
        <w:t xml:space="preserve">: </w:t>
      </w:r>
      <w:r w:rsidR="00C27DAF" w:rsidRPr="000A7BB0">
        <w:rPr>
          <w:rFonts w:ascii="Arial Narrow" w:eastAsiaTheme="majorEastAsia" w:hAnsi="Arial Narrow" w:cstheme="majorBidi"/>
          <w:b/>
          <w:bCs/>
          <w:sz w:val="20"/>
          <w:szCs w:val="24"/>
          <w:lang w:eastAsia="en-AU"/>
        </w:rPr>
        <w:t xml:space="preserve">PFS Kaplan Meier plot in </w:t>
      </w:r>
      <w:r w:rsidR="00C27DAF" w:rsidRPr="000A7BB0">
        <w:rPr>
          <w:rFonts w:ascii="Arial Narrow" w:eastAsiaTheme="majorEastAsia" w:hAnsi="Arial Narrow" w:cstheme="majorBidi"/>
          <w:b/>
          <w:bCs/>
          <w:i/>
          <w:iCs/>
          <w:sz w:val="20"/>
          <w:szCs w:val="24"/>
          <w:lang w:eastAsia="en-AU"/>
        </w:rPr>
        <w:t>ESR1</w:t>
      </w:r>
      <w:r w:rsidR="00C27DAF" w:rsidRPr="000A7BB0">
        <w:rPr>
          <w:rFonts w:ascii="Arial Narrow" w:eastAsiaTheme="majorEastAsia" w:hAnsi="Arial Narrow" w:cstheme="majorBidi"/>
          <w:b/>
          <w:bCs/>
          <w:sz w:val="20"/>
          <w:szCs w:val="24"/>
          <w:lang w:eastAsia="en-AU"/>
        </w:rPr>
        <w:t xml:space="preserve"> variant subgroup (BIRC, ITT) </w:t>
      </w:r>
      <w:r w:rsidR="00C27DAF" w:rsidRPr="000A7BB0">
        <w:rPr>
          <w:rFonts w:ascii="Arial Narrow" w:eastAsiaTheme="majorEastAsia" w:hAnsi="Arial Narrow" w:cstheme="minorHAnsi"/>
          <w:b/>
          <w:bCs/>
          <w:noProof/>
          <w:color w:val="7030A0"/>
          <w:sz w:val="20"/>
          <w:szCs w:val="24"/>
          <w:lang w:eastAsia="en-AU"/>
        </w:rPr>
        <w:drawing>
          <wp:inline distT="0" distB="0" distL="0" distR="0" wp14:anchorId="1BAD7875" wp14:editId="1F441457">
            <wp:extent cx="5731510" cy="3148053"/>
            <wp:effectExtent l="0" t="0" r="2540" b="0"/>
            <wp:docPr id="1833796425" name="image5.jpeg" descr="Figure 3: PFS KAplan Meier plot in ESR 1 variant subgroup (BIRC,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96425" name="image5.jpeg" descr="Figure 3: PFS KAplan Meier plot in ESR 1 variant subgroup (BIRC, IT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148053"/>
                    </a:xfrm>
                    <a:prstGeom prst="rect">
                      <a:avLst/>
                    </a:prstGeom>
                  </pic:spPr>
                </pic:pic>
              </a:graphicData>
            </a:graphic>
          </wp:inline>
        </w:drawing>
      </w:r>
    </w:p>
    <w:p w14:paraId="4FE22F88" w14:textId="278B76E7" w:rsidR="00C27DAF" w:rsidRPr="000A7BB0" w:rsidRDefault="51F83992" w:rsidP="002553CE">
      <w:pPr>
        <w:tabs>
          <w:tab w:val="left" w:pos="284"/>
        </w:tabs>
        <w:spacing w:before="0" w:after="0"/>
        <w:jc w:val="left"/>
        <w:rPr>
          <w:rFonts w:ascii="Arial Narrow" w:eastAsia="Times New Roman" w:hAnsi="Arial Narrow" w:cs="Arial"/>
          <w:snapToGrid w:val="0"/>
          <w:sz w:val="18"/>
          <w:szCs w:val="18"/>
          <w:lang w:eastAsia="en-AU"/>
        </w:rPr>
      </w:pPr>
      <w:r w:rsidRPr="000A7BB0">
        <w:rPr>
          <w:rFonts w:ascii="Arial Narrow" w:eastAsia="Times New Roman" w:hAnsi="Arial Narrow" w:cs="Arial"/>
          <w:snapToGrid w:val="0"/>
          <w:sz w:val="18"/>
          <w:szCs w:val="18"/>
          <w:lang w:eastAsia="en-AU"/>
        </w:rPr>
        <w:t>Source: Figure2.33,</w:t>
      </w:r>
      <w:r w:rsidR="00B51309">
        <w:rPr>
          <w:rFonts w:ascii="Arial Narrow" w:eastAsia="Times New Roman" w:hAnsi="Arial Narrow" w:cs="Arial"/>
          <w:snapToGrid w:val="0"/>
          <w:sz w:val="18"/>
          <w:szCs w:val="18"/>
          <w:lang w:eastAsia="en-AU"/>
        </w:rPr>
        <w:t xml:space="preserve"> </w:t>
      </w:r>
      <w:r w:rsidRPr="000A7BB0">
        <w:rPr>
          <w:rFonts w:ascii="Arial Narrow" w:eastAsia="Times New Roman" w:hAnsi="Arial Narrow" w:cs="Arial"/>
          <w:snapToGrid w:val="0"/>
          <w:sz w:val="18"/>
          <w:szCs w:val="18"/>
          <w:lang w:eastAsia="en-AU"/>
        </w:rPr>
        <w:t xml:space="preserve">p206 of the submission </w:t>
      </w:r>
    </w:p>
    <w:p w14:paraId="33465F1B" w14:textId="77777777" w:rsidR="00C27DAF" w:rsidRPr="000A7BB0" w:rsidRDefault="00C27DAF"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 xml:space="preserve">BIRC = blind independent central review; CI = confidence interval; HR = hazard ratio; ITT = intention to treat; N = total number of subjects in group; PFS = progression free survival </w:t>
      </w:r>
    </w:p>
    <w:p w14:paraId="5227E64D" w14:textId="77777777" w:rsidR="00CF515F" w:rsidRPr="000A7BB0" w:rsidRDefault="00CF515F" w:rsidP="002553CE">
      <w:pPr>
        <w:tabs>
          <w:tab w:val="left" w:pos="284"/>
        </w:tabs>
        <w:spacing w:before="0" w:after="0"/>
        <w:jc w:val="left"/>
        <w:rPr>
          <w:rFonts w:ascii="Arial Narrow" w:eastAsia="Times New Roman" w:hAnsi="Arial Narrow" w:cs="Arial"/>
          <w:snapToGrid w:val="0"/>
          <w:sz w:val="18"/>
          <w:lang w:eastAsia="en-AU"/>
        </w:rPr>
      </w:pPr>
    </w:p>
    <w:p w14:paraId="11EE0A99" w14:textId="131E0297" w:rsidR="00F64C19" w:rsidRPr="000A7BB0" w:rsidRDefault="00F64C19" w:rsidP="002553CE">
      <w:pPr>
        <w:keepNext/>
        <w:spacing w:before="0" w:after="0"/>
        <w:jc w:val="left"/>
        <w:rPr>
          <w:rFonts w:ascii="Arial Narrow" w:eastAsiaTheme="majorEastAsia" w:hAnsi="Arial Narrow" w:cstheme="majorBidi"/>
          <w:b/>
          <w:bCs/>
          <w:sz w:val="20"/>
          <w:szCs w:val="24"/>
          <w:lang w:eastAsia="en-AU"/>
        </w:rPr>
      </w:pPr>
      <w:r w:rsidRPr="000A7BB0">
        <w:rPr>
          <w:rFonts w:ascii="Arial Narrow" w:eastAsiaTheme="majorEastAsia" w:hAnsi="Arial Narrow" w:cstheme="majorBidi"/>
          <w:b/>
          <w:bCs/>
          <w:sz w:val="20"/>
          <w:szCs w:val="24"/>
          <w:lang w:eastAsia="en-AU"/>
        </w:rPr>
        <w:t xml:space="preserve">Figure </w:t>
      </w:r>
      <w:r w:rsidRPr="000A7BB0">
        <w:rPr>
          <w:rFonts w:ascii="Arial Narrow" w:eastAsiaTheme="majorEastAsia" w:hAnsi="Arial Narrow" w:cstheme="majorBidi"/>
          <w:b/>
          <w:bCs/>
          <w:sz w:val="20"/>
          <w:szCs w:val="24"/>
          <w:lang w:eastAsia="en-AU"/>
        </w:rPr>
        <w:fldChar w:fldCharType="begin"/>
      </w:r>
      <w:r w:rsidRPr="000A7BB0">
        <w:rPr>
          <w:rFonts w:ascii="Arial Narrow" w:eastAsiaTheme="majorEastAsia" w:hAnsi="Arial Narrow" w:cstheme="majorBidi"/>
          <w:b/>
          <w:bCs/>
          <w:sz w:val="20"/>
          <w:szCs w:val="24"/>
          <w:lang w:eastAsia="en-AU"/>
        </w:rPr>
        <w:instrText xml:space="preserve"> SEQ Figure_PBAC. \* ARABIC </w:instrText>
      </w:r>
      <w:r w:rsidRPr="000A7BB0">
        <w:rPr>
          <w:rFonts w:ascii="Arial Narrow" w:eastAsiaTheme="majorEastAsia" w:hAnsi="Arial Narrow" w:cstheme="majorBidi"/>
          <w:b/>
          <w:bCs/>
          <w:sz w:val="20"/>
          <w:szCs w:val="24"/>
          <w:lang w:eastAsia="en-AU"/>
        </w:rPr>
        <w:fldChar w:fldCharType="separate"/>
      </w:r>
      <w:r w:rsidR="004F224A">
        <w:rPr>
          <w:rFonts w:ascii="Arial Narrow" w:eastAsiaTheme="majorEastAsia" w:hAnsi="Arial Narrow" w:cstheme="majorBidi"/>
          <w:b/>
          <w:bCs/>
          <w:noProof/>
          <w:sz w:val="20"/>
          <w:szCs w:val="24"/>
          <w:lang w:eastAsia="en-AU"/>
        </w:rPr>
        <w:t>4</w:t>
      </w:r>
      <w:r w:rsidRPr="000A7BB0">
        <w:rPr>
          <w:rFonts w:ascii="Arial Narrow" w:eastAsiaTheme="majorEastAsia" w:hAnsi="Arial Narrow" w:cstheme="majorBidi"/>
          <w:b/>
          <w:bCs/>
          <w:sz w:val="20"/>
          <w:szCs w:val="24"/>
          <w:lang w:eastAsia="en-AU"/>
        </w:rPr>
        <w:fldChar w:fldCharType="end"/>
      </w:r>
      <w:r w:rsidRPr="000A7BB0">
        <w:rPr>
          <w:rFonts w:ascii="Arial Narrow" w:eastAsiaTheme="majorEastAsia" w:hAnsi="Arial Narrow" w:cstheme="majorBidi"/>
          <w:b/>
          <w:bCs/>
          <w:sz w:val="20"/>
          <w:szCs w:val="24"/>
          <w:lang w:eastAsia="en-AU"/>
        </w:rPr>
        <w:t>: PFS Kaplan Meier plot in non-</w:t>
      </w:r>
      <w:r w:rsidRPr="000A7BB0">
        <w:rPr>
          <w:rFonts w:ascii="Arial Narrow" w:eastAsiaTheme="majorEastAsia" w:hAnsi="Arial Narrow" w:cstheme="majorBidi"/>
          <w:b/>
          <w:i/>
          <w:sz w:val="20"/>
          <w:szCs w:val="24"/>
          <w:lang w:eastAsia="en-AU"/>
        </w:rPr>
        <w:t>ESR1</w:t>
      </w:r>
      <w:r w:rsidRPr="000A7BB0">
        <w:rPr>
          <w:rFonts w:ascii="Arial Narrow" w:eastAsiaTheme="majorEastAsia" w:hAnsi="Arial Narrow" w:cstheme="majorBidi"/>
          <w:b/>
          <w:bCs/>
          <w:sz w:val="20"/>
          <w:szCs w:val="24"/>
          <w:lang w:eastAsia="en-AU"/>
        </w:rPr>
        <w:t xml:space="preserve"> variant subgroup (BIRC, ITT)</w:t>
      </w:r>
    </w:p>
    <w:p w14:paraId="7419472D" w14:textId="77777777" w:rsidR="00F64C19" w:rsidRPr="000A7BB0" w:rsidRDefault="00F64C19" w:rsidP="002553CE">
      <w:pPr>
        <w:spacing w:before="0" w:after="0"/>
      </w:pPr>
      <w:r w:rsidRPr="000A7BB0">
        <w:rPr>
          <w:rFonts w:cstheme="minorHAnsi"/>
          <w:noProof/>
          <w:color w:val="7030A0"/>
          <w:lang w:eastAsia="en-AU"/>
        </w:rPr>
        <w:drawing>
          <wp:inline distT="0" distB="0" distL="0" distR="0" wp14:anchorId="05D45DEB" wp14:editId="23A8D6C5">
            <wp:extent cx="5259574" cy="2837111"/>
            <wp:effectExtent l="19050" t="0" r="0" b="0"/>
            <wp:docPr id="380452854" name="image8.jpeg" descr="Figure 4: PFS Kaplan Meier plot in non-ESR1 variant subgroup (BIRC,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52854" name="image8.jpeg" descr="Figure 4: PFS Kaplan Meier plot in non-ESR1 variant subgroup (BIRC, IT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62449" cy="2838662"/>
                    </a:xfrm>
                    <a:prstGeom prst="rect">
                      <a:avLst/>
                    </a:prstGeom>
                  </pic:spPr>
                </pic:pic>
              </a:graphicData>
            </a:graphic>
          </wp:inline>
        </w:drawing>
      </w:r>
    </w:p>
    <w:p w14:paraId="08CC8103" w14:textId="77777777" w:rsidR="00F64C19" w:rsidRPr="000A7BB0" w:rsidRDefault="00F64C19"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 xml:space="preserve">Source: Figure 2.35, p207 of the submission </w:t>
      </w:r>
    </w:p>
    <w:p w14:paraId="21F22BE9" w14:textId="7F3B52D4" w:rsidR="00F64C19" w:rsidRPr="000A7BB0" w:rsidRDefault="00F64C19"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BIRC = blind independent central review;</w:t>
      </w:r>
      <w:r w:rsidRPr="000A7BB0">
        <w:rPr>
          <w:rFonts w:ascii="Arial Narrow" w:eastAsia="Times New Roman" w:hAnsi="Arial Narrow" w:cs="Arial"/>
          <w:snapToGrid w:val="0"/>
          <w:spacing w:val="-4"/>
          <w:sz w:val="18"/>
          <w:lang w:eastAsia="en-AU"/>
        </w:rPr>
        <w:t xml:space="preserve"> </w:t>
      </w: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-mut-nd</w:t>
      </w:r>
      <w:r w:rsidRPr="000A7BB0">
        <w:rPr>
          <w:rFonts w:ascii="Arial Narrow" w:eastAsia="Times New Roman" w:hAnsi="Arial Narrow" w:cs="Arial"/>
          <w:snapToGrid w:val="0"/>
          <w:spacing w:val="-2"/>
          <w:sz w:val="18"/>
          <w:lang w:eastAsia="en-AU"/>
        </w:rPr>
        <w:t xml:space="preserve"> </w:t>
      </w:r>
      <w:r w:rsidRPr="000A7BB0">
        <w:rPr>
          <w:rFonts w:ascii="Arial Narrow" w:eastAsia="Times New Roman" w:hAnsi="Arial Narrow" w:cs="Arial"/>
          <w:snapToGrid w:val="0"/>
          <w:sz w:val="18"/>
          <w:lang w:eastAsia="en-AU"/>
        </w:rPr>
        <w:t>=</w:t>
      </w:r>
      <w:r w:rsidRPr="000A7BB0">
        <w:rPr>
          <w:rFonts w:ascii="Arial Narrow" w:eastAsia="Times New Roman" w:hAnsi="Arial Narrow" w:cs="Arial"/>
          <w:snapToGrid w:val="0"/>
          <w:spacing w:val="-4"/>
          <w:sz w:val="18"/>
          <w:lang w:eastAsia="en-AU"/>
        </w:rPr>
        <w:t xml:space="preserve"> </w:t>
      </w:r>
      <w:r w:rsidRPr="000A7BB0">
        <w:rPr>
          <w:rFonts w:ascii="Arial Narrow" w:eastAsia="Times New Roman" w:hAnsi="Arial Narrow" w:cs="Arial"/>
          <w:snapToGrid w:val="0"/>
          <w:sz w:val="18"/>
          <w:lang w:eastAsia="en-AU"/>
        </w:rPr>
        <w:t>no</w:t>
      </w:r>
      <w:r w:rsidRPr="000A7BB0">
        <w:rPr>
          <w:rFonts w:ascii="Arial Narrow" w:eastAsia="Times New Roman" w:hAnsi="Arial Narrow" w:cs="Arial"/>
          <w:snapToGrid w:val="0"/>
          <w:spacing w:val="-2"/>
          <w:sz w:val="18"/>
          <w:lang w:eastAsia="en-AU"/>
        </w:rPr>
        <w:t xml:space="preserve"> </w:t>
      </w:r>
      <w:r w:rsidRPr="000A7BB0">
        <w:rPr>
          <w:rFonts w:ascii="Arial Narrow" w:eastAsia="Times New Roman" w:hAnsi="Arial Narrow" w:cs="Arial"/>
          <w:snapToGrid w:val="0"/>
          <w:sz w:val="18"/>
          <w:lang w:eastAsia="en-AU"/>
        </w:rPr>
        <w:t>estrogen receptor mutation</w:t>
      </w:r>
      <w:r w:rsidRPr="000A7BB0">
        <w:rPr>
          <w:rFonts w:ascii="Arial Narrow" w:eastAsia="Times New Roman" w:hAnsi="Arial Narrow" w:cs="Arial"/>
          <w:snapToGrid w:val="0"/>
          <w:spacing w:val="-4"/>
          <w:sz w:val="18"/>
          <w:lang w:eastAsia="en-AU"/>
        </w:rPr>
        <w:t xml:space="preserve"> </w:t>
      </w:r>
      <w:r w:rsidRPr="000A7BB0">
        <w:rPr>
          <w:rFonts w:ascii="Arial Narrow" w:eastAsia="Times New Roman" w:hAnsi="Arial Narrow" w:cs="Arial"/>
          <w:snapToGrid w:val="0"/>
          <w:sz w:val="18"/>
          <w:lang w:eastAsia="en-AU"/>
        </w:rPr>
        <w:t>detected; ITT = intention to treat; N = total number of subjects in group</w:t>
      </w:r>
    </w:p>
    <w:p w14:paraId="3D7CF8A9" w14:textId="414F45C9" w:rsidR="008D7EC8" w:rsidRPr="008D7EC8" w:rsidRDefault="00E30425" w:rsidP="002553CE">
      <w:pPr>
        <w:numPr>
          <w:ilvl w:val="4"/>
          <w:numId w:val="11"/>
        </w:numPr>
        <w:ind w:left="709" w:hanging="709"/>
        <w:rPr>
          <w:color w:val="000000" w:themeColor="text1"/>
        </w:rPr>
      </w:pPr>
      <w:r>
        <w:rPr>
          <w:color w:val="000000" w:themeColor="text1"/>
        </w:rPr>
        <w:t xml:space="preserve">The pre-PBAC </w:t>
      </w:r>
      <w:r w:rsidR="009E6476">
        <w:rPr>
          <w:color w:val="000000" w:themeColor="text1"/>
        </w:rPr>
        <w:t xml:space="preserve">response </w:t>
      </w:r>
      <w:r w:rsidR="0021173D">
        <w:rPr>
          <w:color w:val="000000" w:themeColor="text1"/>
        </w:rPr>
        <w:t>stated that the initial rapid drop of the PFS KM curve in both arms is due to the inclusion of heavily pre-treated patients, including those with prior exposure to chemotherapy, fulvestrant</w:t>
      </w:r>
      <w:r w:rsidR="00F85A9A">
        <w:rPr>
          <w:color w:val="000000" w:themeColor="text1"/>
        </w:rPr>
        <w:t>, and CDK4/6i,</w:t>
      </w:r>
      <w:r w:rsidR="00F26233">
        <w:rPr>
          <w:color w:val="000000" w:themeColor="text1"/>
        </w:rPr>
        <w:t xml:space="preserve"> who have primary endocrine resistance and are expected to progress rapidly. </w:t>
      </w:r>
      <w:r w:rsidR="00050862">
        <w:rPr>
          <w:color w:val="000000" w:themeColor="text1"/>
        </w:rPr>
        <w:t xml:space="preserve">As such, at the median point (50% </w:t>
      </w:r>
      <w:r w:rsidR="00050862">
        <w:rPr>
          <w:color w:val="000000" w:themeColor="text1"/>
        </w:rPr>
        <w:lastRenderedPageBreak/>
        <w:t xml:space="preserve">progression) the curves have only just begun to diverge. </w:t>
      </w:r>
      <w:r w:rsidR="008D7EC8">
        <w:rPr>
          <w:color w:val="000000" w:themeColor="text1"/>
        </w:rPr>
        <w:t>The pre-PBAC response noted that p</w:t>
      </w:r>
      <w:r w:rsidR="008D7EC8" w:rsidRPr="008D7EC8">
        <w:rPr>
          <w:color w:val="000000" w:themeColor="text1"/>
        </w:rPr>
        <w:t xml:space="preserve">re-specified landmark PFS analyses provide an additional characterisation of the long-term benefits of </w:t>
      </w:r>
      <w:r w:rsidR="00A90C18">
        <w:rPr>
          <w:color w:val="000000" w:themeColor="text1"/>
        </w:rPr>
        <w:t>elacestrant</w:t>
      </w:r>
      <w:r w:rsidR="008D7EC8" w:rsidRPr="008D7EC8">
        <w:rPr>
          <w:color w:val="000000" w:themeColor="text1"/>
        </w:rPr>
        <w:t xml:space="preserve"> in patients with </w:t>
      </w:r>
      <w:r w:rsidR="008D7EC8" w:rsidRPr="00914648">
        <w:rPr>
          <w:i/>
          <w:iCs/>
          <w:color w:val="000000" w:themeColor="text1"/>
        </w:rPr>
        <w:t>ESR1</w:t>
      </w:r>
      <w:r w:rsidR="00914648">
        <w:rPr>
          <w:color w:val="000000" w:themeColor="text1"/>
        </w:rPr>
        <w:t xml:space="preserve"> variant</w:t>
      </w:r>
      <w:r w:rsidR="00652920">
        <w:rPr>
          <w:color w:val="000000" w:themeColor="text1"/>
        </w:rPr>
        <w:t>;</w:t>
      </w:r>
      <w:r w:rsidR="008D7EC8" w:rsidRPr="008D7EC8">
        <w:rPr>
          <w:color w:val="000000" w:themeColor="text1"/>
        </w:rPr>
        <w:t xml:space="preserve"> 6-month PFS: 40.8% (</w:t>
      </w:r>
      <w:r w:rsidR="00A90C18">
        <w:rPr>
          <w:color w:val="000000" w:themeColor="text1"/>
        </w:rPr>
        <w:t>elacestrant</w:t>
      </w:r>
      <w:r w:rsidR="008D7EC8" w:rsidRPr="008D7EC8">
        <w:rPr>
          <w:color w:val="000000" w:themeColor="text1"/>
        </w:rPr>
        <w:t>) vs 19.1% (</w:t>
      </w:r>
      <w:r w:rsidR="00A90C18">
        <w:rPr>
          <w:color w:val="000000" w:themeColor="text1"/>
        </w:rPr>
        <w:t>SOC</w:t>
      </w:r>
      <w:r w:rsidR="008D7EC8" w:rsidRPr="008D7EC8">
        <w:rPr>
          <w:color w:val="000000" w:themeColor="text1"/>
        </w:rPr>
        <w:t>), 12-month PFS: 26.8% (</w:t>
      </w:r>
      <w:r w:rsidR="00A90C18">
        <w:rPr>
          <w:color w:val="000000" w:themeColor="text1"/>
        </w:rPr>
        <w:t>elacestrant</w:t>
      </w:r>
      <w:r w:rsidR="008D7EC8" w:rsidRPr="008D7EC8">
        <w:rPr>
          <w:color w:val="000000" w:themeColor="text1"/>
        </w:rPr>
        <w:t>) vs 8.2% (</w:t>
      </w:r>
      <w:r w:rsidR="00A90C18">
        <w:rPr>
          <w:color w:val="000000" w:themeColor="text1"/>
        </w:rPr>
        <w:t>SOC</w:t>
      </w:r>
      <w:r w:rsidR="008D7EC8" w:rsidRPr="008D7EC8">
        <w:rPr>
          <w:color w:val="000000" w:themeColor="text1"/>
        </w:rPr>
        <w:t>)</w:t>
      </w:r>
      <w:r w:rsidR="0055434C">
        <w:rPr>
          <w:color w:val="000000" w:themeColor="text1"/>
        </w:rPr>
        <w:t>.</w:t>
      </w:r>
    </w:p>
    <w:p w14:paraId="56F33626" w14:textId="6A05152C" w:rsidR="00A5453C" w:rsidRPr="004A232C" w:rsidRDefault="009E18C3" w:rsidP="002553CE">
      <w:pPr>
        <w:numPr>
          <w:ilvl w:val="4"/>
          <w:numId w:val="11"/>
        </w:numPr>
        <w:ind w:left="709" w:hanging="709"/>
        <w:rPr>
          <w:color w:val="000000" w:themeColor="text1"/>
        </w:rPr>
      </w:pPr>
      <w:r w:rsidRPr="000A7BB0">
        <w:rPr>
          <w:color w:val="000000" w:themeColor="text1"/>
        </w:rPr>
        <w:t xml:space="preserve">An updated analysis for the key secondary outcome of OS was performed with a cut-off date of 02 September 2022, by which time 50% of events had occurred (median follow-up 26 months) for both the overall population as well the </w:t>
      </w:r>
      <w:r w:rsidRPr="000A7BB0">
        <w:rPr>
          <w:i/>
          <w:iCs/>
          <w:color w:val="000000" w:themeColor="text1"/>
        </w:rPr>
        <w:t>ESR1</w:t>
      </w:r>
      <w:r w:rsidRPr="000A7BB0">
        <w:rPr>
          <w:color w:val="000000" w:themeColor="text1"/>
        </w:rPr>
        <w:t xml:space="preserve"> </w:t>
      </w:r>
      <w:r w:rsidR="001C4E06" w:rsidRPr="000A7BB0">
        <w:rPr>
          <w:color w:val="000000" w:themeColor="text1"/>
        </w:rPr>
        <w:t>variant</w:t>
      </w:r>
      <w:r w:rsidRPr="000A7BB0">
        <w:rPr>
          <w:color w:val="000000" w:themeColor="text1"/>
        </w:rPr>
        <w:t xml:space="preserve"> population (intention to treat [ITT]). The difference in OS between the elacestrant and SOC treatment arms was not statistically significant in either the whole trial population or the </w:t>
      </w:r>
      <w:r w:rsidRPr="000A7BB0">
        <w:rPr>
          <w:i/>
          <w:iCs/>
          <w:color w:val="000000" w:themeColor="text1"/>
        </w:rPr>
        <w:t>ESR1</w:t>
      </w:r>
      <w:r w:rsidRPr="000A7BB0">
        <w:rPr>
          <w:color w:val="000000" w:themeColor="text1"/>
        </w:rPr>
        <w:t xml:space="preserve"> variant population.</w:t>
      </w:r>
      <w:r w:rsidR="54A9EAA1" w:rsidRPr="000A7BB0">
        <w:rPr>
          <w:color w:val="000000" w:themeColor="text1"/>
        </w:rPr>
        <w:t xml:space="preserve"> </w:t>
      </w:r>
      <w:r w:rsidR="67EBD07C" w:rsidRPr="004A232C">
        <w:rPr>
          <w:color w:val="000000" w:themeColor="text1"/>
        </w:rPr>
        <w:t xml:space="preserve">The </w:t>
      </w:r>
      <w:r w:rsidR="00017B6E" w:rsidRPr="00017B6E">
        <w:rPr>
          <w:color w:val="000000" w:themeColor="text1"/>
        </w:rPr>
        <w:t xml:space="preserve">Pre-Sub-Committee Response </w:t>
      </w:r>
      <w:r w:rsidR="00017B6E">
        <w:rPr>
          <w:color w:val="000000" w:themeColor="text1"/>
        </w:rPr>
        <w:t>(</w:t>
      </w:r>
      <w:r w:rsidR="67EBD07C" w:rsidRPr="004A232C">
        <w:rPr>
          <w:color w:val="000000" w:themeColor="text1"/>
        </w:rPr>
        <w:t>PSCR</w:t>
      </w:r>
      <w:r w:rsidR="0FBC00BE" w:rsidRPr="004A232C">
        <w:rPr>
          <w:color w:val="000000" w:themeColor="text1"/>
        </w:rPr>
        <w:t xml:space="preserve">) </w:t>
      </w:r>
      <w:r w:rsidR="67EBD07C" w:rsidRPr="004A232C">
        <w:rPr>
          <w:color w:val="000000" w:themeColor="text1"/>
        </w:rPr>
        <w:t xml:space="preserve">noted that </w:t>
      </w:r>
      <w:r w:rsidR="2A88D42F" w:rsidRPr="004A232C">
        <w:rPr>
          <w:color w:val="000000" w:themeColor="text1"/>
        </w:rPr>
        <w:t>the EMERALD trial was not powered to demonstrate an OS benefit</w:t>
      </w:r>
      <w:r w:rsidR="150AE0FE" w:rsidRPr="004A232C">
        <w:rPr>
          <w:color w:val="000000" w:themeColor="text1"/>
        </w:rPr>
        <w:t xml:space="preserve"> and that this was consistent with other trials in this patient population. The PSCR also noted that </w:t>
      </w:r>
      <w:r w:rsidR="6B355DB0" w:rsidRPr="004A232C">
        <w:rPr>
          <w:color w:val="000000" w:themeColor="text1"/>
        </w:rPr>
        <w:t>no ET based regimens, including fulvestrant monotherapy</w:t>
      </w:r>
      <w:r w:rsidR="742B1507" w:rsidRPr="004A232C">
        <w:rPr>
          <w:color w:val="000000" w:themeColor="text1"/>
        </w:rPr>
        <w:t>, have demonstrated OS benefit after 1L ET + CDK</w:t>
      </w:r>
      <w:r w:rsidR="0F33478D" w:rsidRPr="004A232C">
        <w:rPr>
          <w:color w:val="000000" w:themeColor="text1"/>
        </w:rPr>
        <w:t>4/6i.</w:t>
      </w:r>
    </w:p>
    <w:p w14:paraId="7E85E37B" w14:textId="35858A8A" w:rsidR="00FC46BD" w:rsidRPr="000A7BB0" w:rsidRDefault="4954AFC6" w:rsidP="002553CE">
      <w:pPr>
        <w:numPr>
          <w:ilvl w:val="4"/>
          <w:numId w:val="11"/>
        </w:numPr>
        <w:ind w:left="709" w:hanging="709"/>
        <w:rPr>
          <w:color w:val="000000" w:themeColor="text1"/>
        </w:rPr>
      </w:pPr>
      <w:r w:rsidRPr="000A7BB0">
        <w:rPr>
          <w:color w:val="000000" w:themeColor="text1"/>
        </w:rPr>
        <w:t>In the whole of trial population, the 6- and 12-month OS rates were 93.01% and 78.97%, respectively, in the elacestrant arm as compared to 84.87% and 73.84% in the SOC arm. At month 24, the OS rates across both arms were similar (51.00% vs 48.84%) as observed in the converging of curves in</w:t>
      </w:r>
      <w:r w:rsidR="00FF2AC2">
        <w:rPr>
          <w:color w:val="000000" w:themeColor="text1"/>
        </w:rPr>
        <w:t xml:space="preserve"> </w:t>
      </w:r>
      <w:r w:rsidR="00CE3657">
        <w:rPr>
          <w:color w:val="000000" w:themeColor="text1"/>
        </w:rPr>
        <w:t>Figure 5.</w:t>
      </w:r>
    </w:p>
    <w:p w14:paraId="46DFDA48" w14:textId="55D02896" w:rsidR="002C5782" w:rsidRPr="000A7BB0" w:rsidRDefault="4954AFC6" w:rsidP="002553CE">
      <w:pPr>
        <w:numPr>
          <w:ilvl w:val="4"/>
          <w:numId w:val="11"/>
        </w:numPr>
        <w:ind w:left="709" w:hanging="709"/>
        <w:rPr>
          <w:color w:val="000000" w:themeColor="text1"/>
        </w:rPr>
      </w:pPr>
      <w:r w:rsidRPr="000A7BB0">
        <w:rPr>
          <w:color w:val="000000" w:themeColor="text1"/>
        </w:rPr>
        <w:t xml:space="preserve">In the </w:t>
      </w:r>
      <w:r w:rsidRPr="000A7BB0">
        <w:rPr>
          <w:i/>
          <w:iCs/>
          <w:color w:val="000000" w:themeColor="text1"/>
        </w:rPr>
        <w:t>ESR1</w:t>
      </w:r>
      <w:r w:rsidR="1A17FBA5" w:rsidRPr="000A7BB0">
        <w:rPr>
          <w:color w:val="000000" w:themeColor="text1"/>
        </w:rPr>
        <w:t xml:space="preserve"> variant</w:t>
      </w:r>
      <w:r w:rsidRPr="000A7BB0">
        <w:rPr>
          <w:color w:val="000000" w:themeColor="text1"/>
        </w:rPr>
        <w:t xml:space="preserve"> patients, the 6- and 12-month OS rates were 92.79% and 83.11%, respectively, in the elacestrant arm as compared to 84.36% and 74.38% in the SOC arm. At month 24, the OS rates across both arms were similar (50.71% vs 49.02%) as observed in the converging of curves in </w:t>
      </w:r>
      <w:r w:rsidR="00947D83" w:rsidRPr="000A7BB0">
        <w:rPr>
          <w:color w:val="000000" w:themeColor="text1"/>
        </w:rPr>
        <w:fldChar w:fldCharType="begin"/>
      </w:r>
      <w:r w:rsidR="00947D83" w:rsidRPr="000A7BB0">
        <w:rPr>
          <w:color w:val="000000" w:themeColor="text1"/>
        </w:rPr>
        <w:instrText xml:space="preserve"> REF _Ref187417307 \h </w:instrText>
      </w:r>
      <w:r w:rsidR="00FD1930" w:rsidRPr="000A7BB0">
        <w:rPr>
          <w:color w:val="000000" w:themeColor="text1"/>
        </w:rPr>
        <w:instrText xml:space="preserve"> \* MERGEFORMAT </w:instrText>
      </w:r>
      <w:r w:rsidR="00947D83" w:rsidRPr="000A7BB0">
        <w:rPr>
          <w:color w:val="000000" w:themeColor="text1"/>
        </w:rPr>
      </w:r>
      <w:r w:rsidR="00947D83" w:rsidRPr="000A7BB0">
        <w:rPr>
          <w:color w:val="000000" w:themeColor="text1"/>
        </w:rPr>
        <w:fldChar w:fldCharType="separate"/>
      </w:r>
      <w:r w:rsidR="004F224A" w:rsidRPr="004F224A">
        <w:rPr>
          <w:color w:val="000000" w:themeColor="text1"/>
        </w:rPr>
        <w:t>Figure 6</w:t>
      </w:r>
      <w:r w:rsidR="00947D83" w:rsidRPr="000A7BB0">
        <w:rPr>
          <w:color w:val="000000" w:themeColor="text1"/>
        </w:rPr>
        <w:fldChar w:fldCharType="end"/>
      </w:r>
      <w:r w:rsidR="0A7BAC39" w:rsidRPr="000A7BB0">
        <w:rPr>
          <w:color w:val="000000" w:themeColor="text1"/>
        </w:rPr>
        <w:t>.</w:t>
      </w:r>
    </w:p>
    <w:p w14:paraId="2933F4A3" w14:textId="0F477D73" w:rsidR="006445C9" w:rsidRPr="000A7BB0" w:rsidRDefault="006445C9" w:rsidP="002553CE">
      <w:pPr>
        <w:pStyle w:val="Caption"/>
        <w:rPr>
          <w:rFonts w:eastAsiaTheme="majorEastAsia"/>
          <w:lang w:eastAsia="en-AU"/>
        </w:rPr>
      </w:pPr>
      <w:r w:rsidRPr="000A7BB0">
        <w:t xml:space="preserve">Figure </w:t>
      </w:r>
      <w:bookmarkStart w:id="26" w:name="_Ref187417242"/>
      <w:r w:rsidRPr="000A7BB0">
        <w:fldChar w:fldCharType="begin"/>
      </w:r>
      <w:r w:rsidRPr="000A7BB0">
        <w:instrText>SEQ Figure_PBAC. \* ARABIC</w:instrText>
      </w:r>
      <w:r w:rsidRPr="000A7BB0">
        <w:fldChar w:fldCharType="separate"/>
      </w:r>
      <w:r w:rsidR="004F224A">
        <w:rPr>
          <w:noProof/>
        </w:rPr>
        <w:t>5</w:t>
      </w:r>
      <w:r w:rsidRPr="000A7BB0">
        <w:fldChar w:fldCharType="end"/>
      </w:r>
      <w:bookmarkEnd w:id="26"/>
      <w:r w:rsidR="002C3327" w:rsidRPr="000A7BB0">
        <w:t>:</w:t>
      </w:r>
      <w:r w:rsidR="002C3327" w:rsidRPr="000A7BB0">
        <w:rPr>
          <w:bCs/>
        </w:rPr>
        <w:t xml:space="preserve"> </w:t>
      </w:r>
      <w:r w:rsidRPr="000A7BB0">
        <w:rPr>
          <w:rStyle w:val="TableRowHeaderChar"/>
          <w:b/>
          <w:lang w:eastAsia="en-AU"/>
        </w:rPr>
        <w:t>OS Kaplan Meier plot in whole of trial population (ITT, final analysis)</w:t>
      </w:r>
      <w:r w:rsidR="006C6F40" w:rsidRPr="000A7BB0">
        <w:rPr>
          <w:noProof/>
          <w:lang w:eastAsia="en-AU"/>
        </w:rPr>
        <w:drawing>
          <wp:inline distT="0" distB="0" distL="0" distR="0" wp14:anchorId="36D61D1D" wp14:editId="116542D4">
            <wp:extent cx="5731510" cy="3233370"/>
            <wp:effectExtent l="0" t="0" r="2540" b="5715"/>
            <wp:docPr id="1919349029" name="Picture 69" descr="Figure 5: OS Kaplan Meier plot in whole of trial population (ITT, fin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49029" name="Picture 69" descr="Figure 5: OS Kaplan Meier plot in whole of trial population (ITT, final analysis)"/>
                    <pic:cNvPicPr>
                      <a:picLocks noChangeAspect="1" noChangeArrowheads="1"/>
                    </pic:cNvPicPr>
                  </pic:nvPicPr>
                  <pic:blipFill>
                    <a:blip r:embed="rId16" cstate="print"/>
                    <a:srcRect/>
                    <a:stretch>
                      <a:fillRect/>
                    </a:stretch>
                  </pic:blipFill>
                  <pic:spPr bwMode="auto">
                    <a:xfrm>
                      <a:off x="0" y="0"/>
                      <a:ext cx="5731510" cy="3233370"/>
                    </a:xfrm>
                    <a:prstGeom prst="rect">
                      <a:avLst/>
                    </a:prstGeom>
                    <a:noFill/>
                    <a:ln w="9525">
                      <a:noFill/>
                      <a:miter lim="800000"/>
                      <a:headEnd/>
                      <a:tailEnd/>
                    </a:ln>
                  </pic:spPr>
                </pic:pic>
              </a:graphicData>
            </a:graphic>
          </wp:inline>
        </w:drawing>
      </w:r>
    </w:p>
    <w:p w14:paraId="493CE2A9" w14:textId="77777777" w:rsidR="006445C9" w:rsidRPr="000A7BB0" w:rsidRDefault="006445C9" w:rsidP="002553CE">
      <w:pPr>
        <w:pStyle w:val="TableFooter"/>
        <w:widowControl/>
        <w:rPr>
          <w:lang w:eastAsia="en-AU"/>
        </w:rPr>
      </w:pPr>
      <w:r w:rsidRPr="000A7BB0">
        <w:rPr>
          <w:lang w:eastAsia="en-AU"/>
        </w:rPr>
        <w:t>Source: Figure 2.42, p218 of the submission</w:t>
      </w:r>
    </w:p>
    <w:p w14:paraId="3FD0583E" w14:textId="77777777" w:rsidR="006445C9" w:rsidRPr="000A7BB0" w:rsidRDefault="006445C9" w:rsidP="002553CE">
      <w:pPr>
        <w:pStyle w:val="TableFooter"/>
        <w:widowControl/>
        <w:spacing w:after="120"/>
        <w:rPr>
          <w:lang w:eastAsia="en-AU"/>
        </w:rPr>
      </w:pPr>
      <w:r w:rsidRPr="000A7BB0">
        <w:rPr>
          <w:lang w:eastAsia="en-AU"/>
        </w:rPr>
        <w:t xml:space="preserve">ITT = intention to treat; N = total number of subjects in group; OS = overall survival </w:t>
      </w:r>
    </w:p>
    <w:p w14:paraId="6F560AF9" w14:textId="54B49CDD" w:rsidR="00CC5A12" w:rsidRPr="000A7BB0" w:rsidRDefault="00F338E3" w:rsidP="002553CE">
      <w:pPr>
        <w:pStyle w:val="Caption"/>
      </w:pPr>
      <w:bookmarkStart w:id="27" w:name="_Ref187417307"/>
      <w:r w:rsidRPr="000A7BB0">
        <w:lastRenderedPageBreak/>
        <w:t xml:space="preserve">Figure </w:t>
      </w:r>
      <w:r w:rsidRPr="000A7BB0">
        <w:fldChar w:fldCharType="begin"/>
      </w:r>
      <w:r w:rsidRPr="000A7BB0">
        <w:instrText>SEQ Figure_PBAC. \* ARABIC</w:instrText>
      </w:r>
      <w:r w:rsidRPr="000A7BB0">
        <w:fldChar w:fldCharType="separate"/>
      </w:r>
      <w:r w:rsidR="004F224A">
        <w:rPr>
          <w:noProof/>
        </w:rPr>
        <w:t>6</w:t>
      </w:r>
      <w:r w:rsidRPr="000A7BB0">
        <w:fldChar w:fldCharType="end"/>
      </w:r>
      <w:bookmarkEnd w:id="27"/>
      <w:r w:rsidRPr="000A7BB0">
        <w:rPr>
          <w:bCs/>
          <w:lang w:eastAsia="en-AU"/>
        </w:rPr>
        <w:t>:</w:t>
      </w:r>
      <w:r w:rsidR="00CC5A12" w:rsidRPr="000A7BB0">
        <w:rPr>
          <w:lang w:eastAsia="en-AU"/>
        </w:rPr>
        <w:t xml:space="preserve"> OS Kaplan Meier plot in the </w:t>
      </w:r>
      <w:r w:rsidR="00CC5A12" w:rsidRPr="000A7BB0">
        <w:rPr>
          <w:bCs/>
          <w:lang w:eastAsia="en-AU"/>
        </w:rPr>
        <w:t>ESR1</w:t>
      </w:r>
      <w:r w:rsidR="00BD3942" w:rsidRPr="000A7BB0">
        <w:rPr>
          <w:bCs/>
          <w:lang w:eastAsia="en-AU"/>
        </w:rPr>
        <w:t xml:space="preserve"> variant</w:t>
      </w:r>
      <w:r w:rsidR="00CC5A12" w:rsidRPr="000A7BB0">
        <w:rPr>
          <w:lang w:eastAsia="en-AU"/>
        </w:rPr>
        <w:t xml:space="preserve"> </w:t>
      </w:r>
      <w:r w:rsidR="00CC5A12" w:rsidRPr="000A7BB0">
        <w:rPr>
          <w:bCs/>
          <w:lang w:eastAsia="en-AU"/>
        </w:rPr>
        <w:t>subgroup (ITT, final analysis)</w:t>
      </w:r>
      <w:r w:rsidR="00CC5A12" w:rsidRPr="000A7BB0">
        <w:rPr>
          <w:noProof/>
          <w:lang w:eastAsia="en-AU"/>
        </w:rPr>
        <w:drawing>
          <wp:inline distT="0" distB="0" distL="0" distR="0" wp14:anchorId="79EA1344" wp14:editId="40C8AF0F">
            <wp:extent cx="5731510" cy="3193438"/>
            <wp:effectExtent l="0" t="0" r="2540" b="6985"/>
            <wp:docPr id="1817859879" name="Picture 75" descr="Figure 6: OS Kaplan Meier plot in the ESR1 variant subgroup (ITT, fin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59879" name="Picture 75" descr="Figure 6: OS Kaplan Meier plot in the ESR1 variant subgroup (ITT, final analysis)"/>
                    <pic:cNvPicPr>
                      <a:picLocks noChangeAspect="1" noChangeArrowheads="1"/>
                    </pic:cNvPicPr>
                  </pic:nvPicPr>
                  <pic:blipFill>
                    <a:blip r:embed="rId17" cstate="print"/>
                    <a:srcRect/>
                    <a:stretch>
                      <a:fillRect/>
                    </a:stretch>
                  </pic:blipFill>
                  <pic:spPr bwMode="auto">
                    <a:xfrm>
                      <a:off x="0" y="0"/>
                      <a:ext cx="5731510" cy="3193438"/>
                    </a:xfrm>
                    <a:prstGeom prst="rect">
                      <a:avLst/>
                    </a:prstGeom>
                    <a:noFill/>
                    <a:ln w="9525">
                      <a:noFill/>
                      <a:miter lim="800000"/>
                      <a:headEnd/>
                      <a:tailEnd/>
                    </a:ln>
                  </pic:spPr>
                </pic:pic>
              </a:graphicData>
            </a:graphic>
          </wp:inline>
        </w:drawing>
      </w:r>
    </w:p>
    <w:p w14:paraId="52EFDD87" w14:textId="77777777" w:rsidR="00CC5A12" w:rsidRPr="000A7BB0" w:rsidRDefault="00CC5A12"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Source: Figure 2.44, p219 of the submission</w:t>
      </w:r>
    </w:p>
    <w:p w14:paraId="5712739C" w14:textId="38DB8007" w:rsidR="00CC5A12" w:rsidRPr="000A7BB0" w:rsidRDefault="00CC5A12" w:rsidP="002553CE">
      <w:pPr>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i/>
          <w:iCs/>
          <w:snapToGrid w:val="0"/>
          <w:sz w:val="18"/>
          <w:lang w:eastAsia="en-AU"/>
        </w:rPr>
        <w:t>ESR1</w:t>
      </w:r>
      <w:r w:rsidRPr="000A7BB0">
        <w:rPr>
          <w:rFonts w:ascii="Arial Narrow" w:eastAsia="Times New Roman" w:hAnsi="Arial Narrow" w:cs="Arial"/>
          <w:snapToGrid w:val="0"/>
          <w:sz w:val="18"/>
          <w:lang w:eastAsia="en-AU"/>
        </w:rPr>
        <w:t xml:space="preserve">-mut = estrogen receptor 1 </w:t>
      </w:r>
      <w:r w:rsidR="00284250" w:rsidRPr="000A7BB0">
        <w:rPr>
          <w:rFonts w:ascii="Arial Narrow" w:eastAsia="Times New Roman" w:hAnsi="Arial Narrow" w:cs="Arial"/>
          <w:snapToGrid w:val="0"/>
          <w:sz w:val="18"/>
          <w:lang w:eastAsia="en-AU"/>
        </w:rPr>
        <w:t>variant</w:t>
      </w:r>
      <w:r w:rsidRPr="000A7BB0">
        <w:rPr>
          <w:rFonts w:ascii="Arial Narrow" w:eastAsia="Times New Roman" w:hAnsi="Arial Narrow" w:cs="Arial"/>
          <w:snapToGrid w:val="0"/>
          <w:sz w:val="18"/>
          <w:lang w:eastAsia="en-AU"/>
        </w:rPr>
        <w:t xml:space="preserve">; ITT = intention to treat; N = total number of subjects in group; OS = overall survival </w:t>
      </w:r>
    </w:p>
    <w:p w14:paraId="7BE9D4BF" w14:textId="77777777" w:rsidR="00CC5A12" w:rsidRPr="000A7BB0" w:rsidRDefault="00CC5A12" w:rsidP="002553CE">
      <w:pPr>
        <w:pStyle w:val="TableFooter"/>
        <w:widowControl/>
        <w:rPr>
          <w:lang w:eastAsia="en-AU"/>
        </w:rPr>
      </w:pPr>
    </w:p>
    <w:p w14:paraId="2795AF00" w14:textId="3AC27175" w:rsidR="00BD3942" w:rsidRPr="000A7BB0" w:rsidRDefault="00C92F7A" w:rsidP="002553CE">
      <w:pPr>
        <w:pStyle w:val="Caption"/>
      </w:pPr>
      <w:bookmarkStart w:id="28" w:name="_Ref187417361"/>
      <w:r w:rsidRPr="000A7BB0">
        <w:t xml:space="preserve">Figure </w:t>
      </w:r>
      <w:r w:rsidRPr="000A7BB0">
        <w:fldChar w:fldCharType="begin"/>
      </w:r>
      <w:r w:rsidRPr="000A7BB0">
        <w:instrText>SEQ Figure_PBAC. \* ARABIC</w:instrText>
      </w:r>
      <w:r w:rsidRPr="000A7BB0">
        <w:fldChar w:fldCharType="separate"/>
      </w:r>
      <w:r w:rsidR="004F224A">
        <w:rPr>
          <w:noProof/>
        </w:rPr>
        <w:t>7</w:t>
      </w:r>
      <w:r w:rsidRPr="000A7BB0">
        <w:fldChar w:fldCharType="end"/>
      </w:r>
      <w:bookmarkEnd w:id="28"/>
      <w:r w:rsidRPr="000A7BB0">
        <w:t xml:space="preserve">: </w:t>
      </w:r>
      <w:r w:rsidR="00BD3942" w:rsidRPr="000A7BB0">
        <w:rPr>
          <w:rFonts w:eastAsiaTheme="majorEastAsia"/>
          <w:szCs w:val="24"/>
        </w:rPr>
        <w:t xml:space="preserve">OS Kaplan Meier plot in the </w:t>
      </w:r>
      <w:r w:rsidR="00C246CD" w:rsidRPr="000A7BB0">
        <w:rPr>
          <w:rFonts w:eastAsiaTheme="majorEastAsia"/>
          <w:bCs/>
          <w:szCs w:val="24"/>
        </w:rPr>
        <w:t>non</w:t>
      </w:r>
      <w:r w:rsidR="008F2088" w:rsidRPr="000A7BB0">
        <w:rPr>
          <w:rFonts w:eastAsiaTheme="majorEastAsia"/>
          <w:bCs/>
          <w:szCs w:val="24"/>
        </w:rPr>
        <w:t>-</w:t>
      </w:r>
      <w:r w:rsidR="00BD3942" w:rsidRPr="000A7BB0">
        <w:rPr>
          <w:rFonts w:eastAsiaTheme="majorEastAsia"/>
          <w:bCs/>
          <w:szCs w:val="24"/>
        </w:rPr>
        <w:t>ESR1 variant subgroup (ITT, final analysis)</w:t>
      </w:r>
      <w:r w:rsidR="00AC062F" w:rsidRPr="000A7BB0">
        <w:rPr>
          <w:noProof/>
        </w:rPr>
        <w:drawing>
          <wp:inline distT="0" distB="0" distL="0" distR="0" wp14:anchorId="09B120B7" wp14:editId="7BBAA1B9">
            <wp:extent cx="5649650" cy="3183100"/>
            <wp:effectExtent l="19050" t="0" r="8200" b="0"/>
            <wp:docPr id="375829609" name="Picture 81" descr="Figure 7: OS Kaplan Meier plot in the non-ESR1 variant subgroup (ITT, fin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29609" name="Picture 81" descr="Figure 7: OS Kaplan Meier plot in the non-ESR1 variant subgroup (ITT, final analysis)"/>
                    <pic:cNvPicPr>
                      <a:picLocks noChangeAspect="1" noChangeArrowheads="1"/>
                    </pic:cNvPicPr>
                  </pic:nvPicPr>
                  <pic:blipFill>
                    <a:blip r:embed="rId18" cstate="print"/>
                    <a:srcRect/>
                    <a:stretch>
                      <a:fillRect/>
                    </a:stretch>
                  </pic:blipFill>
                  <pic:spPr bwMode="auto">
                    <a:xfrm>
                      <a:off x="0" y="0"/>
                      <a:ext cx="5657616" cy="3187588"/>
                    </a:xfrm>
                    <a:prstGeom prst="rect">
                      <a:avLst/>
                    </a:prstGeom>
                    <a:noFill/>
                    <a:ln w="9525">
                      <a:noFill/>
                      <a:miter lim="800000"/>
                      <a:headEnd/>
                      <a:tailEnd/>
                    </a:ln>
                  </pic:spPr>
                </pic:pic>
              </a:graphicData>
            </a:graphic>
          </wp:inline>
        </w:drawing>
      </w:r>
      <w:r w:rsidR="00B87BC1" w:rsidRPr="000A7BB0">
        <w:t xml:space="preserve"> </w:t>
      </w:r>
      <w:r w:rsidR="00B87BC1" w:rsidRPr="000A7BB0">
        <w:rPr>
          <w:rStyle w:val="FooterTableFigureChar"/>
          <w:rFonts w:eastAsiaTheme="minorHAnsi"/>
          <w:b w:val="0"/>
        </w:rPr>
        <w:t>Source: Figure 2.46, p220</w:t>
      </w:r>
      <w:r w:rsidR="00BD3942" w:rsidRPr="000A7BB0">
        <w:rPr>
          <w:rStyle w:val="FooterTableFigureChar"/>
          <w:rFonts w:eastAsiaTheme="minorHAnsi"/>
          <w:b w:val="0"/>
        </w:rPr>
        <w:t xml:space="preserve"> of the submission</w:t>
      </w:r>
    </w:p>
    <w:p w14:paraId="7174190D" w14:textId="54E20866" w:rsidR="00BD3942" w:rsidRPr="000A7BB0" w:rsidRDefault="29F1F98A" w:rsidP="002553CE">
      <w:pPr>
        <w:pStyle w:val="TableFigureFooter"/>
      </w:pPr>
      <w:r w:rsidRPr="000A7BB0">
        <w:rPr>
          <w:i/>
          <w:iCs/>
        </w:rPr>
        <w:t>ESR1</w:t>
      </w:r>
      <w:r w:rsidRPr="000A7BB0">
        <w:t>-mut</w:t>
      </w:r>
      <w:r w:rsidR="4B641334" w:rsidRPr="000A7BB0">
        <w:t xml:space="preserve">-nd = </w:t>
      </w:r>
      <w:r w:rsidR="4B641334" w:rsidRPr="000A7BB0">
        <w:rPr>
          <w:i/>
          <w:iCs/>
        </w:rPr>
        <w:t>ESR1</w:t>
      </w:r>
      <w:r w:rsidRPr="000A7BB0">
        <w:t xml:space="preserve"> mutation</w:t>
      </w:r>
      <w:r w:rsidR="4B641334" w:rsidRPr="000A7BB0">
        <w:t xml:space="preserve"> not detected;</w:t>
      </w:r>
      <w:r w:rsidRPr="000A7BB0">
        <w:t xml:space="preserve">; ITT = intention to treat; N = total number of subjects in group; OS = overall survival </w:t>
      </w:r>
    </w:p>
    <w:p w14:paraId="5D286003" w14:textId="5E491766" w:rsidR="009E18C3" w:rsidRPr="000A7BB0" w:rsidRDefault="009E18C3" w:rsidP="002553CE">
      <w:pPr>
        <w:numPr>
          <w:ilvl w:val="4"/>
          <w:numId w:val="11"/>
        </w:numPr>
        <w:ind w:left="709" w:hanging="709"/>
        <w:rPr>
          <w:color w:val="000000" w:themeColor="text1"/>
        </w:rPr>
      </w:pPr>
      <w:r w:rsidRPr="000A7BB0">
        <w:rPr>
          <w:color w:val="000000" w:themeColor="text1"/>
        </w:rPr>
        <w:t xml:space="preserve">For other secondary outcomes, including ORR and HRQoL, there </w:t>
      </w:r>
      <w:r w:rsidR="000D7D18" w:rsidRPr="000A7BB0">
        <w:rPr>
          <w:color w:val="000000" w:themeColor="text1"/>
        </w:rPr>
        <w:t xml:space="preserve">were </w:t>
      </w:r>
      <w:r w:rsidRPr="000A7BB0">
        <w:rPr>
          <w:color w:val="000000" w:themeColor="text1"/>
        </w:rPr>
        <w:t xml:space="preserve">no statistically significant differences between treatment arms, in either the whole trial population or the </w:t>
      </w:r>
      <w:r w:rsidRPr="000A7BB0">
        <w:rPr>
          <w:i/>
          <w:color w:val="000000" w:themeColor="text1"/>
        </w:rPr>
        <w:t>ESR1</w:t>
      </w:r>
      <w:r w:rsidRPr="000A7BB0">
        <w:rPr>
          <w:color w:val="000000" w:themeColor="text1"/>
        </w:rPr>
        <w:t xml:space="preserve"> variant population. The submission stated that the median duration of </w:t>
      </w:r>
      <w:r w:rsidRPr="000A7BB0">
        <w:rPr>
          <w:color w:val="000000" w:themeColor="text1"/>
        </w:rPr>
        <w:lastRenderedPageBreak/>
        <w:t>response (DoR) could not be calculated in the elacestrant arm because all patients with response were censored without progression or death as of the cut-off date. However, for the secondary outcome clinical benefit rate (CBR- the percentage of patients who achieved a partial response or stable disease sustained for at least 24</w:t>
      </w:r>
      <w:r w:rsidR="005906FC">
        <w:rPr>
          <w:color w:val="000000" w:themeColor="text1"/>
        </w:rPr>
        <w:t> </w:t>
      </w:r>
      <w:r w:rsidRPr="000A7BB0">
        <w:rPr>
          <w:color w:val="000000" w:themeColor="text1"/>
        </w:rPr>
        <w:t xml:space="preserve">weeks), there was a significant difference between patients treated with elacestrant and those treated with SOC in the </w:t>
      </w:r>
      <w:r w:rsidRPr="000A7BB0">
        <w:rPr>
          <w:i/>
          <w:color w:val="000000" w:themeColor="text1"/>
        </w:rPr>
        <w:t>ESR1</w:t>
      </w:r>
      <w:r w:rsidRPr="000A7BB0">
        <w:rPr>
          <w:color w:val="000000" w:themeColor="text1"/>
        </w:rPr>
        <w:t xml:space="preserve"> variant population (24.1% vs 11.5%, p=0.024).</w:t>
      </w:r>
    </w:p>
    <w:p w14:paraId="1047C650" w14:textId="77777777" w:rsidR="007D5CA8" w:rsidRPr="000A7BB0" w:rsidRDefault="00623454" w:rsidP="002553CE">
      <w:pPr>
        <w:pStyle w:val="OutlineHeading2"/>
        <w:rPr>
          <w:rFonts w:ascii="Calibri" w:hAnsi="Calibri" w:cs="Calibri"/>
        </w:rPr>
      </w:pPr>
      <w:r w:rsidRPr="000A7BB0">
        <w:rPr>
          <w:rFonts w:ascii="Calibri" w:hAnsi="Calibri" w:cs="Calibri"/>
        </w:rPr>
        <w:t>Comparative harms</w:t>
      </w:r>
    </w:p>
    <w:p w14:paraId="39A21C84" w14:textId="69BA39BD" w:rsidR="009E18C3" w:rsidRPr="000A7BB0" w:rsidRDefault="009E18C3" w:rsidP="002553CE">
      <w:pPr>
        <w:numPr>
          <w:ilvl w:val="4"/>
          <w:numId w:val="11"/>
        </w:numPr>
        <w:ind w:left="709" w:hanging="709"/>
        <w:rPr>
          <w:color w:val="000000" w:themeColor="text1"/>
        </w:rPr>
      </w:pPr>
      <w:r w:rsidRPr="000A7BB0">
        <w:rPr>
          <w:color w:val="000000" w:themeColor="text1"/>
        </w:rPr>
        <w:t>All patients who received at least one dose of study drug were included in the safety assessment.</w:t>
      </w:r>
    </w:p>
    <w:p w14:paraId="1B2CBD63" w14:textId="4B9D2027" w:rsidR="009E18C3" w:rsidRPr="000A7BB0" w:rsidRDefault="009E18C3" w:rsidP="002553CE">
      <w:pPr>
        <w:numPr>
          <w:ilvl w:val="4"/>
          <w:numId w:val="11"/>
        </w:numPr>
        <w:ind w:left="709" w:hanging="709"/>
        <w:rPr>
          <w:color w:val="000000" w:themeColor="text1"/>
        </w:rPr>
      </w:pPr>
      <w:r w:rsidRPr="000A7BB0">
        <w:rPr>
          <w:color w:val="000000" w:themeColor="text1"/>
        </w:rPr>
        <w:t>The mean duration on treatment was longer for patients in the elacestrant arm (144.1</w:t>
      </w:r>
      <w:r w:rsidR="005906FC">
        <w:rPr>
          <w:color w:val="000000" w:themeColor="text1"/>
        </w:rPr>
        <w:t> </w:t>
      </w:r>
      <w:r w:rsidRPr="000A7BB0">
        <w:rPr>
          <w:color w:val="000000" w:themeColor="text1"/>
        </w:rPr>
        <w:t xml:space="preserve">days) than in the SOC arm (fulvestrant 122.6 days and AIs 96.8 days). </w:t>
      </w:r>
    </w:p>
    <w:p w14:paraId="1E6A32BE" w14:textId="3D6F3756" w:rsidR="009E18C3" w:rsidRPr="000A7BB0" w:rsidRDefault="009E18C3" w:rsidP="002553CE">
      <w:pPr>
        <w:numPr>
          <w:ilvl w:val="4"/>
          <w:numId w:val="11"/>
        </w:numPr>
        <w:ind w:left="709" w:hanging="709"/>
        <w:rPr>
          <w:color w:val="000000" w:themeColor="text1"/>
        </w:rPr>
      </w:pPr>
      <w:r w:rsidRPr="000A7BB0">
        <w:rPr>
          <w:color w:val="000000" w:themeColor="text1"/>
        </w:rPr>
        <w:t>Patients in the elacestrant arm had a great</w:t>
      </w:r>
      <w:r w:rsidR="00B9376A" w:rsidRPr="000A7BB0">
        <w:rPr>
          <w:color w:val="000000" w:themeColor="text1"/>
        </w:rPr>
        <w:t>er</w:t>
      </w:r>
      <w:r w:rsidRPr="000A7BB0">
        <w:rPr>
          <w:color w:val="000000" w:themeColor="text1"/>
        </w:rPr>
        <w:t xml:space="preserve"> risk of experiencing treatment emergent adverse events (TEAEs) related to trial therapy (63.3% vs 43.5%), Grade ≥3 </w:t>
      </w:r>
      <w:r w:rsidR="0071621F" w:rsidRPr="000A7BB0">
        <w:rPr>
          <w:color w:val="000000" w:themeColor="text1"/>
        </w:rPr>
        <w:t xml:space="preserve">TEAEs </w:t>
      </w:r>
      <w:r w:rsidRPr="000A7BB0">
        <w:rPr>
          <w:color w:val="000000" w:themeColor="text1"/>
        </w:rPr>
        <w:t xml:space="preserve">(27.0% vs 20.9%) and </w:t>
      </w:r>
      <w:r w:rsidR="00FD2114" w:rsidRPr="000A7BB0">
        <w:rPr>
          <w:color w:val="000000" w:themeColor="text1"/>
        </w:rPr>
        <w:t xml:space="preserve">TEAEs </w:t>
      </w:r>
      <w:r w:rsidRPr="000A7BB0">
        <w:rPr>
          <w:color w:val="000000" w:themeColor="text1"/>
        </w:rPr>
        <w:t>leading to interruption (15.2% vs 5.2%) as shown in</w:t>
      </w:r>
      <w:r w:rsidR="001C6BB6" w:rsidRPr="000A7BB0">
        <w:rPr>
          <w:color w:val="000000" w:themeColor="text1"/>
        </w:rPr>
        <w:t xml:space="preserve"> </w:t>
      </w:r>
      <w:r w:rsidR="001C6BB6" w:rsidRPr="000A7BB0">
        <w:rPr>
          <w:color w:val="000000" w:themeColor="text1"/>
        </w:rPr>
        <w:fldChar w:fldCharType="begin"/>
      </w:r>
      <w:r w:rsidR="001C6BB6" w:rsidRPr="000A7BB0">
        <w:rPr>
          <w:color w:val="000000" w:themeColor="text1"/>
        </w:rPr>
        <w:instrText xml:space="preserve"> REF _Ref184475034 \h </w:instrText>
      </w:r>
      <w:r w:rsidR="009018BD" w:rsidRPr="000A7BB0">
        <w:rPr>
          <w:color w:val="000000" w:themeColor="text1"/>
        </w:rPr>
        <w:instrText xml:space="preserve"> \* MERGEFORMAT </w:instrText>
      </w:r>
      <w:r w:rsidR="001C6BB6" w:rsidRPr="000A7BB0">
        <w:rPr>
          <w:color w:val="000000" w:themeColor="text1"/>
        </w:rPr>
      </w:r>
      <w:r w:rsidR="001C6BB6" w:rsidRPr="000A7BB0">
        <w:rPr>
          <w:color w:val="000000" w:themeColor="text1"/>
        </w:rPr>
        <w:fldChar w:fldCharType="separate"/>
      </w:r>
      <w:r w:rsidR="004F224A" w:rsidRPr="004F224A">
        <w:rPr>
          <w:color w:val="000000" w:themeColor="text1"/>
        </w:rPr>
        <w:t>Table 6</w:t>
      </w:r>
      <w:r w:rsidR="001C6BB6" w:rsidRPr="000A7BB0">
        <w:rPr>
          <w:color w:val="000000" w:themeColor="text1"/>
        </w:rPr>
        <w:fldChar w:fldCharType="end"/>
      </w:r>
      <w:r w:rsidRPr="000A7BB0">
        <w:rPr>
          <w:color w:val="000000" w:themeColor="text1"/>
        </w:rPr>
        <w:t xml:space="preserve">. There were three patients with serious TEAEs related to treatment with elacestrant (2 patients had nausea, and 1 had vomiting, cholecystitis acute, decreased appetite, dehydration, and pulmonary embolism). </w:t>
      </w:r>
    </w:p>
    <w:p w14:paraId="6B296A34" w14:textId="354EDA71" w:rsidR="009E18C3" w:rsidRPr="000A7BB0" w:rsidRDefault="009E18C3" w:rsidP="002553CE">
      <w:pPr>
        <w:numPr>
          <w:ilvl w:val="4"/>
          <w:numId w:val="11"/>
        </w:numPr>
        <w:ind w:left="709" w:hanging="709"/>
        <w:rPr>
          <w:color w:val="000000" w:themeColor="text1"/>
        </w:rPr>
      </w:pPr>
      <w:r w:rsidRPr="000A7BB0">
        <w:rPr>
          <w:color w:val="000000" w:themeColor="text1"/>
        </w:rPr>
        <w:t>The most common Grade ≥3 TEAEs observed in the elacestrant arm were gastrointestinal (nausea) and musculoskeletal and connective tissue (back and bone pain) disorders (</w:t>
      </w:r>
      <w:r w:rsidRPr="000A7BB0">
        <w:rPr>
          <w:color w:val="000000" w:themeColor="text1"/>
        </w:rPr>
        <w:fldChar w:fldCharType="begin"/>
      </w:r>
      <w:r w:rsidRPr="000A7BB0">
        <w:rPr>
          <w:color w:val="000000" w:themeColor="text1"/>
        </w:rPr>
        <w:instrText xml:space="preserve"> REF _Ref184475034 \h </w:instrText>
      </w:r>
      <w:r w:rsidR="005D19F8" w:rsidRPr="000A7BB0">
        <w:rPr>
          <w:color w:val="000000" w:themeColor="text1"/>
        </w:rPr>
        <w:instrText xml:space="preserve">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6</w:t>
      </w:r>
      <w:r w:rsidRPr="000A7BB0">
        <w:rPr>
          <w:color w:val="000000" w:themeColor="text1"/>
        </w:rPr>
        <w:fldChar w:fldCharType="end"/>
      </w:r>
      <w:r w:rsidRPr="000A7BB0">
        <w:rPr>
          <w:color w:val="000000" w:themeColor="text1"/>
        </w:rPr>
        <w:t>).</w:t>
      </w:r>
    </w:p>
    <w:p w14:paraId="2EDC3C29" w14:textId="77777777" w:rsidR="009E18C3" w:rsidRPr="000A7BB0" w:rsidRDefault="009E18C3" w:rsidP="002553CE">
      <w:pPr>
        <w:numPr>
          <w:ilvl w:val="4"/>
          <w:numId w:val="11"/>
        </w:numPr>
        <w:ind w:left="709" w:hanging="709"/>
        <w:rPr>
          <w:color w:val="000000" w:themeColor="text1"/>
        </w:rPr>
      </w:pPr>
      <w:r w:rsidRPr="000A7BB0">
        <w:rPr>
          <w:color w:val="000000" w:themeColor="text1"/>
        </w:rPr>
        <w:t xml:space="preserve">There were no deaths reported that were study drug related. </w:t>
      </w:r>
    </w:p>
    <w:p w14:paraId="4608E3D8" w14:textId="31B1BBE9" w:rsidR="009E18C3" w:rsidRPr="000A7BB0" w:rsidRDefault="009E18C3" w:rsidP="002553CE">
      <w:pPr>
        <w:pStyle w:val="TableFigureHeading"/>
        <w:keepLines/>
        <w:rPr>
          <w:rStyle w:val="CommentReference"/>
          <w:b/>
        </w:rPr>
      </w:pPr>
      <w:bookmarkStart w:id="29" w:name="_Ref184475034"/>
      <w:r w:rsidRPr="000A7BB0">
        <w:lastRenderedPageBreak/>
        <w:t xml:space="preserve">Table </w:t>
      </w:r>
      <w:r>
        <w:fldChar w:fldCharType="begin"/>
      </w:r>
      <w:r>
        <w:instrText>SEQ Table_PBAC. \* ARABIC</w:instrText>
      </w:r>
      <w:r>
        <w:fldChar w:fldCharType="separate"/>
      </w:r>
      <w:r w:rsidR="004F224A">
        <w:rPr>
          <w:noProof/>
        </w:rPr>
        <w:t>6</w:t>
      </w:r>
      <w:r>
        <w:fldChar w:fldCharType="end"/>
      </w:r>
      <w:bookmarkEnd w:id="29"/>
      <w:r w:rsidRPr="000A7BB0">
        <w:t xml:space="preserve">: </w:t>
      </w:r>
      <w:r w:rsidRPr="000A7BB0">
        <w:rPr>
          <w:rStyle w:val="CommentReference"/>
          <w:b/>
        </w:rPr>
        <w:t>Summary of key adverse events in EMERALD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Summary of key adverse events in EMERALD"/>
      </w:tblPr>
      <w:tblGrid>
        <w:gridCol w:w="3114"/>
        <w:gridCol w:w="1488"/>
        <w:gridCol w:w="1489"/>
        <w:gridCol w:w="2925"/>
      </w:tblGrid>
      <w:tr w:rsidR="009E18C3" w:rsidRPr="000A7BB0" w14:paraId="34EAB78D" w14:textId="77777777" w:rsidTr="74877A7E">
        <w:trPr>
          <w:cantSplit/>
          <w:tblHeader/>
          <w:jc w:val="center"/>
        </w:trPr>
        <w:tc>
          <w:tcPr>
            <w:tcW w:w="1727" w:type="pct"/>
          </w:tcPr>
          <w:p w14:paraId="5E19BF1E" w14:textId="77777777" w:rsidR="009E18C3" w:rsidRPr="000A7BB0" w:rsidRDefault="009E18C3" w:rsidP="002553CE">
            <w:pPr>
              <w:pStyle w:val="In-tableHeading"/>
              <w:keepLines/>
              <w:rPr>
                <w:lang w:val="en-AU"/>
              </w:rPr>
            </w:pPr>
            <w:r w:rsidRPr="000A7BB0">
              <w:rPr>
                <w:lang w:val="en-AU"/>
              </w:rPr>
              <w:t>TEAE type</w:t>
            </w:r>
          </w:p>
        </w:tc>
        <w:tc>
          <w:tcPr>
            <w:tcW w:w="825" w:type="pct"/>
          </w:tcPr>
          <w:p w14:paraId="1CC5C016" w14:textId="77777777" w:rsidR="009E18C3" w:rsidRPr="000A7BB0" w:rsidRDefault="009E18C3" w:rsidP="002553CE">
            <w:pPr>
              <w:pStyle w:val="In-tableHeading"/>
              <w:keepLines/>
              <w:rPr>
                <w:lang w:val="en-AU"/>
              </w:rPr>
            </w:pPr>
            <w:r w:rsidRPr="000A7BB0">
              <w:rPr>
                <w:lang w:val="en-AU"/>
              </w:rPr>
              <w:t>Elacestrant (N=237)</w:t>
            </w:r>
          </w:p>
          <w:p w14:paraId="6966CBD4" w14:textId="77777777" w:rsidR="009E18C3" w:rsidRPr="000A7BB0" w:rsidRDefault="009E18C3" w:rsidP="002553CE">
            <w:pPr>
              <w:pStyle w:val="In-tableHeading"/>
              <w:keepLines/>
              <w:rPr>
                <w:lang w:val="en-AU"/>
              </w:rPr>
            </w:pPr>
            <w:r w:rsidRPr="000A7BB0">
              <w:rPr>
                <w:lang w:val="en-AU"/>
              </w:rPr>
              <w:t>n with event (%)</w:t>
            </w:r>
          </w:p>
        </w:tc>
        <w:tc>
          <w:tcPr>
            <w:tcW w:w="826" w:type="pct"/>
          </w:tcPr>
          <w:p w14:paraId="27A67AEE" w14:textId="09F4B27A" w:rsidR="009E18C3" w:rsidRPr="000A7BB0" w:rsidRDefault="009E18C3" w:rsidP="002553CE">
            <w:pPr>
              <w:pStyle w:val="In-tableHeading"/>
              <w:keepLines/>
              <w:rPr>
                <w:vertAlign w:val="superscript"/>
                <w:lang w:val="en-AU"/>
              </w:rPr>
            </w:pPr>
            <w:r w:rsidRPr="000A7BB0">
              <w:rPr>
                <w:lang w:val="en-AU"/>
              </w:rPr>
              <w:t>SOC (N=230)</w:t>
            </w:r>
            <w:r w:rsidR="008F2F57" w:rsidRPr="000A7BB0">
              <w:rPr>
                <w:lang w:val="en-AU"/>
              </w:rPr>
              <w:t xml:space="preserve"> </w:t>
            </w:r>
            <w:r w:rsidR="008F2F57" w:rsidRPr="000A7BB0">
              <w:rPr>
                <w:vertAlign w:val="superscript"/>
                <w:lang w:val="en-AU"/>
              </w:rPr>
              <w:t>b</w:t>
            </w:r>
          </w:p>
          <w:p w14:paraId="38C6BA0E" w14:textId="77777777" w:rsidR="009E18C3" w:rsidRPr="000A7BB0" w:rsidRDefault="009E18C3" w:rsidP="002553CE">
            <w:pPr>
              <w:pStyle w:val="In-tableHeading"/>
              <w:keepLines/>
              <w:rPr>
                <w:lang w:val="en-AU"/>
              </w:rPr>
            </w:pPr>
            <w:r w:rsidRPr="000A7BB0">
              <w:rPr>
                <w:lang w:val="en-AU"/>
              </w:rPr>
              <w:t>n with event (%)</w:t>
            </w:r>
          </w:p>
        </w:tc>
        <w:tc>
          <w:tcPr>
            <w:tcW w:w="1622" w:type="pct"/>
          </w:tcPr>
          <w:p w14:paraId="3ADC6A67" w14:textId="77777777" w:rsidR="009E18C3" w:rsidRPr="000A7BB0" w:rsidRDefault="009E18C3" w:rsidP="002553CE">
            <w:pPr>
              <w:pStyle w:val="In-tableHeading"/>
              <w:keepLines/>
              <w:rPr>
                <w:lang w:val="en-AU"/>
              </w:rPr>
            </w:pPr>
            <w:r w:rsidRPr="000A7BB0">
              <w:rPr>
                <w:lang w:val="en-AU"/>
              </w:rPr>
              <w:t>RR (95% CI)</w:t>
            </w:r>
          </w:p>
        </w:tc>
      </w:tr>
      <w:tr w:rsidR="009E18C3" w:rsidRPr="000A7BB0" w14:paraId="4FCBDCB6" w14:textId="77777777" w:rsidTr="74877A7E">
        <w:trPr>
          <w:cantSplit/>
          <w:jc w:val="center"/>
        </w:trPr>
        <w:tc>
          <w:tcPr>
            <w:tcW w:w="1727" w:type="pct"/>
          </w:tcPr>
          <w:p w14:paraId="2B9076AA" w14:textId="77777777" w:rsidR="009E18C3" w:rsidRPr="000A7BB0" w:rsidRDefault="009E18C3" w:rsidP="002553CE">
            <w:pPr>
              <w:pStyle w:val="TableText"/>
              <w:keepNext/>
              <w:keepLines/>
              <w:widowControl/>
            </w:pPr>
            <w:r w:rsidRPr="000A7BB0">
              <w:t>Any TEAE</w:t>
            </w:r>
          </w:p>
        </w:tc>
        <w:tc>
          <w:tcPr>
            <w:tcW w:w="825" w:type="pct"/>
          </w:tcPr>
          <w:p w14:paraId="60251473" w14:textId="77777777" w:rsidR="009E18C3" w:rsidRPr="000A7BB0" w:rsidRDefault="009E18C3" w:rsidP="002553CE">
            <w:pPr>
              <w:pStyle w:val="TableText"/>
              <w:keepNext/>
              <w:keepLines/>
              <w:widowControl/>
              <w:jc w:val="center"/>
            </w:pPr>
            <w:r w:rsidRPr="000A7BB0">
              <w:t>218 (92.0)</w:t>
            </w:r>
          </w:p>
        </w:tc>
        <w:tc>
          <w:tcPr>
            <w:tcW w:w="826" w:type="pct"/>
          </w:tcPr>
          <w:p w14:paraId="098E5E91" w14:textId="77777777" w:rsidR="009E18C3" w:rsidRPr="000A7BB0" w:rsidRDefault="009E18C3" w:rsidP="002553CE">
            <w:pPr>
              <w:pStyle w:val="TableText"/>
              <w:keepNext/>
              <w:keepLines/>
              <w:widowControl/>
              <w:jc w:val="center"/>
            </w:pPr>
            <w:r w:rsidRPr="000A7BB0">
              <w:t>198 (86.1)</w:t>
            </w:r>
          </w:p>
        </w:tc>
        <w:tc>
          <w:tcPr>
            <w:tcW w:w="1622" w:type="pct"/>
          </w:tcPr>
          <w:p w14:paraId="35CE8B89" w14:textId="77777777" w:rsidR="009E18C3" w:rsidRPr="000A7BB0" w:rsidRDefault="009E18C3" w:rsidP="002553CE">
            <w:pPr>
              <w:pStyle w:val="TableText"/>
              <w:keepNext/>
              <w:keepLines/>
              <w:widowControl/>
              <w:jc w:val="center"/>
              <w:rPr>
                <w:b/>
                <w:bCs/>
              </w:rPr>
            </w:pPr>
            <w:r w:rsidRPr="000A7BB0">
              <w:rPr>
                <w:b/>
                <w:bCs/>
              </w:rPr>
              <w:t>1.07 (1.00, 1.14), p=0.043</w:t>
            </w:r>
          </w:p>
        </w:tc>
      </w:tr>
      <w:tr w:rsidR="00CD2725" w:rsidRPr="000A7BB0" w14:paraId="4ACE7CCC" w14:textId="77777777" w:rsidTr="74877A7E">
        <w:trPr>
          <w:cantSplit/>
          <w:jc w:val="center"/>
        </w:trPr>
        <w:tc>
          <w:tcPr>
            <w:tcW w:w="1727" w:type="pct"/>
          </w:tcPr>
          <w:p w14:paraId="5181A135" w14:textId="5F0B5818" w:rsidR="0090494D" w:rsidRPr="000A7BB0" w:rsidRDefault="0090494D" w:rsidP="002553CE">
            <w:pPr>
              <w:pStyle w:val="TableText"/>
              <w:keepNext/>
              <w:keepLines/>
              <w:widowControl/>
              <w:numPr>
                <w:ilvl w:val="0"/>
                <w:numId w:val="29"/>
              </w:numPr>
            </w:pPr>
            <w:r w:rsidRPr="000A7BB0">
              <w:t>Gastrointestinal disorders</w:t>
            </w:r>
          </w:p>
          <w:p w14:paraId="62DE2472" w14:textId="52A9A73D" w:rsidR="00CD2725" w:rsidRPr="000A7BB0" w:rsidRDefault="00CD2725" w:rsidP="002553CE">
            <w:pPr>
              <w:pStyle w:val="TableText"/>
              <w:keepNext/>
              <w:keepLines/>
              <w:widowControl/>
              <w:numPr>
                <w:ilvl w:val="1"/>
                <w:numId w:val="29"/>
              </w:numPr>
            </w:pPr>
            <w:r w:rsidRPr="000A7BB0">
              <w:t>N</w:t>
            </w:r>
            <w:r w:rsidR="00E05F28" w:rsidRPr="000A7BB0">
              <w:t>ausea</w:t>
            </w:r>
          </w:p>
          <w:p w14:paraId="78AF10D0" w14:textId="1AF286C6" w:rsidR="00434A3E" w:rsidRPr="000A7BB0" w:rsidRDefault="00CD0EDB" w:rsidP="002553CE">
            <w:pPr>
              <w:pStyle w:val="TableText"/>
              <w:keepNext/>
              <w:keepLines/>
              <w:widowControl/>
              <w:numPr>
                <w:ilvl w:val="1"/>
                <w:numId w:val="29"/>
              </w:numPr>
            </w:pPr>
            <w:r w:rsidRPr="000A7BB0">
              <w:t>Vomitin</w:t>
            </w:r>
            <w:r w:rsidR="00561D46" w:rsidRPr="000A7BB0">
              <w:t>g</w:t>
            </w:r>
          </w:p>
        </w:tc>
        <w:tc>
          <w:tcPr>
            <w:tcW w:w="825" w:type="pct"/>
          </w:tcPr>
          <w:p w14:paraId="6EA2368A" w14:textId="2423898E" w:rsidR="0090494D" w:rsidRPr="000A7BB0" w:rsidRDefault="0090494D" w:rsidP="002553CE">
            <w:pPr>
              <w:pStyle w:val="TableText"/>
              <w:keepNext/>
              <w:keepLines/>
              <w:widowControl/>
              <w:jc w:val="center"/>
            </w:pPr>
            <w:r w:rsidRPr="000A7BB0">
              <w:t>155 (65.4)</w:t>
            </w:r>
          </w:p>
          <w:p w14:paraId="1A3893B8" w14:textId="12D99EC9" w:rsidR="00CD2725" w:rsidRPr="000A7BB0" w:rsidRDefault="30F071FD" w:rsidP="002553CE">
            <w:pPr>
              <w:pStyle w:val="TableText"/>
              <w:keepNext/>
              <w:keepLines/>
              <w:widowControl/>
              <w:jc w:val="center"/>
            </w:pPr>
            <w:r w:rsidRPr="000A7BB0">
              <w:t>83</w:t>
            </w:r>
            <w:r w:rsidR="00B51309">
              <w:t xml:space="preserve"> </w:t>
            </w:r>
            <w:r w:rsidRPr="000A7BB0">
              <w:t>(35.</w:t>
            </w:r>
            <w:r w:rsidR="751829C1" w:rsidRPr="000A7BB0">
              <w:t>0)</w:t>
            </w:r>
          </w:p>
          <w:p w14:paraId="6F24F492" w14:textId="6796A04E" w:rsidR="00434A3E" w:rsidRPr="000A7BB0" w:rsidRDefault="001C0C75" w:rsidP="002553CE">
            <w:pPr>
              <w:pStyle w:val="TableText"/>
              <w:keepNext/>
              <w:keepLines/>
              <w:widowControl/>
              <w:jc w:val="center"/>
            </w:pPr>
            <w:r w:rsidRPr="000A7BB0">
              <w:t>45 (19.0)</w:t>
            </w:r>
          </w:p>
        </w:tc>
        <w:tc>
          <w:tcPr>
            <w:tcW w:w="826" w:type="pct"/>
          </w:tcPr>
          <w:p w14:paraId="2CE5288B" w14:textId="324E858F" w:rsidR="0090494D" w:rsidRPr="000A7BB0" w:rsidRDefault="00C50054" w:rsidP="002553CE">
            <w:pPr>
              <w:pStyle w:val="TableText"/>
              <w:keepNext/>
              <w:keepLines/>
              <w:widowControl/>
              <w:jc w:val="center"/>
            </w:pPr>
            <w:r w:rsidRPr="000A7BB0">
              <w:t>79 (34.3)</w:t>
            </w:r>
          </w:p>
          <w:p w14:paraId="5915B853" w14:textId="272AB818" w:rsidR="00CD2725" w:rsidRPr="000A7BB0" w:rsidRDefault="00CD0EDB" w:rsidP="002553CE">
            <w:pPr>
              <w:pStyle w:val="TableText"/>
              <w:keepNext/>
              <w:keepLines/>
              <w:widowControl/>
              <w:jc w:val="center"/>
            </w:pPr>
            <w:r w:rsidRPr="000A7BB0">
              <w:t>44 (19.1)</w:t>
            </w:r>
          </w:p>
          <w:p w14:paraId="77C76C5D" w14:textId="4D87141B" w:rsidR="00434A3E" w:rsidRPr="000A7BB0" w:rsidRDefault="001C0C75" w:rsidP="002553CE">
            <w:pPr>
              <w:pStyle w:val="TableText"/>
              <w:keepNext/>
              <w:keepLines/>
              <w:widowControl/>
              <w:jc w:val="center"/>
            </w:pPr>
            <w:r w:rsidRPr="000A7BB0">
              <w:t>20 (8.7)</w:t>
            </w:r>
          </w:p>
        </w:tc>
        <w:tc>
          <w:tcPr>
            <w:tcW w:w="1622" w:type="pct"/>
          </w:tcPr>
          <w:p w14:paraId="2B9B3A52" w14:textId="475F3588" w:rsidR="00CD2725" w:rsidRPr="000A7BB0" w:rsidRDefault="00BE6EB6" w:rsidP="002553CE">
            <w:pPr>
              <w:pStyle w:val="TableText"/>
              <w:keepNext/>
              <w:keepLines/>
              <w:widowControl/>
              <w:jc w:val="center"/>
              <w:rPr>
                <w:b/>
                <w:bCs/>
              </w:rPr>
            </w:pPr>
            <w:r w:rsidRPr="000A7BB0">
              <w:rPr>
                <w:b/>
                <w:bCs/>
              </w:rPr>
              <w:t>1.90 (1.56</w:t>
            </w:r>
            <w:r w:rsidR="007E2953" w:rsidRPr="000A7BB0">
              <w:rPr>
                <w:b/>
                <w:bCs/>
              </w:rPr>
              <w:t xml:space="preserve">, 2.33), </w:t>
            </w:r>
            <w:r w:rsidR="007E2953" w:rsidRPr="000A7BB0">
              <w:rPr>
                <w:b/>
              </w:rPr>
              <w:t>p</w:t>
            </w:r>
            <w:r w:rsidR="00427AB6" w:rsidRPr="000A7BB0">
              <w:rPr>
                <w:b/>
                <w:bCs/>
              </w:rPr>
              <w:t>&lt;</w:t>
            </w:r>
            <w:r w:rsidR="00427AB6" w:rsidRPr="000A7BB0">
              <w:rPr>
                <w:b/>
              </w:rPr>
              <w:t>0.</w:t>
            </w:r>
            <w:r w:rsidR="00427AB6" w:rsidRPr="000A7BB0">
              <w:rPr>
                <w:b/>
                <w:bCs/>
              </w:rPr>
              <w:t>0001</w:t>
            </w:r>
          </w:p>
          <w:p w14:paraId="7FD95116" w14:textId="77777777" w:rsidR="00427AB6" w:rsidRPr="000A7BB0" w:rsidRDefault="004B4D65" w:rsidP="002553CE">
            <w:pPr>
              <w:pStyle w:val="TableText"/>
              <w:keepNext/>
              <w:keepLines/>
              <w:widowControl/>
              <w:jc w:val="center"/>
              <w:rPr>
                <w:b/>
              </w:rPr>
            </w:pPr>
            <w:r w:rsidRPr="000A7BB0">
              <w:rPr>
                <w:b/>
                <w:bCs/>
              </w:rPr>
              <w:t xml:space="preserve">1.83 (1.33, 2.51), </w:t>
            </w:r>
            <w:r w:rsidR="00427AB6" w:rsidRPr="000A7BB0">
              <w:rPr>
                <w:b/>
              </w:rPr>
              <w:t>p=0.0013</w:t>
            </w:r>
          </w:p>
          <w:p w14:paraId="38951835" w14:textId="132CD8E8" w:rsidR="007E2953" w:rsidRPr="000A7BB0" w:rsidRDefault="004B4D65" w:rsidP="002553CE">
            <w:pPr>
              <w:pStyle w:val="TableText"/>
              <w:keepNext/>
              <w:keepLines/>
              <w:widowControl/>
              <w:jc w:val="center"/>
              <w:rPr>
                <w:b/>
                <w:bCs/>
              </w:rPr>
            </w:pPr>
            <w:r w:rsidRPr="000A7BB0">
              <w:rPr>
                <w:b/>
                <w:bCs/>
              </w:rPr>
              <w:t>2.18</w:t>
            </w:r>
            <w:r w:rsidR="009E1D29" w:rsidRPr="000A7BB0">
              <w:rPr>
                <w:b/>
                <w:bCs/>
              </w:rPr>
              <w:t xml:space="preserve"> (1.33, 3.58)</w:t>
            </w:r>
            <w:r w:rsidR="00F876BA" w:rsidRPr="000A7BB0">
              <w:rPr>
                <w:b/>
                <w:bCs/>
              </w:rPr>
              <w:t xml:space="preserve">, </w:t>
            </w:r>
            <w:r w:rsidR="00F876BA" w:rsidRPr="000A7BB0">
              <w:rPr>
                <w:b/>
              </w:rPr>
              <w:t>p=0.0013</w:t>
            </w:r>
          </w:p>
        </w:tc>
      </w:tr>
      <w:tr w:rsidR="009E18C3" w:rsidRPr="000A7BB0" w14:paraId="074FDE5F" w14:textId="77777777" w:rsidTr="74877A7E">
        <w:trPr>
          <w:cantSplit/>
          <w:jc w:val="center"/>
        </w:trPr>
        <w:tc>
          <w:tcPr>
            <w:tcW w:w="1727" w:type="pct"/>
          </w:tcPr>
          <w:p w14:paraId="5ADF1911" w14:textId="77777777" w:rsidR="009E18C3" w:rsidRPr="000A7BB0" w:rsidRDefault="009E18C3" w:rsidP="002553CE">
            <w:pPr>
              <w:pStyle w:val="TableText"/>
              <w:keepNext/>
              <w:keepLines/>
              <w:widowControl/>
            </w:pPr>
            <w:r w:rsidRPr="000A7BB0">
              <w:t>Related</w:t>
            </w:r>
          </w:p>
        </w:tc>
        <w:tc>
          <w:tcPr>
            <w:tcW w:w="825" w:type="pct"/>
          </w:tcPr>
          <w:p w14:paraId="3BD1910B" w14:textId="77777777" w:rsidR="009E18C3" w:rsidRPr="000A7BB0" w:rsidRDefault="009E18C3" w:rsidP="002553CE">
            <w:pPr>
              <w:pStyle w:val="TableText"/>
              <w:keepNext/>
              <w:keepLines/>
              <w:widowControl/>
              <w:jc w:val="center"/>
            </w:pPr>
            <w:r w:rsidRPr="000A7BB0">
              <w:t>150 (63.3)</w:t>
            </w:r>
          </w:p>
        </w:tc>
        <w:tc>
          <w:tcPr>
            <w:tcW w:w="826" w:type="pct"/>
          </w:tcPr>
          <w:p w14:paraId="71B6341A" w14:textId="77777777" w:rsidR="009E18C3" w:rsidRPr="000A7BB0" w:rsidRDefault="009E18C3" w:rsidP="002553CE">
            <w:pPr>
              <w:pStyle w:val="TableText"/>
              <w:keepNext/>
              <w:keepLines/>
              <w:widowControl/>
              <w:jc w:val="center"/>
            </w:pPr>
            <w:r w:rsidRPr="000A7BB0">
              <w:t>100 (43.5)</w:t>
            </w:r>
          </w:p>
        </w:tc>
        <w:tc>
          <w:tcPr>
            <w:tcW w:w="1622" w:type="pct"/>
          </w:tcPr>
          <w:p w14:paraId="75F9B2DE" w14:textId="77777777" w:rsidR="009E18C3" w:rsidRPr="000A7BB0" w:rsidRDefault="009E18C3" w:rsidP="002553CE">
            <w:pPr>
              <w:pStyle w:val="TableText"/>
              <w:keepNext/>
              <w:keepLines/>
              <w:widowControl/>
              <w:jc w:val="center"/>
              <w:rPr>
                <w:b/>
                <w:bCs/>
              </w:rPr>
            </w:pPr>
            <w:r w:rsidRPr="000A7BB0">
              <w:rPr>
                <w:b/>
                <w:bCs/>
              </w:rPr>
              <w:t>1.46 (1.22, 1.74), p&lt;0.0001</w:t>
            </w:r>
          </w:p>
        </w:tc>
      </w:tr>
      <w:tr w:rsidR="009E18C3" w:rsidRPr="000A7BB0" w14:paraId="56AF84C7" w14:textId="77777777" w:rsidTr="74877A7E">
        <w:trPr>
          <w:cantSplit/>
          <w:jc w:val="center"/>
        </w:trPr>
        <w:tc>
          <w:tcPr>
            <w:tcW w:w="1727" w:type="pct"/>
            <w:tcBorders>
              <w:bottom w:val="nil"/>
            </w:tcBorders>
          </w:tcPr>
          <w:p w14:paraId="1E128F65" w14:textId="77777777" w:rsidR="009E18C3" w:rsidRPr="000A7BB0" w:rsidRDefault="009E18C3" w:rsidP="002553CE">
            <w:pPr>
              <w:pStyle w:val="TableText"/>
              <w:keepNext/>
              <w:keepLines/>
              <w:widowControl/>
            </w:pPr>
            <w:r w:rsidRPr="000A7BB0">
              <w:t>Grade ≥ 3 AEs</w:t>
            </w:r>
          </w:p>
        </w:tc>
        <w:tc>
          <w:tcPr>
            <w:tcW w:w="825" w:type="pct"/>
            <w:tcBorders>
              <w:bottom w:val="nil"/>
            </w:tcBorders>
          </w:tcPr>
          <w:p w14:paraId="4913E7F6" w14:textId="77777777" w:rsidR="009E18C3" w:rsidRPr="000A7BB0" w:rsidRDefault="009E18C3" w:rsidP="002553CE">
            <w:pPr>
              <w:pStyle w:val="TableText"/>
              <w:keepNext/>
              <w:keepLines/>
              <w:widowControl/>
              <w:jc w:val="center"/>
            </w:pPr>
            <w:r w:rsidRPr="000A7BB0">
              <w:t>64 (27.0)</w:t>
            </w:r>
          </w:p>
        </w:tc>
        <w:tc>
          <w:tcPr>
            <w:tcW w:w="826" w:type="pct"/>
            <w:tcBorders>
              <w:bottom w:val="nil"/>
            </w:tcBorders>
          </w:tcPr>
          <w:p w14:paraId="1BB6B324" w14:textId="77777777" w:rsidR="009E18C3" w:rsidRPr="000A7BB0" w:rsidRDefault="009E18C3" w:rsidP="002553CE">
            <w:pPr>
              <w:pStyle w:val="TableText"/>
              <w:keepNext/>
              <w:keepLines/>
              <w:widowControl/>
              <w:jc w:val="center"/>
            </w:pPr>
            <w:r w:rsidRPr="000A7BB0">
              <w:t>48 (20.9)</w:t>
            </w:r>
          </w:p>
        </w:tc>
        <w:tc>
          <w:tcPr>
            <w:tcW w:w="1622" w:type="pct"/>
            <w:tcBorders>
              <w:bottom w:val="nil"/>
            </w:tcBorders>
          </w:tcPr>
          <w:p w14:paraId="4B033FB3" w14:textId="77777777" w:rsidR="009E18C3" w:rsidRPr="000A7BB0" w:rsidRDefault="009E18C3" w:rsidP="002553CE">
            <w:pPr>
              <w:pStyle w:val="TableText"/>
              <w:keepNext/>
              <w:keepLines/>
              <w:widowControl/>
              <w:jc w:val="center"/>
            </w:pPr>
            <w:r w:rsidRPr="000A7BB0">
              <w:t>1.29 (0.93, 1.80), p=0.12</w:t>
            </w:r>
          </w:p>
        </w:tc>
      </w:tr>
      <w:tr w:rsidR="009E18C3" w:rsidRPr="000A7BB0" w14:paraId="57507F60" w14:textId="77777777" w:rsidTr="74877A7E">
        <w:trPr>
          <w:cantSplit/>
          <w:jc w:val="center"/>
        </w:trPr>
        <w:tc>
          <w:tcPr>
            <w:tcW w:w="1727" w:type="pct"/>
            <w:tcBorders>
              <w:top w:val="nil"/>
              <w:bottom w:val="nil"/>
            </w:tcBorders>
          </w:tcPr>
          <w:p w14:paraId="69C47AAE" w14:textId="77777777" w:rsidR="00CD2725" w:rsidRPr="000A7BB0" w:rsidRDefault="009E18C3" w:rsidP="002553CE">
            <w:pPr>
              <w:pStyle w:val="TableText"/>
              <w:keepNext/>
              <w:keepLines/>
              <w:widowControl/>
              <w:numPr>
                <w:ilvl w:val="0"/>
                <w:numId w:val="16"/>
              </w:numPr>
            </w:pPr>
            <w:r w:rsidRPr="000A7BB0">
              <w:t>Gastrointestinal disorders</w:t>
            </w:r>
          </w:p>
          <w:p w14:paraId="26859C76" w14:textId="28DBB170" w:rsidR="009E18C3" w:rsidRPr="000A7BB0" w:rsidRDefault="00DB34FA" w:rsidP="002553CE">
            <w:pPr>
              <w:pStyle w:val="TableText"/>
              <w:keepNext/>
              <w:keepLines/>
              <w:widowControl/>
              <w:numPr>
                <w:ilvl w:val="1"/>
                <w:numId w:val="16"/>
              </w:numPr>
            </w:pPr>
            <w:r w:rsidRPr="000A7BB0">
              <w:t>Na</w:t>
            </w:r>
            <w:r w:rsidR="00B6540E" w:rsidRPr="000A7BB0">
              <w:t>usea</w:t>
            </w:r>
          </w:p>
        </w:tc>
        <w:tc>
          <w:tcPr>
            <w:tcW w:w="825" w:type="pct"/>
            <w:tcBorders>
              <w:top w:val="nil"/>
              <w:bottom w:val="nil"/>
            </w:tcBorders>
            <w:vAlign w:val="center"/>
          </w:tcPr>
          <w:p w14:paraId="0AD4DBBF" w14:textId="77777777" w:rsidR="00CD2725" w:rsidRPr="000A7BB0" w:rsidRDefault="009E18C3" w:rsidP="002553CE">
            <w:pPr>
              <w:pStyle w:val="TableText"/>
              <w:keepNext/>
              <w:keepLines/>
              <w:widowControl/>
              <w:jc w:val="center"/>
            </w:pPr>
            <w:r w:rsidRPr="000A7BB0">
              <w:t>12 (5.1)</w:t>
            </w:r>
          </w:p>
          <w:p w14:paraId="6ED0305C" w14:textId="2E62F0A5" w:rsidR="009E18C3" w:rsidRPr="000A7BB0" w:rsidRDefault="00494B18" w:rsidP="002553CE">
            <w:pPr>
              <w:pStyle w:val="TableText"/>
              <w:keepNext/>
              <w:keepLines/>
              <w:widowControl/>
              <w:jc w:val="center"/>
            </w:pPr>
            <w:r w:rsidRPr="000A7BB0">
              <w:t>6 (2.5)</w:t>
            </w:r>
          </w:p>
        </w:tc>
        <w:tc>
          <w:tcPr>
            <w:tcW w:w="826" w:type="pct"/>
            <w:tcBorders>
              <w:top w:val="nil"/>
              <w:bottom w:val="nil"/>
            </w:tcBorders>
            <w:vAlign w:val="center"/>
          </w:tcPr>
          <w:p w14:paraId="5AEC1B4E" w14:textId="77777777" w:rsidR="00CD2725" w:rsidRPr="000A7BB0" w:rsidRDefault="009E18C3" w:rsidP="002553CE">
            <w:pPr>
              <w:pStyle w:val="TableText"/>
              <w:keepNext/>
              <w:keepLines/>
              <w:widowControl/>
              <w:jc w:val="center"/>
            </w:pPr>
            <w:r w:rsidRPr="000A7BB0">
              <w:t>7 (3.0)</w:t>
            </w:r>
          </w:p>
          <w:p w14:paraId="43DC1CED" w14:textId="73D15631" w:rsidR="009E18C3" w:rsidRPr="000A7BB0" w:rsidRDefault="00494B18" w:rsidP="002553CE">
            <w:pPr>
              <w:pStyle w:val="TableText"/>
              <w:keepNext/>
              <w:keepLines/>
              <w:widowControl/>
              <w:jc w:val="center"/>
            </w:pPr>
            <w:r w:rsidRPr="000A7BB0">
              <w:t>2 (0.9)</w:t>
            </w:r>
          </w:p>
        </w:tc>
        <w:tc>
          <w:tcPr>
            <w:tcW w:w="1622" w:type="pct"/>
            <w:tcBorders>
              <w:top w:val="nil"/>
              <w:bottom w:val="nil"/>
            </w:tcBorders>
            <w:vAlign w:val="center"/>
          </w:tcPr>
          <w:p w14:paraId="1D653391" w14:textId="77777777" w:rsidR="00CD2725" w:rsidRPr="000A7BB0" w:rsidRDefault="009E18C3" w:rsidP="002553CE">
            <w:pPr>
              <w:pStyle w:val="TableText"/>
              <w:keepNext/>
              <w:keepLines/>
              <w:widowControl/>
              <w:jc w:val="center"/>
            </w:pPr>
            <w:r w:rsidRPr="000A7BB0">
              <w:t>1.66 (0.67, 4.15), p=0.28</w:t>
            </w:r>
          </w:p>
          <w:p w14:paraId="6E4E9253" w14:textId="28081DFA" w:rsidR="009E18C3" w:rsidRPr="000A7BB0" w:rsidRDefault="00B70A1D" w:rsidP="002553CE">
            <w:pPr>
              <w:pStyle w:val="TableText"/>
              <w:keepNext/>
              <w:keepLines/>
              <w:widowControl/>
              <w:jc w:val="center"/>
            </w:pPr>
            <w:r w:rsidRPr="000A7BB0">
              <w:t>2.91 (0.59, 14.28), p=0.17</w:t>
            </w:r>
          </w:p>
        </w:tc>
      </w:tr>
      <w:tr w:rsidR="009E18C3" w:rsidRPr="000A7BB0" w14:paraId="119740B9" w14:textId="77777777" w:rsidTr="74877A7E">
        <w:trPr>
          <w:cantSplit/>
          <w:jc w:val="center"/>
        </w:trPr>
        <w:tc>
          <w:tcPr>
            <w:tcW w:w="1727" w:type="pct"/>
            <w:tcBorders>
              <w:top w:val="nil"/>
              <w:bottom w:val="nil"/>
            </w:tcBorders>
          </w:tcPr>
          <w:p w14:paraId="46335E37" w14:textId="77777777" w:rsidR="009E18C3" w:rsidRPr="000A7BB0" w:rsidRDefault="009E18C3" w:rsidP="002553CE">
            <w:pPr>
              <w:pStyle w:val="TableText"/>
              <w:keepNext/>
              <w:keepLines/>
              <w:widowControl/>
              <w:numPr>
                <w:ilvl w:val="0"/>
                <w:numId w:val="16"/>
              </w:numPr>
            </w:pPr>
            <w:r w:rsidRPr="000A7BB0">
              <w:t xml:space="preserve">Musculoskeletal and connective tissue disorders </w:t>
            </w:r>
          </w:p>
        </w:tc>
        <w:tc>
          <w:tcPr>
            <w:tcW w:w="825" w:type="pct"/>
            <w:tcBorders>
              <w:top w:val="nil"/>
              <w:bottom w:val="nil"/>
            </w:tcBorders>
            <w:vAlign w:val="center"/>
          </w:tcPr>
          <w:p w14:paraId="3BB243BD" w14:textId="77777777" w:rsidR="009E18C3" w:rsidRPr="000A7BB0" w:rsidRDefault="009E18C3" w:rsidP="002553CE">
            <w:pPr>
              <w:pStyle w:val="TableText"/>
              <w:keepNext/>
              <w:keepLines/>
              <w:widowControl/>
              <w:jc w:val="center"/>
            </w:pPr>
            <w:r w:rsidRPr="000A7BB0">
              <w:t>17 (7.2)</w:t>
            </w:r>
          </w:p>
        </w:tc>
        <w:tc>
          <w:tcPr>
            <w:tcW w:w="826" w:type="pct"/>
            <w:tcBorders>
              <w:top w:val="nil"/>
              <w:bottom w:val="nil"/>
            </w:tcBorders>
            <w:vAlign w:val="center"/>
          </w:tcPr>
          <w:p w14:paraId="40DD88BF" w14:textId="77777777" w:rsidR="009E18C3" w:rsidRPr="000A7BB0" w:rsidRDefault="009E18C3" w:rsidP="002553CE">
            <w:pPr>
              <w:pStyle w:val="TableText"/>
              <w:keepNext/>
              <w:keepLines/>
              <w:widowControl/>
              <w:jc w:val="center"/>
            </w:pPr>
            <w:r w:rsidRPr="000A7BB0">
              <w:t>3 (1.3)</w:t>
            </w:r>
          </w:p>
        </w:tc>
        <w:tc>
          <w:tcPr>
            <w:tcW w:w="1622" w:type="pct"/>
            <w:tcBorders>
              <w:top w:val="nil"/>
              <w:bottom w:val="nil"/>
            </w:tcBorders>
            <w:vAlign w:val="center"/>
          </w:tcPr>
          <w:p w14:paraId="0DD3CE1F" w14:textId="77777777" w:rsidR="009E18C3" w:rsidRPr="000A7BB0" w:rsidRDefault="009E18C3" w:rsidP="002553CE">
            <w:pPr>
              <w:pStyle w:val="TableText"/>
              <w:keepNext/>
              <w:keepLines/>
              <w:widowControl/>
              <w:jc w:val="center"/>
              <w:rPr>
                <w:b/>
                <w:bCs/>
              </w:rPr>
            </w:pPr>
            <w:r w:rsidRPr="000A7BB0">
              <w:rPr>
                <w:b/>
                <w:bCs/>
              </w:rPr>
              <w:t>5.50 (1.63, 18.51), p=0.006</w:t>
            </w:r>
          </w:p>
        </w:tc>
      </w:tr>
      <w:tr w:rsidR="009E18C3" w:rsidRPr="000A7BB0" w14:paraId="3C40296A" w14:textId="77777777" w:rsidTr="74877A7E">
        <w:trPr>
          <w:cantSplit/>
          <w:jc w:val="center"/>
        </w:trPr>
        <w:tc>
          <w:tcPr>
            <w:tcW w:w="1727" w:type="pct"/>
            <w:tcBorders>
              <w:top w:val="nil"/>
              <w:bottom w:val="nil"/>
            </w:tcBorders>
          </w:tcPr>
          <w:p w14:paraId="729ABB4B" w14:textId="616A746D" w:rsidR="009E18C3" w:rsidRPr="000A7BB0" w:rsidRDefault="009E18C3" w:rsidP="002553CE">
            <w:pPr>
              <w:pStyle w:val="TableText"/>
              <w:keepNext/>
              <w:keepLines/>
              <w:widowControl/>
              <w:numPr>
                <w:ilvl w:val="0"/>
                <w:numId w:val="16"/>
              </w:numPr>
              <w:rPr>
                <w:vertAlign w:val="superscript"/>
              </w:rPr>
            </w:pPr>
            <w:r w:rsidRPr="000A7BB0">
              <w:t>Investigations</w:t>
            </w:r>
            <w:r w:rsidRPr="000A7BB0">
              <w:rPr>
                <w:vertAlign w:val="superscript"/>
              </w:rPr>
              <w:t>a</w:t>
            </w:r>
          </w:p>
        </w:tc>
        <w:tc>
          <w:tcPr>
            <w:tcW w:w="825" w:type="pct"/>
            <w:tcBorders>
              <w:top w:val="nil"/>
              <w:bottom w:val="nil"/>
            </w:tcBorders>
          </w:tcPr>
          <w:p w14:paraId="35100E07" w14:textId="77777777" w:rsidR="009E18C3" w:rsidRPr="000A7BB0" w:rsidRDefault="009E18C3" w:rsidP="002553CE">
            <w:pPr>
              <w:pStyle w:val="TableText"/>
              <w:keepNext/>
              <w:keepLines/>
              <w:widowControl/>
              <w:jc w:val="center"/>
            </w:pPr>
            <w:r w:rsidRPr="000A7BB0">
              <w:t>24 (10.1)</w:t>
            </w:r>
          </w:p>
        </w:tc>
        <w:tc>
          <w:tcPr>
            <w:tcW w:w="826" w:type="pct"/>
            <w:tcBorders>
              <w:top w:val="nil"/>
              <w:bottom w:val="nil"/>
            </w:tcBorders>
            <w:vAlign w:val="center"/>
          </w:tcPr>
          <w:p w14:paraId="43F6FE08" w14:textId="77777777" w:rsidR="009E18C3" w:rsidRPr="000A7BB0" w:rsidRDefault="009E18C3" w:rsidP="002553CE">
            <w:pPr>
              <w:pStyle w:val="TableText"/>
              <w:keepNext/>
              <w:keepLines/>
              <w:widowControl/>
              <w:jc w:val="center"/>
            </w:pPr>
            <w:r w:rsidRPr="000A7BB0">
              <w:t>23 (10.0)</w:t>
            </w:r>
          </w:p>
        </w:tc>
        <w:tc>
          <w:tcPr>
            <w:tcW w:w="1622" w:type="pct"/>
            <w:tcBorders>
              <w:top w:val="nil"/>
              <w:bottom w:val="nil"/>
            </w:tcBorders>
            <w:vAlign w:val="center"/>
          </w:tcPr>
          <w:p w14:paraId="757C4A6D" w14:textId="77777777" w:rsidR="009E18C3" w:rsidRPr="000A7BB0" w:rsidRDefault="009E18C3" w:rsidP="002553CE">
            <w:pPr>
              <w:pStyle w:val="TableText"/>
              <w:keepNext/>
              <w:keepLines/>
              <w:widowControl/>
              <w:jc w:val="center"/>
            </w:pPr>
            <w:r w:rsidRPr="000A7BB0">
              <w:t>1.01 (0.59, 1.74), p=0.96</w:t>
            </w:r>
          </w:p>
        </w:tc>
      </w:tr>
      <w:tr w:rsidR="009E18C3" w:rsidRPr="000A7BB0" w14:paraId="0211B2FF" w14:textId="77777777" w:rsidTr="74877A7E">
        <w:trPr>
          <w:cantSplit/>
          <w:jc w:val="center"/>
        </w:trPr>
        <w:tc>
          <w:tcPr>
            <w:tcW w:w="1727" w:type="pct"/>
            <w:tcBorders>
              <w:top w:val="nil"/>
              <w:bottom w:val="nil"/>
            </w:tcBorders>
          </w:tcPr>
          <w:p w14:paraId="04819E0E" w14:textId="77777777" w:rsidR="009E18C3" w:rsidRPr="000A7BB0" w:rsidRDefault="009E18C3" w:rsidP="002553CE">
            <w:pPr>
              <w:pStyle w:val="TableText"/>
              <w:keepNext/>
              <w:keepLines/>
              <w:widowControl/>
              <w:numPr>
                <w:ilvl w:val="0"/>
                <w:numId w:val="16"/>
              </w:numPr>
            </w:pPr>
            <w:r w:rsidRPr="000A7BB0">
              <w:t>Blood and lymphatic system disorders</w:t>
            </w:r>
          </w:p>
        </w:tc>
        <w:tc>
          <w:tcPr>
            <w:tcW w:w="825" w:type="pct"/>
            <w:tcBorders>
              <w:top w:val="nil"/>
              <w:bottom w:val="nil"/>
            </w:tcBorders>
            <w:vAlign w:val="center"/>
          </w:tcPr>
          <w:p w14:paraId="7B992AB1" w14:textId="77777777" w:rsidR="009E18C3" w:rsidRPr="000A7BB0" w:rsidRDefault="009E18C3" w:rsidP="002553CE">
            <w:pPr>
              <w:pStyle w:val="TableText"/>
              <w:keepNext/>
              <w:keepLines/>
              <w:widowControl/>
              <w:jc w:val="center"/>
            </w:pPr>
            <w:r w:rsidRPr="000A7BB0">
              <w:t>9 (3.8)</w:t>
            </w:r>
          </w:p>
        </w:tc>
        <w:tc>
          <w:tcPr>
            <w:tcW w:w="826" w:type="pct"/>
            <w:tcBorders>
              <w:top w:val="nil"/>
              <w:bottom w:val="nil"/>
            </w:tcBorders>
            <w:vAlign w:val="center"/>
          </w:tcPr>
          <w:p w14:paraId="3E07BD90" w14:textId="77777777" w:rsidR="009E18C3" w:rsidRPr="000A7BB0" w:rsidRDefault="009E18C3" w:rsidP="002553CE">
            <w:pPr>
              <w:pStyle w:val="TableText"/>
              <w:keepNext/>
              <w:keepLines/>
              <w:widowControl/>
              <w:jc w:val="center"/>
            </w:pPr>
            <w:r w:rsidRPr="000A7BB0">
              <w:t>12 (5.2)</w:t>
            </w:r>
          </w:p>
        </w:tc>
        <w:tc>
          <w:tcPr>
            <w:tcW w:w="1622" w:type="pct"/>
            <w:tcBorders>
              <w:top w:val="nil"/>
              <w:bottom w:val="nil"/>
            </w:tcBorders>
            <w:vAlign w:val="center"/>
          </w:tcPr>
          <w:p w14:paraId="4A00217E" w14:textId="76CDB548" w:rsidR="009E18C3" w:rsidRPr="000A7BB0" w:rsidRDefault="009E18C3" w:rsidP="002553CE">
            <w:pPr>
              <w:pStyle w:val="TableText"/>
              <w:keepNext/>
              <w:keepLines/>
              <w:widowControl/>
              <w:jc w:val="center"/>
            </w:pPr>
            <w:r w:rsidRPr="000A7BB0">
              <w:t>0.73 (0.31, 1.69),p=0.46</w:t>
            </w:r>
          </w:p>
        </w:tc>
      </w:tr>
      <w:tr w:rsidR="009E18C3" w:rsidRPr="000A7BB0" w14:paraId="19CEF6B2" w14:textId="77777777" w:rsidTr="74877A7E">
        <w:trPr>
          <w:cantSplit/>
          <w:jc w:val="center"/>
        </w:trPr>
        <w:tc>
          <w:tcPr>
            <w:tcW w:w="1727" w:type="pct"/>
            <w:tcBorders>
              <w:top w:val="nil"/>
            </w:tcBorders>
            <w:vAlign w:val="center"/>
          </w:tcPr>
          <w:p w14:paraId="7C0C9A67" w14:textId="77777777" w:rsidR="009E18C3" w:rsidRPr="000A7BB0" w:rsidRDefault="009E18C3" w:rsidP="002553CE">
            <w:pPr>
              <w:pStyle w:val="TableText"/>
              <w:keepNext/>
              <w:keepLines/>
              <w:widowControl/>
              <w:numPr>
                <w:ilvl w:val="0"/>
                <w:numId w:val="16"/>
              </w:numPr>
            </w:pPr>
            <w:r w:rsidRPr="000A7BB0">
              <w:t>Neoplasms benign, malignant (incl cysts and polyps)</w:t>
            </w:r>
          </w:p>
        </w:tc>
        <w:tc>
          <w:tcPr>
            <w:tcW w:w="825" w:type="pct"/>
            <w:tcBorders>
              <w:top w:val="nil"/>
            </w:tcBorders>
            <w:vAlign w:val="center"/>
          </w:tcPr>
          <w:p w14:paraId="0A8C6359" w14:textId="77777777" w:rsidR="009E18C3" w:rsidRPr="000A7BB0" w:rsidRDefault="009E18C3" w:rsidP="002553CE">
            <w:pPr>
              <w:pStyle w:val="TableText"/>
              <w:keepNext/>
              <w:keepLines/>
              <w:widowControl/>
              <w:jc w:val="center"/>
            </w:pPr>
            <w:r w:rsidRPr="000A7BB0">
              <w:t>0 (0.0)</w:t>
            </w:r>
          </w:p>
        </w:tc>
        <w:tc>
          <w:tcPr>
            <w:tcW w:w="826" w:type="pct"/>
            <w:tcBorders>
              <w:top w:val="nil"/>
            </w:tcBorders>
            <w:vAlign w:val="center"/>
          </w:tcPr>
          <w:p w14:paraId="46CC1689" w14:textId="77777777" w:rsidR="009E18C3" w:rsidRPr="000A7BB0" w:rsidRDefault="009E18C3" w:rsidP="002553CE">
            <w:pPr>
              <w:pStyle w:val="TableText"/>
              <w:keepNext/>
              <w:keepLines/>
              <w:widowControl/>
              <w:jc w:val="center"/>
            </w:pPr>
            <w:r w:rsidRPr="000A7BB0">
              <w:t>2 (0.9)</w:t>
            </w:r>
          </w:p>
        </w:tc>
        <w:tc>
          <w:tcPr>
            <w:tcW w:w="1622" w:type="pct"/>
            <w:tcBorders>
              <w:top w:val="nil"/>
            </w:tcBorders>
            <w:vAlign w:val="center"/>
          </w:tcPr>
          <w:p w14:paraId="1E89715E" w14:textId="77777777" w:rsidR="009E18C3" w:rsidRPr="000A7BB0" w:rsidRDefault="009E18C3" w:rsidP="002553CE">
            <w:pPr>
              <w:pStyle w:val="TableText"/>
              <w:keepNext/>
              <w:keepLines/>
              <w:widowControl/>
              <w:jc w:val="center"/>
            </w:pPr>
            <w:r w:rsidRPr="000A7BB0">
              <w:t>0.19 (0.0094, 4.02), p=0.29</w:t>
            </w:r>
          </w:p>
        </w:tc>
      </w:tr>
      <w:tr w:rsidR="009E18C3" w:rsidRPr="000A7BB0" w14:paraId="332E0316" w14:textId="77777777" w:rsidTr="74877A7E">
        <w:trPr>
          <w:cantSplit/>
          <w:jc w:val="center"/>
        </w:trPr>
        <w:tc>
          <w:tcPr>
            <w:tcW w:w="1727" w:type="pct"/>
          </w:tcPr>
          <w:p w14:paraId="33DAD272" w14:textId="77777777" w:rsidR="009E18C3" w:rsidRPr="000A7BB0" w:rsidRDefault="009E18C3" w:rsidP="002553CE">
            <w:pPr>
              <w:pStyle w:val="TableText"/>
              <w:keepNext/>
              <w:keepLines/>
              <w:widowControl/>
            </w:pPr>
            <w:r w:rsidRPr="000A7BB0">
              <w:t>Related Grade ≥ 3</w:t>
            </w:r>
          </w:p>
        </w:tc>
        <w:tc>
          <w:tcPr>
            <w:tcW w:w="825" w:type="pct"/>
          </w:tcPr>
          <w:p w14:paraId="6CC839B3" w14:textId="77777777" w:rsidR="009E18C3" w:rsidRPr="000A7BB0" w:rsidRDefault="009E18C3" w:rsidP="002553CE">
            <w:pPr>
              <w:pStyle w:val="TableText"/>
              <w:keepNext/>
              <w:keepLines/>
              <w:widowControl/>
              <w:jc w:val="center"/>
            </w:pPr>
            <w:r w:rsidRPr="000A7BB0">
              <w:t>17 (7.2)</w:t>
            </w:r>
          </w:p>
        </w:tc>
        <w:tc>
          <w:tcPr>
            <w:tcW w:w="826" w:type="pct"/>
          </w:tcPr>
          <w:p w14:paraId="585A8382" w14:textId="77777777" w:rsidR="009E18C3" w:rsidRPr="000A7BB0" w:rsidRDefault="009E18C3" w:rsidP="002553CE">
            <w:pPr>
              <w:pStyle w:val="TableText"/>
              <w:keepNext/>
              <w:keepLines/>
              <w:widowControl/>
              <w:jc w:val="center"/>
            </w:pPr>
            <w:r w:rsidRPr="000A7BB0">
              <w:t>7 (3.0)</w:t>
            </w:r>
          </w:p>
        </w:tc>
        <w:tc>
          <w:tcPr>
            <w:tcW w:w="1622" w:type="pct"/>
            <w:vAlign w:val="center"/>
          </w:tcPr>
          <w:p w14:paraId="2373F941" w14:textId="77777777" w:rsidR="009E18C3" w:rsidRPr="000A7BB0" w:rsidRDefault="009E18C3" w:rsidP="002553CE">
            <w:pPr>
              <w:pStyle w:val="TableText"/>
              <w:keepNext/>
              <w:keepLines/>
              <w:widowControl/>
              <w:jc w:val="center"/>
              <w:rPr>
                <w:b/>
                <w:bCs/>
              </w:rPr>
            </w:pPr>
            <w:r w:rsidRPr="000A7BB0">
              <w:rPr>
                <w:b/>
                <w:bCs/>
              </w:rPr>
              <w:t>2.36 (0.99, 5.57), p=0.05</w:t>
            </w:r>
          </w:p>
        </w:tc>
      </w:tr>
      <w:tr w:rsidR="009E18C3" w:rsidRPr="000A7BB0" w14:paraId="210C0118" w14:textId="77777777" w:rsidTr="74877A7E">
        <w:trPr>
          <w:cantSplit/>
          <w:jc w:val="center"/>
        </w:trPr>
        <w:tc>
          <w:tcPr>
            <w:tcW w:w="1727" w:type="pct"/>
          </w:tcPr>
          <w:p w14:paraId="07393FFB" w14:textId="77777777" w:rsidR="009E18C3" w:rsidRPr="000A7BB0" w:rsidRDefault="009E18C3" w:rsidP="002553CE">
            <w:pPr>
              <w:pStyle w:val="TableText"/>
              <w:keepNext/>
              <w:keepLines/>
              <w:widowControl/>
            </w:pPr>
            <w:r w:rsidRPr="000A7BB0">
              <w:t>Fatal</w:t>
            </w:r>
          </w:p>
        </w:tc>
        <w:tc>
          <w:tcPr>
            <w:tcW w:w="825" w:type="pct"/>
          </w:tcPr>
          <w:p w14:paraId="3A58439F" w14:textId="77777777" w:rsidR="009E18C3" w:rsidRPr="000A7BB0" w:rsidRDefault="009E18C3" w:rsidP="002553CE">
            <w:pPr>
              <w:pStyle w:val="TableText"/>
              <w:keepNext/>
              <w:keepLines/>
              <w:widowControl/>
              <w:jc w:val="center"/>
            </w:pPr>
            <w:r w:rsidRPr="000A7BB0">
              <w:t>4 (1.7)</w:t>
            </w:r>
          </w:p>
        </w:tc>
        <w:tc>
          <w:tcPr>
            <w:tcW w:w="826" w:type="pct"/>
          </w:tcPr>
          <w:p w14:paraId="6726F085" w14:textId="77777777" w:rsidR="009E18C3" w:rsidRPr="000A7BB0" w:rsidRDefault="009E18C3" w:rsidP="002553CE">
            <w:pPr>
              <w:pStyle w:val="TableText"/>
              <w:keepNext/>
              <w:keepLines/>
              <w:widowControl/>
              <w:jc w:val="center"/>
            </w:pPr>
            <w:r w:rsidRPr="000A7BB0">
              <w:t>6 (2.6)</w:t>
            </w:r>
          </w:p>
        </w:tc>
        <w:tc>
          <w:tcPr>
            <w:tcW w:w="1622" w:type="pct"/>
            <w:vAlign w:val="center"/>
          </w:tcPr>
          <w:p w14:paraId="5BE5FC46" w14:textId="77777777" w:rsidR="009E18C3" w:rsidRPr="000A7BB0" w:rsidRDefault="009E18C3" w:rsidP="002553CE">
            <w:pPr>
              <w:pStyle w:val="TableText"/>
              <w:keepNext/>
              <w:keepLines/>
              <w:widowControl/>
              <w:jc w:val="center"/>
            </w:pPr>
            <w:r w:rsidRPr="000A7BB0">
              <w:t>0.65 (0.19, 2.26), p=0.50</w:t>
            </w:r>
          </w:p>
        </w:tc>
      </w:tr>
      <w:tr w:rsidR="009E18C3" w:rsidRPr="000A7BB0" w14:paraId="3D260CB9" w14:textId="77777777" w:rsidTr="74877A7E">
        <w:trPr>
          <w:cantSplit/>
          <w:jc w:val="center"/>
        </w:trPr>
        <w:tc>
          <w:tcPr>
            <w:tcW w:w="1727" w:type="pct"/>
          </w:tcPr>
          <w:p w14:paraId="6492AC44" w14:textId="77777777" w:rsidR="009E18C3" w:rsidRPr="000A7BB0" w:rsidRDefault="009E18C3" w:rsidP="002553CE">
            <w:pPr>
              <w:pStyle w:val="TableText"/>
              <w:keepNext/>
              <w:keepLines/>
              <w:widowControl/>
            </w:pPr>
            <w:r w:rsidRPr="000A7BB0">
              <w:t>Serious</w:t>
            </w:r>
          </w:p>
        </w:tc>
        <w:tc>
          <w:tcPr>
            <w:tcW w:w="825" w:type="pct"/>
          </w:tcPr>
          <w:p w14:paraId="69E78F88" w14:textId="77777777" w:rsidR="009E18C3" w:rsidRPr="000A7BB0" w:rsidRDefault="009E18C3" w:rsidP="002553CE">
            <w:pPr>
              <w:pStyle w:val="TableText"/>
              <w:keepNext/>
              <w:keepLines/>
              <w:widowControl/>
              <w:jc w:val="center"/>
            </w:pPr>
            <w:r w:rsidRPr="000A7BB0">
              <w:t>29 (12.2)</w:t>
            </w:r>
          </w:p>
        </w:tc>
        <w:tc>
          <w:tcPr>
            <w:tcW w:w="826" w:type="pct"/>
          </w:tcPr>
          <w:p w14:paraId="737A44A5" w14:textId="77777777" w:rsidR="009E18C3" w:rsidRPr="000A7BB0" w:rsidRDefault="009E18C3" w:rsidP="002553CE">
            <w:pPr>
              <w:pStyle w:val="TableText"/>
              <w:keepNext/>
              <w:keepLines/>
              <w:widowControl/>
              <w:jc w:val="center"/>
            </w:pPr>
            <w:r w:rsidRPr="000A7BB0">
              <w:t>25 (10.9)</w:t>
            </w:r>
          </w:p>
        </w:tc>
        <w:tc>
          <w:tcPr>
            <w:tcW w:w="1622" w:type="pct"/>
            <w:vAlign w:val="center"/>
          </w:tcPr>
          <w:p w14:paraId="34A871E4" w14:textId="77777777" w:rsidR="009E18C3" w:rsidRPr="000A7BB0" w:rsidRDefault="009E18C3" w:rsidP="002553CE">
            <w:pPr>
              <w:pStyle w:val="TableText"/>
              <w:keepNext/>
              <w:keepLines/>
              <w:widowControl/>
              <w:jc w:val="center"/>
            </w:pPr>
            <w:r w:rsidRPr="000A7BB0">
              <w:t>1.13 (0.68, 1.86), p=0.64</w:t>
            </w:r>
          </w:p>
        </w:tc>
      </w:tr>
      <w:tr w:rsidR="009E18C3" w:rsidRPr="000A7BB0" w14:paraId="1FB70E88" w14:textId="77777777" w:rsidTr="74877A7E">
        <w:trPr>
          <w:cantSplit/>
          <w:jc w:val="center"/>
        </w:trPr>
        <w:tc>
          <w:tcPr>
            <w:tcW w:w="1727" w:type="pct"/>
          </w:tcPr>
          <w:p w14:paraId="77C2E753" w14:textId="77777777" w:rsidR="009E18C3" w:rsidRPr="000A7BB0" w:rsidRDefault="009E18C3" w:rsidP="002553CE">
            <w:pPr>
              <w:pStyle w:val="TableText"/>
              <w:keepNext/>
              <w:keepLines/>
              <w:widowControl/>
            </w:pPr>
            <w:r w:rsidRPr="000A7BB0">
              <w:t>Related and serious</w:t>
            </w:r>
          </w:p>
        </w:tc>
        <w:tc>
          <w:tcPr>
            <w:tcW w:w="825" w:type="pct"/>
          </w:tcPr>
          <w:p w14:paraId="0B315E5B" w14:textId="77777777" w:rsidR="009E18C3" w:rsidRPr="000A7BB0" w:rsidRDefault="009E18C3" w:rsidP="002553CE">
            <w:pPr>
              <w:pStyle w:val="TableText"/>
              <w:keepNext/>
              <w:keepLines/>
              <w:widowControl/>
              <w:jc w:val="center"/>
            </w:pPr>
            <w:r w:rsidRPr="000A7BB0">
              <w:t>3 (1.3)</w:t>
            </w:r>
          </w:p>
        </w:tc>
        <w:tc>
          <w:tcPr>
            <w:tcW w:w="826" w:type="pct"/>
          </w:tcPr>
          <w:p w14:paraId="7FFD7EA1" w14:textId="77777777" w:rsidR="009E18C3" w:rsidRPr="000A7BB0" w:rsidRDefault="009E18C3" w:rsidP="002553CE">
            <w:pPr>
              <w:pStyle w:val="TableText"/>
              <w:keepNext/>
              <w:keepLines/>
              <w:widowControl/>
              <w:jc w:val="center"/>
            </w:pPr>
            <w:r w:rsidRPr="000A7BB0">
              <w:t>-</w:t>
            </w:r>
          </w:p>
        </w:tc>
        <w:tc>
          <w:tcPr>
            <w:tcW w:w="1622" w:type="pct"/>
            <w:vAlign w:val="center"/>
          </w:tcPr>
          <w:p w14:paraId="3AEFE1D2" w14:textId="77777777" w:rsidR="009E18C3" w:rsidRPr="000A7BB0" w:rsidRDefault="009E18C3" w:rsidP="002553CE">
            <w:pPr>
              <w:pStyle w:val="TableText"/>
              <w:keepNext/>
              <w:keepLines/>
              <w:widowControl/>
              <w:jc w:val="center"/>
            </w:pPr>
            <w:r w:rsidRPr="000A7BB0">
              <w:t>6.79 (0.35, 130.81), p=0.20</w:t>
            </w:r>
          </w:p>
        </w:tc>
      </w:tr>
      <w:tr w:rsidR="009E18C3" w:rsidRPr="000A7BB0" w14:paraId="0F2D1B4F" w14:textId="77777777" w:rsidTr="74877A7E">
        <w:trPr>
          <w:cantSplit/>
          <w:jc w:val="center"/>
        </w:trPr>
        <w:tc>
          <w:tcPr>
            <w:tcW w:w="1727" w:type="pct"/>
          </w:tcPr>
          <w:p w14:paraId="4CB537B2" w14:textId="77777777" w:rsidR="009E18C3" w:rsidRPr="000A7BB0" w:rsidRDefault="009E18C3" w:rsidP="002553CE">
            <w:pPr>
              <w:pStyle w:val="TableText"/>
              <w:keepNext/>
              <w:keepLines/>
              <w:widowControl/>
            </w:pPr>
            <w:r w:rsidRPr="000A7BB0">
              <w:t>Leading to interruption</w:t>
            </w:r>
          </w:p>
        </w:tc>
        <w:tc>
          <w:tcPr>
            <w:tcW w:w="825" w:type="pct"/>
          </w:tcPr>
          <w:p w14:paraId="5F267BA8" w14:textId="77777777" w:rsidR="009E18C3" w:rsidRPr="000A7BB0" w:rsidRDefault="009E18C3" w:rsidP="002553CE">
            <w:pPr>
              <w:pStyle w:val="TableText"/>
              <w:keepNext/>
              <w:keepLines/>
              <w:widowControl/>
              <w:jc w:val="center"/>
            </w:pPr>
            <w:r w:rsidRPr="000A7BB0">
              <w:t>36 (15.2)</w:t>
            </w:r>
          </w:p>
        </w:tc>
        <w:tc>
          <w:tcPr>
            <w:tcW w:w="826" w:type="pct"/>
          </w:tcPr>
          <w:p w14:paraId="6262CD9F" w14:textId="77777777" w:rsidR="009E18C3" w:rsidRPr="000A7BB0" w:rsidRDefault="009E18C3" w:rsidP="002553CE">
            <w:pPr>
              <w:pStyle w:val="TableText"/>
              <w:keepNext/>
              <w:keepLines/>
              <w:widowControl/>
              <w:jc w:val="center"/>
            </w:pPr>
            <w:r w:rsidRPr="000A7BB0">
              <w:t>12 (5.2)</w:t>
            </w:r>
          </w:p>
        </w:tc>
        <w:tc>
          <w:tcPr>
            <w:tcW w:w="1622" w:type="pct"/>
            <w:vAlign w:val="center"/>
          </w:tcPr>
          <w:p w14:paraId="037734B1" w14:textId="77777777" w:rsidR="009E18C3" w:rsidRPr="000A7BB0" w:rsidRDefault="009E18C3" w:rsidP="002553CE">
            <w:pPr>
              <w:pStyle w:val="TableText"/>
              <w:keepNext/>
              <w:keepLines/>
              <w:widowControl/>
              <w:jc w:val="center"/>
              <w:rPr>
                <w:b/>
                <w:bCs/>
              </w:rPr>
            </w:pPr>
            <w:r w:rsidRPr="000A7BB0">
              <w:rPr>
                <w:b/>
                <w:bCs/>
              </w:rPr>
              <w:t>2.91 (1.55, 5.45), p=0.0008</w:t>
            </w:r>
          </w:p>
        </w:tc>
      </w:tr>
      <w:tr w:rsidR="009E18C3" w:rsidRPr="000A7BB0" w14:paraId="7B14EA31" w14:textId="77777777" w:rsidTr="74877A7E">
        <w:trPr>
          <w:cantSplit/>
          <w:jc w:val="center"/>
        </w:trPr>
        <w:tc>
          <w:tcPr>
            <w:tcW w:w="1727" w:type="pct"/>
          </w:tcPr>
          <w:p w14:paraId="507D513B" w14:textId="77777777" w:rsidR="009E18C3" w:rsidRPr="000A7BB0" w:rsidRDefault="009E18C3" w:rsidP="002553CE">
            <w:pPr>
              <w:pStyle w:val="TableText"/>
              <w:keepNext/>
              <w:keepLines/>
              <w:widowControl/>
            </w:pPr>
            <w:r w:rsidRPr="000A7BB0">
              <w:t>Related and leading to interruption</w:t>
            </w:r>
          </w:p>
        </w:tc>
        <w:tc>
          <w:tcPr>
            <w:tcW w:w="825" w:type="pct"/>
            <w:vAlign w:val="center"/>
          </w:tcPr>
          <w:p w14:paraId="72A232BA" w14:textId="77777777" w:rsidR="009E18C3" w:rsidRPr="000A7BB0" w:rsidRDefault="009E18C3" w:rsidP="002553CE">
            <w:pPr>
              <w:pStyle w:val="TableText"/>
              <w:keepNext/>
              <w:keepLines/>
              <w:widowControl/>
              <w:jc w:val="center"/>
            </w:pPr>
            <w:r w:rsidRPr="000A7BB0">
              <w:t>15 (6.3)</w:t>
            </w:r>
          </w:p>
        </w:tc>
        <w:tc>
          <w:tcPr>
            <w:tcW w:w="826" w:type="pct"/>
            <w:vAlign w:val="center"/>
          </w:tcPr>
          <w:p w14:paraId="5380F1CB" w14:textId="77777777" w:rsidR="009E18C3" w:rsidRPr="000A7BB0" w:rsidRDefault="009E18C3" w:rsidP="002553CE">
            <w:pPr>
              <w:pStyle w:val="TableText"/>
              <w:keepNext/>
              <w:keepLines/>
              <w:widowControl/>
              <w:jc w:val="center"/>
            </w:pPr>
            <w:r w:rsidRPr="000A7BB0">
              <w:t>4 (1.7)</w:t>
            </w:r>
          </w:p>
        </w:tc>
        <w:tc>
          <w:tcPr>
            <w:tcW w:w="1622" w:type="pct"/>
            <w:vAlign w:val="center"/>
          </w:tcPr>
          <w:p w14:paraId="14C8EC10" w14:textId="77777777" w:rsidR="009E18C3" w:rsidRPr="000A7BB0" w:rsidRDefault="009E18C3" w:rsidP="002553CE">
            <w:pPr>
              <w:pStyle w:val="TableText"/>
              <w:keepNext/>
              <w:keepLines/>
              <w:widowControl/>
              <w:jc w:val="center"/>
              <w:rPr>
                <w:b/>
                <w:bCs/>
              </w:rPr>
            </w:pPr>
            <w:r w:rsidRPr="000A7BB0">
              <w:rPr>
                <w:b/>
                <w:bCs/>
              </w:rPr>
              <w:t>3.64 (1.23, 10.80), p=0.02</w:t>
            </w:r>
          </w:p>
        </w:tc>
      </w:tr>
      <w:tr w:rsidR="009E18C3" w:rsidRPr="000A7BB0" w14:paraId="37996781" w14:textId="77777777" w:rsidTr="74877A7E">
        <w:trPr>
          <w:cantSplit/>
          <w:jc w:val="center"/>
        </w:trPr>
        <w:tc>
          <w:tcPr>
            <w:tcW w:w="1727" w:type="pct"/>
          </w:tcPr>
          <w:p w14:paraId="6C694578" w14:textId="77777777" w:rsidR="009E18C3" w:rsidRPr="000A7BB0" w:rsidRDefault="009E18C3" w:rsidP="002553CE">
            <w:pPr>
              <w:pStyle w:val="TableText"/>
              <w:keepNext/>
              <w:keepLines/>
              <w:widowControl/>
            </w:pPr>
            <w:r w:rsidRPr="000A7BB0">
              <w:t>Leading to dose reduction</w:t>
            </w:r>
          </w:p>
        </w:tc>
        <w:tc>
          <w:tcPr>
            <w:tcW w:w="825" w:type="pct"/>
            <w:vAlign w:val="center"/>
          </w:tcPr>
          <w:p w14:paraId="1D9B0D8C" w14:textId="77777777" w:rsidR="009E18C3" w:rsidRPr="000A7BB0" w:rsidRDefault="009E18C3" w:rsidP="002553CE">
            <w:pPr>
              <w:pStyle w:val="TableText"/>
              <w:keepNext/>
              <w:keepLines/>
              <w:widowControl/>
              <w:jc w:val="center"/>
            </w:pPr>
            <w:r w:rsidRPr="000A7BB0">
              <w:t>7 (3.0)</w:t>
            </w:r>
          </w:p>
        </w:tc>
        <w:tc>
          <w:tcPr>
            <w:tcW w:w="826" w:type="pct"/>
            <w:vAlign w:val="center"/>
          </w:tcPr>
          <w:p w14:paraId="60637E90" w14:textId="77777777" w:rsidR="009E18C3" w:rsidRPr="000A7BB0" w:rsidRDefault="009E18C3" w:rsidP="002553CE">
            <w:pPr>
              <w:pStyle w:val="TableText"/>
              <w:keepNext/>
              <w:keepLines/>
              <w:widowControl/>
              <w:jc w:val="center"/>
            </w:pPr>
            <w:r w:rsidRPr="000A7BB0">
              <w:t>-</w:t>
            </w:r>
          </w:p>
        </w:tc>
        <w:tc>
          <w:tcPr>
            <w:tcW w:w="1622" w:type="pct"/>
            <w:vAlign w:val="center"/>
          </w:tcPr>
          <w:p w14:paraId="63FB37D2" w14:textId="77777777" w:rsidR="009E18C3" w:rsidRPr="000A7BB0" w:rsidRDefault="009E18C3" w:rsidP="002553CE">
            <w:pPr>
              <w:pStyle w:val="TableText"/>
              <w:keepNext/>
              <w:keepLines/>
              <w:widowControl/>
              <w:jc w:val="center"/>
            </w:pPr>
            <w:r w:rsidRPr="000A7BB0">
              <w:t>14.56 (0.84, 253.47), p=0.066</w:t>
            </w:r>
          </w:p>
        </w:tc>
      </w:tr>
      <w:tr w:rsidR="009E18C3" w:rsidRPr="000A7BB0" w14:paraId="44F6979F" w14:textId="77777777" w:rsidTr="74877A7E">
        <w:trPr>
          <w:cantSplit/>
          <w:jc w:val="center"/>
        </w:trPr>
        <w:tc>
          <w:tcPr>
            <w:tcW w:w="1727" w:type="pct"/>
          </w:tcPr>
          <w:p w14:paraId="13248F24" w14:textId="77777777" w:rsidR="009E18C3" w:rsidRPr="000A7BB0" w:rsidRDefault="009E18C3" w:rsidP="002553CE">
            <w:pPr>
              <w:pStyle w:val="TableText"/>
              <w:keepNext/>
              <w:keepLines/>
              <w:widowControl/>
            </w:pPr>
            <w:r w:rsidRPr="000A7BB0">
              <w:t>Related and leading to dose reduction</w:t>
            </w:r>
          </w:p>
        </w:tc>
        <w:tc>
          <w:tcPr>
            <w:tcW w:w="825" w:type="pct"/>
            <w:vAlign w:val="center"/>
          </w:tcPr>
          <w:p w14:paraId="7C94124B" w14:textId="77777777" w:rsidR="009E18C3" w:rsidRPr="000A7BB0" w:rsidRDefault="009E18C3" w:rsidP="002553CE">
            <w:pPr>
              <w:pStyle w:val="TableText"/>
              <w:keepNext/>
              <w:keepLines/>
              <w:widowControl/>
              <w:jc w:val="center"/>
            </w:pPr>
            <w:r w:rsidRPr="000A7BB0">
              <w:t>6 (2.5)</w:t>
            </w:r>
          </w:p>
        </w:tc>
        <w:tc>
          <w:tcPr>
            <w:tcW w:w="826" w:type="pct"/>
            <w:vAlign w:val="center"/>
          </w:tcPr>
          <w:p w14:paraId="578ECC9E" w14:textId="77777777" w:rsidR="009E18C3" w:rsidRPr="000A7BB0" w:rsidRDefault="009E18C3" w:rsidP="002553CE">
            <w:pPr>
              <w:pStyle w:val="TableText"/>
              <w:keepNext/>
              <w:keepLines/>
              <w:widowControl/>
              <w:jc w:val="center"/>
            </w:pPr>
            <w:r w:rsidRPr="000A7BB0">
              <w:t>-</w:t>
            </w:r>
          </w:p>
        </w:tc>
        <w:tc>
          <w:tcPr>
            <w:tcW w:w="1622" w:type="pct"/>
            <w:vAlign w:val="center"/>
          </w:tcPr>
          <w:p w14:paraId="1C4CAF87" w14:textId="77777777" w:rsidR="009E18C3" w:rsidRPr="000A7BB0" w:rsidRDefault="009E18C3" w:rsidP="002553CE">
            <w:pPr>
              <w:pStyle w:val="TableText"/>
              <w:keepNext/>
              <w:keepLines/>
              <w:widowControl/>
              <w:jc w:val="center"/>
            </w:pPr>
            <w:r w:rsidRPr="000A7BB0">
              <w:t>12.62 (0.71, 222.71), p=0.08</w:t>
            </w:r>
          </w:p>
        </w:tc>
      </w:tr>
      <w:tr w:rsidR="009E18C3" w:rsidRPr="000A7BB0" w14:paraId="77ECA288" w14:textId="77777777" w:rsidTr="74877A7E">
        <w:trPr>
          <w:cantSplit/>
          <w:jc w:val="center"/>
        </w:trPr>
        <w:tc>
          <w:tcPr>
            <w:tcW w:w="1727" w:type="pct"/>
          </w:tcPr>
          <w:p w14:paraId="432396D6" w14:textId="77777777" w:rsidR="009E18C3" w:rsidRPr="000A7BB0" w:rsidRDefault="009E18C3" w:rsidP="002553CE">
            <w:pPr>
              <w:pStyle w:val="TableText"/>
              <w:keepNext/>
              <w:keepLines/>
              <w:widowControl/>
            </w:pPr>
            <w:r w:rsidRPr="000A7BB0">
              <w:t>Leading to discontinuation of study drug</w:t>
            </w:r>
          </w:p>
        </w:tc>
        <w:tc>
          <w:tcPr>
            <w:tcW w:w="825" w:type="pct"/>
            <w:vAlign w:val="center"/>
          </w:tcPr>
          <w:p w14:paraId="475E750C" w14:textId="77777777" w:rsidR="009E18C3" w:rsidRPr="000A7BB0" w:rsidRDefault="009E18C3" w:rsidP="002553CE">
            <w:pPr>
              <w:pStyle w:val="TableText"/>
              <w:keepNext/>
              <w:keepLines/>
              <w:widowControl/>
              <w:jc w:val="center"/>
            </w:pPr>
            <w:r w:rsidRPr="000A7BB0">
              <w:t>15 (6.3)</w:t>
            </w:r>
          </w:p>
        </w:tc>
        <w:tc>
          <w:tcPr>
            <w:tcW w:w="826" w:type="pct"/>
            <w:vAlign w:val="center"/>
          </w:tcPr>
          <w:p w14:paraId="0DBD1704" w14:textId="77777777" w:rsidR="009E18C3" w:rsidRPr="000A7BB0" w:rsidRDefault="009E18C3" w:rsidP="002553CE">
            <w:pPr>
              <w:pStyle w:val="TableText"/>
              <w:keepNext/>
              <w:keepLines/>
              <w:widowControl/>
              <w:jc w:val="center"/>
            </w:pPr>
            <w:r w:rsidRPr="000A7BB0">
              <w:t>10 (4.3)</w:t>
            </w:r>
          </w:p>
        </w:tc>
        <w:tc>
          <w:tcPr>
            <w:tcW w:w="1622" w:type="pct"/>
            <w:vAlign w:val="center"/>
          </w:tcPr>
          <w:p w14:paraId="2A28BD23" w14:textId="77777777" w:rsidR="009E18C3" w:rsidRPr="000A7BB0" w:rsidRDefault="009E18C3" w:rsidP="002553CE">
            <w:pPr>
              <w:pStyle w:val="TableText"/>
              <w:keepNext/>
              <w:keepLines/>
              <w:widowControl/>
              <w:jc w:val="center"/>
            </w:pPr>
            <w:r w:rsidRPr="000A7BB0">
              <w:t>1.46 (0.67, 3.17), p=0.35</w:t>
            </w:r>
          </w:p>
        </w:tc>
      </w:tr>
      <w:tr w:rsidR="009E18C3" w:rsidRPr="000A7BB0" w14:paraId="48D33A46" w14:textId="77777777" w:rsidTr="74877A7E">
        <w:trPr>
          <w:cantSplit/>
          <w:jc w:val="center"/>
        </w:trPr>
        <w:tc>
          <w:tcPr>
            <w:tcW w:w="1727" w:type="pct"/>
          </w:tcPr>
          <w:p w14:paraId="4C242BCC" w14:textId="77777777" w:rsidR="009E18C3" w:rsidRPr="000A7BB0" w:rsidRDefault="009E18C3" w:rsidP="002553CE">
            <w:pPr>
              <w:pStyle w:val="TableText"/>
              <w:keepNext/>
              <w:keepLines/>
              <w:widowControl/>
            </w:pPr>
            <w:r w:rsidRPr="000A7BB0">
              <w:t>Related leading to discontinuation of study drug</w:t>
            </w:r>
          </w:p>
        </w:tc>
        <w:tc>
          <w:tcPr>
            <w:tcW w:w="825" w:type="pct"/>
            <w:vAlign w:val="center"/>
          </w:tcPr>
          <w:p w14:paraId="22B11CA2" w14:textId="77777777" w:rsidR="009E18C3" w:rsidRPr="000A7BB0" w:rsidRDefault="009E18C3" w:rsidP="002553CE">
            <w:pPr>
              <w:pStyle w:val="TableText"/>
              <w:keepNext/>
              <w:keepLines/>
              <w:widowControl/>
              <w:jc w:val="center"/>
            </w:pPr>
            <w:r w:rsidRPr="000A7BB0">
              <w:t>8 (3.4)</w:t>
            </w:r>
          </w:p>
        </w:tc>
        <w:tc>
          <w:tcPr>
            <w:tcW w:w="826" w:type="pct"/>
            <w:vAlign w:val="center"/>
          </w:tcPr>
          <w:p w14:paraId="7FA43F6D" w14:textId="77777777" w:rsidR="009E18C3" w:rsidRPr="000A7BB0" w:rsidRDefault="009E18C3" w:rsidP="002553CE">
            <w:pPr>
              <w:pStyle w:val="TableText"/>
              <w:keepNext/>
              <w:keepLines/>
              <w:widowControl/>
              <w:jc w:val="center"/>
            </w:pPr>
            <w:r w:rsidRPr="000A7BB0">
              <w:t>2 (0.9)</w:t>
            </w:r>
          </w:p>
        </w:tc>
        <w:tc>
          <w:tcPr>
            <w:tcW w:w="1622" w:type="pct"/>
            <w:vAlign w:val="center"/>
          </w:tcPr>
          <w:p w14:paraId="5B222ADD" w14:textId="77777777" w:rsidR="009E18C3" w:rsidRPr="000A7BB0" w:rsidRDefault="009E18C3" w:rsidP="002553CE">
            <w:pPr>
              <w:pStyle w:val="TableText"/>
              <w:keepNext/>
              <w:keepLines/>
              <w:widowControl/>
              <w:jc w:val="center"/>
            </w:pPr>
            <w:r w:rsidRPr="000A7BB0">
              <w:t>3.88 (0.83, 18.09), p=0.08</w:t>
            </w:r>
          </w:p>
        </w:tc>
      </w:tr>
    </w:tbl>
    <w:p w14:paraId="6A6F6F09" w14:textId="50E8F78D" w:rsidR="009E18C3" w:rsidRPr="000A7BB0" w:rsidRDefault="009E18C3" w:rsidP="002553CE">
      <w:pPr>
        <w:pStyle w:val="TableFooter"/>
        <w:keepNext/>
        <w:keepLines/>
        <w:widowControl/>
      </w:pPr>
      <w:r w:rsidRPr="000A7BB0">
        <w:t>Source: Table 2.82, p227 and</w:t>
      </w:r>
      <w:r w:rsidR="0010441D" w:rsidRPr="000A7BB0">
        <w:t xml:space="preserve"> </w:t>
      </w:r>
      <w:r w:rsidRPr="000A7BB0">
        <w:t>Table 2.84, p229 of the submission</w:t>
      </w:r>
    </w:p>
    <w:p w14:paraId="5003A3C8" w14:textId="77777777" w:rsidR="009E18C3" w:rsidRPr="000A7BB0" w:rsidRDefault="009E18C3" w:rsidP="002553CE">
      <w:pPr>
        <w:pStyle w:val="TableFooter"/>
        <w:keepNext/>
        <w:keepLines/>
        <w:widowControl/>
      </w:pPr>
      <w:r w:rsidRPr="000A7BB0">
        <w:t>AEs = adverse events; CI = confidence interval; n = number of participants reporting data; N = total participants in group; RR = relative risk; SOC =standard of care; TEAE = treatment emergent adverse event</w:t>
      </w:r>
    </w:p>
    <w:p w14:paraId="36AEFEA2" w14:textId="500802EE" w:rsidR="009E18C3" w:rsidRPr="000A7BB0" w:rsidRDefault="009E18C3" w:rsidP="002553CE">
      <w:pPr>
        <w:pStyle w:val="TableFooter"/>
        <w:keepNext/>
        <w:keepLines/>
        <w:widowControl/>
      </w:pPr>
      <w:r w:rsidRPr="000A7BB0">
        <w:rPr>
          <w:vertAlign w:val="superscript"/>
        </w:rPr>
        <w:t xml:space="preserve">a </w:t>
      </w:r>
      <w:r w:rsidRPr="000A7BB0">
        <w:t>Relates to investigations required due to several factors, including Alanine aminotransferase increased, Blood pressure increased and Gamma-glutamyltransferase increased</w:t>
      </w:r>
    </w:p>
    <w:p w14:paraId="3AF5F94C" w14:textId="37BB9ADC" w:rsidR="008F2F57" w:rsidRPr="000A7BB0" w:rsidRDefault="008F2F57" w:rsidP="002553CE">
      <w:pPr>
        <w:pStyle w:val="TableFooter"/>
        <w:keepNext/>
        <w:keepLines/>
        <w:widowControl/>
        <w:rPr>
          <w:lang w:eastAsia="en-AU"/>
        </w:rPr>
      </w:pPr>
      <w:r w:rsidRPr="000A7BB0">
        <w:rPr>
          <w:vertAlign w:val="superscript"/>
          <w:lang w:eastAsia="en-AU"/>
        </w:rPr>
        <w:t>b</w:t>
      </w:r>
      <w:r w:rsidRPr="000A7BB0">
        <w:rPr>
          <w:lang w:eastAsia="en-AU"/>
        </w:rPr>
        <w:t xml:space="preserve"> SOC in the EMERALD trial comprises of choice of aromatase inhibitor (AI) or fulvestrant monotherapy which may not reflect the true extent of current therapies received by Australian patients.</w:t>
      </w:r>
    </w:p>
    <w:p w14:paraId="726B518F" w14:textId="09838F21" w:rsidR="009E18C3" w:rsidRPr="000A7BB0" w:rsidRDefault="009E18C3" w:rsidP="002553CE">
      <w:pPr>
        <w:pStyle w:val="TableFigureFooter"/>
      </w:pPr>
      <w:r w:rsidRPr="000A7BB0">
        <w:rPr>
          <w:b/>
          <w:bCs/>
        </w:rPr>
        <w:t>Bold</w:t>
      </w:r>
      <w:r w:rsidRPr="000A7BB0">
        <w:t xml:space="preserve"> text indicates a p-value</w:t>
      </w:r>
      <w:r w:rsidR="00782384">
        <w:t xml:space="preserve"> &lt;0.05</w:t>
      </w:r>
    </w:p>
    <w:p w14:paraId="3BD660B8" w14:textId="77777777" w:rsidR="00624315" w:rsidRPr="000A7BB0" w:rsidRDefault="00624315" w:rsidP="002553CE">
      <w:pPr>
        <w:pStyle w:val="OutlineHeading2"/>
        <w:rPr>
          <w:rFonts w:ascii="Calibri" w:hAnsi="Calibri" w:cs="Calibri"/>
        </w:rPr>
      </w:pPr>
      <w:bookmarkStart w:id="30" w:name="_Toc413139281"/>
      <w:r w:rsidRPr="000A7BB0">
        <w:rPr>
          <w:rFonts w:ascii="Calibri" w:hAnsi="Calibri" w:cs="Calibri"/>
        </w:rPr>
        <w:t>Benefits</w:t>
      </w:r>
      <w:r w:rsidR="00233714" w:rsidRPr="000A7BB0">
        <w:rPr>
          <w:rFonts w:ascii="Calibri" w:hAnsi="Calibri" w:cs="Calibri"/>
        </w:rPr>
        <w:t>/</w:t>
      </w:r>
      <w:r w:rsidRPr="000A7BB0">
        <w:rPr>
          <w:rFonts w:ascii="Calibri" w:hAnsi="Calibri" w:cs="Calibri"/>
        </w:rPr>
        <w:t xml:space="preserve"> harms</w:t>
      </w:r>
    </w:p>
    <w:p w14:paraId="1401A87D" w14:textId="0062BBD7" w:rsidR="009E18C3" w:rsidRPr="000A7BB0" w:rsidRDefault="009E18C3" w:rsidP="002553CE">
      <w:pPr>
        <w:numPr>
          <w:ilvl w:val="4"/>
          <w:numId w:val="11"/>
        </w:numPr>
        <w:ind w:left="709" w:hanging="709"/>
        <w:rPr>
          <w:color w:val="000000" w:themeColor="text1"/>
        </w:rPr>
      </w:pPr>
      <w:r w:rsidRPr="000A7BB0">
        <w:rPr>
          <w:color w:val="000000" w:themeColor="text1"/>
        </w:rPr>
        <w:t xml:space="preserve">A summary of the comparative benefits and harms for elacestrant versus SOC is presented in </w:t>
      </w:r>
      <w:r w:rsidR="00C92F7A" w:rsidRPr="000A7BB0">
        <w:rPr>
          <w:color w:val="000000" w:themeColor="text1"/>
        </w:rPr>
        <w:fldChar w:fldCharType="begin"/>
      </w:r>
      <w:r w:rsidR="00C92F7A" w:rsidRPr="000A7BB0">
        <w:rPr>
          <w:color w:val="000000" w:themeColor="text1"/>
        </w:rPr>
        <w:instrText xml:space="preserve"> REF _Ref187417419 \h </w:instrText>
      </w:r>
      <w:r w:rsidR="009018BD" w:rsidRPr="000A7BB0">
        <w:rPr>
          <w:color w:val="000000" w:themeColor="text1"/>
        </w:rPr>
        <w:instrText xml:space="preserve"> \* MERGEFORMAT </w:instrText>
      </w:r>
      <w:r w:rsidR="00C92F7A" w:rsidRPr="000A7BB0">
        <w:rPr>
          <w:color w:val="000000" w:themeColor="text1"/>
        </w:rPr>
      </w:r>
      <w:r w:rsidR="00C92F7A" w:rsidRPr="000A7BB0">
        <w:rPr>
          <w:color w:val="000000" w:themeColor="text1"/>
        </w:rPr>
        <w:fldChar w:fldCharType="separate"/>
      </w:r>
      <w:r w:rsidR="004F224A" w:rsidRPr="004F224A">
        <w:rPr>
          <w:color w:val="000000" w:themeColor="text1"/>
        </w:rPr>
        <w:t>Table 7</w:t>
      </w:r>
      <w:r w:rsidR="00C92F7A" w:rsidRPr="000A7BB0">
        <w:rPr>
          <w:color w:val="000000" w:themeColor="text1"/>
        </w:rPr>
        <w:fldChar w:fldCharType="end"/>
      </w:r>
      <w:r w:rsidRPr="000A7BB0">
        <w:rPr>
          <w:color w:val="000000" w:themeColor="text1"/>
        </w:rPr>
        <w:t xml:space="preserve">. </w:t>
      </w:r>
    </w:p>
    <w:p w14:paraId="3F3842C0" w14:textId="43BA7D76" w:rsidR="009E18C3" w:rsidRPr="000A7BB0" w:rsidRDefault="009E18C3" w:rsidP="002553CE">
      <w:pPr>
        <w:pStyle w:val="TableFigureHeading"/>
        <w:keepLines/>
        <w:rPr>
          <w:vertAlign w:val="superscript"/>
        </w:rPr>
      </w:pPr>
      <w:bookmarkStart w:id="31" w:name="_Ref187417419"/>
      <w:r w:rsidRPr="000A7BB0">
        <w:lastRenderedPageBreak/>
        <w:t xml:space="preserve">Table </w:t>
      </w:r>
      <w:r>
        <w:fldChar w:fldCharType="begin"/>
      </w:r>
      <w:r>
        <w:instrText>SEQ Table_PBAC. \* ARABIC</w:instrText>
      </w:r>
      <w:r>
        <w:fldChar w:fldCharType="separate"/>
      </w:r>
      <w:r w:rsidR="004F224A">
        <w:rPr>
          <w:noProof/>
        </w:rPr>
        <w:t>7</w:t>
      </w:r>
      <w:r>
        <w:fldChar w:fldCharType="end"/>
      </w:r>
      <w:bookmarkEnd w:id="31"/>
      <w:r w:rsidRPr="000A7BB0">
        <w:t xml:space="preserve">: Summary of comparative benefits and harms for elacestrant and SOC from EMERALD trial </w:t>
      </w:r>
      <w:r w:rsidRPr="000A7BB0">
        <w:rPr>
          <w:vertAlign w:val="superscript"/>
        </w:rPr>
        <w:t>a</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of comparative benefits and harms for elacestrant and SOC from EMERALD trial a"/>
      </w:tblPr>
      <w:tblGrid>
        <w:gridCol w:w="2464"/>
        <w:gridCol w:w="2066"/>
        <w:gridCol w:w="1417"/>
        <w:gridCol w:w="1700"/>
        <w:gridCol w:w="1369"/>
      </w:tblGrid>
      <w:tr w:rsidR="009E18C3" w:rsidRPr="000A7BB0" w14:paraId="11B93C69" w14:textId="77777777" w:rsidTr="00BD3B69">
        <w:trPr>
          <w:cnfStyle w:val="100000000000" w:firstRow="1" w:lastRow="0" w:firstColumn="0" w:lastColumn="0" w:oddVBand="0" w:evenVBand="0" w:oddHBand="0" w:evenHBand="0" w:firstRowFirstColumn="0" w:firstRowLastColumn="0" w:lastRowFirstColumn="0" w:lastRowLastColumn="0"/>
          <w:trHeight w:val="20"/>
          <w:jc w:val="center"/>
        </w:trPr>
        <w:tc>
          <w:tcPr>
            <w:tcW w:w="5000" w:type="pct"/>
            <w:gridSpan w:val="5"/>
          </w:tcPr>
          <w:p w14:paraId="6C65A008" w14:textId="77777777" w:rsidR="009E18C3" w:rsidRPr="000A7BB0" w:rsidRDefault="009E18C3" w:rsidP="002553CE">
            <w:pPr>
              <w:pStyle w:val="In-tableHeading"/>
              <w:keepLines/>
              <w:rPr>
                <w:b/>
                <w:vertAlign w:val="superscript"/>
                <w:lang w:val="en-AU"/>
              </w:rPr>
            </w:pPr>
            <w:r w:rsidRPr="000A7BB0">
              <w:rPr>
                <w:b/>
                <w:lang w:val="en-AU"/>
              </w:rPr>
              <w:t xml:space="preserve">Progression free survival (median duration of follow up 15.9 months) </w:t>
            </w:r>
            <w:r w:rsidRPr="000A7BB0">
              <w:rPr>
                <w:b/>
                <w:vertAlign w:val="superscript"/>
                <w:lang w:val="en-AU"/>
              </w:rPr>
              <w:t>b</w:t>
            </w:r>
          </w:p>
        </w:tc>
      </w:tr>
      <w:tr w:rsidR="009E18C3" w:rsidRPr="000A7BB0" w14:paraId="313BF701" w14:textId="77777777" w:rsidTr="00BD3B69">
        <w:trPr>
          <w:trHeight w:val="20"/>
          <w:jc w:val="center"/>
        </w:trPr>
        <w:tc>
          <w:tcPr>
            <w:tcW w:w="1366" w:type="pct"/>
          </w:tcPr>
          <w:p w14:paraId="0A4F3208" w14:textId="77777777" w:rsidR="009E18C3" w:rsidRPr="000A7BB0" w:rsidRDefault="009E18C3" w:rsidP="002553CE">
            <w:pPr>
              <w:pStyle w:val="In-tableHeading"/>
              <w:keepLines/>
              <w:rPr>
                <w:lang w:val="en-AU"/>
              </w:rPr>
            </w:pPr>
            <w:r w:rsidRPr="000A7BB0">
              <w:rPr>
                <w:lang w:val="en-AU"/>
              </w:rPr>
              <w:t>Event</w:t>
            </w:r>
          </w:p>
        </w:tc>
        <w:tc>
          <w:tcPr>
            <w:tcW w:w="1146" w:type="pct"/>
          </w:tcPr>
          <w:p w14:paraId="1B3F24FD" w14:textId="77777777" w:rsidR="009E18C3" w:rsidRPr="000A7BB0" w:rsidRDefault="009E18C3" w:rsidP="002553CE">
            <w:pPr>
              <w:pStyle w:val="In-tableHeading"/>
              <w:keepLines/>
              <w:rPr>
                <w:lang w:val="en-AU"/>
              </w:rPr>
            </w:pPr>
            <w:r w:rsidRPr="000A7BB0">
              <w:rPr>
                <w:lang w:val="en-AU"/>
              </w:rPr>
              <w:t>Elacestrant (N=115)</w:t>
            </w:r>
          </w:p>
        </w:tc>
        <w:tc>
          <w:tcPr>
            <w:tcW w:w="786" w:type="pct"/>
          </w:tcPr>
          <w:p w14:paraId="623283C0" w14:textId="54216956" w:rsidR="009E18C3" w:rsidRPr="000A7BB0" w:rsidRDefault="009E18C3" w:rsidP="002553CE">
            <w:pPr>
              <w:pStyle w:val="In-tableHeading"/>
              <w:keepLines/>
              <w:rPr>
                <w:vertAlign w:val="superscript"/>
                <w:lang w:val="en-AU"/>
              </w:rPr>
            </w:pPr>
            <w:r w:rsidRPr="000A7BB0">
              <w:rPr>
                <w:lang w:val="en-AU"/>
              </w:rPr>
              <w:t>SOC (N=113)</w:t>
            </w:r>
            <w:r w:rsidR="00932C59" w:rsidRPr="000A7BB0">
              <w:rPr>
                <w:lang w:val="en-AU"/>
              </w:rPr>
              <w:t xml:space="preserve"> </w:t>
            </w:r>
            <w:r w:rsidR="00932C59" w:rsidRPr="000A7BB0">
              <w:rPr>
                <w:vertAlign w:val="superscript"/>
                <w:lang w:val="en-AU"/>
              </w:rPr>
              <w:t>g</w:t>
            </w:r>
          </w:p>
        </w:tc>
        <w:tc>
          <w:tcPr>
            <w:tcW w:w="943" w:type="pct"/>
          </w:tcPr>
          <w:p w14:paraId="46F54546" w14:textId="77777777" w:rsidR="009E18C3" w:rsidRPr="000A7BB0" w:rsidRDefault="009E18C3" w:rsidP="002553CE">
            <w:pPr>
              <w:pStyle w:val="In-tableHeading"/>
              <w:keepLines/>
              <w:rPr>
                <w:rFonts w:asciiTheme="minorHAnsi" w:hAnsiTheme="minorHAnsi"/>
                <w:lang w:val="en-AU"/>
              </w:rPr>
            </w:pPr>
            <w:r w:rsidRPr="000A7BB0">
              <w:rPr>
                <w:lang w:val="en-AU"/>
              </w:rPr>
              <w:t>Absolute Difference</w:t>
            </w:r>
          </w:p>
        </w:tc>
        <w:tc>
          <w:tcPr>
            <w:tcW w:w="759" w:type="pct"/>
          </w:tcPr>
          <w:p w14:paraId="4A6F772E" w14:textId="77777777" w:rsidR="009E18C3" w:rsidRPr="000A7BB0" w:rsidRDefault="009E18C3" w:rsidP="002553CE">
            <w:pPr>
              <w:pStyle w:val="In-tableHeading"/>
              <w:keepLines/>
              <w:rPr>
                <w:lang w:val="en-AU"/>
              </w:rPr>
            </w:pPr>
            <w:r w:rsidRPr="000A7BB0">
              <w:rPr>
                <w:lang w:val="en-AU"/>
              </w:rPr>
              <w:t>HR (95% CI)</w:t>
            </w:r>
          </w:p>
        </w:tc>
      </w:tr>
      <w:tr w:rsidR="009E18C3" w:rsidRPr="000A7BB0" w14:paraId="56712568" w14:textId="77777777" w:rsidTr="00BD3B69">
        <w:trPr>
          <w:trHeight w:val="20"/>
          <w:jc w:val="center"/>
        </w:trPr>
        <w:tc>
          <w:tcPr>
            <w:tcW w:w="1366" w:type="pct"/>
          </w:tcPr>
          <w:p w14:paraId="647FAC4A" w14:textId="77777777" w:rsidR="009E18C3" w:rsidRPr="000A7BB0" w:rsidRDefault="009E18C3" w:rsidP="002553CE">
            <w:pPr>
              <w:pStyle w:val="TableText"/>
              <w:keepNext/>
              <w:keepLines/>
              <w:widowControl/>
              <w:rPr>
                <w:lang w:val="en-AU"/>
              </w:rPr>
            </w:pPr>
            <w:r w:rsidRPr="000A7BB0">
              <w:rPr>
                <w:lang w:val="en-AU"/>
              </w:rPr>
              <w:t>Progressed, n (%)</w:t>
            </w:r>
          </w:p>
        </w:tc>
        <w:tc>
          <w:tcPr>
            <w:tcW w:w="1146" w:type="pct"/>
            <w:vAlign w:val="center"/>
          </w:tcPr>
          <w:p w14:paraId="1101854D" w14:textId="77777777" w:rsidR="009E18C3" w:rsidRPr="000A7BB0" w:rsidRDefault="009E18C3" w:rsidP="002553CE">
            <w:pPr>
              <w:pStyle w:val="TableText"/>
              <w:keepNext/>
              <w:keepLines/>
              <w:widowControl/>
              <w:jc w:val="center"/>
              <w:rPr>
                <w:lang w:val="en-AU"/>
              </w:rPr>
            </w:pPr>
            <w:r w:rsidRPr="000A7BB0">
              <w:rPr>
                <w:lang w:val="en-AU"/>
              </w:rPr>
              <w:t>62 (54)</w:t>
            </w:r>
          </w:p>
        </w:tc>
        <w:tc>
          <w:tcPr>
            <w:tcW w:w="786" w:type="pct"/>
            <w:vAlign w:val="center"/>
          </w:tcPr>
          <w:p w14:paraId="02639C77" w14:textId="77777777" w:rsidR="009E18C3" w:rsidRPr="000A7BB0" w:rsidRDefault="009E18C3" w:rsidP="002553CE">
            <w:pPr>
              <w:pStyle w:val="TableText"/>
              <w:keepNext/>
              <w:keepLines/>
              <w:widowControl/>
              <w:jc w:val="center"/>
              <w:rPr>
                <w:lang w:val="en-AU"/>
              </w:rPr>
            </w:pPr>
            <w:r w:rsidRPr="000A7BB0">
              <w:rPr>
                <w:lang w:val="en-AU"/>
              </w:rPr>
              <w:t>78 (69)</w:t>
            </w:r>
          </w:p>
        </w:tc>
        <w:tc>
          <w:tcPr>
            <w:tcW w:w="943" w:type="pct"/>
          </w:tcPr>
          <w:p w14:paraId="42762B44" w14:textId="43FE4383" w:rsidR="009E18C3" w:rsidRPr="000A7BB0" w:rsidRDefault="009E18C3" w:rsidP="002553CE">
            <w:pPr>
              <w:pStyle w:val="TableText"/>
              <w:keepNext/>
              <w:keepLines/>
              <w:widowControl/>
              <w:jc w:val="center"/>
              <w:rPr>
                <w:lang w:val="en-AU"/>
              </w:rPr>
            </w:pPr>
          </w:p>
        </w:tc>
        <w:tc>
          <w:tcPr>
            <w:tcW w:w="759" w:type="pct"/>
            <w:vMerge w:val="restart"/>
            <w:vAlign w:val="center"/>
          </w:tcPr>
          <w:p w14:paraId="4A66A5B9" w14:textId="77777777" w:rsidR="009E18C3" w:rsidRPr="000A7BB0" w:rsidRDefault="009E18C3" w:rsidP="002553CE">
            <w:pPr>
              <w:pStyle w:val="TableText"/>
              <w:keepNext/>
              <w:keepLines/>
              <w:widowControl/>
              <w:jc w:val="center"/>
              <w:rPr>
                <w:b/>
                <w:bCs/>
                <w:lang w:val="en-AU"/>
              </w:rPr>
            </w:pPr>
            <w:r w:rsidRPr="000A7BB0">
              <w:rPr>
                <w:b/>
                <w:bCs/>
                <w:lang w:val="en-AU"/>
              </w:rPr>
              <w:t>0.55</w:t>
            </w:r>
          </w:p>
          <w:p w14:paraId="5EF088C4" w14:textId="77777777" w:rsidR="009E18C3" w:rsidRPr="000A7BB0" w:rsidRDefault="009E18C3" w:rsidP="002553CE">
            <w:pPr>
              <w:pStyle w:val="TableText"/>
              <w:keepNext/>
              <w:keepLines/>
              <w:widowControl/>
              <w:jc w:val="center"/>
              <w:rPr>
                <w:b/>
                <w:bCs/>
                <w:lang w:val="en-AU"/>
              </w:rPr>
            </w:pPr>
            <w:r w:rsidRPr="000A7BB0">
              <w:rPr>
                <w:b/>
                <w:bCs/>
                <w:lang w:val="en-AU"/>
              </w:rPr>
              <w:t>(0.39, 0.77)</w:t>
            </w:r>
          </w:p>
          <w:p w14:paraId="4CBBA9E2" w14:textId="77777777" w:rsidR="009E18C3" w:rsidRPr="000A7BB0" w:rsidRDefault="009E18C3" w:rsidP="002553CE">
            <w:pPr>
              <w:pStyle w:val="TableText"/>
              <w:keepNext/>
              <w:keepLines/>
              <w:widowControl/>
              <w:jc w:val="center"/>
              <w:rPr>
                <w:lang w:val="en-AU"/>
              </w:rPr>
            </w:pPr>
            <w:r w:rsidRPr="000A7BB0">
              <w:rPr>
                <w:b/>
                <w:bCs/>
                <w:szCs w:val="20"/>
                <w:lang w:val="en-AU"/>
              </w:rPr>
              <w:t>P=</w:t>
            </w:r>
            <w:r w:rsidRPr="000A7BB0">
              <w:rPr>
                <w:b/>
                <w:bCs/>
                <w:lang w:val="en-AU"/>
              </w:rPr>
              <w:t>0.0005</w:t>
            </w:r>
          </w:p>
        </w:tc>
      </w:tr>
      <w:tr w:rsidR="009E18C3" w:rsidRPr="000A7BB0" w14:paraId="75E7D6DF" w14:textId="77777777" w:rsidTr="00BD3B69">
        <w:trPr>
          <w:trHeight w:val="20"/>
          <w:jc w:val="center"/>
        </w:trPr>
        <w:tc>
          <w:tcPr>
            <w:tcW w:w="1366" w:type="pct"/>
          </w:tcPr>
          <w:p w14:paraId="4DB4EC9C" w14:textId="77777777" w:rsidR="009E18C3" w:rsidRPr="000A7BB0" w:rsidRDefault="009E18C3" w:rsidP="002553CE">
            <w:pPr>
              <w:pStyle w:val="TableText"/>
              <w:keepNext/>
              <w:keepLines/>
              <w:widowControl/>
              <w:rPr>
                <w:lang w:val="en-AU"/>
              </w:rPr>
            </w:pPr>
            <w:r w:rsidRPr="000A7BB0">
              <w:rPr>
                <w:lang w:val="en-AU"/>
              </w:rPr>
              <w:t>Median PFS, months (95% CI)</w:t>
            </w:r>
          </w:p>
        </w:tc>
        <w:tc>
          <w:tcPr>
            <w:tcW w:w="1146" w:type="pct"/>
            <w:vAlign w:val="center"/>
          </w:tcPr>
          <w:p w14:paraId="30E5F0BE" w14:textId="77777777" w:rsidR="009E18C3" w:rsidRPr="000A7BB0" w:rsidRDefault="009E18C3" w:rsidP="002553CE">
            <w:pPr>
              <w:pStyle w:val="TableText"/>
              <w:keepNext/>
              <w:keepLines/>
              <w:widowControl/>
              <w:jc w:val="center"/>
              <w:rPr>
                <w:lang w:val="en-AU"/>
              </w:rPr>
            </w:pPr>
            <w:r w:rsidRPr="000A7BB0">
              <w:rPr>
                <w:lang w:val="en-AU"/>
              </w:rPr>
              <w:t>3.78</w:t>
            </w:r>
          </w:p>
          <w:p w14:paraId="00517B39" w14:textId="77777777" w:rsidR="009E18C3" w:rsidRPr="000A7BB0" w:rsidRDefault="009E18C3" w:rsidP="002553CE">
            <w:pPr>
              <w:pStyle w:val="TableText"/>
              <w:keepNext/>
              <w:keepLines/>
              <w:widowControl/>
              <w:jc w:val="center"/>
              <w:rPr>
                <w:rFonts w:cs="Times New Roman"/>
                <w:szCs w:val="20"/>
                <w:lang w:val="en-AU"/>
              </w:rPr>
            </w:pPr>
            <w:r w:rsidRPr="000A7BB0">
              <w:rPr>
                <w:lang w:val="en-AU"/>
              </w:rPr>
              <w:t>(2.17, 7.26)</w:t>
            </w:r>
          </w:p>
        </w:tc>
        <w:tc>
          <w:tcPr>
            <w:tcW w:w="786" w:type="pct"/>
            <w:vAlign w:val="center"/>
          </w:tcPr>
          <w:p w14:paraId="50F0F726" w14:textId="77777777" w:rsidR="009E18C3" w:rsidRPr="000A7BB0" w:rsidRDefault="009E18C3" w:rsidP="002553CE">
            <w:pPr>
              <w:pStyle w:val="TableText"/>
              <w:keepNext/>
              <w:keepLines/>
              <w:widowControl/>
              <w:jc w:val="center"/>
              <w:rPr>
                <w:lang w:val="en-AU"/>
              </w:rPr>
            </w:pPr>
            <w:r w:rsidRPr="000A7BB0">
              <w:rPr>
                <w:lang w:val="en-AU"/>
              </w:rPr>
              <w:t>1.87</w:t>
            </w:r>
          </w:p>
          <w:p w14:paraId="4746448C" w14:textId="77777777" w:rsidR="009E18C3" w:rsidRPr="000A7BB0" w:rsidRDefault="009E18C3" w:rsidP="002553CE">
            <w:pPr>
              <w:pStyle w:val="TableText"/>
              <w:keepNext/>
              <w:keepLines/>
              <w:widowControl/>
              <w:jc w:val="center"/>
              <w:rPr>
                <w:rFonts w:cs="Times New Roman"/>
                <w:szCs w:val="20"/>
                <w:lang w:val="en-AU"/>
              </w:rPr>
            </w:pPr>
            <w:r w:rsidRPr="000A7BB0">
              <w:rPr>
                <w:lang w:val="en-AU"/>
              </w:rPr>
              <w:t>(1.87, 2.14)</w:t>
            </w:r>
          </w:p>
        </w:tc>
        <w:tc>
          <w:tcPr>
            <w:tcW w:w="943" w:type="pct"/>
          </w:tcPr>
          <w:p w14:paraId="6DC08B9E" w14:textId="77777777" w:rsidR="009E18C3" w:rsidRPr="000A7BB0" w:rsidRDefault="009E18C3" w:rsidP="002553CE">
            <w:pPr>
              <w:pStyle w:val="TableText"/>
              <w:keepNext/>
              <w:keepLines/>
              <w:widowControl/>
              <w:jc w:val="center"/>
              <w:rPr>
                <w:lang w:val="en-AU"/>
              </w:rPr>
            </w:pPr>
            <w:r w:rsidRPr="000A7BB0">
              <w:rPr>
                <w:lang w:val="en-AU"/>
              </w:rPr>
              <w:t>1.91</w:t>
            </w:r>
          </w:p>
          <w:p w14:paraId="0EB927A9" w14:textId="77777777" w:rsidR="009E18C3" w:rsidRPr="000A7BB0" w:rsidRDefault="009E18C3" w:rsidP="002553CE">
            <w:pPr>
              <w:pStyle w:val="TableText"/>
              <w:keepNext/>
              <w:keepLines/>
              <w:widowControl/>
              <w:jc w:val="center"/>
              <w:rPr>
                <w:lang w:val="en-AU"/>
              </w:rPr>
            </w:pPr>
          </w:p>
        </w:tc>
        <w:tc>
          <w:tcPr>
            <w:tcW w:w="759" w:type="pct"/>
            <w:vMerge/>
          </w:tcPr>
          <w:p w14:paraId="70332A3A" w14:textId="77777777" w:rsidR="009E18C3" w:rsidRPr="000A7BB0" w:rsidRDefault="009E18C3" w:rsidP="002553CE">
            <w:pPr>
              <w:pStyle w:val="TableText"/>
              <w:keepNext/>
              <w:keepLines/>
              <w:widowControl/>
              <w:jc w:val="center"/>
              <w:rPr>
                <w:szCs w:val="20"/>
                <w:lang w:val="en-AU"/>
              </w:rPr>
            </w:pPr>
          </w:p>
        </w:tc>
      </w:tr>
      <w:tr w:rsidR="009E18C3" w:rsidRPr="000A7BB0" w14:paraId="2BFBA299" w14:textId="77777777" w:rsidTr="00BD3B69">
        <w:trPr>
          <w:trHeight w:val="20"/>
          <w:jc w:val="center"/>
        </w:trPr>
        <w:tc>
          <w:tcPr>
            <w:tcW w:w="1366" w:type="pct"/>
          </w:tcPr>
          <w:p w14:paraId="5A2B271D" w14:textId="77777777" w:rsidR="009E18C3" w:rsidRPr="000A7BB0" w:rsidRDefault="009E18C3" w:rsidP="002553CE">
            <w:pPr>
              <w:pStyle w:val="TableText"/>
              <w:keepNext/>
              <w:keepLines/>
              <w:widowControl/>
              <w:rPr>
                <w:lang w:val="en-AU"/>
              </w:rPr>
            </w:pPr>
            <w:r w:rsidRPr="000A7BB0">
              <w:rPr>
                <w:lang w:val="en-AU"/>
              </w:rPr>
              <w:t>% not progressed at 3 months (95% CI)</w:t>
            </w:r>
          </w:p>
        </w:tc>
        <w:tc>
          <w:tcPr>
            <w:tcW w:w="1146" w:type="pct"/>
            <w:vAlign w:val="center"/>
          </w:tcPr>
          <w:p w14:paraId="44887859" w14:textId="77777777" w:rsidR="009E18C3" w:rsidRPr="000A7BB0" w:rsidRDefault="009E18C3" w:rsidP="002553CE">
            <w:pPr>
              <w:pStyle w:val="TableText"/>
              <w:keepNext/>
              <w:keepLines/>
              <w:widowControl/>
              <w:jc w:val="center"/>
              <w:rPr>
                <w:lang w:val="en-AU"/>
              </w:rPr>
            </w:pPr>
            <w:r w:rsidRPr="000A7BB0">
              <w:rPr>
                <w:lang w:val="en-AU"/>
              </w:rPr>
              <w:t xml:space="preserve">55.93 </w:t>
            </w:r>
          </w:p>
          <w:p w14:paraId="427DCEFD" w14:textId="77777777" w:rsidR="009E18C3" w:rsidRPr="000A7BB0" w:rsidRDefault="009E18C3" w:rsidP="002553CE">
            <w:pPr>
              <w:pStyle w:val="TableText"/>
              <w:keepNext/>
              <w:keepLines/>
              <w:widowControl/>
              <w:jc w:val="center"/>
              <w:rPr>
                <w:lang w:val="en-AU"/>
              </w:rPr>
            </w:pPr>
            <w:r w:rsidRPr="000A7BB0">
              <w:rPr>
                <w:lang w:val="en-AU"/>
              </w:rPr>
              <w:t>(45.80, 66.05)</w:t>
            </w:r>
          </w:p>
        </w:tc>
        <w:tc>
          <w:tcPr>
            <w:tcW w:w="786" w:type="pct"/>
            <w:vAlign w:val="center"/>
          </w:tcPr>
          <w:p w14:paraId="6F7AA5E3" w14:textId="77777777" w:rsidR="009E18C3" w:rsidRPr="000A7BB0" w:rsidRDefault="009E18C3" w:rsidP="002553CE">
            <w:pPr>
              <w:pStyle w:val="TableText"/>
              <w:keepNext/>
              <w:keepLines/>
              <w:widowControl/>
              <w:jc w:val="center"/>
              <w:rPr>
                <w:lang w:val="en-AU"/>
              </w:rPr>
            </w:pPr>
            <w:r w:rsidRPr="000A7BB0">
              <w:rPr>
                <w:lang w:val="en-AU"/>
              </w:rPr>
              <w:t>39.55</w:t>
            </w:r>
          </w:p>
          <w:p w14:paraId="4F3AD778" w14:textId="77777777" w:rsidR="009E18C3" w:rsidRPr="000A7BB0" w:rsidRDefault="009E18C3" w:rsidP="002553CE">
            <w:pPr>
              <w:pStyle w:val="TableText"/>
              <w:keepNext/>
              <w:keepLines/>
              <w:widowControl/>
              <w:jc w:val="center"/>
              <w:rPr>
                <w:szCs w:val="20"/>
                <w:lang w:val="en-AU"/>
              </w:rPr>
            </w:pPr>
            <w:r w:rsidRPr="000A7BB0">
              <w:rPr>
                <w:lang w:val="en-AU"/>
              </w:rPr>
              <w:t>(29.44, 49.65)</w:t>
            </w:r>
          </w:p>
        </w:tc>
        <w:tc>
          <w:tcPr>
            <w:tcW w:w="943" w:type="pct"/>
          </w:tcPr>
          <w:p w14:paraId="1F6906EA" w14:textId="77777777" w:rsidR="009E18C3" w:rsidRPr="000A7BB0" w:rsidRDefault="009E18C3" w:rsidP="002553CE">
            <w:pPr>
              <w:pStyle w:val="TableText"/>
              <w:keepNext/>
              <w:keepLines/>
              <w:widowControl/>
              <w:jc w:val="center"/>
              <w:rPr>
                <w:lang w:val="en-AU"/>
              </w:rPr>
            </w:pPr>
            <w:r w:rsidRPr="000A7BB0">
              <w:rPr>
                <w:lang w:val="en-AU"/>
              </w:rPr>
              <w:t>16.38%</w:t>
            </w:r>
          </w:p>
          <w:p w14:paraId="1B3AFD33" w14:textId="77777777" w:rsidR="009E18C3" w:rsidRPr="000A7BB0" w:rsidRDefault="009E18C3" w:rsidP="002553CE">
            <w:pPr>
              <w:pStyle w:val="TableText"/>
              <w:keepNext/>
              <w:keepLines/>
              <w:widowControl/>
              <w:jc w:val="center"/>
              <w:rPr>
                <w:lang w:val="en-AU"/>
              </w:rPr>
            </w:pPr>
          </w:p>
        </w:tc>
        <w:tc>
          <w:tcPr>
            <w:tcW w:w="759" w:type="pct"/>
            <w:vMerge/>
          </w:tcPr>
          <w:p w14:paraId="41105E3A" w14:textId="77777777" w:rsidR="009E18C3" w:rsidRPr="000A7BB0" w:rsidRDefault="009E18C3" w:rsidP="002553CE">
            <w:pPr>
              <w:pStyle w:val="TableText"/>
              <w:keepNext/>
              <w:keepLines/>
              <w:widowControl/>
              <w:jc w:val="center"/>
              <w:rPr>
                <w:lang w:val="en-AU"/>
              </w:rPr>
            </w:pPr>
          </w:p>
        </w:tc>
      </w:tr>
      <w:tr w:rsidR="009E18C3" w:rsidRPr="000A7BB0" w14:paraId="406342EF" w14:textId="77777777" w:rsidTr="00BD3B69">
        <w:trPr>
          <w:trHeight w:val="20"/>
          <w:jc w:val="center"/>
        </w:trPr>
        <w:tc>
          <w:tcPr>
            <w:tcW w:w="1366" w:type="pct"/>
          </w:tcPr>
          <w:p w14:paraId="6F99A504" w14:textId="77777777" w:rsidR="009E18C3" w:rsidRPr="000A7BB0" w:rsidRDefault="009E18C3" w:rsidP="002553CE">
            <w:pPr>
              <w:pStyle w:val="TableText"/>
              <w:keepNext/>
              <w:keepLines/>
              <w:widowControl/>
              <w:rPr>
                <w:lang w:val="en-AU"/>
              </w:rPr>
            </w:pPr>
            <w:r w:rsidRPr="000A7BB0">
              <w:rPr>
                <w:lang w:val="en-AU"/>
              </w:rPr>
              <w:t>% not progressed at 6 months (95% CI)</w:t>
            </w:r>
          </w:p>
        </w:tc>
        <w:tc>
          <w:tcPr>
            <w:tcW w:w="1146" w:type="pct"/>
            <w:vAlign w:val="center"/>
          </w:tcPr>
          <w:p w14:paraId="745C77B2" w14:textId="77777777" w:rsidR="009E18C3" w:rsidRPr="000A7BB0" w:rsidRDefault="009E18C3" w:rsidP="002553CE">
            <w:pPr>
              <w:pStyle w:val="TableText"/>
              <w:keepNext/>
              <w:keepLines/>
              <w:widowControl/>
              <w:jc w:val="center"/>
              <w:rPr>
                <w:lang w:val="en-AU"/>
              </w:rPr>
            </w:pPr>
            <w:r w:rsidRPr="000A7BB0">
              <w:rPr>
                <w:lang w:val="en-AU"/>
              </w:rPr>
              <w:t>40.76</w:t>
            </w:r>
          </w:p>
          <w:p w14:paraId="1A68E193" w14:textId="77777777" w:rsidR="009E18C3" w:rsidRPr="000A7BB0" w:rsidRDefault="009E18C3" w:rsidP="002553CE">
            <w:pPr>
              <w:pStyle w:val="TableText"/>
              <w:keepNext/>
              <w:keepLines/>
              <w:widowControl/>
              <w:jc w:val="center"/>
              <w:rPr>
                <w:szCs w:val="20"/>
                <w:lang w:val="en-AU"/>
              </w:rPr>
            </w:pPr>
            <w:r w:rsidRPr="000A7BB0">
              <w:rPr>
                <w:lang w:val="en-AU"/>
              </w:rPr>
              <w:t>(30.10, 51.43)</w:t>
            </w:r>
          </w:p>
        </w:tc>
        <w:tc>
          <w:tcPr>
            <w:tcW w:w="786" w:type="pct"/>
            <w:vAlign w:val="center"/>
          </w:tcPr>
          <w:p w14:paraId="44A28C42" w14:textId="77777777" w:rsidR="009E18C3" w:rsidRPr="000A7BB0" w:rsidRDefault="009E18C3" w:rsidP="002553CE">
            <w:pPr>
              <w:pStyle w:val="TableText"/>
              <w:keepNext/>
              <w:keepLines/>
              <w:widowControl/>
              <w:jc w:val="center"/>
              <w:rPr>
                <w:lang w:val="en-AU"/>
              </w:rPr>
            </w:pPr>
            <w:r w:rsidRPr="000A7BB0">
              <w:rPr>
                <w:lang w:val="en-AU"/>
              </w:rPr>
              <w:t>19.14</w:t>
            </w:r>
          </w:p>
          <w:p w14:paraId="2AEBA13C" w14:textId="77777777" w:rsidR="009E18C3" w:rsidRPr="000A7BB0" w:rsidRDefault="009E18C3" w:rsidP="002553CE">
            <w:pPr>
              <w:pStyle w:val="TableText"/>
              <w:keepNext/>
              <w:keepLines/>
              <w:widowControl/>
              <w:jc w:val="center"/>
              <w:rPr>
                <w:szCs w:val="20"/>
                <w:lang w:val="en-AU"/>
              </w:rPr>
            </w:pPr>
            <w:r w:rsidRPr="000A7BB0">
              <w:rPr>
                <w:lang w:val="en-AU"/>
              </w:rPr>
              <w:t>(10.52, 27.76)</w:t>
            </w:r>
          </w:p>
        </w:tc>
        <w:tc>
          <w:tcPr>
            <w:tcW w:w="943" w:type="pct"/>
          </w:tcPr>
          <w:p w14:paraId="2C954BCC" w14:textId="77777777" w:rsidR="009E18C3" w:rsidRPr="000A7BB0" w:rsidRDefault="009E18C3" w:rsidP="002553CE">
            <w:pPr>
              <w:pStyle w:val="TableText"/>
              <w:keepNext/>
              <w:keepLines/>
              <w:widowControl/>
              <w:jc w:val="center"/>
              <w:rPr>
                <w:rFonts w:cs="Times New Roman"/>
                <w:szCs w:val="20"/>
                <w:lang w:val="en-AU"/>
              </w:rPr>
            </w:pPr>
            <w:r w:rsidRPr="000A7BB0">
              <w:rPr>
                <w:rFonts w:cs="Times New Roman"/>
                <w:szCs w:val="20"/>
                <w:lang w:val="en-AU"/>
              </w:rPr>
              <w:t>21.62%</w:t>
            </w:r>
          </w:p>
          <w:p w14:paraId="76899225" w14:textId="77777777" w:rsidR="009E18C3" w:rsidRPr="000A7BB0" w:rsidRDefault="009E18C3" w:rsidP="002553CE">
            <w:pPr>
              <w:pStyle w:val="TableText"/>
              <w:keepNext/>
              <w:keepLines/>
              <w:widowControl/>
              <w:jc w:val="center"/>
              <w:rPr>
                <w:rFonts w:cs="Times New Roman"/>
                <w:szCs w:val="20"/>
                <w:lang w:val="en-AU"/>
              </w:rPr>
            </w:pPr>
          </w:p>
        </w:tc>
        <w:tc>
          <w:tcPr>
            <w:tcW w:w="759" w:type="pct"/>
            <w:vMerge/>
          </w:tcPr>
          <w:p w14:paraId="16B888C2" w14:textId="77777777" w:rsidR="009E18C3" w:rsidRPr="000A7BB0" w:rsidRDefault="009E18C3" w:rsidP="002553CE">
            <w:pPr>
              <w:pStyle w:val="TableText"/>
              <w:keepNext/>
              <w:keepLines/>
              <w:widowControl/>
              <w:jc w:val="center"/>
              <w:rPr>
                <w:lang w:val="en-AU"/>
              </w:rPr>
            </w:pPr>
          </w:p>
        </w:tc>
      </w:tr>
      <w:tr w:rsidR="009E18C3" w:rsidRPr="000A7BB0" w14:paraId="76EF2CE9" w14:textId="77777777" w:rsidTr="00BD3B69">
        <w:trPr>
          <w:trHeight w:val="20"/>
          <w:jc w:val="center"/>
        </w:trPr>
        <w:tc>
          <w:tcPr>
            <w:tcW w:w="5000" w:type="pct"/>
            <w:gridSpan w:val="5"/>
          </w:tcPr>
          <w:p w14:paraId="6D33CA92" w14:textId="77777777" w:rsidR="009E18C3" w:rsidRPr="000A7BB0" w:rsidRDefault="009E18C3" w:rsidP="002553CE">
            <w:pPr>
              <w:pStyle w:val="In-tableHeading"/>
              <w:keepLines/>
              <w:rPr>
                <w:vertAlign w:val="superscript"/>
                <w:lang w:val="en-AU"/>
              </w:rPr>
            </w:pPr>
            <w:r w:rsidRPr="000A7BB0">
              <w:rPr>
                <w:lang w:val="en-AU"/>
              </w:rPr>
              <w:t xml:space="preserve">Overall survival (median duration of follow up 26 months) </w:t>
            </w:r>
            <w:r w:rsidRPr="000A7BB0">
              <w:rPr>
                <w:vertAlign w:val="superscript"/>
                <w:lang w:val="en-AU"/>
              </w:rPr>
              <w:t>d</w:t>
            </w:r>
          </w:p>
        </w:tc>
      </w:tr>
      <w:tr w:rsidR="009E18C3" w:rsidRPr="000A7BB0" w14:paraId="07FED312" w14:textId="77777777" w:rsidTr="00BD3B69">
        <w:trPr>
          <w:trHeight w:val="20"/>
          <w:jc w:val="center"/>
        </w:trPr>
        <w:tc>
          <w:tcPr>
            <w:tcW w:w="1366" w:type="pct"/>
          </w:tcPr>
          <w:p w14:paraId="509AD9CF" w14:textId="77777777" w:rsidR="009E18C3" w:rsidRPr="000A7BB0" w:rsidRDefault="009E18C3" w:rsidP="002553CE">
            <w:pPr>
              <w:pStyle w:val="TableText"/>
              <w:keepNext/>
              <w:keepLines/>
              <w:widowControl/>
              <w:rPr>
                <w:lang w:val="en-AU"/>
              </w:rPr>
            </w:pPr>
            <w:r w:rsidRPr="000A7BB0">
              <w:rPr>
                <w:lang w:val="en-AU"/>
              </w:rPr>
              <w:t xml:space="preserve">Deaths, n (%) </w:t>
            </w:r>
            <w:r w:rsidRPr="000A7BB0">
              <w:rPr>
                <w:vertAlign w:val="superscript"/>
                <w:lang w:val="en-AU"/>
              </w:rPr>
              <w:t>e</w:t>
            </w:r>
          </w:p>
        </w:tc>
        <w:tc>
          <w:tcPr>
            <w:tcW w:w="1146" w:type="pct"/>
          </w:tcPr>
          <w:p w14:paraId="5FA2BB14" w14:textId="77777777" w:rsidR="009E18C3" w:rsidRPr="000A7BB0" w:rsidRDefault="009E18C3" w:rsidP="002553CE">
            <w:pPr>
              <w:pStyle w:val="TableText"/>
              <w:keepNext/>
              <w:keepLines/>
              <w:widowControl/>
              <w:jc w:val="center"/>
              <w:rPr>
                <w:lang w:val="en-AU"/>
              </w:rPr>
            </w:pPr>
            <w:r w:rsidRPr="000A7BB0">
              <w:rPr>
                <w:rFonts w:cs="Times New Roman"/>
                <w:szCs w:val="20"/>
                <w:lang w:val="en-AU"/>
              </w:rPr>
              <w:t>28 (24)</w:t>
            </w:r>
          </w:p>
        </w:tc>
        <w:tc>
          <w:tcPr>
            <w:tcW w:w="786" w:type="pct"/>
          </w:tcPr>
          <w:p w14:paraId="00EFE927" w14:textId="77777777" w:rsidR="009E18C3" w:rsidRPr="000A7BB0" w:rsidRDefault="009E18C3" w:rsidP="002553CE">
            <w:pPr>
              <w:pStyle w:val="TableText"/>
              <w:keepNext/>
              <w:keepLines/>
              <w:widowControl/>
              <w:jc w:val="center"/>
              <w:rPr>
                <w:lang w:val="en-AU"/>
              </w:rPr>
            </w:pPr>
            <w:r w:rsidRPr="000A7BB0">
              <w:rPr>
                <w:lang w:val="en-AU"/>
              </w:rPr>
              <w:t>40 (38)</w:t>
            </w:r>
          </w:p>
        </w:tc>
        <w:tc>
          <w:tcPr>
            <w:tcW w:w="943" w:type="pct"/>
          </w:tcPr>
          <w:p w14:paraId="0ED02C73" w14:textId="0C70E431" w:rsidR="009E18C3" w:rsidRPr="000A7BB0" w:rsidRDefault="009E18C3" w:rsidP="002553CE">
            <w:pPr>
              <w:pStyle w:val="TableText"/>
              <w:keepNext/>
              <w:keepLines/>
              <w:widowControl/>
              <w:jc w:val="center"/>
              <w:rPr>
                <w:lang w:val="en-AU"/>
              </w:rPr>
            </w:pPr>
          </w:p>
        </w:tc>
        <w:tc>
          <w:tcPr>
            <w:tcW w:w="759" w:type="pct"/>
            <w:vMerge w:val="restart"/>
            <w:vAlign w:val="center"/>
          </w:tcPr>
          <w:p w14:paraId="634602DB" w14:textId="77777777" w:rsidR="009E18C3" w:rsidRPr="000A7BB0" w:rsidRDefault="009E18C3" w:rsidP="002553CE">
            <w:pPr>
              <w:pStyle w:val="TableText"/>
              <w:keepNext/>
              <w:keepLines/>
              <w:widowControl/>
              <w:rPr>
                <w:szCs w:val="20"/>
                <w:lang w:val="en-AU"/>
              </w:rPr>
            </w:pPr>
          </w:p>
          <w:p w14:paraId="0FE8710D" w14:textId="77777777" w:rsidR="009E18C3" w:rsidRPr="000A7BB0" w:rsidRDefault="009E18C3" w:rsidP="002553CE">
            <w:pPr>
              <w:pStyle w:val="TableText"/>
              <w:keepNext/>
              <w:keepLines/>
              <w:widowControl/>
              <w:jc w:val="center"/>
              <w:rPr>
                <w:szCs w:val="20"/>
                <w:lang w:val="en-AU"/>
              </w:rPr>
            </w:pPr>
            <w:r w:rsidRPr="000A7BB0">
              <w:rPr>
                <w:szCs w:val="20"/>
                <w:lang w:val="en-AU"/>
              </w:rPr>
              <w:t>0.903</w:t>
            </w:r>
          </w:p>
          <w:p w14:paraId="6345C7A7" w14:textId="77777777" w:rsidR="009E18C3" w:rsidRPr="000A7BB0" w:rsidRDefault="009E18C3" w:rsidP="002553CE">
            <w:pPr>
              <w:pStyle w:val="TableText"/>
              <w:keepNext/>
              <w:keepLines/>
              <w:widowControl/>
              <w:jc w:val="center"/>
              <w:rPr>
                <w:spacing w:val="-2"/>
                <w:szCs w:val="20"/>
                <w:lang w:val="en-AU"/>
              </w:rPr>
            </w:pPr>
            <w:r w:rsidRPr="000A7BB0">
              <w:rPr>
                <w:szCs w:val="20"/>
                <w:lang w:val="en-AU"/>
              </w:rPr>
              <w:t xml:space="preserve">(0.63, </w:t>
            </w:r>
            <w:r w:rsidRPr="000A7BB0">
              <w:rPr>
                <w:spacing w:val="-2"/>
                <w:szCs w:val="20"/>
                <w:lang w:val="en-AU"/>
              </w:rPr>
              <w:t>1.30)</w:t>
            </w:r>
          </w:p>
          <w:p w14:paraId="070939E6" w14:textId="77777777" w:rsidR="009E18C3" w:rsidRPr="000A7BB0" w:rsidRDefault="009E18C3" w:rsidP="002553CE">
            <w:pPr>
              <w:pStyle w:val="TableText"/>
              <w:keepNext/>
              <w:keepLines/>
              <w:widowControl/>
              <w:jc w:val="center"/>
              <w:rPr>
                <w:lang w:val="en-AU"/>
              </w:rPr>
            </w:pPr>
            <w:r w:rsidRPr="000A7BB0">
              <w:rPr>
                <w:spacing w:val="-2"/>
                <w:szCs w:val="20"/>
                <w:lang w:val="en-AU"/>
              </w:rPr>
              <w:t xml:space="preserve"> </w:t>
            </w:r>
            <w:r w:rsidRPr="000A7BB0">
              <w:rPr>
                <w:szCs w:val="20"/>
                <w:lang w:val="en-AU"/>
              </w:rPr>
              <w:t>P=0.58</w:t>
            </w:r>
          </w:p>
        </w:tc>
      </w:tr>
      <w:tr w:rsidR="009E18C3" w:rsidRPr="000A7BB0" w14:paraId="20B19A8B" w14:textId="77777777" w:rsidTr="00BD3B69">
        <w:trPr>
          <w:trHeight w:val="20"/>
          <w:jc w:val="center"/>
        </w:trPr>
        <w:tc>
          <w:tcPr>
            <w:tcW w:w="1366" w:type="pct"/>
          </w:tcPr>
          <w:p w14:paraId="55F41AF3" w14:textId="77777777" w:rsidR="009E18C3" w:rsidRPr="000A7BB0" w:rsidRDefault="009E18C3" w:rsidP="002553CE">
            <w:pPr>
              <w:pStyle w:val="TableText"/>
              <w:keepNext/>
              <w:keepLines/>
              <w:widowControl/>
              <w:rPr>
                <w:lang w:val="en-AU"/>
              </w:rPr>
            </w:pPr>
            <w:r w:rsidRPr="000A7BB0">
              <w:rPr>
                <w:lang w:val="en-AU"/>
              </w:rPr>
              <w:t>Median OS, months (95% CI)</w:t>
            </w:r>
          </w:p>
        </w:tc>
        <w:tc>
          <w:tcPr>
            <w:tcW w:w="1146" w:type="pct"/>
          </w:tcPr>
          <w:p w14:paraId="10BACC13"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24.18</w:t>
            </w:r>
          </w:p>
          <w:p w14:paraId="6933A8AD" w14:textId="77777777" w:rsidR="009E18C3" w:rsidRPr="000A7BB0" w:rsidRDefault="009E18C3" w:rsidP="002553CE">
            <w:pPr>
              <w:pStyle w:val="TableText"/>
              <w:keepNext/>
              <w:keepLines/>
              <w:widowControl/>
              <w:jc w:val="center"/>
              <w:rPr>
                <w:rFonts w:cs="Times New Roman"/>
                <w:szCs w:val="20"/>
                <w:lang w:val="en-AU"/>
              </w:rPr>
            </w:pPr>
            <w:r w:rsidRPr="000A7BB0">
              <w:rPr>
                <w:spacing w:val="-2"/>
                <w:szCs w:val="20"/>
                <w:lang w:val="en-AU"/>
              </w:rPr>
              <w:t>(20.53, 28.71)</w:t>
            </w:r>
          </w:p>
        </w:tc>
        <w:tc>
          <w:tcPr>
            <w:tcW w:w="786" w:type="pct"/>
          </w:tcPr>
          <w:p w14:paraId="7DDAE264"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23.49</w:t>
            </w:r>
          </w:p>
          <w:p w14:paraId="512C0599" w14:textId="77777777" w:rsidR="009E18C3" w:rsidRPr="000A7BB0" w:rsidRDefault="009E18C3" w:rsidP="002553CE">
            <w:pPr>
              <w:pStyle w:val="TableText"/>
              <w:keepNext/>
              <w:keepLines/>
              <w:widowControl/>
              <w:jc w:val="center"/>
              <w:rPr>
                <w:rFonts w:cs="Times New Roman"/>
                <w:szCs w:val="20"/>
                <w:lang w:val="en-AU"/>
              </w:rPr>
            </w:pPr>
            <w:r w:rsidRPr="000A7BB0">
              <w:rPr>
                <w:spacing w:val="-2"/>
                <w:szCs w:val="20"/>
                <w:lang w:val="en-AU"/>
              </w:rPr>
              <w:t>(15.64, 29.90)</w:t>
            </w:r>
          </w:p>
        </w:tc>
        <w:tc>
          <w:tcPr>
            <w:tcW w:w="943" w:type="pct"/>
            <w:vAlign w:val="center"/>
          </w:tcPr>
          <w:p w14:paraId="20DF8E62" w14:textId="77777777" w:rsidR="009E18C3" w:rsidRPr="000A7BB0" w:rsidRDefault="009E18C3" w:rsidP="002553CE">
            <w:pPr>
              <w:pStyle w:val="TableText"/>
              <w:keepNext/>
              <w:keepLines/>
              <w:widowControl/>
              <w:jc w:val="center"/>
              <w:rPr>
                <w:lang w:val="en-AU"/>
              </w:rPr>
            </w:pPr>
            <w:r w:rsidRPr="000A7BB0">
              <w:rPr>
                <w:lang w:val="en-AU"/>
              </w:rPr>
              <w:t>0.69</w:t>
            </w:r>
          </w:p>
          <w:p w14:paraId="3B660A3D" w14:textId="77777777" w:rsidR="009E18C3" w:rsidRPr="000A7BB0" w:rsidRDefault="009E18C3" w:rsidP="002553CE">
            <w:pPr>
              <w:pStyle w:val="TableText"/>
              <w:keepNext/>
              <w:keepLines/>
              <w:widowControl/>
              <w:jc w:val="center"/>
              <w:rPr>
                <w:lang w:val="en-AU"/>
              </w:rPr>
            </w:pPr>
          </w:p>
        </w:tc>
        <w:tc>
          <w:tcPr>
            <w:tcW w:w="759" w:type="pct"/>
            <w:vMerge/>
          </w:tcPr>
          <w:p w14:paraId="54A38852" w14:textId="77777777" w:rsidR="009E18C3" w:rsidRPr="000A7BB0" w:rsidRDefault="009E18C3" w:rsidP="002553CE">
            <w:pPr>
              <w:pStyle w:val="TableText"/>
              <w:keepNext/>
              <w:keepLines/>
              <w:widowControl/>
              <w:jc w:val="center"/>
              <w:rPr>
                <w:szCs w:val="20"/>
                <w:lang w:val="en-AU"/>
              </w:rPr>
            </w:pPr>
          </w:p>
        </w:tc>
      </w:tr>
      <w:tr w:rsidR="009E18C3" w:rsidRPr="000A7BB0" w14:paraId="013E0CE6" w14:textId="77777777" w:rsidTr="00BD3B69">
        <w:trPr>
          <w:trHeight w:val="20"/>
          <w:jc w:val="center"/>
        </w:trPr>
        <w:tc>
          <w:tcPr>
            <w:tcW w:w="1366" w:type="pct"/>
          </w:tcPr>
          <w:p w14:paraId="5882776C" w14:textId="77777777" w:rsidR="009E18C3" w:rsidRPr="000A7BB0" w:rsidRDefault="009E18C3" w:rsidP="002553CE">
            <w:pPr>
              <w:pStyle w:val="TableText"/>
              <w:keepNext/>
              <w:keepLines/>
              <w:widowControl/>
              <w:rPr>
                <w:lang w:val="en-AU"/>
              </w:rPr>
            </w:pPr>
            <w:r w:rsidRPr="000A7BB0">
              <w:rPr>
                <w:lang w:val="en-AU"/>
              </w:rPr>
              <w:t xml:space="preserve">% Alive at 6 months (95% CI) </w:t>
            </w:r>
          </w:p>
        </w:tc>
        <w:tc>
          <w:tcPr>
            <w:tcW w:w="1146" w:type="pct"/>
          </w:tcPr>
          <w:p w14:paraId="202C5B87"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92.79</w:t>
            </w:r>
          </w:p>
          <w:p w14:paraId="60C01618" w14:textId="77777777" w:rsidR="009E18C3" w:rsidRPr="000A7BB0" w:rsidRDefault="009E18C3" w:rsidP="002553CE">
            <w:pPr>
              <w:pStyle w:val="TableText"/>
              <w:keepNext/>
              <w:keepLines/>
              <w:widowControl/>
              <w:jc w:val="center"/>
              <w:rPr>
                <w:lang w:val="en-AU"/>
              </w:rPr>
            </w:pPr>
            <w:r w:rsidRPr="000A7BB0">
              <w:rPr>
                <w:spacing w:val="-2"/>
                <w:szCs w:val="20"/>
                <w:lang w:val="en-AU"/>
              </w:rPr>
              <w:t>(87.97, 97.60)</w:t>
            </w:r>
          </w:p>
        </w:tc>
        <w:tc>
          <w:tcPr>
            <w:tcW w:w="786" w:type="pct"/>
          </w:tcPr>
          <w:p w14:paraId="441C7E92"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84.36</w:t>
            </w:r>
          </w:p>
          <w:p w14:paraId="14307771" w14:textId="77777777" w:rsidR="009E18C3" w:rsidRPr="000A7BB0" w:rsidRDefault="009E18C3" w:rsidP="002553CE">
            <w:pPr>
              <w:pStyle w:val="TableText"/>
              <w:keepNext/>
              <w:keepLines/>
              <w:widowControl/>
              <w:jc w:val="center"/>
              <w:rPr>
                <w:szCs w:val="20"/>
                <w:lang w:val="en-AU"/>
              </w:rPr>
            </w:pPr>
            <w:r w:rsidRPr="000A7BB0">
              <w:rPr>
                <w:spacing w:val="-2"/>
                <w:szCs w:val="20"/>
                <w:lang w:val="en-AU"/>
              </w:rPr>
              <w:t>(77.32, 91.40)</w:t>
            </w:r>
          </w:p>
        </w:tc>
        <w:tc>
          <w:tcPr>
            <w:tcW w:w="943" w:type="pct"/>
            <w:vAlign w:val="center"/>
          </w:tcPr>
          <w:p w14:paraId="2262D9B5" w14:textId="77777777" w:rsidR="009E18C3" w:rsidRPr="000A7BB0" w:rsidRDefault="009E18C3" w:rsidP="002553CE">
            <w:pPr>
              <w:pStyle w:val="TableText"/>
              <w:keepNext/>
              <w:keepLines/>
              <w:widowControl/>
              <w:jc w:val="center"/>
              <w:rPr>
                <w:lang w:val="en-AU"/>
              </w:rPr>
            </w:pPr>
            <w:r w:rsidRPr="000A7BB0">
              <w:rPr>
                <w:lang w:val="en-AU"/>
              </w:rPr>
              <w:t>8.43%</w:t>
            </w:r>
          </w:p>
          <w:p w14:paraId="4546BC4F" w14:textId="77777777" w:rsidR="009E18C3" w:rsidRPr="000A7BB0" w:rsidRDefault="009E18C3" w:rsidP="002553CE">
            <w:pPr>
              <w:pStyle w:val="TableText"/>
              <w:keepNext/>
              <w:keepLines/>
              <w:widowControl/>
              <w:jc w:val="center"/>
              <w:rPr>
                <w:lang w:val="en-AU"/>
              </w:rPr>
            </w:pPr>
          </w:p>
        </w:tc>
        <w:tc>
          <w:tcPr>
            <w:tcW w:w="759" w:type="pct"/>
            <w:vMerge/>
          </w:tcPr>
          <w:p w14:paraId="45B30E72" w14:textId="77777777" w:rsidR="009E18C3" w:rsidRPr="000A7BB0" w:rsidRDefault="009E18C3" w:rsidP="002553CE">
            <w:pPr>
              <w:pStyle w:val="TableText"/>
              <w:keepNext/>
              <w:keepLines/>
              <w:widowControl/>
              <w:jc w:val="center"/>
              <w:rPr>
                <w:lang w:val="en-AU"/>
              </w:rPr>
            </w:pPr>
          </w:p>
        </w:tc>
      </w:tr>
      <w:tr w:rsidR="009E18C3" w:rsidRPr="000A7BB0" w14:paraId="1C29AFB9" w14:textId="77777777" w:rsidTr="00BD3B69">
        <w:trPr>
          <w:trHeight w:val="20"/>
          <w:jc w:val="center"/>
        </w:trPr>
        <w:tc>
          <w:tcPr>
            <w:tcW w:w="1366" w:type="pct"/>
          </w:tcPr>
          <w:p w14:paraId="44819318" w14:textId="77777777" w:rsidR="009E18C3" w:rsidRPr="000A7BB0" w:rsidRDefault="009E18C3" w:rsidP="002553CE">
            <w:pPr>
              <w:pStyle w:val="TableText"/>
              <w:keepNext/>
              <w:keepLines/>
              <w:widowControl/>
              <w:rPr>
                <w:lang w:val="en-AU"/>
              </w:rPr>
            </w:pPr>
            <w:r w:rsidRPr="000A7BB0">
              <w:rPr>
                <w:lang w:val="en-AU"/>
              </w:rPr>
              <w:t>% Alive at 12 months (95% CI)</w:t>
            </w:r>
          </w:p>
        </w:tc>
        <w:tc>
          <w:tcPr>
            <w:tcW w:w="1146" w:type="pct"/>
          </w:tcPr>
          <w:p w14:paraId="39F4DAC2"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83.11</w:t>
            </w:r>
          </w:p>
          <w:p w14:paraId="01791E05" w14:textId="77777777" w:rsidR="009E18C3" w:rsidRPr="000A7BB0" w:rsidRDefault="009E18C3" w:rsidP="002553CE">
            <w:pPr>
              <w:pStyle w:val="TableText"/>
              <w:keepNext/>
              <w:keepLines/>
              <w:widowControl/>
              <w:jc w:val="center"/>
              <w:rPr>
                <w:szCs w:val="20"/>
                <w:lang w:val="en-AU"/>
              </w:rPr>
            </w:pPr>
            <w:r w:rsidRPr="000A7BB0">
              <w:rPr>
                <w:spacing w:val="-2"/>
                <w:szCs w:val="20"/>
                <w:lang w:val="en-AU"/>
              </w:rPr>
              <w:t>(75.98, 90.25)</w:t>
            </w:r>
          </w:p>
        </w:tc>
        <w:tc>
          <w:tcPr>
            <w:tcW w:w="786" w:type="pct"/>
          </w:tcPr>
          <w:p w14:paraId="1E815B9E"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74.38</w:t>
            </w:r>
          </w:p>
          <w:p w14:paraId="63A47FE8" w14:textId="77777777" w:rsidR="009E18C3" w:rsidRPr="000A7BB0" w:rsidRDefault="009E18C3" w:rsidP="002553CE">
            <w:pPr>
              <w:pStyle w:val="TableText"/>
              <w:keepNext/>
              <w:keepLines/>
              <w:widowControl/>
              <w:jc w:val="center"/>
              <w:rPr>
                <w:szCs w:val="20"/>
                <w:lang w:val="en-AU"/>
              </w:rPr>
            </w:pPr>
            <w:r w:rsidRPr="000A7BB0">
              <w:rPr>
                <w:spacing w:val="-2"/>
                <w:szCs w:val="20"/>
                <w:lang w:val="en-AU"/>
              </w:rPr>
              <w:t>(65.88, 82.89)</w:t>
            </w:r>
          </w:p>
        </w:tc>
        <w:tc>
          <w:tcPr>
            <w:tcW w:w="943" w:type="pct"/>
            <w:vAlign w:val="center"/>
          </w:tcPr>
          <w:p w14:paraId="38CBE5E0" w14:textId="77777777" w:rsidR="009E18C3" w:rsidRPr="000A7BB0" w:rsidRDefault="009E18C3" w:rsidP="002553CE">
            <w:pPr>
              <w:pStyle w:val="TableText"/>
              <w:keepNext/>
              <w:keepLines/>
              <w:widowControl/>
              <w:jc w:val="center"/>
              <w:rPr>
                <w:lang w:val="en-AU"/>
              </w:rPr>
            </w:pPr>
            <w:r w:rsidRPr="000A7BB0">
              <w:rPr>
                <w:lang w:val="en-AU"/>
              </w:rPr>
              <w:t>8.73%</w:t>
            </w:r>
          </w:p>
          <w:p w14:paraId="013E8477" w14:textId="77777777" w:rsidR="009E18C3" w:rsidRPr="000A7BB0" w:rsidRDefault="009E18C3" w:rsidP="002553CE">
            <w:pPr>
              <w:pStyle w:val="TableText"/>
              <w:keepNext/>
              <w:keepLines/>
              <w:widowControl/>
              <w:jc w:val="center"/>
              <w:rPr>
                <w:lang w:val="en-AU"/>
              </w:rPr>
            </w:pPr>
          </w:p>
        </w:tc>
        <w:tc>
          <w:tcPr>
            <w:tcW w:w="759" w:type="pct"/>
            <w:vMerge/>
          </w:tcPr>
          <w:p w14:paraId="566C84A6" w14:textId="77777777" w:rsidR="009E18C3" w:rsidRPr="000A7BB0" w:rsidRDefault="009E18C3" w:rsidP="002553CE">
            <w:pPr>
              <w:pStyle w:val="TableText"/>
              <w:keepNext/>
              <w:keepLines/>
              <w:widowControl/>
              <w:jc w:val="center"/>
              <w:rPr>
                <w:lang w:val="en-AU"/>
              </w:rPr>
            </w:pPr>
          </w:p>
        </w:tc>
      </w:tr>
      <w:tr w:rsidR="009E18C3" w:rsidRPr="000A7BB0" w14:paraId="138EF79C" w14:textId="77777777" w:rsidTr="00BD3B69">
        <w:trPr>
          <w:trHeight w:val="20"/>
          <w:jc w:val="center"/>
        </w:trPr>
        <w:tc>
          <w:tcPr>
            <w:tcW w:w="1366" w:type="pct"/>
          </w:tcPr>
          <w:p w14:paraId="0646FBDE" w14:textId="77777777" w:rsidR="009E18C3" w:rsidRPr="000A7BB0" w:rsidRDefault="009E18C3" w:rsidP="002553CE">
            <w:pPr>
              <w:pStyle w:val="TableText"/>
              <w:keepNext/>
              <w:keepLines/>
              <w:widowControl/>
              <w:rPr>
                <w:lang w:val="en-AU"/>
              </w:rPr>
            </w:pPr>
            <w:r w:rsidRPr="000A7BB0">
              <w:rPr>
                <w:lang w:val="en-AU"/>
              </w:rPr>
              <w:t>% Alive at 18 months (95% CI)</w:t>
            </w:r>
          </w:p>
        </w:tc>
        <w:tc>
          <w:tcPr>
            <w:tcW w:w="1146" w:type="pct"/>
          </w:tcPr>
          <w:p w14:paraId="6C3914D7"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69.09</w:t>
            </w:r>
          </w:p>
          <w:p w14:paraId="64E167DA" w14:textId="77777777" w:rsidR="009E18C3" w:rsidRPr="000A7BB0" w:rsidRDefault="009E18C3" w:rsidP="002553CE">
            <w:pPr>
              <w:pStyle w:val="TableText"/>
              <w:keepNext/>
              <w:keepLines/>
              <w:widowControl/>
              <w:jc w:val="center"/>
              <w:rPr>
                <w:szCs w:val="20"/>
                <w:lang w:val="en-AU"/>
              </w:rPr>
            </w:pPr>
            <w:r w:rsidRPr="000A7BB0">
              <w:rPr>
                <w:szCs w:val="20"/>
                <w:lang w:val="en-AU"/>
              </w:rPr>
              <w:t>(60.15, 78.04)</w:t>
            </w:r>
          </w:p>
        </w:tc>
        <w:tc>
          <w:tcPr>
            <w:tcW w:w="786" w:type="pct"/>
          </w:tcPr>
          <w:p w14:paraId="3659F7D4"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53.27</w:t>
            </w:r>
          </w:p>
          <w:p w14:paraId="34854D7E" w14:textId="77777777" w:rsidR="009E18C3" w:rsidRPr="000A7BB0" w:rsidRDefault="009E18C3" w:rsidP="002553CE">
            <w:pPr>
              <w:pStyle w:val="TableText"/>
              <w:keepNext/>
              <w:keepLines/>
              <w:widowControl/>
              <w:jc w:val="center"/>
              <w:rPr>
                <w:szCs w:val="20"/>
                <w:lang w:val="en-AU"/>
              </w:rPr>
            </w:pPr>
            <w:r w:rsidRPr="000A7BB0">
              <w:rPr>
                <w:szCs w:val="20"/>
                <w:lang w:val="en-AU"/>
              </w:rPr>
              <w:t>(43.50, 63.04)</w:t>
            </w:r>
          </w:p>
        </w:tc>
        <w:tc>
          <w:tcPr>
            <w:tcW w:w="943" w:type="pct"/>
            <w:vAlign w:val="center"/>
          </w:tcPr>
          <w:p w14:paraId="78FAAD91" w14:textId="77777777" w:rsidR="009E18C3" w:rsidRPr="000A7BB0" w:rsidRDefault="009E18C3" w:rsidP="002553CE">
            <w:pPr>
              <w:pStyle w:val="TableText"/>
              <w:keepNext/>
              <w:keepLines/>
              <w:widowControl/>
              <w:jc w:val="center"/>
              <w:rPr>
                <w:lang w:val="en-AU"/>
              </w:rPr>
            </w:pPr>
            <w:r w:rsidRPr="000A7BB0">
              <w:rPr>
                <w:lang w:val="en-AU"/>
              </w:rPr>
              <w:t>15.82%</w:t>
            </w:r>
          </w:p>
          <w:p w14:paraId="43E188DD" w14:textId="77777777" w:rsidR="009E18C3" w:rsidRPr="000A7BB0" w:rsidRDefault="009E18C3" w:rsidP="002553CE">
            <w:pPr>
              <w:pStyle w:val="TableText"/>
              <w:keepNext/>
              <w:keepLines/>
              <w:widowControl/>
              <w:jc w:val="center"/>
              <w:rPr>
                <w:lang w:val="en-AU"/>
              </w:rPr>
            </w:pPr>
          </w:p>
        </w:tc>
        <w:tc>
          <w:tcPr>
            <w:tcW w:w="759" w:type="pct"/>
            <w:vMerge/>
          </w:tcPr>
          <w:p w14:paraId="3E4C636C" w14:textId="77777777" w:rsidR="009E18C3" w:rsidRPr="000A7BB0" w:rsidRDefault="009E18C3" w:rsidP="002553CE">
            <w:pPr>
              <w:pStyle w:val="TableText"/>
              <w:keepNext/>
              <w:keepLines/>
              <w:widowControl/>
              <w:jc w:val="center"/>
              <w:rPr>
                <w:lang w:val="en-AU"/>
              </w:rPr>
            </w:pPr>
          </w:p>
        </w:tc>
      </w:tr>
      <w:tr w:rsidR="009E18C3" w:rsidRPr="000A7BB0" w14:paraId="264A12F9" w14:textId="77777777" w:rsidTr="00BD3B69">
        <w:trPr>
          <w:trHeight w:val="20"/>
          <w:jc w:val="center"/>
        </w:trPr>
        <w:tc>
          <w:tcPr>
            <w:tcW w:w="1366" w:type="pct"/>
          </w:tcPr>
          <w:p w14:paraId="6EBDD92F" w14:textId="77777777" w:rsidR="009E18C3" w:rsidRPr="000A7BB0" w:rsidRDefault="009E18C3" w:rsidP="002553CE">
            <w:pPr>
              <w:pStyle w:val="TableText"/>
              <w:keepNext/>
              <w:keepLines/>
              <w:widowControl/>
              <w:rPr>
                <w:lang w:val="en-AU"/>
              </w:rPr>
            </w:pPr>
            <w:r w:rsidRPr="000A7BB0">
              <w:rPr>
                <w:lang w:val="en-AU"/>
              </w:rPr>
              <w:t>% Alive at 24 months (95% CI)</w:t>
            </w:r>
          </w:p>
        </w:tc>
        <w:tc>
          <w:tcPr>
            <w:tcW w:w="1146" w:type="pct"/>
          </w:tcPr>
          <w:p w14:paraId="0441E527"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50.71</w:t>
            </w:r>
          </w:p>
          <w:p w14:paraId="6F00AD0E" w14:textId="77777777" w:rsidR="009E18C3" w:rsidRPr="000A7BB0" w:rsidRDefault="009E18C3" w:rsidP="002553CE">
            <w:pPr>
              <w:pStyle w:val="TableText"/>
              <w:keepNext/>
              <w:keepLines/>
              <w:widowControl/>
              <w:jc w:val="center"/>
              <w:rPr>
                <w:szCs w:val="20"/>
                <w:lang w:val="en-AU"/>
              </w:rPr>
            </w:pPr>
            <w:r w:rsidRPr="000A7BB0">
              <w:rPr>
                <w:spacing w:val="-2"/>
                <w:szCs w:val="20"/>
                <w:lang w:val="en-AU"/>
              </w:rPr>
              <w:t>(40.91, 60.52)</w:t>
            </w:r>
          </w:p>
        </w:tc>
        <w:tc>
          <w:tcPr>
            <w:tcW w:w="786" w:type="pct"/>
          </w:tcPr>
          <w:p w14:paraId="07FBF284" w14:textId="77777777" w:rsidR="009E18C3" w:rsidRPr="000A7BB0" w:rsidRDefault="009E18C3" w:rsidP="002553CE">
            <w:pPr>
              <w:pStyle w:val="TableText"/>
              <w:keepNext/>
              <w:keepLines/>
              <w:widowControl/>
              <w:jc w:val="center"/>
              <w:rPr>
                <w:spacing w:val="-2"/>
                <w:szCs w:val="20"/>
                <w:lang w:val="en-AU"/>
              </w:rPr>
            </w:pPr>
            <w:r w:rsidRPr="000A7BB0">
              <w:rPr>
                <w:spacing w:val="-2"/>
                <w:szCs w:val="20"/>
                <w:lang w:val="en-AU"/>
              </w:rPr>
              <w:t>49.02</w:t>
            </w:r>
          </w:p>
          <w:p w14:paraId="67937250" w14:textId="77777777" w:rsidR="009E18C3" w:rsidRPr="000A7BB0" w:rsidRDefault="009E18C3" w:rsidP="002553CE">
            <w:pPr>
              <w:pStyle w:val="TableText"/>
              <w:keepNext/>
              <w:keepLines/>
              <w:widowControl/>
              <w:jc w:val="center"/>
              <w:rPr>
                <w:szCs w:val="20"/>
                <w:lang w:val="en-AU"/>
              </w:rPr>
            </w:pPr>
            <w:r w:rsidRPr="000A7BB0">
              <w:rPr>
                <w:spacing w:val="-2"/>
                <w:szCs w:val="20"/>
                <w:lang w:val="en-AU"/>
              </w:rPr>
              <w:t>(39.18, 58.87)</w:t>
            </w:r>
          </w:p>
        </w:tc>
        <w:tc>
          <w:tcPr>
            <w:tcW w:w="943" w:type="pct"/>
            <w:vAlign w:val="center"/>
          </w:tcPr>
          <w:p w14:paraId="1E956864" w14:textId="77777777" w:rsidR="009E18C3" w:rsidRPr="000A7BB0" w:rsidRDefault="009E18C3" w:rsidP="002553CE">
            <w:pPr>
              <w:pStyle w:val="TableText"/>
              <w:keepNext/>
              <w:keepLines/>
              <w:widowControl/>
              <w:jc w:val="center"/>
              <w:rPr>
                <w:lang w:val="en-AU"/>
              </w:rPr>
            </w:pPr>
            <w:r w:rsidRPr="000A7BB0">
              <w:rPr>
                <w:lang w:val="en-AU"/>
              </w:rPr>
              <w:t>1.69%</w:t>
            </w:r>
          </w:p>
          <w:p w14:paraId="64D28B6F" w14:textId="77777777" w:rsidR="009E18C3" w:rsidRPr="000A7BB0" w:rsidRDefault="009E18C3" w:rsidP="002553CE">
            <w:pPr>
              <w:pStyle w:val="TableText"/>
              <w:keepNext/>
              <w:keepLines/>
              <w:widowControl/>
              <w:jc w:val="center"/>
              <w:rPr>
                <w:lang w:val="en-AU"/>
              </w:rPr>
            </w:pPr>
          </w:p>
        </w:tc>
        <w:tc>
          <w:tcPr>
            <w:tcW w:w="759" w:type="pct"/>
            <w:vMerge/>
          </w:tcPr>
          <w:p w14:paraId="7C3C099F" w14:textId="77777777" w:rsidR="009E18C3" w:rsidRPr="000A7BB0" w:rsidRDefault="009E18C3" w:rsidP="002553CE">
            <w:pPr>
              <w:pStyle w:val="TableText"/>
              <w:keepNext/>
              <w:keepLines/>
              <w:widowControl/>
              <w:jc w:val="center"/>
              <w:rPr>
                <w:lang w:val="en-AU"/>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of comparative benefits and harms for elacestrant and SOC from EMERALD trial a"/>
      </w:tblPr>
      <w:tblGrid>
        <w:gridCol w:w="1151"/>
        <w:gridCol w:w="9"/>
        <w:gridCol w:w="1125"/>
        <w:gridCol w:w="11"/>
        <w:gridCol w:w="1277"/>
        <w:gridCol w:w="1554"/>
        <w:gridCol w:w="1132"/>
        <w:gridCol w:w="1361"/>
        <w:gridCol w:w="1396"/>
      </w:tblGrid>
      <w:tr w:rsidR="009E18C3" w:rsidRPr="000A7BB0" w14:paraId="17BB4A6E" w14:textId="77777777" w:rsidTr="74877A7E">
        <w:tc>
          <w:tcPr>
            <w:tcW w:w="5000" w:type="pct"/>
            <w:gridSpan w:val="9"/>
            <w:vAlign w:val="center"/>
          </w:tcPr>
          <w:p w14:paraId="02C697D4" w14:textId="77777777" w:rsidR="009E18C3" w:rsidRPr="000A7BB0" w:rsidRDefault="009E18C3" w:rsidP="002553CE">
            <w:pPr>
              <w:pStyle w:val="In-tableHeading"/>
              <w:keepLines/>
              <w:rPr>
                <w:lang w:val="en-AU"/>
              </w:rPr>
            </w:pPr>
            <w:r w:rsidRPr="000A7BB0">
              <w:rPr>
                <w:lang w:val="en-AU"/>
              </w:rPr>
              <w:t>Harms</w:t>
            </w:r>
            <w:r w:rsidRPr="000A7BB0">
              <w:rPr>
                <w:vertAlign w:val="superscript"/>
                <w:lang w:val="en-AU"/>
              </w:rPr>
              <w:t>f</w:t>
            </w:r>
            <w:r w:rsidRPr="000A7BB0">
              <w:rPr>
                <w:lang w:val="en-AU"/>
              </w:rPr>
              <w:t xml:space="preserve"> </w:t>
            </w:r>
          </w:p>
        </w:tc>
      </w:tr>
      <w:tr w:rsidR="009E18C3" w:rsidRPr="000A7BB0" w14:paraId="2662C455" w14:textId="77777777" w:rsidTr="74877A7E">
        <w:trPr>
          <w:trHeight w:val="70"/>
        </w:trPr>
        <w:tc>
          <w:tcPr>
            <w:tcW w:w="638" w:type="pct"/>
            <w:vMerge w:val="restart"/>
            <w:vAlign w:val="center"/>
          </w:tcPr>
          <w:p w14:paraId="07230A1A" w14:textId="77777777" w:rsidR="009E18C3" w:rsidRPr="000A7BB0" w:rsidRDefault="009E18C3" w:rsidP="002553CE">
            <w:pPr>
              <w:pStyle w:val="In-tableHeading"/>
              <w:keepLines/>
              <w:rPr>
                <w:lang w:val="en-AU"/>
              </w:rPr>
            </w:pPr>
            <w:r w:rsidRPr="000A7BB0">
              <w:rPr>
                <w:lang w:val="en-AU"/>
              </w:rPr>
              <w:t>TEAE type</w:t>
            </w:r>
          </w:p>
        </w:tc>
        <w:tc>
          <w:tcPr>
            <w:tcW w:w="629" w:type="pct"/>
            <w:gridSpan w:val="2"/>
            <w:vMerge w:val="restart"/>
            <w:vAlign w:val="center"/>
          </w:tcPr>
          <w:p w14:paraId="66472B09" w14:textId="77777777" w:rsidR="009E18C3" w:rsidRPr="000A7BB0" w:rsidRDefault="009E18C3" w:rsidP="002553CE">
            <w:pPr>
              <w:pStyle w:val="In-tableHeading"/>
              <w:keepLines/>
              <w:jc w:val="center"/>
              <w:rPr>
                <w:lang w:val="en-AU"/>
              </w:rPr>
            </w:pPr>
            <w:r w:rsidRPr="000A7BB0">
              <w:rPr>
                <w:lang w:val="en-AU"/>
              </w:rPr>
              <w:t>Elacestrant (N=237)</w:t>
            </w:r>
          </w:p>
          <w:p w14:paraId="534ADCD3" w14:textId="77777777" w:rsidR="009E18C3" w:rsidRPr="000A7BB0" w:rsidRDefault="009E18C3" w:rsidP="002553CE">
            <w:pPr>
              <w:pStyle w:val="In-tableHeading"/>
              <w:keepLines/>
              <w:jc w:val="center"/>
              <w:rPr>
                <w:lang w:val="en-AU"/>
              </w:rPr>
            </w:pPr>
            <w:r w:rsidRPr="000A7BB0">
              <w:rPr>
                <w:lang w:val="en-AU"/>
              </w:rPr>
              <w:t>n (%)</w:t>
            </w:r>
          </w:p>
        </w:tc>
        <w:tc>
          <w:tcPr>
            <w:tcW w:w="714" w:type="pct"/>
            <w:gridSpan w:val="2"/>
            <w:vMerge w:val="restart"/>
            <w:vAlign w:val="center"/>
          </w:tcPr>
          <w:p w14:paraId="7A065B59" w14:textId="33FE3A0F" w:rsidR="009E18C3" w:rsidRPr="000A7BB0" w:rsidRDefault="009E18C3" w:rsidP="002553CE">
            <w:pPr>
              <w:pStyle w:val="In-tableHeading"/>
              <w:keepLines/>
              <w:jc w:val="center"/>
              <w:rPr>
                <w:vertAlign w:val="superscript"/>
                <w:lang w:val="en-AU"/>
              </w:rPr>
            </w:pPr>
            <w:r w:rsidRPr="000A7BB0">
              <w:rPr>
                <w:lang w:val="en-AU"/>
              </w:rPr>
              <w:t xml:space="preserve">SOC </w:t>
            </w:r>
            <w:r w:rsidR="00932C59" w:rsidRPr="000A7BB0">
              <w:rPr>
                <w:vertAlign w:val="superscript"/>
                <w:lang w:val="en-AU"/>
              </w:rPr>
              <w:t>g</w:t>
            </w:r>
          </w:p>
          <w:p w14:paraId="60EB5739" w14:textId="77777777" w:rsidR="009E18C3" w:rsidRPr="000A7BB0" w:rsidRDefault="009E18C3" w:rsidP="002553CE">
            <w:pPr>
              <w:pStyle w:val="In-tableHeading"/>
              <w:keepLines/>
              <w:jc w:val="center"/>
              <w:rPr>
                <w:lang w:val="en-AU"/>
              </w:rPr>
            </w:pPr>
            <w:r w:rsidRPr="000A7BB0">
              <w:rPr>
                <w:lang w:val="en-AU"/>
              </w:rPr>
              <w:t>(N=230)</w:t>
            </w:r>
          </w:p>
          <w:p w14:paraId="3F7E0325" w14:textId="77777777" w:rsidR="009E18C3" w:rsidRPr="000A7BB0" w:rsidRDefault="009E18C3" w:rsidP="002553CE">
            <w:pPr>
              <w:pStyle w:val="In-tableHeading"/>
              <w:keepLines/>
              <w:jc w:val="center"/>
              <w:rPr>
                <w:lang w:val="en-AU"/>
              </w:rPr>
            </w:pPr>
            <w:r w:rsidRPr="000A7BB0">
              <w:rPr>
                <w:lang w:val="en-AU"/>
              </w:rPr>
              <w:t>n (%)</w:t>
            </w:r>
          </w:p>
        </w:tc>
        <w:tc>
          <w:tcPr>
            <w:tcW w:w="862" w:type="pct"/>
            <w:vMerge w:val="restart"/>
            <w:vAlign w:val="center"/>
          </w:tcPr>
          <w:p w14:paraId="604B6952" w14:textId="77777777" w:rsidR="009E18C3" w:rsidRPr="000A7BB0" w:rsidRDefault="009E18C3" w:rsidP="002553CE">
            <w:pPr>
              <w:pStyle w:val="In-tableHeading"/>
              <w:keepLines/>
              <w:jc w:val="center"/>
              <w:rPr>
                <w:lang w:val="en-AU"/>
              </w:rPr>
            </w:pPr>
            <w:r w:rsidRPr="000A7BB0">
              <w:rPr>
                <w:lang w:val="en-AU"/>
              </w:rPr>
              <w:t>RR</w:t>
            </w:r>
          </w:p>
          <w:p w14:paraId="4814688C" w14:textId="77777777" w:rsidR="009E18C3" w:rsidRPr="000A7BB0" w:rsidRDefault="009E18C3" w:rsidP="002553CE">
            <w:pPr>
              <w:pStyle w:val="In-tableHeading"/>
              <w:keepLines/>
              <w:jc w:val="center"/>
              <w:rPr>
                <w:lang w:val="en-AU"/>
              </w:rPr>
            </w:pPr>
            <w:r w:rsidRPr="000A7BB0">
              <w:rPr>
                <w:lang w:val="en-AU"/>
              </w:rPr>
              <w:t>(95% CI)</w:t>
            </w:r>
          </w:p>
        </w:tc>
        <w:tc>
          <w:tcPr>
            <w:tcW w:w="1383" w:type="pct"/>
            <w:gridSpan w:val="2"/>
            <w:vAlign w:val="center"/>
          </w:tcPr>
          <w:p w14:paraId="51FBA311" w14:textId="77777777" w:rsidR="009E18C3" w:rsidRPr="000A7BB0" w:rsidRDefault="009E18C3" w:rsidP="002553CE">
            <w:pPr>
              <w:pStyle w:val="In-tableHeading"/>
              <w:keepLines/>
              <w:jc w:val="center"/>
              <w:rPr>
                <w:lang w:val="en-AU"/>
              </w:rPr>
            </w:pPr>
            <w:r w:rsidRPr="000A7BB0">
              <w:rPr>
                <w:lang w:val="en-AU"/>
              </w:rPr>
              <w:t>Event rate/100 patients</w:t>
            </w:r>
          </w:p>
        </w:tc>
        <w:tc>
          <w:tcPr>
            <w:tcW w:w="774" w:type="pct"/>
            <w:vMerge w:val="restart"/>
            <w:vAlign w:val="center"/>
          </w:tcPr>
          <w:p w14:paraId="3DABA5B5" w14:textId="77777777" w:rsidR="009E18C3" w:rsidRPr="000A7BB0" w:rsidRDefault="009E18C3" w:rsidP="002553CE">
            <w:pPr>
              <w:pStyle w:val="In-tableHeading"/>
              <w:keepLines/>
              <w:jc w:val="center"/>
              <w:rPr>
                <w:lang w:val="en-AU"/>
              </w:rPr>
            </w:pPr>
            <w:r w:rsidRPr="000A7BB0">
              <w:rPr>
                <w:lang w:val="en-AU"/>
              </w:rPr>
              <w:t>RD</w:t>
            </w:r>
          </w:p>
          <w:p w14:paraId="7D00E51F" w14:textId="77777777" w:rsidR="009E18C3" w:rsidRPr="000A7BB0" w:rsidRDefault="009E18C3" w:rsidP="002553CE">
            <w:pPr>
              <w:pStyle w:val="In-tableHeading"/>
              <w:keepLines/>
              <w:jc w:val="center"/>
              <w:rPr>
                <w:lang w:val="en-AU"/>
              </w:rPr>
            </w:pPr>
            <w:r w:rsidRPr="000A7BB0">
              <w:rPr>
                <w:lang w:val="en-AU"/>
              </w:rPr>
              <w:t>(95% CI)</w:t>
            </w:r>
          </w:p>
        </w:tc>
      </w:tr>
      <w:tr w:rsidR="009E18C3" w:rsidRPr="000A7BB0" w14:paraId="395E1F85" w14:textId="77777777" w:rsidTr="74877A7E">
        <w:trPr>
          <w:trHeight w:val="390"/>
        </w:trPr>
        <w:tc>
          <w:tcPr>
            <w:tcW w:w="638" w:type="pct"/>
            <w:vMerge/>
            <w:vAlign w:val="center"/>
          </w:tcPr>
          <w:p w14:paraId="3612C446" w14:textId="77777777" w:rsidR="009E18C3" w:rsidRPr="000A7BB0" w:rsidRDefault="009E18C3" w:rsidP="002553CE">
            <w:pPr>
              <w:pStyle w:val="In-tableHeading"/>
              <w:keepLines/>
              <w:rPr>
                <w:lang w:val="en-AU"/>
              </w:rPr>
            </w:pPr>
          </w:p>
        </w:tc>
        <w:tc>
          <w:tcPr>
            <w:tcW w:w="629" w:type="pct"/>
            <w:gridSpan w:val="2"/>
            <w:vMerge/>
            <w:vAlign w:val="center"/>
          </w:tcPr>
          <w:p w14:paraId="090091A4" w14:textId="77777777" w:rsidR="009E18C3" w:rsidRPr="000A7BB0" w:rsidRDefault="009E18C3" w:rsidP="002553CE">
            <w:pPr>
              <w:pStyle w:val="In-tableHeading"/>
              <w:keepLines/>
              <w:rPr>
                <w:lang w:val="en-AU"/>
              </w:rPr>
            </w:pPr>
          </w:p>
        </w:tc>
        <w:tc>
          <w:tcPr>
            <w:tcW w:w="714" w:type="pct"/>
            <w:gridSpan w:val="2"/>
            <w:vMerge/>
            <w:vAlign w:val="center"/>
          </w:tcPr>
          <w:p w14:paraId="75DFFCBE" w14:textId="77777777" w:rsidR="009E18C3" w:rsidRPr="000A7BB0" w:rsidRDefault="009E18C3" w:rsidP="002553CE">
            <w:pPr>
              <w:pStyle w:val="In-tableHeading"/>
              <w:keepLines/>
              <w:rPr>
                <w:lang w:val="en-AU"/>
              </w:rPr>
            </w:pPr>
          </w:p>
        </w:tc>
        <w:tc>
          <w:tcPr>
            <w:tcW w:w="862" w:type="pct"/>
            <w:vMerge/>
            <w:vAlign w:val="center"/>
          </w:tcPr>
          <w:p w14:paraId="2CEFFFC2" w14:textId="77777777" w:rsidR="009E18C3" w:rsidRPr="000A7BB0" w:rsidRDefault="009E18C3" w:rsidP="002553CE">
            <w:pPr>
              <w:pStyle w:val="In-tableHeading"/>
              <w:keepLines/>
              <w:rPr>
                <w:lang w:val="en-AU"/>
              </w:rPr>
            </w:pPr>
          </w:p>
        </w:tc>
        <w:tc>
          <w:tcPr>
            <w:tcW w:w="628" w:type="pct"/>
            <w:vAlign w:val="center"/>
          </w:tcPr>
          <w:p w14:paraId="0E337D56" w14:textId="77777777" w:rsidR="009E18C3" w:rsidRPr="000A7BB0" w:rsidRDefault="009E18C3" w:rsidP="002553CE">
            <w:pPr>
              <w:pStyle w:val="In-tableHeading"/>
              <w:keepLines/>
              <w:jc w:val="center"/>
              <w:rPr>
                <w:lang w:val="en-AU"/>
              </w:rPr>
            </w:pPr>
            <w:r w:rsidRPr="000A7BB0">
              <w:rPr>
                <w:lang w:val="en-AU"/>
              </w:rPr>
              <w:t>elacestrant</w:t>
            </w:r>
          </w:p>
        </w:tc>
        <w:tc>
          <w:tcPr>
            <w:tcW w:w="755" w:type="pct"/>
            <w:vAlign w:val="center"/>
          </w:tcPr>
          <w:p w14:paraId="685C0722" w14:textId="573CA33A" w:rsidR="009E18C3" w:rsidRPr="000A7BB0" w:rsidRDefault="009E18C3" w:rsidP="002553CE">
            <w:pPr>
              <w:pStyle w:val="In-tableHeading"/>
              <w:keepLines/>
              <w:jc w:val="center"/>
              <w:rPr>
                <w:vertAlign w:val="superscript"/>
                <w:lang w:val="en-AU"/>
              </w:rPr>
            </w:pPr>
            <w:r w:rsidRPr="000A7BB0">
              <w:rPr>
                <w:lang w:val="en-AU"/>
              </w:rPr>
              <w:t>SOC</w:t>
            </w:r>
            <w:r w:rsidR="00932C59" w:rsidRPr="000A7BB0">
              <w:rPr>
                <w:vertAlign w:val="superscript"/>
                <w:lang w:val="en-AU"/>
              </w:rPr>
              <w:t>g</w:t>
            </w:r>
          </w:p>
        </w:tc>
        <w:tc>
          <w:tcPr>
            <w:tcW w:w="774" w:type="pct"/>
            <w:vMerge/>
            <w:vAlign w:val="center"/>
          </w:tcPr>
          <w:p w14:paraId="2D8A9AB7" w14:textId="77777777" w:rsidR="009E18C3" w:rsidRPr="000A7BB0" w:rsidRDefault="009E18C3" w:rsidP="002553CE">
            <w:pPr>
              <w:pStyle w:val="In-tableHeading"/>
              <w:keepLines/>
              <w:rPr>
                <w:lang w:val="en-AU"/>
              </w:rPr>
            </w:pPr>
          </w:p>
        </w:tc>
      </w:tr>
      <w:tr w:rsidR="009E18C3" w:rsidRPr="000A7BB0" w14:paraId="6EF4E6A4" w14:textId="77777777" w:rsidTr="74877A7E">
        <w:tc>
          <w:tcPr>
            <w:tcW w:w="643" w:type="pct"/>
            <w:gridSpan w:val="2"/>
          </w:tcPr>
          <w:p w14:paraId="6AEBFE44" w14:textId="77777777" w:rsidR="009E18C3" w:rsidRPr="000A7BB0" w:rsidRDefault="009E18C3" w:rsidP="002553CE">
            <w:pPr>
              <w:pStyle w:val="TableText"/>
              <w:keepNext/>
              <w:keepLines/>
              <w:widowControl/>
            </w:pPr>
            <w:r w:rsidRPr="000A7BB0">
              <w:t>Related</w:t>
            </w:r>
          </w:p>
        </w:tc>
        <w:tc>
          <w:tcPr>
            <w:tcW w:w="630" w:type="pct"/>
            <w:gridSpan w:val="2"/>
          </w:tcPr>
          <w:p w14:paraId="7A866572" w14:textId="77777777" w:rsidR="009E18C3" w:rsidRPr="000A7BB0" w:rsidRDefault="009E18C3" w:rsidP="002553CE">
            <w:pPr>
              <w:pStyle w:val="TableText"/>
              <w:keepNext/>
              <w:keepLines/>
              <w:widowControl/>
              <w:jc w:val="center"/>
            </w:pPr>
            <w:r w:rsidRPr="000A7BB0">
              <w:t>150 (63.3)</w:t>
            </w:r>
          </w:p>
        </w:tc>
        <w:tc>
          <w:tcPr>
            <w:tcW w:w="708" w:type="pct"/>
          </w:tcPr>
          <w:p w14:paraId="10EEB23D" w14:textId="77777777" w:rsidR="009E18C3" w:rsidRPr="000A7BB0" w:rsidRDefault="009E18C3" w:rsidP="002553CE">
            <w:pPr>
              <w:pStyle w:val="TableText"/>
              <w:keepNext/>
              <w:keepLines/>
              <w:widowControl/>
              <w:jc w:val="center"/>
            </w:pPr>
            <w:r w:rsidRPr="000A7BB0">
              <w:t>100 (43.5)</w:t>
            </w:r>
          </w:p>
        </w:tc>
        <w:tc>
          <w:tcPr>
            <w:tcW w:w="862" w:type="pct"/>
          </w:tcPr>
          <w:p w14:paraId="30389053" w14:textId="77777777" w:rsidR="009E18C3" w:rsidRPr="000A7BB0" w:rsidRDefault="009E18C3" w:rsidP="002553CE">
            <w:pPr>
              <w:pStyle w:val="TableText"/>
              <w:keepNext/>
              <w:keepLines/>
              <w:widowControl/>
              <w:jc w:val="center"/>
              <w:rPr>
                <w:b/>
              </w:rPr>
            </w:pPr>
            <w:r w:rsidRPr="000A7BB0">
              <w:rPr>
                <w:b/>
              </w:rPr>
              <w:t>1.</w:t>
            </w:r>
            <w:r w:rsidRPr="000A7BB0">
              <w:rPr>
                <w:b/>
                <w:bCs/>
              </w:rPr>
              <w:t>46</w:t>
            </w:r>
            <w:r w:rsidRPr="000A7BB0">
              <w:rPr>
                <w:b/>
              </w:rPr>
              <w:t xml:space="preserve"> (1.</w:t>
            </w:r>
            <w:r w:rsidRPr="000A7BB0">
              <w:rPr>
                <w:b/>
                <w:bCs/>
              </w:rPr>
              <w:t>22</w:t>
            </w:r>
            <w:r w:rsidRPr="000A7BB0">
              <w:rPr>
                <w:b/>
              </w:rPr>
              <w:t>, 1.</w:t>
            </w:r>
            <w:r w:rsidRPr="000A7BB0">
              <w:rPr>
                <w:b/>
                <w:bCs/>
              </w:rPr>
              <w:t>74),</w:t>
            </w:r>
            <w:r w:rsidRPr="000A7BB0">
              <w:rPr>
                <w:b/>
              </w:rPr>
              <w:t xml:space="preserve"> p</w:t>
            </w:r>
            <w:r w:rsidRPr="000A7BB0">
              <w:rPr>
                <w:b/>
                <w:bCs/>
              </w:rPr>
              <w:t>&lt;</w:t>
            </w:r>
            <w:r w:rsidRPr="000A7BB0">
              <w:rPr>
                <w:b/>
              </w:rPr>
              <w:t>0.</w:t>
            </w:r>
            <w:r w:rsidRPr="000A7BB0">
              <w:rPr>
                <w:b/>
                <w:bCs/>
              </w:rPr>
              <w:t>0001</w:t>
            </w:r>
          </w:p>
        </w:tc>
        <w:tc>
          <w:tcPr>
            <w:tcW w:w="628" w:type="pct"/>
            <w:vAlign w:val="center"/>
          </w:tcPr>
          <w:p w14:paraId="0505828B" w14:textId="77777777" w:rsidR="009E18C3" w:rsidRPr="000A7BB0" w:rsidRDefault="009E18C3" w:rsidP="002553CE">
            <w:pPr>
              <w:pStyle w:val="TableText"/>
              <w:keepNext/>
              <w:keepLines/>
              <w:widowControl/>
              <w:jc w:val="center"/>
            </w:pPr>
            <w:r w:rsidRPr="000A7BB0">
              <w:t>63</w:t>
            </w:r>
          </w:p>
        </w:tc>
        <w:tc>
          <w:tcPr>
            <w:tcW w:w="755" w:type="pct"/>
            <w:vAlign w:val="center"/>
          </w:tcPr>
          <w:p w14:paraId="3F6DBF6D" w14:textId="77777777" w:rsidR="009E18C3" w:rsidRPr="000A7BB0" w:rsidRDefault="009E18C3" w:rsidP="002553CE">
            <w:pPr>
              <w:pStyle w:val="TableText"/>
              <w:keepNext/>
              <w:keepLines/>
              <w:widowControl/>
              <w:jc w:val="center"/>
            </w:pPr>
            <w:r w:rsidRPr="000A7BB0">
              <w:t>44</w:t>
            </w:r>
          </w:p>
        </w:tc>
        <w:tc>
          <w:tcPr>
            <w:tcW w:w="774" w:type="pct"/>
            <w:vAlign w:val="center"/>
          </w:tcPr>
          <w:p w14:paraId="70558386" w14:textId="77777777" w:rsidR="009E18C3" w:rsidRPr="000A7BB0" w:rsidRDefault="009E18C3" w:rsidP="002553CE">
            <w:pPr>
              <w:pStyle w:val="TableText"/>
              <w:keepNext/>
              <w:keepLines/>
              <w:widowControl/>
              <w:jc w:val="center"/>
            </w:pPr>
            <w:r w:rsidRPr="000A7BB0">
              <w:t>19.81</w:t>
            </w:r>
          </w:p>
          <w:p w14:paraId="1BA39E19" w14:textId="77777777" w:rsidR="009E18C3" w:rsidRPr="000A7BB0" w:rsidRDefault="009E18C3" w:rsidP="002553CE">
            <w:pPr>
              <w:pStyle w:val="TableText"/>
              <w:keepNext/>
              <w:keepLines/>
              <w:widowControl/>
              <w:jc w:val="center"/>
            </w:pPr>
            <w:r w:rsidRPr="000A7BB0">
              <w:t>(10.79, 28.39)</w:t>
            </w:r>
          </w:p>
        </w:tc>
      </w:tr>
      <w:tr w:rsidR="00FC6323" w:rsidRPr="000A7BB0" w14:paraId="70A24064" w14:textId="77777777" w:rsidTr="74877A7E">
        <w:tc>
          <w:tcPr>
            <w:tcW w:w="643" w:type="pct"/>
            <w:gridSpan w:val="2"/>
          </w:tcPr>
          <w:p w14:paraId="063A81DA" w14:textId="530CBB8F" w:rsidR="00FC6323" w:rsidRPr="000A7BB0" w:rsidRDefault="00FC6323" w:rsidP="002553CE">
            <w:pPr>
              <w:pStyle w:val="TableText"/>
              <w:keepNext/>
              <w:keepLines/>
              <w:widowControl/>
            </w:pPr>
            <w:r w:rsidRPr="000A7BB0">
              <w:t>Nausea</w:t>
            </w:r>
          </w:p>
        </w:tc>
        <w:tc>
          <w:tcPr>
            <w:tcW w:w="630" w:type="pct"/>
            <w:gridSpan w:val="2"/>
          </w:tcPr>
          <w:p w14:paraId="59402444" w14:textId="30302149" w:rsidR="00C8101A" w:rsidRPr="000A7BB0" w:rsidRDefault="292E7687" w:rsidP="002553CE">
            <w:pPr>
              <w:pStyle w:val="TableText"/>
              <w:keepNext/>
              <w:keepLines/>
              <w:widowControl/>
              <w:jc w:val="center"/>
            </w:pPr>
            <w:r w:rsidRPr="000A7BB0">
              <w:t>83</w:t>
            </w:r>
            <w:r w:rsidR="00B51309">
              <w:t xml:space="preserve"> </w:t>
            </w:r>
            <w:r w:rsidRPr="000A7BB0">
              <w:t>(35.0)</w:t>
            </w:r>
          </w:p>
          <w:p w14:paraId="0D942E43" w14:textId="77777777" w:rsidR="00FC6323" w:rsidRPr="000A7BB0" w:rsidRDefault="00FC6323" w:rsidP="002553CE">
            <w:pPr>
              <w:pStyle w:val="TableText"/>
              <w:keepNext/>
              <w:keepLines/>
              <w:widowControl/>
              <w:jc w:val="center"/>
            </w:pPr>
          </w:p>
        </w:tc>
        <w:tc>
          <w:tcPr>
            <w:tcW w:w="708" w:type="pct"/>
          </w:tcPr>
          <w:p w14:paraId="2FE01D83" w14:textId="77777777" w:rsidR="00C8101A" w:rsidRPr="000A7BB0" w:rsidRDefault="00C8101A" w:rsidP="002553CE">
            <w:pPr>
              <w:pStyle w:val="TableText"/>
              <w:keepNext/>
              <w:keepLines/>
              <w:widowControl/>
              <w:jc w:val="center"/>
            </w:pPr>
            <w:r w:rsidRPr="000A7BB0">
              <w:t>44 (19.1)</w:t>
            </w:r>
          </w:p>
          <w:p w14:paraId="08BF7E4F" w14:textId="77777777" w:rsidR="00FC6323" w:rsidRPr="000A7BB0" w:rsidRDefault="00FC6323" w:rsidP="002553CE">
            <w:pPr>
              <w:pStyle w:val="TableText"/>
              <w:keepNext/>
              <w:keepLines/>
              <w:widowControl/>
              <w:jc w:val="center"/>
            </w:pPr>
          </w:p>
        </w:tc>
        <w:tc>
          <w:tcPr>
            <w:tcW w:w="862" w:type="pct"/>
          </w:tcPr>
          <w:p w14:paraId="20DBADFD" w14:textId="66693F79" w:rsidR="00FC6323" w:rsidRPr="000A7BB0" w:rsidRDefault="0016456A" w:rsidP="002553CE">
            <w:pPr>
              <w:pStyle w:val="TableText"/>
              <w:keepNext/>
              <w:keepLines/>
              <w:widowControl/>
              <w:jc w:val="center"/>
              <w:rPr>
                <w:b/>
              </w:rPr>
            </w:pPr>
            <w:r w:rsidRPr="000A7BB0">
              <w:rPr>
                <w:b/>
              </w:rPr>
              <w:t>1.83 (1.33, 2.51)</w:t>
            </w:r>
            <w:r w:rsidR="00F66ECC" w:rsidRPr="000A7BB0">
              <w:rPr>
                <w:b/>
              </w:rPr>
              <w:t>,</w:t>
            </w:r>
          </w:p>
          <w:p w14:paraId="355D587E" w14:textId="13FF291F" w:rsidR="00FC6323" w:rsidRPr="000A7BB0" w:rsidRDefault="00F66ECC" w:rsidP="002553CE">
            <w:pPr>
              <w:pStyle w:val="TableText"/>
              <w:keepNext/>
              <w:keepLines/>
              <w:widowControl/>
              <w:jc w:val="center"/>
              <w:rPr>
                <w:b/>
              </w:rPr>
            </w:pPr>
            <w:r w:rsidRPr="000A7BB0">
              <w:rPr>
                <w:b/>
              </w:rPr>
              <w:t>p</w:t>
            </w:r>
            <w:r w:rsidRPr="000A7BB0">
              <w:rPr>
                <w:b/>
                <w:bCs/>
              </w:rPr>
              <w:t>&lt;</w:t>
            </w:r>
            <w:r w:rsidRPr="000A7BB0">
              <w:rPr>
                <w:b/>
              </w:rPr>
              <w:t>0.</w:t>
            </w:r>
            <w:r w:rsidRPr="000A7BB0">
              <w:rPr>
                <w:b/>
                <w:bCs/>
              </w:rPr>
              <w:t>0001</w:t>
            </w:r>
          </w:p>
        </w:tc>
        <w:tc>
          <w:tcPr>
            <w:tcW w:w="628" w:type="pct"/>
            <w:vAlign w:val="center"/>
          </w:tcPr>
          <w:p w14:paraId="5918B1AA" w14:textId="3F9AF6E8" w:rsidR="00FC6323" w:rsidRPr="000A7BB0" w:rsidRDefault="00F66ECC" w:rsidP="002553CE">
            <w:pPr>
              <w:pStyle w:val="TableText"/>
              <w:keepNext/>
              <w:keepLines/>
              <w:widowControl/>
              <w:jc w:val="center"/>
            </w:pPr>
            <w:r w:rsidRPr="000A7BB0">
              <w:t>35</w:t>
            </w:r>
          </w:p>
        </w:tc>
        <w:tc>
          <w:tcPr>
            <w:tcW w:w="755" w:type="pct"/>
            <w:vAlign w:val="center"/>
          </w:tcPr>
          <w:p w14:paraId="2364A312" w14:textId="5094B1FE" w:rsidR="00FC6323" w:rsidRPr="000A7BB0" w:rsidRDefault="00F66ECC" w:rsidP="002553CE">
            <w:pPr>
              <w:pStyle w:val="TableText"/>
              <w:keepNext/>
              <w:keepLines/>
              <w:widowControl/>
              <w:jc w:val="center"/>
            </w:pPr>
            <w:r w:rsidRPr="000A7BB0">
              <w:t>19</w:t>
            </w:r>
          </w:p>
        </w:tc>
        <w:tc>
          <w:tcPr>
            <w:tcW w:w="774" w:type="pct"/>
            <w:vAlign w:val="center"/>
          </w:tcPr>
          <w:p w14:paraId="3D28034E" w14:textId="77777777" w:rsidR="00FC6323" w:rsidRPr="000A7BB0" w:rsidRDefault="00F66ECC" w:rsidP="002553CE">
            <w:pPr>
              <w:pStyle w:val="TableText"/>
              <w:keepNext/>
              <w:keepLines/>
              <w:widowControl/>
              <w:jc w:val="center"/>
            </w:pPr>
            <w:r w:rsidRPr="000A7BB0">
              <w:t>15.89</w:t>
            </w:r>
          </w:p>
          <w:p w14:paraId="66D0BAFC" w14:textId="55448790" w:rsidR="00FC6323" w:rsidRPr="000A7BB0" w:rsidRDefault="001B7C2D" w:rsidP="002553CE">
            <w:pPr>
              <w:pStyle w:val="TableText"/>
              <w:keepNext/>
              <w:keepLines/>
              <w:widowControl/>
              <w:jc w:val="center"/>
            </w:pPr>
            <w:r w:rsidRPr="000A7BB0">
              <w:t>(</w:t>
            </w:r>
            <w:r w:rsidR="00F66ECC" w:rsidRPr="000A7BB0">
              <w:t xml:space="preserve">7.97, </w:t>
            </w:r>
            <w:r w:rsidRPr="000A7BB0">
              <w:t>23.81)</w:t>
            </w:r>
          </w:p>
        </w:tc>
      </w:tr>
      <w:tr w:rsidR="00FC6323" w:rsidRPr="000A7BB0" w14:paraId="5B729C3D" w14:textId="77777777" w:rsidTr="74877A7E">
        <w:tc>
          <w:tcPr>
            <w:tcW w:w="643" w:type="pct"/>
            <w:gridSpan w:val="2"/>
          </w:tcPr>
          <w:p w14:paraId="69F7289E" w14:textId="5B2A4FC9" w:rsidR="00FC6323" w:rsidRPr="000A7BB0" w:rsidRDefault="00FC6323" w:rsidP="002553CE">
            <w:pPr>
              <w:pStyle w:val="TableText"/>
              <w:keepNext/>
              <w:keepLines/>
              <w:widowControl/>
            </w:pPr>
            <w:r w:rsidRPr="000A7BB0">
              <w:t xml:space="preserve">Vomiting </w:t>
            </w:r>
          </w:p>
        </w:tc>
        <w:tc>
          <w:tcPr>
            <w:tcW w:w="630" w:type="pct"/>
            <w:gridSpan w:val="2"/>
          </w:tcPr>
          <w:p w14:paraId="49DE3381" w14:textId="471BB131" w:rsidR="00FC6323" w:rsidRPr="000A7BB0" w:rsidRDefault="001B7C2D" w:rsidP="002553CE">
            <w:pPr>
              <w:pStyle w:val="TableText"/>
              <w:keepNext/>
              <w:keepLines/>
              <w:widowControl/>
              <w:jc w:val="center"/>
            </w:pPr>
            <w:r w:rsidRPr="000A7BB0">
              <w:t>45 (19.0)</w:t>
            </w:r>
          </w:p>
        </w:tc>
        <w:tc>
          <w:tcPr>
            <w:tcW w:w="708" w:type="pct"/>
          </w:tcPr>
          <w:p w14:paraId="6C6AC13D" w14:textId="34A86A39" w:rsidR="00FC6323" w:rsidRPr="000A7BB0" w:rsidRDefault="001B7C2D" w:rsidP="002553CE">
            <w:pPr>
              <w:pStyle w:val="TableText"/>
              <w:keepNext/>
              <w:keepLines/>
              <w:widowControl/>
              <w:jc w:val="center"/>
            </w:pPr>
            <w:r w:rsidRPr="000A7BB0">
              <w:t>20 (8.7)</w:t>
            </w:r>
          </w:p>
        </w:tc>
        <w:tc>
          <w:tcPr>
            <w:tcW w:w="862" w:type="pct"/>
          </w:tcPr>
          <w:p w14:paraId="50448C82" w14:textId="77777777" w:rsidR="00FC6323" w:rsidRPr="000A7BB0" w:rsidRDefault="00737FC7" w:rsidP="002553CE">
            <w:pPr>
              <w:pStyle w:val="TableText"/>
              <w:keepNext/>
              <w:keepLines/>
              <w:widowControl/>
              <w:jc w:val="center"/>
              <w:rPr>
                <w:b/>
              </w:rPr>
            </w:pPr>
            <w:r w:rsidRPr="000A7BB0">
              <w:rPr>
                <w:b/>
              </w:rPr>
              <w:t>2.18 (1.33, 3.58)</w:t>
            </w:r>
          </w:p>
          <w:p w14:paraId="56843825" w14:textId="26C3810A" w:rsidR="00FC6323" w:rsidRPr="000A7BB0" w:rsidRDefault="00316BFE" w:rsidP="002553CE">
            <w:pPr>
              <w:pStyle w:val="TableText"/>
              <w:keepNext/>
              <w:keepLines/>
              <w:widowControl/>
              <w:jc w:val="center"/>
              <w:rPr>
                <w:b/>
              </w:rPr>
            </w:pPr>
            <w:r w:rsidRPr="000A7BB0">
              <w:rPr>
                <w:b/>
              </w:rPr>
              <w:t>p=0.0013</w:t>
            </w:r>
          </w:p>
        </w:tc>
        <w:tc>
          <w:tcPr>
            <w:tcW w:w="628" w:type="pct"/>
            <w:vAlign w:val="center"/>
          </w:tcPr>
          <w:p w14:paraId="296ACE5E" w14:textId="42807906" w:rsidR="00FC6323" w:rsidRPr="000A7BB0" w:rsidRDefault="00316BFE" w:rsidP="002553CE">
            <w:pPr>
              <w:pStyle w:val="TableText"/>
              <w:keepNext/>
              <w:keepLines/>
              <w:widowControl/>
              <w:jc w:val="center"/>
            </w:pPr>
            <w:r w:rsidRPr="000A7BB0">
              <w:t>19</w:t>
            </w:r>
          </w:p>
        </w:tc>
        <w:tc>
          <w:tcPr>
            <w:tcW w:w="755" w:type="pct"/>
            <w:vAlign w:val="center"/>
          </w:tcPr>
          <w:p w14:paraId="017BA759" w14:textId="63BE37ED" w:rsidR="00FC6323" w:rsidRPr="000A7BB0" w:rsidRDefault="00316BFE" w:rsidP="002553CE">
            <w:pPr>
              <w:pStyle w:val="TableText"/>
              <w:keepNext/>
              <w:keepLines/>
              <w:widowControl/>
              <w:jc w:val="center"/>
            </w:pPr>
            <w:r w:rsidRPr="000A7BB0">
              <w:t>9</w:t>
            </w:r>
          </w:p>
        </w:tc>
        <w:tc>
          <w:tcPr>
            <w:tcW w:w="774" w:type="pct"/>
            <w:vAlign w:val="center"/>
          </w:tcPr>
          <w:p w14:paraId="6E91A113" w14:textId="77777777" w:rsidR="00FC6323" w:rsidRPr="000A7BB0" w:rsidRDefault="007B55B4" w:rsidP="002553CE">
            <w:pPr>
              <w:pStyle w:val="TableText"/>
              <w:keepNext/>
              <w:keepLines/>
              <w:widowControl/>
              <w:jc w:val="center"/>
            </w:pPr>
            <w:r w:rsidRPr="000A7BB0">
              <w:t>10.29</w:t>
            </w:r>
          </w:p>
          <w:p w14:paraId="7FCFA179" w14:textId="3C5CC770" w:rsidR="00FC6323" w:rsidRPr="000A7BB0" w:rsidRDefault="007B55B4" w:rsidP="002553CE">
            <w:pPr>
              <w:pStyle w:val="TableText"/>
              <w:keepNext/>
              <w:keepLines/>
              <w:widowControl/>
              <w:jc w:val="center"/>
            </w:pPr>
            <w:r w:rsidRPr="000A7BB0">
              <w:t>(4.11, 16.47)</w:t>
            </w:r>
          </w:p>
        </w:tc>
      </w:tr>
      <w:tr w:rsidR="009E18C3" w:rsidRPr="000A7BB0" w14:paraId="382F7DB9" w14:textId="77777777" w:rsidTr="74877A7E">
        <w:tc>
          <w:tcPr>
            <w:tcW w:w="643" w:type="pct"/>
            <w:gridSpan w:val="2"/>
          </w:tcPr>
          <w:p w14:paraId="44411F4F" w14:textId="77777777" w:rsidR="009E18C3" w:rsidRPr="000A7BB0" w:rsidRDefault="009E18C3" w:rsidP="002553CE">
            <w:pPr>
              <w:pStyle w:val="TableText"/>
              <w:keepNext/>
              <w:keepLines/>
              <w:widowControl/>
            </w:pPr>
            <w:r w:rsidRPr="000A7BB0">
              <w:t>Related Grade ≥ 3</w:t>
            </w:r>
          </w:p>
        </w:tc>
        <w:tc>
          <w:tcPr>
            <w:tcW w:w="630" w:type="pct"/>
            <w:gridSpan w:val="2"/>
          </w:tcPr>
          <w:p w14:paraId="115AEBC0" w14:textId="77777777" w:rsidR="009E18C3" w:rsidRPr="000A7BB0" w:rsidRDefault="009E18C3" w:rsidP="002553CE">
            <w:pPr>
              <w:pStyle w:val="TableText"/>
              <w:keepNext/>
              <w:keepLines/>
              <w:widowControl/>
              <w:jc w:val="center"/>
            </w:pPr>
            <w:r w:rsidRPr="000A7BB0">
              <w:t>17 (7.2)</w:t>
            </w:r>
          </w:p>
        </w:tc>
        <w:tc>
          <w:tcPr>
            <w:tcW w:w="708" w:type="pct"/>
          </w:tcPr>
          <w:p w14:paraId="6812D441" w14:textId="77777777" w:rsidR="009E18C3" w:rsidRPr="000A7BB0" w:rsidRDefault="009E18C3" w:rsidP="002553CE">
            <w:pPr>
              <w:pStyle w:val="TableText"/>
              <w:keepNext/>
              <w:keepLines/>
              <w:widowControl/>
              <w:jc w:val="center"/>
            </w:pPr>
            <w:r w:rsidRPr="000A7BB0">
              <w:t>7 (3.0)</w:t>
            </w:r>
          </w:p>
        </w:tc>
        <w:tc>
          <w:tcPr>
            <w:tcW w:w="862" w:type="pct"/>
            <w:vAlign w:val="center"/>
          </w:tcPr>
          <w:p w14:paraId="3565A199" w14:textId="77777777" w:rsidR="009E18C3" w:rsidRPr="000A7BB0" w:rsidRDefault="009E18C3" w:rsidP="002553CE">
            <w:pPr>
              <w:pStyle w:val="TableText"/>
              <w:keepNext/>
              <w:keepLines/>
              <w:widowControl/>
              <w:jc w:val="center"/>
            </w:pPr>
            <w:r w:rsidRPr="000A7BB0">
              <w:rPr>
                <w:b/>
                <w:bCs/>
              </w:rPr>
              <w:t>2.36</w:t>
            </w:r>
            <w:r w:rsidRPr="000A7BB0">
              <w:rPr>
                <w:b/>
              </w:rPr>
              <w:t xml:space="preserve"> (0.</w:t>
            </w:r>
            <w:r w:rsidRPr="000A7BB0">
              <w:rPr>
                <w:b/>
                <w:bCs/>
              </w:rPr>
              <w:t>99, 5.57</w:t>
            </w:r>
            <w:r w:rsidRPr="000A7BB0">
              <w:rPr>
                <w:b/>
              </w:rPr>
              <w:t>), p=0.</w:t>
            </w:r>
            <w:r w:rsidRPr="000A7BB0">
              <w:rPr>
                <w:b/>
                <w:bCs/>
              </w:rPr>
              <w:t>05</w:t>
            </w:r>
            <w:r w:rsidRPr="000A7BB0">
              <w:rPr>
                <w:b/>
              </w:rPr>
              <w:t xml:space="preserve"> </w:t>
            </w:r>
          </w:p>
        </w:tc>
        <w:tc>
          <w:tcPr>
            <w:tcW w:w="628" w:type="pct"/>
            <w:vAlign w:val="center"/>
          </w:tcPr>
          <w:p w14:paraId="16F53836" w14:textId="77777777" w:rsidR="009E18C3" w:rsidRPr="000A7BB0" w:rsidRDefault="009E18C3" w:rsidP="002553CE">
            <w:pPr>
              <w:pStyle w:val="TableText"/>
              <w:keepNext/>
              <w:keepLines/>
              <w:widowControl/>
              <w:jc w:val="center"/>
            </w:pPr>
            <w:r w:rsidRPr="000A7BB0">
              <w:t>7</w:t>
            </w:r>
          </w:p>
        </w:tc>
        <w:tc>
          <w:tcPr>
            <w:tcW w:w="755" w:type="pct"/>
            <w:vAlign w:val="center"/>
          </w:tcPr>
          <w:p w14:paraId="587A29FC" w14:textId="77777777" w:rsidR="009E18C3" w:rsidRPr="000A7BB0" w:rsidRDefault="009E18C3" w:rsidP="002553CE">
            <w:pPr>
              <w:pStyle w:val="TableText"/>
              <w:keepNext/>
              <w:keepLines/>
              <w:widowControl/>
              <w:jc w:val="center"/>
            </w:pPr>
            <w:r w:rsidRPr="000A7BB0">
              <w:t>3</w:t>
            </w:r>
          </w:p>
        </w:tc>
        <w:tc>
          <w:tcPr>
            <w:tcW w:w="774" w:type="pct"/>
            <w:vAlign w:val="center"/>
          </w:tcPr>
          <w:p w14:paraId="61A9957E" w14:textId="77777777" w:rsidR="009E18C3" w:rsidRPr="000A7BB0" w:rsidRDefault="009E18C3" w:rsidP="002553CE">
            <w:pPr>
              <w:pStyle w:val="TableText"/>
              <w:keepNext/>
              <w:keepLines/>
              <w:widowControl/>
              <w:jc w:val="center"/>
            </w:pPr>
            <w:r w:rsidRPr="000A7BB0">
              <w:t>4.13</w:t>
            </w:r>
          </w:p>
          <w:p w14:paraId="41D8E0A9" w14:textId="77777777" w:rsidR="009E18C3" w:rsidRPr="000A7BB0" w:rsidRDefault="009E18C3" w:rsidP="002553CE">
            <w:pPr>
              <w:pStyle w:val="TableText"/>
              <w:keepNext/>
              <w:keepLines/>
              <w:widowControl/>
              <w:jc w:val="center"/>
            </w:pPr>
            <w:r w:rsidRPr="000A7BB0">
              <w:t>(0.05, 8.44)</w:t>
            </w:r>
          </w:p>
        </w:tc>
      </w:tr>
      <w:tr w:rsidR="009E18C3" w:rsidRPr="000A7BB0" w14:paraId="6BB8415C" w14:textId="77777777" w:rsidTr="74877A7E">
        <w:tc>
          <w:tcPr>
            <w:tcW w:w="638" w:type="pct"/>
          </w:tcPr>
          <w:p w14:paraId="10F7033E" w14:textId="77777777" w:rsidR="009E18C3" w:rsidRPr="000A7BB0" w:rsidRDefault="009E18C3" w:rsidP="002553CE">
            <w:pPr>
              <w:pStyle w:val="TableText"/>
              <w:keepNext/>
              <w:keepLines/>
              <w:widowControl/>
            </w:pPr>
            <w:r w:rsidRPr="000A7BB0">
              <w:t>Related and leading to interruption</w:t>
            </w:r>
          </w:p>
        </w:tc>
        <w:tc>
          <w:tcPr>
            <w:tcW w:w="635" w:type="pct"/>
            <w:gridSpan w:val="3"/>
            <w:vAlign w:val="center"/>
          </w:tcPr>
          <w:p w14:paraId="6F441D9D" w14:textId="77777777" w:rsidR="009E18C3" w:rsidRPr="000A7BB0" w:rsidRDefault="009E18C3" w:rsidP="002553CE">
            <w:pPr>
              <w:pStyle w:val="TableText"/>
              <w:keepNext/>
              <w:keepLines/>
              <w:widowControl/>
              <w:jc w:val="center"/>
            </w:pPr>
            <w:r w:rsidRPr="000A7BB0">
              <w:t>15 (6.3)</w:t>
            </w:r>
          </w:p>
        </w:tc>
        <w:tc>
          <w:tcPr>
            <w:tcW w:w="708" w:type="pct"/>
            <w:vAlign w:val="center"/>
          </w:tcPr>
          <w:p w14:paraId="233103CD" w14:textId="77777777" w:rsidR="009E18C3" w:rsidRPr="000A7BB0" w:rsidRDefault="009E18C3" w:rsidP="002553CE">
            <w:pPr>
              <w:pStyle w:val="TableText"/>
              <w:keepNext/>
              <w:keepLines/>
              <w:widowControl/>
              <w:jc w:val="center"/>
            </w:pPr>
            <w:r w:rsidRPr="000A7BB0">
              <w:t>4 (1.7)</w:t>
            </w:r>
          </w:p>
        </w:tc>
        <w:tc>
          <w:tcPr>
            <w:tcW w:w="862" w:type="pct"/>
            <w:vAlign w:val="center"/>
          </w:tcPr>
          <w:p w14:paraId="2A6B9B60" w14:textId="77777777" w:rsidR="009E18C3" w:rsidRPr="000A7BB0" w:rsidRDefault="009E18C3" w:rsidP="002553CE">
            <w:pPr>
              <w:pStyle w:val="TableText"/>
              <w:keepNext/>
              <w:keepLines/>
              <w:widowControl/>
              <w:jc w:val="center"/>
            </w:pPr>
            <w:r w:rsidRPr="000A7BB0">
              <w:rPr>
                <w:b/>
                <w:bCs/>
              </w:rPr>
              <w:t xml:space="preserve">3.64 (1.23, 10.80), p=0.02 </w:t>
            </w:r>
          </w:p>
        </w:tc>
        <w:tc>
          <w:tcPr>
            <w:tcW w:w="628" w:type="pct"/>
            <w:vAlign w:val="center"/>
          </w:tcPr>
          <w:p w14:paraId="7D348BC9" w14:textId="77777777" w:rsidR="009E18C3" w:rsidRPr="000A7BB0" w:rsidRDefault="009E18C3" w:rsidP="002553CE">
            <w:pPr>
              <w:pStyle w:val="TableText"/>
              <w:keepNext/>
              <w:keepLines/>
              <w:widowControl/>
              <w:jc w:val="center"/>
            </w:pPr>
            <w:r w:rsidRPr="000A7BB0">
              <w:t>6</w:t>
            </w:r>
          </w:p>
        </w:tc>
        <w:tc>
          <w:tcPr>
            <w:tcW w:w="755" w:type="pct"/>
            <w:vAlign w:val="center"/>
          </w:tcPr>
          <w:p w14:paraId="63E39D05" w14:textId="77777777" w:rsidR="009E18C3" w:rsidRPr="000A7BB0" w:rsidRDefault="009E18C3" w:rsidP="002553CE">
            <w:pPr>
              <w:pStyle w:val="TableText"/>
              <w:keepNext/>
              <w:keepLines/>
              <w:widowControl/>
              <w:jc w:val="center"/>
            </w:pPr>
            <w:r w:rsidRPr="000A7BB0">
              <w:t>2</w:t>
            </w:r>
          </w:p>
        </w:tc>
        <w:tc>
          <w:tcPr>
            <w:tcW w:w="774" w:type="pct"/>
            <w:vAlign w:val="center"/>
          </w:tcPr>
          <w:p w14:paraId="2E0BC486" w14:textId="77777777" w:rsidR="009E18C3" w:rsidRPr="000A7BB0" w:rsidRDefault="009E18C3" w:rsidP="002553CE">
            <w:pPr>
              <w:pStyle w:val="TableText"/>
              <w:keepNext/>
              <w:keepLines/>
              <w:widowControl/>
              <w:jc w:val="center"/>
            </w:pPr>
            <w:r w:rsidRPr="000A7BB0">
              <w:t>4.59</w:t>
            </w:r>
          </w:p>
          <w:p w14:paraId="147F1E40" w14:textId="77777777" w:rsidR="009E18C3" w:rsidRPr="000A7BB0" w:rsidRDefault="009E18C3" w:rsidP="002553CE">
            <w:pPr>
              <w:pStyle w:val="TableText"/>
              <w:keepNext/>
              <w:keepLines/>
              <w:widowControl/>
              <w:jc w:val="center"/>
            </w:pPr>
            <w:r w:rsidRPr="000A7BB0">
              <w:t>(1.00, 8.58)</w:t>
            </w:r>
          </w:p>
        </w:tc>
      </w:tr>
    </w:tbl>
    <w:p w14:paraId="16B04489" w14:textId="77777777" w:rsidR="009E18C3" w:rsidRPr="000A7BB0" w:rsidRDefault="009E18C3" w:rsidP="002553CE">
      <w:pPr>
        <w:pStyle w:val="TableFooter"/>
        <w:widowControl/>
      </w:pPr>
      <w:r w:rsidRPr="000A7BB0">
        <w:t>Source: Table 2.76, 2.78, p215, 218 of the submission, Table 17, p94 and Table 14.3.1.5.1, p2302 of the CSR and Table 1, p9 of EMERALD CSR OS addendum</w:t>
      </w:r>
    </w:p>
    <w:p w14:paraId="0341F4A5" w14:textId="77777777" w:rsidR="009E18C3" w:rsidRPr="000A7BB0" w:rsidRDefault="009E18C3" w:rsidP="002553CE">
      <w:pPr>
        <w:pStyle w:val="TableFooter"/>
        <w:widowControl/>
      </w:pPr>
      <w:r w:rsidRPr="000A7BB0">
        <w:t>CI = confidence interval; HR = hazard ratio; OS = overall survival; PFS = progression free survival; RD = risk difference; RR = risk ratio; SOC = standard of care; TEAE = treatment emergent adverse event.</w:t>
      </w:r>
    </w:p>
    <w:p w14:paraId="14530C40" w14:textId="77777777" w:rsidR="009E18C3" w:rsidRPr="000A7BB0" w:rsidRDefault="009E18C3" w:rsidP="002553CE">
      <w:pPr>
        <w:pStyle w:val="TableFooter"/>
        <w:widowControl/>
      </w:pPr>
      <w:r w:rsidRPr="000A7BB0">
        <w:rPr>
          <w:vertAlign w:val="superscript"/>
        </w:rPr>
        <w:t xml:space="preserve">a </w:t>
      </w:r>
      <w:r w:rsidRPr="000A7BB0">
        <w:t xml:space="preserve">Results reported for </w:t>
      </w:r>
      <w:r w:rsidRPr="000A7BB0">
        <w:rPr>
          <w:i/>
          <w:iCs/>
        </w:rPr>
        <w:t xml:space="preserve">ESR1 </w:t>
      </w:r>
      <w:r w:rsidRPr="000A7BB0">
        <w:t>variant subgroup only from EMERALD trial</w:t>
      </w:r>
    </w:p>
    <w:p w14:paraId="5109B078" w14:textId="77777777" w:rsidR="009E18C3" w:rsidRPr="000A7BB0" w:rsidRDefault="009E18C3" w:rsidP="002553CE">
      <w:pPr>
        <w:pStyle w:val="TableFooter"/>
        <w:widowControl/>
      </w:pPr>
      <w:r w:rsidRPr="000A7BB0">
        <w:rPr>
          <w:vertAlign w:val="superscript"/>
        </w:rPr>
        <w:t>b</w:t>
      </w:r>
      <w:r w:rsidRPr="000A7BB0">
        <w:t xml:space="preserve"> Data from September 2021 data cut off</w:t>
      </w:r>
    </w:p>
    <w:p w14:paraId="7BC3C56E" w14:textId="77777777" w:rsidR="009E18C3" w:rsidRPr="000A7BB0" w:rsidRDefault="009E18C3" w:rsidP="002553CE">
      <w:pPr>
        <w:pStyle w:val="TableFooter"/>
        <w:widowControl/>
      </w:pPr>
      <w:r w:rsidRPr="000A7BB0">
        <w:rPr>
          <w:vertAlign w:val="superscript"/>
        </w:rPr>
        <w:t>c</w:t>
      </w:r>
      <w:r w:rsidRPr="000A7BB0">
        <w:t xml:space="preserve"> All patients in the SOC arm were either censored or had an experience event before 18 months</w:t>
      </w:r>
    </w:p>
    <w:p w14:paraId="207A0500" w14:textId="77777777" w:rsidR="009E18C3" w:rsidRPr="000A7BB0" w:rsidRDefault="009E18C3" w:rsidP="002553CE">
      <w:pPr>
        <w:pStyle w:val="TableFooter"/>
        <w:widowControl/>
      </w:pPr>
      <w:r w:rsidRPr="000A7BB0">
        <w:rPr>
          <w:vertAlign w:val="superscript"/>
        </w:rPr>
        <w:t xml:space="preserve">d </w:t>
      </w:r>
      <w:r w:rsidRPr="000A7BB0">
        <w:t>Data from September 2022 data cut off</w:t>
      </w:r>
    </w:p>
    <w:p w14:paraId="041E842E" w14:textId="77777777" w:rsidR="009E18C3" w:rsidRPr="000A7BB0" w:rsidRDefault="009E18C3" w:rsidP="002553CE">
      <w:pPr>
        <w:pStyle w:val="TableFooter"/>
        <w:widowControl/>
      </w:pPr>
      <w:r w:rsidRPr="000A7BB0">
        <w:rPr>
          <w:vertAlign w:val="superscript"/>
        </w:rPr>
        <w:t xml:space="preserve">e </w:t>
      </w:r>
      <w:r w:rsidRPr="000A7BB0">
        <w:t xml:space="preserve">Deaths only reported for </w:t>
      </w:r>
      <w:r w:rsidRPr="000A7BB0">
        <w:rPr>
          <w:i/>
          <w:iCs/>
        </w:rPr>
        <w:t xml:space="preserve">ESR1 </w:t>
      </w:r>
      <w:r w:rsidRPr="000A7BB0">
        <w:t>variant subgroup from September 2021 data cut off (safety population – 7 patients from SOC excluded as did not receive study drug) – 18 month follow up</w:t>
      </w:r>
    </w:p>
    <w:p w14:paraId="21C18E83" w14:textId="62D7049F" w:rsidR="009E18C3" w:rsidRPr="000A7BB0" w:rsidRDefault="009E18C3" w:rsidP="002553CE">
      <w:pPr>
        <w:pStyle w:val="TableFooter"/>
        <w:widowControl/>
      </w:pPr>
      <w:r w:rsidRPr="000A7BB0">
        <w:rPr>
          <w:vertAlign w:val="superscript"/>
        </w:rPr>
        <w:t xml:space="preserve">f </w:t>
      </w:r>
      <w:r w:rsidRPr="000A7BB0">
        <w:t xml:space="preserve">Results reported from safety population from EMERALD trial (includes </w:t>
      </w:r>
      <w:r w:rsidRPr="000A7BB0">
        <w:rPr>
          <w:i/>
          <w:iCs/>
        </w:rPr>
        <w:t xml:space="preserve">ESR1 </w:t>
      </w:r>
      <w:r w:rsidR="00817145" w:rsidRPr="000A7BB0">
        <w:t>variant</w:t>
      </w:r>
      <w:r w:rsidRPr="000A7BB0">
        <w:t xml:space="preserve"> [positive and negative patients)</w:t>
      </w:r>
    </w:p>
    <w:p w14:paraId="00B8DF70" w14:textId="063A31A3" w:rsidR="00932C59" w:rsidRPr="000A7BB0" w:rsidRDefault="00932C59" w:rsidP="002553CE">
      <w:pPr>
        <w:pStyle w:val="TableFooter"/>
        <w:widowControl/>
        <w:rPr>
          <w:lang w:eastAsia="en-AU"/>
        </w:rPr>
      </w:pPr>
      <w:r w:rsidRPr="000A7BB0">
        <w:rPr>
          <w:vertAlign w:val="superscript"/>
          <w:lang w:eastAsia="en-AU"/>
        </w:rPr>
        <w:t>g</w:t>
      </w:r>
      <w:r w:rsidRPr="000A7BB0">
        <w:rPr>
          <w:lang w:eastAsia="en-AU"/>
        </w:rPr>
        <w:t xml:space="preserve"> SOC in the EMERALD trial comprises of choice of aromatase inhibitor (AI) or fulvestrant monotherapy which may not reflect the true extent of current therapies received by Australian patients.</w:t>
      </w:r>
    </w:p>
    <w:p w14:paraId="1984FB1A" w14:textId="4C965AB1" w:rsidR="009E18C3" w:rsidRPr="000A7BB0" w:rsidRDefault="009E18C3" w:rsidP="002553CE">
      <w:pPr>
        <w:pStyle w:val="TableFigureFooter"/>
      </w:pPr>
      <w:r w:rsidRPr="000A7BB0">
        <w:rPr>
          <w:b/>
        </w:rPr>
        <w:t>Bold</w:t>
      </w:r>
      <w:r w:rsidRPr="000A7BB0">
        <w:t xml:space="preserve"> text indicates a statistically significant p-value</w:t>
      </w:r>
    </w:p>
    <w:p w14:paraId="77E3FF51" w14:textId="4793FE0D" w:rsidR="009E18C3" w:rsidRPr="000A7BB0" w:rsidRDefault="009E18C3" w:rsidP="002553CE">
      <w:pPr>
        <w:numPr>
          <w:ilvl w:val="4"/>
          <w:numId w:val="11"/>
        </w:numPr>
        <w:ind w:left="709" w:hanging="709"/>
        <w:rPr>
          <w:color w:val="000000" w:themeColor="text1"/>
        </w:rPr>
      </w:pPr>
      <w:r w:rsidRPr="000A7BB0">
        <w:rPr>
          <w:color w:val="000000" w:themeColor="text1"/>
        </w:rPr>
        <w:t>On the basis of direct evidence presented by the submission, for every 100 patients treated with elacestrant in comparison with SOC for a median follow up of 15.9</w:t>
      </w:r>
      <w:r w:rsidR="00E80064">
        <w:rPr>
          <w:color w:val="000000" w:themeColor="text1"/>
        </w:rPr>
        <w:t> </w:t>
      </w:r>
      <w:r w:rsidRPr="000A7BB0">
        <w:rPr>
          <w:color w:val="000000" w:themeColor="text1"/>
        </w:rPr>
        <w:t>months:</w:t>
      </w:r>
    </w:p>
    <w:p w14:paraId="00C6CBA7" w14:textId="16E52E1F" w:rsidR="009E18C3" w:rsidRPr="000A7BB0" w:rsidRDefault="009E18C3" w:rsidP="002553CE">
      <w:pPr>
        <w:pStyle w:val="PBACESParagraphBulletPoint"/>
      </w:pPr>
      <w:r w:rsidRPr="000A7BB0">
        <w:lastRenderedPageBreak/>
        <w:t>Approximately 22 additional patients would remain progression free at 6</w:t>
      </w:r>
      <w:r w:rsidR="00E80064">
        <w:t> </w:t>
      </w:r>
      <w:r w:rsidRPr="000A7BB0">
        <w:t>months</w:t>
      </w:r>
      <w:r w:rsidR="00AA4F65" w:rsidRPr="000A7BB0">
        <w:t>.</w:t>
      </w:r>
    </w:p>
    <w:p w14:paraId="1432B204" w14:textId="49BA7340" w:rsidR="009E18C3" w:rsidRPr="000A7BB0" w:rsidRDefault="009E18C3" w:rsidP="002553CE">
      <w:pPr>
        <w:pStyle w:val="PBACESParagraphBulletPoint"/>
      </w:pPr>
      <w:r w:rsidRPr="000A7BB0">
        <w:t xml:space="preserve">Approximately </w:t>
      </w:r>
      <w:r w:rsidR="00A45EF1" w:rsidRPr="000A7BB0">
        <w:t xml:space="preserve">20 </w:t>
      </w:r>
      <w:r w:rsidRPr="000A7BB0">
        <w:t xml:space="preserve">additional patients would have a </w:t>
      </w:r>
      <w:r w:rsidR="00BB5A1F" w:rsidRPr="000A7BB0">
        <w:t>treatment</w:t>
      </w:r>
      <w:r w:rsidR="00CF4682" w:rsidRPr="000A7BB0">
        <w:t>-</w:t>
      </w:r>
      <w:r w:rsidRPr="000A7BB0">
        <w:t>related TEAE</w:t>
      </w:r>
      <w:r w:rsidR="00AA4F65" w:rsidRPr="000A7BB0">
        <w:t>.</w:t>
      </w:r>
    </w:p>
    <w:p w14:paraId="3011747C" w14:textId="7D90EABC" w:rsidR="00BD4378" w:rsidRPr="000A7BB0" w:rsidRDefault="00501349" w:rsidP="002553CE">
      <w:pPr>
        <w:pStyle w:val="PBACESParagraphBulletPoint"/>
      </w:pPr>
      <w:r w:rsidRPr="000A7BB0">
        <w:t>Approximately</w:t>
      </w:r>
      <w:r w:rsidR="00BD4378" w:rsidRPr="000A7BB0">
        <w:t xml:space="preserve"> </w:t>
      </w:r>
      <w:r w:rsidR="0038324E" w:rsidRPr="000A7BB0">
        <w:t>16</w:t>
      </w:r>
      <w:r w:rsidR="00BD4378" w:rsidRPr="000A7BB0">
        <w:t xml:space="preserve"> additional patients would </w:t>
      </w:r>
      <w:r w:rsidRPr="000A7BB0">
        <w:t>have treatment-related nausea</w:t>
      </w:r>
      <w:r w:rsidR="00AA4F65" w:rsidRPr="000A7BB0">
        <w:t>.</w:t>
      </w:r>
    </w:p>
    <w:p w14:paraId="5E21E4B1" w14:textId="5F4FE9E2" w:rsidR="00501349" w:rsidRPr="000A7BB0" w:rsidRDefault="00501349" w:rsidP="002553CE">
      <w:pPr>
        <w:pStyle w:val="PBACESParagraphBulletPoint"/>
      </w:pPr>
      <w:r w:rsidRPr="000A7BB0">
        <w:t xml:space="preserve">Approximately </w:t>
      </w:r>
      <w:r w:rsidR="0038324E" w:rsidRPr="000A7BB0">
        <w:t>10</w:t>
      </w:r>
      <w:r w:rsidRPr="000A7BB0">
        <w:t xml:space="preserve"> additional patients would have treatment-related </w:t>
      </w:r>
      <w:r w:rsidR="008F2F57" w:rsidRPr="000A7BB0">
        <w:t>vomiting</w:t>
      </w:r>
      <w:r w:rsidR="00AA4F65" w:rsidRPr="000A7BB0">
        <w:t>.</w:t>
      </w:r>
    </w:p>
    <w:p w14:paraId="62EFED6C" w14:textId="77777777" w:rsidR="008C3D0F" w:rsidRPr="000A7BB0" w:rsidRDefault="005C4817" w:rsidP="002553CE">
      <w:pPr>
        <w:pStyle w:val="OutlineHeading2"/>
        <w:rPr>
          <w:rFonts w:ascii="Calibri" w:hAnsi="Calibri" w:cs="Calibri"/>
        </w:rPr>
      </w:pPr>
      <w:bookmarkStart w:id="32" w:name="_Toc413139282"/>
      <w:bookmarkEnd w:id="30"/>
      <w:r w:rsidRPr="000A7BB0">
        <w:rPr>
          <w:rFonts w:ascii="Calibri" w:hAnsi="Calibri" w:cs="Calibri"/>
        </w:rPr>
        <w:t>Clinical claim</w:t>
      </w:r>
    </w:p>
    <w:p w14:paraId="51ED795C" w14:textId="0492B424" w:rsidR="009E18C3" w:rsidRPr="000A7BB0" w:rsidRDefault="009E18C3" w:rsidP="002553CE">
      <w:pPr>
        <w:numPr>
          <w:ilvl w:val="4"/>
          <w:numId w:val="11"/>
        </w:numPr>
        <w:ind w:left="709" w:hanging="709"/>
        <w:rPr>
          <w:color w:val="000000" w:themeColor="text1"/>
        </w:rPr>
      </w:pPr>
      <w:r w:rsidRPr="000A7BB0">
        <w:rPr>
          <w:color w:val="000000" w:themeColor="text1"/>
        </w:rPr>
        <w:t xml:space="preserve">The submission described NGS testing for </w:t>
      </w:r>
      <w:r w:rsidRPr="000A7BB0">
        <w:rPr>
          <w:i/>
          <w:color w:val="000000" w:themeColor="text1"/>
        </w:rPr>
        <w:t>ESR1</w:t>
      </w:r>
      <w:r w:rsidRPr="000A7BB0">
        <w:rPr>
          <w:color w:val="000000" w:themeColor="text1"/>
        </w:rPr>
        <w:t xml:space="preserve"> variants in ctDNA from liquid biopsy and treatment with elacestrant as superior in terms of effectiveness having a different and manageable safety profile compared to no testing and SOC (fulvestrant or AI monotherapy). </w:t>
      </w:r>
    </w:p>
    <w:p w14:paraId="1E558DB3" w14:textId="77BD8E16" w:rsidR="009E18C3" w:rsidRPr="000A7BB0" w:rsidRDefault="009E18C3" w:rsidP="002553CE">
      <w:pPr>
        <w:numPr>
          <w:ilvl w:val="4"/>
          <w:numId w:val="11"/>
        </w:numPr>
        <w:ind w:left="709" w:hanging="709"/>
        <w:rPr>
          <w:color w:val="000000" w:themeColor="text1"/>
        </w:rPr>
      </w:pPr>
      <w:r w:rsidRPr="000A7BB0">
        <w:rPr>
          <w:color w:val="000000" w:themeColor="text1"/>
        </w:rPr>
        <w:t xml:space="preserve">The claim for superior effectiveness </w:t>
      </w:r>
      <w:r w:rsidR="009538F5">
        <w:rPr>
          <w:color w:val="000000" w:themeColor="text1"/>
        </w:rPr>
        <w:t>of elacestrant over</w:t>
      </w:r>
      <w:r w:rsidR="00B06ED3">
        <w:rPr>
          <w:color w:val="000000" w:themeColor="text1"/>
        </w:rPr>
        <w:t xml:space="preserve"> fulvestrant or AI monotherapy </w:t>
      </w:r>
      <w:r w:rsidRPr="000A7BB0">
        <w:rPr>
          <w:color w:val="000000" w:themeColor="text1"/>
        </w:rPr>
        <w:t xml:space="preserve">is supported based on PFS and CBR results reported from the EMERALD trial. </w:t>
      </w:r>
      <w:r w:rsidR="004612E5" w:rsidRPr="000A7BB0">
        <w:rPr>
          <w:color w:val="000000" w:themeColor="text1"/>
        </w:rPr>
        <w:t>However,</w:t>
      </w:r>
      <w:r w:rsidR="004612E5" w:rsidRPr="000A7BB0" w:rsidDel="005B765B">
        <w:rPr>
          <w:color w:val="000000" w:themeColor="text1"/>
        </w:rPr>
        <w:t xml:space="preserve"> </w:t>
      </w:r>
      <w:r w:rsidR="004612E5" w:rsidRPr="000A7BB0">
        <w:rPr>
          <w:color w:val="000000" w:themeColor="text1"/>
        </w:rPr>
        <w:t xml:space="preserve">fulvestrant and AI </w:t>
      </w:r>
      <w:r w:rsidR="005B765B" w:rsidRPr="0050512F">
        <w:rPr>
          <w:iCs/>
          <w:color w:val="000000" w:themeColor="text1"/>
        </w:rPr>
        <w:t>are</w:t>
      </w:r>
      <w:r w:rsidR="004612E5" w:rsidRPr="0050512F">
        <w:rPr>
          <w:iCs/>
          <w:color w:val="000000" w:themeColor="text1"/>
        </w:rPr>
        <w:t xml:space="preserve"> not</w:t>
      </w:r>
      <w:r w:rsidR="004612E5" w:rsidRPr="000A7BB0">
        <w:rPr>
          <w:color w:val="000000" w:themeColor="text1"/>
        </w:rPr>
        <w:t xml:space="preserve"> fully representative of </w:t>
      </w:r>
      <w:r w:rsidR="005B765B" w:rsidRPr="000A7BB0">
        <w:rPr>
          <w:color w:val="000000" w:themeColor="text1"/>
        </w:rPr>
        <w:t>SOC</w:t>
      </w:r>
      <w:r w:rsidR="004612E5" w:rsidRPr="000A7BB0">
        <w:rPr>
          <w:color w:val="000000" w:themeColor="text1"/>
        </w:rPr>
        <w:t xml:space="preserve"> therapies received by Australian patients, thus </w:t>
      </w:r>
      <w:r w:rsidR="006D4F3C" w:rsidRPr="000A7BB0">
        <w:rPr>
          <w:color w:val="000000" w:themeColor="text1"/>
        </w:rPr>
        <w:t xml:space="preserve">the applicability of the treatment effect observed in the EMERALD trial </w:t>
      </w:r>
      <w:r w:rsidR="004612E5" w:rsidRPr="000A7BB0">
        <w:rPr>
          <w:color w:val="000000" w:themeColor="text1"/>
        </w:rPr>
        <w:t>in Australian clinical practice</w:t>
      </w:r>
      <w:r w:rsidR="006D4F3C" w:rsidRPr="000A7BB0">
        <w:rPr>
          <w:color w:val="000000" w:themeColor="text1"/>
        </w:rPr>
        <w:t xml:space="preserve"> is uncertain and </w:t>
      </w:r>
      <w:r w:rsidR="009D7F6D" w:rsidRPr="000A7BB0">
        <w:rPr>
          <w:color w:val="000000" w:themeColor="text1"/>
        </w:rPr>
        <w:t xml:space="preserve">the level of </w:t>
      </w:r>
      <w:r w:rsidR="00CA475A" w:rsidRPr="000A7BB0">
        <w:rPr>
          <w:color w:val="000000" w:themeColor="text1"/>
        </w:rPr>
        <w:t>benefit may be overestimated</w:t>
      </w:r>
      <w:r w:rsidR="00E408BC" w:rsidRPr="000A7BB0">
        <w:rPr>
          <w:color w:val="000000" w:themeColor="text1"/>
        </w:rPr>
        <w:t xml:space="preserve"> due to </w:t>
      </w:r>
      <w:r w:rsidR="00DB38B2" w:rsidRPr="0050512F">
        <w:rPr>
          <w:iCs/>
          <w:color w:val="000000" w:themeColor="text1"/>
        </w:rPr>
        <w:t>likely</w:t>
      </w:r>
      <w:r w:rsidR="00DB38B2" w:rsidRPr="000A7BB0">
        <w:rPr>
          <w:color w:val="000000" w:themeColor="text1"/>
        </w:rPr>
        <w:t xml:space="preserve"> </w:t>
      </w:r>
      <w:r w:rsidR="00E408BC" w:rsidRPr="000A7BB0">
        <w:rPr>
          <w:color w:val="000000" w:themeColor="text1"/>
        </w:rPr>
        <w:t>improved SOC 2L+ treatment outcomes in Australian practice compared to the EMERALD trial</w:t>
      </w:r>
      <w:r w:rsidR="00CA475A" w:rsidRPr="000A7BB0">
        <w:rPr>
          <w:color w:val="000000" w:themeColor="text1"/>
        </w:rPr>
        <w:t>.</w:t>
      </w:r>
      <w:r w:rsidR="004612E5" w:rsidRPr="000A7BB0">
        <w:rPr>
          <w:color w:val="000000" w:themeColor="text1"/>
        </w:rPr>
        <w:t xml:space="preserve"> </w:t>
      </w:r>
      <w:r w:rsidR="006D4F3C" w:rsidRPr="000A7BB0">
        <w:rPr>
          <w:color w:val="000000" w:themeColor="text1"/>
        </w:rPr>
        <w:t>Additionally</w:t>
      </w:r>
      <w:r w:rsidRPr="000A7BB0">
        <w:rPr>
          <w:color w:val="000000" w:themeColor="text1"/>
        </w:rPr>
        <w:t>, there were no statistically significant differences between treatment arms for other secondary outcomes, including OS, ORR, DoR or HRQoL.</w:t>
      </w:r>
      <w:r w:rsidR="00FF7177" w:rsidRPr="000A7BB0">
        <w:rPr>
          <w:color w:val="000000" w:themeColor="text1"/>
        </w:rPr>
        <w:t xml:space="preserve"> </w:t>
      </w:r>
    </w:p>
    <w:p w14:paraId="2AEE6F81" w14:textId="3A6927CE" w:rsidR="008C3D0F" w:rsidRPr="00707279" w:rsidRDefault="009E18C3" w:rsidP="002553CE">
      <w:pPr>
        <w:numPr>
          <w:ilvl w:val="4"/>
          <w:numId w:val="11"/>
        </w:numPr>
        <w:ind w:left="709" w:hanging="709"/>
        <w:rPr>
          <w:color w:val="000000" w:themeColor="text1"/>
        </w:rPr>
      </w:pPr>
      <w:r w:rsidRPr="000A7BB0">
        <w:rPr>
          <w:color w:val="000000" w:themeColor="text1"/>
        </w:rPr>
        <w:t xml:space="preserve">In the EMERALD trial, patients in the elacestrant arm had a greater risk of experiencing TEAEs (63.3% vs 43.5%), Grade ≥3 events (27.0% vs 20.9%) and those leading to </w:t>
      </w:r>
      <w:r w:rsidR="007A418D" w:rsidRPr="000A7BB0">
        <w:rPr>
          <w:color w:val="000000" w:themeColor="text1"/>
        </w:rPr>
        <w:t xml:space="preserve">treatment </w:t>
      </w:r>
      <w:r w:rsidRPr="000A7BB0">
        <w:rPr>
          <w:color w:val="000000" w:themeColor="text1"/>
        </w:rPr>
        <w:t xml:space="preserve">interruption (15.2% vs 5.2%). </w:t>
      </w:r>
      <w:r w:rsidR="003D7090" w:rsidRPr="00F8436C">
        <w:rPr>
          <w:iCs/>
          <w:color w:val="000000" w:themeColor="text1"/>
        </w:rPr>
        <w:t>The evaluation considered</w:t>
      </w:r>
      <w:r w:rsidR="003D7090" w:rsidRPr="000A7BB0">
        <w:rPr>
          <w:color w:val="000000" w:themeColor="text1"/>
        </w:rPr>
        <w:t xml:space="preserve"> a</w:t>
      </w:r>
      <w:r w:rsidRPr="000A7BB0">
        <w:rPr>
          <w:color w:val="000000" w:themeColor="text1"/>
        </w:rPr>
        <w:t xml:space="preserve">n inferior safety claim would be more appropriate, although noting that the adverse events are likely manageable (the most common Grade ≥3 TEAEs observed in the elacestrant arm were gastrointestinal (nausea) and musculoskeletal and connective tissue (back and bone pain) disorders). </w:t>
      </w:r>
      <w:r w:rsidR="00712FD2" w:rsidRPr="004A232C">
        <w:rPr>
          <w:iCs/>
          <w:color w:val="000000" w:themeColor="text1"/>
        </w:rPr>
        <w:t xml:space="preserve">The PSCR </w:t>
      </w:r>
      <w:r w:rsidR="00922AD8" w:rsidRPr="004A232C">
        <w:rPr>
          <w:iCs/>
          <w:color w:val="000000" w:themeColor="text1"/>
        </w:rPr>
        <w:t>maintained</w:t>
      </w:r>
      <w:r w:rsidR="00712FD2" w:rsidRPr="004A232C">
        <w:rPr>
          <w:iCs/>
          <w:color w:val="000000" w:themeColor="text1"/>
        </w:rPr>
        <w:t xml:space="preserve"> that </w:t>
      </w:r>
      <w:r w:rsidR="00856261" w:rsidRPr="004A232C">
        <w:rPr>
          <w:iCs/>
          <w:color w:val="000000" w:themeColor="text1"/>
        </w:rPr>
        <w:t>elacestrant</w:t>
      </w:r>
      <w:r w:rsidR="00922AD8" w:rsidRPr="004A232C">
        <w:rPr>
          <w:iCs/>
          <w:color w:val="000000" w:themeColor="text1"/>
        </w:rPr>
        <w:t xml:space="preserve"> is best described as having similar safety to SOC</w:t>
      </w:r>
      <w:r w:rsidR="008132C4" w:rsidRPr="004A232C">
        <w:rPr>
          <w:iCs/>
          <w:color w:val="000000" w:themeColor="text1"/>
        </w:rPr>
        <w:t>, arg</w:t>
      </w:r>
      <w:r w:rsidR="004C5705" w:rsidRPr="004A232C">
        <w:rPr>
          <w:iCs/>
          <w:color w:val="000000" w:themeColor="text1"/>
        </w:rPr>
        <w:t>u</w:t>
      </w:r>
      <w:r w:rsidR="008132C4" w:rsidRPr="004A232C">
        <w:rPr>
          <w:iCs/>
          <w:color w:val="000000" w:themeColor="text1"/>
        </w:rPr>
        <w:t xml:space="preserve">ing that </w:t>
      </w:r>
      <w:r w:rsidR="00140FB0" w:rsidRPr="004A232C">
        <w:rPr>
          <w:iCs/>
          <w:color w:val="000000" w:themeColor="text1"/>
        </w:rPr>
        <w:t>the duration of treatment was longer in the elacestrant arm</w:t>
      </w:r>
      <w:r w:rsidR="00BD7F76" w:rsidRPr="004A232C">
        <w:rPr>
          <w:iCs/>
          <w:color w:val="000000" w:themeColor="text1"/>
        </w:rPr>
        <w:t xml:space="preserve"> and there was a low incidence of grade </w:t>
      </w:r>
      <w:r w:rsidR="000E05E7" w:rsidRPr="004A232C">
        <w:rPr>
          <w:iCs/>
          <w:color w:val="000000" w:themeColor="text1"/>
        </w:rPr>
        <w:t xml:space="preserve">≥3 AEs considered </w:t>
      </w:r>
      <w:r w:rsidR="00177429" w:rsidRPr="004A232C">
        <w:rPr>
          <w:iCs/>
          <w:color w:val="000000" w:themeColor="text1"/>
        </w:rPr>
        <w:t xml:space="preserve">related to trial therapy. </w:t>
      </w:r>
      <w:r w:rsidR="003D7090" w:rsidRPr="004A232C">
        <w:rPr>
          <w:iCs/>
          <w:color w:val="000000" w:themeColor="text1"/>
        </w:rPr>
        <w:t>The ESC</w:t>
      </w:r>
      <w:r w:rsidR="007166BD" w:rsidRPr="004A232C">
        <w:rPr>
          <w:iCs/>
          <w:color w:val="000000" w:themeColor="text1"/>
        </w:rPr>
        <w:t>s</w:t>
      </w:r>
      <w:r w:rsidR="003D7090" w:rsidRPr="004A232C">
        <w:rPr>
          <w:iCs/>
          <w:color w:val="000000" w:themeColor="text1"/>
        </w:rPr>
        <w:t xml:space="preserve"> </w:t>
      </w:r>
      <w:r w:rsidR="00C359CC" w:rsidRPr="004A232C">
        <w:rPr>
          <w:iCs/>
          <w:color w:val="000000" w:themeColor="text1"/>
        </w:rPr>
        <w:t xml:space="preserve">agreed with the evaluation that an inferior safety claim would be </w:t>
      </w:r>
      <w:r w:rsidR="00047666" w:rsidRPr="004A232C">
        <w:rPr>
          <w:iCs/>
          <w:color w:val="000000" w:themeColor="text1"/>
        </w:rPr>
        <w:t>appropriate and</w:t>
      </w:r>
      <w:r w:rsidR="00494DF1" w:rsidRPr="004A232C">
        <w:rPr>
          <w:iCs/>
          <w:color w:val="000000" w:themeColor="text1"/>
        </w:rPr>
        <w:t xml:space="preserve"> </w:t>
      </w:r>
      <w:r w:rsidR="003D7090" w:rsidRPr="004A232C">
        <w:rPr>
          <w:iCs/>
          <w:color w:val="000000" w:themeColor="text1"/>
        </w:rPr>
        <w:t>noted that Grade ≥3 AEs such as nausea and musculoskeletal disorders require hospitalisation</w:t>
      </w:r>
      <w:r w:rsidR="007166BD" w:rsidRPr="004A232C">
        <w:rPr>
          <w:iCs/>
          <w:color w:val="000000" w:themeColor="text1"/>
        </w:rPr>
        <w:t>,</w:t>
      </w:r>
      <w:r w:rsidR="003D7090" w:rsidRPr="004A232C">
        <w:rPr>
          <w:iCs/>
          <w:color w:val="000000" w:themeColor="text1"/>
        </w:rPr>
        <w:t xml:space="preserve"> and considered it was not appropriate to describe these events as manageable.</w:t>
      </w:r>
      <w:r w:rsidR="00BB3E50" w:rsidRPr="000A7BB0">
        <w:rPr>
          <w:i/>
          <w:color w:val="000000" w:themeColor="text1"/>
        </w:rPr>
        <w:t xml:space="preserve"> </w:t>
      </w:r>
      <w:r w:rsidR="0011311B">
        <w:rPr>
          <w:iCs/>
          <w:color w:val="000000" w:themeColor="text1"/>
        </w:rPr>
        <w:t>The pre-PBAC response maintained that the claim of non-inferior safety was appropriate</w:t>
      </w:r>
      <w:r w:rsidR="005E0E1E">
        <w:rPr>
          <w:iCs/>
          <w:color w:val="000000" w:themeColor="text1"/>
        </w:rPr>
        <w:t>, arguing that</w:t>
      </w:r>
      <w:r w:rsidR="0011311B">
        <w:rPr>
          <w:iCs/>
          <w:color w:val="000000" w:themeColor="text1"/>
        </w:rPr>
        <w:t xml:space="preserve"> </w:t>
      </w:r>
      <w:r w:rsidR="008629AF">
        <w:rPr>
          <w:iCs/>
          <w:color w:val="000000" w:themeColor="text1"/>
        </w:rPr>
        <w:t xml:space="preserve">patients were </w:t>
      </w:r>
      <w:r w:rsidR="0011311B">
        <w:rPr>
          <w:iCs/>
          <w:color w:val="000000" w:themeColor="text1"/>
        </w:rPr>
        <w:t>treat</w:t>
      </w:r>
      <w:r w:rsidR="008629AF">
        <w:rPr>
          <w:iCs/>
          <w:color w:val="000000" w:themeColor="text1"/>
        </w:rPr>
        <w:t>ed</w:t>
      </w:r>
      <w:r w:rsidR="0011311B">
        <w:rPr>
          <w:iCs/>
          <w:color w:val="000000" w:themeColor="text1"/>
        </w:rPr>
        <w:t xml:space="preserve"> with elacestrant</w:t>
      </w:r>
      <w:r w:rsidR="008629AF">
        <w:rPr>
          <w:iCs/>
          <w:color w:val="000000" w:themeColor="text1"/>
        </w:rPr>
        <w:t xml:space="preserve"> for roughly twice as long as SOC</w:t>
      </w:r>
      <w:r w:rsidR="003C1CEB">
        <w:rPr>
          <w:iCs/>
          <w:color w:val="000000" w:themeColor="text1"/>
        </w:rPr>
        <w:t xml:space="preserve"> so where AE rates are comparable between the treatment arms in EMERALD</w:t>
      </w:r>
      <w:r w:rsidR="003C1CEB" w:rsidRPr="003C1CEB">
        <w:rPr>
          <w:iCs/>
          <w:color w:val="000000" w:themeColor="text1"/>
        </w:rPr>
        <w:t xml:space="preserve"> </w:t>
      </w:r>
      <w:r w:rsidR="003C1CEB">
        <w:rPr>
          <w:iCs/>
          <w:color w:val="000000" w:themeColor="text1"/>
        </w:rPr>
        <w:t>AE incidence is actually lower for elacestrant.</w:t>
      </w:r>
      <w:r w:rsidR="0011311B">
        <w:rPr>
          <w:iCs/>
          <w:color w:val="000000" w:themeColor="text1"/>
        </w:rPr>
        <w:t xml:space="preserve"> </w:t>
      </w:r>
      <w:r w:rsidR="00327A17">
        <w:rPr>
          <w:iCs/>
          <w:color w:val="000000" w:themeColor="text1"/>
        </w:rPr>
        <w:t xml:space="preserve">The PBAC noted that </w:t>
      </w:r>
      <w:r w:rsidR="004869E7">
        <w:rPr>
          <w:iCs/>
          <w:color w:val="000000" w:themeColor="text1"/>
        </w:rPr>
        <w:t xml:space="preserve">the longer duration of treatment with elacestrant was </w:t>
      </w:r>
      <w:r w:rsidR="008E0CB3">
        <w:rPr>
          <w:iCs/>
          <w:color w:val="000000" w:themeColor="text1"/>
        </w:rPr>
        <w:t xml:space="preserve">needed for patients to </w:t>
      </w:r>
      <w:r w:rsidR="002B3DE7">
        <w:rPr>
          <w:iCs/>
          <w:color w:val="000000" w:themeColor="text1"/>
        </w:rPr>
        <w:t xml:space="preserve">receive the benefit </w:t>
      </w:r>
      <w:r w:rsidR="00602C90">
        <w:rPr>
          <w:iCs/>
          <w:color w:val="000000" w:themeColor="text1"/>
        </w:rPr>
        <w:t xml:space="preserve">from treatment </w:t>
      </w:r>
      <w:r w:rsidR="002B3DE7">
        <w:rPr>
          <w:iCs/>
          <w:color w:val="000000" w:themeColor="text1"/>
        </w:rPr>
        <w:t>an</w:t>
      </w:r>
      <w:r w:rsidR="00F07390">
        <w:rPr>
          <w:iCs/>
          <w:color w:val="000000" w:themeColor="text1"/>
        </w:rPr>
        <w:t xml:space="preserve">d therefore the </w:t>
      </w:r>
      <w:r w:rsidR="00602C90">
        <w:rPr>
          <w:iCs/>
          <w:color w:val="000000" w:themeColor="text1"/>
        </w:rPr>
        <w:t>relevant</w:t>
      </w:r>
      <w:r w:rsidR="00F07390">
        <w:rPr>
          <w:iCs/>
          <w:color w:val="000000" w:themeColor="text1"/>
        </w:rPr>
        <w:t xml:space="preserve"> comparison includes the </w:t>
      </w:r>
      <w:r w:rsidR="00602C90">
        <w:rPr>
          <w:iCs/>
          <w:color w:val="000000" w:themeColor="text1"/>
        </w:rPr>
        <w:t>difference in treatment duration.</w:t>
      </w:r>
      <w:r w:rsidR="004869E7">
        <w:rPr>
          <w:iCs/>
          <w:color w:val="000000" w:themeColor="text1"/>
        </w:rPr>
        <w:t xml:space="preserve"> </w:t>
      </w:r>
    </w:p>
    <w:p w14:paraId="09973580" w14:textId="74D6E923" w:rsidR="00707279" w:rsidRPr="00D74CC7" w:rsidRDefault="00707279" w:rsidP="002553CE">
      <w:pPr>
        <w:numPr>
          <w:ilvl w:val="4"/>
          <w:numId w:val="11"/>
        </w:numPr>
        <w:ind w:left="709" w:hanging="709"/>
        <w:rPr>
          <w:color w:val="000000" w:themeColor="text1"/>
        </w:rPr>
      </w:pPr>
      <w:bookmarkStart w:id="33" w:name="_Hlk76376200"/>
      <w:r w:rsidRPr="0082120D">
        <w:rPr>
          <w:color w:val="000000" w:themeColor="text1"/>
        </w:rPr>
        <w:t>The PBAC considered that the claim of superior comparative effectiveness</w:t>
      </w:r>
      <w:r w:rsidR="00B51309">
        <w:rPr>
          <w:color w:val="000000" w:themeColor="text1"/>
        </w:rPr>
        <w:t xml:space="preserve"> </w:t>
      </w:r>
      <w:r w:rsidRPr="0082120D">
        <w:rPr>
          <w:color w:val="000000" w:themeColor="text1"/>
        </w:rPr>
        <w:t>was reasonable</w:t>
      </w:r>
      <w:r w:rsidR="0050512F" w:rsidRPr="0082120D">
        <w:rPr>
          <w:color w:val="000000" w:themeColor="text1"/>
        </w:rPr>
        <w:t xml:space="preserve"> based on a modest </w:t>
      </w:r>
      <w:r w:rsidR="00DF05E1" w:rsidRPr="0082120D">
        <w:rPr>
          <w:color w:val="000000" w:themeColor="text1"/>
        </w:rPr>
        <w:t xml:space="preserve">improvement in PFS compared with endocrine </w:t>
      </w:r>
      <w:r w:rsidR="00DF05E1" w:rsidRPr="0082120D">
        <w:rPr>
          <w:color w:val="000000" w:themeColor="text1"/>
        </w:rPr>
        <w:lastRenderedPageBreak/>
        <w:t>monotherapy</w:t>
      </w:r>
      <w:r w:rsidRPr="0082120D">
        <w:rPr>
          <w:color w:val="000000" w:themeColor="text1"/>
        </w:rPr>
        <w:t>.</w:t>
      </w:r>
      <w:r w:rsidR="00DF05E1" w:rsidRPr="0082120D">
        <w:rPr>
          <w:color w:val="000000" w:themeColor="text1"/>
        </w:rPr>
        <w:t xml:space="preserve"> However, the PBAC considered the benefit for </w:t>
      </w:r>
      <w:r w:rsidR="00846A2B" w:rsidRPr="0082120D">
        <w:rPr>
          <w:color w:val="000000" w:themeColor="text1"/>
        </w:rPr>
        <w:t xml:space="preserve">elacestrant compared with SOC </w:t>
      </w:r>
      <w:r w:rsidR="00DF05E1" w:rsidRPr="0082120D">
        <w:rPr>
          <w:color w:val="000000" w:themeColor="text1"/>
        </w:rPr>
        <w:t xml:space="preserve">was likely to be </w:t>
      </w:r>
      <w:r w:rsidR="00846A2B" w:rsidRPr="0082120D">
        <w:rPr>
          <w:color w:val="000000" w:themeColor="text1"/>
        </w:rPr>
        <w:t xml:space="preserve">overestimated due to the </w:t>
      </w:r>
      <w:r w:rsidR="0082120D">
        <w:rPr>
          <w:color w:val="000000" w:themeColor="text1"/>
        </w:rPr>
        <w:t xml:space="preserve">inappropriate and </w:t>
      </w:r>
      <w:r w:rsidR="00846A2B" w:rsidRPr="0082120D">
        <w:rPr>
          <w:color w:val="000000" w:themeColor="text1"/>
        </w:rPr>
        <w:t xml:space="preserve">suboptimal </w:t>
      </w:r>
      <w:r w:rsidR="0082120D" w:rsidRPr="00D74CC7">
        <w:rPr>
          <w:color w:val="000000" w:themeColor="text1"/>
        </w:rPr>
        <w:t>comparator in the EMERALD trial.</w:t>
      </w:r>
    </w:p>
    <w:p w14:paraId="448D63B0" w14:textId="1CC9D35F" w:rsidR="00707279" w:rsidRPr="00D74CC7" w:rsidRDefault="00707279" w:rsidP="002553CE">
      <w:pPr>
        <w:numPr>
          <w:ilvl w:val="4"/>
          <w:numId w:val="11"/>
        </w:numPr>
        <w:ind w:left="709" w:hanging="709"/>
        <w:rPr>
          <w:color w:val="000000" w:themeColor="text1"/>
        </w:rPr>
      </w:pPr>
      <w:r w:rsidRPr="00D74CC7">
        <w:rPr>
          <w:color w:val="000000" w:themeColor="text1"/>
        </w:rPr>
        <w:t xml:space="preserve">The PBAC considered that </w:t>
      </w:r>
      <w:r w:rsidR="0039713D" w:rsidRPr="00D74CC7">
        <w:rPr>
          <w:color w:val="000000" w:themeColor="text1"/>
        </w:rPr>
        <w:t xml:space="preserve">a </w:t>
      </w:r>
      <w:r w:rsidRPr="00D74CC7">
        <w:rPr>
          <w:color w:val="000000" w:themeColor="text1"/>
        </w:rPr>
        <w:t xml:space="preserve">claim of inferior comparative safety </w:t>
      </w:r>
      <w:r w:rsidR="0039713D" w:rsidRPr="00D74CC7">
        <w:rPr>
          <w:color w:val="000000" w:themeColor="text1"/>
        </w:rPr>
        <w:t>would be appropriate</w:t>
      </w:r>
      <w:r w:rsidR="00D74CC7" w:rsidRPr="00D74CC7">
        <w:rPr>
          <w:color w:val="000000" w:themeColor="text1"/>
        </w:rPr>
        <w:t xml:space="preserve"> based on the evidence provided</w:t>
      </w:r>
      <w:r w:rsidRPr="00D74CC7">
        <w:rPr>
          <w:color w:val="000000" w:themeColor="text1"/>
        </w:rPr>
        <w:t>.</w:t>
      </w:r>
      <w:bookmarkEnd w:id="33"/>
    </w:p>
    <w:p w14:paraId="1838792A" w14:textId="0E5D20D4" w:rsidR="00551DCF" w:rsidRPr="000A7BB0" w:rsidRDefault="00551DCF" w:rsidP="002553CE">
      <w:pPr>
        <w:pStyle w:val="OutlineHeading2"/>
        <w:rPr>
          <w:rFonts w:ascii="Calibri" w:hAnsi="Calibri" w:cs="Calibri"/>
        </w:rPr>
      </w:pPr>
      <w:r w:rsidRPr="000A7BB0">
        <w:rPr>
          <w:rFonts w:ascii="Calibri" w:hAnsi="Calibri" w:cs="Calibri"/>
        </w:rPr>
        <w:t>Claim of codependence</w:t>
      </w:r>
    </w:p>
    <w:p w14:paraId="7502AC85" w14:textId="77777777" w:rsidR="00FE0E29" w:rsidRPr="000A7BB0" w:rsidRDefault="00FE0E29" w:rsidP="002553CE">
      <w:pPr>
        <w:numPr>
          <w:ilvl w:val="4"/>
          <w:numId w:val="11"/>
        </w:numPr>
        <w:ind w:left="709" w:hanging="709"/>
      </w:pPr>
      <w:r w:rsidRPr="000A7BB0">
        <w:tab/>
        <w:t xml:space="preserve">The </w:t>
      </w:r>
      <w:r w:rsidRPr="005E5B26">
        <w:rPr>
          <w:color w:val="000000" w:themeColor="text1"/>
        </w:rPr>
        <w:t>submission</w:t>
      </w:r>
      <w:r w:rsidRPr="000A7BB0">
        <w:t xml:space="preserve"> claimed that, based on results from the EMERALD trial, using </w:t>
      </w:r>
      <w:r w:rsidRPr="000A7BB0">
        <w:rPr>
          <w:i/>
          <w:iCs/>
        </w:rPr>
        <w:t>ESR1</w:t>
      </w:r>
      <w:r w:rsidRPr="000A7BB0">
        <w:t xml:space="preserve"> variant status as a predictive biomarker for treatment with elacestrant optimises treatment outcomes and informs physicians about the likelihood of clinical benefit in patients with ER+/HER2- mBC who have disease progression following at least one line of ET, including a CDK4/6 inhibitor. </w:t>
      </w:r>
    </w:p>
    <w:p w14:paraId="017570A0" w14:textId="4B6BBFBF" w:rsidR="00FE0E29" w:rsidRPr="005E5B26" w:rsidRDefault="00FE0E29" w:rsidP="002553CE">
      <w:pPr>
        <w:numPr>
          <w:ilvl w:val="4"/>
          <w:numId w:val="11"/>
        </w:numPr>
        <w:ind w:left="709" w:hanging="709"/>
      </w:pPr>
      <w:r w:rsidRPr="000A7BB0">
        <w:t>In the analysis of non-</w:t>
      </w:r>
      <w:r w:rsidRPr="001B6E2A">
        <w:rPr>
          <w:i/>
          <w:iCs/>
        </w:rPr>
        <w:t>ESR1</w:t>
      </w:r>
      <w:r w:rsidRPr="000A7BB0">
        <w:t xml:space="preserve"> variant patients in EMERALD, there was no statistically significant difference in PFS between elacestrant and SOC (HR 0.863 [95% CI: 0.628 – 1.186)], p-value = 0.3082), thus suggesting that ER+/HER2- mBC patients without </w:t>
      </w:r>
      <w:r w:rsidRPr="001B6E2A">
        <w:rPr>
          <w:i/>
          <w:iCs/>
        </w:rPr>
        <w:t>ESR1</w:t>
      </w:r>
      <w:r w:rsidRPr="000A7BB0">
        <w:t xml:space="preserve"> variants may be unlikely to achieve additional benefits from treatment with elacestrant compared to current SOC 2L+ therapies. However, the test for interaction for the PFS </w:t>
      </w:r>
      <w:r w:rsidRPr="005E5B26">
        <w:t xml:space="preserve">from Bidard 2022, which utilised patient level data, gave a p-value for interaction of 0.053. The PSCR argued that the EMERALD trial results clearly demonstrate a difference in PFS response between the </w:t>
      </w:r>
      <w:r w:rsidRPr="001B6E2A">
        <w:rPr>
          <w:i/>
          <w:iCs/>
        </w:rPr>
        <w:t>ESR1</w:t>
      </w:r>
      <w:r w:rsidRPr="005E5B26">
        <w:t xml:space="preserve"> variant and non-variant subgroups and noted that the primary endpoint of PFS was statistically significant for both the ITT and </w:t>
      </w:r>
      <w:r w:rsidRPr="001B6E2A">
        <w:rPr>
          <w:i/>
          <w:iCs/>
        </w:rPr>
        <w:t>ESR1</w:t>
      </w:r>
      <w:r w:rsidRPr="005E5B26">
        <w:t xml:space="preserve"> variant populations. </w:t>
      </w:r>
    </w:p>
    <w:p w14:paraId="116E5789" w14:textId="03FD9E0B" w:rsidR="00FE0E29" w:rsidRPr="000A7BB0" w:rsidRDefault="00FE0E29" w:rsidP="002553CE">
      <w:pPr>
        <w:numPr>
          <w:ilvl w:val="4"/>
          <w:numId w:val="11"/>
        </w:numPr>
        <w:ind w:left="709" w:hanging="709"/>
        <w:rPr>
          <w:i/>
          <w:iCs/>
        </w:rPr>
      </w:pPr>
      <w:r w:rsidRPr="005E5B26">
        <w:t>The ESCs noted that th</w:t>
      </w:r>
      <w:r w:rsidR="001B6E2A">
        <w:t>e</w:t>
      </w:r>
      <w:r w:rsidRPr="005E5B26">
        <w:t xml:space="preserve"> test for interaction did not reach statistical significance but noted that there appeared to be minimal benefit in the non-</w:t>
      </w:r>
      <w:r w:rsidRPr="001B6E2A">
        <w:rPr>
          <w:i/>
          <w:iCs/>
        </w:rPr>
        <w:t>ESR1</w:t>
      </w:r>
      <w:r w:rsidRPr="005E5B26">
        <w:t xml:space="preserve"> subgroup and the clinical rationale and mechanism of action for elacestrant supported the claim that </w:t>
      </w:r>
      <w:r w:rsidRPr="001B6E2A">
        <w:rPr>
          <w:i/>
          <w:iCs/>
        </w:rPr>
        <w:t>ESR1</w:t>
      </w:r>
      <w:r w:rsidRPr="005E5B26">
        <w:t xml:space="preserve"> is likely to be a predictive biomarker for treatment with elacestrant. The ESCs considered the claim of codependence to be reasonable overall, but the extent of treatment effect variation to be uncertain.</w:t>
      </w:r>
      <w:r w:rsidRPr="000A7BB0">
        <w:t xml:space="preserve"> </w:t>
      </w:r>
      <w:r w:rsidRPr="005E5B26">
        <w:t>The ESCs also noted that the draft TGA indication as approved by the delegate is specific to patients with an activating</w:t>
      </w:r>
      <w:r w:rsidRPr="000A7BB0">
        <w:rPr>
          <w:i/>
          <w:iCs/>
        </w:rPr>
        <w:t xml:space="preserve"> </w:t>
      </w:r>
      <w:r w:rsidRPr="001B6E2A">
        <w:rPr>
          <w:i/>
          <w:iCs/>
        </w:rPr>
        <w:t>ESR1</w:t>
      </w:r>
      <w:r w:rsidRPr="000A7BB0">
        <w:rPr>
          <w:i/>
          <w:iCs/>
        </w:rPr>
        <w:t xml:space="preserve"> </w:t>
      </w:r>
      <w:r w:rsidRPr="005E5B26">
        <w:t>mutation.</w:t>
      </w:r>
      <w:r w:rsidR="001B6E2A">
        <w:t xml:space="preserve"> </w:t>
      </w:r>
      <w:r w:rsidR="004D7E74">
        <w:t xml:space="preserve">The PBAC noted that the </w:t>
      </w:r>
      <w:r w:rsidR="00785F80">
        <w:t xml:space="preserve">indication in the approved PI was specific to </w:t>
      </w:r>
      <w:r w:rsidR="00A26835">
        <w:t xml:space="preserve">mBC with an activating </w:t>
      </w:r>
      <w:r w:rsidR="00A26835" w:rsidRPr="00673107">
        <w:rPr>
          <w:i/>
          <w:iCs/>
        </w:rPr>
        <w:t>ESR1</w:t>
      </w:r>
      <w:r w:rsidR="00A26835">
        <w:t xml:space="preserve"> mutation.</w:t>
      </w:r>
    </w:p>
    <w:p w14:paraId="53FCAD00" w14:textId="0F62E7BB" w:rsidR="00C317F3" w:rsidRPr="000A7BB0" w:rsidRDefault="00C317F3" w:rsidP="002553CE">
      <w:pPr>
        <w:pStyle w:val="OutlineHeading2"/>
        <w:rPr>
          <w:rFonts w:asciiTheme="minorHAnsi" w:hAnsiTheme="minorHAnsi" w:cstheme="minorHAnsi"/>
        </w:rPr>
      </w:pPr>
      <w:r w:rsidRPr="000A7BB0">
        <w:rPr>
          <w:rFonts w:asciiTheme="minorHAnsi" w:hAnsiTheme="minorHAnsi" w:cstheme="minorHAnsi"/>
        </w:rPr>
        <w:t>Economic analysis</w:t>
      </w:r>
      <w:bookmarkEnd w:id="32"/>
    </w:p>
    <w:p w14:paraId="77200FA1" w14:textId="2AF66A44" w:rsidR="009E18C3" w:rsidRPr="000A7BB0" w:rsidRDefault="009E18C3" w:rsidP="002553CE">
      <w:pPr>
        <w:numPr>
          <w:ilvl w:val="4"/>
          <w:numId w:val="11"/>
        </w:numPr>
        <w:ind w:left="709" w:hanging="709"/>
        <w:rPr>
          <w:color w:val="000000" w:themeColor="text1"/>
        </w:rPr>
      </w:pPr>
      <w:r w:rsidRPr="000A7BB0">
        <w:rPr>
          <w:color w:val="000000" w:themeColor="text1"/>
        </w:rPr>
        <w:t xml:space="preserve">The submission presented a modelled economic evaluation, based on the direct randomised trial, EMERALD, comparing elacestrant to SOC (fulvestrant or an AI monotherapy) in a population of patients with ER+/HER2- mBC who have disease progression following at least one line of ET, including a CDK4/6i, and who test positive for an </w:t>
      </w:r>
      <w:r w:rsidRPr="000A7BB0">
        <w:rPr>
          <w:i/>
          <w:color w:val="000000" w:themeColor="text1"/>
        </w:rPr>
        <w:t>ESR1</w:t>
      </w:r>
      <w:r w:rsidRPr="000A7BB0">
        <w:rPr>
          <w:color w:val="000000" w:themeColor="text1"/>
        </w:rPr>
        <w:t>-variant</w:t>
      </w:r>
      <w:r w:rsidR="00461516" w:rsidRPr="000A7BB0">
        <w:rPr>
          <w:color w:val="000000" w:themeColor="text1"/>
        </w:rPr>
        <w:t xml:space="preserve"> (termed by the submission as the ‘label population’)</w:t>
      </w:r>
      <w:r w:rsidRPr="000A7BB0">
        <w:rPr>
          <w:color w:val="000000" w:themeColor="text1"/>
        </w:rPr>
        <w:t>. This is not consistent with PBAC guidelines</w:t>
      </w:r>
      <w:r w:rsidR="00F11B21" w:rsidRPr="000A7BB0">
        <w:rPr>
          <w:color w:val="000000" w:themeColor="text1"/>
        </w:rPr>
        <w:t xml:space="preserve"> v5</w:t>
      </w:r>
      <w:r w:rsidRPr="000A7BB0">
        <w:rPr>
          <w:color w:val="000000" w:themeColor="text1"/>
        </w:rPr>
        <w:t xml:space="preserve"> which state that, for a co-dependent technology, the model structure should capture patients at the point of testing such that the incremental benefits and costs are included for those who are both positive and negative for the test. The modelling approach was also not consistent with advice from </w:t>
      </w:r>
      <w:r w:rsidRPr="000A7BB0">
        <w:rPr>
          <w:color w:val="000000" w:themeColor="text1"/>
        </w:rPr>
        <w:lastRenderedPageBreak/>
        <w:t xml:space="preserve">PASC, which considered that cost modelling for both NGS and digital droplet polymerase chain reaction (ddPCR) methodology in the detection of </w:t>
      </w:r>
      <w:r w:rsidRPr="000A7BB0">
        <w:rPr>
          <w:i/>
          <w:color w:val="000000" w:themeColor="text1"/>
        </w:rPr>
        <w:t>ESR1</w:t>
      </w:r>
      <w:r w:rsidRPr="000A7BB0">
        <w:rPr>
          <w:color w:val="000000" w:themeColor="text1"/>
        </w:rPr>
        <w:t xml:space="preserve"> variants should be included in the assessment (p16, 1782 Ratified PICO Confirmation, August</w:t>
      </w:r>
      <w:r w:rsidR="007656CF">
        <w:rPr>
          <w:color w:val="000000" w:themeColor="text1"/>
        </w:rPr>
        <w:t> </w:t>
      </w:r>
      <w:r w:rsidRPr="000A7BB0">
        <w:rPr>
          <w:color w:val="000000" w:themeColor="text1"/>
        </w:rPr>
        <w:t xml:space="preserve">2024 PASC meeting). </w:t>
      </w:r>
    </w:p>
    <w:p w14:paraId="24049ABC" w14:textId="0423DD79" w:rsidR="009E18C3" w:rsidRPr="000A7BB0" w:rsidRDefault="009E18C3" w:rsidP="002553CE">
      <w:pPr>
        <w:numPr>
          <w:ilvl w:val="4"/>
          <w:numId w:val="11"/>
        </w:numPr>
        <w:ind w:left="709" w:hanging="709"/>
        <w:rPr>
          <w:color w:val="000000" w:themeColor="text1"/>
        </w:rPr>
      </w:pPr>
      <w:r w:rsidRPr="000A7BB0">
        <w:rPr>
          <w:color w:val="000000" w:themeColor="text1"/>
        </w:rPr>
        <w:t>The type of economic evaluation presented was a cost-utility analysis. This was appropriate given the clinical claim that elacestrant is superior in terms of effectiveness.</w:t>
      </w:r>
    </w:p>
    <w:p w14:paraId="5FB0F2E4" w14:textId="1A90ECF8" w:rsidR="009E18C3" w:rsidRPr="000A7BB0" w:rsidRDefault="009E18C3" w:rsidP="002553CE">
      <w:pPr>
        <w:numPr>
          <w:ilvl w:val="4"/>
          <w:numId w:val="11"/>
        </w:numPr>
        <w:ind w:left="709" w:hanging="709"/>
        <w:rPr>
          <w:color w:val="000000" w:themeColor="text1"/>
        </w:rPr>
      </w:pPr>
      <w:r w:rsidRPr="000A7BB0">
        <w:rPr>
          <w:color w:val="000000" w:themeColor="text1"/>
        </w:rPr>
        <w:fldChar w:fldCharType="begin"/>
      </w:r>
      <w:r w:rsidRPr="000A7BB0">
        <w:rPr>
          <w:color w:val="000000" w:themeColor="text1"/>
        </w:rPr>
        <w:instrText xml:space="preserve"> REF _Ref184475615 \h </w:instrText>
      </w:r>
      <w:r w:rsidR="009018BD" w:rsidRPr="000A7BB0">
        <w:rPr>
          <w:color w:val="000000" w:themeColor="text1"/>
        </w:rPr>
        <w:instrText xml:space="preserve">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8</w:t>
      </w:r>
      <w:r w:rsidRPr="000A7BB0">
        <w:rPr>
          <w:color w:val="000000" w:themeColor="text1"/>
        </w:rPr>
        <w:fldChar w:fldCharType="end"/>
      </w:r>
      <w:r w:rsidRPr="000A7BB0">
        <w:rPr>
          <w:color w:val="000000" w:themeColor="text1"/>
        </w:rPr>
        <w:t xml:space="preserve"> presents a summary of the economic model components. </w:t>
      </w:r>
    </w:p>
    <w:p w14:paraId="125607F2" w14:textId="62477E23" w:rsidR="009E18C3" w:rsidRPr="000A7BB0" w:rsidRDefault="009E18C3" w:rsidP="002553CE">
      <w:pPr>
        <w:pStyle w:val="Caption"/>
      </w:pPr>
      <w:bookmarkStart w:id="34" w:name="_Ref184475615"/>
      <w:r w:rsidRPr="000A7BB0">
        <w:t xml:space="preserve">Table </w:t>
      </w:r>
      <w:r>
        <w:fldChar w:fldCharType="begin"/>
      </w:r>
      <w:r>
        <w:instrText>SEQ Table_PBAC. \* ARABIC</w:instrText>
      </w:r>
      <w:r>
        <w:fldChar w:fldCharType="separate"/>
      </w:r>
      <w:r w:rsidR="004F224A">
        <w:rPr>
          <w:noProof/>
        </w:rPr>
        <w:t>8</w:t>
      </w:r>
      <w:r>
        <w:fldChar w:fldCharType="end"/>
      </w:r>
      <w:bookmarkEnd w:id="34"/>
      <w:r w:rsidRPr="000A7BB0">
        <w:t>: Summary of model structure, key inputs and rationale</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model structure, key inputs and rationale"/>
      </w:tblPr>
      <w:tblGrid>
        <w:gridCol w:w="1522"/>
        <w:gridCol w:w="7429"/>
      </w:tblGrid>
      <w:tr w:rsidR="009E18C3" w:rsidRPr="000A7BB0" w14:paraId="0860CAB5" w14:textId="77777777" w:rsidTr="009B041C">
        <w:tc>
          <w:tcPr>
            <w:tcW w:w="850" w:type="pct"/>
            <w:vAlign w:val="center"/>
          </w:tcPr>
          <w:p w14:paraId="097B817F" w14:textId="517F9DFB" w:rsidR="009E18C3" w:rsidRPr="000A7BB0" w:rsidRDefault="009E18C3" w:rsidP="002553CE">
            <w:pPr>
              <w:keepNext/>
              <w:spacing w:before="0" w:after="0"/>
              <w:jc w:val="left"/>
              <w:rPr>
                <w:rFonts w:ascii="Arial Narrow" w:eastAsiaTheme="majorEastAsia" w:hAnsi="Arial Narrow" w:cs="Times New Roman"/>
                <w:b/>
                <w:sz w:val="20"/>
                <w:szCs w:val="20"/>
                <w:lang w:eastAsia="en-AU"/>
              </w:rPr>
            </w:pPr>
            <w:r w:rsidRPr="000A7BB0">
              <w:rPr>
                <w:rFonts w:ascii="Arial Narrow" w:eastAsiaTheme="majorEastAsia" w:hAnsi="Arial Narrow" w:cs="Times New Roman"/>
                <w:b/>
                <w:sz w:val="20"/>
                <w:szCs w:val="20"/>
                <w:lang w:eastAsia="en-AU"/>
              </w:rPr>
              <w:t>Component</w:t>
            </w:r>
          </w:p>
        </w:tc>
        <w:tc>
          <w:tcPr>
            <w:tcW w:w="4150" w:type="pct"/>
            <w:vAlign w:val="center"/>
          </w:tcPr>
          <w:p w14:paraId="6223898D" w14:textId="77777777" w:rsidR="009E18C3" w:rsidRPr="000A7BB0" w:rsidRDefault="009E18C3" w:rsidP="002553CE">
            <w:pPr>
              <w:keepNext/>
              <w:spacing w:before="0" w:after="0"/>
              <w:jc w:val="left"/>
              <w:rPr>
                <w:rFonts w:ascii="Arial Narrow" w:eastAsiaTheme="majorEastAsia" w:hAnsi="Arial Narrow" w:cs="Times New Roman"/>
                <w:b/>
                <w:sz w:val="20"/>
                <w:szCs w:val="24"/>
                <w:lang w:eastAsia="en-AU"/>
              </w:rPr>
            </w:pPr>
            <w:r w:rsidRPr="000A7BB0">
              <w:rPr>
                <w:rFonts w:ascii="Arial Narrow" w:eastAsiaTheme="majorEastAsia" w:hAnsi="Arial Narrow" w:cs="Times New Roman"/>
                <w:b/>
                <w:sz w:val="20"/>
                <w:szCs w:val="24"/>
                <w:lang w:eastAsia="en-AU"/>
              </w:rPr>
              <w:t>Summary</w:t>
            </w:r>
          </w:p>
        </w:tc>
      </w:tr>
      <w:tr w:rsidR="009E18C3" w:rsidRPr="000A7BB0" w14:paraId="77A1F8B4" w14:textId="77777777" w:rsidTr="009B041C">
        <w:tc>
          <w:tcPr>
            <w:tcW w:w="850" w:type="pct"/>
            <w:vAlign w:val="center"/>
          </w:tcPr>
          <w:p w14:paraId="044D2520"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Comparison modelled</w:t>
            </w:r>
          </w:p>
        </w:tc>
        <w:tc>
          <w:tcPr>
            <w:tcW w:w="4150" w:type="pct"/>
            <w:vAlign w:val="center"/>
          </w:tcPr>
          <w:p w14:paraId="1E95E5EA" w14:textId="33356019"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szCs w:val="20"/>
              </w:rPr>
              <w:t xml:space="preserve">NGS testing for </w:t>
            </w:r>
            <w:r w:rsidRPr="000A7BB0">
              <w:rPr>
                <w:rFonts w:ascii="Arial Narrow" w:hAnsi="Arial Narrow"/>
                <w:i/>
                <w:sz w:val="20"/>
                <w:szCs w:val="20"/>
              </w:rPr>
              <w:t xml:space="preserve">ESR1 </w:t>
            </w:r>
            <w:r w:rsidRPr="000A7BB0">
              <w:rPr>
                <w:rFonts w:ascii="Arial Narrow" w:hAnsi="Arial Narrow"/>
                <w:sz w:val="20"/>
                <w:szCs w:val="20"/>
              </w:rPr>
              <w:t xml:space="preserve">variants available and treatment with elacestrant for patients with </w:t>
            </w:r>
            <w:r w:rsidRPr="000A7BB0">
              <w:rPr>
                <w:rFonts w:ascii="Arial Narrow" w:hAnsi="Arial Narrow"/>
                <w:i/>
                <w:sz w:val="20"/>
                <w:szCs w:val="20"/>
              </w:rPr>
              <w:t>ESR1</w:t>
            </w:r>
            <w:r w:rsidRPr="000A7BB0">
              <w:rPr>
                <w:rFonts w:ascii="Arial Narrow" w:hAnsi="Arial Narrow"/>
                <w:sz w:val="20"/>
                <w:szCs w:val="20"/>
              </w:rPr>
              <w:t xml:space="preserve"> variants vs Testing not available and SOC for patients with </w:t>
            </w:r>
            <w:r w:rsidRPr="000A7BB0">
              <w:rPr>
                <w:rFonts w:ascii="Arial Narrow" w:hAnsi="Arial Narrow"/>
                <w:i/>
                <w:sz w:val="20"/>
                <w:szCs w:val="20"/>
              </w:rPr>
              <w:t>ESR1</w:t>
            </w:r>
            <w:r w:rsidRPr="000A7BB0">
              <w:rPr>
                <w:rFonts w:ascii="Arial Narrow" w:hAnsi="Arial Narrow"/>
                <w:sz w:val="20"/>
                <w:szCs w:val="20"/>
              </w:rPr>
              <w:t xml:space="preserve"> variants.</w:t>
            </w:r>
          </w:p>
        </w:tc>
      </w:tr>
      <w:tr w:rsidR="009E18C3" w:rsidRPr="000A7BB0" w14:paraId="67283F9C" w14:textId="77777777" w:rsidTr="009B041C">
        <w:tc>
          <w:tcPr>
            <w:tcW w:w="850" w:type="pct"/>
            <w:vAlign w:val="center"/>
          </w:tcPr>
          <w:p w14:paraId="1BCF0229"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Time horizon</w:t>
            </w:r>
          </w:p>
        </w:tc>
        <w:tc>
          <w:tcPr>
            <w:tcW w:w="4150" w:type="pct"/>
            <w:vAlign w:val="center"/>
          </w:tcPr>
          <w:p w14:paraId="6F92A09B" w14:textId="3AFF1E2F" w:rsidR="009E18C3" w:rsidRPr="000A7BB0" w:rsidRDefault="009E18C3" w:rsidP="002553CE">
            <w:pPr>
              <w:spacing w:before="0" w:after="0"/>
              <w:jc w:val="left"/>
              <w:rPr>
                <w:rFonts w:ascii="Arial Narrow" w:hAnsi="Arial Narrow"/>
                <w:sz w:val="20"/>
              </w:rPr>
            </w:pPr>
            <w:r w:rsidRPr="000A7BB0">
              <w:rPr>
                <w:rFonts w:ascii="Arial Narrow" w:hAnsi="Arial Narrow"/>
                <w:sz w:val="20"/>
              </w:rPr>
              <w:t xml:space="preserve">10 years in the model base case vs 26 months </w:t>
            </w:r>
            <w:r w:rsidR="004F0D9A" w:rsidRPr="000A7BB0">
              <w:rPr>
                <w:rFonts w:ascii="Arial Narrow" w:hAnsi="Arial Narrow"/>
                <w:sz w:val="20"/>
              </w:rPr>
              <w:t xml:space="preserve">follow up </w:t>
            </w:r>
            <w:r w:rsidRPr="000A7BB0">
              <w:rPr>
                <w:rFonts w:ascii="Arial Narrow" w:hAnsi="Arial Narrow"/>
                <w:sz w:val="20"/>
              </w:rPr>
              <w:t>(me</w:t>
            </w:r>
            <w:r w:rsidR="00016869" w:rsidRPr="000A7BB0">
              <w:rPr>
                <w:rFonts w:ascii="Arial Narrow" w:hAnsi="Arial Narrow"/>
                <w:sz w:val="20"/>
              </w:rPr>
              <w:t>dian</w:t>
            </w:r>
            <w:r w:rsidRPr="000A7BB0">
              <w:rPr>
                <w:rFonts w:ascii="Arial Narrow" w:hAnsi="Arial Narrow"/>
                <w:sz w:val="20"/>
              </w:rPr>
              <w:t xml:space="preserve"> OS) in the EMERALD trial </w:t>
            </w:r>
          </w:p>
        </w:tc>
      </w:tr>
      <w:tr w:rsidR="009E18C3" w:rsidRPr="000A7BB0" w14:paraId="7EA1DF5D" w14:textId="77777777" w:rsidTr="009B041C">
        <w:tc>
          <w:tcPr>
            <w:tcW w:w="850" w:type="pct"/>
            <w:vAlign w:val="center"/>
          </w:tcPr>
          <w:p w14:paraId="0E1D33B1"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Outcomes</w:t>
            </w:r>
          </w:p>
        </w:tc>
        <w:tc>
          <w:tcPr>
            <w:tcW w:w="4150" w:type="pct"/>
            <w:vAlign w:val="center"/>
          </w:tcPr>
          <w:p w14:paraId="1154D5FC"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LYG and QALYs</w:t>
            </w:r>
          </w:p>
        </w:tc>
      </w:tr>
      <w:tr w:rsidR="009E18C3" w:rsidRPr="000A7BB0" w14:paraId="5843D796" w14:textId="77777777" w:rsidTr="009B041C">
        <w:tc>
          <w:tcPr>
            <w:tcW w:w="850" w:type="pct"/>
            <w:vAlign w:val="center"/>
          </w:tcPr>
          <w:p w14:paraId="2302E32E"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Methods used to generate results</w:t>
            </w:r>
          </w:p>
        </w:tc>
        <w:tc>
          <w:tcPr>
            <w:tcW w:w="4150" w:type="pct"/>
            <w:vAlign w:val="center"/>
          </w:tcPr>
          <w:p w14:paraId="40D220DF"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Partitioned survival analysis</w:t>
            </w:r>
          </w:p>
        </w:tc>
      </w:tr>
      <w:tr w:rsidR="009E18C3" w:rsidRPr="000A7BB0" w14:paraId="63E0F25C" w14:textId="77777777" w:rsidTr="009B041C">
        <w:tc>
          <w:tcPr>
            <w:tcW w:w="850" w:type="pct"/>
            <w:vAlign w:val="center"/>
          </w:tcPr>
          <w:p w14:paraId="3DB287C2"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Health states</w:t>
            </w:r>
          </w:p>
        </w:tc>
        <w:tc>
          <w:tcPr>
            <w:tcW w:w="4150" w:type="pct"/>
            <w:vAlign w:val="center"/>
          </w:tcPr>
          <w:p w14:paraId="050EF765" w14:textId="77777777" w:rsidR="009E18C3" w:rsidRPr="000A7BB0" w:rsidRDefault="009E18C3" w:rsidP="002553CE">
            <w:pPr>
              <w:spacing w:before="0" w:after="0"/>
              <w:jc w:val="left"/>
              <w:rPr>
                <w:rFonts w:ascii="Arial Narrow" w:eastAsia="Times New Roman" w:hAnsi="Arial Narrow" w:cs="Times New Roman"/>
                <w:sz w:val="20"/>
                <w:szCs w:val="20"/>
              </w:rPr>
            </w:pPr>
            <w:r w:rsidRPr="000A7BB0">
              <w:rPr>
                <w:rFonts w:ascii="Arial Narrow" w:eastAsia="Times New Roman" w:hAnsi="Arial Narrow" w:cs="Times New Roman"/>
                <w:sz w:val="20"/>
                <w:szCs w:val="20"/>
              </w:rPr>
              <w:t xml:space="preserve">Progression-free, progressed disease (divided into those receiving chemotherapy and those not receiving chemotherapy) and dead. </w:t>
            </w:r>
          </w:p>
          <w:p w14:paraId="2A358FF8" w14:textId="77777777" w:rsidR="009E18C3" w:rsidRPr="000A7BB0" w:rsidRDefault="009E18C3" w:rsidP="002553CE">
            <w:pPr>
              <w:spacing w:before="0" w:after="0"/>
              <w:jc w:val="left"/>
              <w:rPr>
                <w:rFonts w:ascii="Arial Narrow" w:hAnsi="Arial Narrow"/>
                <w:sz w:val="20"/>
              </w:rPr>
            </w:pPr>
            <w:r w:rsidRPr="000A7BB0">
              <w:rPr>
                <w:rFonts w:ascii="Arial Narrow" w:eastAsia="Times New Roman" w:hAnsi="Arial Narrow" w:cs="Times New Roman"/>
                <w:sz w:val="20"/>
                <w:szCs w:val="20"/>
              </w:rPr>
              <w:t>TTD included to account for time on treatment.</w:t>
            </w:r>
          </w:p>
        </w:tc>
      </w:tr>
      <w:tr w:rsidR="009E18C3" w:rsidRPr="000A7BB0" w14:paraId="7C4AA9E5" w14:textId="77777777" w:rsidTr="009B041C">
        <w:tc>
          <w:tcPr>
            <w:tcW w:w="850" w:type="pct"/>
            <w:vAlign w:val="center"/>
          </w:tcPr>
          <w:p w14:paraId="47BEA863"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Cycle length</w:t>
            </w:r>
          </w:p>
        </w:tc>
        <w:tc>
          <w:tcPr>
            <w:tcW w:w="4150" w:type="pct"/>
            <w:vAlign w:val="center"/>
          </w:tcPr>
          <w:p w14:paraId="784EA631"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28 days</w:t>
            </w:r>
          </w:p>
        </w:tc>
      </w:tr>
      <w:tr w:rsidR="009E18C3" w:rsidRPr="000A7BB0" w14:paraId="38FF169B" w14:textId="77777777" w:rsidTr="009B041C">
        <w:tc>
          <w:tcPr>
            <w:tcW w:w="850" w:type="pct"/>
            <w:vAlign w:val="center"/>
          </w:tcPr>
          <w:p w14:paraId="5764BF62"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Test parameters</w:t>
            </w:r>
          </w:p>
        </w:tc>
        <w:tc>
          <w:tcPr>
            <w:tcW w:w="4150" w:type="pct"/>
            <w:vAlign w:val="center"/>
          </w:tcPr>
          <w:p w14:paraId="0DEFD5EE" w14:textId="6A44CC68" w:rsidR="009E18C3" w:rsidRPr="000A7BB0" w:rsidRDefault="009E18C3" w:rsidP="002553CE">
            <w:pPr>
              <w:rPr>
                <w:rFonts w:ascii="Arial Narrow" w:hAnsi="Arial Narrow"/>
                <w:sz w:val="20"/>
                <w:szCs w:val="20"/>
              </w:rPr>
            </w:pPr>
            <w:r w:rsidRPr="000A7BB0">
              <w:rPr>
                <w:rFonts w:ascii="Arial Narrow" w:hAnsi="Arial Narrow"/>
                <w:sz w:val="20"/>
                <w:szCs w:val="20"/>
              </w:rPr>
              <w:t xml:space="preserve">Prevalence: 100% (implied as population only consists of patients with </w:t>
            </w:r>
            <w:r w:rsidRPr="000A7BB0">
              <w:rPr>
                <w:rFonts w:ascii="Arial Narrow" w:hAnsi="Arial Narrow"/>
                <w:i/>
                <w:iCs/>
                <w:sz w:val="20"/>
                <w:szCs w:val="20"/>
              </w:rPr>
              <w:t xml:space="preserve">ESR1 </w:t>
            </w:r>
            <w:r w:rsidRPr="000A7BB0">
              <w:rPr>
                <w:rFonts w:ascii="Arial Narrow" w:hAnsi="Arial Narrow"/>
                <w:sz w:val="20"/>
                <w:szCs w:val="20"/>
              </w:rPr>
              <w:t>variants)</w:t>
            </w:r>
            <w:r w:rsidRPr="000A7BB0">
              <w:rPr>
                <w:rFonts w:ascii="Arial Narrow" w:hAnsi="Arial Narrow"/>
                <w:i/>
                <w:iCs/>
                <w:sz w:val="20"/>
                <w:szCs w:val="20"/>
              </w:rPr>
              <w:t>.</w:t>
            </w:r>
            <w:r w:rsidR="00B51309">
              <w:rPr>
                <w:rFonts w:ascii="Arial Narrow" w:hAnsi="Arial Narrow"/>
                <w:i/>
                <w:iCs/>
                <w:sz w:val="20"/>
                <w:szCs w:val="20"/>
              </w:rPr>
              <w:t xml:space="preserve"> </w:t>
            </w:r>
          </w:p>
          <w:p w14:paraId="44EEB5CC"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Test accuracy/performance estimates (implied)</w:t>
            </w:r>
          </w:p>
          <w:p w14:paraId="14C11EA4"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Sensitivity = 100%</w:t>
            </w:r>
          </w:p>
          <w:p w14:paraId="4FC130A6"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Specificity = 100%</w:t>
            </w:r>
          </w:p>
          <w:p w14:paraId="41743D8D"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Test failure rate = 0%</w:t>
            </w:r>
          </w:p>
          <w:p w14:paraId="14E58DEA"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szCs w:val="20"/>
              </w:rPr>
              <w:t>Test uptake rate = 100%</w:t>
            </w:r>
          </w:p>
          <w:p w14:paraId="78DA6B9E" w14:textId="77777777" w:rsidR="00CB71C7" w:rsidRPr="000A7BB0" w:rsidRDefault="00CB71C7" w:rsidP="002553CE">
            <w:pPr>
              <w:spacing w:before="0" w:after="0"/>
              <w:jc w:val="left"/>
              <w:rPr>
                <w:rFonts w:ascii="Arial Narrow" w:hAnsi="Arial Narrow"/>
                <w:sz w:val="20"/>
                <w:szCs w:val="20"/>
              </w:rPr>
            </w:pPr>
          </w:p>
          <w:p w14:paraId="236A1D9F" w14:textId="2D55118C" w:rsidR="00CB71C7" w:rsidRPr="000A7BB0" w:rsidRDefault="00CB71C7" w:rsidP="002553CE">
            <w:pPr>
              <w:spacing w:before="0" w:after="0"/>
              <w:jc w:val="left"/>
              <w:rPr>
                <w:rFonts w:ascii="Arial Narrow" w:hAnsi="Arial Narrow"/>
                <w:i/>
                <w:iCs/>
                <w:sz w:val="20"/>
              </w:rPr>
            </w:pPr>
            <w:r w:rsidRPr="000A7BB0">
              <w:rPr>
                <w:rFonts w:ascii="Arial Narrow" w:hAnsi="Arial Narrow"/>
                <w:i/>
                <w:iCs/>
                <w:sz w:val="20"/>
                <w:szCs w:val="20"/>
              </w:rPr>
              <w:t>No allowance for re-testing was included in the model</w:t>
            </w:r>
          </w:p>
        </w:tc>
      </w:tr>
      <w:tr w:rsidR="009E18C3" w:rsidRPr="000A7BB0" w14:paraId="0E75D608" w14:textId="77777777" w:rsidTr="009B041C">
        <w:tc>
          <w:tcPr>
            <w:tcW w:w="850" w:type="pct"/>
            <w:vAlign w:val="center"/>
          </w:tcPr>
          <w:p w14:paraId="2D131AD7"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Implications of false positive and false negative results</w:t>
            </w:r>
          </w:p>
        </w:tc>
        <w:tc>
          <w:tcPr>
            <w:tcW w:w="4150" w:type="pct"/>
            <w:vAlign w:val="center"/>
          </w:tcPr>
          <w:p w14:paraId="50F97E79"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Not described</w:t>
            </w:r>
          </w:p>
        </w:tc>
      </w:tr>
      <w:tr w:rsidR="009E18C3" w:rsidRPr="000A7BB0" w14:paraId="1B34D69C" w14:textId="77777777" w:rsidTr="009B041C">
        <w:tc>
          <w:tcPr>
            <w:tcW w:w="850" w:type="pct"/>
            <w:vAlign w:val="center"/>
          </w:tcPr>
          <w:p w14:paraId="59A09DDD"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 xml:space="preserve">Allocation to health states </w:t>
            </w:r>
          </w:p>
        </w:tc>
        <w:tc>
          <w:tcPr>
            <w:tcW w:w="4150" w:type="pct"/>
            <w:vAlign w:val="center"/>
          </w:tcPr>
          <w:p w14:paraId="01D50087" w14:textId="58C3D5D2"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szCs w:val="20"/>
              </w:rPr>
              <w:t xml:space="preserve">Derived from PFS, OS, TTD and TCD K-M data from the </w:t>
            </w:r>
            <w:r w:rsidRPr="000A7BB0">
              <w:rPr>
                <w:rFonts w:ascii="Arial Narrow" w:hAnsi="Arial Narrow"/>
                <w:i/>
                <w:sz w:val="20"/>
                <w:szCs w:val="20"/>
              </w:rPr>
              <w:t>ESR1</w:t>
            </w:r>
            <w:r w:rsidRPr="000A7BB0">
              <w:rPr>
                <w:rFonts w:ascii="Arial Narrow" w:hAnsi="Arial Narrow"/>
                <w:sz w:val="20"/>
                <w:szCs w:val="20"/>
              </w:rPr>
              <w:t>-variant cohort in EMERALD</w:t>
            </w:r>
            <w:r w:rsidR="00016869" w:rsidRPr="000A7BB0">
              <w:rPr>
                <w:rFonts w:ascii="Arial Narrow" w:hAnsi="Arial Narrow"/>
                <w:sz w:val="20"/>
                <w:szCs w:val="20"/>
              </w:rPr>
              <w:t xml:space="preserve"> (excluding 6 patients who received CDK4/6i in the adjuvant setting)</w:t>
            </w:r>
            <w:r w:rsidRPr="000A7BB0">
              <w:rPr>
                <w:rFonts w:ascii="Arial Narrow" w:hAnsi="Arial Narrow"/>
                <w:sz w:val="20"/>
                <w:szCs w:val="20"/>
              </w:rPr>
              <w:t>, then extrapolated using parametric survival analysis for remaining time horizon.</w:t>
            </w:r>
            <w:r w:rsidR="00016869" w:rsidRPr="000A7BB0">
              <w:rPr>
                <w:rFonts w:ascii="Arial Narrow" w:hAnsi="Arial Narrow"/>
                <w:sz w:val="20"/>
                <w:szCs w:val="20"/>
              </w:rPr>
              <w:t xml:space="preserve"> </w:t>
            </w:r>
          </w:p>
          <w:p w14:paraId="6381FB54" w14:textId="77777777" w:rsidR="009E18C3" w:rsidRPr="000A7BB0" w:rsidRDefault="009E18C3" w:rsidP="002553CE">
            <w:pPr>
              <w:spacing w:before="0" w:after="0"/>
              <w:jc w:val="left"/>
              <w:rPr>
                <w:rFonts w:ascii="Arial Narrow" w:hAnsi="Arial Narrow"/>
                <w:sz w:val="20"/>
                <w:szCs w:val="20"/>
              </w:rPr>
            </w:pPr>
          </w:p>
          <w:p w14:paraId="0C93BFE1" w14:textId="5FACCDAF" w:rsidR="009E18C3" w:rsidRPr="000A7BB0" w:rsidRDefault="009E18C3" w:rsidP="002553CE">
            <w:pPr>
              <w:spacing w:before="0" w:after="0"/>
              <w:jc w:val="left"/>
              <w:rPr>
                <w:rFonts w:ascii="Arial Narrow" w:hAnsi="Arial Narrow"/>
                <w:sz w:val="20"/>
              </w:rPr>
            </w:pPr>
            <w:r w:rsidRPr="000A7BB0">
              <w:rPr>
                <w:rFonts w:ascii="Arial Narrow" w:hAnsi="Arial Narrow"/>
                <w:sz w:val="20"/>
                <w:szCs w:val="20"/>
              </w:rPr>
              <w:t xml:space="preserve">Truncation point for all model outcomes was the </w:t>
            </w:r>
            <w:r w:rsidR="00016869" w:rsidRPr="000A7BB0">
              <w:rPr>
                <w:rFonts w:ascii="Arial Narrow" w:hAnsi="Arial Narrow"/>
                <w:sz w:val="20"/>
                <w:szCs w:val="20"/>
              </w:rPr>
              <w:t xml:space="preserve">mean </w:t>
            </w:r>
            <w:r w:rsidRPr="000A7BB0">
              <w:rPr>
                <w:rFonts w:ascii="Arial Narrow" w:hAnsi="Arial Narrow"/>
                <w:sz w:val="20"/>
                <w:szCs w:val="20"/>
              </w:rPr>
              <w:t>OS follow up from the 2022 data cut (18 months</w:t>
            </w:r>
            <w:r w:rsidR="00271A5B" w:rsidRPr="000A7BB0">
              <w:rPr>
                <w:rFonts w:ascii="Arial Narrow" w:hAnsi="Arial Narrow"/>
                <w:sz w:val="20"/>
                <w:szCs w:val="20"/>
              </w:rPr>
              <w:t xml:space="preserve"> [claimed by the submission; this could not be verified]</w:t>
            </w:r>
            <w:r w:rsidRPr="000A7BB0">
              <w:rPr>
                <w:rFonts w:ascii="Arial Narrow" w:hAnsi="Arial Narrow"/>
                <w:sz w:val="20"/>
                <w:szCs w:val="20"/>
              </w:rPr>
              <w:t>).</w:t>
            </w:r>
          </w:p>
        </w:tc>
      </w:tr>
      <w:tr w:rsidR="009E18C3" w:rsidRPr="000A7BB0" w14:paraId="0B2EECEB" w14:textId="77777777" w:rsidTr="009B041C">
        <w:tc>
          <w:tcPr>
            <w:tcW w:w="850" w:type="pct"/>
            <w:vAlign w:val="center"/>
          </w:tcPr>
          <w:p w14:paraId="5519D72B"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Extrapolation method</w:t>
            </w:r>
          </w:p>
        </w:tc>
        <w:tc>
          <w:tcPr>
            <w:tcW w:w="4150" w:type="pct"/>
            <w:vAlign w:val="center"/>
          </w:tcPr>
          <w:p w14:paraId="5B6064CF" w14:textId="1D846E10"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szCs w:val="20"/>
              </w:rPr>
              <w:t>Independent parametric models were fitted to each treatment arm with Log-logistic (OS), Generalised Gamma (PFS), Log-normal (TCD) and Generalised Gamma (TTD)</w:t>
            </w:r>
            <w:r w:rsidR="00B51309">
              <w:rPr>
                <w:rFonts w:ascii="Arial Narrow" w:hAnsi="Arial Narrow"/>
                <w:sz w:val="20"/>
                <w:szCs w:val="20"/>
              </w:rPr>
              <w:t xml:space="preserve"> </w:t>
            </w:r>
            <w:r w:rsidRPr="000A7BB0">
              <w:rPr>
                <w:rFonts w:ascii="Arial Narrow" w:hAnsi="Arial Narrow"/>
                <w:sz w:val="20"/>
                <w:szCs w:val="20"/>
              </w:rPr>
              <w:t xml:space="preserve">selected in base case for elacestrant and Gompertz (OS), Generalised Gamma (PFS), Log-normal (TCD) and Generalised Gamma (TTD) selected in base case for SOC, based on goodness of fit/visual inspection/assessment of the clinical plausibility of the extrapolation. </w:t>
            </w:r>
          </w:p>
          <w:p w14:paraId="21CE8772" w14:textId="424CBE55"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 xml:space="preserve">Convergence was not assumed to occur within the modelled time horizon. </w:t>
            </w:r>
          </w:p>
        </w:tc>
      </w:tr>
      <w:tr w:rsidR="009E18C3" w:rsidRPr="000A7BB0" w14:paraId="6AD014C6" w14:textId="77777777" w:rsidTr="009B041C">
        <w:tc>
          <w:tcPr>
            <w:tcW w:w="850" w:type="pct"/>
            <w:vAlign w:val="center"/>
          </w:tcPr>
          <w:p w14:paraId="2243B84F" w14:textId="77777777" w:rsidR="009E18C3" w:rsidRPr="000A7BB0" w:rsidRDefault="009E18C3" w:rsidP="002553CE">
            <w:pPr>
              <w:spacing w:before="0" w:after="0"/>
              <w:jc w:val="left"/>
              <w:rPr>
                <w:rFonts w:ascii="Arial Narrow" w:hAnsi="Arial Narrow"/>
                <w:sz w:val="20"/>
              </w:rPr>
            </w:pPr>
            <w:r w:rsidRPr="000A7BB0">
              <w:rPr>
                <w:rFonts w:ascii="Arial Narrow" w:hAnsi="Arial Narrow"/>
                <w:sz w:val="20"/>
              </w:rPr>
              <w:t>Health related quality of life</w:t>
            </w:r>
          </w:p>
        </w:tc>
        <w:tc>
          <w:tcPr>
            <w:tcW w:w="4150" w:type="pct"/>
            <w:vAlign w:val="center"/>
          </w:tcPr>
          <w:p w14:paraId="1B026660"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A</w:t>
            </w:r>
            <w:r w:rsidRPr="000A7BB0">
              <w:rPr>
                <w:rFonts w:ascii="Arial Narrow" w:hAnsi="Arial Narrow"/>
                <w:sz w:val="20"/>
                <w:szCs w:val="20"/>
              </w:rPr>
              <w:t xml:space="preserve"> linear mixed-effects regression model was fitted to EQ-5D-5L data from the EMERALD trial with Australian tariffs applied. A baseline utility value, accounting for mean age of the population and proportion of patients receiving 2+ prior LOT was used for the PF state (excludes time-varying age and G3/4 AE decrements). </w:t>
            </w:r>
          </w:p>
          <w:p w14:paraId="461E22C7"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The utility</w:t>
            </w:r>
            <w:r w:rsidRPr="000A7BB0">
              <w:rPr>
                <w:rFonts w:ascii="Arial Narrow" w:hAnsi="Arial Narrow"/>
                <w:sz w:val="20"/>
                <w:szCs w:val="20"/>
              </w:rPr>
              <w:t xml:space="preserve"> value for PD health state was derived from a PD multiplier (sourced from the Lloyd 2006) that was applied to the PF health state value from EMERALD.</w:t>
            </w:r>
          </w:p>
          <w:p w14:paraId="0D290516" w14:textId="5AD48095"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szCs w:val="20"/>
              </w:rPr>
              <w:lastRenderedPageBreak/>
              <w:t>Utility decrements related to IM administration (from fulvestrant treatment as part of SOC) and subsequent chemotherapy treatment were derived from the literature</w:t>
            </w:r>
          </w:p>
          <w:p w14:paraId="79B4D9D5" w14:textId="77777777" w:rsidR="009E18C3" w:rsidRPr="000A7BB0" w:rsidRDefault="009E18C3" w:rsidP="002553CE">
            <w:pPr>
              <w:spacing w:before="0" w:after="0"/>
              <w:jc w:val="left"/>
              <w:rPr>
                <w:rFonts w:ascii="Arial Narrow" w:hAnsi="Arial Narrow"/>
                <w:sz w:val="20"/>
              </w:rPr>
            </w:pPr>
          </w:p>
          <w:p w14:paraId="2A15AD1A"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 xml:space="preserve">Utility values used in </w:t>
            </w:r>
            <w:r w:rsidRPr="000A7BB0">
              <w:rPr>
                <w:rFonts w:ascii="Arial Narrow" w:hAnsi="Arial Narrow"/>
                <w:sz w:val="20"/>
                <w:szCs w:val="20"/>
              </w:rPr>
              <w:t>model:</w:t>
            </w:r>
          </w:p>
          <w:p w14:paraId="1C9E8781"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PF=</w:t>
            </w:r>
            <w:r w:rsidRPr="000A7BB0">
              <w:rPr>
                <w:rFonts w:ascii="Arial Narrow" w:hAnsi="Arial Narrow"/>
                <w:sz w:val="20"/>
                <w:szCs w:val="20"/>
              </w:rPr>
              <w:t xml:space="preserve">0.876 </w:t>
            </w:r>
          </w:p>
          <w:p w14:paraId="08C1172A"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PD=0.</w:t>
            </w:r>
            <w:r w:rsidRPr="000A7BB0">
              <w:rPr>
                <w:rFonts w:ascii="Arial Narrow" w:hAnsi="Arial Narrow"/>
                <w:sz w:val="20"/>
                <w:szCs w:val="20"/>
              </w:rPr>
              <w:t xml:space="preserve">543 </w:t>
            </w:r>
          </w:p>
          <w:p w14:paraId="72A25BAE"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Age decrement=</w:t>
            </w:r>
            <w:r w:rsidRPr="000A7BB0">
              <w:rPr>
                <w:rFonts w:ascii="Arial Narrow" w:hAnsi="Arial Narrow"/>
                <w:sz w:val="20"/>
                <w:szCs w:val="20"/>
              </w:rPr>
              <w:t xml:space="preserve"> -0.0014</w:t>
            </w:r>
          </w:p>
          <w:p w14:paraId="59A40F9B" w14:textId="77777777" w:rsidR="009E18C3" w:rsidRPr="000A7BB0" w:rsidRDefault="009E18C3" w:rsidP="002553CE">
            <w:pPr>
              <w:spacing w:before="0" w:after="0"/>
              <w:jc w:val="left"/>
              <w:rPr>
                <w:rFonts w:ascii="Arial Narrow" w:hAnsi="Arial Narrow"/>
                <w:sz w:val="20"/>
                <w:szCs w:val="20"/>
              </w:rPr>
            </w:pPr>
            <w:r w:rsidRPr="000A7BB0">
              <w:rPr>
                <w:rFonts w:ascii="Arial Narrow" w:hAnsi="Arial Narrow"/>
                <w:sz w:val="20"/>
              </w:rPr>
              <w:t>Grade 3/4 AE decrement= -0.0830</w:t>
            </w:r>
          </w:p>
          <w:p w14:paraId="05F78EA5" w14:textId="77777777" w:rsidR="009E18C3" w:rsidRPr="000A7BB0" w:rsidRDefault="009E18C3" w:rsidP="002553CE">
            <w:pPr>
              <w:spacing w:before="0" w:after="0"/>
              <w:jc w:val="left"/>
              <w:rPr>
                <w:rFonts w:ascii="Arial Narrow" w:eastAsiaTheme="minorEastAsia" w:hAnsi="Arial Narrow" w:cstheme="minorHAnsi"/>
                <w:sz w:val="20"/>
                <w:szCs w:val="20"/>
              </w:rPr>
            </w:pPr>
            <w:r w:rsidRPr="000A7BB0">
              <w:rPr>
                <w:rFonts w:ascii="Arial Narrow" w:eastAsiaTheme="minorEastAsia" w:hAnsi="Arial Narrow" w:cstheme="minorHAnsi"/>
                <w:sz w:val="20"/>
              </w:rPr>
              <w:t>IM administration = -0.0040</w:t>
            </w:r>
          </w:p>
          <w:p w14:paraId="0528018C" w14:textId="77777777" w:rsidR="009E18C3" w:rsidRPr="000A7BB0" w:rsidRDefault="009E18C3" w:rsidP="002553CE">
            <w:pPr>
              <w:spacing w:before="0" w:after="0"/>
              <w:jc w:val="left"/>
              <w:rPr>
                <w:rFonts w:ascii="Arial Narrow" w:hAnsi="Arial Narrow"/>
                <w:sz w:val="20"/>
              </w:rPr>
            </w:pPr>
            <w:r w:rsidRPr="000A7BB0">
              <w:rPr>
                <w:rFonts w:ascii="Arial Narrow" w:eastAsiaTheme="minorEastAsia" w:hAnsi="Arial Narrow" w:cstheme="minorHAnsi"/>
                <w:sz w:val="20"/>
              </w:rPr>
              <w:t>Chemotherapy treatment = -0.113</w:t>
            </w:r>
          </w:p>
        </w:tc>
      </w:tr>
    </w:tbl>
    <w:p w14:paraId="4BB9E39E" w14:textId="3940AB75" w:rsidR="009E18C3" w:rsidRPr="000A7BB0" w:rsidRDefault="009E18C3" w:rsidP="002553CE">
      <w:pPr>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lastRenderedPageBreak/>
        <w:t>Source:</w:t>
      </w:r>
      <w:r w:rsidR="00016869" w:rsidRPr="000A7BB0">
        <w:rPr>
          <w:rFonts w:ascii="Arial Narrow" w:eastAsia="Times New Roman" w:hAnsi="Arial Narrow" w:cs="Arial"/>
          <w:snapToGrid w:val="0"/>
          <w:sz w:val="18"/>
          <w:szCs w:val="20"/>
        </w:rPr>
        <w:t xml:space="preserve"> Table 2.78, p218 and</w:t>
      </w:r>
      <w:r w:rsidRPr="000A7BB0">
        <w:rPr>
          <w:rFonts w:ascii="Arial Narrow" w:eastAsia="Times New Roman" w:hAnsi="Arial Narrow" w:cs="Arial"/>
          <w:snapToGrid w:val="0"/>
          <w:sz w:val="18"/>
          <w:szCs w:val="20"/>
        </w:rPr>
        <w:t xml:space="preserve"> Table 3.1, p254 of the submission</w:t>
      </w:r>
    </w:p>
    <w:p w14:paraId="355E0F9F" w14:textId="33D040A8" w:rsidR="009E18C3" w:rsidRPr="000A7BB0" w:rsidRDefault="009E18C3" w:rsidP="002553CE">
      <w:pPr>
        <w:spacing w:before="0" w:after="0"/>
        <w:contextualSpacing/>
        <w:rPr>
          <w:rFonts w:ascii="Arial Narrow" w:eastAsia="Times New Roman" w:hAnsi="Arial Narrow" w:cs="Arial"/>
          <w:snapToGrid w:val="0"/>
          <w:sz w:val="18"/>
          <w:szCs w:val="18"/>
        </w:rPr>
      </w:pPr>
      <w:r w:rsidRPr="000A7BB0">
        <w:rPr>
          <w:rFonts w:ascii="Arial Narrow" w:eastAsia="Times New Roman" w:hAnsi="Arial Narrow" w:cs="Arial"/>
          <w:snapToGrid w:val="0"/>
          <w:sz w:val="18"/>
          <w:szCs w:val="18"/>
        </w:rPr>
        <w:t xml:space="preserve">AE= adverse event; EQ-5D-5L = EuroQol 5 dimension 5 level; </w:t>
      </w:r>
      <w:r w:rsidRPr="000A7BB0">
        <w:rPr>
          <w:rFonts w:ascii="Arial Narrow" w:eastAsia="Times New Roman" w:hAnsi="Arial Narrow" w:cs="Arial"/>
          <w:i/>
          <w:iCs/>
          <w:snapToGrid w:val="0"/>
          <w:sz w:val="18"/>
          <w:szCs w:val="18"/>
        </w:rPr>
        <w:t xml:space="preserve">ESR1 </w:t>
      </w:r>
      <w:r w:rsidRPr="000A7BB0">
        <w:rPr>
          <w:rFonts w:ascii="Arial Narrow" w:eastAsia="Times New Roman" w:hAnsi="Arial Narrow" w:cs="Arial"/>
          <w:snapToGrid w:val="0"/>
          <w:sz w:val="18"/>
          <w:szCs w:val="18"/>
        </w:rPr>
        <w:t>= estrogen receptor 1;</w:t>
      </w:r>
      <w:r w:rsidR="00B51309">
        <w:rPr>
          <w:rFonts w:ascii="Arial Narrow" w:eastAsia="Times New Roman" w:hAnsi="Arial Narrow" w:cs="Arial"/>
          <w:snapToGrid w:val="0"/>
          <w:sz w:val="18"/>
          <w:szCs w:val="18"/>
        </w:rPr>
        <w:t xml:space="preserve"> </w:t>
      </w:r>
      <w:r w:rsidRPr="000A7BB0">
        <w:rPr>
          <w:rFonts w:ascii="Arial Narrow" w:eastAsia="Times New Roman" w:hAnsi="Arial Narrow" w:cs="Arial"/>
          <w:snapToGrid w:val="0"/>
          <w:sz w:val="18"/>
          <w:szCs w:val="18"/>
        </w:rPr>
        <w:t>ICER = incremental cost-effectiveness ratio; IM = intramuscular injection; K-M = Kaplan-Meier; LOT= lines of therapy; LYs = life years; LYG = life years gained; OS = overall survival; PBAC= Pharmaceutical Benefits Advisory Committee; PD = progressed disease; PF = progression free; PFS = progression-free survival; QALY = quality-adjusted life year; SOC = standard of care; TCD = time to chemotherapy or death; TTD = time to treatment discontinuation</w:t>
      </w:r>
    </w:p>
    <w:p w14:paraId="53C7EBBE" w14:textId="6E646747" w:rsidR="009E18C3" w:rsidRPr="004A232C" w:rsidRDefault="009E18C3" w:rsidP="002553CE">
      <w:pPr>
        <w:numPr>
          <w:ilvl w:val="4"/>
          <w:numId w:val="11"/>
        </w:numPr>
        <w:ind w:left="709" w:hanging="709"/>
        <w:rPr>
          <w:color w:val="000000" w:themeColor="text1"/>
        </w:rPr>
      </w:pPr>
      <w:bookmarkStart w:id="35" w:name="_Ref190777399"/>
      <w:r w:rsidRPr="000A7BB0">
        <w:rPr>
          <w:color w:val="000000" w:themeColor="text1"/>
        </w:rPr>
        <w:t>The submission applied test costs to the elacestrant arm only ($</w:t>
      </w:r>
      <w:r w:rsidRPr="00711EA6">
        <w:rPr>
          <w:color w:val="000000" w:themeColor="text1"/>
        </w:rPr>
        <w:t>3,144.74</w:t>
      </w:r>
      <w:r w:rsidRPr="000A7BB0">
        <w:rPr>
          <w:color w:val="000000" w:themeColor="text1"/>
        </w:rPr>
        <w:t>, based on an expected test cost of $</w:t>
      </w:r>
      <w:r w:rsidRPr="004A7AF0">
        <w:rPr>
          <w:color w:val="000000" w:themeColor="text1"/>
        </w:rPr>
        <w:t xml:space="preserve">1500 </w:t>
      </w:r>
      <w:r w:rsidRPr="000A7BB0">
        <w:rPr>
          <w:color w:val="000000" w:themeColor="text1"/>
        </w:rPr>
        <w:t xml:space="preserve">and a prevalence rate of </w:t>
      </w:r>
      <w:r w:rsidR="03F026E4" w:rsidRPr="000A7BB0">
        <w:rPr>
          <w:color w:val="000000" w:themeColor="text1"/>
        </w:rPr>
        <w:t>ESR1</w:t>
      </w:r>
      <w:r w:rsidRPr="000A7BB0">
        <w:rPr>
          <w:color w:val="000000" w:themeColor="text1"/>
        </w:rPr>
        <w:t xml:space="preserve"> variants of 47.7% i.e. 2.</w:t>
      </w:r>
      <w:r w:rsidR="0030405B" w:rsidRPr="000A7BB0">
        <w:rPr>
          <w:color w:val="000000" w:themeColor="text1"/>
        </w:rPr>
        <w:t>1</w:t>
      </w:r>
      <w:r w:rsidR="0030405B">
        <w:rPr>
          <w:color w:val="000000" w:themeColor="text1"/>
        </w:rPr>
        <w:t> </w:t>
      </w:r>
      <w:r w:rsidRPr="000A7BB0">
        <w:rPr>
          <w:color w:val="000000" w:themeColor="text1"/>
        </w:rPr>
        <w:t xml:space="preserve">patients must be tested to identify one </w:t>
      </w:r>
      <w:r w:rsidR="35902707" w:rsidRPr="00FF27D4">
        <w:rPr>
          <w:i/>
          <w:iCs/>
          <w:color w:val="000000" w:themeColor="text1"/>
        </w:rPr>
        <w:t>ESR1</w:t>
      </w:r>
      <w:r w:rsidRPr="000A7BB0">
        <w:rPr>
          <w:color w:val="000000" w:themeColor="text1"/>
        </w:rPr>
        <w:t xml:space="preserve"> variant positive patient). The submission argued that since the prevalence of </w:t>
      </w:r>
      <w:r w:rsidR="35902707" w:rsidRPr="00FF27D4">
        <w:rPr>
          <w:i/>
          <w:iCs/>
          <w:color w:val="000000" w:themeColor="text1"/>
        </w:rPr>
        <w:t>ESR1</w:t>
      </w:r>
      <w:r w:rsidRPr="000A7BB0">
        <w:rPr>
          <w:color w:val="000000" w:themeColor="text1"/>
        </w:rPr>
        <w:t xml:space="preserve"> variants in the EMERALD trial reflects patients who were 2nd and 3rd</w:t>
      </w:r>
      <w:r w:rsidR="5D025466" w:rsidRPr="000A7BB0">
        <w:rPr>
          <w:color w:val="000000" w:themeColor="text1"/>
        </w:rPr>
        <w:t xml:space="preserve"> </w:t>
      </w:r>
      <w:r w:rsidRPr="000A7BB0">
        <w:rPr>
          <w:color w:val="000000" w:themeColor="text1"/>
        </w:rPr>
        <w:t xml:space="preserve">line post CDK4/6i treatment, this reflects the rate of </w:t>
      </w:r>
      <w:r w:rsidRPr="00FF27D4">
        <w:rPr>
          <w:i/>
          <w:iCs/>
          <w:color w:val="000000" w:themeColor="text1"/>
        </w:rPr>
        <w:t>ESR1</w:t>
      </w:r>
      <w:r w:rsidRPr="000A7BB0">
        <w:rPr>
          <w:color w:val="000000" w:themeColor="text1"/>
        </w:rPr>
        <w:t xml:space="preserve"> variants across multiple lines of ET. Therefore, the submission argued that the economic model implicitly evaluates multiple rounds of testing, and it is not necessary to evaluate subsequent rounds of testing separately. The methods used by the submission to determine testing costs reflect a scenario where eligible patients are only tested once following disease progression after 1 or 2 prior lines of therapy. This was not consistent with the proposed MBS restriction, which allows testing at each episode of disease progression following first line treatment</w:t>
      </w:r>
      <w:r w:rsidRPr="004A232C">
        <w:rPr>
          <w:color w:val="000000" w:themeColor="text1"/>
        </w:rPr>
        <w:t xml:space="preserve">. As such, </w:t>
      </w:r>
      <w:r w:rsidR="61BC594E" w:rsidRPr="004A232C">
        <w:rPr>
          <w:color w:val="000000" w:themeColor="text1"/>
        </w:rPr>
        <w:t xml:space="preserve">the ESCs considered that </w:t>
      </w:r>
      <w:r w:rsidRPr="004A232C">
        <w:rPr>
          <w:color w:val="000000" w:themeColor="text1"/>
        </w:rPr>
        <w:t xml:space="preserve">costs of testing applied in the model </w:t>
      </w:r>
      <w:r w:rsidR="61BC594E" w:rsidRPr="004A232C">
        <w:rPr>
          <w:color w:val="000000" w:themeColor="text1"/>
        </w:rPr>
        <w:t>were</w:t>
      </w:r>
      <w:r w:rsidRPr="004A232C">
        <w:rPr>
          <w:color w:val="000000" w:themeColor="text1"/>
        </w:rPr>
        <w:t xml:space="preserve"> underestimated</w:t>
      </w:r>
      <w:r w:rsidR="3B812E00" w:rsidRPr="004A232C">
        <w:rPr>
          <w:color w:val="000000" w:themeColor="text1"/>
        </w:rPr>
        <w:t xml:space="preserve"> (see also paragraph </w:t>
      </w:r>
      <w:r w:rsidR="00D70DF9" w:rsidRPr="004A232C">
        <w:rPr>
          <w:color w:val="000000" w:themeColor="text1"/>
        </w:rPr>
        <w:fldChar w:fldCharType="begin"/>
      </w:r>
      <w:r w:rsidR="00D70DF9" w:rsidRPr="004A232C">
        <w:rPr>
          <w:color w:val="000000" w:themeColor="text1"/>
        </w:rPr>
        <w:instrText xml:space="preserve"> REF _Ref190775658 \r \h </w:instrText>
      </w:r>
      <w:r w:rsidR="004A232C" w:rsidRPr="004A232C">
        <w:rPr>
          <w:color w:val="000000" w:themeColor="text1"/>
        </w:rPr>
        <w:instrText xml:space="preserve"> \* MERGEFORMAT </w:instrText>
      </w:r>
      <w:r w:rsidR="00D70DF9" w:rsidRPr="004A232C">
        <w:rPr>
          <w:color w:val="000000" w:themeColor="text1"/>
        </w:rPr>
      </w:r>
      <w:r w:rsidR="00D70DF9" w:rsidRPr="004A232C">
        <w:rPr>
          <w:color w:val="000000" w:themeColor="text1"/>
        </w:rPr>
        <w:fldChar w:fldCharType="separate"/>
      </w:r>
      <w:r w:rsidR="004F224A">
        <w:rPr>
          <w:color w:val="000000" w:themeColor="text1"/>
        </w:rPr>
        <w:t>6.52</w:t>
      </w:r>
      <w:r w:rsidR="00D70DF9" w:rsidRPr="004A232C">
        <w:rPr>
          <w:color w:val="000000" w:themeColor="text1"/>
        </w:rPr>
        <w:fldChar w:fldCharType="end"/>
      </w:r>
      <w:r w:rsidR="53ED1177" w:rsidRPr="004A232C">
        <w:rPr>
          <w:color w:val="000000" w:themeColor="text1"/>
        </w:rPr>
        <w:t>)</w:t>
      </w:r>
      <w:r w:rsidRPr="004A232C">
        <w:rPr>
          <w:color w:val="000000" w:themeColor="text1"/>
        </w:rPr>
        <w:t>.</w:t>
      </w:r>
      <w:bookmarkEnd w:id="35"/>
      <w:r w:rsidRPr="004A232C">
        <w:rPr>
          <w:color w:val="000000" w:themeColor="text1"/>
        </w:rPr>
        <w:t xml:space="preserve"> </w:t>
      </w:r>
      <w:r w:rsidR="00FE5F20">
        <w:rPr>
          <w:color w:val="000000" w:themeColor="text1"/>
        </w:rPr>
        <w:t xml:space="preserve">The pre-PBAC response acknowledged that </w:t>
      </w:r>
      <w:r w:rsidR="00B41D27">
        <w:rPr>
          <w:color w:val="000000" w:themeColor="text1"/>
        </w:rPr>
        <w:t xml:space="preserve">the proposed MBS item number allows testing at each episode of </w:t>
      </w:r>
      <w:r w:rsidR="00AA3736">
        <w:rPr>
          <w:color w:val="000000" w:themeColor="text1"/>
        </w:rPr>
        <w:t xml:space="preserve">progression, but noted that while </w:t>
      </w:r>
      <w:r w:rsidR="00AA3736" w:rsidRPr="00FF27D4">
        <w:rPr>
          <w:i/>
          <w:iCs/>
          <w:color w:val="000000" w:themeColor="text1"/>
        </w:rPr>
        <w:t>ESR1</w:t>
      </w:r>
      <w:r w:rsidR="00AA3736">
        <w:rPr>
          <w:color w:val="000000" w:themeColor="text1"/>
        </w:rPr>
        <w:t xml:space="preserve"> mutations </w:t>
      </w:r>
      <w:r w:rsidR="007E502E">
        <w:rPr>
          <w:color w:val="000000" w:themeColor="text1"/>
        </w:rPr>
        <w:t xml:space="preserve">emerge over time, </w:t>
      </w:r>
      <w:r w:rsidR="00D904AF" w:rsidRPr="00FF27D4">
        <w:rPr>
          <w:rFonts w:eastAsiaTheme="minorEastAsia"/>
        </w:rPr>
        <w:t xml:space="preserve">the majority of </w:t>
      </w:r>
      <w:r w:rsidR="00D904AF" w:rsidRPr="00FF27D4">
        <w:rPr>
          <w:rFonts w:eastAsiaTheme="minorEastAsia"/>
          <w:i/>
          <w:iCs/>
        </w:rPr>
        <w:t>ESR1</w:t>
      </w:r>
      <w:r w:rsidR="00AC6156" w:rsidRPr="00FF27D4">
        <w:rPr>
          <w:rFonts w:eastAsiaTheme="minorEastAsia"/>
        </w:rPr>
        <w:t xml:space="preserve"> variant</w:t>
      </w:r>
      <w:r w:rsidR="00D904AF" w:rsidRPr="00FF27D4">
        <w:rPr>
          <w:rFonts w:eastAsiaTheme="minorEastAsia"/>
        </w:rPr>
        <w:t xml:space="preserve"> patients are identified early, and the occurrence of new cases is expected to decrease in later treatment lines as patients transition away from ET-based therapies.</w:t>
      </w:r>
    </w:p>
    <w:p w14:paraId="37ABAC8B" w14:textId="5AAFD2ED" w:rsidR="009E18C3" w:rsidRPr="000A7BB0" w:rsidRDefault="009E18C3" w:rsidP="002553CE">
      <w:pPr>
        <w:numPr>
          <w:ilvl w:val="4"/>
          <w:numId w:val="11"/>
        </w:numPr>
        <w:ind w:left="709" w:hanging="709"/>
        <w:rPr>
          <w:color w:val="000000" w:themeColor="text1"/>
        </w:rPr>
      </w:pPr>
      <w:r w:rsidRPr="000A7BB0">
        <w:rPr>
          <w:color w:val="000000" w:themeColor="text1"/>
        </w:rPr>
        <w:t xml:space="preserve">No test scenarios were included in the economic model. This implies that testing </w:t>
      </w:r>
      <w:r w:rsidR="00E00697">
        <w:rPr>
          <w:color w:val="000000" w:themeColor="text1"/>
        </w:rPr>
        <w:t xml:space="preserve">in clinical practice </w:t>
      </w:r>
      <w:r w:rsidRPr="000A7BB0">
        <w:rPr>
          <w:color w:val="000000" w:themeColor="text1"/>
        </w:rPr>
        <w:t>incurs no false negative or false positive results</w:t>
      </w:r>
      <w:r w:rsidR="2C270CFF" w:rsidRPr="000A7BB0">
        <w:rPr>
          <w:color w:val="000000" w:themeColor="text1"/>
        </w:rPr>
        <w:t xml:space="preserve"> </w:t>
      </w:r>
      <w:r w:rsidR="2C270CFF" w:rsidRPr="004A232C">
        <w:rPr>
          <w:color w:val="000000" w:themeColor="text1"/>
        </w:rPr>
        <w:t>compared with t</w:t>
      </w:r>
      <w:r w:rsidR="1F1A5D98" w:rsidRPr="004A232C">
        <w:rPr>
          <w:color w:val="000000" w:themeColor="text1"/>
        </w:rPr>
        <w:t>esting in the EMERALD trial</w:t>
      </w:r>
      <w:r w:rsidRPr="004A232C">
        <w:rPr>
          <w:color w:val="000000" w:themeColor="text1"/>
        </w:rPr>
        <w:t>,</w:t>
      </w:r>
      <w:r w:rsidRPr="000A7BB0">
        <w:rPr>
          <w:color w:val="000000" w:themeColor="text1"/>
        </w:rPr>
        <w:t xml:space="preserve"> test uptake is 100%, and test failure rate is 0%. This was not appropriate; based on the data provided in the submission, </w:t>
      </w:r>
      <w:r w:rsidR="0092571F">
        <w:rPr>
          <w:color w:val="000000" w:themeColor="text1"/>
        </w:rPr>
        <w:t xml:space="preserve">there were differences between </w:t>
      </w:r>
      <w:r w:rsidRPr="000A7BB0">
        <w:rPr>
          <w:color w:val="000000" w:themeColor="text1"/>
        </w:rPr>
        <w:t xml:space="preserve">the </w:t>
      </w:r>
      <w:r w:rsidR="00407C59">
        <w:rPr>
          <w:color w:val="000000" w:themeColor="text1"/>
        </w:rPr>
        <w:t xml:space="preserve">assay proposed for use in Australia and the </w:t>
      </w:r>
      <w:r w:rsidRPr="000A7BB0">
        <w:rPr>
          <w:color w:val="000000" w:themeColor="text1"/>
        </w:rPr>
        <w:t>assay used in the EMERALD trial</w:t>
      </w:r>
      <w:r w:rsidR="009B041C">
        <w:rPr>
          <w:color w:val="000000" w:themeColor="text1"/>
        </w:rPr>
        <w:t>;</w:t>
      </w:r>
      <w:r w:rsidRPr="000A7BB0">
        <w:rPr>
          <w:color w:val="000000" w:themeColor="text1"/>
        </w:rPr>
        <w:t xml:space="preserve"> Guardant360® CDx</w:t>
      </w:r>
      <w:r w:rsidR="00467320">
        <w:rPr>
          <w:color w:val="000000" w:themeColor="text1"/>
        </w:rPr>
        <w:t xml:space="preserve"> (used in EMERALD)</w:t>
      </w:r>
      <w:r w:rsidRPr="000A7BB0">
        <w:rPr>
          <w:color w:val="000000" w:themeColor="text1"/>
        </w:rPr>
        <w:t xml:space="preserve"> could be interpreted as reporting 14% false positives (based on 86% PPV) and 3% false negatives (based on 97% NPV) and one patient was reported to have failed the test and had to be re-test</w:t>
      </w:r>
      <w:r w:rsidR="2BEEFAD2" w:rsidRPr="000A7BB0">
        <w:rPr>
          <w:color w:val="000000" w:themeColor="text1"/>
        </w:rPr>
        <w:t>ed</w:t>
      </w:r>
      <w:r w:rsidRPr="000A7BB0">
        <w:rPr>
          <w:color w:val="000000" w:themeColor="text1"/>
        </w:rPr>
        <w:t xml:space="preserve"> (and subsequently not included in the analysis).</w:t>
      </w:r>
      <w:r w:rsidR="2314A43F" w:rsidRPr="000A7BB0">
        <w:rPr>
          <w:color w:val="000000" w:themeColor="text1"/>
        </w:rPr>
        <w:t xml:space="preserve"> </w:t>
      </w:r>
      <w:r w:rsidR="6505E53A" w:rsidRPr="000A7BB0">
        <w:rPr>
          <w:color w:val="000000" w:themeColor="text1"/>
        </w:rPr>
        <w:t>It is likely that the assumptions made regarding 100% test accuracy would likely underestimate the ICER, however g</w:t>
      </w:r>
      <w:r w:rsidR="2314A43F" w:rsidRPr="000A7BB0">
        <w:rPr>
          <w:color w:val="000000" w:themeColor="text1"/>
        </w:rPr>
        <w:t xml:space="preserve">iven the structure of the model, sensitivity analyses could not be conducted during the evaluation to test the impact of these assumptions. </w:t>
      </w:r>
    </w:p>
    <w:p w14:paraId="50072623" w14:textId="5E42DA6D" w:rsidR="009E18C3" w:rsidRPr="004A232C" w:rsidRDefault="009E18C3" w:rsidP="002553CE">
      <w:pPr>
        <w:numPr>
          <w:ilvl w:val="4"/>
          <w:numId w:val="11"/>
        </w:numPr>
        <w:ind w:left="709" w:hanging="709"/>
        <w:rPr>
          <w:color w:val="000000" w:themeColor="text1"/>
        </w:rPr>
      </w:pPr>
      <w:r w:rsidRPr="000A7BB0">
        <w:rPr>
          <w:color w:val="000000" w:themeColor="text1"/>
        </w:rPr>
        <w:lastRenderedPageBreak/>
        <w:t xml:space="preserve">The economic model used Kaplan Meier (KM) data from the </w:t>
      </w:r>
      <w:r w:rsidRPr="7003A777">
        <w:rPr>
          <w:i/>
          <w:iCs/>
          <w:color w:val="000000" w:themeColor="text1"/>
        </w:rPr>
        <w:t>ESR1</w:t>
      </w:r>
      <w:r w:rsidR="6C881C3E" w:rsidRPr="000A7BB0">
        <w:rPr>
          <w:color w:val="000000" w:themeColor="text1"/>
        </w:rPr>
        <w:t xml:space="preserve"> </w:t>
      </w:r>
      <w:r w:rsidRPr="000A7BB0">
        <w:rPr>
          <w:color w:val="000000" w:themeColor="text1"/>
        </w:rPr>
        <w:t xml:space="preserve">variant positive subgroup of patients from the EMERALD trial (September 2022 data cut) for the key outcomes (OS, PFS, time to chemotherapy of death [TCD] and time-to-treatment discontinuation [TTD]) until the mean OS follow-up across both treatment arms </w:t>
      </w:r>
      <w:r w:rsidRPr="00DD79D9">
        <w:rPr>
          <w:color w:val="000000" w:themeColor="text1"/>
        </w:rPr>
        <w:t>(=17.95 months)</w:t>
      </w:r>
      <w:bookmarkStart w:id="36" w:name="_Ref200531908"/>
      <w:r w:rsidR="005B6040" w:rsidRPr="00DD79D9">
        <w:rPr>
          <w:rStyle w:val="FootnoteReference"/>
          <w:color w:val="000000" w:themeColor="text1"/>
        </w:rPr>
        <w:footnoteReference w:id="18"/>
      </w:r>
      <w:bookmarkEnd w:id="36"/>
      <w:r w:rsidRPr="00DD79D9">
        <w:rPr>
          <w:color w:val="000000" w:themeColor="text1"/>
        </w:rPr>
        <w:t xml:space="preserve">. Following this, fitted parametric distributions were applied to extrapolate model outcomes. The </w:t>
      </w:r>
      <w:r w:rsidR="4895883B" w:rsidRPr="00DD79D9">
        <w:rPr>
          <w:color w:val="000000" w:themeColor="text1"/>
        </w:rPr>
        <w:t xml:space="preserve">evaluation considered the </w:t>
      </w:r>
      <w:r w:rsidRPr="00DD79D9">
        <w:rPr>
          <w:color w:val="000000" w:themeColor="text1"/>
        </w:rPr>
        <w:t xml:space="preserve">choice of a single truncation point for all outcomes was not </w:t>
      </w:r>
      <w:r w:rsidR="0D276A78" w:rsidRPr="00DD79D9">
        <w:rPr>
          <w:color w:val="000000" w:themeColor="text1"/>
        </w:rPr>
        <w:t>appropriate</w:t>
      </w:r>
      <w:r w:rsidRPr="00DD79D9">
        <w:rPr>
          <w:color w:val="000000" w:themeColor="text1"/>
        </w:rPr>
        <w:t xml:space="preserve"> a</w:t>
      </w:r>
      <w:r w:rsidR="0D276A78" w:rsidRPr="00DD79D9">
        <w:rPr>
          <w:color w:val="000000" w:themeColor="text1"/>
        </w:rPr>
        <w:t>s it</w:t>
      </w:r>
      <w:r w:rsidRPr="00DD79D9">
        <w:rPr>
          <w:color w:val="000000" w:themeColor="text1"/>
        </w:rPr>
        <w:t xml:space="preserve"> excludes data from many patients in both treatment arms </w:t>
      </w:r>
      <w:r w:rsidRPr="7003A777">
        <w:rPr>
          <w:color w:val="000000" w:themeColor="text1"/>
        </w:rPr>
        <w:t>(approximately 67% of patients in the elacestrant arm and 54% of patients in the SOC arm remain at risk for the OS outcome, while 18% of patients in the elacestrant arm remain at risk for the PFS outcome</w:t>
      </w:r>
      <w:r w:rsidRPr="00DD79D9">
        <w:rPr>
          <w:color w:val="000000" w:themeColor="text1"/>
        </w:rPr>
        <w:t>)</w:t>
      </w:r>
      <w:r w:rsidR="00266D9D" w:rsidRPr="00DD79D9">
        <w:rPr>
          <w:color w:val="000000" w:themeColor="text1"/>
          <w:vertAlign w:val="superscript"/>
        </w:rPr>
        <w:fldChar w:fldCharType="begin"/>
      </w:r>
      <w:r w:rsidR="00266D9D" w:rsidRPr="00DD79D9">
        <w:rPr>
          <w:color w:val="000000" w:themeColor="text1"/>
          <w:vertAlign w:val="superscript"/>
        </w:rPr>
        <w:instrText xml:space="preserve"> NOTEREF _Ref200531908 \h  \* MERGEFORMAT </w:instrText>
      </w:r>
      <w:r w:rsidR="00266D9D" w:rsidRPr="00DD79D9">
        <w:rPr>
          <w:color w:val="000000" w:themeColor="text1"/>
          <w:vertAlign w:val="superscript"/>
        </w:rPr>
      </w:r>
      <w:r w:rsidR="00266D9D" w:rsidRPr="00DD79D9">
        <w:rPr>
          <w:color w:val="000000" w:themeColor="text1"/>
          <w:vertAlign w:val="superscript"/>
        </w:rPr>
        <w:fldChar w:fldCharType="separate"/>
      </w:r>
      <w:r w:rsidR="004F224A">
        <w:rPr>
          <w:color w:val="000000" w:themeColor="text1"/>
          <w:vertAlign w:val="superscript"/>
        </w:rPr>
        <w:t>17</w:t>
      </w:r>
      <w:r w:rsidR="00266D9D" w:rsidRPr="00DD79D9">
        <w:rPr>
          <w:color w:val="000000" w:themeColor="text1"/>
          <w:vertAlign w:val="superscript"/>
        </w:rPr>
        <w:fldChar w:fldCharType="end"/>
      </w:r>
      <w:r w:rsidRPr="00DD79D9">
        <w:rPr>
          <w:color w:val="000000" w:themeColor="text1"/>
        </w:rPr>
        <w:t>.</w:t>
      </w:r>
      <w:r w:rsidR="6769D4BB" w:rsidRPr="000A7BB0">
        <w:rPr>
          <w:color w:val="000000" w:themeColor="text1"/>
        </w:rPr>
        <w:t xml:space="preserve"> Th</w:t>
      </w:r>
      <w:r w:rsidR="149A23D1" w:rsidRPr="000A7BB0">
        <w:rPr>
          <w:color w:val="000000" w:themeColor="text1"/>
        </w:rPr>
        <w:t>e chosen truncation point is when the OS curves are most separated,</w:t>
      </w:r>
      <w:r w:rsidR="6769D4BB" w:rsidRPr="000A7BB0">
        <w:rPr>
          <w:color w:val="000000" w:themeColor="text1"/>
        </w:rPr>
        <w:t xml:space="preserve"> result</w:t>
      </w:r>
      <w:r w:rsidR="149A23D1" w:rsidRPr="000A7BB0">
        <w:rPr>
          <w:color w:val="000000" w:themeColor="text1"/>
        </w:rPr>
        <w:t>ing</w:t>
      </w:r>
      <w:r w:rsidR="6769D4BB" w:rsidRPr="000A7BB0">
        <w:rPr>
          <w:color w:val="000000" w:themeColor="text1"/>
        </w:rPr>
        <w:t xml:space="preserve"> in </w:t>
      </w:r>
      <w:r w:rsidR="149A23D1" w:rsidRPr="000A7BB0">
        <w:rPr>
          <w:color w:val="000000" w:themeColor="text1"/>
        </w:rPr>
        <w:t>an increasing</w:t>
      </w:r>
      <w:r w:rsidR="6769D4BB" w:rsidRPr="000A7BB0">
        <w:rPr>
          <w:color w:val="000000" w:themeColor="text1"/>
        </w:rPr>
        <w:t xml:space="preserve"> OS benefit</w:t>
      </w:r>
      <w:r w:rsidR="149A23D1" w:rsidRPr="000A7BB0">
        <w:rPr>
          <w:color w:val="000000" w:themeColor="text1"/>
        </w:rPr>
        <w:t xml:space="preserve"> in the elacestrant arm over the time hori</w:t>
      </w:r>
      <w:r w:rsidR="43305CF6" w:rsidRPr="000A7BB0">
        <w:rPr>
          <w:color w:val="000000" w:themeColor="text1"/>
        </w:rPr>
        <w:t>z</w:t>
      </w:r>
      <w:r w:rsidR="149A23D1" w:rsidRPr="000A7BB0">
        <w:rPr>
          <w:color w:val="000000" w:themeColor="text1"/>
        </w:rPr>
        <w:t xml:space="preserve">on, despite clear convergence of the OS curves from the trial data (see </w:t>
      </w:r>
      <w:r w:rsidR="00DE58B3" w:rsidRPr="000A7BB0">
        <w:rPr>
          <w:color w:val="000000" w:themeColor="text1"/>
        </w:rPr>
        <w:fldChar w:fldCharType="begin"/>
      </w:r>
      <w:r w:rsidR="00DE58B3" w:rsidRPr="000A7BB0">
        <w:rPr>
          <w:color w:val="000000" w:themeColor="text1"/>
        </w:rPr>
        <w:instrText xml:space="preserve"> REF _Ref187417307 \h </w:instrText>
      </w:r>
      <w:r w:rsidR="009018BD" w:rsidRPr="000A7BB0">
        <w:rPr>
          <w:color w:val="000000" w:themeColor="text1"/>
        </w:rPr>
        <w:instrText xml:space="preserve"> \* MERGEFORMAT </w:instrText>
      </w:r>
      <w:r w:rsidR="00DE58B3" w:rsidRPr="000A7BB0">
        <w:rPr>
          <w:color w:val="000000" w:themeColor="text1"/>
        </w:rPr>
      </w:r>
      <w:r w:rsidR="00DE58B3" w:rsidRPr="000A7BB0">
        <w:rPr>
          <w:color w:val="000000" w:themeColor="text1"/>
        </w:rPr>
        <w:fldChar w:fldCharType="separate"/>
      </w:r>
      <w:r w:rsidR="004F224A" w:rsidRPr="004F224A">
        <w:rPr>
          <w:color w:val="000000" w:themeColor="text1"/>
        </w:rPr>
        <w:t>Figure 6</w:t>
      </w:r>
      <w:r w:rsidR="00DE58B3" w:rsidRPr="000A7BB0">
        <w:rPr>
          <w:color w:val="000000" w:themeColor="text1"/>
        </w:rPr>
        <w:fldChar w:fldCharType="end"/>
      </w:r>
      <w:r w:rsidR="149A23D1" w:rsidRPr="000A7BB0">
        <w:rPr>
          <w:color w:val="000000" w:themeColor="text1"/>
        </w:rPr>
        <w:t>).</w:t>
      </w:r>
      <w:r w:rsidR="7E9A7EFB" w:rsidRPr="000A7BB0">
        <w:rPr>
          <w:color w:val="000000" w:themeColor="text1"/>
        </w:rPr>
        <w:t xml:space="preserve"> </w:t>
      </w:r>
      <w:r w:rsidR="6769D4BB" w:rsidRPr="000A7BB0">
        <w:rPr>
          <w:color w:val="000000" w:themeColor="text1"/>
        </w:rPr>
        <w:t xml:space="preserve">The </w:t>
      </w:r>
      <w:r w:rsidR="77CECDAB" w:rsidRPr="000A7BB0">
        <w:rPr>
          <w:color w:val="000000" w:themeColor="text1"/>
        </w:rPr>
        <w:t>evaluation presented</w:t>
      </w:r>
      <w:r w:rsidR="6769D4BB" w:rsidRPr="000A7BB0">
        <w:rPr>
          <w:color w:val="000000" w:themeColor="text1"/>
        </w:rPr>
        <w:t xml:space="preserve"> sensitivity analysis using more appropriate truncation points for each model outcome individually, using methods from Gebski</w:t>
      </w:r>
      <w:r w:rsidRPr="000A7BB0">
        <w:rPr>
          <w:color w:val="000000" w:themeColor="text1"/>
        </w:rPr>
        <w:t xml:space="preserve"> </w:t>
      </w:r>
      <w:r w:rsidR="6769D4BB" w:rsidRPr="000A7BB0">
        <w:rPr>
          <w:color w:val="000000" w:themeColor="text1"/>
        </w:rPr>
        <w:t>2018.</w:t>
      </w:r>
      <w:r w:rsidRPr="000A7BB0">
        <w:rPr>
          <w:color w:val="000000" w:themeColor="text1"/>
        </w:rPr>
        <w:t xml:space="preserve"> </w:t>
      </w:r>
      <w:r w:rsidR="15B423F6" w:rsidRPr="004A232C">
        <w:rPr>
          <w:color w:val="000000" w:themeColor="text1"/>
        </w:rPr>
        <w:t xml:space="preserve">The PSCR </w:t>
      </w:r>
      <w:r w:rsidR="6DF50328">
        <w:rPr>
          <w:color w:val="000000" w:themeColor="text1"/>
        </w:rPr>
        <w:t xml:space="preserve">and pre-PBAC response </w:t>
      </w:r>
      <w:r w:rsidR="15B423F6" w:rsidRPr="004A232C">
        <w:rPr>
          <w:color w:val="000000" w:themeColor="text1"/>
        </w:rPr>
        <w:t xml:space="preserve">argued that </w:t>
      </w:r>
      <w:r w:rsidR="74995D4E" w:rsidRPr="004A232C">
        <w:rPr>
          <w:color w:val="000000" w:themeColor="text1"/>
        </w:rPr>
        <w:t>upon disease progression patients were allowed to receive other treatments</w:t>
      </w:r>
      <w:r w:rsidR="3D1AA3FD" w:rsidRPr="004A232C">
        <w:rPr>
          <w:color w:val="000000" w:themeColor="text1"/>
        </w:rPr>
        <w:t xml:space="preserve"> and </w:t>
      </w:r>
      <w:r w:rsidR="68B24909" w:rsidRPr="004A232C">
        <w:rPr>
          <w:color w:val="000000" w:themeColor="text1"/>
        </w:rPr>
        <w:t xml:space="preserve">therefore the </w:t>
      </w:r>
      <w:r w:rsidR="2FBD6FFE" w:rsidRPr="004A232C">
        <w:rPr>
          <w:color w:val="000000" w:themeColor="text1"/>
        </w:rPr>
        <w:t>18</w:t>
      </w:r>
      <w:r w:rsidR="7902DF21" w:rsidRPr="004A232C">
        <w:rPr>
          <w:color w:val="000000" w:themeColor="text1"/>
        </w:rPr>
        <w:t>-</w:t>
      </w:r>
      <w:r w:rsidR="2FBD6FFE" w:rsidRPr="004A232C">
        <w:rPr>
          <w:color w:val="000000" w:themeColor="text1"/>
        </w:rPr>
        <w:t>month</w:t>
      </w:r>
      <w:r w:rsidR="74995D4E" w:rsidRPr="004A232C">
        <w:rPr>
          <w:color w:val="000000" w:themeColor="text1"/>
        </w:rPr>
        <w:t xml:space="preserve"> </w:t>
      </w:r>
      <w:r w:rsidR="3D1AA3FD" w:rsidRPr="004A232C">
        <w:rPr>
          <w:color w:val="000000" w:themeColor="text1"/>
        </w:rPr>
        <w:t>cutoff helps mitigate bias in OS outcomes caused by the impact of post-progression therapies.</w:t>
      </w:r>
      <w:r w:rsidR="2FBD6FFE" w:rsidRPr="004A232C">
        <w:rPr>
          <w:color w:val="000000" w:themeColor="text1"/>
        </w:rPr>
        <w:t xml:space="preserve"> </w:t>
      </w:r>
      <w:r w:rsidR="6D9CE40A" w:rsidRPr="004A232C">
        <w:rPr>
          <w:color w:val="000000" w:themeColor="text1"/>
        </w:rPr>
        <w:t xml:space="preserve">The ESCs considered the </w:t>
      </w:r>
      <w:r w:rsidR="614E04D4" w:rsidRPr="004A232C">
        <w:rPr>
          <w:color w:val="000000" w:themeColor="text1"/>
        </w:rPr>
        <w:t>treatments received after progression</w:t>
      </w:r>
      <w:r w:rsidRPr="004A232C">
        <w:rPr>
          <w:color w:val="000000" w:themeColor="text1"/>
        </w:rPr>
        <w:t xml:space="preserve"> </w:t>
      </w:r>
      <w:r w:rsidR="518AA97F" w:rsidRPr="004A232C">
        <w:rPr>
          <w:color w:val="000000" w:themeColor="text1"/>
        </w:rPr>
        <w:t>are likely to reflect clinical practice</w:t>
      </w:r>
      <w:r w:rsidR="3F04B6AF" w:rsidRPr="004A232C">
        <w:rPr>
          <w:color w:val="000000" w:themeColor="text1"/>
        </w:rPr>
        <w:t xml:space="preserve"> and considered that </w:t>
      </w:r>
      <w:r w:rsidR="25871873" w:rsidRPr="004A232C">
        <w:rPr>
          <w:color w:val="000000" w:themeColor="text1"/>
        </w:rPr>
        <w:t>the observed time-to-event data should be used up to the time point at which the observed data become unreliable as a result of small numbers of patients remaining event-free.</w:t>
      </w:r>
    </w:p>
    <w:p w14:paraId="3D4EFE28" w14:textId="413C230C" w:rsidR="009E18C3" w:rsidRPr="000A7BB0" w:rsidRDefault="009E18C3" w:rsidP="002553CE">
      <w:pPr>
        <w:numPr>
          <w:ilvl w:val="4"/>
          <w:numId w:val="11"/>
        </w:numPr>
        <w:ind w:left="709" w:hanging="709"/>
        <w:rPr>
          <w:color w:val="000000" w:themeColor="text1"/>
        </w:rPr>
      </w:pPr>
      <w:r w:rsidRPr="000A7BB0">
        <w:rPr>
          <w:color w:val="000000" w:themeColor="text1"/>
        </w:rPr>
        <w:t xml:space="preserve">Based on Akaike information criterion (AIC) and Bayesian information criterion (BIC) goodness-of-fit statistics and visual interpretation of the hazard plots, the Generalised Gamma </w:t>
      </w:r>
      <w:r w:rsidR="2F7BBB40" w:rsidRPr="000A7BB0">
        <w:rPr>
          <w:color w:val="000000" w:themeColor="text1"/>
        </w:rPr>
        <w:t>parametric</w:t>
      </w:r>
      <w:r w:rsidRPr="000A7BB0">
        <w:rPr>
          <w:color w:val="000000" w:themeColor="text1"/>
        </w:rPr>
        <w:t xml:space="preserve"> curve was selected in the base case to extrapolate PFS outcomes for elacestrant. Using the Generalised Gamma distribution for PFS for elacestrant resulted in a predicted median PFS of 5.44 months, compared to the observed median PFS of 3.78 months in the EMERALD trial. Although the model also overestimated median PFS for SOC (3.26 months vs 1.87 months observed in EMERALD), the difference in median PFS between elacestrant and SOC in the model was greater than that observed in EMERALD (2.18 vs 1.91 months). It is also estimated that 6.71% of patients treated with elacestrant will be alive and </w:t>
      </w:r>
      <w:r w:rsidR="1ECA3810" w:rsidRPr="000A7BB0">
        <w:rPr>
          <w:color w:val="000000" w:themeColor="text1"/>
        </w:rPr>
        <w:t xml:space="preserve">progression free </w:t>
      </w:r>
      <w:r w:rsidRPr="000A7BB0">
        <w:rPr>
          <w:color w:val="000000" w:themeColor="text1"/>
        </w:rPr>
        <w:t>at 5-years. The choice of parametric curve for PFS for elacestrant was a key driv</w:t>
      </w:r>
      <w:r w:rsidR="0E6D7993" w:rsidRPr="000A7BB0">
        <w:rPr>
          <w:color w:val="000000" w:themeColor="text1"/>
        </w:rPr>
        <w:t>e</w:t>
      </w:r>
      <w:r w:rsidRPr="000A7BB0">
        <w:rPr>
          <w:color w:val="000000" w:themeColor="text1"/>
        </w:rPr>
        <w:t xml:space="preserve">r of the ICER, </w:t>
      </w:r>
      <w:r w:rsidR="67263869" w:rsidRPr="000A7BB0">
        <w:rPr>
          <w:color w:val="000000" w:themeColor="text1"/>
        </w:rPr>
        <w:t xml:space="preserve">the base case </w:t>
      </w:r>
      <w:r w:rsidRPr="000A7BB0">
        <w:rPr>
          <w:color w:val="000000" w:themeColor="text1"/>
        </w:rPr>
        <w:t xml:space="preserve">favouring elacestrant. Selection of the Log-normal distribution (ranked second based on AIC and BIC goodness-of-fit statistics) results in an estimated 0.77% of patients alive and PF at 5-years; this may be a more plausible choice. </w:t>
      </w:r>
    </w:p>
    <w:p w14:paraId="6EA57D7B" w14:textId="4490BCBE" w:rsidR="009E18C3" w:rsidRPr="000A7BB0" w:rsidRDefault="535A7716" w:rsidP="002553CE">
      <w:pPr>
        <w:pStyle w:val="Caption"/>
        <w:rPr>
          <w:rStyle w:val="TableFigureHeadingChar"/>
          <w:rFonts w:asciiTheme="minorHAnsi" w:eastAsiaTheme="minorEastAsia" w:hAnsiTheme="minorHAnsi" w:cstheme="minorBidi"/>
          <w:b/>
          <w:i/>
          <w:sz w:val="24"/>
          <w:lang w:eastAsia="en-US"/>
        </w:rPr>
      </w:pPr>
      <w:r w:rsidRPr="000A7BB0">
        <w:lastRenderedPageBreak/>
        <w:t xml:space="preserve">Figure </w:t>
      </w:r>
      <w:r w:rsidR="009E18C3" w:rsidRPr="000A7BB0">
        <w:rPr>
          <w:rStyle w:val="TableFigureHeadingChar"/>
          <w:b/>
        </w:rPr>
        <w:fldChar w:fldCharType="begin"/>
      </w:r>
      <w:r w:rsidR="009E18C3" w:rsidRPr="000A7BB0">
        <w:rPr>
          <w:rStyle w:val="TableFigureHeadingChar"/>
          <w:b/>
        </w:rPr>
        <w:instrText xml:space="preserve"> SEQ Figure_PBAC. \* ARABIC </w:instrText>
      </w:r>
      <w:r w:rsidR="009E18C3" w:rsidRPr="000A7BB0">
        <w:rPr>
          <w:rStyle w:val="TableFigureHeadingChar"/>
          <w:b/>
        </w:rPr>
        <w:fldChar w:fldCharType="separate"/>
      </w:r>
      <w:r w:rsidR="004F224A">
        <w:rPr>
          <w:rStyle w:val="TableFigureHeadingChar"/>
          <w:b/>
          <w:noProof/>
        </w:rPr>
        <w:t>8</w:t>
      </w:r>
      <w:r w:rsidR="009E18C3" w:rsidRPr="000A7BB0">
        <w:rPr>
          <w:rStyle w:val="TableFigureHeadingChar"/>
          <w:b/>
        </w:rPr>
        <w:fldChar w:fldCharType="end"/>
      </w:r>
      <w:r w:rsidR="009E18C3" w:rsidRPr="000A7BB0">
        <w:rPr>
          <w:rStyle w:val="TableFigureHeadingChar"/>
          <w:b/>
        </w:rPr>
        <w:t>: Predicted survival from independent parametric models compared to the observed data – elacestrant – PFS – label populatio</w:t>
      </w:r>
      <w:r w:rsidR="009E18C3" w:rsidRPr="00EE3457">
        <w:rPr>
          <w:rStyle w:val="TableFigureHeadingChar"/>
          <w:b/>
          <w:bCs w:val="0"/>
        </w:rPr>
        <w:t>n</w:t>
      </w:r>
      <w:r w:rsidR="009E18C3" w:rsidRPr="000A7BB0">
        <w:rPr>
          <w:noProof/>
        </w:rPr>
        <w:drawing>
          <wp:inline distT="0" distB="0" distL="0" distR="0" wp14:anchorId="74F0A36B" wp14:editId="201E1142">
            <wp:extent cx="5364356" cy="3036498"/>
            <wp:effectExtent l="0" t="0" r="8255" b="0"/>
            <wp:docPr id="1304797327" name="Picture 11" descr="Figure 8: Line graph showing predicted survival from independent parametric models compared to the observed data – elacestrant – PFS – labe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97327" name="Picture 11" descr="Figure 8: Line graph showing predicted survival from independent parametric models compared to the observed data – elacestrant – PFS – label populati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383122" cy="3047121"/>
                    </a:xfrm>
                    <a:prstGeom prst="rect">
                      <a:avLst/>
                    </a:prstGeom>
                    <a:noFill/>
                    <a:ln>
                      <a:noFill/>
                    </a:ln>
                    <a:extLst>
                      <a:ext uri="{53640926-AAD7-44D8-BBD7-CCE9431645EC}">
                        <a14:shadowObscured xmlns:a14="http://schemas.microsoft.com/office/drawing/2010/main"/>
                      </a:ext>
                    </a:extLst>
                  </pic:spPr>
                </pic:pic>
              </a:graphicData>
            </a:graphic>
          </wp:inline>
        </w:drawing>
      </w:r>
    </w:p>
    <w:p w14:paraId="5DCBC347" w14:textId="77777777" w:rsidR="009E18C3" w:rsidRPr="000A7BB0" w:rsidRDefault="009E18C3" w:rsidP="002553CE">
      <w:pPr>
        <w:pStyle w:val="FooterTableFigure"/>
        <w:jc w:val="both"/>
      </w:pPr>
      <w:r w:rsidRPr="000A7BB0">
        <w:t>Source: Figure 3.8, p302 of the submission.</w:t>
      </w:r>
    </w:p>
    <w:p w14:paraId="6D0F74B3" w14:textId="77777777" w:rsidR="009E18C3" w:rsidRDefault="009E18C3" w:rsidP="002553CE">
      <w:pPr>
        <w:pStyle w:val="FooterTableFigure"/>
        <w:jc w:val="both"/>
      </w:pPr>
      <w:r w:rsidRPr="000A7BB0">
        <w:t>PFS = progression free survival.</w:t>
      </w:r>
    </w:p>
    <w:p w14:paraId="3762390E" w14:textId="404E765E" w:rsidR="009855DA" w:rsidRPr="009855DA" w:rsidRDefault="009855DA" w:rsidP="002553CE">
      <w:pPr>
        <w:pStyle w:val="FooterTableFigure"/>
        <w:jc w:val="both"/>
        <w:rPr>
          <w:i/>
          <w:iCs/>
        </w:rPr>
      </w:pPr>
      <w:r w:rsidRPr="009855DA">
        <w:rPr>
          <w:i/>
          <w:iCs/>
        </w:rPr>
        <w:t>Note that the results presented in Figure 8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6FBCC819" w14:textId="25569B00" w:rsidR="009E18C3" w:rsidRPr="000A7BB0" w:rsidRDefault="009E18C3" w:rsidP="002553CE">
      <w:pPr>
        <w:numPr>
          <w:ilvl w:val="4"/>
          <w:numId w:val="11"/>
        </w:numPr>
        <w:ind w:left="709" w:hanging="709"/>
        <w:rPr>
          <w:color w:val="000000" w:themeColor="text1"/>
        </w:rPr>
      </w:pPr>
      <w:r w:rsidRPr="000A7BB0">
        <w:rPr>
          <w:color w:val="000000" w:themeColor="text1"/>
        </w:rPr>
        <w:t xml:space="preserve">Despite ranking 5/7 based on AIC and BIC goodness-of-fit statistics, the submission chose the log-logistic parametric curve to extrapolate OS outcomes for elacestrant, arguing that visual interpretation of the hazard plots and clinical feedback indicates that the log-logistic curve most closely aligns with the elacestrant data and statistical expectations for OS. Using the log-logistic distribution for elacestrant likely overestimates the survival of this patient population; it was estimated that 13.52% of patients will be alive at 5-years and 3.59% of patients will be alive at 10-years. The choice of parametric curve for OS for elacestrant was a key driver of the ICER, </w:t>
      </w:r>
      <w:r w:rsidR="3700F191" w:rsidRPr="000A7BB0">
        <w:rPr>
          <w:color w:val="000000" w:themeColor="text1"/>
        </w:rPr>
        <w:t xml:space="preserve">the base case </w:t>
      </w:r>
      <w:r w:rsidRPr="000A7BB0">
        <w:rPr>
          <w:color w:val="000000" w:themeColor="text1"/>
        </w:rPr>
        <w:t>favouring elacestrant. Using the Gamma distribution resulted in 5-year survival estimates of 7.17% and a 10-year survival estimate of 0.17%; this may be</w:t>
      </w:r>
      <w:r w:rsidR="3700F191" w:rsidRPr="000A7BB0">
        <w:rPr>
          <w:color w:val="000000" w:themeColor="text1"/>
        </w:rPr>
        <w:t xml:space="preserve"> a</w:t>
      </w:r>
      <w:r w:rsidRPr="000A7BB0">
        <w:rPr>
          <w:color w:val="000000" w:themeColor="text1"/>
        </w:rPr>
        <w:t xml:space="preserve"> more plausible estimate.</w:t>
      </w:r>
      <w:r w:rsidR="005F7646">
        <w:rPr>
          <w:color w:val="000000" w:themeColor="text1"/>
        </w:rPr>
        <w:t xml:space="preserve"> </w:t>
      </w:r>
    </w:p>
    <w:p w14:paraId="5D84FFC0" w14:textId="3ECFF17E" w:rsidR="009E18C3" w:rsidRPr="000A7BB0" w:rsidRDefault="009E18C3" w:rsidP="002553CE">
      <w:pPr>
        <w:pStyle w:val="Caption"/>
      </w:pPr>
      <w:r w:rsidRPr="000A7BB0">
        <w:lastRenderedPageBreak/>
        <w:t xml:space="preserve">Figure </w:t>
      </w:r>
      <w:r>
        <w:fldChar w:fldCharType="begin"/>
      </w:r>
      <w:r>
        <w:instrText>SEQ Figure_PBAC. \* ARABIC</w:instrText>
      </w:r>
      <w:r>
        <w:fldChar w:fldCharType="separate"/>
      </w:r>
      <w:r w:rsidR="004F224A">
        <w:rPr>
          <w:noProof/>
        </w:rPr>
        <w:t>9</w:t>
      </w:r>
      <w:r>
        <w:fldChar w:fldCharType="end"/>
      </w:r>
      <w:r w:rsidRPr="000A7BB0">
        <w:t>: Predicted survival from independent parametric models compared to the observed data Elacestrant – OS – label population</w:t>
      </w:r>
    </w:p>
    <w:p w14:paraId="52544656" w14:textId="77777777" w:rsidR="009E18C3" w:rsidRPr="000A7BB0" w:rsidRDefault="009E18C3" w:rsidP="002553CE">
      <w:pPr>
        <w:spacing w:before="0" w:after="0"/>
        <w:ind w:left="720" w:hanging="720"/>
        <w:rPr>
          <w:rFonts w:eastAsia="Times New Roman" w:cs="Arial"/>
          <w:snapToGrid w:val="0"/>
          <w:szCs w:val="24"/>
          <w:lang w:eastAsia="en-AU"/>
        </w:rPr>
      </w:pPr>
      <w:r w:rsidRPr="000A7BB0">
        <w:rPr>
          <w:rFonts w:eastAsia="Times New Roman" w:cs="Arial"/>
          <w:noProof/>
          <w:snapToGrid w:val="0"/>
          <w:szCs w:val="24"/>
          <w:lang w:eastAsia="en-AU"/>
        </w:rPr>
        <w:drawing>
          <wp:inline distT="0" distB="0" distL="0" distR="0" wp14:anchorId="61352AB0" wp14:editId="720963C9">
            <wp:extent cx="4971353" cy="2829464"/>
            <wp:effectExtent l="0" t="0" r="1270" b="9525"/>
            <wp:docPr id="373957146" name="Picture 28" descr="Figure 9: Line graph showing predicted survival from independent parametric models compared to the observed data Elacestrant – OS – labe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57146" name="Picture 28" descr="Figure 9: Line graph showing predicted survival from independent parametric models compared to the observed data Elacestrant – OS – label population"/>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4983423" cy="2836334"/>
                    </a:xfrm>
                    <a:prstGeom prst="rect">
                      <a:avLst/>
                    </a:prstGeom>
                    <a:noFill/>
                    <a:ln>
                      <a:noFill/>
                    </a:ln>
                    <a:extLst>
                      <a:ext uri="{53640926-AAD7-44D8-BBD7-CCE9431645EC}">
                        <a14:shadowObscured xmlns:a14="http://schemas.microsoft.com/office/drawing/2010/main"/>
                      </a:ext>
                    </a:extLst>
                  </pic:spPr>
                </pic:pic>
              </a:graphicData>
            </a:graphic>
          </wp:inline>
        </w:drawing>
      </w:r>
    </w:p>
    <w:p w14:paraId="061B2611" w14:textId="77777777" w:rsidR="009E18C3" w:rsidRPr="000A7BB0" w:rsidRDefault="009E18C3" w:rsidP="002553CE">
      <w:pPr>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Source: Figure 3.14, p308 of the submission</w:t>
      </w:r>
    </w:p>
    <w:p w14:paraId="64A505F0" w14:textId="5A8FFEF7" w:rsidR="009E18C3" w:rsidRDefault="009E18C3" w:rsidP="002553CE">
      <w:pPr>
        <w:pStyle w:val="TableFigureFooter"/>
        <w:jc w:val="both"/>
        <w:rPr>
          <w:rFonts w:eastAsiaTheme="minorHAnsi"/>
          <w:snapToGrid/>
        </w:rPr>
      </w:pPr>
      <w:r w:rsidRPr="000A7BB0">
        <w:rPr>
          <w:rFonts w:eastAsiaTheme="minorHAnsi"/>
          <w:snapToGrid/>
        </w:rPr>
        <w:t>OS = overall survival</w:t>
      </w:r>
    </w:p>
    <w:p w14:paraId="2CEE0E69" w14:textId="29E6FEB2" w:rsidR="009855DA" w:rsidRPr="009855DA" w:rsidRDefault="009855DA" w:rsidP="002553CE">
      <w:pPr>
        <w:pStyle w:val="TableFigureFooter"/>
        <w:jc w:val="both"/>
        <w:rPr>
          <w:i/>
          <w:iCs/>
        </w:rPr>
      </w:pPr>
      <w:r w:rsidRPr="009855DA">
        <w:rPr>
          <w:i/>
          <w:iCs/>
        </w:rPr>
        <w:t>Note that the results presented in Figure 9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3A13ABCF" w14:textId="1C9CE98A" w:rsidR="009E18C3" w:rsidRPr="000A7BB0" w:rsidRDefault="009E18C3" w:rsidP="002553CE">
      <w:pPr>
        <w:numPr>
          <w:ilvl w:val="4"/>
          <w:numId w:val="11"/>
        </w:numPr>
        <w:ind w:left="709" w:hanging="709"/>
        <w:rPr>
          <w:color w:val="000000" w:themeColor="text1"/>
        </w:rPr>
      </w:pPr>
      <w:r w:rsidRPr="000A7BB0">
        <w:rPr>
          <w:color w:val="000000" w:themeColor="text1"/>
        </w:rPr>
        <w:t xml:space="preserve">Despite ranking 6/7 based on AIC and BIC goodness-of-fit statistics, the submission chose the Gompertz parametric curve to extrapolate OS outcomes for SOC. No justification was provided for this choice. Using the Gompertz curve likely underestimates OS for SOC; it is estimated that only 2.73% of patients will be alive at 5-years, with no patients alive by 6 years. The choice of parametric curve for OS for SOC is a key driver of the ICER, </w:t>
      </w:r>
      <w:r w:rsidR="3700F191" w:rsidRPr="000A7BB0">
        <w:rPr>
          <w:color w:val="000000" w:themeColor="text1"/>
        </w:rPr>
        <w:t>the base case</w:t>
      </w:r>
      <w:r w:rsidR="3668F14A" w:rsidRPr="000A7BB0">
        <w:rPr>
          <w:color w:val="000000" w:themeColor="text1"/>
        </w:rPr>
        <w:t xml:space="preserve"> </w:t>
      </w:r>
      <w:r w:rsidRPr="000A7BB0">
        <w:rPr>
          <w:color w:val="000000" w:themeColor="text1"/>
        </w:rPr>
        <w:t>favouring elacestrant. Based on AIC and BIC goodness-of-fit statistics and visual interpretation of the hazard plots, the gamma distribution may be a more plausible choice; using this curve it is estimated that 8% of patients in the SOC arm will be alive at 5 years, with all patients dead by 9.5 years.</w:t>
      </w:r>
    </w:p>
    <w:p w14:paraId="64E604C7" w14:textId="620E5DFC" w:rsidR="00B61A29" w:rsidRPr="004A232C" w:rsidRDefault="48B81DF7" w:rsidP="002553CE">
      <w:pPr>
        <w:numPr>
          <w:ilvl w:val="4"/>
          <w:numId w:val="11"/>
        </w:numPr>
        <w:ind w:left="709" w:hanging="709"/>
        <w:rPr>
          <w:color w:val="000000" w:themeColor="text1"/>
        </w:rPr>
      </w:pPr>
      <w:r w:rsidRPr="004A232C">
        <w:t xml:space="preserve">The ESCs considered that given the lack of demonstrated statistically significant difference in OS in EMERALD, </w:t>
      </w:r>
      <w:r w:rsidR="260EF976" w:rsidRPr="004A232C">
        <w:t xml:space="preserve">the </w:t>
      </w:r>
      <w:r w:rsidR="7743E2C3" w:rsidRPr="004A232C">
        <w:t xml:space="preserve">choice of a comparator which may overestimate the benefit for elacestrant, </w:t>
      </w:r>
      <w:r w:rsidRPr="004A232C">
        <w:t>and the potential impact of newly available subsequent therapies, it may not be reasonable for the model to include any OS difference, given the presented evidence.</w:t>
      </w:r>
      <w:r w:rsidR="00A908F7">
        <w:t xml:space="preserve"> </w:t>
      </w:r>
      <w:r w:rsidR="003B08AB">
        <w:t>The pre-PBAC response stated that d</w:t>
      </w:r>
      <w:r w:rsidR="003B08AB" w:rsidRPr="4904FC04">
        <w:rPr>
          <w:rFonts w:eastAsiaTheme="minorEastAsia"/>
        </w:rPr>
        <w:t xml:space="preserve">emonstrating significant improvement in OS is made substantially more difficult by confounding factors, and </w:t>
      </w:r>
      <w:r w:rsidR="00872C38">
        <w:rPr>
          <w:rFonts w:eastAsiaTheme="minorEastAsia"/>
        </w:rPr>
        <w:t xml:space="preserve">that </w:t>
      </w:r>
      <w:r w:rsidR="003B08AB" w:rsidRPr="4904FC04">
        <w:rPr>
          <w:rFonts w:eastAsiaTheme="minorEastAsia"/>
        </w:rPr>
        <w:t xml:space="preserve">no ET based regimens, including FULV monotherapy, have demonstrated OS benefit after 1L CDK4/6i + ET. </w:t>
      </w:r>
    </w:p>
    <w:p w14:paraId="45CE0FBD" w14:textId="3B2C66F6" w:rsidR="009E18C3" w:rsidRPr="000A7BB0" w:rsidRDefault="009E18C3" w:rsidP="002553CE">
      <w:pPr>
        <w:pStyle w:val="Caption"/>
        <w:rPr>
          <w:bCs/>
          <w:szCs w:val="16"/>
        </w:rPr>
      </w:pPr>
      <w:r w:rsidRPr="000A7BB0">
        <w:lastRenderedPageBreak/>
        <w:t xml:space="preserve">Figure </w:t>
      </w:r>
      <w:r>
        <w:fldChar w:fldCharType="begin"/>
      </w:r>
      <w:r>
        <w:instrText>SEQ Figure_PBAC. \* ARABIC</w:instrText>
      </w:r>
      <w:r>
        <w:fldChar w:fldCharType="separate"/>
      </w:r>
      <w:r w:rsidR="004F224A">
        <w:rPr>
          <w:noProof/>
        </w:rPr>
        <w:t>10</w:t>
      </w:r>
      <w:r>
        <w:fldChar w:fldCharType="end"/>
      </w:r>
      <w:r w:rsidRPr="000A7BB0">
        <w:t>: Predicted survival from independent parametric models compared to the observed data – SOC – OS – label population</w:t>
      </w:r>
    </w:p>
    <w:p w14:paraId="0D3E8FB1" w14:textId="77777777" w:rsidR="009E18C3" w:rsidRPr="000A7BB0" w:rsidRDefault="009E18C3" w:rsidP="002553CE">
      <w:pPr>
        <w:spacing w:before="0" w:after="0"/>
        <w:ind w:left="720" w:hanging="720"/>
        <w:rPr>
          <w:rFonts w:eastAsia="Times New Roman" w:cs="Arial"/>
          <w:b/>
          <w:snapToGrid w:val="0"/>
          <w:szCs w:val="24"/>
          <w:lang w:eastAsia="en-AU"/>
        </w:rPr>
      </w:pPr>
      <w:r w:rsidRPr="000A7BB0">
        <w:rPr>
          <w:rFonts w:eastAsia="Times New Roman" w:cs="Arial"/>
          <w:noProof/>
          <w:snapToGrid w:val="0"/>
          <w:szCs w:val="24"/>
          <w:lang w:eastAsia="en-AU"/>
        </w:rPr>
        <w:drawing>
          <wp:inline distT="0" distB="0" distL="0" distR="0" wp14:anchorId="439C3E51" wp14:editId="58BD1A02">
            <wp:extent cx="5257165" cy="3000375"/>
            <wp:effectExtent l="0" t="0" r="635" b="9525"/>
            <wp:docPr id="222389540" name="Picture 30" descr="Figure 10: Line graph showing predicted survival from independent parametric models compared to the observed data – SOC – OS – labe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89540" name="Picture 30" descr="Figure 10: Line graph showing predicted survival from independent parametric models compared to the observed data – SOC – OS – label populatio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280461" cy="3013671"/>
                    </a:xfrm>
                    <a:prstGeom prst="rect">
                      <a:avLst/>
                    </a:prstGeom>
                    <a:noFill/>
                    <a:ln>
                      <a:noFill/>
                    </a:ln>
                    <a:extLst>
                      <a:ext uri="{53640926-AAD7-44D8-BBD7-CCE9431645EC}">
                        <a14:shadowObscured xmlns:a14="http://schemas.microsoft.com/office/drawing/2010/main"/>
                      </a:ext>
                    </a:extLst>
                  </pic:spPr>
                </pic:pic>
              </a:graphicData>
            </a:graphic>
          </wp:inline>
        </w:drawing>
      </w:r>
    </w:p>
    <w:p w14:paraId="341B3E76" w14:textId="77777777" w:rsidR="009E18C3" w:rsidRPr="009855DA" w:rsidRDefault="009E18C3" w:rsidP="002553CE">
      <w:pPr>
        <w:spacing w:before="0" w:after="0"/>
        <w:contextualSpacing/>
        <w:rPr>
          <w:rFonts w:ascii="Arial Narrow" w:eastAsia="Times New Roman" w:hAnsi="Arial Narrow" w:cs="Arial"/>
          <w:snapToGrid w:val="0"/>
          <w:sz w:val="18"/>
          <w:szCs w:val="18"/>
        </w:rPr>
      </w:pPr>
      <w:r w:rsidRPr="009855DA">
        <w:rPr>
          <w:rFonts w:ascii="Arial Narrow" w:eastAsia="Times New Roman" w:hAnsi="Arial Narrow" w:cs="Arial"/>
          <w:snapToGrid w:val="0"/>
          <w:sz w:val="18"/>
          <w:szCs w:val="18"/>
        </w:rPr>
        <w:t>Source: Figure 3.15, p308 of the submission</w:t>
      </w:r>
    </w:p>
    <w:p w14:paraId="20332C0A" w14:textId="14380172" w:rsidR="009E18C3" w:rsidRPr="009855DA" w:rsidRDefault="009E18C3" w:rsidP="002553CE">
      <w:pPr>
        <w:pStyle w:val="FigureFootnotes"/>
        <w:jc w:val="both"/>
        <w:rPr>
          <w:rFonts w:ascii="Arial Narrow" w:hAnsi="Arial Narrow"/>
          <w:szCs w:val="18"/>
          <w:lang w:val="en-AU"/>
        </w:rPr>
      </w:pPr>
      <w:r w:rsidRPr="009855DA">
        <w:rPr>
          <w:rFonts w:ascii="Arial Narrow" w:hAnsi="Arial Narrow"/>
          <w:szCs w:val="18"/>
          <w:lang w:val="en-AU"/>
        </w:rPr>
        <w:t>OS = overall survival; SOC = standard of care</w:t>
      </w:r>
    </w:p>
    <w:p w14:paraId="0CCDBA9B" w14:textId="510D5B9B" w:rsidR="009855DA" w:rsidRPr="009855DA" w:rsidRDefault="009855DA" w:rsidP="002553CE">
      <w:pPr>
        <w:pStyle w:val="FigureFootnotes"/>
        <w:jc w:val="both"/>
        <w:rPr>
          <w:rFonts w:ascii="Arial Narrow" w:hAnsi="Arial Narrow"/>
          <w:i/>
          <w:iCs/>
          <w:szCs w:val="18"/>
          <w:lang w:val="en-AU"/>
        </w:rPr>
      </w:pPr>
      <w:r w:rsidRPr="009855DA">
        <w:rPr>
          <w:rFonts w:ascii="Arial Narrow" w:hAnsi="Arial Narrow"/>
          <w:i/>
          <w:iCs/>
          <w:szCs w:val="18"/>
          <w:lang w:val="en-AU"/>
        </w:rPr>
        <w:t>Note that the results presented in Figure 10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1788FB2F" w14:textId="3776AB6B" w:rsidR="009E18C3" w:rsidRPr="000A7BB0" w:rsidRDefault="009E18C3" w:rsidP="002553CE">
      <w:pPr>
        <w:numPr>
          <w:ilvl w:val="4"/>
          <w:numId w:val="11"/>
        </w:numPr>
        <w:ind w:left="709" w:hanging="709"/>
        <w:rPr>
          <w:color w:val="000000" w:themeColor="text1"/>
        </w:rPr>
      </w:pPr>
      <w:r w:rsidRPr="000A7BB0">
        <w:rPr>
          <w:color w:val="000000" w:themeColor="text1"/>
        </w:rPr>
        <w:t>The base case PFS and OS curves are presented in</w:t>
      </w:r>
      <w:r w:rsidR="00237ED4" w:rsidRPr="000A7BB0">
        <w:rPr>
          <w:color w:val="000000" w:themeColor="text1"/>
        </w:rPr>
        <w:t xml:space="preserve"> </w:t>
      </w:r>
      <w:r w:rsidR="00237ED4" w:rsidRPr="000A7BB0">
        <w:rPr>
          <w:color w:val="000000" w:themeColor="text1"/>
        </w:rPr>
        <w:fldChar w:fldCharType="begin"/>
      </w:r>
      <w:r w:rsidR="00237ED4" w:rsidRPr="000A7BB0">
        <w:rPr>
          <w:color w:val="000000" w:themeColor="text1"/>
        </w:rPr>
        <w:instrText xml:space="preserve"> REF _Ref187417697 \h </w:instrText>
      </w:r>
      <w:r w:rsidR="004D5BD7" w:rsidRPr="000A7BB0">
        <w:rPr>
          <w:color w:val="000000" w:themeColor="text1"/>
        </w:rPr>
        <w:instrText xml:space="preserve"> \* MERGEFORMAT </w:instrText>
      </w:r>
      <w:r w:rsidR="00237ED4" w:rsidRPr="000A7BB0">
        <w:rPr>
          <w:color w:val="000000" w:themeColor="text1"/>
        </w:rPr>
      </w:r>
      <w:r w:rsidR="00237ED4" w:rsidRPr="000A7BB0">
        <w:rPr>
          <w:color w:val="000000" w:themeColor="text1"/>
        </w:rPr>
        <w:fldChar w:fldCharType="separate"/>
      </w:r>
      <w:r w:rsidR="004F224A" w:rsidRPr="004F224A">
        <w:rPr>
          <w:color w:val="000000" w:themeColor="text1"/>
        </w:rPr>
        <w:t>Figure 11</w:t>
      </w:r>
      <w:r w:rsidR="00237ED4" w:rsidRPr="000A7BB0">
        <w:rPr>
          <w:color w:val="000000" w:themeColor="text1"/>
        </w:rPr>
        <w:fldChar w:fldCharType="end"/>
      </w:r>
      <w:r w:rsidRPr="000A7BB0">
        <w:rPr>
          <w:color w:val="000000" w:themeColor="text1"/>
        </w:rPr>
        <w:t>.</w:t>
      </w:r>
    </w:p>
    <w:p w14:paraId="1B956E6C" w14:textId="6ABAEA34" w:rsidR="009E18C3" w:rsidRDefault="009E18C3" w:rsidP="002553CE">
      <w:pPr>
        <w:pStyle w:val="Caption"/>
      </w:pPr>
      <w:bookmarkStart w:id="37" w:name="_Ref187417697"/>
      <w:r w:rsidRPr="000A7BB0">
        <w:lastRenderedPageBreak/>
        <w:t xml:space="preserve">Figure </w:t>
      </w:r>
      <w:r>
        <w:fldChar w:fldCharType="begin"/>
      </w:r>
      <w:r>
        <w:instrText>SEQ Figure_PBAC. \* ARABIC</w:instrText>
      </w:r>
      <w:r>
        <w:fldChar w:fldCharType="separate"/>
      </w:r>
      <w:r w:rsidR="004F224A">
        <w:rPr>
          <w:noProof/>
        </w:rPr>
        <w:t>11</w:t>
      </w:r>
      <w:r>
        <w:fldChar w:fldCharType="end"/>
      </w:r>
      <w:bookmarkEnd w:id="37"/>
      <w:r w:rsidRPr="000A7BB0">
        <w:t>: Base case PFS and OS curves applied in economic model</w:t>
      </w:r>
    </w:p>
    <w:p w14:paraId="1E82C055" w14:textId="2A254B88" w:rsidR="007213CF" w:rsidRPr="007213CF" w:rsidRDefault="007213CF" w:rsidP="002553CE">
      <w:pPr>
        <w:spacing w:before="0" w:after="0"/>
      </w:pPr>
      <w:r>
        <w:rPr>
          <w:noProof/>
        </w:rPr>
        <w:drawing>
          <wp:inline distT="0" distB="0" distL="0" distR="0" wp14:anchorId="0D7C7AD9" wp14:editId="1E7808DA">
            <wp:extent cx="5749290" cy="3877310"/>
            <wp:effectExtent l="0" t="0" r="3810" b="8890"/>
            <wp:docPr id="2013015493" name="Picture 1" descr="Figure 11: Line graph showing base case PFS and OS curves applied in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15493" name="Picture 1" descr="Figure 11: Line graph showing base case PFS and OS curves applied in economic mod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9290" cy="3877310"/>
                    </a:xfrm>
                    <a:prstGeom prst="rect">
                      <a:avLst/>
                    </a:prstGeom>
                    <a:noFill/>
                  </pic:spPr>
                </pic:pic>
              </a:graphicData>
            </a:graphic>
          </wp:inline>
        </w:drawing>
      </w:r>
    </w:p>
    <w:p w14:paraId="4E1CC8DD" w14:textId="77777777" w:rsidR="009E18C3" w:rsidRPr="000A7BB0" w:rsidRDefault="009E18C3" w:rsidP="002553CE">
      <w:pPr>
        <w:tabs>
          <w:tab w:val="left" w:pos="284"/>
        </w:tabs>
        <w:spacing w:before="0" w:after="0"/>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Source: Constructed in the evaluation using data from the economic workbook</w:t>
      </w:r>
    </w:p>
    <w:p w14:paraId="415292DD" w14:textId="77777777" w:rsidR="009E18C3" w:rsidRPr="000A7BB0" w:rsidRDefault="009E18C3" w:rsidP="002553CE">
      <w:pPr>
        <w:tabs>
          <w:tab w:val="left" w:pos="284"/>
        </w:tabs>
        <w:spacing w:before="0" w:after="0"/>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KM = Kaplan-Meier; OS= overall survival; PFS = progression-free survival; SOC =standard of care</w:t>
      </w:r>
    </w:p>
    <w:p w14:paraId="17D8F431" w14:textId="77777777" w:rsidR="009E18C3" w:rsidRDefault="009E18C3" w:rsidP="002553CE">
      <w:pPr>
        <w:tabs>
          <w:tab w:val="left" w:pos="284"/>
        </w:tabs>
        <w:spacing w:before="0" w:after="0"/>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Note: OS curves are navy blue/gold, PFS curves are green/red</w:t>
      </w:r>
    </w:p>
    <w:p w14:paraId="6F5578C2" w14:textId="17D01745" w:rsidR="009855DA" w:rsidRPr="009855DA" w:rsidRDefault="009855DA" w:rsidP="002553CE">
      <w:pPr>
        <w:tabs>
          <w:tab w:val="left" w:pos="284"/>
        </w:tabs>
        <w:spacing w:before="0" w:after="0"/>
        <w:rPr>
          <w:rFonts w:ascii="Arial Narrow" w:eastAsia="Times New Roman" w:hAnsi="Arial Narrow" w:cs="Arial"/>
          <w:i/>
          <w:iCs/>
          <w:snapToGrid w:val="0"/>
          <w:sz w:val="18"/>
          <w:lang w:eastAsia="en-AU"/>
        </w:rPr>
      </w:pPr>
      <w:r w:rsidRPr="009855DA">
        <w:rPr>
          <w:rFonts w:ascii="Arial Narrow" w:eastAsia="Times New Roman" w:hAnsi="Arial Narrow" w:cs="Arial"/>
          <w:i/>
          <w:iCs/>
          <w:snapToGrid w:val="0"/>
          <w:sz w:val="18"/>
          <w:lang w:eastAsia="en-AU"/>
        </w:rPr>
        <w:t>Note that the results presented in Figure 11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02382FCF" w14:textId="4FE4C819" w:rsidR="00915797" w:rsidRPr="004A232C" w:rsidRDefault="00915797" w:rsidP="002553CE">
      <w:pPr>
        <w:numPr>
          <w:ilvl w:val="4"/>
          <w:numId w:val="11"/>
        </w:numPr>
        <w:ind w:left="709" w:hanging="709"/>
        <w:rPr>
          <w:color w:val="000000" w:themeColor="text1"/>
        </w:rPr>
      </w:pPr>
      <w:r w:rsidRPr="004A232C">
        <w:rPr>
          <w:color w:val="000000" w:themeColor="text1"/>
        </w:rPr>
        <w:t>The ESCs noted that the TTD KM curves were mature and their extrapolation in the economic model appears to overestimate the time on treatment</w:t>
      </w:r>
      <w:r w:rsidR="0038167F" w:rsidRPr="004A232C">
        <w:rPr>
          <w:color w:val="000000" w:themeColor="text1"/>
        </w:rPr>
        <w:t xml:space="preserve"> (mean 8.38 cycles, compared with </w:t>
      </w:r>
      <w:r w:rsidR="00810ADC" w:rsidRPr="004A232C">
        <w:rPr>
          <w:color w:val="000000" w:themeColor="text1"/>
        </w:rPr>
        <w:t>5.73 mean treatment duration from EMERALD)</w:t>
      </w:r>
      <w:r w:rsidRPr="004A232C">
        <w:rPr>
          <w:color w:val="000000" w:themeColor="text1"/>
        </w:rPr>
        <w:t>.</w:t>
      </w:r>
    </w:p>
    <w:p w14:paraId="72963BA6" w14:textId="2466917A" w:rsidR="009E18C3" w:rsidRPr="000A7BB0" w:rsidRDefault="009E18C3" w:rsidP="002553CE">
      <w:pPr>
        <w:numPr>
          <w:ilvl w:val="4"/>
          <w:numId w:val="11"/>
        </w:numPr>
        <w:ind w:left="709" w:hanging="709"/>
        <w:rPr>
          <w:color w:val="000000" w:themeColor="text1"/>
        </w:rPr>
      </w:pPr>
      <w:r w:rsidRPr="000A7BB0">
        <w:rPr>
          <w:color w:val="000000" w:themeColor="text1"/>
        </w:rPr>
        <w:t>The time horizon in the base case analysis was 10 years. The time horizon is a key driver of the ICER</w:t>
      </w:r>
      <w:r w:rsidR="00F067F0">
        <w:rPr>
          <w:color w:val="000000" w:themeColor="text1"/>
        </w:rPr>
        <w:t xml:space="preserve"> because of the extrapolation functions chosen</w:t>
      </w:r>
      <w:r w:rsidRPr="000A7BB0">
        <w:rPr>
          <w:color w:val="000000" w:themeColor="text1"/>
        </w:rPr>
        <w:t xml:space="preserve">, favouring elacestrant. The PBAC has previously indicated that a 7-year time horizon was appropriate for the second-line HR+ advanced breast cancer setting (section 10, everolimus </w:t>
      </w:r>
      <w:r w:rsidR="00A86DDC" w:rsidRPr="00A86DDC">
        <w:rPr>
          <w:color w:val="000000" w:themeColor="text1"/>
        </w:rPr>
        <w:t xml:space="preserve">Public Summary Document </w:t>
      </w:r>
      <w:r w:rsidR="00A86DDC">
        <w:rPr>
          <w:color w:val="000000" w:themeColor="text1"/>
        </w:rPr>
        <w:t>(</w:t>
      </w:r>
      <w:r w:rsidRPr="000A7BB0">
        <w:rPr>
          <w:color w:val="000000" w:themeColor="text1"/>
        </w:rPr>
        <w:t>PSD</w:t>
      </w:r>
      <w:r w:rsidR="00A86DDC">
        <w:rPr>
          <w:color w:val="000000" w:themeColor="text1"/>
        </w:rPr>
        <w:t>)</w:t>
      </w:r>
      <w:r w:rsidRPr="000A7BB0">
        <w:rPr>
          <w:color w:val="000000" w:themeColor="text1"/>
        </w:rPr>
        <w:t>, March 2013 PBAC Meeting)</w:t>
      </w:r>
      <w:r w:rsidR="1D40971E" w:rsidRPr="000A7BB0">
        <w:rPr>
          <w:color w:val="000000" w:themeColor="text1"/>
        </w:rPr>
        <w:t>, although the PBAC recently accepted a 10 year time horizon in the mBC setting with disease progression (para</w:t>
      </w:r>
      <w:r w:rsidR="008E27A9">
        <w:rPr>
          <w:color w:val="000000" w:themeColor="text1"/>
        </w:rPr>
        <w:t>graph</w:t>
      </w:r>
      <w:r w:rsidR="1D40971E" w:rsidRPr="000A7BB0">
        <w:rPr>
          <w:color w:val="000000" w:themeColor="text1"/>
        </w:rPr>
        <w:t xml:space="preserve"> 1.2, trastuzumab deruxtecan PSD, March 2024 PBAC meeting)</w:t>
      </w:r>
      <w:r w:rsidRPr="000A7BB0">
        <w:rPr>
          <w:color w:val="000000" w:themeColor="text1"/>
        </w:rPr>
        <w:t>.</w:t>
      </w:r>
      <w:r w:rsidRPr="004A232C">
        <w:rPr>
          <w:color w:val="000000" w:themeColor="text1"/>
        </w:rPr>
        <w:t xml:space="preserve"> </w:t>
      </w:r>
      <w:r w:rsidR="3E2D4EE3" w:rsidRPr="004A232C">
        <w:rPr>
          <w:color w:val="000000" w:themeColor="text1"/>
        </w:rPr>
        <w:t xml:space="preserve">The ESCs considered a </w:t>
      </w:r>
      <w:r w:rsidR="48B81DF7" w:rsidRPr="004A232C">
        <w:rPr>
          <w:color w:val="000000" w:themeColor="text1"/>
        </w:rPr>
        <w:t>time horizon of 10 years may</w:t>
      </w:r>
      <w:r w:rsidR="53394583" w:rsidRPr="004A232C">
        <w:rPr>
          <w:color w:val="000000" w:themeColor="text1"/>
        </w:rPr>
        <w:t xml:space="preserve"> be reasonable</w:t>
      </w:r>
      <w:r w:rsidR="411DB81A" w:rsidRPr="004A232C">
        <w:rPr>
          <w:color w:val="000000" w:themeColor="text1"/>
        </w:rPr>
        <w:t xml:space="preserve">, consistent with the PBAC’s consideration of </w:t>
      </w:r>
      <w:r w:rsidR="411DB81A" w:rsidRPr="00972B62">
        <w:rPr>
          <w:color w:val="000000" w:themeColor="text1"/>
        </w:rPr>
        <w:t>T</w:t>
      </w:r>
      <w:r w:rsidR="009F51B1">
        <w:rPr>
          <w:color w:val="000000" w:themeColor="text1"/>
        </w:rPr>
        <w:noBreakHyphen/>
      </w:r>
      <w:r w:rsidR="00972B62" w:rsidRPr="00972B62">
        <w:rPr>
          <w:color w:val="000000" w:themeColor="text1"/>
        </w:rPr>
        <w:softHyphen/>
      </w:r>
      <w:r w:rsidR="00972B62" w:rsidRPr="00972B62">
        <w:rPr>
          <w:color w:val="000000" w:themeColor="text1"/>
        </w:rPr>
        <w:softHyphen/>
      </w:r>
      <w:r w:rsidR="411DB81A" w:rsidRPr="00972B62">
        <w:rPr>
          <w:color w:val="000000" w:themeColor="text1"/>
        </w:rPr>
        <w:t>Dxd</w:t>
      </w:r>
      <w:r w:rsidR="2DC5ABB4" w:rsidRPr="004A232C">
        <w:rPr>
          <w:color w:val="000000" w:themeColor="text1"/>
        </w:rPr>
        <w:t>.</w:t>
      </w:r>
    </w:p>
    <w:p w14:paraId="087B3ECD" w14:textId="2795EAEA" w:rsidR="009E18C3" w:rsidRPr="000A7BB0" w:rsidRDefault="009E18C3" w:rsidP="002553CE">
      <w:pPr>
        <w:numPr>
          <w:ilvl w:val="4"/>
          <w:numId w:val="11"/>
        </w:numPr>
        <w:ind w:left="709" w:hanging="709"/>
        <w:rPr>
          <w:color w:val="000000" w:themeColor="text1"/>
        </w:rPr>
      </w:pPr>
      <w:r w:rsidRPr="000A7BB0">
        <w:rPr>
          <w:color w:val="000000" w:themeColor="text1"/>
        </w:rPr>
        <w:t xml:space="preserve">The utility value applied for progression free [PF] </w:t>
      </w:r>
      <w:r w:rsidR="41F63DEE" w:rsidRPr="000A7BB0">
        <w:rPr>
          <w:color w:val="000000" w:themeColor="text1"/>
        </w:rPr>
        <w:t xml:space="preserve">(=0.88, derived from EQ-5D-5L data from the EMERALD trial using the Australian value set) </w:t>
      </w:r>
      <w:r w:rsidRPr="000A7BB0">
        <w:rPr>
          <w:color w:val="000000" w:themeColor="text1"/>
        </w:rPr>
        <w:t xml:space="preserve">is comparable to that applied for a population of adult patients with HER2 low (Immunohistochemistry [IHC] 1+ or IHC 2+/ISH] negative) unresectable or mBC who have received prior chemotherapy in </w:t>
      </w:r>
      <w:r w:rsidRPr="000A7BB0">
        <w:rPr>
          <w:color w:val="000000" w:themeColor="text1"/>
        </w:rPr>
        <w:lastRenderedPageBreak/>
        <w:t>the metastatic setting or developed disease recurrence during or within 6 months of completing adjuvant chemotherapy</w:t>
      </w:r>
      <w:r w:rsidR="5EDBBB84" w:rsidRPr="000A7BB0">
        <w:rPr>
          <w:color w:val="000000" w:themeColor="text1"/>
        </w:rPr>
        <w:t xml:space="preserve"> (=0.88)</w:t>
      </w:r>
      <w:r w:rsidRPr="000A7BB0">
        <w:rPr>
          <w:color w:val="000000" w:themeColor="text1"/>
        </w:rPr>
        <w:t>, which was recommended by the PBAC as part of a respecified base case (</w:t>
      </w:r>
      <w:r w:rsidR="2E7D3610" w:rsidRPr="000A7BB0">
        <w:rPr>
          <w:color w:val="000000" w:themeColor="text1"/>
        </w:rPr>
        <w:t>t</w:t>
      </w:r>
      <w:r w:rsidRPr="000A7BB0">
        <w:rPr>
          <w:color w:val="000000" w:themeColor="text1"/>
        </w:rPr>
        <w:t xml:space="preserve">rastuzumab </w:t>
      </w:r>
      <w:r w:rsidR="2E7D3610" w:rsidRPr="000A7BB0">
        <w:rPr>
          <w:color w:val="000000" w:themeColor="text1"/>
        </w:rPr>
        <w:t>d</w:t>
      </w:r>
      <w:r w:rsidRPr="000A7BB0">
        <w:rPr>
          <w:color w:val="000000" w:themeColor="text1"/>
        </w:rPr>
        <w:t xml:space="preserve">eruxtecan PSD, March 2024 PBAC meeting). </w:t>
      </w:r>
    </w:p>
    <w:p w14:paraId="7B24FCBC" w14:textId="471EB94B" w:rsidR="009E18C3" w:rsidRPr="004A232C" w:rsidRDefault="009E18C3" w:rsidP="002553CE">
      <w:pPr>
        <w:numPr>
          <w:ilvl w:val="4"/>
          <w:numId w:val="11"/>
        </w:numPr>
        <w:ind w:left="709" w:hanging="709"/>
        <w:rPr>
          <w:color w:val="000000" w:themeColor="text1"/>
        </w:rPr>
      </w:pPr>
      <w:bookmarkStart w:id="38" w:name="_Ref190777552"/>
      <w:r w:rsidRPr="000A7BB0">
        <w:rPr>
          <w:color w:val="000000" w:themeColor="text1"/>
        </w:rPr>
        <w:t>For the progressed disease [PD] utility value, the submission applied a multiplier derived from Lloyd et al 2006</w:t>
      </w:r>
      <w:r w:rsidRPr="000A7BB0">
        <w:rPr>
          <w:color w:val="000000" w:themeColor="text1"/>
          <w:vertAlign w:val="superscript"/>
        </w:rPr>
        <w:footnoteReference w:id="19"/>
      </w:r>
      <w:r w:rsidRPr="000A7BB0">
        <w:rPr>
          <w:color w:val="000000" w:themeColor="text1"/>
        </w:rPr>
        <w:t xml:space="preserve">. Lloyd et al 2006 reported a progression-free utility value of 0.715, with a decrement of -0.272 for the PD state, which results in a multiplier of 0.620 ((0.715-0.272)/0.715). This PD multiplier was then applied to the utility value for the PF health state from EMERALD (=0.876). The resulting PD utility value was 0.543 (0.876 x 0.620), a utility decrement from the transition to the PD state of -0.333. </w:t>
      </w:r>
      <w:r w:rsidR="3A9900B5" w:rsidRPr="000A7BB0">
        <w:rPr>
          <w:color w:val="000000" w:themeColor="text1"/>
        </w:rPr>
        <w:t>U</w:t>
      </w:r>
      <w:r w:rsidRPr="000A7BB0">
        <w:rPr>
          <w:color w:val="000000" w:themeColor="text1"/>
        </w:rPr>
        <w:t xml:space="preserve">se </w:t>
      </w:r>
      <w:r w:rsidR="3A9900B5" w:rsidRPr="000A7BB0">
        <w:rPr>
          <w:color w:val="000000" w:themeColor="text1"/>
        </w:rPr>
        <w:t xml:space="preserve">of the </w:t>
      </w:r>
      <w:r w:rsidRPr="000A7BB0">
        <w:rPr>
          <w:color w:val="000000" w:themeColor="text1"/>
        </w:rPr>
        <w:t>values from Lloyd 2006 to determine the PD utility value is</w:t>
      </w:r>
      <w:r w:rsidRPr="000A7BB0" w:rsidDel="00D12C11">
        <w:rPr>
          <w:color w:val="000000" w:themeColor="text1"/>
        </w:rPr>
        <w:t xml:space="preserve"> </w:t>
      </w:r>
      <w:r w:rsidRPr="000A7BB0">
        <w:rPr>
          <w:color w:val="000000" w:themeColor="text1"/>
        </w:rPr>
        <w:t>consistent with previous PBAC advice for similar patient populations (para</w:t>
      </w:r>
      <w:r w:rsidR="008E27A9">
        <w:rPr>
          <w:color w:val="000000" w:themeColor="text1"/>
        </w:rPr>
        <w:t>graph</w:t>
      </w:r>
      <w:r w:rsidRPr="000A7BB0">
        <w:rPr>
          <w:color w:val="000000" w:themeColor="text1"/>
        </w:rPr>
        <w:t xml:space="preserve"> 4.10, Trastuzumab Deruxtecan PSD, March 2024 PBAC meeting). However, the methodology used in the submission differs from that previously advised by the PBAC, which was to apply the utility decrement from Lloyd et al 2006 (= -0.272) to determine the PD utility value (para</w:t>
      </w:r>
      <w:r w:rsidR="008E27A9">
        <w:rPr>
          <w:color w:val="000000" w:themeColor="text1"/>
        </w:rPr>
        <w:t>graph</w:t>
      </w:r>
      <w:r w:rsidRPr="000A7BB0">
        <w:rPr>
          <w:color w:val="000000" w:themeColor="text1"/>
        </w:rPr>
        <w:t xml:space="preserve"> 4.10, Trastuzumab Deruxtecan PSD, March 2024 PBAC meeting). </w:t>
      </w:r>
      <w:r w:rsidR="24815D1D" w:rsidRPr="000A7BB0">
        <w:rPr>
          <w:color w:val="000000" w:themeColor="text1"/>
        </w:rPr>
        <w:t xml:space="preserve">Using the utility decrement from Lloyd et al 2006 results in a utility value of 0.604 for the PD health state. </w:t>
      </w:r>
      <w:r w:rsidR="6C21EBFD" w:rsidRPr="000A7BB0">
        <w:rPr>
          <w:color w:val="000000" w:themeColor="text1"/>
        </w:rPr>
        <w:t xml:space="preserve">The utility value for the PD health state from the EMERALD trial was considerably higher (=0.84); the submission stated that collection of HRQoL data declined throughout the trial and as such the PD utility value </w:t>
      </w:r>
      <w:r w:rsidR="292CC148" w:rsidRPr="000A7BB0">
        <w:rPr>
          <w:color w:val="000000" w:themeColor="text1"/>
        </w:rPr>
        <w:t xml:space="preserve">from EMERALD </w:t>
      </w:r>
      <w:r w:rsidR="6C21EBFD" w:rsidRPr="000A7BB0">
        <w:rPr>
          <w:color w:val="000000" w:themeColor="text1"/>
        </w:rPr>
        <w:t>likely reflects healthier patients.</w:t>
      </w:r>
      <w:r w:rsidR="7C6DABED" w:rsidRPr="000A7BB0">
        <w:rPr>
          <w:color w:val="000000" w:themeColor="text1"/>
        </w:rPr>
        <w:t xml:space="preserve"> </w:t>
      </w:r>
      <w:r w:rsidR="00BF5EED" w:rsidRPr="004A232C">
        <w:t>The ESC considered the utility decrement associated with progression was likely overestimated, and is a key driver of the ICER, favouring elacestrant.</w:t>
      </w:r>
      <w:r w:rsidR="00BF5EED" w:rsidRPr="004A232C" w:rsidDel="0033664F">
        <w:rPr>
          <w:color w:val="000000" w:themeColor="text1"/>
        </w:rPr>
        <w:t xml:space="preserve"> </w:t>
      </w:r>
      <w:bookmarkEnd w:id="38"/>
      <w:r w:rsidR="00BD2EBA">
        <w:rPr>
          <w:color w:val="000000" w:themeColor="text1"/>
        </w:rPr>
        <w:t xml:space="preserve">The pre-PBAC response argued that the </w:t>
      </w:r>
      <w:r w:rsidR="00F31BD2">
        <w:rPr>
          <w:color w:val="000000" w:themeColor="text1"/>
        </w:rPr>
        <w:t>multiplicative approach to applying the decrement for progressed disease is commonly preferred</w:t>
      </w:r>
      <w:r w:rsidR="004A0569">
        <w:rPr>
          <w:color w:val="000000" w:themeColor="text1"/>
        </w:rPr>
        <w:t>, captures heterogeneity by scaling the decrement to baseline utility</w:t>
      </w:r>
      <w:r w:rsidR="00C8613C">
        <w:rPr>
          <w:color w:val="000000" w:themeColor="text1"/>
        </w:rPr>
        <w:t>,</w:t>
      </w:r>
      <w:r w:rsidR="004A0569">
        <w:rPr>
          <w:color w:val="000000" w:themeColor="text1"/>
        </w:rPr>
        <w:t xml:space="preserve"> and aligns with h</w:t>
      </w:r>
      <w:r w:rsidR="00C8613C">
        <w:rPr>
          <w:color w:val="000000" w:themeColor="text1"/>
        </w:rPr>
        <w:t>ow patients subjectively experience worsening QoL.</w:t>
      </w:r>
    </w:p>
    <w:p w14:paraId="175F7C13" w14:textId="13242219" w:rsidR="00E76029" w:rsidRPr="004A232C" w:rsidRDefault="009E18C3" w:rsidP="002553CE">
      <w:pPr>
        <w:numPr>
          <w:ilvl w:val="4"/>
          <w:numId w:val="11"/>
        </w:numPr>
        <w:ind w:left="709" w:hanging="709"/>
        <w:rPr>
          <w:color w:val="000000" w:themeColor="text1"/>
        </w:rPr>
      </w:pPr>
      <w:r w:rsidRPr="000A7BB0">
        <w:rPr>
          <w:color w:val="000000" w:themeColor="text1"/>
        </w:rPr>
        <w:t xml:space="preserve">A summary of the key drivers of the model </w:t>
      </w:r>
      <w:r w:rsidR="00867197" w:rsidRPr="004A232C">
        <w:rPr>
          <w:color w:val="000000" w:themeColor="text1"/>
        </w:rPr>
        <w:t>which were subjected to sensitivity analysis</w:t>
      </w:r>
      <w:r w:rsidR="00867197" w:rsidRPr="000A7BB0">
        <w:rPr>
          <w:color w:val="000000" w:themeColor="text1"/>
        </w:rPr>
        <w:t xml:space="preserve"> </w:t>
      </w:r>
      <w:r w:rsidRPr="000A7BB0">
        <w:rPr>
          <w:color w:val="000000" w:themeColor="text1"/>
        </w:rPr>
        <w:t xml:space="preserve">is presented in </w:t>
      </w:r>
      <w:r w:rsidRPr="000A7BB0">
        <w:rPr>
          <w:color w:val="000000" w:themeColor="text1"/>
        </w:rPr>
        <w:fldChar w:fldCharType="begin"/>
      </w:r>
      <w:r w:rsidRPr="000A7BB0">
        <w:rPr>
          <w:color w:val="000000" w:themeColor="text1"/>
        </w:rPr>
        <w:instrText xml:space="preserve"> REF _Ref184476883 \h </w:instrText>
      </w:r>
      <w:r w:rsidR="00E92776" w:rsidRPr="000A7BB0">
        <w:rPr>
          <w:color w:val="000000" w:themeColor="text1"/>
        </w:rPr>
        <w:instrText xml:space="preserve">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9</w:t>
      </w:r>
      <w:r w:rsidRPr="000A7BB0">
        <w:rPr>
          <w:color w:val="000000" w:themeColor="text1"/>
        </w:rPr>
        <w:fldChar w:fldCharType="end"/>
      </w:r>
      <w:r w:rsidRPr="000A7BB0">
        <w:rPr>
          <w:color w:val="000000" w:themeColor="text1"/>
        </w:rPr>
        <w:t>.</w:t>
      </w:r>
      <w:r w:rsidR="00867197" w:rsidRPr="000A7BB0">
        <w:rPr>
          <w:color w:val="000000" w:themeColor="text1"/>
        </w:rPr>
        <w:t xml:space="preserve"> </w:t>
      </w:r>
      <w:r w:rsidR="00867197" w:rsidRPr="004A232C">
        <w:rPr>
          <w:color w:val="000000" w:themeColor="text1"/>
        </w:rPr>
        <w:t>Sensitivity analyses were not conducted either relying on PFS gains only or using the overall EMERALD population rather than the requested subgroup population.</w:t>
      </w:r>
    </w:p>
    <w:p w14:paraId="59C6643D" w14:textId="42B1F4BE" w:rsidR="009E18C3" w:rsidRPr="000A7BB0" w:rsidRDefault="009E18C3" w:rsidP="002553CE">
      <w:pPr>
        <w:pStyle w:val="Caption"/>
      </w:pPr>
      <w:bookmarkStart w:id="39" w:name="_Ref184476883"/>
      <w:r w:rsidRPr="000A7BB0">
        <w:lastRenderedPageBreak/>
        <w:t xml:space="preserve">Table </w:t>
      </w:r>
      <w:r>
        <w:fldChar w:fldCharType="begin"/>
      </w:r>
      <w:r>
        <w:instrText>SEQ Table_PBAC. \* ARABIC</w:instrText>
      </w:r>
      <w:r>
        <w:fldChar w:fldCharType="separate"/>
      </w:r>
      <w:r w:rsidR="004F224A">
        <w:rPr>
          <w:noProof/>
        </w:rPr>
        <w:t>9</w:t>
      </w:r>
      <w:r>
        <w:fldChar w:fldCharType="end"/>
      </w:r>
      <w:bookmarkEnd w:id="39"/>
      <w:r w:rsidRPr="000A7BB0">
        <w:t>:</w:t>
      </w:r>
      <w:r w:rsidR="00EE3457">
        <w:t xml:space="preserve"> </w:t>
      </w:r>
      <w:r w:rsidRPr="000A7BB0">
        <w:t xml:space="preserve">Key drivers of the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
      </w:tblPr>
      <w:tblGrid>
        <w:gridCol w:w="1294"/>
        <w:gridCol w:w="4503"/>
        <w:gridCol w:w="3219"/>
      </w:tblGrid>
      <w:tr w:rsidR="009E18C3" w:rsidRPr="000A7BB0" w14:paraId="6EC41D89" w14:textId="77777777" w:rsidTr="74877A7E">
        <w:trPr>
          <w:tblHeader/>
        </w:trPr>
        <w:tc>
          <w:tcPr>
            <w:tcW w:w="718" w:type="pct"/>
            <w:vAlign w:val="center"/>
          </w:tcPr>
          <w:p w14:paraId="2B006CFA" w14:textId="77777777" w:rsidR="009E18C3" w:rsidRPr="000A7BB0" w:rsidRDefault="009E18C3" w:rsidP="002553CE">
            <w:pPr>
              <w:keepNext/>
              <w:keepLines/>
              <w:spacing w:before="0" w:after="0"/>
              <w:jc w:val="left"/>
              <w:rPr>
                <w:rFonts w:ascii="Arial Narrow" w:eastAsiaTheme="majorEastAsia" w:hAnsi="Arial Narrow" w:cs="Times New Roman"/>
                <w:b/>
                <w:sz w:val="20"/>
                <w:szCs w:val="24"/>
                <w:lang w:eastAsia="en-AU"/>
              </w:rPr>
            </w:pPr>
            <w:r w:rsidRPr="000A7BB0">
              <w:rPr>
                <w:rFonts w:ascii="Arial Narrow" w:eastAsiaTheme="majorEastAsia" w:hAnsi="Arial Narrow" w:cs="Times New Roman"/>
                <w:b/>
                <w:sz w:val="20"/>
                <w:szCs w:val="24"/>
                <w:lang w:eastAsia="en-AU"/>
              </w:rPr>
              <w:t>Description</w:t>
            </w:r>
          </w:p>
        </w:tc>
        <w:tc>
          <w:tcPr>
            <w:tcW w:w="2497" w:type="pct"/>
            <w:vAlign w:val="center"/>
          </w:tcPr>
          <w:p w14:paraId="4A616D1D" w14:textId="77777777" w:rsidR="009E18C3" w:rsidRPr="000A7BB0" w:rsidRDefault="009E18C3" w:rsidP="002553CE">
            <w:pPr>
              <w:keepNext/>
              <w:keepLines/>
              <w:spacing w:before="0" w:after="0"/>
              <w:jc w:val="left"/>
              <w:rPr>
                <w:rFonts w:ascii="Arial Narrow" w:eastAsiaTheme="majorEastAsia" w:hAnsi="Arial Narrow" w:cs="Times New Roman"/>
                <w:b/>
                <w:sz w:val="20"/>
                <w:szCs w:val="24"/>
                <w:lang w:eastAsia="en-AU"/>
              </w:rPr>
            </w:pPr>
            <w:r w:rsidRPr="000A7BB0">
              <w:rPr>
                <w:rFonts w:ascii="Arial Narrow" w:eastAsiaTheme="majorEastAsia" w:hAnsi="Arial Narrow" w:cs="Times New Roman"/>
                <w:b/>
                <w:sz w:val="20"/>
                <w:szCs w:val="24"/>
                <w:lang w:eastAsia="en-AU"/>
              </w:rPr>
              <w:t>Method/Value</w:t>
            </w:r>
          </w:p>
        </w:tc>
        <w:tc>
          <w:tcPr>
            <w:tcW w:w="1785" w:type="pct"/>
            <w:vAlign w:val="center"/>
          </w:tcPr>
          <w:p w14:paraId="16A3D784" w14:textId="77777777" w:rsidR="009E18C3" w:rsidRPr="000A7BB0" w:rsidRDefault="009E18C3" w:rsidP="002553CE">
            <w:pPr>
              <w:keepNext/>
              <w:keepLines/>
              <w:spacing w:before="0" w:after="0"/>
              <w:jc w:val="left"/>
              <w:rPr>
                <w:rFonts w:ascii="Arial Narrow" w:eastAsiaTheme="majorEastAsia" w:hAnsi="Arial Narrow" w:cs="Times New Roman"/>
                <w:b/>
                <w:sz w:val="20"/>
                <w:szCs w:val="24"/>
                <w:lang w:eastAsia="en-AU"/>
              </w:rPr>
            </w:pPr>
            <w:r w:rsidRPr="000A7BB0">
              <w:rPr>
                <w:rFonts w:ascii="Arial Narrow" w:eastAsiaTheme="majorEastAsia" w:hAnsi="Arial Narrow" w:cs="Times New Roman"/>
                <w:b/>
                <w:sz w:val="20"/>
                <w:szCs w:val="24"/>
                <w:lang w:eastAsia="en-AU"/>
              </w:rPr>
              <w:t>Impact</w:t>
            </w:r>
          </w:p>
          <w:p w14:paraId="268F9E99" w14:textId="0767870D" w:rsidR="009E18C3" w:rsidRPr="000A7BB0" w:rsidRDefault="009E18C3" w:rsidP="002553CE">
            <w:pPr>
              <w:keepNext/>
              <w:keepLines/>
              <w:spacing w:before="0" w:after="0"/>
              <w:jc w:val="left"/>
              <w:rPr>
                <w:rFonts w:ascii="Arial Narrow" w:hAnsi="Arial Narrow"/>
                <w:b/>
                <w:bCs/>
                <w:sz w:val="20"/>
              </w:rPr>
            </w:pPr>
            <w:r w:rsidRPr="000A7BB0">
              <w:rPr>
                <w:rFonts w:ascii="Arial Narrow" w:hAnsi="Arial Narrow" w:cs="Arial"/>
                <w:b/>
                <w:bCs/>
                <w:sz w:val="20"/>
                <w:szCs w:val="20"/>
              </w:rPr>
              <w:t xml:space="preserve">Base case: </w:t>
            </w:r>
            <w:r w:rsidR="00F4744A" w:rsidRPr="00484AD0">
              <w:rPr>
                <w:rFonts w:ascii="Arial Narrow" w:hAnsi="Arial Narrow" w:cs="Arial"/>
                <w:b/>
                <w:bCs/>
                <w:color w:val="000000"/>
                <w:spacing w:val="55"/>
                <w:sz w:val="20"/>
                <w:szCs w:val="20"/>
                <w:shd w:val="solid" w:color="000000" w:fill="000000"/>
                <w:fitText w:val="351" w:id="-694393845"/>
                <w14:textFill>
                  <w14:solidFill>
                    <w14:srgbClr w14:val="000000">
                      <w14:alpha w14:val="100000"/>
                    </w14:srgbClr>
                  </w14:solidFill>
                </w14:textFill>
              </w:rPr>
              <w:t>|||</w:t>
            </w:r>
            <w:r w:rsidR="00F4744A" w:rsidRPr="00484AD0">
              <w:rPr>
                <w:rFonts w:ascii="Arial Narrow" w:hAnsi="Arial Narrow" w:cs="Arial"/>
                <w:b/>
                <w:bCs/>
                <w:color w:val="000000"/>
                <w:spacing w:val="3"/>
                <w:sz w:val="20"/>
                <w:szCs w:val="20"/>
                <w:shd w:val="solid" w:color="000000" w:fill="000000"/>
                <w:fitText w:val="351" w:id="-694393845"/>
                <w14:textFill>
                  <w14:solidFill>
                    <w14:srgbClr w14:val="000000">
                      <w14:alpha w14:val="100000"/>
                    </w14:srgbClr>
                  </w14:solidFill>
                </w14:textFill>
              </w:rPr>
              <w:t>|</w:t>
            </w:r>
            <w:r w:rsidR="002D31D2" w:rsidRPr="002D31D2">
              <w:rPr>
                <w:rFonts w:ascii="Arial Narrow" w:hAnsi="Arial Narrow" w:cs="Arial"/>
                <w:b/>
                <w:bCs/>
                <w:sz w:val="20"/>
                <w:szCs w:val="20"/>
                <w:vertAlign w:val="superscript"/>
              </w:rPr>
              <w:t>1</w:t>
            </w:r>
            <w:r w:rsidRPr="000A7BB0">
              <w:rPr>
                <w:rFonts w:ascii="Arial Narrow" w:hAnsi="Arial Narrow" w:cs="Arial"/>
                <w:b/>
                <w:bCs/>
                <w:sz w:val="20"/>
                <w:szCs w:val="20"/>
              </w:rPr>
              <w:t>/QALY gained</w:t>
            </w:r>
          </w:p>
        </w:tc>
      </w:tr>
      <w:tr w:rsidR="009E18C3" w:rsidRPr="000A7BB0" w14:paraId="339B335A" w14:textId="77777777" w:rsidTr="74877A7E">
        <w:tc>
          <w:tcPr>
            <w:tcW w:w="718" w:type="pct"/>
            <w:vAlign w:val="center"/>
          </w:tcPr>
          <w:p w14:paraId="2E5E15FD"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Extrapolation</w:t>
            </w:r>
          </w:p>
        </w:tc>
        <w:tc>
          <w:tcPr>
            <w:tcW w:w="2497" w:type="pct"/>
            <w:vAlign w:val="center"/>
          </w:tcPr>
          <w:p w14:paraId="6A7E64BF" w14:textId="0DE0CF56"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Choice of parametric curve for extrapolation of OS for elacestrant (base case= log-logistic)</w:t>
            </w:r>
          </w:p>
        </w:tc>
        <w:tc>
          <w:tcPr>
            <w:tcW w:w="1785" w:type="pct"/>
            <w:vAlign w:val="center"/>
          </w:tcPr>
          <w:p w14:paraId="0DEBEB6D" w14:textId="38C663F6"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High, favours elacestrant</w:t>
            </w:r>
          </w:p>
          <w:p w14:paraId="2EB367A0" w14:textId="15B307C5" w:rsidR="009E18C3" w:rsidRPr="000A7BB0" w:rsidRDefault="009E18C3" w:rsidP="002553CE">
            <w:pPr>
              <w:keepNext/>
              <w:keepLines/>
              <w:spacing w:before="0" w:after="0"/>
              <w:jc w:val="left"/>
              <w:rPr>
                <w:rFonts w:ascii="Arial Narrow" w:hAnsi="Arial Narrow"/>
                <w:iCs/>
                <w:sz w:val="20"/>
              </w:rPr>
            </w:pPr>
            <w:r w:rsidRPr="000A7BB0">
              <w:rPr>
                <w:rFonts w:ascii="Arial Narrow" w:hAnsi="Arial Narrow"/>
                <w:iCs/>
                <w:sz w:val="20"/>
              </w:rPr>
              <w:t xml:space="preserve">Use of Gamma curve increased the ICER to </w:t>
            </w:r>
            <w:r w:rsidR="00F4744A" w:rsidRPr="00484AD0">
              <w:rPr>
                <w:rFonts w:ascii="Arial Narrow" w:hAnsi="Arial Narrow"/>
                <w:iCs/>
                <w:color w:val="000000"/>
                <w:spacing w:val="55"/>
                <w:sz w:val="20"/>
                <w:shd w:val="solid" w:color="000000" w:fill="000000"/>
                <w:fitText w:val="338" w:id="-694393844"/>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38" w:id="-694393844"/>
                <w14:textFill>
                  <w14:solidFill>
                    <w14:srgbClr w14:val="000000">
                      <w14:alpha w14:val="100000"/>
                    </w14:srgbClr>
                  </w14:solidFill>
                </w14:textFill>
              </w:rPr>
              <w:t>|</w:t>
            </w:r>
            <w:r w:rsidR="00ED70E6" w:rsidRPr="00ED70E6">
              <w:rPr>
                <w:rFonts w:ascii="Arial Narrow" w:hAnsi="Arial Narrow"/>
                <w:iCs/>
                <w:sz w:val="20"/>
                <w:vertAlign w:val="superscript"/>
              </w:rPr>
              <w:t>2</w:t>
            </w:r>
            <w:r w:rsidRPr="000A7BB0">
              <w:rPr>
                <w:rFonts w:ascii="Arial Narrow" w:hAnsi="Arial Narrow"/>
                <w:iCs/>
                <w:sz w:val="20"/>
              </w:rPr>
              <w:t>/QALY gained (+</w:t>
            </w:r>
            <w:r w:rsidR="00F4744A" w:rsidRPr="00484AD0">
              <w:rPr>
                <w:rFonts w:ascii="Arial Narrow" w:hAnsi="Arial Narrow"/>
                <w:iCs/>
                <w:color w:val="000000"/>
                <w:spacing w:val="51"/>
                <w:sz w:val="20"/>
                <w:shd w:val="solid" w:color="000000" w:fill="000000"/>
                <w:fitText w:val="326" w:id="-694393843"/>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843"/>
                <w14:textFill>
                  <w14:solidFill>
                    <w14:srgbClr w14:val="000000">
                      <w14:alpha w14:val="100000"/>
                    </w14:srgbClr>
                  </w14:solidFill>
                </w14:textFill>
              </w:rPr>
              <w:t>|</w:t>
            </w:r>
            <w:r w:rsidRPr="000A7BB0">
              <w:rPr>
                <w:rFonts w:ascii="Arial Narrow" w:hAnsi="Arial Narrow"/>
                <w:iCs/>
                <w:sz w:val="20"/>
              </w:rPr>
              <w:t>%)</w:t>
            </w:r>
            <w:r w:rsidRPr="000A7BB0">
              <w:rPr>
                <w:rFonts w:ascii="Arial Narrow" w:hAnsi="Arial Narrow"/>
                <w:iCs/>
                <w:color w:val="3366FF"/>
                <w:sz w:val="20"/>
              </w:rPr>
              <w:t xml:space="preserve">. </w:t>
            </w:r>
          </w:p>
        </w:tc>
      </w:tr>
      <w:tr w:rsidR="009E18C3" w:rsidRPr="000A7BB0" w14:paraId="534A2CAD" w14:textId="77777777" w:rsidTr="74877A7E">
        <w:tc>
          <w:tcPr>
            <w:tcW w:w="718" w:type="pct"/>
            <w:vAlign w:val="center"/>
          </w:tcPr>
          <w:p w14:paraId="640DCF72"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Extrapolation</w:t>
            </w:r>
          </w:p>
        </w:tc>
        <w:tc>
          <w:tcPr>
            <w:tcW w:w="2497" w:type="pct"/>
            <w:vAlign w:val="center"/>
          </w:tcPr>
          <w:p w14:paraId="00DC3AC2"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Choice of parametric curve for extrapolation of OS for SOC (base case= Gompertz)</w:t>
            </w:r>
          </w:p>
        </w:tc>
        <w:tc>
          <w:tcPr>
            <w:tcW w:w="1785" w:type="pct"/>
            <w:vAlign w:val="center"/>
          </w:tcPr>
          <w:p w14:paraId="1BC6DF00" w14:textId="23361E22"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High, favours elacestrant</w:t>
            </w:r>
          </w:p>
          <w:p w14:paraId="3765B128" w14:textId="7A925300" w:rsidR="009E18C3" w:rsidRPr="000A7BB0" w:rsidRDefault="009E18C3" w:rsidP="002553CE">
            <w:pPr>
              <w:keepNext/>
              <w:keepLines/>
              <w:spacing w:before="0" w:after="0"/>
              <w:jc w:val="left"/>
              <w:rPr>
                <w:rFonts w:ascii="Arial Narrow" w:hAnsi="Arial Narrow"/>
                <w:iCs/>
                <w:sz w:val="20"/>
              </w:rPr>
            </w:pPr>
            <w:r w:rsidRPr="000A7BB0">
              <w:rPr>
                <w:rFonts w:ascii="Arial Narrow" w:hAnsi="Arial Narrow"/>
                <w:iCs/>
                <w:sz w:val="20"/>
              </w:rPr>
              <w:t xml:space="preserve">Use of Gamma curve increased the ICER to </w:t>
            </w:r>
            <w:r w:rsidR="00F4744A" w:rsidRPr="00484AD0">
              <w:rPr>
                <w:rFonts w:ascii="Arial Narrow" w:hAnsi="Arial Narrow"/>
                <w:iCs/>
                <w:color w:val="000000"/>
                <w:spacing w:val="55"/>
                <w:sz w:val="20"/>
                <w:shd w:val="solid" w:color="000000" w:fill="000000"/>
                <w:fitText w:val="338" w:id="-694393842"/>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38" w:id="-694393842"/>
                <w14:textFill>
                  <w14:solidFill>
                    <w14:srgbClr w14:val="000000">
                      <w14:alpha w14:val="100000"/>
                    </w14:srgbClr>
                  </w14:solidFill>
                </w14:textFill>
              </w:rPr>
              <w:t>|</w:t>
            </w:r>
            <w:r w:rsidR="00B74EF3" w:rsidRPr="00B74EF3">
              <w:rPr>
                <w:rFonts w:ascii="Arial Narrow" w:hAnsi="Arial Narrow"/>
                <w:iCs/>
                <w:sz w:val="20"/>
                <w:vertAlign w:val="superscript"/>
              </w:rPr>
              <w:t>3</w:t>
            </w:r>
            <w:r w:rsidRPr="000A7BB0">
              <w:rPr>
                <w:rFonts w:ascii="Arial Narrow" w:hAnsi="Arial Narrow"/>
                <w:iCs/>
                <w:sz w:val="20"/>
              </w:rPr>
              <w:t>/QALY gained (+</w:t>
            </w:r>
            <w:r w:rsidR="00F4744A" w:rsidRPr="00484AD0">
              <w:rPr>
                <w:rFonts w:ascii="Arial Narrow" w:hAnsi="Arial Narrow"/>
                <w:iCs/>
                <w:color w:val="000000"/>
                <w:spacing w:val="51"/>
                <w:sz w:val="20"/>
                <w:shd w:val="solid" w:color="000000" w:fill="000000"/>
                <w:fitText w:val="326" w:id="-694393600"/>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600"/>
                <w14:textFill>
                  <w14:solidFill>
                    <w14:srgbClr w14:val="000000">
                      <w14:alpha w14:val="100000"/>
                    </w14:srgbClr>
                  </w14:solidFill>
                </w14:textFill>
              </w:rPr>
              <w:t>|</w:t>
            </w:r>
            <w:r w:rsidRPr="000A7BB0">
              <w:rPr>
                <w:rFonts w:ascii="Arial Narrow" w:hAnsi="Arial Narrow"/>
                <w:iCs/>
                <w:sz w:val="20"/>
              </w:rPr>
              <w:t>%)</w:t>
            </w:r>
            <w:r w:rsidRPr="000A7BB0">
              <w:rPr>
                <w:rFonts w:ascii="Arial Narrow" w:hAnsi="Arial Narrow"/>
                <w:iCs/>
                <w:color w:val="3366FF"/>
                <w:sz w:val="20"/>
              </w:rPr>
              <w:t xml:space="preserve">. </w:t>
            </w:r>
          </w:p>
        </w:tc>
      </w:tr>
      <w:tr w:rsidR="009E18C3" w:rsidRPr="000A7BB0" w14:paraId="08473905" w14:textId="77777777" w:rsidTr="74877A7E">
        <w:tc>
          <w:tcPr>
            <w:tcW w:w="718" w:type="pct"/>
            <w:vAlign w:val="center"/>
          </w:tcPr>
          <w:p w14:paraId="5FA0C29C"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Extrapolation</w:t>
            </w:r>
          </w:p>
        </w:tc>
        <w:tc>
          <w:tcPr>
            <w:tcW w:w="2497" w:type="pct"/>
            <w:vAlign w:val="center"/>
          </w:tcPr>
          <w:p w14:paraId="3556CBBD" w14:textId="3D691AC9"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Choice of parametric curve for extrapolation of PFS for elacestrant (base case= Generalised Gamma)</w:t>
            </w:r>
          </w:p>
        </w:tc>
        <w:tc>
          <w:tcPr>
            <w:tcW w:w="1785" w:type="pct"/>
            <w:vAlign w:val="center"/>
          </w:tcPr>
          <w:p w14:paraId="5DD2EF2B" w14:textId="01FF9791"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High, favours elacestrant</w:t>
            </w:r>
          </w:p>
          <w:p w14:paraId="002E38D7" w14:textId="67869D06" w:rsidR="009E18C3" w:rsidRPr="000A7BB0" w:rsidRDefault="009E18C3" w:rsidP="002553CE">
            <w:pPr>
              <w:keepNext/>
              <w:keepLines/>
              <w:spacing w:before="0" w:after="0"/>
              <w:jc w:val="left"/>
              <w:rPr>
                <w:rFonts w:ascii="Arial Narrow" w:hAnsi="Arial Narrow"/>
                <w:iCs/>
                <w:sz w:val="20"/>
              </w:rPr>
            </w:pPr>
            <w:r w:rsidRPr="000A7BB0">
              <w:rPr>
                <w:rFonts w:ascii="Arial Narrow" w:hAnsi="Arial Narrow"/>
                <w:iCs/>
                <w:sz w:val="20"/>
              </w:rPr>
              <w:t xml:space="preserve">Use of log-normal curve increased the ICER to </w:t>
            </w:r>
            <w:r w:rsidR="00F4744A" w:rsidRPr="00484AD0">
              <w:rPr>
                <w:rFonts w:ascii="Arial Narrow" w:hAnsi="Arial Narrow"/>
                <w:iCs/>
                <w:color w:val="000000"/>
                <w:spacing w:val="51"/>
                <w:sz w:val="20"/>
                <w:shd w:val="solid" w:color="000000" w:fill="000000"/>
                <w:fitText w:val="326" w:id="-694393599"/>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599"/>
                <w14:textFill>
                  <w14:solidFill>
                    <w14:srgbClr w14:val="000000">
                      <w14:alpha w14:val="100000"/>
                    </w14:srgbClr>
                  </w14:solidFill>
                </w14:textFill>
              </w:rPr>
              <w:t>|</w:t>
            </w:r>
            <w:r w:rsidR="00B74EF3" w:rsidRPr="00B74EF3">
              <w:rPr>
                <w:rFonts w:ascii="Arial Narrow" w:hAnsi="Arial Narrow"/>
                <w:iCs/>
                <w:sz w:val="20"/>
                <w:vertAlign w:val="superscript"/>
              </w:rPr>
              <w:t>3</w:t>
            </w:r>
            <w:r w:rsidRPr="000A7BB0">
              <w:rPr>
                <w:rFonts w:ascii="Arial Narrow" w:hAnsi="Arial Narrow"/>
                <w:iCs/>
                <w:sz w:val="20"/>
              </w:rPr>
              <w:t>/QALY gained (+</w:t>
            </w:r>
            <w:r w:rsidR="00F4744A" w:rsidRPr="00484AD0">
              <w:rPr>
                <w:rFonts w:ascii="Arial Narrow" w:hAnsi="Arial Narrow"/>
                <w:iCs/>
                <w:color w:val="000000"/>
                <w:spacing w:val="51"/>
                <w:sz w:val="20"/>
                <w:shd w:val="solid" w:color="000000" w:fill="000000"/>
                <w:fitText w:val="326" w:id="-694393598"/>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598"/>
                <w14:textFill>
                  <w14:solidFill>
                    <w14:srgbClr w14:val="000000">
                      <w14:alpha w14:val="100000"/>
                    </w14:srgbClr>
                  </w14:solidFill>
                </w14:textFill>
              </w:rPr>
              <w:t>|</w:t>
            </w:r>
            <w:r w:rsidRPr="000A7BB0">
              <w:rPr>
                <w:rFonts w:ascii="Arial Narrow" w:hAnsi="Arial Narrow"/>
                <w:iCs/>
                <w:sz w:val="20"/>
              </w:rPr>
              <w:t>%)</w:t>
            </w:r>
            <w:r w:rsidRPr="000A7BB0">
              <w:rPr>
                <w:rFonts w:ascii="Arial Narrow" w:hAnsi="Arial Narrow"/>
                <w:iCs/>
                <w:color w:val="3366FF"/>
                <w:sz w:val="20"/>
              </w:rPr>
              <w:t xml:space="preserve">. </w:t>
            </w:r>
          </w:p>
        </w:tc>
      </w:tr>
      <w:tr w:rsidR="00DE3E52" w:rsidRPr="000A7BB0" w14:paraId="74EA30EB" w14:textId="77777777" w:rsidTr="74877A7E">
        <w:tc>
          <w:tcPr>
            <w:tcW w:w="718" w:type="pct"/>
            <w:vAlign w:val="center"/>
          </w:tcPr>
          <w:p w14:paraId="393F3858" w14:textId="77777777" w:rsidR="00DE3E52" w:rsidRPr="000A7BB0" w:rsidRDefault="00DE3E52" w:rsidP="002553CE">
            <w:pPr>
              <w:keepNext/>
              <w:keepLines/>
              <w:spacing w:before="0" w:after="0"/>
              <w:jc w:val="left"/>
              <w:rPr>
                <w:rFonts w:ascii="Arial Narrow" w:hAnsi="Arial Narrow"/>
                <w:sz w:val="20"/>
              </w:rPr>
            </w:pPr>
            <w:r w:rsidRPr="000A7BB0">
              <w:rPr>
                <w:rFonts w:ascii="Arial Narrow" w:hAnsi="Arial Narrow"/>
                <w:sz w:val="20"/>
              </w:rPr>
              <w:t>Truncation point</w:t>
            </w:r>
          </w:p>
        </w:tc>
        <w:tc>
          <w:tcPr>
            <w:tcW w:w="2497" w:type="pct"/>
            <w:vAlign w:val="center"/>
          </w:tcPr>
          <w:p w14:paraId="4961694D" w14:textId="77777777" w:rsidR="00DE3E52" w:rsidRPr="000A7BB0" w:rsidRDefault="00DE3E52" w:rsidP="002553CE">
            <w:pPr>
              <w:keepNext/>
              <w:keepLines/>
              <w:spacing w:before="0" w:after="0"/>
              <w:jc w:val="left"/>
              <w:rPr>
                <w:rFonts w:ascii="Arial Narrow" w:hAnsi="Arial Narrow"/>
                <w:sz w:val="20"/>
              </w:rPr>
            </w:pPr>
            <w:r w:rsidRPr="000A7BB0">
              <w:rPr>
                <w:rFonts w:ascii="Arial Narrow" w:hAnsi="Arial Narrow" w:cstheme="minorHAnsi"/>
                <w:sz w:val="20"/>
                <w:szCs w:val="20"/>
              </w:rPr>
              <w:t>Truncation point for PFS, OS, TCD and TTD outcomes (base case = mean OS follow up [18 months])</w:t>
            </w:r>
          </w:p>
        </w:tc>
        <w:tc>
          <w:tcPr>
            <w:tcW w:w="1785" w:type="pct"/>
            <w:vAlign w:val="center"/>
          </w:tcPr>
          <w:p w14:paraId="391186F0" w14:textId="0E6E868B" w:rsidR="00DE3E52" w:rsidRPr="000A7BB0" w:rsidRDefault="27D59EAE" w:rsidP="002553CE">
            <w:pPr>
              <w:keepNext/>
              <w:keepLines/>
              <w:spacing w:before="0" w:after="0"/>
              <w:jc w:val="left"/>
              <w:rPr>
                <w:rFonts w:ascii="Arial Narrow" w:hAnsi="Arial Narrow"/>
                <w:sz w:val="20"/>
                <w:szCs w:val="20"/>
              </w:rPr>
            </w:pPr>
            <w:r w:rsidRPr="000A7BB0">
              <w:rPr>
                <w:rFonts w:ascii="Arial Narrow" w:hAnsi="Arial Narrow"/>
                <w:sz w:val="20"/>
                <w:szCs w:val="20"/>
              </w:rPr>
              <w:t>Low, favours elacestrant</w:t>
            </w:r>
          </w:p>
          <w:p w14:paraId="70728877" w14:textId="2D1C421F" w:rsidR="00DE3E52" w:rsidRPr="000A7BB0" w:rsidRDefault="27D59EAE" w:rsidP="002553CE">
            <w:pPr>
              <w:keepNext/>
              <w:keepLines/>
              <w:spacing w:before="0" w:after="0"/>
              <w:jc w:val="left"/>
              <w:rPr>
                <w:rFonts w:ascii="Arial Narrow" w:hAnsi="Arial Narrow"/>
                <w:sz w:val="20"/>
                <w:szCs w:val="20"/>
              </w:rPr>
            </w:pPr>
            <w:r w:rsidRPr="000A7BB0">
              <w:rPr>
                <w:rFonts w:ascii="Arial Narrow" w:hAnsi="Arial Narrow"/>
                <w:sz w:val="20"/>
                <w:szCs w:val="20"/>
              </w:rPr>
              <w:t xml:space="preserve">Use of separate truncation points for each outcome derived using methods from Gebski 2018 increased the ICER to </w:t>
            </w:r>
            <w:r w:rsidR="00F4744A" w:rsidRPr="00484AD0">
              <w:rPr>
                <w:rFonts w:ascii="Arial Narrow" w:hAnsi="Arial Narrow"/>
                <w:color w:val="000000"/>
                <w:spacing w:val="51"/>
                <w:sz w:val="20"/>
                <w:szCs w:val="20"/>
                <w:shd w:val="solid" w:color="000000" w:fill="000000"/>
                <w:fitText w:val="325" w:id="-694393597"/>
                <w14:textFill>
                  <w14:solidFill>
                    <w14:srgbClr w14:val="000000">
                      <w14:alpha w14:val="100000"/>
                    </w14:srgbClr>
                  </w14:solidFill>
                </w14:textFill>
              </w:rPr>
              <w:t>|||</w:t>
            </w:r>
            <w:r w:rsidR="00F4744A" w:rsidRPr="00484AD0">
              <w:rPr>
                <w:rFonts w:ascii="Arial Narrow" w:hAnsi="Arial Narrow"/>
                <w:color w:val="000000"/>
                <w:spacing w:val="2"/>
                <w:sz w:val="20"/>
                <w:szCs w:val="20"/>
                <w:shd w:val="solid" w:color="000000" w:fill="000000"/>
                <w:fitText w:val="325" w:id="-694393597"/>
                <w14:textFill>
                  <w14:solidFill>
                    <w14:srgbClr w14:val="000000">
                      <w14:alpha w14:val="100000"/>
                    </w14:srgbClr>
                  </w14:solidFill>
                </w14:textFill>
              </w:rPr>
              <w:t>|</w:t>
            </w:r>
            <w:r w:rsidR="00ED70E6" w:rsidRPr="002D31D2">
              <w:rPr>
                <w:rFonts w:ascii="Arial Narrow" w:hAnsi="Arial Narrow" w:cs="Arial"/>
                <w:b/>
                <w:bCs/>
                <w:sz w:val="20"/>
                <w:szCs w:val="20"/>
                <w:vertAlign w:val="superscript"/>
              </w:rPr>
              <w:t>1</w:t>
            </w:r>
            <w:r w:rsidRPr="000A7BB0">
              <w:rPr>
                <w:rFonts w:ascii="Arial Narrow" w:hAnsi="Arial Narrow"/>
                <w:sz w:val="20"/>
                <w:szCs w:val="20"/>
              </w:rPr>
              <w:t>/QALY gained (+</w:t>
            </w:r>
            <w:r w:rsidR="00F4744A" w:rsidRPr="00484AD0">
              <w:rPr>
                <w:rFonts w:ascii="Arial Narrow" w:hAnsi="Arial Narrow"/>
                <w:color w:val="000000"/>
                <w:spacing w:val="51"/>
                <w:sz w:val="20"/>
                <w:szCs w:val="20"/>
                <w:shd w:val="solid" w:color="000000" w:fill="000000"/>
                <w:fitText w:val="325" w:id="-694393596"/>
                <w14:textFill>
                  <w14:solidFill>
                    <w14:srgbClr w14:val="000000">
                      <w14:alpha w14:val="100000"/>
                    </w14:srgbClr>
                  </w14:solidFill>
                </w14:textFill>
              </w:rPr>
              <w:t>|||</w:t>
            </w:r>
            <w:r w:rsidR="00F4744A" w:rsidRPr="00484AD0">
              <w:rPr>
                <w:rFonts w:ascii="Arial Narrow" w:hAnsi="Arial Narrow"/>
                <w:color w:val="000000"/>
                <w:spacing w:val="2"/>
                <w:sz w:val="20"/>
                <w:szCs w:val="20"/>
                <w:shd w:val="solid" w:color="000000" w:fill="000000"/>
                <w:fitText w:val="325" w:id="-694393596"/>
                <w14:textFill>
                  <w14:solidFill>
                    <w14:srgbClr w14:val="000000">
                      <w14:alpha w14:val="100000"/>
                    </w14:srgbClr>
                  </w14:solidFill>
                </w14:textFill>
              </w:rPr>
              <w:t>|</w:t>
            </w:r>
            <w:r w:rsidRPr="000A7BB0">
              <w:rPr>
                <w:rFonts w:ascii="Arial Narrow" w:hAnsi="Arial Narrow"/>
                <w:sz w:val="20"/>
                <w:szCs w:val="20"/>
              </w:rPr>
              <w:t>%)</w:t>
            </w:r>
            <w:r w:rsidRPr="000A7BB0">
              <w:rPr>
                <w:rFonts w:ascii="Arial Narrow" w:hAnsi="Arial Narrow"/>
                <w:color w:val="3366FF"/>
                <w:sz w:val="20"/>
                <w:szCs w:val="20"/>
              </w:rPr>
              <w:t>.</w:t>
            </w:r>
          </w:p>
        </w:tc>
      </w:tr>
      <w:tr w:rsidR="009E18C3" w:rsidRPr="000A7BB0" w14:paraId="77858247" w14:textId="77777777" w:rsidTr="74877A7E">
        <w:tc>
          <w:tcPr>
            <w:tcW w:w="718" w:type="pct"/>
            <w:vAlign w:val="center"/>
          </w:tcPr>
          <w:p w14:paraId="2F632F0A"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Utilities</w:t>
            </w:r>
          </w:p>
        </w:tc>
        <w:tc>
          <w:tcPr>
            <w:tcW w:w="2497" w:type="pct"/>
            <w:vAlign w:val="center"/>
          </w:tcPr>
          <w:p w14:paraId="0B1059A9" w14:textId="625D721B"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 xml:space="preserve">High value for PF health state (=0.876) and low value for the PD health state (=0.543) in the base case, resulting in a higher utility decrement for progression to PD (=-0.333) than that seen in the literature and in previous PBAC submissions involving similar patient populations </w:t>
            </w:r>
          </w:p>
        </w:tc>
        <w:tc>
          <w:tcPr>
            <w:tcW w:w="1785" w:type="pct"/>
            <w:vAlign w:val="center"/>
          </w:tcPr>
          <w:p w14:paraId="0D4C541E" w14:textId="2F20F322"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 xml:space="preserve">High, favours elacestrant </w:t>
            </w:r>
          </w:p>
          <w:p w14:paraId="4443C912" w14:textId="1FC91CE0" w:rsidR="009E18C3" w:rsidRPr="000A7BB0" w:rsidRDefault="009E18C3" w:rsidP="002553CE">
            <w:pPr>
              <w:keepNext/>
              <w:keepLines/>
              <w:spacing w:before="0" w:after="0"/>
              <w:jc w:val="left"/>
              <w:rPr>
                <w:rFonts w:ascii="Arial Narrow" w:hAnsi="Arial Narrow"/>
                <w:iCs/>
                <w:sz w:val="20"/>
              </w:rPr>
            </w:pPr>
            <w:r w:rsidRPr="000A7BB0">
              <w:rPr>
                <w:rFonts w:ascii="Arial Narrow" w:hAnsi="Arial Narrow"/>
                <w:iCs/>
                <w:sz w:val="20"/>
              </w:rPr>
              <w:t xml:space="preserve">Use of utilities from Lloyd 2006 (PF=0.715, PD=0.587, utility decrement=-0.272) increased the ICER to </w:t>
            </w:r>
            <w:r w:rsidR="00F4744A" w:rsidRPr="00484AD0">
              <w:rPr>
                <w:rFonts w:ascii="Arial Narrow" w:hAnsi="Arial Narrow"/>
                <w:iCs/>
                <w:color w:val="000000"/>
                <w:spacing w:val="51"/>
                <w:sz w:val="20"/>
                <w:shd w:val="solid" w:color="000000" w:fill="000000"/>
                <w:fitText w:val="325" w:id="-694393595"/>
                <w14:textFill>
                  <w14:solidFill>
                    <w14:srgbClr w14:val="000000">
                      <w14:alpha w14:val="100000"/>
                    </w14:srgbClr>
                  </w14:solidFill>
                </w14:textFill>
              </w:rPr>
              <w:t>|||</w:t>
            </w:r>
            <w:r w:rsidR="00F4744A" w:rsidRPr="00484AD0">
              <w:rPr>
                <w:rFonts w:ascii="Arial Narrow" w:hAnsi="Arial Narrow"/>
                <w:iCs/>
                <w:color w:val="000000"/>
                <w:spacing w:val="2"/>
                <w:sz w:val="20"/>
                <w:shd w:val="solid" w:color="000000" w:fill="000000"/>
                <w:fitText w:val="325" w:id="-694393595"/>
                <w14:textFill>
                  <w14:solidFill>
                    <w14:srgbClr w14:val="000000">
                      <w14:alpha w14:val="100000"/>
                    </w14:srgbClr>
                  </w14:solidFill>
                </w14:textFill>
              </w:rPr>
              <w:t>|</w:t>
            </w:r>
            <w:r w:rsidR="00B74EF3" w:rsidRPr="00B74EF3">
              <w:rPr>
                <w:rFonts w:ascii="Arial Narrow" w:hAnsi="Arial Narrow"/>
                <w:iCs/>
                <w:sz w:val="20"/>
                <w:vertAlign w:val="superscript"/>
              </w:rPr>
              <w:t>3</w:t>
            </w:r>
            <w:r w:rsidRPr="000A7BB0">
              <w:rPr>
                <w:rFonts w:ascii="Arial Narrow" w:hAnsi="Arial Narrow"/>
                <w:iCs/>
                <w:sz w:val="20"/>
              </w:rPr>
              <w:t>/QALY gained (+</w:t>
            </w:r>
            <w:r w:rsidR="00F4744A" w:rsidRPr="00484AD0">
              <w:rPr>
                <w:rFonts w:ascii="Arial Narrow" w:hAnsi="Arial Narrow"/>
                <w:iCs/>
                <w:color w:val="000000"/>
                <w:spacing w:val="51"/>
                <w:sz w:val="20"/>
                <w:shd w:val="solid" w:color="000000" w:fill="000000"/>
                <w:fitText w:val="326" w:id="-694393594"/>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594"/>
                <w14:textFill>
                  <w14:solidFill>
                    <w14:srgbClr w14:val="000000">
                      <w14:alpha w14:val="100000"/>
                    </w14:srgbClr>
                  </w14:solidFill>
                </w14:textFill>
              </w:rPr>
              <w:t>|</w:t>
            </w:r>
            <w:r w:rsidRPr="000A7BB0">
              <w:rPr>
                <w:rFonts w:ascii="Arial Narrow" w:hAnsi="Arial Narrow"/>
                <w:iCs/>
                <w:sz w:val="20"/>
              </w:rPr>
              <w:t>%).</w:t>
            </w:r>
          </w:p>
        </w:tc>
      </w:tr>
      <w:tr w:rsidR="009E18C3" w:rsidRPr="000A7BB0" w14:paraId="127F52E2" w14:textId="77777777" w:rsidTr="74877A7E">
        <w:tc>
          <w:tcPr>
            <w:tcW w:w="718" w:type="pct"/>
            <w:vAlign w:val="center"/>
          </w:tcPr>
          <w:p w14:paraId="57E3D1EE"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Time horizon</w:t>
            </w:r>
          </w:p>
        </w:tc>
        <w:tc>
          <w:tcPr>
            <w:tcW w:w="2497" w:type="pct"/>
            <w:vAlign w:val="center"/>
          </w:tcPr>
          <w:p w14:paraId="59F98647" w14:textId="77777777" w:rsidR="009E18C3" w:rsidRPr="000A7BB0" w:rsidRDefault="009E18C3" w:rsidP="002553CE">
            <w:pPr>
              <w:keepNext/>
              <w:keepLines/>
              <w:spacing w:before="0" w:after="0"/>
              <w:jc w:val="left"/>
              <w:rPr>
                <w:rFonts w:ascii="Arial Narrow" w:hAnsi="Arial Narrow"/>
                <w:sz w:val="20"/>
              </w:rPr>
            </w:pPr>
            <w:r w:rsidRPr="000A7BB0">
              <w:rPr>
                <w:rFonts w:ascii="Arial Narrow" w:hAnsi="Arial Narrow"/>
                <w:sz w:val="20"/>
              </w:rPr>
              <w:t>10 years in the base case</w:t>
            </w:r>
          </w:p>
        </w:tc>
        <w:tc>
          <w:tcPr>
            <w:tcW w:w="1785" w:type="pct"/>
            <w:vAlign w:val="center"/>
          </w:tcPr>
          <w:p w14:paraId="54A1446F" w14:textId="1FCD52E6" w:rsidR="009E18C3" w:rsidRPr="000A7BB0" w:rsidRDefault="009E18C3" w:rsidP="002553CE">
            <w:pPr>
              <w:keepNext/>
              <w:keepLines/>
              <w:spacing w:before="0" w:after="0"/>
              <w:jc w:val="left"/>
              <w:rPr>
                <w:rFonts w:ascii="Arial Narrow" w:hAnsi="Arial Narrow"/>
                <w:sz w:val="20"/>
                <w:szCs w:val="20"/>
              </w:rPr>
            </w:pPr>
            <w:r w:rsidRPr="000A7BB0">
              <w:rPr>
                <w:rFonts w:ascii="Arial Narrow" w:hAnsi="Arial Narrow"/>
                <w:sz w:val="20"/>
                <w:szCs w:val="20"/>
              </w:rPr>
              <w:t>High, favours elacestrant</w:t>
            </w:r>
          </w:p>
          <w:p w14:paraId="49CB2CB7" w14:textId="63312301" w:rsidR="009E18C3" w:rsidRPr="000A7BB0" w:rsidRDefault="009E18C3" w:rsidP="002553CE">
            <w:pPr>
              <w:keepNext/>
              <w:keepLines/>
              <w:spacing w:before="0" w:after="0"/>
              <w:jc w:val="left"/>
              <w:rPr>
                <w:rFonts w:ascii="Arial Narrow" w:hAnsi="Arial Narrow"/>
                <w:iCs/>
                <w:sz w:val="20"/>
              </w:rPr>
            </w:pPr>
            <w:r w:rsidRPr="000A7BB0">
              <w:rPr>
                <w:rFonts w:ascii="Arial Narrow" w:hAnsi="Arial Narrow"/>
                <w:iCs/>
                <w:sz w:val="20"/>
              </w:rPr>
              <w:t xml:space="preserve">Use of a 7-year time horizon increased the ICER to </w:t>
            </w:r>
            <w:r w:rsidR="00F4744A" w:rsidRPr="00484AD0">
              <w:rPr>
                <w:rFonts w:ascii="Arial Narrow" w:hAnsi="Arial Narrow"/>
                <w:iCs/>
                <w:color w:val="000000"/>
                <w:spacing w:val="51"/>
                <w:sz w:val="20"/>
                <w:shd w:val="solid" w:color="000000" w:fill="000000"/>
                <w:fitText w:val="326" w:id="-694393593"/>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593"/>
                <w14:textFill>
                  <w14:solidFill>
                    <w14:srgbClr w14:val="000000">
                      <w14:alpha w14:val="100000"/>
                    </w14:srgbClr>
                  </w14:solidFill>
                </w14:textFill>
              </w:rPr>
              <w:t>|</w:t>
            </w:r>
            <w:r w:rsidR="00B74EF3" w:rsidRPr="00B74EF3">
              <w:rPr>
                <w:rFonts w:ascii="Arial Narrow" w:hAnsi="Arial Narrow"/>
                <w:iCs/>
                <w:sz w:val="20"/>
                <w:vertAlign w:val="superscript"/>
              </w:rPr>
              <w:t>3</w:t>
            </w:r>
            <w:r w:rsidRPr="000A7BB0">
              <w:rPr>
                <w:rFonts w:ascii="Arial Narrow" w:hAnsi="Arial Narrow"/>
                <w:iCs/>
                <w:sz w:val="20"/>
              </w:rPr>
              <w:t>/QALY gained (+</w:t>
            </w:r>
            <w:r w:rsidR="00F4744A" w:rsidRPr="00484AD0">
              <w:rPr>
                <w:rFonts w:ascii="Arial Narrow" w:hAnsi="Arial Narrow"/>
                <w:iCs/>
                <w:color w:val="000000"/>
                <w:spacing w:val="51"/>
                <w:sz w:val="20"/>
                <w:shd w:val="solid" w:color="000000" w:fill="000000"/>
                <w:fitText w:val="326" w:id="-694393592"/>
                <w14:textFill>
                  <w14:solidFill>
                    <w14:srgbClr w14:val="000000">
                      <w14:alpha w14:val="100000"/>
                    </w14:srgbClr>
                  </w14:solidFill>
                </w14:textFill>
              </w:rPr>
              <w:t>|||</w:t>
            </w:r>
            <w:r w:rsidR="00F4744A" w:rsidRPr="00484AD0">
              <w:rPr>
                <w:rFonts w:ascii="Arial Narrow" w:hAnsi="Arial Narrow"/>
                <w:iCs/>
                <w:color w:val="000000"/>
                <w:spacing w:val="3"/>
                <w:sz w:val="20"/>
                <w:shd w:val="solid" w:color="000000" w:fill="000000"/>
                <w:fitText w:val="326" w:id="-694393592"/>
                <w14:textFill>
                  <w14:solidFill>
                    <w14:srgbClr w14:val="000000">
                      <w14:alpha w14:val="100000"/>
                    </w14:srgbClr>
                  </w14:solidFill>
                </w14:textFill>
              </w:rPr>
              <w:t>|</w:t>
            </w:r>
            <w:r w:rsidRPr="000A7BB0">
              <w:rPr>
                <w:rFonts w:ascii="Arial Narrow" w:hAnsi="Arial Narrow"/>
                <w:iCs/>
                <w:sz w:val="20"/>
              </w:rPr>
              <w:t>%)</w:t>
            </w:r>
          </w:p>
        </w:tc>
      </w:tr>
    </w:tbl>
    <w:p w14:paraId="399B58E1" w14:textId="5B5215EA" w:rsidR="009E18C3" w:rsidRPr="000A7BB0" w:rsidRDefault="009E18C3" w:rsidP="002553CE">
      <w:pPr>
        <w:keepNext/>
        <w:keepLines/>
        <w:tabs>
          <w:tab w:val="left" w:pos="284"/>
        </w:tabs>
        <w:spacing w:before="0" w:after="0"/>
        <w:jc w:val="left"/>
        <w:rPr>
          <w:rFonts w:ascii="Arial Narrow" w:eastAsia="Times New Roman" w:hAnsi="Arial Narrow" w:cs="Arial"/>
          <w:snapToGrid w:val="0"/>
          <w:sz w:val="18"/>
          <w:lang w:eastAsia="en-AU"/>
        </w:rPr>
      </w:pPr>
      <w:r w:rsidRPr="000A7BB0">
        <w:rPr>
          <w:rFonts w:ascii="Arial Narrow" w:eastAsia="Times New Roman" w:hAnsi="Arial Narrow" w:cs="Arial"/>
          <w:snapToGrid w:val="0"/>
          <w:sz w:val="18"/>
          <w:lang w:eastAsia="en-AU"/>
        </w:rPr>
        <w:t>Source: Compiled during the evaluation using data from Table 3.39, of the submission.</w:t>
      </w:r>
    </w:p>
    <w:p w14:paraId="58C952EB" w14:textId="77777777" w:rsidR="00CD06D6" w:rsidRDefault="009E18C3" w:rsidP="002553CE">
      <w:pPr>
        <w:keepNext/>
        <w:keepLines/>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ICER = incremental cost-effectiveness ratio; OS = overall survival; PBAC = Pharmaceutical Benefits Advisory Committee; PD = progressed disease; PF = progression free; PFS = progression-free survival; QALY = quality-adjusted life year; SOC = standard of care; TCD = time to chemotherapy or death; TTD = time to treatment discontinuation</w:t>
      </w:r>
      <w:r w:rsidR="00CD06D6">
        <w:rPr>
          <w:rFonts w:ascii="Arial Narrow" w:eastAsia="Times New Roman" w:hAnsi="Arial Narrow" w:cs="Arial"/>
          <w:snapToGrid w:val="0"/>
          <w:sz w:val="18"/>
          <w:szCs w:val="20"/>
        </w:rPr>
        <w:t xml:space="preserve"> </w:t>
      </w:r>
    </w:p>
    <w:p w14:paraId="6B8BEE6E" w14:textId="292AEB20" w:rsidR="00CD06D6" w:rsidRPr="00C0245D" w:rsidRDefault="00CD06D6" w:rsidP="002553CE">
      <w:pPr>
        <w:keepNext/>
        <w:keepLines/>
        <w:spacing w:before="0" w:after="0"/>
        <w:contextualSpacing/>
        <w:rPr>
          <w:rFonts w:ascii="Arial Narrow" w:eastAsia="Times New Roman" w:hAnsi="Arial Narrow" w:cs="Arial"/>
          <w:i/>
          <w:iCs/>
          <w:snapToGrid w:val="0"/>
          <w:sz w:val="18"/>
          <w:szCs w:val="20"/>
        </w:rPr>
      </w:pPr>
      <w:r w:rsidRPr="00C0245D">
        <w:rPr>
          <w:rFonts w:ascii="Arial Narrow" w:eastAsia="Times New Roman" w:hAnsi="Arial Narrow" w:cs="Arial"/>
          <w:i/>
          <w:iCs/>
          <w:snapToGrid w:val="0"/>
          <w:sz w:val="18"/>
          <w:szCs w:val="20"/>
        </w:rPr>
        <w:t>The redacted values correspond to the following ranges</w:t>
      </w:r>
      <w:r w:rsidR="00E667DF">
        <w:rPr>
          <w:rFonts w:ascii="Arial Narrow" w:eastAsia="Times New Roman" w:hAnsi="Arial Narrow" w:cs="Arial"/>
          <w:i/>
          <w:iCs/>
          <w:snapToGrid w:val="0"/>
          <w:sz w:val="18"/>
          <w:szCs w:val="20"/>
        </w:rPr>
        <w:t>:</w:t>
      </w:r>
    </w:p>
    <w:p w14:paraId="07E8D950" w14:textId="77777777" w:rsidR="0012755D" w:rsidRPr="00C0245D" w:rsidRDefault="00ED70E6" w:rsidP="002553CE">
      <w:pPr>
        <w:keepNext/>
        <w:keepLines/>
        <w:spacing w:before="0" w:after="0"/>
        <w:contextualSpacing/>
        <w:rPr>
          <w:rFonts w:ascii="Arial Narrow" w:eastAsia="Times New Roman" w:hAnsi="Arial Narrow" w:cs="Arial"/>
          <w:i/>
          <w:iCs/>
          <w:snapToGrid w:val="0"/>
          <w:sz w:val="18"/>
          <w:szCs w:val="20"/>
        </w:rPr>
      </w:pPr>
      <w:r w:rsidRPr="00C0245D">
        <w:rPr>
          <w:rFonts w:ascii="Arial Narrow" w:eastAsia="Times New Roman" w:hAnsi="Arial Narrow" w:cs="Arial"/>
          <w:i/>
          <w:iCs/>
          <w:snapToGrid w:val="0"/>
          <w:sz w:val="18"/>
          <w:szCs w:val="20"/>
          <w:vertAlign w:val="superscript"/>
        </w:rPr>
        <w:t>1</w:t>
      </w:r>
      <w:r w:rsidRPr="00C0245D">
        <w:rPr>
          <w:rFonts w:ascii="Arial Narrow" w:eastAsia="Times New Roman" w:hAnsi="Arial Narrow" w:cs="Arial"/>
          <w:i/>
          <w:iCs/>
          <w:snapToGrid w:val="0"/>
          <w:sz w:val="18"/>
          <w:szCs w:val="20"/>
        </w:rPr>
        <w:t xml:space="preserve"> </w:t>
      </w:r>
      <w:r w:rsidR="002D31D2" w:rsidRPr="00C0245D">
        <w:rPr>
          <w:rFonts w:ascii="Arial Narrow" w:eastAsia="Times New Roman" w:hAnsi="Arial Narrow" w:cs="Arial"/>
          <w:i/>
          <w:iCs/>
          <w:snapToGrid w:val="0"/>
          <w:sz w:val="18"/>
          <w:szCs w:val="20"/>
        </w:rPr>
        <w:t xml:space="preserve">$55,000 to &lt; $75,000 </w:t>
      </w:r>
    </w:p>
    <w:p w14:paraId="0E8F0B0A" w14:textId="771F98E2" w:rsidR="00ED70E6" w:rsidRPr="00C0245D" w:rsidRDefault="0012755D" w:rsidP="002553CE">
      <w:pPr>
        <w:keepNext/>
        <w:keepLines/>
        <w:spacing w:before="0" w:after="0"/>
        <w:contextualSpacing/>
        <w:rPr>
          <w:rFonts w:ascii="Arial Narrow" w:eastAsia="Times New Roman" w:hAnsi="Arial Narrow" w:cs="Arial"/>
          <w:i/>
          <w:iCs/>
          <w:snapToGrid w:val="0"/>
          <w:sz w:val="18"/>
          <w:szCs w:val="20"/>
        </w:rPr>
      </w:pPr>
      <w:r w:rsidRPr="00C0245D">
        <w:rPr>
          <w:rFonts w:ascii="Arial Narrow" w:eastAsia="Times New Roman" w:hAnsi="Arial Narrow" w:cs="Arial"/>
          <w:i/>
          <w:iCs/>
          <w:snapToGrid w:val="0"/>
          <w:sz w:val="18"/>
          <w:szCs w:val="20"/>
          <w:vertAlign w:val="superscript"/>
        </w:rPr>
        <w:t>2</w:t>
      </w:r>
      <w:r w:rsidRPr="00C0245D">
        <w:rPr>
          <w:rFonts w:ascii="Arial Narrow" w:eastAsia="Times New Roman" w:hAnsi="Arial Narrow" w:cs="Arial"/>
          <w:i/>
          <w:iCs/>
          <w:snapToGrid w:val="0"/>
          <w:sz w:val="18"/>
          <w:szCs w:val="20"/>
        </w:rPr>
        <w:t xml:space="preserve"> $95,000 to &lt; $115,000</w:t>
      </w:r>
    </w:p>
    <w:p w14:paraId="297B773F" w14:textId="2578A416" w:rsidR="00ED70E6" w:rsidRPr="00C0245D" w:rsidRDefault="0012755D" w:rsidP="002553CE">
      <w:pPr>
        <w:keepNext/>
        <w:keepLines/>
        <w:spacing w:before="0" w:after="0"/>
        <w:contextualSpacing/>
        <w:rPr>
          <w:rFonts w:ascii="Arial Narrow" w:eastAsia="Times New Roman" w:hAnsi="Arial Narrow" w:cs="Arial"/>
          <w:i/>
          <w:iCs/>
          <w:snapToGrid w:val="0"/>
          <w:sz w:val="18"/>
          <w:szCs w:val="20"/>
        </w:rPr>
      </w:pPr>
      <w:r w:rsidRPr="00C0245D">
        <w:rPr>
          <w:rFonts w:ascii="Arial Narrow" w:eastAsia="Times New Roman" w:hAnsi="Arial Narrow" w:cs="Arial"/>
          <w:i/>
          <w:iCs/>
          <w:snapToGrid w:val="0"/>
          <w:sz w:val="18"/>
          <w:szCs w:val="20"/>
          <w:vertAlign w:val="superscript"/>
        </w:rPr>
        <w:t>3</w:t>
      </w:r>
      <w:r w:rsidR="00ED70E6" w:rsidRPr="00C0245D">
        <w:rPr>
          <w:rFonts w:ascii="Arial Narrow" w:eastAsia="Times New Roman" w:hAnsi="Arial Narrow" w:cs="Arial"/>
          <w:i/>
          <w:iCs/>
          <w:snapToGrid w:val="0"/>
          <w:sz w:val="18"/>
          <w:szCs w:val="20"/>
          <w:vertAlign w:val="superscript"/>
        </w:rPr>
        <w:t xml:space="preserve"> </w:t>
      </w:r>
      <w:r w:rsidR="00ED70E6" w:rsidRPr="00C0245D">
        <w:rPr>
          <w:rFonts w:ascii="Arial Narrow" w:eastAsia="Times New Roman" w:hAnsi="Arial Narrow" w:cs="Arial"/>
          <w:i/>
          <w:iCs/>
          <w:snapToGrid w:val="0"/>
          <w:sz w:val="18"/>
          <w:szCs w:val="20"/>
        </w:rPr>
        <w:t>$75,000 to &lt; $95,000</w:t>
      </w:r>
    </w:p>
    <w:p w14:paraId="12C93C3F" w14:textId="7D2968FD" w:rsidR="009E18C3" w:rsidRPr="000A7BB0" w:rsidRDefault="009E18C3" w:rsidP="002553CE">
      <w:pPr>
        <w:numPr>
          <w:ilvl w:val="4"/>
          <w:numId w:val="11"/>
        </w:numPr>
        <w:ind w:left="709" w:hanging="709"/>
        <w:rPr>
          <w:color w:val="000000" w:themeColor="text1"/>
        </w:rPr>
      </w:pPr>
      <w:r w:rsidRPr="000A7BB0">
        <w:rPr>
          <w:color w:val="000000" w:themeColor="text1"/>
        </w:rPr>
        <w:t xml:space="preserve">The results of the stepped economic evaluation are presented in </w:t>
      </w:r>
      <w:r w:rsidRPr="000A7BB0">
        <w:rPr>
          <w:color w:val="000000" w:themeColor="text1"/>
        </w:rPr>
        <w:fldChar w:fldCharType="begin"/>
      </w:r>
      <w:r w:rsidRPr="000A7BB0">
        <w:rPr>
          <w:color w:val="000000" w:themeColor="text1"/>
        </w:rPr>
        <w:instrText xml:space="preserve"> REF _Ref184477089 \h </w:instrText>
      </w:r>
      <w:r w:rsidR="004D5BD7" w:rsidRPr="000A7BB0">
        <w:rPr>
          <w:color w:val="000000" w:themeColor="text1"/>
        </w:rPr>
        <w:instrText xml:space="preserve"> \* MERGEFORMAT </w:instrText>
      </w:r>
      <w:r w:rsidRPr="000A7BB0">
        <w:rPr>
          <w:color w:val="000000" w:themeColor="text1"/>
        </w:rPr>
      </w:r>
      <w:r w:rsidRPr="000A7BB0">
        <w:rPr>
          <w:color w:val="000000" w:themeColor="text1"/>
        </w:rPr>
        <w:fldChar w:fldCharType="separate"/>
      </w:r>
      <w:r w:rsidR="004F224A" w:rsidRPr="004F224A">
        <w:rPr>
          <w:color w:val="000000" w:themeColor="text1"/>
        </w:rPr>
        <w:t>Table 10</w:t>
      </w:r>
      <w:r w:rsidRPr="000A7BB0">
        <w:rPr>
          <w:color w:val="000000" w:themeColor="text1"/>
        </w:rPr>
        <w:fldChar w:fldCharType="end"/>
      </w:r>
      <w:r w:rsidRPr="000A7BB0">
        <w:rPr>
          <w:color w:val="000000" w:themeColor="text1"/>
        </w:rPr>
        <w:t xml:space="preserve">. </w:t>
      </w:r>
    </w:p>
    <w:p w14:paraId="26A0BEA8" w14:textId="19CD43BC" w:rsidR="009E18C3" w:rsidRPr="000A7BB0" w:rsidRDefault="009E18C3" w:rsidP="002553CE">
      <w:pPr>
        <w:pStyle w:val="Caption"/>
        <w:keepLines/>
      </w:pPr>
      <w:bookmarkStart w:id="40" w:name="_Ref184477089"/>
      <w:r w:rsidRPr="000A7BB0">
        <w:lastRenderedPageBreak/>
        <w:t xml:space="preserve">Table </w:t>
      </w:r>
      <w:r>
        <w:fldChar w:fldCharType="begin"/>
      </w:r>
      <w:r>
        <w:instrText>SEQ Table_PBAC. \* ARABIC</w:instrText>
      </w:r>
      <w:r>
        <w:fldChar w:fldCharType="separate"/>
      </w:r>
      <w:r w:rsidR="004F224A">
        <w:rPr>
          <w:noProof/>
        </w:rPr>
        <w:t>10</w:t>
      </w:r>
      <w:r>
        <w:fldChar w:fldCharType="end"/>
      </w:r>
      <w:bookmarkEnd w:id="40"/>
      <w:r w:rsidR="00176142" w:rsidRPr="000A7BB0">
        <w:t xml:space="preserve">: </w:t>
      </w:r>
      <w:r w:rsidRPr="000A7BB0">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stepped economic evaluation"/>
      </w:tblPr>
      <w:tblGrid>
        <w:gridCol w:w="2734"/>
        <w:gridCol w:w="2460"/>
        <w:gridCol w:w="2306"/>
        <w:gridCol w:w="1516"/>
      </w:tblGrid>
      <w:tr w:rsidR="009E18C3" w:rsidRPr="000A7BB0" w14:paraId="5A924F65" w14:textId="77777777" w:rsidTr="004359A9">
        <w:trPr>
          <w:tblHeader/>
        </w:trPr>
        <w:tc>
          <w:tcPr>
            <w:tcW w:w="1516" w:type="pct"/>
            <w:vAlign w:val="center"/>
          </w:tcPr>
          <w:p w14:paraId="7FBEEC20" w14:textId="72D3005B" w:rsidR="009E18C3" w:rsidRPr="000A7BB0" w:rsidRDefault="009E18C3" w:rsidP="002553CE">
            <w:pPr>
              <w:keepNext/>
              <w:keepLines/>
              <w:spacing w:before="0" w:after="0"/>
              <w:jc w:val="left"/>
              <w:rPr>
                <w:rFonts w:ascii="Arial Narrow" w:hAnsi="Arial Narrow"/>
                <w:b/>
                <w:sz w:val="20"/>
                <w:szCs w:val="20"/>
              </w:rPr>
            </w:pPr>
            <w:r w:rsidRPr="000A7BB0">
              <w:rPr>
                <w:rFonts w:ascii="Arial Narrow" w:hAnsi="Arial Narrow"/>
                <w:b/>
                <w:sz w:val="20"/>
                <w:szCs w:val="20"/>
              </w:rPr>
              <w:t>Step and component</w:t>
            </w:r>
          </w:p>
        </w:tc>
        <w:tc>
          <w:tcPr>
            <w:tcW w:w="1364" w:type="pct"/>
            <w:vAlign w:val="center"/>
          </w:tcPr>
          <w:p w14:paraId="5A757133" w14:textId="08159AC6" w:rsidR="009E18C3" w:rsidRPr="000A7BB0" w:rsidRDefault="009E18C3" w:rsidP="002553CE">
            <w:pPr>
              <w:keepNext/>
              <w:keepLines/>
              <w:spacing w:before="0" w:after="0"/>
              <w:jc w:val="center"/>
              <w:rPr>
                <w:rFonts w:ascii="Arial Narrow" w:hAnsi="Arial Narrow"/>
                <w:b/>
                <w:sz w:val="20"/>
                <w:szCs w:val="20"/>
              </w:rPr>
            </w:pPr>
            <w:r w:rsidRPr="000A7BB0">
              <w:rPr>
                <w:rFonts w:ascii="Arial Narrow" w:hAnsi="Arial Narrow"/>
                <w:b/>
                <w:sz w:val="20"/>
                <w:szCs w:val="20"/>
              </w:rPr>
              <w:t>Elacestrant</w:t>
            </w:r>
          </w:p>
        </w:tc>
        <w:tc>
          <w:tcPr>
            <w:tcW w:w="1279" w:type="pct"/>
            <w:vAlign w:val="center"/>
          </w:tcPr>
          <w:p w14:paraId="668488D1" w14:textId="77777777" w:rsidR="009E18C3" w:rsidRPr="000A7BB0" w:rsidRDefault="009E18C3" w:rsidP="002553CE">
            <w:pPr>
              <w:keepNext/>
              <w:keepLines/>
              <w:spacing w:before="0" w:after="0"/>
              <w:jc w:val="center"/>
              <w:rPr>
                <w:rFonts w:ascii="Arial Narrow" w:hAnsi="Arial Narrow"/>
                <w:b/>
                <w:sz w:val="20"/>
              </w:rPr>
            </w:pPr>
            <w:r w:rsidRPr="000A7BB0">
              <w:rPr>
                <w:rFonts w:ascii="Arial Narrow" w:hAnsi="Arial Narrow"/>
                <w:b/>
                <w:bCs/>
                <w:sz w:val="20"/>
              </w:rPr>
              <w:t>Comparator</w:t>
            </w:r>
          </w:p>
        </w:tc>
        <w:tc>
          <w:tcPr>
            <w:tcW w:w="841" w:type="pct"/>
            <w:vAlign w:val="center"/>
          </w:tcPr>
          <w:p w14:paraId="0581AB39" w14:textId="77777777" w:rsidR="009E18C3" w:rsidRPr="000A7BB0" w:rsidRDefault="009E18C3" w:rsidP="002553CE">
            <w:pPr>
              <w:keepNext/>
              <w:keepLines/>
              <w:spacing w:before="0" w:after="0"/>
              <w:jc w:val="center"/>
              <w:rPr>
                <w:rFonts w:ascii="Arial Narrow" w:hAnsi="Arial Narrow"/>
                <w:b/>
                <w:sz w:val="20"/>
              </w:rPr>
            </w:pPr>
            <w:r w:rsidRPr="000A7BB0">
              <w:rPr>
                <w:rFonts w:ascii="Arial Narrow" w:hAnsi="Arial Narrow"/>
                <w:b/>
                <w:sz w:val="20"/>
              </w:rPr>
              <w:t>Increment</w:t>
            </w:r>
          </w:p>
        </w:tc>
      </w:tr>
      <w:tr w:rsidR="009E18C3" w:rsidRPr="000A7BB0" w14:paraId="30004DE5" w14:textId="77777777" w:rsidTr="74877A7E">
        <w:tc>
          <w:tcPr>
            <w:tcW w:w="5000" w:type="pct"/>
            <w:gridSpan w:val="4"/>
            <w:vAlign w:val="center"/>
          </w:tcPr>
          <w:p w14:paraId="39FCBD8B" w14:textId="77777777" w:rsidR="009E18C3" w:rsidRPr="000A7BB0" w:rsidRDefault="009E18C3" w:rsidP="002553CE">
            <w:pPr>
              <w:keepNext/>
              <w:keepLines/>
              <w:spacing w:before="0" w:after="0"/>
              <w:jc w:val="left"/>
              <w:rPr>
                <w:rFonts w:ascii="Arial Narrow" w:hAnsi="Arial Narrow"/>
                <w:b/>
                <w:snapToGrid w:val="0"/>
                <w:sz w:val="20"/>
              </w:rPr>
            </w:pPr>
            <w:r w:rsidRPr="000A7BB0">
              <w:rPr>
                <w:rFonts w:ascii="Arial Narrow" w:hAnsi="Arial Narrow"/>
                <w:b/>
                <w:bCs/>
                <w:sz w:val="20"/>
              </w:rPr>
              <w:t xml:space="preserve">Step 1: </w:t>
            </w:r>
            <w:r w:rsidRPr="000A7BB0">
              <w:rPr>
                <w:rFonts w:ascii="Arial Narrow" w:hAnsi="Arial Narrow" w:cstheme="minorHAnsi"/>
                <w:b/>
                <w:bCs/>
                <w:sz w:val="20"/>
                <w:szCs w:val="20"/>
              </w:rPr>
              <w:t>Trial based evaluation - Drug costs per LYG over mean follow-up (18 months)</w:t>
            </w:r>
          </w:p>
        </w:tc>
      </w:tr>
      <w:tr w:rsidR="009E18C3" w:rsidRPr="000A7BB0" w14:paraId="1DEF097D" w14:textId="77777777" w:rsidTr="74877A7E">
        <w:tc>
          <w:tcPr>
            <w:tcW w:w="1516" w:type="pct"/>
            <w:vAlign w:val="center"/>
          </w:tcPr>
          <w:p w14:paraId="16B92036"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Costs</w:t>
            </w:r>
          </w:p>
        </w:tc>
        <w:tc>
          <w:tcPr>
            <w:tcW w:w="1364" w:type="pct"/>
          </w:tcPr>
          <w:p w14:paraId="57157F2C" w14:textId="140BEBD5"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79" w:type="pct"/>
          </w:tcPr>
          <w:p w14:paraId="6EBCA6BB" w14:textId="77777777"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$1,424</w:t>
            </w:r>
          </w:p>
        </w:tc>
        <w:tc>
          <w:tcPr>
            <w:tcW w:w="841" w:type="pct"/>
          </w:tcPr>
          <w:p w14:paraId="5655356A" w14:textId="1E8272F1"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r>
      <w:tr w:rsidR="009E18C3" w:rsidRPr="000A7BB0" w14:paraId="20249D23" w14:textId="77777777" w:rsidTr="74877A7E">
        <w:tc>
          <w:tcPr>
            <w:tcW w:w="1516" w:type="pct"/>
            <w:vAlign w:val="center"/>
          </w:tcPr>
          <w:p w14:paraId="764BBC0D"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LYG</w:t>
            </w:r>
          </w:p>
        </w:tc>
        <w:tc>
          <w:tcPr>
            <w:tcW w:w="1364" w:type="pct"/>
          </w:tcPr>
          <w:p w14:paraId="527A2F0A"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1.28</w:t>
            </w:r>
          </w:p>
        </w:tc>
        <w:tc>
          <w:tcPr>
            <w:tcW w:w="1279" w:type="pct"/>
          </w:tcPr>
          <w:p w14:paraId="346B7743"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1.17</w:t>
            </w:r>
          </w:p>
        </w:tc>
        <w:tc>
          <w:tcPr>
            <w:tcW w:w="841" w:type="pct"/>
          </w:tcPr>
          <w:p w14:paraId="19CB1D02" w14:textId="77777777" w:rsidR="009E18C3" w:rsidRPr="00024149" w:rsidRDefault="009E18C3" w:rsidP="002553CE">
            <w:pPr>
              <w:keepNext/>
              <w:keepLines/>
              <w:spacing w:before="0" w:after="0"/>
              <w:jc w:val="center"/>
              <w:rPr>
                <w:rFonts w:ascii="Arial Narrow" w:hAnsi="Arial Narrow"/>
                <w:sz w:val="20"/>
              </w:rPr>
            </w:pPr>
            <w:r w:rsidRPr="00024149">
              <w:rPr>
                <w:rFonts w:ascii="Arial Narrow" w:hAnsi="Arial Narrow"/>
                <w:sz w:val="20"/>
              </w:rPr>
              <w:t>0.11</w:t>
            </w:r>
          </w:p>
        </w:tc>
      </w:tr>
      <w:tr w:rsidR="009E18C3" w:rsidRPr="000A7BB0" w14:paraId="753BDF8C" w14:textId="77777777" w:rsidTr="74877A7E">
        <w:tc>
          <w:tcPr>
            <w:tcW w:w="4159" w:type="pct"/>
            <w:gridSpan w:val="3"/>
            <w:vAlign w:val="center"/>
          </w:tcPr>
          <w:p w14:paraId="37ACFF2A" w14:textId="77777777" w:rsidR="009E18C3" w:rsidRPr="000A7BB0" w:rsidRDefault="009E18C3" w:rsidP="002553CE">
            <w:pPr>
              <w:keepNext/>
              <w:keepLines/>
              <w:spacing w:before="0" w:after="0"/>
              <w:jc w:val="left"/>
              <w:rPr>
                <w:rFonts w:ascii="Times" w:eastAsia="Times New Roman" w:hAnsi="Times" w:cs="Times New Roman"/>
                <w:snapToGrid w:val="0"/>
                <w:sz w:val="20"/>
              </w:rPr>
            </w:pPr>
            <w:r w:rsidRPr="000A7BB0">
              <w:rPr>
                <w:rFonts w:ascii="Arial Narrow" w:hAnsi="Arial Narrow"/>
                <w:sz w:val="20"/>
              </w:rPr>
              <w:t>Incremental cost/extra LYG gained</w:t>
            </w:r>
          </w:p>
        </w:tc>
        <w:tc>
          <w:tcPr>
            <w:tcW w:w="841" w:type="pct"/>
            <w:vAlign w:val="center"/>
          </w:tcPr>
          <w:p w14:paraId="02C5B19F" w14:textId="172E9DAD"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r w:rsidR="00886E35" w:rsidRPr="00886E35">
              <w:rPr>
                <w:rFonts w:ascii="Arial Narrow" w:hAnsi="Arial Narrow"/>
                <w:sz w:val="20"/>
                <w:szCs w:val="20"/>
                <w:vertAlign w:val="superscript"/>
              </w:rPr>
              <w:t>1</w:t>
            </w:r>
          </w:p>
        </w:tc>
      </w:tr>
      <w:tr w:rsidR="009E18C3" w:rsidRPr="000A7BB0" w14:paraId="238AC643" w14:textId="77777777" w:rsidTr="74877A7E">
        <w:tc>
          <w:tcPr>
            <w:tcW w:w="5000" w:type="pct"/>
            <w:gridSpan w:val="4"/>
            <w:vAlign w:val="center"/>
          </w:tcPr>
          <w:p w14:paraId="14FC064F" w14:textId="5FC0732A" w:rsidR="009E18C3" w:rsidRPr="000A7BB0" w:rsidRDefault="009E18C3" w:rsidP="002553CE">
            <w:pPr>
              <w:keepNext/>
              <w:keepLines/>
              <w:spacing w:before="0" w:after="0"/>
              <w:jc w:val="left"/>
              <w:rPr>
                <w:rFonts w:ascii="Arial Narrow" w:hAnsi="Arial Narrow"/>
                <w:b/>
                <w:bCs/>
                <w:snapToGrid w:val="0"/>
                <w:sz w:val="20"/>
                <w:szCs w:val="20"/>
              </w:rPr>
            </w:pPr>
            <w:r w:rsidRPr="000A7BB0">
              <w:rPr>
                <w:rFonts w:ascii="Arial Narrow" w:hAnsi="Arial Narrow"/>
                <w:b/>
                <w:bCs/>
                <w:sz w:val="20"/>
                <w:szCs w:val="20"/>
              </w:rPr>
              <w:t>Step 2: Incorporate cost subsequent treatments</w:t>
            </w:r>
          </w:p>
        </w:tc>
      </w:tr>
      <w:tr w:rsidR="009E18C3" w:rsidRPr="000A7BB0" w14:paraId="6AB8A513" w14:textId="77777777" w:rsidTr="74877A7E">
        <w:tc>
          <w:tcPr>
            <w:tcW w:w="1516" w:type="pct"/>
            <w:vAlign w:val="center"/>
          </w:tcPr>
          <w:p w14:paraId="1DE4CFB5"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Costs</w:t>
            </w:r>
          </w:p>
        </w:tc>
        <w:tc>
          <w:tcPr>
            <w:tcW w:w="1364" w:type="pct"/>
          </w:tcPr>
          <w:p w14:paraId="6E0124A6" w14:textId="5E7BB8EE"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79" w:type="pct"/>
          </w:tcPr>
          <w:p w14:paraId="3CE7E29A" w14:textId="77777777"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$2,987</w:t>
            </w:r>
          </w:p>
        </w:tc>
        <w:tc>
          <w:tcPr>
            <w:tcW w:w="841" w:type="pct"/>
          </w:tcPr>
          <w:p w14:paraId="26ECEFCF" w14:textId="2C8D5705"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r>
      <w:tr w:rsidR="009E18C3" w:rsidRPr="000A7BB0" w14:paraId="6CCBC951" w14:textId="77777777" w:rsidTr="74877A7E">
        <w:tc>
          <w:tcPr>
            <w:tcW w:w="1516" w:type="pct"/>
            <w:vAlign w:val="center"/>
          </w:tcPr>
          <w:p w14:paraId="48A1B1AE"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LYG</w:t>
            </w:r>
          </w:p>
        </w:tc>
        <w:tc>
          <w:tcPr>
            <w:tcW w:w="1364" w:type="pct"/>
          </w:tcPr>
          <w:p w14:paraId="7E2A29A3"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1.28</w:t>
            </w:r>
          </w:p>
        </w:tc>
        <w:tc>
          <w:tcPr>
            <w:tcW w:w="1279" w:type="pct"/>
          </w:tcPr>
          <w:p w14:paraId="328C52B8"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1.17</w:t>
            </w:r>
          </w:p>
        </w:tc>
        <w:tc>
          <w:tcPr>
            <w:tcW w:w="841" w:type="pct"/>
          </w:tcPr>
          <w:p w14:paraId="4C4E241A" w14:textId="77777777" w:rsidR="009E18C3" w:rsidRPr="00024149" w:rsidRDefault="009E18C3" w:rsidP="002553CE">
            <w:pPr>
              <w:keepNext/>
              <w:keepLines/>
              <w:spacing w:before="0" w:after="0"/>
              <w:jc w:val="center"/>
              <w:rPr>
                <w:rFonts w:ascii="Arial Narrow" w:hAnsi="Arial Narrow"/>
                <w:sz w:val="20"/>
              </w:rPr>
            </w:pPr>
            <w:r w:rsidRPr="00024149">
              <w:rPr>
                <w:rFonts w:ascii="Arial Narrow" w:hAnsi="Arial Narrow"/>
                <w:sz w:val="20"/>
              </w:rPr>
              <w:t>0.11</w:t>
            </w:r>
          </w:p>
        </w:tc>
      </w:tr>
      <w:tr w:rsidR="009E18C3" w:rsidRPr="000A7BB0" w14:paraId="0DC198EF" w14:textId="77777777" w:rsidTr="74877A7E">
        <w:tc>
          <w:tcPr>
            <w:tcW w:w="4159" w:type="pct"/>
            <w:gridSpan w:val="3"/>
            <w:vAlign w:val="center"/>
          </w:tcPr>
          <w:p w14:paraId="60F71A64" w14:textId="77777777" w:rsidR="009E18C3" w:rsidRPr="000A7BB0" w:rsidRDefault="009E18C3" w:rsidP="002553CE">
            <w:pPr>
              <w:keepNext/>
              <w:keepLines/>
              <w:spacing w:before="0" w:after="0"/>
              <w:jc w:val="left"/>
              <w:rPr>
                <w:rFonts w:ascii="Times" w:eastAsia="Times New Roman" w:hAnsi="Times" w:cs="Times New Roman"/>
                <w:snapToGrid w:val="0"/>
                <w:sz w:val="20"/>
              </w:rPr>
            </w:pPr>
            <w:r w:rsidRPr="000A7BB0">
              <w:rPr>
                <w:rFonts w:ascii="Arial Narrow" w:hAnsi="Arial Narrow"/>
                <w:sz w:val="20"/>
              </w:rPr>
              <w:t>Incremental cost/extra LYG gained</w:t>
            </w:r>
          </w:p>
        </w:tc>
        <w:tc>
          <w:tcPr>
            <w:tcW w:w="841" w:type="pct"/>
            <w:vAlign w:val="center"/>
          </w:tcPr>
          <w:p w14:paraId="02BC52D0" w14:textId="2B3AB83B"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r w:rsidR="00001482" w:rsidRPr="00886E35">
              <w:rPr>
                <w:rFonts w:ascii="Arial Narrow" w:hAnsi="Arial Narrow"/>
                <w:sz w:val="20"/>
                <w:szCs w:val="20"/>
                <w:vertAlign w:val="superscript"/>
              </w:rPr>
              <w:t>1</w:t>
            </w:r>
          </w:p>
        </w:tc>
      </w:tr>
      <w:tr w:rsidR="009E18C3" w:rsidRPr="000A7BB0" w14:paraId="5001D03C" w14:textId="77777777" w:rsidTr="74877A7E">
        <w:tc>
          <w:tcPr>
            <w:tcW w:w="5000" w:type="pct"/>
            <w:gridSpan w:val="4"/>
            <w:vAlign w:val="center"/>
          </w:tcPr>
          <w:p w14:paraId="5714B21C" w14:textId="77777777" w:rsidR="009E18C3" w:rsidRPr="000A7BB0" w:rsidRDefault="009E18C3" w:rsidP="002553CE">
            <w:pPr>
              <w:keepNext/>
              <w:keepLines/>
              <w:spacing w:before="0" w:after="0"/>
              <w:jc w:val="left"/>
              <w:rPr>
                <w:rFonts w:ascii="Arial Narrow" w:hAnsi="Arial Narrow"/>
                <w:b/>
                <w:snapToGrid w:val="0"/>
                <w:sz w:val="20"/>
              </w:rPr>
            </w:pPr>
            <w:r w:rsidRPr="000A7BB0">
              <w:rPr>
                <w:rFonts w:ascii="Arial Narrow" w:hAnsi="Arial Narrow"/>
                <w:b/>
                <w:bCs/>
                <w:sz w:val="20"/>
              </w:rPr>
              <w:t>Step 3: utility weights applied</w:t>
            </w:r>
          </w:p>
        </w:tc>
      </w:tr>
      <w:tr w:rsidR="009E18C3" w:rsidRPr="000A7BB0" w14:paraId="13BB8CEE" w14:textId="77777777" w:rsidTr="74877A7E">
        <w:tc>
          <w:tcPr>
            <w:tcW w:w="1516" w:type="pct"/>
            <w:vAlign w:val="center"/>
          </w:tcPr>
          <w:p w14:paraId="709E757F"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Costs</w:t>
            </w:r>
          </w:p>
        </w:tc>
        <w:tc>
          <w:tcPr>
            <w:tcW w:w="1364" w:type="pct"/>
          </w:tcPr>
          <w:p w14:paraId="0A0E71F7" w14:textId="321CE789"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79" w:type="pct"/>
          </w:tcPr>
          <w:p w14:paraId="6736C8B3" w14:textId="77777777"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$2,987</w:t>
            </w:r>
          </w:p>
        </w:tc>
        <w:tc>
          <w:tcPr>
            <w:tcW w:w="841" w:type="pct"/>
          </w:tcPr>
          <w:p w14:paraId="3BBE6F2B" w14:textId="78726361"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r>
      <w:tr w:rsidR="009E18C3" w:rsidRPr="000A7BB0" w14:paraId="67272836" w14:textId="77777777" w:rsidTr="74877A7E">
        <w:tc>
          <w:tcPr>
            <w:tcW w:w="1516" w:type="pct"/>
            <w:vAlign w:val="center"/>
          </w:tcPr>
          <w:p w14:paraId="1D1A44CE"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QALYs</w:t>
            </w:r>
          </w:p>
        </w:tc>
        <w:tc>
          <w:tcPr>
            <w:tcW w:w="1364" w:type="pct"/>
          </w:tcPr>
          <w:p w14:paraId="13CE4B1C"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0.84</w:t>
            </w:r>
          </w:p>
        </w:tc>
        <w:tc>
          <w:tcPr>
            <w:tcW w:w="1279" w:type="pct"/>
          </w:tcPr>
          <w:p w14:paraId="6C243475"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0.68</w:t>
            </w:r>
          </w:p>
        </w:tc>
        <w:tc>
          <w:tcPr>
            <w:tcW w:w="841" w:type="pct"/>
          </w:tcPr>
          <w:p w14:paraId="43FD4AB0" w14:textId="77777777" w:rsidR="009E18C3" w:rsidRPr="00024149" w:rsidRDefault="009E18C3" w:rsidP="002553CE">
            <w:pPr>
              <w:keepNext/>
              <w:keepLines/>
              <w:spacing w:before="0" w:after="0"/>
              <w:jc w:val="center"/>
              <w:rPr>
                <w:rFonts w:ascii="Arial Narrow" w:hAnsi="Arial Narrow"/>
                <w:sz w:val="20"/>
              </w:rPr>
            </w:pPr>
            <w:r w:rsidRPr="00024149">
              <w:rPr>
                <w:rFonts w:ascii="Arial Narrow" w:hAnsi="Arial Narrow"/>
                <w:sz w:val="20"/>
              </w:rPr>
              <w:t>0.16</w:t>
            </w:r>
          </w:p>
        </w:tc>
      </w:tr>
      <w:tr w:rsidR="009E18C3" w:rsidRPr="000A7BB0" w14:paraId="44254025" w14:textId="77777777" w:rsidTr="74877A7E">
        <w:tc>
          <w:tcPr>
            <w:tcW w:w="4159" w:type="pct"/>
            <w:gridSpan w:val="3"/>
            <w:vAlign w:val="center"/>
          </w:tcPr>
          <w:p w14:paraId="643E9D7F"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Incremental cost/extra QALY gained</w:t>
            </w:r>
          </w:p>
        </w:tc>
        <w:tc>
          <w:tcPr>
            <w:tcW w:w="841" w:type="pct"/>
            <w:vAlign w:val="center"/>
          </w:tcPr>
          <w:p w14:paraId="512CF0F8" w14:textId="1A2E4212"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r w:rsidR="001D4C33" w:rsidRPr="001D4C33">
              <w:rPr>
                <w:rFonts w:ascii="Arial Narrow" w:hAnsi="Arial Narrow"/>
                <w:sz w:val="20"/>
                <w:szCs w:val="20"/>
                <w:vertAlign w:val="superscript"/>
              </w:rPr>
              <w:t>2</w:t>
            </w:r>
          </w:p>
        </w:tc>
      </w:tr>
      <w:tr w:rsidR="009E18C3" w:rsidRPr="000A7BB0" w14:paraId="6F8832B4" w14:textId="77777777" w:rsidTr="74877A7E">
        <w:tc>
          <w:tcPr>
            <w:tcW w:w="5000" w:type="pct"/>
            <w:gridSpan w:val="4"/>
            <w:vAlign w:val="center"/>
          </w:tcPr>
          <w:p w14:paraId="641AB46A" w14:textId="77777777" w:rsidR="009E18C3" w:rsidRPr="000A7BB0" w:rsidRDefault="009E18C3" w:rsidP="002553CE">
            <w:pPr>
              <w:keepNext/>
              <w:keepLines/>
              <w:spacing w:before="0" w:after="0"/>
              <w:jc w:val="left"/>
              <w:rPr>
                <w:rFonts w:ascii="Arial Narrow" w:hAnsi="Arial Narrow"/>
                <w:b/>
                <w:snapToGrid w:val="0"/>
                <w:sz w:val="20"/>
              </w:rPr>
            </w:pPr>
            <w:r w:rsidRPr="000A7BB0">
              <w:rPr>
                <w:rFonts w:ascii="Arial Narrow" w:hAnsi="Arial Narrow"/>
                <w:b/>
                <w:bCs/>
                <w:sz w:val="20"/>
              </w:rPr>
              <w:t xml:space="preserve">Step 4: </w:t>
            </w:r>
            <w:r w:rsidRPr="000A7BB0">
              <w:rPr>
                <w:rFonts w:ascii="Arial Narrow" w:hAnsi="Arial Narrow" w:cstheme="minorHAnsi"/>
                <w:b/>
                <w:bCs/>
                <w:sz w:val="20"/>
                <w:szCs w:val="20"/>
              </w:rPr>
              <w:t>Extend time horizon to 10 years, extrapolate OS, PFS, apply discounting of 5%</w:t>
            </w:r>
          </w:p>
        </w:tc>
      </w:tr>
      <w:tr w:rsidR="009E18C3" w:rsidRPr="000A7BB0" w14:paraId="78CB9BAD" w14:textId="77777777" w:rsidTr="74877A7E">
        <w:tc>
          <w:tcPr>
            <w:tcW w:w="1516" w:type="pct"/>
            <w:vAlign w:val="center"/>
          </w:tcPr>
          <w:p w14:paraId="570E0851"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Costs</w:t>
            </w:r>
          </w:p>
        </w:tc>
        <w:tc>
          <w:tcPr>
            <w:tcW w:w="1364" w:type="pct"/>
          </w:tcPr>
          <w:p w14:paraId="5061FF0A" w14:textId="49E6D525"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79" w:type="pct"/>
          </w:tcPr>
          <w:p w14:paraId="5A8206E3" w14:textId="77777777"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$4,297</w:t>
            </w:r>
          </w:p>
        </w:tc>
        <w:tc>
          <w:tcPr>
            <w:tcW w:w="841" w:type="pct"/>
          </w:tcPr>
          <w:p w14:paraId="494F0DA7" w14:textId="28988AEC"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p>
        </w:tc>
      </w:tr>
      <w:tr w:rsidR="009E18C3" w:rsidRPr="000A7BB0" w14:paraId="45D26ED9" w14:textId="77777777" w:rsidTr="74877A7E">
        <w:tc>
          <w:tcPr>
            <w:tcW w:w="1516" w:type="pct"/>
            <w:vAlign w:val="center"/>
          </w:tcPr>
          <w:p w14:paraId="36203E26"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QALYs</w:t>
            </w:r>
          </w:p>
        </w:tc>
        <w:tc>
          <w:tcPr>
            <w:tcW w:w="1364" w:type="pct"/>
          </w:tcPr>
          <w:p w14:paraId="0DFD0CDA"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1.61</w:t>
            </w:r>
          </w:p>
        </w:tc>
        <w:tc>
          <w:tcPr>
            <w:tcW w:w="1279" w:type="pct"/>
          </w:tcPr>
          <w:p w14:paraId="3FE2C0E4"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1.02</w:t>
            </w:r>
          </w:p>
        </w:tc>
        <w:tc>
          <w:tcPr>
            <w:tcW w:w="841" w:type="pct"/>
          </w:tcPr>
          <w:p w14:paraId="790EBF6B" w14:textId="77777777" w:rsidR="009E18C3" w:rsidRPr="00024149" w:rsidRDefault="009E18C3" w:rsidP="002553CE">
            <w:pPr>
              <w:keepNext/>
              <w:keepLines/>
              <w:spacing w:before="0" w:after="0"/>
              <w:jc w:val="center"/>
              <w:rPr>
                <w:rFonts w:ascii="Arial Narrow" w:hAnsi="Arial Narrow"/>
                <w:sz w:val="20"/>
              </w:rPr>
            </w:pPr>
            <w:r w:rsidRPr="00024149">
              <w:rPr>
                <w:rFonts w:ascii="Arial Narrow" w:hAnsi="Arial Narrow"/>
                <w:sz w:val="20"/>
              </w:rPr>
              <w:t>0.59</w:t>
            </w:r>
          </w:p>
        </w:tc>
      </w:tr>
      <w:tr w:rsidR="009E18C3" w:rsidRPr="000A7BB0" w14:paraId="0968C77A" w14:textId="77777777" w:rsidTr="74877A7E">
        <w:tc>
          <w:tcPr>
            <w:tcW w:w="4159" w:type="pct"/>
            <w:gridSpan w:val="3"/>
            <w:vAlign w:val="center"/>
          </w:tcPr>
          <w:p w14:paraId="34F341CA"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Incremental cost/extra QALY gained</w:t>
            </w:r>
          </w:p>
        </w:tc>
        <w:tc>
          <w:tcPr>
            <w:tcW w:w="841" w:type="pct"/>
            <w:vAlign w:val="center"/>
          </w:tcPr>
          <w:p w14:paraId="732FBCBE" w14:textId="45FC69E7"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szCs w:val="20"/>
              </w:rPr>
              <w:t>$</w:t>
            </w:r>
            <w:r w:rsidR="00F4744A" w:rsidRPr="00F4744A">
              <w:rPr>
                <w:rFonts w:ascii="Arial Narrow" w:hAnsi="Arial Narrow"/>
                <w:color w:val="000000"/>
                <w:sz w:val="20"/>
                <w:szCs w:val="20"/>
                <w:shd w:val="solid" w:color="000000" w:fill="000000"/>
                <w14:textFill>
                  <w14:solidFill>
                    <w14:srgbClr w14:val="000000">
                      <w14:alpha w14:val="100000"/>
                    </w14:srgbClr>
                  </w14:solidFill>
                </w14:textFill>
              </w:rPr>
              <w:t>|</w:t>
            </w:r>
            <w:r w:rsidR="00C23134" w:rsidRPr="00C23134">
              <w:rPr>
                <w:rFonts w:ascii="Arial Narrow" w:hAnsi="Arial Narrow"/>
                <w:sz w:val="20"/>
                <w:szCs w:val="20"/>
                <w:vertAlign w:val="superscript"/>
              </w:rPr>
              <w:t>3</w:t>
            </w:r>
          </w:p>
        </w:tc>
      </w:tr>
      <w:tr w:rsidR="009E18C3" w:rsidRPr="000A7BB0" w14:paraId="473C8201" w14:textId="77777777" w:rsidTr="74877A7E">
        <w:tc>
          <w:tcPr>
            <w:tcW w:w="5000" w:type="pct"/>
            <w:gridSpan w:val="4"/>
            <w:vAlign w:val="center"/>
          </w:tcPr>
          <w:p w14:paraId="13B94FF1" w14:textId="7F0ACBD7" w:rsidR="009E18C3" w:rsidRPr="000A7BB0" w:rsidRDefault="009E18C3" w:rsidP="002553CE">
            <w:pPr>
              <w:keepNext/>
              <w:keepLines/>
              <w:spacing w:before="0" w:after="0"/>
              <w:jc w:val="left"/>
              <w:rPr>
                <w:rFonts w:ascii="Arial Narrow" w:hAnsi="Arial Narrow"/>
                <w:b/>
                <w:bCs/>
                <w:snapToGrid w:val="0"/>
                <w:sz w:val="20"/>
                <w:szCs w:val="20"/>
              </w:rPr>
            </w:pPr>
            <w:r w:rsidRPr="000A7BB0">
              <w:rPr>
                <w:rFonts w:ascii="Arial Narrow" w:hAnsi="Arial Narrow"/>
                <w:b/>
                <w:bCs/>
                <w:sz w:val="20"/>
                <w:szCs w:val="20"/>
              </w:rPr>
              <w:t xml:space="preserve">Step 5: Add disease management and AE costs, remove G3/4 AE, Age-related, chemotherapy disutilities </w:t>
            </w:r>
          </w:p>
        </w:tc>
      </w:tr>
      <w:tr w:rsidR="009E18C3" w:rsidRPr="000A7BB0" w14:paraId="7EDFF8A9" w14:textId="77777777" w:rsidTr="74877A7E">
        <w:tc>
          <w:tcPr>
            <w:tcW w:w="1516" w:type="pct"/>
            <w:vAlign w:val="center"/>
          </w:tcPr>
          <w:p w14:paraId="775435B4"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Costs</w:t>
            </w:r>
          </w:p>
        </w:tc>
        <w:tc>
          <w:tcPr>
            <w:tcW w:w="1364" w:type="pct"/>
            <w:vAlign w:val="center"/>
          </w:tcPr>
          <w:p w14:paraId="749D3652" w14:textId="3DCCA109"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rPr>
              <w:t>$</w:t>
            </w:r>
            <w:r w:rsidR="00F4744A" w:rsidRPr="00F4744A">
              <w:rPr>
                <w:rFonts w:ascii="Arial Narrow" w:hAnsi="Arial Narrow"/>
                <w:color w:val="000000"/>
                <w:sz w:val="20"/>
                <w:shd w:val="solid" w:color="000000" w:fill="000000"/>
                <w14:textFill>
                  <w14:solidFill>
                    <w14:srgbClr w14:val="000000">
                      <w14:alpha w14:val="100000"/>
                    </w14:srgbClr>
                  </w14:solidFill>
                </w14:textFill>
              </w:rPr>
              <w:t>|</w:t>
            </w:r>
          </w:p>
        </w:tc>
        <w:tc>
          <w:tcPr>
            <w:tcW w:w="1279" w:type="pct"/>
            <w:vAlign w:val="center"/>
          </w:tcPr>
          <w:p w14:paraId="4E39D269" w14:textId="5F7720F5"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9C1F7D">
              <w:rPr>
                <w:rFonts w:ascii="Arial Narrow" w:hAnsi="Arial Narrow"/>
                <w:sz w:val="20"/>
              </w:rPr>
              <w:t>$</w:t>
            </w:r>
            <w:r w:rsidR="00B3526C" w:rsidRPr="00B3526C">
              <w:rPr>
                <w:rFonts w:ascii="Arial Narrow" w:hAnsi="Arial Narrow"/>
                <w:color w:val="000000"/>
                <w:spacing w:val="53"/>
                <w:sz w:val="20"/>
                <w:shd w:val="solid" w:color="000000" w:fill="000000"/>
                <w:fitText w:val="330" w:id="-657758464"/>
                <w14:textFill>
                  <w14:solidFill>
                    <w14:srgbClr w14:val="000000">
                      <w14:alpha w14:val="100000"/>
                    </w14:srgbClr>
                  </w14:solidFill>
                </w14:textFill>
              </w:rPr>
              <w:t>|||</w:t>
            </w:r>
            <w:r w:rsidR="00B3526C" w:rsidRPr="00B3526C">
              <w:rPr>
                <w:rFonts w:ascii="Arial Narrow" w:hAnsi="Arial Narrow"/>
                <w:color w:val="000000"/>
                <w:spacing w:val="1"/>
                <w:sz w:val="20"/>
                <w:shd w:val="solid" w:color="000000" w:fill="000000"/>
                <w:fitText w:val="330" w:id="-657758464"/>
                <w14:textFill>
                  <w14:solidFill>
                    <w14:srgbClr w14:val="000000">
                      <w14:alpha w14:val="100000"/>
                    </w14:srgbClr>
                  </w14:solidFill>
                </w14:textFill>
              </w:rPr>
              <w:t>|</w:t>
            </w:r>
          </w:p>
        </w:tc>
        <w:tc>
          <w:tcPr>
            <w:tcW w:w="841" w:type="pct"/>
            <w:vAlign w:val="center"/>
          </w:tcPr>
          <w:p w14:paraId="1B49F245" w14:textId="5A97A36E"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sz w:val="20"/>
              </w:rPr>
              <w:t>$</w:t>
            </w:r>
            <w:r w:rsidR="00F4744A" w:rsidRPr="00F4744A">
              <w:rPr>
                <w:rFonts w:ascii="Arial Narrow" w:hAnsi="Arial Narrow"/>
                <w:color w:val="000000"/>
                <w:sz w:val="20"/>
                <w:shd w:val="solid" w:color="000000" w:fill="000000"/>
                <w14:textFill>
                  <w14:solidFill>
                    <w14:srgbClr w14:val="000000">
                      <w14:alpha w14:val="100000"/>
                    </w14:srgbClr>
                  </w14:solidFill>
                </w14:textFill>
              </w:rPr>
              <w:t>|</w:t>
            </w:r>
          </w:p>
        </w:tc>
      </w:tr>
      <w:tr w:rsidR="009E18C3" w:rsidRPr="000A7BB0" w14:paraId="4B4C87A3" w14:textId="77777777" w:rsidTr="74877A7E">
        <w:tc>
          <w:tcPr>
            <w:tcW w:w="1516" w:type="pct"/>
            <w:vAlign w:val="center"/>
          </w:tcPr>
          <w:p w14:paraId="7153630D"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sz w:val="20"/>
              </w:rPr>
              <w:t>QALYs</w:t>
            </w:r>
          </w:p>
        </w:tc>
        <w:tc>
          <w:tcPr>
            <w:tcW w:w="1364" w:type="pct"/>
            <w:vAlign w:val="center"/>
          </w:tcPr>
          <w:p w14:paraId="270BED13"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1.74</w:t>
            </w:r>
          </w:p>
        </w:tc>
        <w:tc>
          <w:tcPr>
            <w:tcW w:w="1279" w:type="pct"/>
            <w:vAlign w:val="center"/>
          </w:tcPr>
          <w:p w14:paraId="0F92B56B" w14:textId="77777777" w:rsidR="009E18C3" w:rsidRPr="00024149" w:rsidRDefault="009E18C3" w:rsidP="002553CE">
            <w:pPr>
              <w:keepNext/>
              <w:keepLines/>
              <w:spacing w:before="0" w:after="0"/>
              <w:jc w:val="center"/>
              <w:rPr>
                <w:rFonts w:ascii="Times" w:eastAsia="Times New Roman" w:hAnsi="Times" w:cs="Times New Roman"/>
                <w:sz w:val="20"/>
              </w:rPr>
            </w:pPr>
            <w:r w:rsidRPr="00024149">
              <w:rPr>
                <w:rFonts w:ascii="Arial Narrow" w:hAnsi="Arial Narrow"/>
                <w:sz w:val="20"/>
              </w:rPr>
              <w:t>1.13</w:t>
            </w:r>
          </w:p>
        </w:tc>
        <w:tc>
          <w:tcPr>
            <w:tcW w:w="841" w:type="pct"/>
            <w:vAlign w:val="center"/>
          </w:tcPr>
          <w:p w14:paraId="0A46703D" w14:textId="77777777" w:rsidR="009E18C3" w:rsidRPr="00024149" w:rsidRDefault="009E18C3" w:rsidP="002553CE">
            <w:pPr>
              <w:keepNext/>
              <w:keepLines/>
              <w:spacing w:before="0" w:after="0"/>
              <w:jc w:val="center"/>
              <w:rPr>
                <w:rFonts w:ascii="Arial Narrow" w:hAnsi="Arial Narrow"/>
                <w:sz w:val="20"/>
              </w:rPr>
            </w:pPr>
            <w:r w:rsidRPr="00024149">
              <w:rPr>
                <w:rFonts w:ascii="Arial Narrow" w:hAnsi="Arial Narrow"/>
                <w:sz w:val="20"/>
              </w:rPr>
              <w:t>0.60</w:t>
            </w:r>
          </w:p>
        </w:tc>
      </w:tr>
      <w:tr w:rsidR="009E18C3" w:rsidRPr="000A7BB0" w14:paraId="07FC39CA" w14:textId="77777777" w:rsidTr="74877A7E">
        <w:tc>
          <w:tcPr>
            <w:tcW w:w="4159" w:type="pct"/>
            <w:gridSpan w:val="3"/>
            <w:vAlign w:val="center"/>
          </w:tcPr>
          <w:p w14:paraId="51FC49E3" w14:textId="77777777" w:rsidR="009E18C3" w:rsidRPr="000A7BB0" w:rsidRDefault="009E18C3" w:rsidP="002553CE">
            <w:pPr>
              <w:keepNext/>
              <w:keepLines/>
              <w:spacing w:before="0" w:after="0"/>
              <w:jc w:val="left"/>
              <w:rPr>
                <w:rFonts w:ascii="Times" w:eastAsia="Times New Roman" w:hAnsi="Times" w:cs="Times New Roman"/>
                <w:sz w:val="20"/>
              </w:rPr>
            </w:pPr>
            <w:r w:rsidRPr="000A7BB0">
              <w:rPr>
                <w:rFonts w:ascii="Arial Narrow" w:hAnsi="Arial Narrow"/>
                <w:b/>
                <w:sz w:val="20"/>
              </w:rPr>
              <w:t>Incremental cost/extra QALY gained (base case)</w:t>
            </w:r>
          </w:p>
        </w:tc>
        <w:tc>
          <w:tcPr>
            <w:tcW w:w="841" w:type="pct"/>
            <w:vAlign w:val="center"/>
          </w:tcPr>
          <w:p w14:paraId="56AB62DA" w14:textId="20D6156A" w:rsidR="009E18C3" w:rsidRPr="000A7BB0" w:rsidRDefault="009E18C3" w:rsidP="002553CE">
            <w:pPr>
              <w:keepNext/>
              <w:keepLines/>
              <w:tabs>
                <w:tab w:val="decimal" w:pos="396"/>
              </w:tabs>
              <w:spacing w:before="0" w:after="0"/>
              <w:jc w:val="center"/>
              <w:rPr>
                <w:rFonts w:ascii="Times" w:eastAsia="Times New Roman" w:hAnsi="Times" w:cs="Times New Roman"/>
                <w:sz w:val="20"/>
              </w:rPr>
            </w:pPr>
            <w:r w:rsidRPr="000A7BB0">
              <w:rPr>
                <w:rFonts w:ascii="Arial Narrow" w:hAnsi="Arial Narrow"/>
                <w:b/>
                <w:sz w:val="20"/>
              </w:rPr>
              <w:t>$</w:t>
            </w:r>
            <w:r w:rsidR="00F4744A" w:rsidRPr="00F4744A">
              <w:rPr>
                <w:rFonts w:ascii="Arial Narrow" w:hAnsi="Arial Narrow"/>
                <w:b/>
                <w:color w:val="000000"/>
                <w:sz w:val="20"/>
                <w:shd w:val="solid" w:color="000000" w:fill="000000"/>
                <w14:textFill>
                  <w14:solidFill>
                    <w14:srgbClr w14:val="000000">
                      <w14:alpha w14:val="100000"/>
                    </w14:srgbClr>
                  </w14:solidFill>
                </w14:textFill>
              </w:rPr>
              <w:t>|</w:t>
            </w:r>
            <w:r w:rsidR="00C23134" w:rsidRPr="00C23134">
              <w:rPr>
                <w:rFonts w:ascii="Arial Narrow" w:hAnsi="Arial Narrow"/>
                <w:sz w:val="20"/>
                <w:szCs w:val="20"/>
                <w:vertAlign w:val="superscript"/>
              </w:rPr>
              <w:t>3</w:t>
            </w:r>
          </w:p>
        </w:tc>
      </w:tr>
    </w:tbl>
    <w:p w14:paraId="72419FC5" w14:textId="095A716B" w:rsidR="009E18C3" w:rsidRPr="000A7BB0" w:rsidRDefault="009E18C3" w:rsidP="002553CE">
      <w:pPr>
        <w:keepNext/>
        <w:keepLines/>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Source: Table 3.33, p342 of the submission.</w:t>
      </w:r>
    </w:p>
    <w:p w14:paraId="6109A420" w14:textId="77777777" w:rsidR="004359A9" w:rsidRDefault="009E18C3" w:rsidP="002553CE">
      <w:pPr>
        <w:spacing w:before="0" w:after="0"/>
        <w:contextualSpacing/>
        <w:rPr>
          <w:rFonts w:ascii="Arial Narrow" w:eastAsia="Times New Roman" w:hAnsi="Arial Narrow" w:cs="Arial"/>
          <w:snapToGrid w:val="0"/>
          <w:sz w:val="18"/>
          <w:szCs w:val="20"/>
        </w:rPr>
      </w:pPr>
      <w:r w:rsidRPr="000A7BB0">
        <w:rPr>
          <w:rFonts w:ascii="Arial Narrow" w:eastAsia="Times New Roman" w:hAnsi="Arial Narrow" w:cs="Arial"/>
          <w:snapToGrid w:val="0"/>
          <w:sz w:val="18"/>
          <w:szCs w:val="20"/>
        </w:rPr>
        <w:t>AE= adverse events; LYG = life years gained; OS = overall survival; PFS = progression-free survival; QALYs = quality adjusted life years</w:t>
      </w:r>
      <w:r w:rsidR="00886E35">
        <w:rPr>
          <w:rFonts w:ascii="Arial Narrow" w:eastAsia="Times New Roman" w:hAnsi="Arial Narrow" w:cs="Arial"/>
          <w:snapToGrid w:val="0"/>
          <w:sz w:val="18"/>
          <w:szCs w:val="20"/>
        </w:rPr>
        <w:t xml:space="preserve"> </w:t>
      </w:r>
    </w:p>
    <w:p w14:paraId="5FF6C8DB" w14:textId="77777777" w:rsidR="004359A9" w:rsidRDefault="004359A9" w:rsidP="002553CE">
      <w:pPr>
        <w:spacing w:before="0" w:after="0"/>
        <w:contextualSpacing/>
        <w:rPr>
          <w:rFonts w:ascii="Arial Narrow" w:eastAsia="Times New Roman" w:hAnsi="Arial Narrow" w:cs="Arial"/>
          <w:i/>
          <w:iCs/>
          <w:snapToGrid w:val="0"/>
          <w:sz w:val="18"/>
          <w:szCs w:val="20"/>
        </w:rPr>
      </w:pPr>
      <w:r w:rsidRPr="004359A9">
        <w:rPr>
          <w:rFonts w:ascii="Arial Narrow" w:eastAsia="Times New Roman" w:hAnsi="Arial Narrow" w:cs="Arial"/>
          <w:i/>
          <w:iCs/>
          <w:snapToGrid w:val="0"/>
          <w:sz w:val="18"/>
          <w:szCs w:val="20"/>
        </w:rPr>
        <w:t>Note that the results presented in Table 10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Pr>
          <w:rFonts w:ascii="Arial Narrow" w:eastAsia="Times New Roman" w:hAnsi="Arial Narrow" w:cs="Arial"/>
          <w:i/>
          <w:iCs/>
          <w:snapToGrid w:val="0"/>
          <w:sz w:val="18"/>
          <w:szCs w:val="20"/>
        </w:rPr>
        <w:t>.</w:t>
      </w:r>
    </w:p>
    <w:p w14:paraId="0047C4CD" w14:textId="22509FEB" w:rsidR="0058279A" w:rsidRPr="009608A5" w:rsidRDefault="00886E35" w:rsidP="002553CE">
      <w:pPr>
        <w:spacing w:before="0" w:after="0"/>
        <w:contextualSpacing/>
        <w:rPr>
          <w:rFonts w:ascii="Arial Narrow" w:eastAsia="Times New Roman" w:hAnsi="Arial Narrow" w:cs="Arial"/>
          <w:i/>
          <w:iCs/>
          <w:snapToGrid w:val="0"/>
          <w:sz w:val="18"/>
          <w:szCs w:val="20"/>
        </w:rPr>
      </w:pPr>
      <w:r w:rsidRPr="009608A5">
        <w:rPr>
          <w:rFonts w:ascii="Arial Narrow" w:eastAsia="Times New Roman" w:hAnsi="Arial Narrow" w:cs="Arial"/>
          <w:i/>
          <w:iCs/>
          <w:snapToGrid w:val="0"/>
          <w:sz w:val="18"/>
          <w:szCs w:val="20"/>
        </w:rPr>
        <w:t>The redacted values correspond to the following ranges</w:t>
      </w:r>
      <w:r w:rsidR="006501D2">
        <w:rPr>
          <w:rFonts w:ascii="Arial Narrow" w:eastAsia="Times New Roman" w:hAnsi="Arial Narrow" w:cs="Arial"/>
          <w:i/>
          <w:iCs/>
          <w:snapToGrid w:val="0"/>
          <w:sz w:val="18"/>
          <w:szCs w:val="20"/>
        </w:rPr>
        <w:t>:</w:t>
      </w:r>
      <w:r w:rsidRPr="009608A5">
        <w:rPr>
          <w:rFonts w:ascii="Arial Narrow" w:eastAsia="Times New Roman" w:hAnsi="Arial Narrow" w:cs="Arial"/>
          <w:i/>
          <w:iCs/>
          <w:snapToGrid w:val="0"/>
          <w:sz w:val="18"/>
          <w:szCs w:val="20"/>
        </w:rPr>
        <w:t xml:space="preserve"> </w:t>
      </w:r>
    </w:p>
    <w:p w14:paraId="6F517C34" w14:textId="77777777" w:rsidR="00C23134" w:rsidRPr="009608A5" w:rsidRDefault="0058279A" w:rsidP="002553CE">
      <w:pPr>
        <w:spacing w:before="0" w:after="0"/>
        <w:contextualSpacing/>
        <w:rPr>
          <w:rFonts w:ascii="Arial Narrow" w:eastAsia="Times New Roman" w:hAnsi="Arial Narrow" w:cs="Arial"/>
          <w:i/>
          <w:iCs/>
          <w:snapToGrid w:val="0"/>
          <w:sz w:val="18"/>
          <w:szCs w:val="20"/>
        </w:rPr>
      </w:pPr>
      <w:r w:rsidRPr="009608A5">
        <w:rPr>
          <w:rFonts w:ascii="Arial Narrow" w:eastAsia="Times New Roman" w:hAnsi="Arial Narrow" w:cs="Arial"/>
          <w:i/>
          <w:iCs/>
          <w:snapToGrid w:val="0"/>
          <w:sz w:val="18"/>
          <w:szCs w:val="20"/>
          <w:vertAlign w:val="superscript"/>
        </w:rPr>
        <w:t>1</w:t>
      </w:r>
      <w:r w:rsidRPr="009608A5">
        <w:rPr>
          <w:rFonts w:ascii="Arial Narrow" w:eastAsia="Times New Roman" w:hAnsi="Arial Narrow" w:cs="Arial"/>
          <w:i/>
          <w:iCs/>
          <w:snapToGrid w:val="0"/>
          <w:sz w:val="18"/>
          <w:szCs w:val="20"/>
        </w:rPr>
        <w:t xml:space="preserve"> $255,000 to &lt; $355,000</w:t>
      </w:r>
      <w:r w:rsidR="00C23134" w:rsidRPr="009608A5">
        <w:rPr>
          <w:rFonts w:ascii="Arial Narrow" w:eastAsia="Times New Roman" w:hAnsi="Arial Narrow" w:cs="Arial"/>
          <w:i/>
          <w:iCs/>
          <w:snapToGrid w:val="0"/>
          <w:sz w:val="18"/>
          <w:szCs w:val="20"/>
        </w:rPr>
        <w:t xml:space="preserve"> </w:t>
      </w:r>
    </w:p>
    <w:p w14:paraId="30D1B46F" w14:textId="3A6FD52A" w:rsidR="0058279A" w:rsidRPr="009608A5" w:rsidRDefault="00C23134" w:rsidP="002553CE">
      <w:pPr>
        <w:spacing w:before="0" w:after="0"/>
        <w:contextualSpacing/>
        <w:rPr>
          <w:rFonts w:ascii="Arial Narrow" w:eastAsia="Times New Roman" w:hAnsi="Arial Narrow" w:cs="Arial"/>
          <w:i/>
          <w:iCs/>
          <w:snapToGrid w:val="0"/>
          <w:sz w:val="18"/>
          <w:szCs w:val="20"/>
        </w:rPr>
      </w:pPr>
      <w:r w:rsidRPr="009608A5">
        <w:rPr>
          <w:rFonts w:ascii="Arial Narrow" w:eastAsia="Times New Roman" w:hAnsi="Arial Narrow" w:cs="Arial"/>
          <w:i/>
          <w:iCs/>
          <w:snapToGrid w:val="0"/>
          <w:sz w:val="18"/>
          <w:szCs w:val="20"/>
          <w:vertAlign w:val="superscript"/>
        </w:rPr>
        <w:t>2</w:t>
      </w:r>
      <w:r w:rsidRPr="009608A5">
        <w:rPr>
          <w:rFonts w:ascii="Arial Narrow" w:eastAsia="Times New Roman" w:hAnsi="Arial Narrow" w:cs="Arial"/>
          <w:i/>
          <w:iCs/>
          <w:snapToGrid w:val="0"/>
          <w:sz w:val="18"/>
          <w:szCs w:val="20"/>
        </w:rPr>
        <w:t xml:space="preserve"> $155,000 to &lt; $255,000</w:t>
      </w:r>
    </w:p>
    <w:p w14:paraId="5A9B3AE8" w14:textId="7C3443DD" w:rsidR="009E18C3" w:rsidRPr="000A7BB0" w:rsidRDefault="00C23134" w:rsidP="002553CE">
      <w:pPr>
        <w:spacing w:before="0" w:after="0"/>
        <w:contextualSpacing/>
        <w:rPr>
          <w:rFonts w:ascii="Arial Narrow" w:eastAsia="Times New Roman" w:hAnsi="Arial Narrow" w:cs="Arial"/>
          <w:snapToGrid w:val="0"/>
          <w:sz w:val="18"/>
          <w:szCs w:val="20"/>
        </w:rPr>
      </w:pPr>
      <w:r w:rsidRPr="009608A5">
        <w:rPr>
          <w:rFonts w:ascii="Arial Narrow" w:eastAsia="Times New Roman" w:hAnsi="Arial Narrow" w:cs="Arial"/>
          <w:i/>
          <w:iCs/>
          <w:snapToGrid w:val="0"/>
          <w:sz w:val="18"/>
          <w:szCs w:val="20"/>
          <w:vertAlign w:val="superscript"/>
        </w:rPr>
        <w:t>3</w:t>
      </w:r>
      <w:r w:rsidR="00886E35" w:rsidRPr="009608A5">
        <w:rPr>
          <w:rFonts w:ascii="Arial Narrow" w:eastAsia="Times New Roman" w:hAnsi="Arial Narrow" w:cs="Arial"/>
          <w:i/>
          <w:iCs/>
          <w:snapToGrid w:val="0"/>
          <w:sz w:val="18"/>
          <w:szCs w:val="20"/>
        </w:rPr>
        <w:t xml:space="preserve"> $55,000 to &lt; $75,000 </w:t>
      </w:r>
    </w:p>
    <w:p w14:paraId="453B1F72" w14:textId="4B6A8CFA" w:rsidR="009E18C3" w:rsidRPr="000A7BB0" w:rsidRDefault="009E18C3" w:rsidP="002553CE">
      <w:pPr>
        <w:numPr>
          <w:ilvl w:val="4"/>
          <w:numId w:val="11"/>
        </w:numPr>
        <w:ind w:left="709" w:hanging="709"/>
        <w:rPr>
          <w:color w:val="000000" w:themeColor="text1"/>
        </w:rPr>
      </w:pPr>
      <w:r w:rsidRPr="000A7BB0">
        <w:rPr>
          <w:color w:val="000000" w:themeColor="text1"/>
        </w:rPr>
        <w:t xml:space="preserve">The health state traces of the elacestrant and SOC treatment arms over the model time horizon is presented in </w:t>
      </w:r>
      <w:r w:rsidR="008B5EC0" w:rsidRPr="000A7BB0">
        <w:rPr>
          <w:color w:val="000000" w:themeColor="text1"/>
        </w:rPr>
        <w:fldChar w:fldCharType="begin"/>
      </w:r>
      <w:r w:rsidR="008B5EC0" w:rsidRPr="000A7BB0">
        <w:rPr>
          <w:color w:val="000000" w:themeColor="text1"/>
        </w:rPr>
        <w:instrText xml:space="preserve"> REF _Ref184477222 \h </w:instrText>
      </w:r>
      <w:r w:rsidR="004D5BD7" w:rsidRPr="000A7BB0">
        <w:rPr>
          <w:color w:val="000000" w:themeColor="text1"/>
        </w:rPr>
        <w:instrText xml:space="preserve"> \* MERGEFORMAT </w:instrText>
      </w:r>
      <w:r w:rsidR="008B5EC0" w:rsidRPr="000A7BB0">
        <w:rPr>
          <w:color w:val="000000" w:themeColor="text1"/>
        </w:rPr>
      </w:r>
      <w:r w:rsidR="008B5EC0" w:rsidRPr="000A7BB0">
        <w:rPr>
          <w:color w:val="000000" w:themeColor="text1"/>
        </w:rPr>
        <w:fldChar w:fldCharType="separate"/>
      </w:r>
      <w:r w:rsidR="004F224A" w:rsidRPr="004F224A">
        <w:rPr>
          <w:color w:val="000000" w:themeColor="text1"/>
        </w:rPr>
        <w:t>Figure 12</w:t>
      </w:r>
      <w:r w:rsidR="008B5EC0" w:rsidRPr="000A7BB0">
        <w:rPr>
          <w:color w:val="000000" w:themeColor="text1"/>
        </w:rPr>
        <w:fldChar w:fldCharType="end"/>
      </w:r>
      <w:r w:rsidR="548612A7" w:rsidRPr="000A7BB0">
        <w:rPr>
          <w:color w:val="000000" w:themeColor="text1"/>
        </w:rPr>
        <w:t>.</w:t>
      </w:r>
      <w:r w:rsidRPr="000A7BB0">
        <w:rPr>
          <w:color w:val="000000" w:themeColor="text1"/>
        </w:rPr>
        <w:t xml:space="preserve"> </w:t>
      </w:r>
    </w:p>
    <w:p w14:paraId="41926E36" w14:textId="708C62AB" w:rsidR="009E18C3" w:rsidRDefault="009E18C3" w:rsidP="002553CE">
      <w:pPr>
        <w:pStyle w:val="Caption"/>
      </w:pPr>
      <w:bookmarkStart w:id="41" w:name="_Ref184477222"/>
      <w:r w:rsidRPr="000A7BB0">
        <w:lastRenderedPageBreak/>
        <w:t xml:space="preserve">Figure </w:t>
      </w:r>
      <w:r>
        <w:fldChar w:fldCharType="begin"/>
      </w:r>
      <w:r>
        <w:instrText>SEQ Figure_PBAC. \* ARABIC</w:instrText>
      </w:r>
      <w:r>
        <w:fldChar w:fldCharType="separate"/>
      </w:r>
      <w:r w:rsidR="004F224A">
        <w:rPr>
          <w:noProof/>
        </w:rPr>
        <w:t>12</w:t>
      </w:r>
      <w:r>
        <w:fldChar w:fldCharType="end"/>
      </w:r>
      <w:bookmarkEnd w:id="41"/>
      <w:r w:rsidRPr="000A7BB0">
        <w:t>: Health state traces of elacestrant and SOC treatment arms over model time horizon</w:t>
      </w:r>
    </w:p>
    <w:p w14:paraId="0B038D7C" w14:textId="47504CBE" w:rsidR="007213CF" w:rsidRPr="007213CF" w:rsidRDefault="007213CF" w:rsidP="002553CE">
      <w:pPr>
        <w:spacing w:before="0" w:after="0"/>
      </w:pPr>
      <w:r>
        <w:rPr>
          <w:noProof/>
        </w:rPr>
        <w:drawing>
          <wp:inline distT="0" distB="0" distL="0" distR="0" wp14:anchorId="143E6A44" wp14:editId="1C4D617B">
            <wp:extent cx="5815965" cy="3469005"/>
            <wp:effectExtent l="0" t="0" r="0" b="0"/>
            <wp:docPr id="1639233372" name="Picture 2" descr="Figure 12: Line graph showing health state traces of elacestrant and SOC treatment arms over model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33372" name="Picture 2" descr="Figure 12: Line graph showing health state traces of elacestrant and SOC treatment arms over model time horiz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5965" cy="3469005"/>
                    </a:xfrm>
                    <a:prstGeom prst="rect">
                      <a:avLst/>
                    </a:prstGeom>
                    <a:noFill/>
                  </pic:spPr>
                </pic:pic>
              </a:graphicData>
            </a:graphic>
          </wp:inline>
        </w:drawing>
      </w:r>
    </w:p>
    <w:p w14:paraId="35A5D113" w14:textId="77777777" w:rsidR="009E18C3" w:rsidRPr="004359A9" w:rsidRDefault="009E18C3" w:rsidP="002553CE">
      <w:pPr>
        <w:spacing w:before="0"/>
        <w:contextualSpacing/>
        <w:rPr>
          <w:rFonts w:ascii="Arial Narrow" w:eastAsia="Times New Roman" w:hAnsi="Arial Narrow" w:cs="Times New Roman"/>
          <w:snapToGrid w:val="0"/>
          <w:sz w:val="18"/>
          <w:szCs w:val="18"/>
          <w:lang w:eastAsia="en-GB"/>
        </w:rPr>
      </w:pPr>
      <w:r w:rsidRPr="004359A9">
        <w:rPr>
          <w:rFonts w:ascii="Arial Narrow" w:eastAsia="Times New Roman" w:hAnsi="Arial Narrow" w:cs="Times New Roman"/>
          <w:snapToGrid w:val="0"/>
          <w:sz w:val="18"/>
          <w:szCs w:val="18"/>
          <w:lang w:eastAsia="en-GB"/>
        </w:rPr>
        <w:t>Source: Developed during the evaluation using data from the economic workbook</w:t>
      </w:r>
    </w:p>
    <w:p w14:paraId="25217339" w14:textId="1CDB3C91" w:rsidR="009E18C3" w:rsidRPr="004359A9" w:rsidRDefault="009E18C3" w:rsidP="002553CE">
      <w:pPr>
        <w:spacing w:before="0" w:after="0"/>
        <w:rPr>
          <w:rFonts w:ascii="Arial Narrow" w:eastAsia="Times New Roman" w:hAnsi="Arial Narrow" w:cs="Times New Roman"/>
          <w:snapToGrid w:val="0"/>
          <w:sz w:val="18"/>
          <w:szCs w:val="18"/>
          <w:lang w:eastAsia="en-GB"/>
        </w:rPr>
      </w:pPr>
      <w:r w:rsidRPr="004359A9">
        <w:rPr>
          <w:rFonts w:ascii="Arial Narrow" w:eastAsia="Times New Roman" w:hAnsi="Arial Narrow" w:cs="Times New Roman"/>
          <w:snapToGrid w:val="0"/>
          <w:sz w:val="18"/>
          <w:szCs w:val="18"/>
          <w:lang w:eastAsia="en-GB"/>
        </w:rPr>
        <w:t>PD = progressed disease; PF = progression free; SOC = standard of care.</w:t>
      </w:r>
    </w:p>
    <w:p w14:paraId="3A144B79" w14:textId="40CDC185" w:rsidR="004359A9" w:rsidRPr="004359A9" w:rsidRDefault="004359A9" w:rsidP="002553CE">
      <w:pPr>
        <w:spacing w:before="0"/>
        <w:rPr>
          <w:rFonts w:ascii="Arial Narrow" w:eastAsia="Times New Roman" w:hAnsi="Arial Narrow" w:cs="Times New Roman"/>
          <w:i/>
          <w:iCs/>
          <w:snapToGrid w:val="0"/>
          <w:sz w:val="18"/>
          <w:szCs w:val="18"/>
          <w:lang w:eastAsia="en-GB"/>
        </w:rPr>
      </w:pPr>
      <w:r w:rsidRPr="004359A9">
        <w:rPr>
          <w:rFonts w:ascii="Arial Narrow" w:eastAsia="Times New Roman" w:hAnsi="Arial Narrow" w:cs="Times New Roman"/>
          <w:i/>
          <w:iCs/>
          <w:snapToGrid w:val="0"/>
          <w:sz w:val="18"/>
          <w:szCs w:val="18"/>
          <w:lang w:eastAsia="en-GB"/>
        </w:rPr>
        <w:t>Note that the results presented in Figure 12 are derived from ad-hoc analyses conducted by the during the evaluation process based on data included in the economic workbook. Interpretation of the results and their application should therefore be limited to seeking to understand the basis for the PBAC outcome and should not be used for any other purpose.</w:t>
      </w:r>
    </w:p>
    <w:p w14:paraId="37834798" w14:textId="04C6A989" w:rsidR="00957F4B" w:rsidRPr="004A232C" w:rsidRDefault="009E18C3" w:rsidP="002553CE">
      <w:pPr>
        <w:numPr>
          <w:ilvl w:val="4"/>
          <w:numId w:val="11"/>
        </w:numPr>
        <w:ind w:left="709" w:hanging="709"/>
        <w:rPr>
          <w:color w:val="000000" w:themeColor="text1"/>
        </w:rPr>
      </w:pPr>
      <w:r w:rsidRPr="000A7BB0">
        <w:rPr>
          <w:color w:val="000000" w:themeColor="text1"/>
        </w:rPr>
        <w:t xml:space="preserve">The results of key univariate and multivariate sensitivity analyses </w:t>
      </w:r>
      <w:r w:rsidR="25270127" w:rsidRPr="000A7BB0">
        <w:rPr>
          <w:color w:val="000000" w:themeColor="text1"/>
        </w:rPr>
        <w:t xml:space="preserve">(MVSA) </w:t>
      </w:r>
      <w:r w:rsidRPr="000A7BB0">
        <w:rPr>
          <w:color w:val="000000" w:themeColor="text1"/>
        </w:rPr>
        <w:t>are summarised below</w:t>
      </w:r>
      <w:r w:rsidR="0B741147" w:rsidRPr="000A7BB0">
        <w:rPr>
          <w:color w:val="000000" w:themeColor="text1"/>
        </w:rPr>
        <w:t>.</w:t>
      </w:r>
      <w:r w:rsidR="2827E175" w:rsidRPr="000A7BB0">
        <w:rPr>
          <w:color w:val="000000" w:themeColor="text1"/>
        </w:rPr>
        <w:t xml:space="preserve"> </w:t>
      </w:r>
      <w:r w:rsidR="2827E175" w:rsidRPr="004A232C">
        <w:rPr>
          <w:color w:val="000000" w:themeColor="text1"/>
        </w:rPr>
        <w:t xml:space="preserve">The ESCs revised </w:t>
      </w:r>
      <w:r w:rsidR="5F736CA8" w:rsidRPr="004A232C">
        <w:rPr>
          <w:color w:val="000000" w:themeColor="text1"/>
        </w:rPr>
        <w:t xml:space="preserve">the </w:t>
      </w:r>
      <w:r w:rsidR="25270127" w:rsidRPr="004A232C">
        <w:rPr>
          <w:color w:val="000000" w:themeColor="text1"/>
        </w:rPr>
        <w:t>MVSA</w:t>
      </w:r>
      <w:r w:rsidR="5F736CA8" w:rsidRPr="004A232C">
        <w:rPr>
          <w:color w:val="000000" w:themeColor="text1"/>
        </w:rPr>
        <w:t xml:space="preserve"> to </w:t>
      </w:r>
      <w:r w:rsidR="229E7509" w:rsidRPr="004A232C">
        <w:rPr>
          <w:color w:val="000000" w:themeColor="text1"/>
        </w:rPr>
        <w:t>remove the</w:t>
      </w:r>
      <w:r w:rsidR="5F736CA8" w:rsidRPr="004A232C">
        <w:rPr>
          <w:color w:val="000000" w:themeColor="text1"/>
        </w:rPr>
        <w:t xml:space="preserve"> </w:t>
      </w:r>
      <w:r w:rsidR="23827098" w:rsidRPr="004A232C">
        <w:rPr>
          <w:color w:val="000000" w:themeColor="text1"/>
        </w:rPr>
        <w:t xml:space="preserve">step shortening the time horizon to 7 years as </w:t>
      </w:r>
      <w:r w:rsidR="25270127" w:rsidRPr="004A232C">
        <w:rPr>
          <w:color w:val="000000" w:themeColor="text1"/>
        </w:rPr>
        <w:t>a</w:t>
      </w:r>
      <w:r w:rsidR="6FB54DF0" w:rsidRPr="004A232C">
        <w:rPr>
          <w:color w:val="000000" w:themeColor="text1"/>
        </w:rPr>
        <w:t xml:space="preserve"> </w:t>
      </w:r>
      <w:r w:rsidR="00047666" w:rsidRPr="004A232C">
        <w:rPr>
          <w:color w:val="000000" w:themeColor="text1"/>
        </w:rPr>
        <w:t>10-year</w:t>
      </w:r>
      <w:r w:rsidR="6FB54DF0" w:rsidRPr="004A232C">
        <w:rPr>
          <w:color w:val="000000" w:themeColor="text1"/>
        </w:rPr>
        <w:t xml:space="preserve"> time horizon </w:t>
      </w:r>
      <w:r w:rsidR="25270127" w:rsidRPr="004A232C">
        <w:rPr>
          <w:color w:val="000000" w:themeColor="text1"/>
        </w:rPr>
        <w:t xml:space="preserve">as considered </w:t>
      </w:r>
      <w:r w:rsidR="00047666" w:rsidRPr="004A232C">
        <w:rPr>
          <w:color w:val="000000" w:themeColor="text1"/>
        </w:rPr>
        <w:t>reasonable but</w:t>
      </w:r>
      <w:r w:rsidR="6FB54DF0" w:rsidRPr="004A232C">
        <w:rPr>
          <w:color w:val="000000" w:themeColor="text1"/>
        </w:rPr>
        <w:t xml:space="preserve"> noted that </w:t>
      </w:r>
      <w:r w:rsidR="25270127" w:rsidRPr="004A232C">
        <w:rPr>
          <w:color w:val="000000" w:themeColor="text1"/>
        </w:rPr>
        <w:t>increasing the time horizon from 7 to 10 years for the MVSA</w:t>
      </w:r>
      <w:r w:rsidR="6FB54DF0" w:rsidRPr="004A232C">
        <w:rPr>
          <w:color w:val="000000" w:themeColor="text1"/>
        </w:rPr>
        <w:t xml:space="preserve"> increased the ICER</w:t>
      </w:r>
      <w:r w:rsidR="1DEED861" w:rsidRPr="004A232C">
        <w:rPr>
          <w:color w:val="000000" w:themeColor="text1"/>
        </w:rPr>
        <w:t xml:space="preserve"> to </w:t>
      </w:r>
      <w:r w:rsidR="000D1D04" w:rsidRPr="000D1D04">
        <w:rPr>
          <w:color w:val="000000" w:themeColor="text1"/>
        </w:rPr>
        <w:t>$155,000 to &lt; $255,000</w:t>
      </w:r>
      <w:r w:rsidR="002155D6">
        <w:rPr>
          <w:color w:val="000000" w:themeColor="text1"/>
        </w:rPr>
        <w:t xml:space="preserve"> </w:t>
      </w:r>
      <w:r w:rsidR="13173629" w:rsidRPr="004A232C">
        <w:rPr>
          <w:color w:val="000000" w:themeColor="text1"/>
        </w:rPr>
        <w:t>per QALY</w:t>
      </w:r>
      <w:r w:rsidR="6FB54DF0" w:rsidRPr="004A232C">
        <w:rPr>
          <w:color w:val="000000" w:themeColor="text1"/>
        </w:rPr>
        <w:t>.</w:t>
      </w:r>
      <w:r w:rsidR="779CCCC5" w:rsidRPr="004A232C">
        <w:rPr>
          <w:color w:val="000000" w:themeColor="text1"/>
        </w:rPr>
        <w:t xml:space="preserve"> </w:t>
      </w:r>
      <w:r w:rsidR="1FFAAADB" w:rsidRPr="004A232C">
        <w:rPr>
          <w:color w:val="000000" w:themeColor="text1"/>
        </w:rPr>
        <w:t>T</w:t>
      </w:r>
      <w:r w:rsidR="07AE3D97" w:rsidRPr="004A232C">
        <w:rPr>
          <w:color w:val="000000" w:themeColor="text1"/>
        </w:rPr>
        <w:t>his was because</w:t>
      </w:r>
      <w:r w:rsidR="1FFAAADB" w:rsidRPr="004A232C">
        <w:rPr>
          <w:color w:val="000000" w:themeColor="text1"/>
        </w:rPr>
        <w:t>,</w:t>
      </w:r>
      <w:r w:rsidR="07AE3D97" w:rsidRPr="004A232C">
        <w:rPr>
          <w:color w:val="000000" w:themeColor="text1"/>
        </w:rPr>
        <w:t xml:space="preserve"> </w:t>
      </w:r>
      <w:r w:rsidR="779CCCC5" w:rsidRPr="004A232C">
        <w:rPr>
          <w:color w:val="000000" w:themeColor="text1"/>
        </w:rPr>
        <w:t xml:space="preserve">with revised </w:t>
      </w:r>
      <w:r w:rsidR="1EB0C74F" w:rsidRPr="004A232C">
        <w:rPr>
          <w:color w:val="000000" w:themeColor="text1"/>
        </w:rPr>
        <w:t>OS extrapolations</w:t>
      </w:r>
      <w:r w:rsidR="1FFAAADB" w:rsidRPr="004A232C">
        <w:rPr>
          <w:color w:val="000000" w:themeColor="text1"/>
        </w:rPr>
        <w:t>,</w:t>
      </w:r>
      <w:r w:rsidR="1EB0C74F" w:rsidRPr="004A232C">
        <w:rPr>
          <w:color w:val="000000" w:themeColor="text1"/>
        </w:rPr>
        <w:t xml:space="preserve"> most patients</w:t>
      </w:r>
      <w:r w:rsidR="2B16112B" w:rsidRPr="004A232C">
        <w:rPr>
          <w:color w:val="000000" w:themeColor="text1"/>
        </w:rPr>
        <w:t xml:space="preserve"> in both arms had died by 7 years</w:t>
      </w:r>
      <w:r w:rsidR="07AE3D97" w:rsidRPr="004A232C">
        <w:rPr>
          <w:color w:val="000000" w:themeColor="text1"/>
        </w:rPr>
        <w:t xml:space="preserve"> and the </w:t>
      </w:r>
      <w:r w:rsidR="169CBED6" w:rsidRPr="004A232C">
        <w:rPr>
          <w:color w:val="000000" w:themeColor="text1"/>
        </w:rPr>
        <w:t xml:space="preserve">extrapolation for </w:t>
      </w:r>
      <w:r w:rsidR="0A18DB38" w:rsidRPr="004A232C">
        <w:rPr>
          <w:color w:val="000000" w:themeColor="text1"/>
        </w:rPr>
        <w:t>the SOC was slightly more favourable</w:t>
      </w:r>
      <w:r w:rsidR="5F745AAA" w:rsidRPr="004A232C">
        <w:rPr>
          <w:color w:val="000000" w:themeColor="text1"/>
        </w:rPr>
        <w:t xml:space="preserve"> than elacestrant for years </w:t>
      </w:r>
      <w:r w:rsidR="12FAD912" w:rsidRPr="004A232C">
        <w:rPr>
          <w:color w:val="000000" w:themeColor="text1"/>
        </w:rPr>
        <w:t>7-10</w:t>
      </w:r>
      <w:r w:rsidR="131D38D0" w:rsidRPr="004A232C">
        <w:rPr>
          <w:color w:val="000000" w:themeColor="text1"/>
        </w:rPr>
        <w:t xml:space="preserve"> (</w:t>
      </w:r>
      <w:r w:rsidR="7267ED26" w:rsidRPr="004A232C">
        <w:rPr>
          <w:color w:val="000000" w:themeColor="text1"/>
        </w:rPr>
        <w:t xml:space="preserve">resulting in </w:t>
      </w:r>
      <w:r w:rsidR="36C1C621" w:rsidRPr="004A232C">
        <w:rPr>
          <w:color w:val="000000" w:themeColor="text1"/>
        </w:rPr>
        <w:t>0.0076 fewer LY gained for elacestrant</w:t>
      </w:r>
      <w:r w:rsidR="0877B940" w:rsidRPr="004A232C">
        <w:rPr>
          <w:color w:val="000000" w:themeColor="text1"/>
        </w:rPr>
        <w:t xml:space="preserve"> with the longer time horizon</w:t>
      </w:r>
      <w:r w:rsidR="36C1C621" w:rsidRPr="004A232C">
        <w:rPr>
          <w:color w:val="000000" w:themeColor="text1"/>
        </w:rPr>
        <w:t>)</w:t>
      </w:r>
      <w:r w:rsidR="12FAD912" w:rsidRPr="004A232C">
        <w:rPr>
          <w:color w:val="000000" w:themeColor="text1"/>
        </w:rPr>
        <w:t>.</w:t>
      </w:r>
      <w:r w:rsidR="6FB54DF0" w:rsidRPr="004A232C">
        <w:rPr>
          <w:color w:val="000000" w:themeColor="text1"/>
        </w:rPr>
        <w:t xml:space="preserve"> </w:t>
      </w:r>
      <w:r w:rsidR="00AE7E83">
        <w:rPr>
          <w:color w:val="000000" w:themeColor="text1"/>
        </w:rPr>
        <w:t xml:space="preserve">The pre-PBAC response argued that alternative inputs </w:t>
      </w:r>
      <w:r w:rsidR="00215222">
        <w:rPr>
          <w:color w:val="000000" w:themeColor="text1"/>
        </w:rPr>
        <w:t xml:space="preserve">applied </w:t>
      </w:r>
      <w:r w:rsidR="00AE7E83">
        <w:rPr>
          <w:color w:val="000000" w:themeColor="text1"/>
        </w:rPr>
        <w:t xml:space="preserve">in the MVSA were </w:t>
      </w:r>
      <w:r w:rsidR="00215222">
        <w:rPr>
          <w:color w:val="000000" w:themeColor="text1"/>
        </w:rPr>
        <w:t xml:space="preserve">not more plausible than the </w:t>
      </w:r>
      <w:r w:rsidR="00740C86">
        <w:rPr>
          <w:color w:val="000000" w:themeColor="text1"/>
        </w:rPr>
        <w:t>submission base case.</w:t>
      </w:r>
    </w:p>
    <w:p w14:paraId="07497439" w14:textId="41A4CD99" w:rsidR="009E18C3" w:rsidRPr="004A232C" w:rsidRDefault="6DD881F4" w:rsidP="002553CE">
      <w:pPr>
        <w:numPr>
          <w:ilvl w:val="4"/>
          <w:numId w:val="11"/>
        </w:numPr>
        <w:ind w:left="709" w:hanging="709"/>
        <w:rPr>
          <w:color w:val="000000" w:themeColor="text1"/>
        </w:rPr>
      </w:pPr>
      <w:bookmarkStart w:id="42" w:name="_Ref190775658"/>
      <w:r w:rsidRPr="004A232C">
        <w:rPr>
          <w:color w:val="000000" w:themeColor="text1"/>
        </w:rPr>
        <w:t xml:space="preserve">The ESCs also </w:t>
      </w:r>
      <w:r w:rsidR="5F7B1B09" w:rsidRPr="004A232C">
        <w:rPr>
          <w:color w:val="000000" w:themeColor="text1"/>
        </w:rPr>
        <w:t>requested</w:t>
      </w:r>
      <w:r w:rsidRPr="004A232C">
        <w:rPr>
          <w:color w:val="000000" w:themeColor="text1"/>
        </w:rPr>
        <w:t xml:space="preserve"> an additional </w:t>
      </w:r>
      <w:r w:rsidR="5F7B1B09" w:rsidRPr="004A232C">
        <w:rPr>
          <w:color w:val="000000" w:themeColor="text1"/>
        </w:rPr>
        <w:t xml:space="preserve">sensitivity analysis </w:t>
      </w:r>
      <w:r w:rsidR="7B86BDB7" w:rsidRPr="004A232C">
        <w:rPr>
          <w:color w:val="000000" w:themeColor="text1"/>
        </w:rPr>
        <w:t xml:space="preserve">to </w:t>
      </w:r>
      <w:r w:rsidR="3BEDCA7A" w:rsidRPr="004A232C">
        <w:rPr>
          <w:color w:val="000000" w:themeColor="text1"/>
        </w:rPr>
        <w:t xml:space="preserve">show the impact of </w:t>
      </w:r>
      <w:r w:rsidR="61229DDB" w:rsidRPr="004A232C">
        <w:rPr>
          <w:color w:val="000000" w:themeColor="text1"/>
        </w:rPr>
        <w:t xml:space="preserve">accounting for additional </w:t>
      </w:r>
      <w:r w:rsidR="3BEDCA7A" w:rsidRPr="004A232C">
        <w:rPr>
          <w:color w:val="000000" w:themeColor="text1"/>
        </w:rPr>
        <w:t>test</w:t>
      </w:r>
      <w:r w:rsidR="25B0BFB5" w:rsidRPr="004A232C">
        <w:rPr>
          <w:color w:val="000000" w:themeColor="text1"/>
        </w:rPr>
        <w:t>ing costs</w:t>
      </w:r>
      <w:r w:rsidR="3BEDCA7A" w:rsidRPr="004A232C">
        <w:rPr>
          <w:color w:val="000000" w:themeColor="text1"/>
        </w:rPr>
        <w:t xml:space="preserve"> for patient</w:t>
      </w:r>
      <w:r w:rsidR="4B2AD0CE" w:rsidRPr="004A232C">
        <w:rPr>
          <w:color w:val="000000" w:themeColor="text1"/>
        </w:rPr>
        <w:t>s</w:t>
      </w:r>
      <w:r w:rsidR="3BEDCA7A" w:rsidRPr="004A232C">
        <w:rPr>
          <w:color w:val="000000" w:themeColor="text1"/>
        </w:rPr>
        <w:t xml:space="preserve"> </w:t>
      </w:r>
      <w:r w:rsidR="25B0BFB5" w:rsidRPr="004A232C">
        <w:rPr>
          <w:color w:val="000000" w:themeColor="text1"/>
        </w:rPr>
        <w:t xml:space="preserve">who undergo </w:t>
      </w:r>
      <w:r w:rsidR="3A7BD3CD" w:rsidRPr="004A232C">
        <w:rPr>
          <w:color w:val="000000" w:themeColor="text1"/>
        </w:rPr>
        <w:t>re-</w:t>
      </w:r>
      <w:r w:rsidR="25B0BFB5" w:rsidRPr="004A232C">
        <w:rPr>
          <w:color w:val="000000" w:themeColor="text1"/>
        </w:rPr>
        <w:t>test</w:t>
      </w:r>
      <w:r w:rsidR="1CE783CB" w:rsidRPr="004A232C">
        <w:rPr>
          <w:color w:val="000000" w:themeColor="text1"/>
        </w:rPr>
        <w:t xml:space="preserve">ing </w:t>
      </w:r>
      <w:r w:rsidR="4D7DE2BF" w:rsidRPr="004A232C">
        <w:rPr>
          <w:color w:val="000000" w:themeColor="text1"/>
        </w:rPr>
        <w:t>following progression</w:t>
      </w:r>
      <w:r w:rsidR="5898C31B" w:rsidRPr="004A232C">
        <w:rPr>
          <w:color w:val="000000" w:themeColor="text1"/>
        </w:rPr>
        <w:t xml:space="preserve">. </w:t>
      </w:r>
      <w:r w:rsidR="4882F483" w:rsidRPr="004A232C">
        <w:rPr>
          <w:color w:val="000000" w:themeColor="text1"/>
        </w:rPr>
        <w:t xml:space="preserve">The ESCs noted that there was uncertainty regarding the proportion of patients likely to test </w:t>
      </w:r>
      <w:r w:rsidR="45DC3FF1" w:rsidRPr="004A232C">
        <w:rPr>
          <w:color w:val="000000" w:themeColor="text1"/>
        </w:rPr>
        <w:t>positive at</w:t>
      </w:r>
      <w:r w:rsidR="1371A247" w:rsidRPr="004A232C">
        <w:rPr>
          <w:color w:val="000000" w:themeColor="text1"/>
        </w:rPr>
        <w:t xml:space="preserve"> the point of</w:t>
      </w:r>
      <w:r w:rsidR="45DC3FF1" w:rsidRPr="004A232C">
        <w:rPr>
          <w:color w:val="000000" w:themeColor="text1"/>
        </w:rPr>
        <w:t xml:space="preserve"> first </w:t>
      </w:r>
      <w:r w:rsidR="4D982D5C" w:rsidRPr="004A232C">
        <w:rPr>
          <w:color w:val="000000" w:themeColor="text1"/>
        </w:rPr>
        <w:t xml:space="preserve">progression </w:t>
      </w:r>
      <w:r w:rsidR="337821A3" w:rsidRPr="004A232C">
        <w:rPr>
          <w:color w:val="000000" w:themeColor="text1"/>
        </w:rPr>
        <w:t xml:space="preserve">and </w:t>
      </w:r>
      <w:r w:rsidR="4D982D5C" w:rsidRPr="004A232C">
        <w:rPr>
          <w:color w:val="000000" w:themeColor="text1"/>
        </w:rPr>
        <w:t xml:space="preserve">for </w:t>
      </w:r>
      <w:r w:rsidR="1371A247" w:rsidRPr="004A232C">
        <w:rPr>
          <w:color w:val="000000" w:themeColor="text1"/>
        </w:rPr>
        <w:t xml:space="preserve">each </w:t>
      </w:r>
      <w:r w:rsidR="337821A3" w:rsidRPr="004A232C">
        <w:rPr>
          <w:color w:val="000000" w:themeColor="text1"/>
        </w:rPr>
        <w:t xml:space="preserve">subsequent progression as the EMERALD trial included patients </w:t>
      </w:r>
      <w:r w:rsidR="70799C4E" w:rsidRPr="004A232C">
        <w:rPr>
          <w:color w:val="000000" w:themeColor="text1"/>
        </w:rPr>
        <w:t xml:space="preserve">who had </w:t>
      </w:r>
      <w:r w:rsidR="7CB15A89" w:rsidRPr="004A232C">
        <w:rPr>
          <w:color w:val="000000" w:themeColor="text1"/>
        </w:rPr>
        <w:t xml:space="preserve">received </w:t>
      </w:r>
      <w:r w:rsidR="70799C4E" w:rsidRPr="004A232C">
        <w:rPr>
          <w:color w:val="000000" w:themeColor="text1"/>
        </w:rPr>
        <w:t xml:space="preserve">multiple </w:t>
      </w:r>
      <w:r w:rsidR="7CB15A89" w:rsidRPr="004A232C">
        <w:rPr>
          <w:color w:val="000000" w:themeColor="text1"/>
        </w:rPr>
        <w:t>prior</w:t>
      </w:r>
      <w:r w:rsidR="70799C4E" w:rsidRPr="004A232C">
        <w:rPr>
          <w:color w:val="000000" w:themeColor="text1"/>
        </w:rPr>
        <w:t xml:space="preserve"> lines of treatments </w:t>
      </w:r>
      <w:r w:rsidR="4D982D5C" w:rsidRPr="004A232C">
        <w:rPr>
          <w:color w:val="000000" w:themeColor="text1"/>
        </w:rPr>
        <w:t>but</w:t>
      </w:r>
      <w:r w:rsidR="70799C4E" w:rsidRPr="004A232C">
        <w:rPr>
          <w:color w:val="000000" w:themeColor="text1"/>
        </w:rPr>
        <w:t xml:space="preserve"> </w:t>
      </w:r>
      <w:r w:rsidR="70799C4E" w:rsidRPr="000029C7">
        <w:rPr>
          <w:i/>
          <w:iCs/>
          <w:color w:val="000000" w:themeColor="text1"/>
        </w:rPr>
        <w:t>ESR1</w:t>
      </w:r>
      <w:r w:rsidR="70799C4E" w:rsidRPr="004A232C">
        <w:rPr>
          <w:color w:val="000000" w:themeColor="text1"/>
        </w:rPr>
        <w:t xml:space="preserve"> testing results were only </w:t>
      </w:r>
      <w:r w:rsidR="4D982D5C" w:rsidRPr="004A232C">
        <w:rPr>
          <w:color w:val="000000" w:themeColor="text1"/>
        </w:rPr>
        <w:t>reported</w:t>
      </w:r>
      <w:r w:rsidR="70799C4E" w:rsidRPr="004A232C">
        <w:rPr>
          <w:color w:val="000000" w:themeColor="text1"/>
        </w:rPr>
        <w:t xml:space="preserve"> at </w:t>
      </w:r>
      <w:r w:rsidR="3CA8FB5D" w:rsidRPr="004A232C">
        <w:rPr>
          <w:color w:val="000000" w:themeColor="text1"/>
        </w:rPr>
        <w:t xml:space="preserve">study entry. </w:t>
      </w:r>
      <w:r w:rsidR="4D982D5C" w:rsidRPr="004A232C">
        <w:rPr>
          <w:color w:val="000000" w:themeColor="text1"/>
        </w:rPr>
        <w:t>T</w:t>
      </w:r>
      <w:r w:rsidR="1371A247" w:rsidRPr="004A232C">
        <w:rPr>
          <w:color w:val="000000" w:themeColor="text1"/>
        </w:rPr>
        <w:t xml:space="preserve">he ESCs considered it was likely that there would be a diminishing number of additional patients who test positive at each subsequent </w:t>
      </w:r>
      <w:r w:rsidR="00047666" w:rsidRPr="004A232C">
        <w:rPr>
          <w:color w:val="000000" w:themeColor="text1"/>
        </w:rPr>
        <w:t>progression,</w:t>
      </w:r>
      <w:r w:rsidR="004AF5DC" w:rsidRPr="004A232C">
        <w:rPr>
          <w:color w:val="000000" w:themeColor="text1"/>
        </w:rPr>
        <w:t xml:space="preserve"> and this should be accounted for in the </w:t>
      </w:r>
      <w:r w:rsidR="5F4D402F" w:rsidRPr="004A232C">
        <w:rPr>
          <w:color w:val="000000" w:themeColor="text1"/>
        </w:rPr>
        <w:t>estimated cost of testing</w:t>
      </w:r>
      <w:r w:rsidR="41E6B3B5" w:rsidRPr="004A232C">
        <w:rPr>
          <w:color w:val="000000" w:themeColor="text1"/>
        </w:rPr>
        <w:t xml:space="preserve">. </w:t>
      </w:r>
      <w:r w:rsidR="1CBF140E" w:rsidRPr="004A232C">
        <w:rPr>
          <w:color w:val="000000" w:themeColor="text1"/>
        </w:rPr>
        <w:t xml:space="preserve">The ESCs considered that the </w:t>
      </w:r>
      <w:r w:rsidR="4C7C0414" w:rsidRPr="004A232C">
        <w:rPr>
          <w:color w:val="000000" w:themeColor="text1"/>
        </w:rPr>
        <w:t>data</w:t>
      </w:r>
      <w:r w:rsidR="1CBF140E" w:rsidRPr="004A232C">
        <w:rPr>
          <w:color w:val="000000" w:themeColor="text1"/>
        </w:rPr>
        <w:t xml:space="preserve"> from </w:t>
      </w:r>
      <w:r w:rsidR="45E51641" w:rsidRPr="004A232C">
        <w:rPr>
          <w:color w:val="000000" w:themeColor="text1"/>
        </w:rPr>
        <w:lastRenderedPageBreak/>
        <w:t xml:space="preserve">the </w:t>
      </w:r>
      <w:r w:rsidR="1CBF140E" w:rsidRPr="004A232C">
        <w:rPr>
          <w:color w:val="000000" w:themeColor="text1"/>
        </w:rPr>
        <w:t>PALOMA</w:t>
      </w:r>
      <w:r w:rsidR="45E51641" w:rsidRPr="004A232C">
        <w:rPr>
          <w:color w:val="000000" w:themeColor="text1"/>
        </w:rPr>
        <w:t>-</w:t>
      </w:r>
      <w:r w:rsidR="1CBF140E" w:rsidRPr="004A232C">
        <w:rPr>
          <w:color w:val="000000" w:themeColor="text1"/>
        </w:rPr>
        <w:t>3</w:t>
      </w:r>
      <w:r w:rsidR="45E51641" w:rsidRPr="004A232C">
        <w:rPr>
          <w:color w:val="000000" w:themeColor="text1"/>
        </w:rPr>
        <w:t xml:space="preserve"> trial</w:t>
      </w:r>
      <w:r w:rsidR="1CBF140E" w:rsidRPr="004A232C">
        <w:rPr>
          <w:color w:val="000000" w:themeColor="text1"/>
        </w:rPr>
        <w:t xml:space="preserve"> (</w:t>
      </w:r>
      <w:r w:rsidR="3BF64A5A" w:rsidRPr="004A232C">
        <w:rPr>
          <w:color w:val="000000" w:themeColor="text1"/>
        </w:rPr>
        <w:t xml:space="preserve">fulvestrant </w:t>
      </w:r>
      <w:r w:rsidR="70E554B2" w:rsidRPr="004A232C">
        <w:rPr>
          <w:color w:val="000000" w:themeColor="text1"/>
        </w:rPr>
        <w:t>plus palbociclib</w:t>
      </w:r>
      <w:r w:rsidR="15D25A93" w:rsidRPr="004A232C">
        <w:rPr>
          <w:color w:val="000000" w:themeColor="text1"/>
        </w:rPr>
        <w:t xml:space="preserve"> </w:t>
      </w:r>
      <w:r w:rsidR="6C1FBCE3" w:rsidRPr="004A232C">
        <w:rPr>
          <w:color w:val="000000" w:themeColor="text1"/>
        </w:rPr>
        <w:t xml:space="preserve">vs </w:t>
      </w:r>
      <w:r w:rsidR="18A6EAC6" w:rsidRPr="004A232C">
        <w:rPr>
          <w:color w:val="000000" w:themeColor="text1"/>
        </w:rPr>
        <w:t xml:space="preserve">fulvestrant alone) </w:t>
      </w:r>
      <w:r w:rsidR="56625C2A" w:rsidRPr="004A232C">
        <w:rPr>
          <w:color w:val="000000" w:themeColor="text1"/>
        </w:rPr>
        <w:t>may be informative</w:t>
      </w:r>
      <w:r w:rsidR="393D0F0E" w:rsidRPr="004A232C">
        <w:rPr>
          <w:color w:val="000000" w:themeColor="text1"/>
        </w:rPr>
        <w:t xml:space="preserve"> as rates of </w:t>
      </w:r>
      <w:r w:rsidR="393D0F0E" w:rsidRPr="00171D96">
        <w:rPr>
          <w:i/>
          <w:iCs/>
          <w:color w:val="000000" w:themeColor="text1"/>
        </w:rPr>
        <w:t>ESR1</w:t>
      </w:r>
      <w:r w:rsidR="393D0F0E" w:rsidRPr="004A232C">
        <w:rPr>
          <w:color w:val="000000" w:themeColor="text1"/>
        </w:rPr>
        <w:t xml:space="preserve"> </w:t>
      </w:r>
      <w:r w:rsidR="445D708A" w:rsidRPr="004A232C">
        <w:rPr>
          <w:color w:val="000000" w:themeColor="text1"/>
        </w:rPr>
        <w:t xml:space="preserve">variants were reported at baseline </w:t>
      </w:r>
      <w:r w:rsidR="714FC74E" w:rsidRPr="004A232C">
        <w:rPr>
          <w:color w:val="000000" w:themeColor="text1"/>
        </w:rPr>
        <w:t>(</w:t>
      </w:r>
      <w:r w:rsidR="083220EA" w:rsidRPr="004A232C">
        <w:rPr>
          <w:color w:val="000000" w:themeColor="text1"/>
        </w:rPr>
        <w:t xml:space="preserve">25.1%) </w:t>
      </w:r>
      <w:r w:rsidR="445D708A" w:rsidRPr="004A232C">
        <w:rPr>
          <w:color w:val="000000" w:themeColor="text1"/>
        </w:rPr>
        <w:t xml:space="preserve">and </w:t>
      </w:r>
      <w:r w:rsidR="6B3B0D12" w:rsidRPr="004A232C">
        <w:rPr>
          <w:color w:val="000000" w:themeColor="text1"/>
        </w:rPr>
        <w:t>end of treatment</w:t>
      </w:r>
      <w:r w:rsidR="083220EA" w:rsidRPr="004A232C">
        <w:rPr>
          <w:color w:val="000000" w:themeColor="text1"/>
        </w:rPr>
        <w:t xml:space="preserve"> (</w:t>
      </w:r>
      <w:r w:rsidR="6A3F7C22" w:rsidRPr="004A232C">
        <w:rPr>
          <w:color w:val="000000" w:themeColor="text1"/>
        </w:rPr>
        <w:t>31.3%</w:t>
      </w:r>
      <w:r w:rsidR="7687BB8C" w:rsidRPr="004A232C">
        <w:rPr>
          <w:color w:val="000000" w:themeColor="text1"/>
        </w:rPr>
        <w:t xml:space="preserve">, </w:t>
      </w:r>
      <w:r w:rsidR="62D6D1B4" w:rsidRPr="004A232C">
        <w:rPr>
          <w:color w:val="000000" w:themeColor="text1"/>
        </w:rPr>
        <w:t>which would most closely match patients entering the EMERALD trial</w:t>
      </w:r>
      <w:r w:rsidR="6A3F7C22" w:rsidRPr="004A232C">
        <w:rPr>
          <w:color w:val="000000" w:themeColor="text1"/>
        </w:rPr>
        <w:t>)</w:t>
      </w:r>
      <w:r w:rsidR="00307441" w:rsidRPr="004A232C">
        <w:rPr>
          <w:rStyle w:val="FootnoteReference"/>
          <w:color w:val="000000" w:themeColor="text1"/>
        </w:rPr>
        <w:footnoteReference w:id="20"/>
      </w:r>
      <w:r w:rsidR="56625C2A" w:rsidRPr="004A232C">
        <w:rPr>
          <w:color w:val="000000" w:themeColor="text1"/>
        </w:rPr>
        <w:t xml:space="preserve">. </w:t>
      </w:r>
      <w:r w:rsidR="34AF3F18" w:rsidRPr="004A232C">
        <w:rPr>
          <w:color w:val="000000" w:themeColor="text1"/>
        </w:rPr>
        <w:t xml:space="preserve">The ESCs noted results of this </w:t>
      </w:r>
      <w:r w:rsidR="560F33BB" w:rsidRPr="004A232C">
        <w:rPr>
          <w:color w:val="000000" w:themeColor="text1"/>
        </w:rPr>
        <w:t xml:space="preserve">sensitivity analysis </w:t>
      </w:r>
      <w:r w:rsidR="2C05A7DA" w:rsidRPr="004A232C">
        <w:rPr>
          <w:color w:val="000000" w:themeColor="text1"/>
        </w:rPr>
        <w:t xml:space="preserve">showed that the ICER increased by </w:t>
      </w:r>
      <w:r w:rsidR="00F4744A" w:rsidRPr="004F224A">
        <w:rPr>
          <w:color w:val="000000" w:themeColor="text1"/>
          <w:w w:val="15"/>
          <w:shd w:val="solid" w:color="000000" w:fill="000000"/>
          <w:fitText w:val="-20" w:id="-694393591"/>
          <w14:textFill>
            <w14:solidFill>
              <w14:schemeClr w14:val="tx1">
                <w14:alpha w14:val="100000"/>
              </w14:schemeClr>
            </w14:solidFill>
          </w14:textFill>
        </w:rPr>
        <w:t>|</w:t>
      </w:r>
      <w:r w:rsidR="00B51309" w:rsidRPr="004F224A">
        <w:rPr>
          <w:color w:val="000000" w:themeColor="text1"/>
          <w:w w:val="15"/>
          <w:shd w:val="solid" w:color="000000" w:fill="000000"/>
          <w:fitText w:val="-20" w:id="-694393591"/>
          <w14:textFill>
            <w14:solidFill>
              <w14:schemeClr w14:val="tx1">
                <w14:alpha w14:val="100000"/>
              </w14:schemeClr>
            </w14:solidFill>
          </w14:textFill>
        </w:rPr>
        <w:t xml:space="preserve"> </w:t>
      </w:r>
      <w:r w:rsidR="00F4744A" w:rsidRPr="004F224A">
        <w:rPr>
          <w:color w:val="000000" w:themeColor="text1"/>
          <w:spacing w:val="-61"/>
          <w:w w:val="15"/>
          <w:shd w:val="solid" w:color="000000" w:fill="000000"/>
          <w:fitText w:val="-20" w:id="-694393591"/>
          <w14:textFill>
            <w14:solidFill>
              <w14:schemeClr w14:val="tx1">
                <w14:alpha w14:val="100000"/>
              </w14:schemeClr>
            </w14:solidFill>
          </w14:textFill>
        </w:rPr>
        <w:t>|</w:t>
      </w:r>
      <w:r w:rsidR="2C05A7DA" w:rsidRPr="004A232C">
        <w:rPr>
          <w:color w:val="000000" w:themeColor="text1"/>
        </w:rPr>
        <w:t>%</w:t>
      </w:r>
      <w:r w:rsidR="1D0C02B5" w:rsidRPr="004A232C">
        <w:rPr>
          <w:color w:val="000000" w:themeColor="text1"/>
        </w:rPr>
        <w:t xml:space="preserve">, to </w:t>
      </w:r>
      <w:r w:rsidR="008A2D65" w:rsidRPr="008A2D65">
        <w:rPr>
          <w:color w:val="000000" w:themeColor="text1"/>
        </w:rPr>
        <w:t>$75,000 to &lt; $95,000</w:t>
      </w:r>
      <w:r w:rsidR="002155D6">
        <w:rPr>
          <w:color w:val="000000" w:themeColor="text1"/>
        </w:rPr>
        <w:t xml:space="preserve"> </w:t>
      </w:r>
      <w:r w:rsidR="1D0C02B5" w:rsidRPr="004A232C">
        <w:rPr>
          <w:color w:val="000000" w:themeColor="text1"/>
        </w:rPr>
        <w:t>per QALY.</w:t>
      </w:r>
      <w:bookmarkEnd w:id="42"/>
      <w:r w:rsidR="007A6511">
        <w:rPr>
          <w:color w:val="000000" w:themeColor="text1"/>
        </w:rPr>
        <w:t xml:space="preserve"> </w:t>
      </w:r>
    </w:p>
    <w:p w14:paraId="62BBFE26" w14:textId="6D88536C" w:rsidR="009E18C3" w:rsidRPr="000A7BB0" w:rsidRDefault="009E18C3" w:rsidP="002553CE">
      <w:pPr>
        <w:pStyle w:val="TableFigureHeading"/>
        <w:rPr>
          <w:rStyle w:val="CommentReference"/>
          <w:b/>
        </w:rPr>
      </w:pPr>
      <w:r w:rsidRPr="000A7BB0">
        <w:t xml:space="preserve">Table </w:t>
      </w:r>
      <w:r>
        <w:fldChar w:fldCharType="begin"/>
      </w:r>
      <w:r>
        <w:instrText>SEQ Table_PBAC. \* ARABIC</w:instrText>
      </w:r>
      <w:r>
        <w:fldChar w:fldCharType="separate"/>
      </w:r>
      <w:r w:rsidR="004F224A">
        <w:rPr>
          <w:noProof/>
        </w:rPr>
        <w:t>11</w:t>
      </w:r>
      <w:r>
        <w:fldChar w:fldCharType="end"/>
      </w:r>
      <w:r w:rsidRPr="000A7BB0">
        <w:t>:</w:t>
      </w:r>
      <w:r w:rsidR="00EE3457">
        <w:t xml:space="preserve"> </w:t>
      </w:r>
      <w:r w:rsidRPr="000A7BB0">
        <w:rPr>
          <w:rStyle w:val="CommentReference"/>
          <w:b/>
        </w:rPr>
        <w:t>Sensitivity analyses</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1: Sensitivity analyses"/>
      </w:tblPr>
      <w:tblGrid>
        <w:gridCol w:w="4390"/>
        <w:gridCol w:w="1134"/>
        <w:gridCol w:w="1134"/>
        <w:gridCol w:w="1012"/>
        <w:gridCol w:w="1416"/>
      </w:tblGrid>
      <w:tr w:rsidR="00096FEB" w:rsidRPr="00895FD1" w14:paraId="55D704B5" w14:textId="77777777" w:rsidTr="00096FEB">
        <w:trPr>
          <w:cantSplit/>
          <w:trHeight w:val="20"/>
          <w:tblHeader/>
          <w:jc w:val="center"/>
        </w:trPr>
        <w:tc>
          <w:tcPr>
            <w:tcW w:w="2416" w:type="pct"/>
            <w:vAlign w:val="center"/>
          </w:tcPr>
          <w:p w14:paraId="6111E280" w14:textId="77777777" w:rsidR="009E18C3" w:rsidRPr="00895FD1" w:rsidRDefault="009E18C3" w:rsidP="002553CE">
            <w:pPr>
              <w:pStyle w:val="In-tableHeading"/>
              <w:rPr>
                <w:szCs w:val="20"/>
                <w:lang w:val="en-AU"/>
              </w:rPr>
            </w:pPr>
            <w:r w:rsidRPr="00895FD1">
              <w:rPr>
                <w:szCs w:val="20"/>
                <w:lang w:val="en-AU"/>
              </w:rPr>
              <w:t>Analyses</w:t>
            </w:r>
          </w:p>
        </w:tc>
        <w:tc>
          <w:tcPr>
            <w:tcW w:w="624" w:type="pct"/>
            <w:vAlign w:val="center"/>
          </w:tcPr>
          <w:p w14:paraId="062B3B85" w14:textId="4DF0FA2F" w:rsidR="009E18C3" w:rsidRPr="00895FD1" w:rsidRDefault="009E18C3" w:rsidP="002553CE">
            <w:pPr>
              <w:pStyle w:val="In-tableHeading"/>
              <w:jc w:val="center"/>
              <w:rPr>
                <w:szCs w:val="20"/>
                <w:lang w:val="en-AU"/>
              </w:rPr>
            </w:pPr>
            <w:r w:rsidRPr="00895FD1">
              <w:rPr>
                <w:szCs w:val="20"/>
                <w:lang w:val="en-AU"/>
              </w:rPr>
              <w:t>Incremental cost</w:t>
            </w:r>
            <w:r w:rsidR="008A2D65" w:rsidRPr="00895FD1">
              <w:rPr>
                <w:szCs w:val="20"/>
                <w:lang w:val="en-AU"/>
              </w:rPr>
              <w:t xml:space="preserve"> ($)</w:t>
            </w:r>
          </w:p>
        </w:tc>
        <w:tc>
          <w:tcPr>
            <w:tcW w:w="624" w:type="pct"/>
            <w:vAlign w:val="center"/>
          </w:tcPr>
          <w:p w14:paraId="439709D3" w14:textId="77777777" w:rsidR="009E18C3" w:rsidRPr="00895FD1" w:rsidRDefault="009E18C3" w:rsidP="002553CE">
            <w:pPr>
              <w:pStyle w:val="In-tableHeading"/>
              <w:jc w:val="center"/>
              <w:rPr>
                <w:szCs w:val="20"/>
                <w:lang w:val="en-AU"/>
              </w:rPr>
            </w:pPr>
            <w:r w:rsidRPr="00895FD1">
              <w:rPr>
                <w:szCs w:val="20"/>
                <w:lang w:val="en-AU"/>
              </w:rPr>
              <w:t>Incremental QALY</w:t>
            </w:r>
          </w:p>
        </w:tc>
        <w:tc>
          <w:tcPr>
            <w:tcW w:w="557" w:type="pct"/>
            <w:vAlign w:val="center"/>
          </w:tcPr>
          <w:p w14:paraId="1460B973" w14:textId="77777777" w:rsidR="009E18C3" w:rsidRPr="00895FD1" w:rsidRDefault="009E18C3" w:rsidP="002553CE">
            <w:pPr>
              <w:pStyle w:val="In-tableHeading"/>
              <w:jc w:val="center"/>
              <w:rPr>
                <w:szCs w:val="20"/>
                <w:lang w:val="en-AU"/>
              </w:rPr>
            </w:pPr>
            <w:r w:rsidRPr="00895FD1">
              <w:rPr>
                <w:szCs w:val="20"/>
                <w:lang w:val="en-AU"/>
              </w:rPr>
              <w:t>ICER</w:t>
            </w:r>
          </w:p>
        </w:tc>
        <w:tc>
          <w:tcPr>
            <w:tcW w:w="779" w:type="pct"/>
            <w:vAlign w:val="center"/>
          </w:tcPr>
          <w:p w14:paraId="5DB7236D" w14:textId="77777777" w:rsidR="009E18C3" w:rsidRPr="00895FD1" w:rsidRDefault="009E18C3" w:rsidP="002553CE">
            <w:pPr>
              <w:pStyle w:val="In-tableHeading"/>
              <w:jc w:val="center"/>
              <w:rPr>
                <w:szCs w:val="20"/>
                <w:lang w:val="en-AU"/>
              </w:rPr>
            </w:pPr>
            <w:r w:rsidRPr="00895FD1">
              <w:rPr>
                <w:szCs w:val="20"/>
                <w:lang w:val="en-AU"/>
              </w:rPr>
              <w:t>% change from base case</w:t>
            </w:r>
          </w:p>
        </w:tc>
      </w:tr>
      <w:tr w:rsidR="00096FEB" w:rsidRPr="00895FD1" w14:paraId="5DF9C795" w14:textId="77777777" w:rsidTr="00096FEB">
        <w:trPr>
          <w:cantSplit/>
          <w:trHeight w:val="20"/>
          <w:jc w:val="center"/>
        </w:trPr>
        <w:tc>
          <w:tcPr>
            <w:tcW w:w="2416" w:type="pct"/>
            <w:vAlign w:val="center"/>
          </w:tcPr>
          <w:p w14:paraId="34DC741D" w14:textId="2812E830" w:rsidR="009E18C3" w:rsidRPr="00895FD1" w:rsidRDefault="009E18C3" w:rsidP="002553CE">
            <w:pPr>
              <w:pStyle w:val="TableText"/>
              <w:widowControl/>
              <w:rPr>
                <w:b/>
                <w:szCs w:val="20"/>
              </w:rPr>
            </w:pPr>
            <w:r w:rsidRPr="00895FD1">
              <w:rPr>
                <w:b/>
                <w:szCs w:val="20"/>
              </w:rPr>
              <w:t>Base case</w:t>
            </w:r>
          </w:p>
        </w:tc>
        <w:tc>
          <w:tcPr>
            <w:tcW w:w="624" w:type="pct"/>
            <w:vAlign w:val="center"/>
          </w:tcPr>
          <w:p w14:paraId="085F46A5" w14:textId="50E30A59" w:rsidR="009E18C3" w:rsidRPr="00895FD1" w:rsidRDefault="00F4744A" w:rsidP="002553CE">
            <w:pPr>
              <w:pStyle w:val="TableText"/>
              <w:widowControl/>
              <w:jc w:val="center"/>
              <w:rPr>
                <w:b/>
                <w:szCs w:val="20"/>
                <w:highlight w:val="black"/>
              </w:rPr>
            </w:pPr>
            <w:r w:rsidRPr="00F4744A">
              <w:rPr>
                <w:rFonts w:cstheme="minorHAnsi" w:hint="eastAsia"/>
                <w:b/>
                <w:bCs/>
                <w:color w:val="000000"/>
                <w:w w:val="19"/>
                <w:szCs w:val="20"/>
                <w:shd w:val="solid" w:color="000000" w:fill="000000"/>
                <w:fitText w:val="88" w:id="-694393590"/>
                <w14:textFill>
                  <w14:solidFill>
                    <w14:srgbClr w14:val="000000">
                      <w14:alpha w14:val="100000"/>
                    </w14:srgbClr>
                  </w14:solidFill>
                </w14:textFill>
              </w:rPr>
              <w:t xml:space="preserve">　</w:t>
            </w:r>
            <w:r w:rsidRPr="00F4744A">
              <w:rPr>
                <w:rFonts w:cstheme="minorHAnsi"/>
                <w:b/>
                <w:bCs/>
                <w:color w:val="000000"/>
                <w:w w:val="19"/>
                <w:szCs w:val="20"/>
                <w:shd w:val="solid" w:color="000000" w:fill="000000"/>
                <w:fitText w:val="88" w:id="-694393590"/>
                <w14:textFill>
                  <w14:solidFill>
                    <w14:srgbClr w14:val="000000">
                      <w14:alpha w14:val="100000"/>
                    </w14:srgbClr>
                  </w14:solidFill>
                </w14:textFill>
              </w:rPr>
              <w:t>|</w:t>
            </w:r>
            <w:r w:rsidRPr="00F4744A">
              <w:rPr>
                <w:rFonts w:cstheme="minorHAnsi" w:hint="eastAsia"/>
                <w:b/>
                <w:bCs/>
                <w:color w:val="000000"/>
                <w:spacing w:val="4"/>
                <w:w w:val="19"/>
                <w:szCs w:val="20"/>
                <w:shd w:val="solid" w:color="000000" w:fill="000000"/>
                <w:fitText w:val="88" w:id="-694393590"/>
                <w14:textFill>
                  <w14:solidFill>
                    <w14:srgbClr w14:val="000000">
                      <w14:alpha w14:val="100000"/>
                    </w14:srgbClr>
                  </w14:solidFill>
                </w14:textFill>
              </w:rPr>
              <w:t xml:space="preserve">　</w:t>
            </w:r>
            <w:r w:rsidR="001F65BC" w:rsidRPr="001F65BC">
              <w:rPr>
                <w:rFonts w:cstheme="minorHAnsi"/>
                <w:b/>
                <w:bCs/>
                <w:szCs w:val="20"/>
              </w:rPr>
              <w:t xml:space="preserve"> </w:t>
            </w:r>
          </w:p>
        </w:tc>
        <w:tc>
          <w:tcPr>
            <w:tcW w:w="624" w:type="pct"/>
            <w:vAlign w:val="center"/>
          </w:tcPr>
          <w:p w14:paraId="4A25CDB4" w14:textId="77777777" w:rsidR="009E18C3" w:rsidRPr="00895FD1" w:rsidRDefault="009E18C3" w:rsidP="002553CE">
            <w:pPr>
              <w:pStyle w:val="TableText"/>
              <w:widowControl/>
              <w:jc w:val="center"/>
              <w:rPr>
                <w:b/>
                <w:szCs w:val="20"/>
              </w:rPr>
            </w:pPr>
            <w:r w:rsidRPr="00895FD1">
              <w:rPr>
                <w:rFonts w:cstheme="minorHAnsi"/>
                <w:b/>
                <w:bCs/>
                <w:szCs w:val="20"/>
              </w:rPr>
              <w:t>0.60</w:t>
            </w:r>
          </w:p>
        </w:tc>
        <w:tc>
          <w:tcPr>
            <w:tcW w:w="557" w:type="pct"/>
            <w:vAlign w:val="center"/>
          </w:tcPr>
          <w:p w14:paraId="27516136" w14:textId="3BF562EB" w:rsidR="009E18C3" w:rsidRPr="00895FD1" w:rsidRDefault="00F4744A" w:rsidP="002553CE">
            <w:pPr>
              <w:pStyle w:val="TableText"/>
              <w:widowControl/>
              <w:jc w:val="center"/>
              <w:rPr>
                <w:b/>
                <w:szCs w:val="20"/>
                <w:highlight w:val="black"/>
              </w:rPr>
            </w:pPr>
            <w:r w:rsidRPr="00484AD0">
              <w:rPr>
                <w:rFonts w:cstheme="minorHAnsi"/>
                <w:b/>
                <w:bCs/>
                <w:color w:val="000000"/>
                <w:spacing w:val="71"/>
                <w:szCs w:val="20"/>
                <w:shd w:val="solid" w:color="000000" w:fill="000000"/>
                <w:fitText w:val="163" w:id="-694393589"/>
                <w14:textFill>
                  <w14:solidFill>
                    <w14:srgbClr w14:val="000000">
                      <w14:alpha w14:val="100000"/>
                    </w14:srgbClr>
                  </w14:solidFill>
                </w14:textFill>
              </w:rPr>
              <w:t>|</w:t>
            </w:r>
            <w:r w:rsidRPr="00484AD0">
              <w:rPr>
                <w:rFonts w:cstheme="minorHAnsi"/>
                <w:b/>
                <w:bCs/>
                <w:color w:val="000000"/>
                <w:spacing w:val="1"/>
                <w:szCs w:val="20"/>
                <w:shd w:val="solid" w:color="000000" w:fill="000000"/>
                <w:fitText w:val="163" w:id="-694393589"/>
                <w14:textFill>
                  <w14:solidFill>
                    <w14:srgbClr w14:val="000000">
                      <w14:alpha w14:val="100000"/>
                    </w14:srgbClr>
                  </w14:solidFill>
                </w14:textFill>
              </w:rPr>
              <w:t>|</w:t>
            </w:r>
            <w:r w:rsidR="00E4738C" w:rsidRPr="00895FD1">
              <w:rPr>
                <w:rFonts w:cstheme="minorHAnsi"/>
                <w:b/>
                <w:bCs/>
                <w:szCs w:val="20"/>
                <w:vertAlign w:val="superscript"/>
              </w:rPr>
              <w:t>1</w:t>
            </w:r>
          </w:p>
        </w:tc>
        <w:tc>
          <w:tcPr>
            <w:tcW w:w="779" w:type="pct"/>
            <w:vAlign w:val="center"/>
          </w:tcPr>
          <w:p w14:paraId="780B20E4" w14:textId="77777777" w:rsidR="009E18C3" w:rsidRPr="00895FD1" w:rsidRDefault="009E18C3" w:rsidP="002553CE">
            <w:pPr>
              <w:pStyle w:val="TableText"/>
              <w:widowControl/>
              <w:jc w:val="center"/>
              <w:rPr>
                <w:rFonts w:eastAsia="Calibri"/>
                <w:b/>
                <w:szCs w:val="20"/>
              </w:rPr>
            </w:pPr>
            <w:r w:rsidRPr="00895FD1">
              <w:rPr>
                <w:rFonts w:eastAsia="Calibri"/>
                <w:b/>
                <w:szCs w:val="20"/>
              </w:rPr>
              <w:t>-</w:t>
            </w:r>
          </w:p>
        </w:tc>
      </w:tr>
      <w:tr w:rsidR="008550D3" w:rsidRPr="00895FD1" w14:paraId="43BFE89B" w14:textId="77777777" w:rsidTr="001504A5">
        <w:trPr>
          <w:cantSplit/>
          <w:trHeight w:val="20"/>
          <w:jc w:val="center"/>
        </w:trPr>
        <w:tc>
          <w:tcPr>
            <w:tcW w:w="5000" w:type="pct"/>
            <w:gridSpan w:val="5"/>
            <w:vAlign w:val="center"/>
          </w:tcPr>
          <w:p w14:paraId="34E1567E" w14:textId="075F51CE" w:rsidR="008550D3" w:rsidRPr="00895FD1" w:rsidRDefault="008550D3" w:rsidP="002553CE">
            <w:pPr>
              <w:pStyle w:val="TableText"/>
              <w:widowControl/>
              <w:rPr>
                <w:rFonts w:eastAsia="Calibri"/>
                <w:b/>
                <w:szCs w:val="20"/>
              </w:rPr>
            </w:pPr>
            <w:r w:rsidRPr="00895FD1">
              <w:rPr>
                <w:b/>
                <w:szCs w:val="20"/>
              </w:rPr>
              <w:t>Discount rate (base case 5% cost and outcomes)</w:t>
            </w:r>
          </w:p>
        </w:tc>
      </w:tr>
      <w:tr w:rsidR="00096FEB" w:rsidRPr="00895FD1" w14:paraId="66A57C01" w14:textId="77777777" w:rsidTr="00096FEB">
        <w:trPr>
          <w:cantSplit/>
          <w:trHeight w:val="20"/>
          <w:jc w:val="center"/>
        </w:trPr>
        <w:tc>
          <w:tcPr>
            <w:tcW w:w="2416" w:type="pct"/>
            <w:vAlign w:val="center"/>
          </w:tcPr>
          <w:p w14:paraId="78AD2679" w14:textId="7BA9BD68" w:rsidR="008550D3" w:rsidRPr="00895FD1" w:rsidRDefault="008550D3" w:rsidP="002553CE">
            <w:pPr>
              <w:pStyle w:val="TableText"/>
              <w:widowControl/>
              <w:rPr>
                <w:b/>
                <w:szCs w:val="20"/>
              </w:rPr>
            </w:pPr>
            <w:r w:rsidRPr="00895FD1">
              <w:rPr>
                <w:szCs w:val="20"/>
              </w:rPr>
              <w:t>0% costs and outcomes</w:t>
            </w:r>
          </w:p>
        </w:tc>
        <w:tc>
          <w:tcPr>
            <w:tcW w:w="624" w:type="pct"/>
            <w:vAlign w:val="center"/>
          </w:tcPr>
          <w:p w14:paraId="25A9DDF4" w14:textId="34278C6F" w:rsidR="008550D3" w:rsidRPr="00895FD1" w:rsidRDefault="00F4744A" w:rsidP="002553CE">
            <w:pPr>
              <w:pStyle w:val="TableText"/>
              <w:widowControl/>
              <w:jc w:val="center"/>
              <w:rPr>
                <w:rFonts w:cstheme="minorHAnsi"/>
                <w:b/>
                <w:bCs/>
                <w:szCs w:val="20"/>
                <w:highlight w:val="darkGray"/>
              </w:rPr>
            </w:pPr>
            <w:r w:rsidRPr="00F4744A">
              <w:rPr>
                <w:rFonts w:cstheme="minorHAnsi" w:hint="eastAsia"/>
                <w:color w:val="000000"/>
                <w:w w:val="15"/>
                <w:szCs w:val="20"/>
                <w:shd w:val="solid" w:color="000000" w:fill="000000"/>
                <w:fitText w:val="37" w:id="-694393588"/>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8"/>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8"/>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00B4A5FF" w14:textId="1C7312E3" w:rsidR="008550D3" w:rsidRPr="00895FD1" w:rsidRDefault="008550D3" w:rsidP="002553CE">
            <w:pPr>
              <w:pStyle w:val="TableText"/>
              <w:widowControl/>
              <w:jc w:val="center"/>
              <w:rPr>
                <w:rFonts w:cstheme="minorHAnsi"/>
                <w:b/>
                <w:bCs/>
                <w:szCs w:val="20"/>
              </w:rPr>
            </w:pPr>
            <w:r w:rsidRPr="00895FD1">
              <w:rPr>
                <w:rFonts w:cstheme="minorHAnsi"/>
                <w:szCs w:val="20"/>
              </w:rPr>
              <w:t>0.72</w:t>
            </w:r>
          </w:p>
        </w:tc>
        <w:tc>
          <w:tcPr>
            <w:tcW w:w="557" w:type="pct"/>
            <w:vAlign w:val="center"/>
          </w:tcPr>
          <w:p w14:paraId="2D50DEA3" w14:textId="46B2E3AB" w:rsidR="008550D3" w:rsidRPr="00895FD1" w:rsidRDefault="00F4744A" w:rsidP="002553CE">
            <w:pPr>
              <w:pStyle w:val="TableText"/>
              <w:widowControl/>
              <w:jc w:val="center"/>
              <w:rPr>
                <w:rFonts w:cstheme="minorHAnsi"/>
                <w:b/>
                <w:bCs/>
                <w:szCs w:val="20"/>
                <w:highlight w:val="darkGray"/>
              </w:rPr>
            </w:pPr>
            <w:r w:rsidRPr="00F4744A">
              <w:rPr>
                <w:rFonts w:cstheme="minorHAnsi" w:hint="eastAsia"/>
                <w:color w:val="000000"/>
                <w:w w:val="28"/>
                <w:szCs w:val="20"/>
                <w:shd w:val="solid" w:color="000000" w:fill="000000"/>
                <w:fitText w:val="125" w:id="-694393587"/>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7"/>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7"/>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1279D322" w14:textId="29266499" w:rsidR="008550D3" w:rsidRPr="00895FD1" w:rsidRDefault="008550D3" w:rsidP="002553CE">
            <w:pPr>
              <w:pStyle w:val="TableText"/>
              <w:widowControl/>
              <w:jc w:val="center"/>
              <w:rPr>
                <w:rFonts w:eastAsia="Calibri"/>
                <w:b/>
                <w:szCs w:val="20"/>
              </w:rPr>
            </w:pPr>
            <w:r w:rsidRPr="00895FD1">
              <w:rPr>
                <w:rFonts w:cstheme="minorHAnsi"/>
                <w:szCs w:val="20"/>
              </w:rPr>
              <w:t>-</w:t>
            </w:r>
            <w:r w:rsidR="00F4744A" w:rsidRPr="00F4744A">
              <w:rPr>
                <w:rFonts w:cstheme="minorHAnsi"/>
                <w:color w:val="000000"/>
                <w:szCs w:val="20"/>
                <w:shd w:val="solid" w:color="000000" w:fill="000000"/>
                <w14:textFill>
                  <w14:solidFill>
                    <w14:srgbClr w14:val="000000">
                      <w14:alpha w14:val="100000"/>
                    </w14:srgbClr>
                  </w14:solidFill>
                </w14:textFill>
              </w:rPr>
              <w:t>|</w:t>
            </w:r>
            <w:r w:rsidRPr="00895FD1">
              <w:rPr>
                <w:rFonts w:cstheme="minorHAnsi"/>
                <w:szCs w:val="20"/>
              </w:rPr>
              <w:t>%</w:t>
            </w:r>
          </w:p>
        </w:tc>
      </w:tr>
      <w:tr w:rsidR="00096FEB" w:rsidRPr="00895FD1" w14:paraId="490B0A6E" w14:textId="77777777" w:rsidTr="00096FEB">
        <w:trPr>
          <w:cantSplit/>
          <w:trHeight w:val="20"/>
          <w:jc w:val="center"/>
        </w:trPr>
        <w:tc>
          <w:tcPr>
            <w:tcW w:w="2416" w:type="pct"/>
            <w:vAlign w:val="center"/>
          </w:tcPr>
          <w:p w14:paraId="39E46ABA" w14:textId="7C7929E7" w:rsidR="008550D3" w:rsidRPr="00895FD1" w:rsidRDefault="008550D3" w:rsidP="002553CE">
            <w:pPr>
              <w:pStyle w:val="TableText"/>
              <w:widowControl/>
              <w:rPr>
                <w:b/>
                <w:szCs w:val="20"/>
              </w:rPr>
            </w:pPr>
            <w:r w:rsidRPr="00895FD1">
              <w:rPr>
                <w:szCs w:val="20"/>
              </w:rPr>
              <w:t>3.5% costs and outcomes</w:t>
            </w:r>
          </w:p>
        </w:tc>
        <w:tc>
          <w:tcPr>
            <w:tcW w:w="624" w:type="pct"/>
            <w:vAlign w:val="center"/>
          </w:tcPr>
          <w:p w14:paraId="0ADF3CD6" w14:textId="0F27DECD" w:rsidR="008550D3" w:rsidRPr="00895FD1" w:rsidRDefault="00F4744A" w:rsidP="002553CE">
            <w:pPr>
              <w:pStyle w:val="TableText"/>
              <w:widowControl/>
              <w:jc w:val="center"/>
              <w:rPr>
                <w:rFonts w:cstheme="minorHAnsi"/>
                <w:b/>
                <w:bCs/>
                <w:szCs w:val="20"/>
                <w:highlight w:val="darkGray"/>
              </w:rPr>
            </w:pPr>
            <w:r w:rsidRPr="00F4744A">
              <w:rPr>
                <w:rFonts w:cstheme="minorHAnsi" w:hint="eastAsia"/>
                <w:color w:val="000000"/>
                <w:w w:val="15"/>
                <w:szCs w:val="20"/>
                <w:shd w:val="solid" w:color="000000" w:fill="000000"/>
                <w:fitText w:val="37" w:id="-694393586"/>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6"/>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6"/>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312D9A5C" w14:textId="51D092AA" w:rsidR="008550D3" w:rsidRPr="00895FD1" w:rsidRDefault="008550D3" w:rsidP="002553CE">
            <w:pPr>
              <w:pStyle w:val="TableText"/>
              <w:widowControl/>
              <w:jc w:val="center"/>
              <w:rPr>
                <w:rFonts w:cstheme="minorHAnsi"/>
                <w:b/>
                <w:bCs/>
                <w:szCs w:val="20"/>
              </w:rPr>
            </w:pPr>
            <w:r w:rsidRPr="00895FD1">
              <w:rPr>
                <w:rFonts w:cstheme="minorHAnsi"/>
                <w:szCs w:val="20"/>
              </w:rPr>
              <w:t>0.64</w:t>
            </w:r>
          </w:p>
        </w:tc>
        <w:tc>
          <w:tcPr>
            <w:tcW w:w="557" w:type="pct"/>
            <w:vAlign w:val="center"/>
          </w:tcPr>
          <w:p w14:paraId="3D87933D" w14:textId="40210F92" w:rsidR="008550D3" w:rsidRPr="00895FD1" w:rsidRDefault="00F4744A" w:rsidP="002553CE">
            <w:pPr>
              <w:pStyle w:val="TableText"/>
              <w:widowControl/>
              <w:jc w:val="center"/>
              <w:rPr>
                <w:rFonts w:cstheme="minorHAnsi"/>
                <w:b/>
                <w:bCs/>
                <w:szCs w:val="20"/>
                <w:highlight w:val="darkGray"/>
              </w:rPr>
            </w:pPr>
            <w:r w:rsidRPr="00F4744A">
              <w:rPr>
                <w:rFonts w:cstheme="minorHAnsi" w:hint="eastAsia"/>
                <w:color w:val="000000"/>
                <w:w w:val="28"/>
                <w:szCs w:val="20"/>
                <w:shd w:val="solid" w:color="000000" w:fill="000000"/>
                <w:fitText w:val="125" w:id="-694393585"/>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5"/>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5"/>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15286082" w14:textId="6E23C1CA" w:rsidR="008550D3" w:rsidRPr="00895FD1" w:rsidRDefault="008550D3" w:rsidP="002553CE">
            <w:pPr>
              <w:pStyle w:val="TableText"/>
              <w:widowControl/>
              <w:jc w:val="center"/>
              <w:rPr>
                <w:rFonts w:eastAsia="Calibri"/>
                <w:b/>
                <w:szCs w:val="20"/>
              </w:rPr>
            </w:pPr>
            <w:r w:rsidRPr="00895FD1">
              <w:rPr>
                <w:rFonts w:cstheme="minorHAnsi"/>
                <w:szCs w:val="20"/>
              </w:rPr>
              <w:t>-</w:t>
            </w:r>
            <w:r w:rsidR="00F4744A" w:rsidRPr="00F4744A">
              <w:rPr>
                <w:rFonts w:cstheme="minorHAnsi"/>
                <w:color w:val="000000"/>
                <w:szCs w:val="20"/>
                <w:shd w:val="solid" w:color="000000" w:fill="000000"/>
                <w14:textFill>
                  <w14:solidFill>
                    <w14:srgbClr w14:val="000000">
                      <w14:alpha w14:val="100000"/>
                    </w14:srgbClr>
                  </w14:solidFill>
                </w14:textFill>
              </w:rPr>
              <w:t>|</w:t>
            </w:r>
            <w:r w:rsidRPr="00895FD1">
              <w:rPr>
                <w:rFonts w:cstheme="minorHAnsi"/>
                <w:szCs w:val="20"/>
              </w:rPr>
              <w:t>%</w:t>
            </w:r>
          </w:p>
        </w:tc>
      </w:tr>
      <w:tr w:rsidR="009E18C3" w:rsidRPr="00895FD1" w14:paraId="60D47351" w14:textId="77777777" w:rsidTr="001504A5">
        <w:trPr>
          <w:cantSplit/>
          <w:trHeight w:val="20"/>
          <w:jc w:val="center"/>
        </w:trPr>
        <w:tc>
          <w:tcPr>
            <w:tcW w:w="4221" w:type="pct"/>
            <w:gridSpan w:val="4"/>
            <w:vAlign w:val="center"/>
          </w:tcPr>
          <w:p w14:paraId="526A899A" w14:textId="77777777" w:rsidR="009E18C3" w:rsidRPr="00895FD1" w:rsidRDefault="009E18C3" w:rsidP="002553CE">
            <w:pPr>
              <w:pStyle w:val="TableText"/>
              <w:widowControl/>
              <w:rPr>
                <w:b/>
                <w:bCs/>
                <w:szCs w:val="20"/>
              </w:rPr>
            </w:pPr>
            <w:r w:rsidRPr="00895FD1">
              <w:rPr>
                <w:b/>
                <w:bCs/>
                <w:szCs w:val="20"/>
              </w:rPr>
              <w:t>Time horizon (base case 10 years)</w:t>
            </w:r>
          </w:p>
        </w:tc>
        <w:tc>
          <w:tcPr>
            <w:tcW w:w="779" w:type="pct"/>
          </w:tcPr>
          <w:p w14:paraId="5C2DB70E" w14:textId="77777777" w:rsidR="009E18C3" w:rsidRPr="00895FD1" w:rsidRDefault="009E18C3" w:rsidP="002553CE">
            <w:pPr>
              <w:pStyle w:val="TableText"/>
              <w:widowControl/>
              <w:rPr>
                <w:szCs w:val="20"/>
              </w:rPr>
            </w:pPr>
          </w:p>
        </w:tc>
      </w:tr>
      <w:tr w:rsidR="00096FEB" w:rsidRPr="00895FD1" w14:paraId="4FD95FA9" w14:textId="77777777" w:rsidTr="00096FEB">
        <w:trPr>
          <w:cantSplit/>
          <w:trHeight w:val="20"/>
          <w:jc w:val="center"/>
        </w:trPr>
        <w:tc>
          <w:tcPr>
            <w:tcW w:w="2416" w:type="pct"/>
            <w:vAlign w:val="center"/>
          </w:tcPr>
          <w:p w14:paraId="5158E575" w14:textId="77777777" w:rsidR="009E18C3" w:rsidRPr="00895FD1" w:rsidRDefault="009E18C3" w:rsidP="002553CE">
            <w:pPr>
              <w:pStyle w:val="TableText"/>
              <w:widowControl/>
              <w:rPr>
                <w:szCs w:val="20"/>
              </w:rPr>
            </w:pPr>
            <w:r w:rsidRPr="00895FD1">
              <w:rPr>
                <w:szCs w:val="20"/>
              </w:rPr>
              <w:t>5 years</w:t>
            </w:r>
          </w:p>
        </w:tc>
        <w:tc>
          <w:tcPr>
            <w:tcW w:w="624" w:type="pct"/>
            <w:vAlign w:val="center"/>
          </w:tcPr>
          <w:p w14:paraId="5A679D15" w14:textId="253CFD12" w:rsidR="009E18C3" w:rsidRPr="00895FD1" w:rsidRDefault="00F4744A" w:rsidP="002553CE">
            <w:pPr>
              <w:pStyle w:val="TableText"/>
              <w:widowControl/>
              <w:jc w:val="center"/>
              <w:rPr>
                <w:szCs w:val="20"/>
                <w:highlight w:val="darkGray"/>
              </w:rPr>
            </w:pPr>
            <w:r w:rsidRPr="00F4744A">
              <w:rPr>
                <w:rFonts w:cstheme="minorHAnsi" w:hint="eastAsia"/>
                <w:color w:val="000000"/>
                <w:w w:val="15"/>
                <w:szCs w:val="20"/>
                <w:shd w:val="solid" w:color="000000" w:fill="000000"/>
                <w:fitText w:val="37" w:id="-694393584"/>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4"/>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4"/>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540217D4" w14:textId="77777777" w:rsidR="009E18C3" w:rsidRPr="00895FD1" w:rsidRDefault="009E18C3" w:rsidP="002553CE">
            <w:pPr>
              <w:pStyle w:val="TableText"/>
              <w:widowControl/>
              <w:jc w:val="center"/>
              <w:rPr>
                <w:szCs w:val="20"/>
              </w:rPr>
            </w:pPr>
            <w:r w:rsidRPr="00895FD1">
              <w:rPr>
                <w:rFonts w:cstheme="minorHAnsi"/>
                <w:szCs w:val="20"/>
              </w:rPr>
              <w:t>0.41</w:t>
            </w:r>
          </w:p>
        </w:tc>
        <w:tc>
          <w:tcPr>
            <w:tcW w:w="557" w:type="pct"/>
            <w:vAlign w:val="center"/>
          </w:tcPr>
          <w:p w14:paraId="6F58FAC0" w14:textId="286354BF" w:rsidR="009E18C3" w:rsidRPr="00895FD1" w:rsidRDefault="00F4744A" w:rsidP="002553CE">
            <w:pPr>
              <w:pStyle w:val="TableText"/>
              <w:widowControl/>
              <w:jc w:val="center"/>
              <w:rPr>
                <w:szCs w:val="20"/>
                <w:highlight w:val="darkGray"/>
              </w:rPr>
            </w:pPr>
            <w:r w:rsidRPr="00F4744A">
              <w:rPr>
                <w:rFonts w:cstheme="minorHAnsi" w:hint="eastAsia"/>
                <w:color w:val="000000"/>
                <w:w w:val="28"/>
                <w:szCs w:val="20"/>
                <w:shd w:val="solid" w:color="000000" w:fill="000000"/>
                <w:fitText w:val="125" w:id="-694393600"/>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600"/>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600"/>
                <w14:textFill>
                  <w14:solidFill>
                    <w14:srgbClr w14:val="000000">
                      <w14:alpha w14:val="100000"/>
                    </w14:srgbClr>
                  </w14:solidFill>
                </w14:textFill>
              </w:rPr>
              <w:t xml:space="preserve">　</w:t>
            </w:r>
            <w:r w:rsidR="0075412B" w:rsidRPr="00895FD1">
              <w:rPr>
                <w:rFonts w:cstheme="minorHAnsi"/>
                <w:szCs w:val="20"/>
                <w:vertAlign w:val="superscript"/>
              </w:rPr>
              <w:t>2</w:t>
            </w:r>
          </w:p>
        </w:tc>
        <w:tc>
          <w:tcPr>
            <w:tcW w:w="779" w:type="pct"/>
            <w:vAlign w:val="center"/>
          </w:tcPr>
          <w:p w14:paraId="439896AE" w14:textId="18A4BB03" w:rsidR="009E18C3" w:rsidRPr="00895FD1" w:rsidRDefault="009E18C3"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9"/>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9"/>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9"/>
                <w14:textFill>
                  <w14:solidFill>
                    <w14:srgbClr w14:val="000000">
                      <w14:alpha w14:val="100000"/>
                    </w14:srgbClr>
                  </w14:solidFill>
                </w14:textFill>
              </w:rPr>
              <w:t xml:space="preserve">　</w:t>
            </w:r>
            <w:r w:rsidRPr="00895FD1">
              <w:rPr>
                <w:rFonts w:cstheme="minorHAnsi"/>
                <w:szCs w:val="20"/>
              </w:rPr>
              <w:t>%</w:t>
            </w:r>
          </w:p>
        </w:tc>
      </w:tr>
      <w:tr w:rsidR="00096FEB" w:rsidRPr="00895FD1" w14:paraId="0477F531" w14:textId="77777777" w:rsidTr="00096FEB">
        <w:trPr>
          <w:cantSplit/>
          <w:trHeight w:val="20"/>
          <w:jc w:val="center"/>
        </w:trPr>
        <w:tc>
          <w:tcPr>
            <w:tcW w:w="2416" w:type="pct"/>
            <w:vAlign w:val="center"/>
          </w:tcPr>
          <w:p w14:paraId="6137B70D" w14:textId="77777777" w:rsidR="009E18C3" w:rsidRPr="00895FD1" w:rsidRDefault="009E18C3" w:rsidP="002553CE">
            <w:pPr>
              <w:pStyle w:val="TableText"/>
              <w:widowControl/>
              <w:rPr>
                <w:szCs w:val="20"/>
              </w:rPr>
            </w:pPr>
            <w:r w:rsidRPr="00895FD1">
              <w:rPr>
                <w:szCs w:val="20"/>
              </w:rPr>
              <w:t>7 years</w:t>
            </w:r>
          </w:p>
        </w:tc>
        <w:tc>
          <w:tcPr>
            <w:tcW w:w="624" w:type="pct"/>
            <w:vAlign w:val="center"/>
          </w:tcPr>
          <w:p w14:paraId="317653B4" w14:textId="37AEDE5A" w:rsidR="009E18C3" w:rsidRPr="00895FD1" w:rsidRDefault="00F4744A" w:rsidP="002553CE">
            <w:pPr>
              <w:pStyle w:val="TableText"/>
              <w:widowControl/>
              <w:jc w:val="center"/>
              <w:rPr>
                <w:szCs w:val="20"/>
                <w:highlight w:val="darkGray"/>
              </w:rPr>
            </w:pPr>
            <w:r w:rsidRPr="00F4744A">
              <w:rPr>
                <w:rFonts w:cstheme="minorHAnsi" w:hint="eastAsia"/>
                <w:color w:val="000000"/>
                <w:w w:val="15"/>
                <w:szCs w:val="20"/>
                <w:shd w:val="solid" w:color="000000" w:fill="000000"/>
                <w:fitText w:val="37" w:id="-694393598"/>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8"/>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8"/>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2375DC09" w14:textId="77777777" w:rsidR="009E18C3" w:rsidRPr="00895FD1" w:rsidRDefault="009E18C3" w:rsidP="002553CE">
            <w:pPr>
              <w:pStyle w:val="TableText"/>
              <w:widowControl/>
              <w:jc w:val="center"/>
              <w:rPr>
                <w:szCs w:val="20"/>
              </w:rPr>
            </w:pPr>
            <w:r w:rsidRPr="00895FD1">
              <w:rPr>
                <w:rFonts w:cstheme="minorHAnsi"/>
                <w:szCs w:val="20"/>
              </w:rPr>
              <w:t>0.52</w:t>
            </w:r>
          </w:p>
        </w:tc>
        <w:tc>
          <w:tcPr>
            <w:tcW w:w="557" w:type="pct"/>
            <w:vAlign w:val="center"/>
          </w:tcPr>
          <w:p w14:paraId="7B870F38" w14:textId="14BB51CC" w:rsidR="009E18C3" w:rsidRPr="00895FD1" w:rsidRDefault="00F4744A" w:rsidP="002553CE">
            <w:pPr>
              <w:pStyle w:val="TableText"/>
              <w:widowControl/>
              <w:jc w:val="center"/>
              <w:rPr>
                <w:szCs w:val="20"/>
                <w:highlight w:val="darkGray"/>
              </w:rPr>
            </w:pPr>
            <w:r w:rsidRPr="00F4744A">
              <w:rPr>
                <w:rFonts w:cstheme="minorHAnsi" w:hint="eastAsia"/>
                <w:color w:val="000000"/>
                <w:w w:val="28"/>
                <w:szCs w:val="20"/>
                <w:shd w:val="solid" w:color="000000" w:fill="000000"/>
                <w:fitText w:val="125" w:id="-694393597"/>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7"/>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7"/>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075FE244" w14:textId="4C942167" w:rsidR="009E18C3" w:rsidRPr="00895FD1" w:rsidRDefault="009E18C3"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6"/>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6"/>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6"/>
                <w14:textFill>
                  <w14:solidFill>
                    <w14:srgbClr w14:val="000000">
                      <w14:alpha w14:val="100000"/>
                    </w14:srgbClr>
                  </w14:solidFill>
                </w14:textFill>
              </w:rPr>
              <w:t xml:space="preserve">　</w:t>
            </w:r>
            <w:r w:rsidRPr="00895FD1">
              <w:rPr>
                <w:rFonts w:cstheme="minorHAnsi"/>
                <w:szCs w:val="20"/>
              </w:rPr>
              <w:t>%</w:t>
            </w:r>
          </w:p>
        </w:tc>
      </w:tr>
      <w:tr w:rsidR="00564289" w:rsidRPr="00895FD1" w14:paraId="7E46CC44" w14:textId="77777777" w:rsidTr="001504A5">
        <w:trPr>
          <w:cantSplit/>
          <w:trHeight w:val="20"/>
          <w:jc w:val="center"/>
        </w:trPr>
        <w:tc>
          <w:tcPr>
            <w:tcW w:w="5000" w:type="pct"/>
            <w:gridSpan w:val="5"/>
            <w:vAlign w:val="center"/>
          </w:tcPr>
          <w:p w14:paraId="60BE4415" w14:textId="5165728A" w:rsidR="00564289" w:rsidRPr="00895FD1" w:rsidRDefault="00564289" w:rsidP="002553CE">
            <w:pPr>
              <w:pStyle w:val="TableText"/>
              <w:widowControl/>
              <w:rPr>
                <w:rFonts w:cstheme="minorHAnsi"/>
                <w:b/>
                <w:bCs/>
                <w:i/>
                <w:iCs/>
                <w:szCs w:val="20"/>
              </w:rPr>
            </w:pPr>
            <w:r w:rsidRPr="00895FD1">
              <w:rPr>
                <w:b/>
                <w:bCs/>
                <w:szCs w:val="20"/>
              </w:rPr>
              <w:t>Truncation point for model outcomes (base case =</w:t>
            </w:r>
            <w:r w:rsidR="00840798" w:rsidRPr="00895FD1">
              <w:rPr>
                <w:b/>
                <w:bCs/>
                <w:szCs w:val="20"/>
              </w:rPr>
              <w:t>17.95</w:t>
            </w:r>
            <w:r w:rsidRPr="00895FD1">
              <w:rPr>
                <w:b/>
                <w:bCs/>
                <w:szCs w:val="20"/>
              </w:rPr>
              <w:t xml:space="preserve"> months</w:t>
            </w:r>
            <w:r w:rsidR="00840798" w:rsidRPr="00895FD1">
              <w:rPr>
                <w:b/>
                <w:bCs/>
                <w:szCs w:val="20"/>
              </w:rPr>
              <w:t xml:space="preserve"> </w:t>
            </w:r>
            <w:r w:rsidRPr="00895FD1">
              <w:rPr>
                <w:b/>
                <w:bCs/>
                <w:szCs w:val="20"/>
              </w:rPr>
              <w:t>for PFS, OS, TCD and TTD)</w:t>
            </w:r>
          </w:p>
        </w:tc>
      </w:tr>
      <w:tr w:rsidR="00CF52BF" w:rsidRPr="00895FD1" w14:paraId="70BB7C7F" w14:textId="77777777" w:rsidTr="001504A5">
        <w:trPr>
          <w:cantSplit/>
          <w:trHeight w:val="20"/>
          <w:jc w:val="center"/>
        </w:trPr>
        <w:tc>
          <w:tcPr>
            <w:tcW w:w="5000" w:type="pct"/>
            <w:gridSpan w:val="5"/>
            <w:vAlign w:val="center"/>
          </w:tcPr>
          <w:p w14:paraId="6DC319A3" w14:textId="0C5D8448" w:rsidR="00CF52BF" w:rsidRPr="00895FD1" w:rsidRDefault="061765EA" w:rsidP="002553CE">
            <w:pPr>
              <w:pStyle w:val="TableText"/>
              <w:widowControl/>
              <w:rPr>
                <w:i/>
                <w:iCs/>
                <w:szCs w:val="20"/>
              </w:rPr>
            </w:pPr>
            <w:r w:rsidRPr="00895FD1">
              <w:rPr>
                <w:szCs w:val="20"/>
              </w:rPr>
              <w:t>Truncation points derived using methods from Gebski 2018</w:t>
            </w:r>
          </w:p>
        </w:tc>
      </w:tr>
      <w:tr w:rsidR="00096FEB" w:rsidRPr="00895FD1" w14:paraId="7AED9656" w14:textId="77777777" w:rsidTr="00096FEB">
        <w:trPr>
          <w:cantSplit/>
          <w:trHeight w:val="20"/>
          <w:jc w:val="center"/>
        </w:trPr>
        <w:tc>
          <w:tcPr>
            <w:tcW w:w="2416" w:type="pct"/>
            <w:vAlign w:val="center"/>
          </w:tcPr>
          <w:p w14:paraId="10C37723" w14:textId="28C46D23" w:rsidR="00564289" w:rsidRPr="00895FD1" w:rsidRDefault="420C7851" w:rsidP="002553CE">
            <w:pPr>
              <w:pStyle w:val="TableText"/>
              <w:widowControl/>
              <w:rPr>
                <w:szCs w:val="20"/>
              </w:rPr>
            </w:pPr>
            <w:r w:rsidRPr="00895FD1">
              <w:rPr>
                <w:szCs w:val="20"/>
              </w:rPr>
              <w:t xml:space="preserve">PFS </w:t>
            </w:r>
            <w:r w:rsidR="6EDC66A1" w:rsidRPr="00895FD1">
              <w:rPr>
                <w:szCs w:val="20"/>
              </w:rPr>
              <w:t>(elacestrant = 25.79 months, SOC = 11.17 months)</w:t>
            </w:r>
          </w:p>
        </w:tc>
        <w:tc>
          <w:tcPr>
            <w:tcW w:w="624" w:type="pct"/>
            <w:vAlign w:val="center"/>
          </w:tcPr>
          <w:p w14:paraId="35BE221B" w14:textId="3CFD43BD"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5"/>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5"/>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5"/>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5A2F2C9D" w14:textId="6F0AE2CD" w:rsidR="00564289" w:rsidRPr="00895FD1" w:rsidRDefault="00840798" w:rsidP="002553CE">
            <w:pPr>
              <w:pStyle w:val="TableText"/>
              <w:widowControl/>
              <w:jc w:val="center"/>
              <w:rPr>
                <w:rFonts w:cstheme="minorHAnsi"/>
                <w:szCs w:val="20"/>
              </w:rPr>
            </w:pPr>
            <w:r w:rsidRPr="00895FD1">
              <w:rPr>
                <w:rFonts w:cstheme="minorHAnsi"/>
                <w:szCs w:val="20"/>
              </w:rPr>
              <w:t>0.61</w:t>
            </w:r>
          </w:p>
        </w:tc>
        <w:tc>
          <w:tcPr>
            <w:tcW w:w="557" w:type="pct"/>
            <w:vAlign w:val="center"/>
          </w:tcPr>
          <w:p w14:paraId="5ECF75D3" w14:textId="64EF20BC"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94"/>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4"/>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4"/>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57E803FB" w14:textId="268DE30A" w:rsidR="00564289" w:rsidRPr="00895FD1" w:rsidRDefault="00CF52BF" w:rsidP="002553CE">
            <w:pPr>
              <w:pStyle w:val="TableText"/>
              <w:widowControl/>
              <w:jc w:val="center"/>
              <w:rPr>
                <w:rFonts w:cstheme="minorHAnsi"/>
                <w:szCs w:val="20"/>
              </w:rPr>
            </w:pPr>
            <w:r w:rsidRPr="00895FD1">
              <w:rPr>
                <w:rFonts w:cstheme="minorHAnsi"/>
                <w:szCs w:val="20"/>
              </w:rPr>
              <w:t>-</w:t>
            </w:r>
            <w:r w:rsidR="00F4744A" w:rsidRPr="00F4744A">
              <w:rPr>
                <w:rFonts w:cstheme="minorHAnsi"/>
                <w:color w:val="000000"/>
                <w:szCs w:val="20"/>
                <w:shd w:val="solid" w:color="000000" w:fill="000000"/>
                <w14:textFill>
                  <w14:solidFill>
                    <w14:srgbClr w14:val="000000">
                      <w14:alpha w14:val="100000"/>
                    </w14:srgbClr>
                  </w14:solidFill>
                </w14:textFill>
              </w:rPr>
              <w:t>|</w:t>
            </w:r>
            <w:r w:rsidRPr="00895FD1">
              <w:rPr>
                <w:rFonts w:cstheme="minorHAnsi"/>
                <w:szCs w:val="20"/>
              </w:rPr>
              <w:t>%</w:t>
            </w:r>
          </w:p>
        </w:tc>
      </w:tr>
      <w:tr w:rsidR="00096FEB" w:rsidRPr="00895FD1" w14:paraId="54B1633A" w14:textId="77777777" w:rsidTr="00096FEB">
        <w:trPr>
          <w:cantSplit/>
          <w:trHeight w:val="20"/>
          <w:jc w:val="center"/>
        </w:trPr>
        <w:tc>
          <w:tcPr>
            <w:tcW w:w="2416" w:type="pct"/>
            <w:vAlign w:val="center"/>
          </w:tcPr>
          <w:p w14:paraId="700ECB9F" w14:textId="1B7A700C" w:rsidR="00564289" w:rsidRPr="00895FD1" w:rsidRDefault="420C7851" w:rsidP="002553CE">
            <w:pPr>
              <w:pStyle w:val="TableText"/>
              <w:widowControl/>
              <w:rPr>
                <w:szCs w:val="20"/>
              </w:rPr>
            </w:pPr>
            <w:r w:rsidRPr="00895FD1">
              <w:rPr>
                <w:szCs w:val="20"/>
              </w:rPr>
              <w:t xml:space="preserve">OS </w:t>
            </w:r>
            <w:r w:rsidR="6EDC66A1" w:rsidRPr="00895FD1">
              <w:rPr>
                <w:szCs w:val="20"/>
              </w:rPr>
              <w:t>(elacestrant = 31.93 months, SOC = 32.72 months)</w:t>
            </w:r>
          </w:p>
        </w:tc>
        <w:tc>
          <w:tcPr>
            <w:tcW w:w="624" w:type="pct"/>
            <w:vAlign w:val="center"/>
          </w:tcPr>
          <w:p w14:paraId="02A67778" w14:textId="160CB3DD"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3"/>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3"/>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3"/>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4741EEDD" w14:textId="742DF88B" w:rsidR="00564289" w:rsidRPr="00895FD1" w:rsidRDefault="00840798" w:rsidP="002553CE">
            <w:pPr>
              <w:pStyle w:val="TableText"/>
              <w:widowControl/>
              <w:jc w:val="center"/>
              <w:rPr>
                <w:rFonts w:cstheme="minorHAnsi"/>
                <w:szCs w:val="20"/>
              </w:rPr>
            </w:pPr>
            <w:r w:rsidRPr="00895FD1">
              <w:rPr>
                <w:rFonts w:cstheme="minorHAnsi"/>
                <w:szCs w:val="20"/>
              </w:rPr>
              <w:t>0.57</w:t>
            </w:r>
          </w:p>
        </w:tc>
        <w:tc>
          <w:tcPr>
            <w:tcW w:w="557" w:type="pct"/>
            <w:vAlign w:val="center"/>
          </w:tcPr>
          <w:p w14:paraId="47757DF0" w14:textId="0F45066B"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92"/>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2"/>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2"/>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016D2F04" w14:textId="5F834251" w:rsidR="00564289" w:rsidRPr="00895FD1" w:rsidRDefault="00CF52BF" w:rsidP="002553CE">
            <w:pPr>
              <w:pStyle w:val="TableText"/>
              <w:widowControl/>
              <w:jc w:val="center"/>
              <w:rPr>
                <w:rFonts w:cstheme="minorHAnsi"/>
                <w:szCs w:val="20"/>
              </w:rPr>
            </w:pPr>
            <w:r w:rsidRPr="00895FD1">
              <w:rPr>
                <w:rFonts w:cstheme="minorHAnsi"/>
                <w:szCs w:val="20"/>
              </w:rPr>
              <w:t>+</w:t>
            </w:r>
            <w:r w:rsidR="00F4744A">
              <w:rPr>
                <w:rFonts w:cstheme="minorHAnsi" w:hint="eastAsia"/>
                <w:color w:val="000000"/>
                <w:w w:val="15"/>
                <w:szCs w:val="20"/>
                <w:shd w:val="solid" w:color="000000" w:fill="000000"/>
                <w:fitText w:val="12" w:id="-694393591"/>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1"/>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1"/>
                <w14:textFill>
                  <w14:solidFill>
                    <w14:srgbClr w14:val="000000">
                      <w14:alpha w14:val="100000"/>
                    </w14:srgbClr>
                  </w14:solidFill>
                </w14:textFill>
              </w:rPr>
              <w:t xml:space="preserve">　</w:t>
            </w:r>
            <w:r w:rsidRPr="00895FD1">
              <w:rPr>
                <w:rFonts w:cstheme="minorHAnsi"/>
                <w:szCs w:val="20"/>
              </w:rPr>
              <w:t>%</w:t>
            </w:r>
          </w:p>
        </w:tc>
      </w:tr>
      <w:tr w:rsidR="00096FEB" w:rsidRPr="00895FD1" w14:paraId="194D5CEE" w14:textId="77777777" w:rsidTr="00096FEB">
        <w:trPr>
          <w:cantSplit/>
          <w:trHeight w:val="20"/>
          <w:jc w:val="center"/>
        </w:trPr>
        <w:tc>
          <w:tcPr>
            <w:tcW w:w="2416" w:type="pct"/>
            <w:vAlign w:val="center"/>
          </w:tcPr>
          <w:p w14:paraId="2F77B1B1" w14:textId="3D3CD540" w:rsidR="00564289" w:rsidRPr="00895FD1" w:rsidRDefault="00564289" w:rsidP="002553CE">
            <w:pPr>
              <w:pStyle w:val="TableText"/>
              <w:widowControl/>
              <w:rPr>
                <w:szCs w:val="20"/>
              </w:rPr>
            </w:pPr>
            <w:r w:rsidRPr="00895FD1">
              <w:rPr>
                <w:rFonts w:cstheme="minorHAnsi"/>
                <w:szCs w:val="20"/>
              </w:rPr>
              <w:t>Truncation point</w:t>
            </w:r>
            <w:r w:rsidR="00CF52BF" w:rsidRPr="00895FD1">
              <w:rPr>
                <w:rFonts w:cstheme="minorHAnsi"/>
                <w:szCs w:val="20"/>
              </w:rPr>
              <w:t>s</w:t>
            </w:r>
            <w:r w:rsidRPr="00895FD1">
              <w:rPr>
                <w:rFonts w:cstheme="minorHAnsi"/>
                <w:szCs w:val="20"/>
              </w:rPr>
              <w:t xml:space="preserve"> for PFS, OS, TCD and TTD (</w:t>
            </w:r>
            <w:r w:rsidR="00CF52BF" w:rsidRPr="00895FD1">
              <w:rPr>
                <w:rFonts w:cstheme="minorHAnsi"/>
                <w:szCs w:val="20"/>
              </w:rPr>
              <w:t>combined)</w:t>
            </w:r>
          </w:p>
        </w:tc>
        <w:tc>
          <w:tcPr>
            <w:tcW w:w="624" w:type="pct"/>
            <w:vAlign w:val="center"/>
          </w:tcPr>
          <w:p w14:paraId="1DE8A6EC" w14:textId="704CF8C2"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0"/>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0"/>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0"/>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01587A7D" w14:textId="022217E6" w:rsidR="00564289" w:rsidRPr="00895FD1" w:rsidRDefault="00564289" w:rsidP="002553CE">
            <w:pPr>
              <w:pStyle w:val="TableText"/>
              <w:widowControl/>
              <w:jc w:val="center"/>
              <w:rPr>
                <w:rFonts w:cstheme="minorHAnsi"/>
                <w:szCs w:val="20"/>
              </w:rPr>
            </w:pPr>
            <w:r w:rsidRPr="00895FD1">
              <w:rPr>
                <w:rFonts w:cstheme="minorHAnsi"/>
                <w:szCs w:val="20"/>
              </w:rPr>
              <w:t>0.57</w:t>
            </w:r>
          </w:p>
        </w:tc>
        <w:tc>
          <w:tcPr>
            <w:tcW w:w="557" w:type="pct"/>
            <w:vAlign w:val="center"/>
          </w:tcPr>
          <w:p w14:paraId="3A5FBD37" w14:textId="76271CE6"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89"/>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9"/>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9"/>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05EABC7B" w14:textId="3C0F70F5" w:rsidR="00564289" w:rsidRPr="00895FD1" w:rsidRDefault="00564289" w:rsidP="002553CE">
            <w:pPr>
              <w:pStyle w:val="TableText"/>
              <w:widowControl/>
              <w:jc w:val="center"/>
              <w:rPr>
                <w:rFonts w:cstheme="minorHAnsi"/>
                <w:szCs w:val="20"/>
              </w:rPr>
            </w:pPr>
            <w:r w:rsidRPr="00895FD1">
              <w:rPr>
                <w:rFonts w:cstheme="minorHAnsi"/>
                <w:szCs w:val="20"/>
              </w:rPr>
              <w:t>+</w:t>
            </w:r>
            <w:r w:rsidR="00F4744A">
              <w:rPr>
                <w:rFonts w:cstheme="minorHAnsi" w:hint="eastAsia"/>
                <w:color w:val="000000"/>
                <w:w w:val="15"/>
                <w:szCs w:val="20"/>
                <w:shd w:val="solid" w:color="000000" w:fill="000000"/>
                <w:fitText w:val="12" w:id="-694393588"/>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88"/>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88"/>
                <w14:textFill>
                  <w14:solidFill>
                    <w14:srgbClr w14:val="000000">
                      <w14:alpha w14:val="100000"/>
                    </w14:srgbClr>
                  </w14:solidFill>
                </w14:textFill>
              </w:rPr>
              <w:t xml:space="preserve">　</w:t>
            </w:r>
            <w:r w:rsidRPr="00895FD1">
              <w:rPr>
                <w:rFonts w:cstheme="minorHAnsi"/>
                <w:szCs w:val="20"/>
              </w:rPr>
              <w:t>%</w:t>
            </w:r>
          </w:p>
        </w:tc>
      </w:tr>
      <w:tr w:rsidR="009E18C3" w:rsidRPr="00895FD1" w14:paraId="4803721C" w14:textId="77777777" w:rsidTr="001504A5">
        <w:trPr>
          <w:cantSplit/>
          <w:trHeight w:val="20"/>
          <w:jc w:val="center"/>
        </w:trPr>
        <w:tc>
          <w:tcPr>
            <w:tcW w:w="5000" w:type="pct"/>
            <w:gridSpan w:val="5"/>
            <w:vAlign w:val="center"/>
          </w:tcPr>
          <w:p w14:paraId="09060BE8" w14:textId="03FCFC88" w:rsidR="009E18C3" w:rsidRPr="00895FD1" w:rsidRDefault="009E18C3" w:rsidP="002553CE">
            <w:pPr>
              <w:pStyle w:val="TableText"/>
              <w:widowControl/>
              <w:rPr>
                <w:rFonts w:eastAsia="Calibri"/>
                <w:b/>
                <w:bCs/>
                <w:szCs w:val="20"/>
              </w:rPr>
            </w:pPr>
            <w:r w:rsidRPr="00895FD1">
              <w:rPr>
                <w:b/>
                <w:bCs/>
                <w:szCs w:val="20"/>
              </w:rPr>
              <w:t>OS extrapolation elacestrant (base case log-logistic)</w:t>
            </w:r>
          </w:p>
        </w:tc>
      </w:tr>
      <w:tr w:rsidR="00096FEB" w:rsidRPr="00895FD1" w14:paraId="006AB79E" w14:textId="77777777" w:rsidTr="00096FEB">
        <w:trPr>
          <w:cantSplit/>
          <w:trHeight w:val="20"/>
          <w:jc w:val="center"/>
        </w:trPr>
        <w:tc>
          <w:tcPr>
            <w:tcW w:w="2416" w:type="pct"/>
            <w:vAlign w:val="center"/>
          </w:tcPr>
          <w:p w14:paraId="473D8A2B" w14:textId="77777777" w:rsidR="009E18C3" w:rsidRPr="00895FD1" w:rsidRDefault="009E18C3" w:rsidP="002553CE">
            <w:pPr>
              <w:pStyle w:val="TableText"/>
              <w:widowControl/>
              <w:rPr>
                <w:szCs w:val="20"/>
              </w:rPr>
            </w:pPr>
            <w:r w:rsidRPr="00895FD1">
              <w:rPr>
                <w:szCs w:val="20"/>
              </w:rPr>
              <w:t>Gamma</w:t>
            </w:r>
          </w:p>
        </w:tc>
        <w:tc>
          <w:tcPr>
            <w:tcW w:w="624" w:type="pct"/>
            <w:vAlign w:val="center"/>
          </w:tcPr>
          <w:p w14:paraId="1EEA5FFA" w14:textId="050FC848" w:rsidR="009E18C3" w:rsidRPr="00895FD1" w:rsidRDefault="00F4744A" w:rsidP="002553CE">
            <w:pPr>
              <w:pStyle w:val="TableText"/>
              <w:widowControl/>
              <w:jc w:val="center"/>
              <w:rPr>
                <w:rFonts w:cstheme="minorHAnsi"/>
                <w:szCs w:val="20"/>
              </w:rPr>
            </w:pPr>
            <w:r w:rsidRPr="00F4744A">
              <w:rPr>
                <w:rFonts w:cstheme="minorHAnsi" w:hint="eastAsia"/>
                <w:color w:val="000000"/>
                <w:w w:val="15"/>
                <w:szCs w:val="20"/>
                <w:shd w:val="solid" w:color="000000" w:fill="000000"/>
                <w:fitText w:val="37" w:id="-694393587"/>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7"/>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7"/>
                <w14:textFill>
                  <w14:solidFill>
                    <w14:srgbClr w14:val="000000">
                      <w14:alpha w14:val="100000"/>
                    </w14:srgbClr>
                  </w14:solidFill>
                </w14:textFill>
              </w:rPr>
              <w:t xml:space="preserve">　</w:t>
            </w:r>
            <w:r w:rsidR="009A6513">
              <w:rPr>
                <w:rFonts w:cstheme="minorHAnsi"/>
                <w:szCs w:val="20"/>
              </w:rPr>
              <w:t xml:space="preserve"> </w:t>
            </w:r>
          </w:p>
        </w:tc>
        <w:tc>
          <w:tcPr>
            <w:tcW w:w="624" w:type="pct"/>
            <w:vAlign w:val="center"/>
          </w:tcPr>
          <w:p w14:paraId="2070B0D2" w14:textId="77777777" w:rsidR="009E18C3" w:rsidRPr="00895FD1" w:rsidRDefault="009E18C3" w:rsidP="002553CE">
            <w:pPr>
              <w:pStyle w:val="TableText"/>
              <w:widowControl/>
              <w:jc w:val="center"/>
              <w:rPr>
                <w:rFonts w:cstheme="minorHAnsi"/>
                <w:szCs w:val="20"/>
              </w:rPr>
            </w:pPr>
            <w:r w:rsidRPr="00895FD1">
              <w:rPr>
                <w:rFonts w:cstheme="minorHAnsi"/>
                <w:szCs w:val="20"/>
              </w:rPr>
              <w:t>0.42</w:t>
            </w:r>
          </w:p>
        </w:tc>
        <w:tc>
          <w:tcPr>
            <w:tcW w:w="557" w:type="pct"/>
            <w:vAlign w:val="center"/>
          </w:tcPr>
          <w:p w14:paraId="1E3C2835" w14:textId="4CBCE2ED" w:rsidR="009E18C3" w:rsidRPr="00895FD1" w:rsidRDefault="00F4744A" w:rsidP="002553CE">
            <w:pPr>
              <w:pStyle w:val="TableText"/>
              <w:widowControl/>
              <w:jc w:val="center"/>
              <w:rPr>
                <w:rFonts w:cstheme="minorHAnsi"/>
                <w:szCs w:val="20"/>
              </w:rPr>
            </w:pPr>
            <w:r w:rsidRPr="00F4744A">
              <w:rPr>
                <w:rFonts w:cstheme="minorHAnsi" w:hint="eastAsia"/>
                <w:color w:val="000000"/>
                <w:w w:val="28"/>
                <w:szCs w:val="20"/>
                <w:shd w:val="solid" w:color="000000" w:fill="000000"/>
                <w:fitText w:val="125" w:id="-694393586"/>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6"/>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6"/>
                <w14:textFill>
                  <w14:solidFill>
                    <w14:srgbClr w14:val="000000">
                      <w14:alpha w14:val="100000"/>
                    </w14:srgbClr>
                  </w14:solidFill>
                </w14:textFill>
              </w:rPr>
              <w:t xml:space="preserve">　</w:t>
            </w:r>
            <w:r w:rsidR="008D1A62" w:rsidRPr="00895FD1">
              <w:rPr>
                <w:rFonts w:cstheme="minorHAnsi"/>
                <w:szCs w:val="20"/>
                <w:vertAlign w:val="superscript"/>
              </w:rPr>
              <w:t>2</w:t>
            </w:r>
          </w:p>
        </w:tc>
        <w:tc>
          <w:tcPr>
            <w:tcW w:w="779" w:type="pct"/>
            <w:vAlign w:val="center"/>
          </w:tcPr>
          <w:p w14:paraId="04DF2A69" w14:textId="24147DEC" w:rsidR="009E18C3" w:rsidRPr="00895FD1" w:rsidRDefault="009E18C3" w:rsidP="002553CE">
            <w:pPr>
              <w:pStyle w:val="TableText"/>
              <w:widowControl/>
              <w:jc w:val="center"/>
              <w:rPr>
                <w:rFonts w:cstheme="minorHAnsi"/>
                <w:szCs w:val="20"/>
              </w:rPr>
            </w:pPr>
            <w:r w:rsidRPr="00895FD1">
              <w:rPr>
                <w:rFonts w:cstheme="minorHAnsi"/>
                <w:szCs w:val="20"/>
              </w:rPr>
              <w:t>+</w:t>
            </w:r>
            <w:r w:rsidR="00F4744A">
              <w:rPr>
                <w:rFonts w:cstheme="minorHAnsi" w:hint="eastAsia"/>
                <w:color w:val="000000"/>
                <w:w w:val="15"/>
                <w:szCs w:val="20"/>
                <w:shd w:val="solid" w:color="000000" w:fill="000000"/>
                <w:fitText w:val="12" w:id="-694393585"/>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85"/>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85"/>
                <w14:textFill>
                  <w14:solidFill>
                    <w14:srgbClr w14:val="000000">
                      <w14:alpha w14:val="100000"/>
                    </w14:srgbClr>
                  </w14:solidFill>
                </w14:textFill>
              </w:rPr>
              <w:t xml:space="preserve">　</w:t>
            </w:r>
            <w:r w:rsidRPr="00895FD1">
              <w:rPr>
                <w:rFonts w:cstheme="minorHAnsi"/>
                <w:szCs w:val="20"/>
              </w:rPr>
              <w:t>%</w:t>
            </w:r>
          </w:p>
        </w:tc>
      </w:tr>
      <w:tr w:rsidR="009E18C3" w:rsidRPr="00895FD1" w14:paraId="055E7CF9" w14:textId="77777777" w:rsidTr="001504A5">
        <w:trPr>
          <w:cantSplit/>
          <w:trHeight w:val="20"/>
          <w:jc w:val="center"/>
        </w:trPr>
        <w:tc>
          <w:tcPr>
            <w:tcW w:w="5000" w:type="pct"/>
            <w:gridSpan w:val="5"/>
            <w:vAlign w:val="center"/>
          </w:tcPr>
          <w:p w14:paraId="1912E817" w14:textId="77777777" w:rsidR="009E18C3" w:rsidRPr="00895FD1" w:rsidRDefault="009E18C3" w:rsidP="002553CE">
            <w:pPr>
              <w:pStyle w:val="TableText"/>
              <w:widowControl/>
              <w:rPr>
                <w:rFonts w:eastAsia="Calibri"/>
                <w:b/>
                <w:bCs/>
                <w:szCs w:val="20"/>
              </w:rPr>
            </w:pPr>
            <w:r w:rsidRPr="00895FD1">
              <w:rPr>
                <w:b/>
                <w:bCs/>
                <w:szCs w:val="20"/>
              </w:rPr>
              <w:t>OS extrapolation SOC (base case Gompertz)</w:t>
            </w:r>
          </w:p>
        </w:tc>
      </w:tr>
      <w:tr w:rsidR="00096FEB" w:rsidRPr="00895FD1" w14:paraId="077F5A72" w14:textId="77777777" w:rsidTr="00096FEB">
        <w:trPr>
          <w:cantSplit/>
          <w:trHeight w:val="20"/>
          <w:jc w:val="center"/>
        </w:trPr>
        <w:tc>
          <w:tcPr>
            <w:tcW w:w="2416" w:type="pct"/>
            <w:vAlign w:val="center"/>
          </w:tcPr>
          <w:p w14:paraId="14ED076E" w14:textId="77777777" w:rsidR="009E18C3" w:rsidRPr="00895FD1" w:rsidRDefault="009E18C3" w:rsidP="002553CE">
            <w:pPr>
              <w:pStyle w:val="TableText"/>
              <w:widowControl/>
              <w:rPr>
                <w:szCs w:val="20"/>
              </w:rPr>
            </w:pPr>
            <w:r w:rsidRPr="00895FD1">
              <w:rPr>
                <w:szCs w:val="20"/>
              </w:rPr>
              <w:t>Gamma</w:t>
            </w:r>
          </w:p>
        </w:tc>
        <w:tc>
          <w:tcPr>
            <w:tcW w:w="624" w:type="pct"/>
            <w:vAlign w:val="center"/>
          </w:tcPr>
          <w:p w14:paraId="6442D42C" w14:textId="7877649B" w:rsidR="009E18C3" w:rsidRPr="00895FD1" w:rsidRDefault="00F4744A" w:rsidP="002553CE">
            <w:pPr>
              <w:pStyle w:val="TableText"/>
              <w:widowControl/>
              <w:jc w:val="center"/>
              <w:rPr>
                <w:rFonts w:eastAsia="Calibri"/>
                <w:szCs w:val="20"/>
              </w:rPr>
            </w:pPr>
            <w:r w:rsidRPr="00F4744A">
              <w:rPr>
                <w:rFonts w:cstheme="minorHAnsi" w:hint="eastAsia"/>
                <w:color w:val="000000"/>
                <w:w w:val="15"/>
                <w:szCs w:val="20"/>
                <w:shd w:val="solid" w:color="000000" w:fill="000000"/>
                <w:fitText w:val="37" w:id="-694393584"/>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4"/>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4"/>
                <w14:textFill>
                  <w14:solidFill>
                    <w14:srgbClr w14:val="000000">
                      <w14:alpha w14:val="100000"/>
                    </w14:srgbClr>
                  </w14:solidFill>
                </w14:textFill>
              </w:rPr>
              <w:t xml:space="preserve">　</w:t>
            </w:r>
            <w:r w:rsidR="009A6513">
              <w:rPr>
                <w:rFonts w:cstheme="minorHAnsi"/>
                <w:szCs w:val="20"/>
              </w:rPr>
              <w:t xml:space="preserve"> </w:t>
            </w:r>
          </w:p>
        </w:tc>
        <w:tc>
          <w:tcPr>
            <w:tcW w:w="624" w:type="pct"/>
            <w:vAlign w:val="center"/>
          </w:tcPr>
          <w:p w14:paraId="72D28FEF" w14:textId="77777777" w:rsidR="009E18C3" w:rsidRPr="00895FD1" w:rsidRDefault="009E18C3" w:rsidP="002553CE">
            <w:pPr>
              <w:pStyle w:val="TableText"/>
              <w:widowControl/>
              <w:jc w:val="center"/>
              <w:rPr>
                <w:rFonts w:eastAsia="Calibri"/>
                <w:szCs w:val="20"/>
              </w:rPr>
            </w:pPr>
            <w:r w:rsidRPr="00895FD1">
              <w:rPr>
                <w:rFonts w:cstheme="minorHAnsi"/>
                <w:szCs w:val="20"/>
              </w:rPr>
              <w:t>0.52</w:t>
            </w:r>
          </w:p>
        </w:tc>
        <w:tc>
          <w:tcPr>
            <w:tcW w:w="557" w:type="pct"/>
            <w:vAlign w:val="center"/>
          </w:tcPr>
          <w:p w14:paraId="12E8B438" w14:textId="489EE101" w:rsidR="009E18C3" w:rsidRPr="00895FD1" w:rsidRDefault="00F4744A" w:rsidP="002553CE">
            <w:pPr>
              <w:pStyle w:val="TableText"/>
              <w:widowControl/>
              <w:jc w:val="center"/>
              <w:rPr>
                <w:rFonts w:eastAsia="Calibri"/>
                <w:szCs w:val="20"/>
              </w:rPr>
            </w:pPr>
            <w:r w:rsidRPr="00F4744A">
              <w:rPr>
                <w:rFonts w:cstheme="minorHAnsi" w:hint="eastAsia"/>
                <w:color w:val="000000"/>
                <w:w w:val="28"/>
                <w:szCs w:val="20"/>
                <w:shd w:val="solid" w:color="000000" w:fill="000000"/>
                <w:fitText w:val="125" w:id="-694393600"/>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600"/>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600"/>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04568D82" w14:textId="44EE825C" w:rsidR="009E18C3" w:rsidRPr="00895FD1" w:rsidRDefault="009E18C3"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9"/>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9"/>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9"/>
                <w14:textFill>
                  <w14:solidFill>
                    <w14:srgbClr w14:val="000000">
                      <w14:alpha w14:val="100000"/>
                    </w14:srgbClr>
                  </w14:solidFill>
                </w14:textFill>
              </w:rPr>
              <w:t xml:space="preserve">　</w:t>
            </w:r>
            <w:r w:rsidRPr="00895FD1">
              <w:rPr>
                <w:rFonts w:cstheme="minorHAnsi"/>
                <w:szCs w:val="20"/>
              </w:rPr>
              <w:t>%</w:t>
            </w:r>
          </w:p>
        </w:tc>
      </w:tr>
      <w:tr w:rsidR="009E18C3" w:rsidRPr="00895FD1" w14:paraId="6D09A68D" w14:textId="77777777" w:rsidTr="001504A5">
        <w:trPr>
          <w:cantSplit/>
          <w:trHeight w:val="20"/>
          <w:jc w:val="center"/>
        </w:trPr>
        <w:tc>
          <w:tcPr>
            <w:tcW w:w="5000" w:type="pct"/>
            <w:gridSpan w:val="5"/>
            <w:vAlign w:val="center"/>
          </w:tcPr>
          <w:p w14:paraId="3BBD6CF4" w14:textId="52D2C965" w:rsidR="009E18C3" w:rsidRPr="00895FD1" w:rsidRDefault="009E18C3" w:rsidP="002553CE">
            <w:pPr>
              <w:pStyle w:val="TableText"/>
              <w:widowControl/>
              <w:rPr>
                <w:rFonts w:eastAsia="Calibri"/>
                <w:b/>
                <w:bCs/>
                <w:szCs w:val="20"/>
              </w:rPr>
            </w:pPr>
            <w:r w:rsidRPr="00895FD1">
              <w:rPr>
                <w:b/>
                <w:bCs/>
                <w:szCs w:val="20"/>
              </w:rPr>
              <w:t>PFS extrapolation Elacestrant (base case Generalised Gamma)</w:t>
            </w:r>
          </w:p>
        </w:tc>
      </w:tr>
      <w:tr w:rsidR="00096FEB" w:rsidRPr="00895FD1" w14:paraId="2CA4E026" w14:textId="77777777" w:rsidTr="00096FEB">
        <w:trPr>
          <w:cantSplit/>
          <w:trHeight w:val="20"/>
          <w:jc w:val="center"/>
        </w:trPr>
        <w:tc>
          <w:tcPr>
            <w:tcW w:w="2416" w:type="pct"/>
            <w:vAlign w:val="center"/>
          </w:tcPr>
          <w:p w14:paraId="26476E3A" w14:textId="77777777" w:rsidR="009E18C3" w:rsidRPr="00895FD1" w:rsidRDefault="009E18C3" w:rsidP="002553CE">
            <w:pPr>
              <w:pStyle w:val="TableText"/>
              <w:widowControl/>
              <w:rPr>
                <w:szCs w:val="20"/>
              </w:rPr>
            </w:pPr>
            <w:r w:rsidRPr="00895FD1">
              <w:rPr>
                <w:szCs w:val="20"/>
              </w:rPr>
              <w:t>Log-normal</w:t>
            </w:r>
          </w:p>
        </w:tc>
        <w:tc>
          <w:tcPr>
            <w:tcW w:w="624" w:type="pct"/>
            <w:vAlign w:val="center"/>
          </w:tcPr>
          <w:p w14:paraId="1D5C7C6B" w14:textId="211EA222" w:rsidR="009E18C3" w:rsidRPr="00895FD1" w:rsidRDefault="00F4744A" w:rsidP="002553CE">
            <w:pPr>
              <w:pStyle w:val="TableText"/>
              <w:widowControl/>
              <w:jc w:val="center"/>
              <w:rPr>
                <w:rFonts w:eastAsia="Calibri"/>
                <w:szCs w:val="20"/>
              </w:rPr>
            </w:pPr>
            <w:r w:rsidRPr="00F4744A">
              <w:rPr>
                <w:rFonts w:cstheme="minorHAnsi" w:hint="eastAsia"/>
                <w:color w:val="000000"/>
                <w:w w:val="15"/>
                <w:szCs w:val="20"/>
                <w:shd w:val="solid" w:color="000000" w:fill="000000"/>
                <w:fitText w:val="37" w:id="-694393598"/>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8"/>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8"/>
                <w14:textFill>
                  <w14:solidFill>
                    <w14:srgbClr w14:val="000000">
                      <w14:alpha w14:val="100000"/>
                    </w14:srgbClr>
                  </w14:solidFill>
                </w14:textFill>
              </w:rPr>
              <w:t xml:space="preserve">　</w:t>
            </w:r>
            <w:r w:rsidR="009A6513">
              <w:rPr>
                <w:rFonts w:cstheme="minorHAnsi"/>
                <w:szCs w:val="20"/>
              </w:rPr>
              <w:t xml:space="preserve"> </w:t>
            </w:r>
          </w:p>
        </w:tc>
        <w:tc>
          <w:tcPr>
            <w:tcW w:w="624" w:type="pct"/>
            <w:vAlign w:val="center"/>
          </w:tcPr>
          <w:p w14:paraId="001DC415" w14:textId="77777777" w:rsidR="009E18C3" w:rsidRPr="00895FD1" w:rsidRDefault="009E18C3" w:rsidP="002553CE">
            <w:pPr>
              <w:pStyle w:val="TableText"/>
              <w:widowControl/>
              <w:jc w:val="center"/>
              <w:rPr>
                <w:rFonts w:eastAsia="Calibri"/>
                <w:szCs w:val="20"/>
              </w:rPr>
            </w:pPr>
            <w:r w:rsidRPr="00895FD1">
              <w:rPr>
                <w:rFonts w:cstheme="minorHAnsi"/>
                <w:szCs w:val="20"/>
              </w:rPr>
              <w:t>0.48</w:t>
            </w:r>
          </w:p>
        </w:tc>
        <w:tc>
          <w:tcPr>
            <w:tcW w:w="557" w:type="pct"/>
            <w:vAlign w:val="center"/>
          </w:tcPr>
          <w:p w14:paraId="10F7F761" w14:textId="0CAE9EE3" w:rsidR="009E18C3" w:rsidRPr="00895FD1" w:rsidRDefault="00F4744A" w:rsidP="002553CE">
            <w:pPr>
              <w:pStyle w:val="TableText"/>
              <w:widowControl/>
              <w:jc w:val="center"/>
              <w:rPr>
                <w:rFonts w:eastAsia="Calibri"/>
                <w:szCs w:val="20"/>
              </w:rPr>
            </w:pPr>
            <w:r w:rsidRPr="00F4744A">
              <w:rPr>
                <w:rFonts w:cstheme="minorHAnsi" w:hint="eastAsia"/>
                <w:color w:val="000000"/>
                <w:w w:val="28"/>
                <w:szCs w:val="20"/>
                <w:shd w:val="solid" w:color="000000" w:fill="000000"/>
                <w:fitText w:val="125" w:id="-694393597"/>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7"/>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7"/>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13D9FBFD" w14:textId="2E92712D" w:rsidR="009E18C3" w:rsidRPr="00895FD1" w:rsidRDefault="009E18C3"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6"/>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6"/>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6"/>
                <w14:textFill>
                  <w14:solidFill>
                    <w14:srgbClr w14:val="000000">
                      <w14:alpha w14:val="100000"/>
                    </w14:srgbClr>
                  </w14:solidFill>
                </w14:textFill>
              </w:rPr>
              <w:t xml:space="preserve">　</w:t>
            </w:r>
            <w:r w:rsidRPr="00895FD1">
              <w:rPr>
                <w:rFonts w:cstheme="minorHAnsi"/>
                <w:szCs w:val="20"/>
              </w:rPr>
              <w:t>%</w:t>
            </w:r>
          </w:p>
        </w:tc>
      </w:tr>
      <w:tr w:rsidR="004E4565" w:rsidRPr="00895FD1" w14:paraId="7B5C0F8E" w14:textId="77777777" w:rsidTr="001504A5">
        <w:trPr>
          <w:cantSplit/>
          <w:trHeight w:val="20"/>
          <w:jc w:val="center"/>
        </w:trPr>
        <w:tc>
          <w:tcPr>
            <w:tcW w:w="5000" w:type="pct"/>
            <w:gridSpan w:val="5"/>
            <w:vAlign w:val="center"/>
          </w:tcPr>
          <w:p w14:paraId="04EFB76A" w14:textId="725EE52E" w:rsidR="004E4565" w:rsidRPr="00895FD1" w:rsidRDefault="00B40920" w:rsidP="002553CE">
            <w:pPr>
              <w:pStyle w:val="TableText"/>
              <w:widowControl/>
              <w:rPr>
                <w:rFonts w:cstheme="minorHAnsi"/>
                <w:b/>
                <w:i/>
                <w:szCs w:val="20"/>
              </w:rPr>
            </w:pPr>
            <w:r w:rsidRPr="00895FD1">
              <w:rPr>
                <w:b/>
                <w:i/>
                <w:szCs w:val="20"/>
              </w:rPr>
              <w:t>Extrapolation of TTD (base case Gen Gamma)</w:t>
            </w:r>
          </w:p>
        </w:tc>
      </w:tr>
      <w:tr w:rsidR="00096FEB" w:rsidRPr="00895FD1" w14:paraId="751A5CF3" w14:textId="77777777" w:rsidTr="00096FEB">
        <w:trPr>
          <w:cantSplit/>
          <w:trHeight w:val="20"/>
          <w:jc w:val="center"/>
        </w:trPr>
        <w:tc>
          <w:tcPr>
            <w:tcW w:w="2416" w:type="pct"/>
            <w:vAlign w:val="center"/>
          </w:tcPr>
          <w:p w14:paraId="47483DAE" w14:textId="415AE1C7" w:rsidR="00B40920" w:rsidRPr="00895FD1" w:rsidRDefault="00B40920" w:rsidP="002553CE">
            <w:pPr>
              <w:pStyle w:val="TableText"/>
              <w:widowControl/>
              <w:rPr>
                <w:iCs/>
                <w:szCs w:val="20"/>
              </w:rPr>
            </w:pPr>
            <w:r w:rsidRPr="00895FD1">
              <w:rPr>
                <w:iCs/>
                <w:szCs w:val="20"/>
              </w:rPr>
              <w:t xml:space="preserve">No extrapolation of </w:t>
            </w:r>
            <w:r w:rsidR="00C30442" w:rsidRPr="00895FD1">
              <w:rPr>
                <w:iCs/>
                <w:szCs w:val="20"/>
              </w:rPr>
              <w:t>TTD</w:t>
            </w:r>
            <w:r w:rsidRPr="00895FD1">
              <w:rPr>
                <w:iCs/>
                <w:szCs w:val="20"/>
              </w:rPr>
              <w:t xml:space="preserve"> (based on KM data only)</w:t>
            </w:r>
            <w:r w:rsidR="00C30442" w:rsidRPr="00895FD1">
              <w:rPr>
                <w:iCs/>
                <w:szCs w:val="20"/>
              </w:rPr>
              <w:t xml:space="preserve"> for both arms</w:t>
            </w:r>
          </w:p>
        </w:tc>
        <w:tc>
          <w:tcPr>
            <w:tcW w:w="624" w:type="pct"/>
            <w:vAlign w:val="center"/>
          </w:tcPr>
          <w:p w14:paraId="39730963" w14:textId="3A02EB92" w:rsidR="00B40920" w:rsidRPr="00895FD1" w:rsidRDefault="00F4744A" w:rsidP="002553CE">
            <w:pPr>
              <w:pStyle w:val="TableText"/>
              <w:widowControl/>
              <w:jc w:val="center"/>
              <w:rPr>
                <w:rFonts w:cstheme="minorHAnsi"/>
                <w:iCs/>
                <w:szCs w:val="20"/>
              </w:rPr>
            </w:pPr>
            <w:r w:rsidRPr="00F4744A">
              <w:rPr>
                <w:rFonts w:cstheme="minorHAnsi" w:hint="eastAsia"/>
                <w:iCs/>
                <w:color w:val="000000"/>
                <w:w w:val="15"/>
                <w:szCs w:val="20"/>
                <w:shd w:val="solid" w:color="000000" w:fill="000000"/>
                <w:fitText w:val="37" w:id="-694393595"/>
                <w14:textFill>
                  <w14:solidFill>
                    <w14:srgbClr w14:val="000000">
                      <w14:alpha w14:val="100000"/>
                    </w14:srgbClr>
                  </w14:solidFill>
                </w14:textFill>
              </w:rPr>
              <w:t xml:space="preserve">　</w:t>
            </w:r>
            <w:r w:rsidRPr="00F4744A">
              <w:rPr>
                <w:rFonts w:cstheme="minorHAnsi"/>
                <w:iCs/>
                <w:color w:val="000000"/>
                <w:w w:val="15"/>
                <w:szCs w:val="20"/>
                <w:shd w:val="solid" w:color="000000" w:fill="000000"/>
                <w:fitText w:val="37" w:id="-694393595"/>
                <w14:textFill>
                  <w14:solidFill>
                    <w14:srgbClr w14:val="000000">
                      <w14:alpha w14:val="100000"/>
                    </w14:srgbClr>
                  </w14:solidFill>
                </w14:textFill>
              </w:rPr>
              <w:t>|</w:t>
            </w:r>
            <w:r w:rsidRPr="00F4744A">
              <w:rPr>
                <w:rFonts w:cstheme="minorHAnsi" w:hint="eastAsia"/>
                <w:iCs/>
                <w:color w:val="000000"/>
                <w:spacing w:val="-28"/>
                <w:w w:val="15"/>
                <w:szCs w:val="20"/>
                <w:shd w:val="solid" w:color="000000" w:fill="000000"/>
                <w:fitText w:val="37" w:id="-694393595"/>
                <w14:textFill>
                  <w14:solidFill>
                    <w14:srgbClr w14:val="000000">
                      <w14:alpha w14:val="100000"/>
                    </w14:srgbClr>
                  </w14:solidFill>
                </w14:textFill>
              </w:rPr>
              <w:t xml:space="preserve">　</w:t>
            </w:r>
            <w:r w:rsidR="009A6513">
              <w:rPr>
                <w:rFonts w:cstheme="minorHAnsi"/>
                <w:iCs/>
                <w:szCs w:val="20"/>
              </w:rPr>
              <w:t xml:space="preserve"> </w:t>
            </w:r>
          </w:p>
        </w:tc>
        <w:tc>
          <w:tcPr>
            <w:tcW w:w="624" w:type="pct"/>
            <w:vAlign w:val="center"/>
          </w:tcPr>
          <w:p w14:paraId="0D3BF841" w14:textId="5F4C6667" w:rsidR="00B40920" w:rsidRPr="00895FD1" w:rsidRDefault="00375BBB" w:rsidP="002553CE">
            <w:pPr>
              <w:pStyle w:val="TableText"/>
              <w:widowControl/>
              <w:jc w:val="center"/>
              <w:rPr>
                <w:rFonts w:cstheme="minorHAnsi"/>
                <w:iCs/>
                <w:szCs w:val="20"/>
              </w:rPr>
            </w:pPr>
            <w:r w:rsidRPr="00895FD1">
              <w:rPr>
                <w:rFonts w:cstheme="minorHAnsi"/>
                <w:iCs/>
                <w:szCs w:val="20"/>
              </w:rPr>
              <w:t>0.</w:t>
            </w:r>
            <w:r w:rsidR="002750C6" w:rsidRPr="00895FD1">
              <w:rPr>
                <w:rFonts w:cstheme="minorHAnsi"/>
                <w:iCs/>
                <w:szCs w:val="20"/>
              </w:rPr>
              <w:t>60</w:t>
            </w:r>
          </w:p>
        </w:tc>
        <w:tc>
          <w:tcPr>
            <w:tcW w:w="557" w:type="pct"/>
            <w:vAlign w:val="center"/>
          </w:tcPr>
          <w:p w14:paraId="50AF8E8F" w14:textId="7B75FAB4" w:rsidR="00B40920" w:rsidRPr="00895FD1" w:rsidRDefault="00F4744A" w:rsidP="002553CE">
            <w:pPr>
              <w:pStyle w:val="TableText"/>
              <w:widowControl/>
              <w:jc w:val="center"/>
              <w:rPr>
                <w:rFonts w:cstheme="minorHAnsi"/>
                <w:iCs/>
                <w:szCs w:val="20"/>
              </w:rPr>
            </w:pPr>
            <w:r w:rsidRPr="00F4744A">
              <w:rPr>
                <w:rFonts w:cstheme="minorHAnsi" w:hint="eastAsia"/>
                <w:iCs/>
                <w:color w:val="000000"/>
                <w:w w:val="28"/>
                <w:szCs w:val="20"/>
                <w:shd w:val="solid" w:color="000000" w:fill="000000"/>
                <w:fitText w:val="125" w:id="-694393594"/>
                <w14:textFill>
                  <w14:solidFill>
                    <w14:srgbClr w14:val="000000">
                      <w14:alpha w14:val="100000"/>
                    </w14:srgbClr>
                  </w14:solidFill>
                </w14:textFill>
              </w:rPr>
              <w:t xml:space="preserve">　</w:t>
            </w:r>
            <w:r w:rsidRPr="00F4744A">
              <w:rPr>
                <w:rFonts w:cstheme="minorHAnsi"/>
                <w:iCs/>
                <w:color w:val="000000"/>
                <w:w w:val="28"/>
                <w:szCs w:val="20"/>
                <w:shd w:val="solid" w:color="000000" w:fill="000000"/>
                <w:fitText w:val="125" w:id="-694393594"/>
                <w14:textFill>
                  <w14:solidFill>
                    <w14:srgbClr w14:val="000000">
                      <w14:alpha w14:val="100000"/>
                    </w14:srgbClr>
                  </w14:solidFill>
                </w14:textFill>
              </w:rPr>
              <w:t>|</w:t>
            </w:r>
            <w:r w:rsidRPr="00F4744A">
              <w:rPr>
                <w:rFonts w:cstheme="minorHAnsi" w:hint="eastAsia"/>
                <w:iCs/>
                <w:color w:val="000000"/>
                <w:spacing w:val="3"/>
                <w:w w:val="28"/>
                <w:szCs w:val="20"/>
                <w:shd w:val="solid" w:color="000000" w:fill="000000"/>
                <w:fitText w:val="125" w:id="-694393594"/>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79FCDF95" w14:textId="6DABCE04" w:rsidR="00B40920" w:rsidRPr="00895FD1" w:rsidRDefault="005C3622" w:rsidP="002553CE">
            <w:pPr>
              <w:pStyle w:val="TableText"/>
              <w:widowControl/>
              <w:jc w:val="center"/>
              <w:rPr>
                <w:rFonts w:cstheme="minorHAnsi"/>
                <w:iCs/>
                <w:szCs w:val="20"/>
              </w:rPr>
            </w:pPr>
            <w:r w:rsidRPr="00895FD1">
              <w:rPr>
                <w:rFonts w:cstheme="minorHAnsi"/>
                <w:iCs/>
                <w:szCs w:val="20"/>
              </w:rPr>
              <w:t>-</w:t>
            </w:r>
            <w:r w:rsidR="00F4744A" w:rsidRPr="00F4744A">
              <w:rPr>
                <w:rFonts w:cstheme="minorHAnsi"/>
                <w:iCs/>
                <w:color w:val="000000"/>
                <w:szCs w:val="20"/>
                <w:shd w:val="solid" w:color="000000" w:fill="000000"/>
                <w14:textFill>
                  <w14:solidFill>
                    <w14:srgbClr w14:val="000000">
                      <w14:alpha w14:val="100000"/>
                    </w14:srgbClr>
                  </w14:solidFill>
                </w14:textFill>
              </w:rPr>
              <w:t>|</w:t>
            </w:r>
            <w:r w:rsidRPr="00895FD1">
              <w:rPr>
                <w:rFonts w:cstheme="minorHAnsi"/>
                <w:iCs/>
                <w:szCs w:val="20"/>
              </w:rPr>
              <w:t>%</w:t>
            </w:r>
          </w:p>
        </w:tc>
      </w:tr>
      <w:tr w:rsidR="009E18C3" w:rsidRPr="00895FD1" w14:paraId="1806B64A" w14:textId="77777777" w:rsidTr="001504A5">
        <w:trPr>
          <w:cantSplit/>
          <w:trHeight w:val="20"/>
          <w:jc w:val="center"/>
        </w:trPr>
        <w:tc>
          <w:tcPr>
            <w:tcW w:w="5000" w:type="pct"/>
            <w:gridSpan w:val="5"/>
            <w:vAlign w:val="center"/>
          </w:tcPr>
          <w:p w14:paraId="4C37E987" w14:textId="77777777" w:rsidR="009E18C3" w:rsidRPr="00895FD1" w:rsidRDefault="009E18C3" w:rsidP="002553CE">
            <w:pPr>
              <w:pStyle w:val="TableText"/>
              <w:widowControl/>
              <w:rPr>
                <w:rFonts w:eastAsia="Calibri"/>
                <w:b/>
                <w:bCs/>
                <w:szCs w:val="20"/>
              </w:rPr>
            </w:pPr>
            <w:r w:rsidRPr="00895FD1">
              <w:rPr>
                <w:b/>
                <w:bCs/>
                <w:szCs w:val="20"/>
              </w:rPr>
              <w:t>Health state utility values (base case PF=0.876</w:t>
            </w:r>
            <w:r w:rsidRPr="00895FD1">
              <w:rPr>
                <w:rFonts w:cstheme="minorHAnsi"/>
                <w:b/>
                <w:bCs/>
                <w:szCs w:val="20"/>
              </w:rPr>
              <w:t>, PD=0.543, PD utility decrement = -0.333)</w:t>
            </w:r>
          </w:p>
        </w:tc>
      </w:tr>
      <w:tr w:rsidR="00096FEB" w:rsidRPr="00895FD1" w14:paraId="1208C7E8" w14:textId="77777777" w:rsidTr="00096FEB">
        <w:trPr>
          <w:cantSplit/>
          <w:trHeight w:val="20"/>
          <w:jc w:val="center"/>
        </w:trPr>
        <w:tc>
          <w:tcPr>
            <w:tcW w:w="2416" w:type="pct"/>
            <w:vAlign w:val="center"/>
          </w:tcPr>
          <w:p w14:paraId="548BEAFB" w14:textId="77777777" w:rsidR="009E18C3" w:rsidRPr="00895FD1" w:rsidRDefault="009E18C3" w:rsidP="002553CE">
            <w:pPr>
              <w:pStyle w:val="TableText"/>
              <w:widowControl/>
              <w:rPr>
                <w:szCs w:val="20"/>
              </w:rPr>
            </w:pPr>
            <w:r w:rsidRPr="00895FD1">
              <w:rPr>
                <w:rFonts w:cstheme="minorHAnsi"/>
                <w:szCs w:val="20"/>
              </w:rPr>
              <w:t>Utilities from Lloyd 2006 (PF=0.715, PD=0.443</w:t>
            </w:r>
            <w:r w:rsidRPr="00895FD1">
              <w:rPr>
                <w:rFonts w:cstheme="minorHAnsi"/>
                <w:szCs w:val="20"/>
                <w:vertAlign w:val="superscript"/>
              </w:rPr>
              <w:t>a</w:t>
            </w:r>
            <w:r w:rsidRPr="00895FD1">
              <w:rPr>
                <w:rFonts w:cstheme="minorHAnsi"/>
                <w:szCs w:val="20"/>
              </w:rPr>
              <w:t>, utility decrement=-0.272)</w:t>
            </w:r>
          </w:p>
        </w:tc>
        <w:tc>
          <w:tcPr>
            <w:tcW w:w="624" w:type="pct"/>
            <w:vAlign w:val="center"/>
          </w:tcPr>
          <w:p w14:paraId="16C27E92" w14:textId="1E7159DB" w:rsidR="009E18C3" w:rsidRPr="00895FD1" w:rsidRDefault="00F4744A" w:rsidP="002553CE">
            <w:pPr>
              <w:pStyle w:val="TableText"/>
              <w:widowControl/>
              <w:jc w:val="center"/>
              <w:rPr>
                <w:rFonts w:eastAsia="Calibri"/>
                <w:szCs w:val="20"/>
                <w:highlight w:val="darkGray"/>
              </w:rPr>
            </w:pPr>
            <w:r w:rsidRPr="00F4744A">
              <w:rPr>
                <w:rFonts w:cstheme="minorHAnsi" w:hint="eastAsia"/>
                <w:color w:val="000000"/>
                <w:w w:val="15"/>
                <w:szCs w:val="20"/>
                <w:shd w:val="solid" w:color="000000" w:fill="000000"/>
                <w:fitText w:val="37" w:id="-694393593"/>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3"/>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3"/>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3E7E6348" w14:textId="77777777" w:rsidR="009E18C3" w:rsidRPr="00895FD1" w:rsidRDefault="009E18C3" w:rsidP="002553CE">
            <w:pPr>
              <w:pStyle w:val="TableText"/>
              <w:widowControl/>
              <w:jc w:val="center"/>
              <w:rPr>
                <w:rFonts w:eastAsia="Calibri"/>
                <w:szCs w:val="20"/>
              </w:rPr>
            </w:pPr>
            <w:r w:rsidRPr="00895FD1">
              <w:rPr>
                <w:rFonts w:cstheme="minorHAnsi"/>
                <w:szCs w:val="20"/>
              </w:rPr>
              <w:t>0.48</w:t>
            </w:r>
          </w:p>
        </w:tc>
        <w:tc>
          <w:tcPr>
            <w:tcW w:w="557" w:type="pct"/>
            <w:vAlign w:val="center"/>
          </w:tcPr>
          <w:p w14:paraId="11B39C7F" w14:textId="22B0D80B" w:rsidR="009E18C3" w:rsidRPr="00895FD1" w:rsidRDefault="00F4744A" w:rsidP="002553CE">
            <w:pPr>
              <w:pStyle w:val="TableText"/>
              <w:widowControl/>
              <w:jc w:val="center"/>
              <w:rPr>
                <w:rFonts w:eastAsia="Calibri"/>
                <w:szCs w:val="20"/>
                <w:highlight w:val="darkGray"/>
              </w:rPr>
            </w:pPr>
            <w:r w:rsidRPr="00F4744A">
              <w:rPr>
                <w:rFonts w:cstheme="minorHAnsi" w:hint="eastAsia"/>
                <w:color w:val="000000"/>
                <w:w w:val="28"/>
                <w:szCs w:val="20"/>
                <w:shd w:val="solid" w:color="000000" w:fill="000000"/>
                <w:fitText w:val="125" w:id="-694393592"/>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2"/>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2"/>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328777B9" w14:textId="51B4E7B4" w:rsidR="009E18C3" w:rsidRPr="00895FD1" w:rsidRDefault="009E18C3"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1"/>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1"/>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1"/>
                <w14:textFill>
                  <w14:solidFill>
                    <w14:srgbClr w14:val="000000">
                      <w14:alpha w14:val="100000"/>
                    </w14:srgbClr>
                  </w14:solidFill>
                </w14:textFill>
              </w:rPr>
              <w:t xml:space="preserve">　</w:t>
            </w:r>
            <w:r w:rsidRPr="00895FD1">
              <w:rPr>
                <w:rFonts w:cstheme="minorHAnsi"/>
                <w:szCs w:val="20"/>
              </w:rPr>
              <w:t>%</w:t>
            </w:r>
          </w:p>
        </w:tc>
      </w:tr>
      <w:tr w:rsidR="00096FEB" w:rsidRPr="00895FD1" w14:paraId="714BB998" w14:textId="77777777" w:rsidTr="00096FEB">
        <w:trPr>
          <w:cantSplit/>
          <w:trHeight w:val="20"/>
          <w:jc w:val="center"/>
        </w:trPr>
        <w:tc>
          <w:tcPr>
            <w:tcW w:w="2416" w:type="pct"/>
            <w:vAlign w:val="center"/>
          </w:tcPr>
          <w:p w14:paraId="50C593D4" w14:textId="6AED0D58" w:rsidR="00AF6C9F" w:rsidRPr="00895FD1" w:rsidRDefault="00AF6C9F" w:rsidP="002553CE">
            <w:pPr>
              <w:pStyle w:val="TableText"/>
              <w:widowControl/>
              <w:rPr>
                <w:rFonts w:cstheme="minorHAnsi"/>
                <w:szCs w:val="20"/>
              </w:rPr>
            </w:pPr>
            <w:r w:rsidRPr="00895FD1">
              <w:rPr>
                <w:szCs w:val="20"/>
              </w:rPr>
              <w:t>PD utility decrement from Lloyd 2006 (PF=0.876, PD=0.604, utility decrement= -0.272)</w:t>
            </w:r>
          </w:p>
        </w:tc>
        <w:tc>
          <w:tcPr>
            <w:tcW w:w="624" w:type="pct"/>
            <w:vAlign w:val="center"/>
          </w:tcPr>
          <w:p w14:paraId="46C50614" w14:textId="2C967A2C" w:rsidR="00AF6C9F"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0"/>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0"/>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0"/>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0F8713D9" w14:textId="73BC8EDD" w:rsidR="00AF6C9F" w:rsidRPr="00895FD1" w:rsidRDefault="00564289" w:rsidP="002553CE">
            <w:pPr>
              <w:pStyle w:val="TableText"/>
              <w:widowControl/>
              <w:jc w:val="center"/>
              <w:rPr>
                <w:rFonts w:cstheme="minorHAnsi"/>
                <w:szCs w:val="20"/>
              </w:rPr>
            </w:pPr>
            <w:r w:rsidRPr="00895FD1">
              <w:rPr>
                <w:rFonts w:cstheme="minorHAnsi"/>
                <w:szCs w:val="20"/>
              </w:rPr>
              <w:t>0.60</w:t>
            </w:r>
          </w:p>
        </w:tc>
        <w:tc>
          <w:tcPr>
            <w:tcW w:w="557" w:type="pct"/>
            <w:vAlign w:val="center"/>
          </w:tcPr>
          <w:p w14:paraId="4C11127F" w14:textId="235A3AE8" w:rsidR="00AF6C9F"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89"/>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9"/>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9"/>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45FF617C" w14:textId="5D881E79" w:rsidR="00AF6C9F" w:rsidRPr="00895FD1" w:rsidRDefault="00564289" w:rsidP="002553CE">
            <w:pPr>
              <w:pStyle w:val="TableText"/>
              <w:widowControl/>
              <w:jc w:val="center"/>
              <w:rPr>
                <w:rFonts w:cstheme="minorHAnsi"/>
                <w:szCs w:val="20"/>
              </w:rPr>
            </w:pPr>
            <w:r w:rsidRPr="00895FD1">
              <w:rPr>
                <w:rFonts w:cstheme="minorHAnsi"/>
                <w:szCs w:val="20"/>
              </w:rPr>
              <w:t>+</w:t>
            </w:r>
            <w:r w:rsidR="00F4744A">
              <w:rPr>
                <w:rFonts w:cstheme="minorHAnsi" w:hint="eastAsia"/>
                <w:color w:val="000000"/>
                <w:w w:val="15"/>
                <w:szCs w:val="20"/>
                <w:shd w:val="solid" w:color="000000" w:fill="000000"/>
                <w:fitText w:val="12" w:id="-694393588"/>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88"/>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88"/>
                <w14:textFill>
                  <w14:solidFill>
                    <w14:srgbClr w14:val="000000">
                      <w14:alpha w14:val="100000"/>
                    </w14:srgbClr>
                  </w14:solidFill>
                </w14:textFill>
              </w:rPr>
              <w:t xml:space="preserve">　</w:t>
            </w:r>
            <w:r w:rsidRPr="00895FD1">
              <w:rPr>
                <w:rFonts w:cstheme="minorHAnsi"/>
                <w:szCs w:val="20"/>
              </w:rPr>
              <w:t>%</w:t>
            </w:r>
          </w:p>
        </w:tc>
      </w:tr>
      <w:tr w:rsidR="00096FEB" w:rsidRPr="00895FD1" w14:paraId="5D34AF82" w14:textId="77777777" w:rsidTr="00096FEB">
        <w:trPr>
          <w:cantSplit/>
          <w:trHeight w:val="20"/>
          <w:jc w:val="center"/>
        </w:trPr>
        <w:tc>
          <w:tcPr>
            <w:tcW w:w="2416" w:type="pct"/>
            <w:vAlign w:val="center"/>
          </w:tcPr>
          <w:p w14:paraId="50F7C49E" w14:textId="5F3674B2" w:rsidR="00564289" w:rsidRPr="00895FD1" w:rsidRDefault="00564289" w:rsidP="002553CE">
            <w:pPr>
              <w:pStyle w:val="TableText"/>
              <w:widowControl/>
              <w:rPr>
                <w:rFonts w:cstheme="minorHAnsi"/>
                <w:szCs w:val="20"/>
              </w:rPr>
            </w:pPr>
            <w:r w:rsidRPr="00895FD1">
              <w:rPr>
                <w:rFonts w:cstheme="minorHAnsi"/>
                <w:szCs w:val="20"/>
              </w:rPr>
              <w:t>PD utility value from EMERALD trial (=0.834)</w:t>
            </w:r>
          </w:p>
        </w:tc>
        <w:tc>
          <w:tcPr>
            <w:tcW w:w="624" w:type="pct"/>
            <w:vAlign w:val="center"/>
          </w:tcPr>
          <w:p w14:paraId="4C3ED0F7" w14:textId="76731AD6" w:rsidR="00564289"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87"/>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7"/>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7"/>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20E37F54" w14:textId="1C1D8322" w:rsidR="00564289" w:rsidRPr="00895FD1" w:rsidRDefault="00564289" w:rsidP="002553CE">
            <w:pPr>
              <w:pStyle w:val="TableText"/>
              <w:widowControl/>
              <w:jc w:val="center"/>
              <w:rPr>
                <w:rFonts w:cstheme="minorHAnsi"/>
                <w:i/>
                <w:iCs/>
                <w:szCs w:val="20"/>
              </w:rPr>
            </w:pPr>
            <w:r w:rsidRPr="00895FD1">
              <w:rPr>
                <w:rFonts w:cstheme="minorHAnsi"/>
                <w:szCs w:val="20"/>
              </w:rPr>
              <w:t>0.57</w:t>
            </w:r>
          </w:p>
        </w:tc>
        <w:tc>
          <w:tcPr>
            <w:tcW w:w="557" w:type="pct"/>
            <w:vAlign w:val="center"/>
          </w:tcPr>
          <w:p w14:paraId="52988D0F" w14:textId="0DA99844" w:rsidR="00564289" w:rsidRPr="00895FD1" w:rsidRDefault="00F4744A" w:rsidP="002553CE">
            <w:pPr>
              <w:pStyle w:val="TableText"/>
              <w:widowControl/>
              <w:jc w:val="center"/>
              <w:rPr>
                <w:rFonts w:cstheme="minorHAnsi"/>
                <w:i/>
                <w:iCs/>
                <w:szCs w:val="20"/>
                <w:highlight w:val="darkGray"/>
              </w:rPr>
            </w:pPr>
            <w:r w:rsidRPr="00F4744A">
              <w:rPr>
                <w:rFonts w:cstheme="minorHAnsi" w:hint="eastAsia"/>
                <w:color w:val="000000"/>
                <w:w w:val="28"/>
                <w:szCs w:val="20"/>
                <w:shd w:val="solid" w:color="000000" w:fill="000000"/>
                <w:fitText w:val="125" w:id="-694393586"/>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6"/>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6"/>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41686698" w14:textId="093DBE91" w:rsidR="00564289" w:rsidRPr="00895FD1" w:rsidRDefault="00564289" w:rsidP="002553CE">
            <w:pPr>
              <w:pStyle w:val="TableText"/>
              <w:widowControl/>
              <w:jc w:val="center"/>
              <w:rPr>
                <w:rFonts w:cstheme="minorHAnsi"/>
                <w:i/>
                <w:iCs/>
                <w:szCs w:val="20"/>
              </w:rPr>
            </w:pPr>
            <w:r w:rsidRPr="00895FD1">
              <w:rPr>
                <w:rFonts w:cstheme="minorHAnsi"/>
                <w:szCs w:val="20"/>
              </w:rPr>
              <w:t>+</w:t>
            </w:r>
            <w:r w:rsidR="00F4744A">
              <w:rPr>
                <w:rFonts w:cstheme="minorHAnsi" w:hint="eastAsia"/>
                <w:color w:val="000000"/>
                <w:w w:val="15"/>
                <w:szCs w:val="20"/>
                <w:shd w:val="solid" w:color="000000" w:fill="000000"/>
                <w:fitText w:val="12" w:id="-694393585"/>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85"/>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85"/>
                <w14:textFill>
                  <w14:solidFill>
                    <w14:srgbClr w14:val="000000">
                      <w14:alpha w14:val="100000"/>
                    </w14:srgbClr>
                  </w14:solidFill>
                </w14:textFill>
              </w:rPr>
              <w:t xml:space="preserve">　</w:t>
            </w:r>
            <w:r w:rsidRPr="00895FD1">
              <w:rPr>
                <w:rFonts w:cstheme="minorHAnsi"/>
                <w:szCs w:val="20"/>
              </w:rPr>
              <w:t>%</w:t>
            </w:r>
          </w:p>
        </w:tc>
      </w:tr>
      <w:tr w:rsidR="00B40752" w:rsidRPr="00895FD1" w14:paraId="46B05199" w14:textId="77777777" w:rsidTr="001504A5">
        <w:trPr>
          <w:cantSplit/>
          <w:trHeight w:val="20"/>
          <w:jc w:val="center"/>
        </w:trPr>
        <w:tc>
          <w:tcPr>
            <w:tcW w:w="5000" w:type="pct"/>
            <w:gridSpan w:val="5"/>
            <w:vAlign w:val="center"/>
          </w:tcPr>
          <w:p w14:paraId="1CDC337F" w14:textId="76CC9FA5" w:rsidR="00B40752" w:rsidRPr="00895FD1" w:rsidRDefault="00B40752" w:rsidP="002553CE">
            <w:pPr>
              <w:pStyle w:val="TableText"/>
              <w:widowControl/>
              <w:rPr>
                <w:b/>
                <w:bCs/>
                <w:szCs w:val="20"/>
              </w:rPr>
            </w:pPr>
            <w:r w:rsidRPr="00895FD1">
              <w:rPr>
                <w:b/>
                <w:bCs/>
                <w:szCs w:val="20"/>
              </w:rPr>
              <w:t>Testing costs (base case $1500 per test, $3,144.74 per patient identified</w:t>
            </w:r>
            <w:r w:rsidR="002B75D1" w:rsidRPr="00895FD1">
              <w:rPr>
                <w:b/>
                <w:bCs/>
                <w:szCs w:val="20"/>
              </w:rPr>
              <w:t>, 47.7% test positive rate)</w:t>
            </w:r>
          </w:p>
        </w:tc>
      </w:tr>
      <w:tr w:rsidR="00096FEB" w:rsidRPr="00895FD1" w14:paraId="10893265" w14:textId="77777777" w:rsidTr="00096FEB">
        <w:trPr>
          <w:cantSplit/>
          <w:trHeight w:val="20"/>
          <w:jc w:val="center"/>
        </w:trPr>
        <w:tc>
          <w:tcPr>
            <w:tcW w:w="2416" w:type="pct"/>
            <w:vAlign w:val="center"/>
          </w:tcPr>
          <w:p w14:paraId="1AC81226" w14:textId="271DBC46" w:rsidR="003536AF" w:rsidRPr="00895FD1" w:rsidRDefault="00024E6B" w:rsidP="002553CE">
            <w:pPr>
              <w:pStyle w:val="TableText"/>
              <w:widowControl/>
              <w:rPr>
                <w:rFonts w:cstheme="minorHAnsi"/>
                <w:szCs w:val="20"/>
              </w:rPr>
            </w:pPr>
            <w:r w:rsidRPr="00895FD1">
              <w:rPr>
                <w:rFonts w:cstheme="minorHAnsi"/>
                <w:szCs w:val="20"/>
              </w:rPr>
              <w:t>1</w:t>
            </w:r>
            <w:r w:rsidRPr="00895FD1">
              <w:rPr>
                <w:rFonts w:cstheme="minorHAnsi"/>
                <w:szCs w:val="20"/>
                <w:vertAlign w:val="superscript"/>
              </w:rPr>
              <w:t>st</w:t>
            </w:r>
            <w:r w:rsidRPr="00895FD1">
              <w:rPr>
                <w:rFonts w:cstheme="minorHAnsi"/>
                <w:szCs w:val="20"/>
              </w:rPr>
              <w:t xml:space="preserve"> te</w:t>
            </w:r>
            <w:r w:rsidR="003536AF" w:rsidRPr="00895FD1">
              <w:rPr>
                <w:rFonts w:cstheme="minorHAnsi"/>
                <w:szCs w:val="20"/>
              </w:rPr>
              <w:t>s</w:t>
            </w:r>
            <w:r w:rsidRPr="00895FD1">
              <w:rPr>
                <w:rFonts w:cstheme="minorHAnsi"/>
                <w:szCs w:val="20"/>
              </w:rPr>
              <w:t xml:space="preserve">t - </w:t>
            </w:r>
            <w:r w:rsidR="003642F2" w:rsidRPr="00895FD1">
              <w:rPr>
                <w:rFonts w:cstheme="minorHAnsi"/>
                <w:szCs w:val="20"/>
              </w:rPr>
              <w:t xml:space="preserve">31.3% test positive </w:t>
            </w:r>
          </w:p>
          <w:p w14:paraId="75263FBC" w14:textId="14F4BB1F" w:rsidR="001C2F9B" w:rsidRPr="00895FD1" w:rsidRDefault="003536AF" w:rsidP="002553CE">
            <w:pPr>
              <w:pStyle w:val="TableText"/>
              <w:widowControl/>
              <w:rPr>
                <w:szCs w:val="20"/>
              </w:rPr>
            </w:pPr>
            <w:r w:rsidRPr="00895FD1">
              <w:rPr>
                <w:szCs w:val="20"/>
              </w:rPr>
              <w:t>2</w:t>
            </w:r>
            <w:r w:rsidR="00B87399" w:rsidRPr="00895FD1">
              <w:rPr>
                <w:szCs w:val="20"/>
                <w:vertAlign w:val="superscript"/>
              </w:rPr>
              <w:t>nd</w:t>
            </w:r>
            <w:r w:rsidR="00B87399" w:rsidRPr="00895FD1">
              <w:rPr>
                <w:szCs w:val="20"/>
              </w:rPr>
              <w:t xml:space="preserve"> </w:t>
            </w:r>
            <w:r w:rsidRPr="00895FD1">
              <w:rPr>
                <w:szCs w:val="20"/>
              </w:rPr>
              <w:t xml:space="preserve">test </w:t>
            </w:r>
            <w:r w:rsidR="00486D27" w:rsidRPr="00895FD1">
              <w:rPr>
                <w:szCs w:val="20"/>
              </w:rPr>
              <w:t>(</w:t>
            </w:r>
            <w:r w:rsidR="001306D5" w:rsidRPr="00895FD1">
              <w:rPr>
                <w:szCs w:val="20"/>
              </w:rPr>
              <w:t xml:space="preserve">for </w:t>
            </w:r>
            <w:r w:rsidR="00F54820" w:rsidRPr="00895FD1">
              <w:rPr>
                <w:szCs w:val="20"/>
              </w:rPr>
              <w:t>68.7%</w:t>
            </w:r>
            <w:r w:rsidR="00932B1B" w:rsidRPr="00895FD1">
              <w:rPr>
                <w:szCs w:val="20"/>
              </w:rPr>
              <w:t xml:space="preserve"> of </w:t>
            </w:r>
            <w:r w:rsidR="00B87399" w:rsidRPr="00895FD1">
              <w:rPr>
                <w:szCs w:val="20"/>
              </w:rPr>
              <w:t xml:space="preserve">remaining </w:t>
            </w:r>
            <w:r w:rsidR="00932B1B" w:rsidRPr="00895FD1">
              <w:rPr>
                <w:szCs w:val="20"/>
              </w:rPr>
              <w:t xml:space="preserve">patients) </w:t>
            </w:r>
            <w:r w:rsidR="00511419" w:rsidRPr="00895FD1">
              <w:rPr>
                <w:szCs w:val="20"/>
              </w:rPr>
              <w:t>-</w:t>
            </w:r>
            <w:r w:rsidR="00E52BB3" w:rsidRPr="00895FD1">
              <w:rPr>
                <w:szCs w:val="20"/>
              </w:rPr>
              <w:t>additional 12.8% t</w:t>
            </w:r>
            <w:r w:rsidR="00B87399" w:rsidRPr="00895FD1">
              <w:rPr>
                <w:szCs w:val="20"/>
              </w:rPr>
              <w:t>es</w:t>
            </w:r>
            <w:r w:rsidR="00E52BB3" w:rsidRPr="00895FD1">
              <w:rPr>
                <w:szCs w:val="20"/>
              </w:rPr>
              <w:t>t positive</w:t>
            </w:r>
          </w:p>
          <w:p w14:paraId="29CEDA9D" w14:textId="74D406F6" w:rsidR="004869C1" w:rsidRPr="00895FD1" w:rsidRDefault="004869C1" w:rsidP="002553CE">
            <w:pPr>
              <w:pStyle w:val="TableText"/>
              <w:widowControl/>
              <w:rPr>
                <w:rFonts w:cstheme="minorHAnsi"/>
                <w:szCs w:val="20"/>
              </w:rPr>
            </w:pPr>
            <w:r w:rsidRPr="00895FD1">
              <w:rPr>
                <w:rFonts w:cstheme="minorHAnsi"/>
                <w:szCs w:val="20"/>
              </w:rPr>
              <w:t xml:space="preserve">40.1% total yield </w:t>
            </w:r>
          </w:p>
        </w:tc>
        <w:tc>
          <w:tcPr>
            <w:tcW w:w="624" w:type="pct"/>
            <w:vAlign w:val="center"/>
          </w:tcPr>
          <w:p w14:paraId="7FA5829C" w14:textId="5570C716" w:rsidR="001C2F9B"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84"/>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4"/>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4"/>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0B90A91D" w14:textId="3CA13DDB" w:rsidR="001C2F9B" w:rsidRPr="00895FD1" w:rsidRDefault="008E6A93" w:rsidP="002553CE">
            <w:pPr>
              <w:pStyle w:val="TableText"/>
              <w:widowControl/>
              <w:jc w:val="center"/>
              <w:rPr>
                <w:rFonts w:cstheme="minorHAnsi"/>
                <w:szCs w:val="20"/>
              </w:rPr>
            </w:pPr>
            <w:r w:rsidRPr="00895FD1">
              <w:rPr>
                <w:rFonts w:cstheme="minorHAnsi"/>
                <w:szCs w:val="20"/>
              </w:rPr>
              <w:t>0.60</w:t>
            </w:r>
          </w:p>
        </w:tc>
        <w:tc>
          <w:tcPr>
            <w:tcW w:w="557" w:type="pct"/>
            <w:vAlign w:val="center"/>
          </w:tcPr>
          <w:p w14:paraId="47B47C8D" w14:textId="78EC1B2E" w:rsidR="001C2F9B"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600"/>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600"/>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600"/>
                <w14:textFill>
                  <w14:solidFill>
                    <w14:srgbClr w14:val="000000">
                      <w14:alpha w14:val="100000"/>
                    </w14:srgbClr>
                  </w14:solidFill>
                </w14:textFill>
              </w:rPr>
              <w:t xml:space="preserve">　</w:t>
            </w:r>
            <w:r w:rsidR="00600294" w:rsidRPr="00895FD1">
              <w:rPr>
                <w:rFonts w:cstheme="minorHAnsi"/>
                <w:szCs w:val="20"/>
                <w:vertAlign w:val="superscript"/>
              </w:rPr>
              <w:t>3</w:t>
            </w:r>
          </w:p>
        </w:tc>
        <w:tc>
          <w:tcPr>
            <w:tcW w:w="779" w:type="pct"/>
            <w:vAlign w:val="center"/>
          </w:tcPr>
          <w:p w14:paraId="721AFDD8" w14:textId="2BDD95C0" w:rsidR="001C2F9B" w:rsidRPr="00895FD1" w:rsidRDefault="7492BE60" w:rsidP="002553CE">
            <w:pPr>
              <w:pStyle w:val="TableText"/>
              <w:widowControl/>
              <w:jc w:val="center"/>
              <w:rPr>
                <w:szCs w:val="20"/>
              </w:rPr>
            </w:pPr>
            <w:r w:rsidRPr="00895FD1">
              <w:rPr>
                <w:szCs w:val="20"/>
              </w:rPr>
              <w:t>+</w:t>
            </w:r>
            <w:r w:rsidR="00F4744A">
              <w:rPr>
                <w:rFonts w:hint="eastAsia"/>
                <w:color w:val="000000"/>
                <w:w w:val="15"/>
                <w:szCs w:val="20"/>
                <w:shd w:val="solid" w:color="000000" w:fill="000000"/>
                <w:fitText w:val="12" w:id="-694393599"/>
                <w14:textFill>
                  <w14:solidFill>
                    <w14:srgbClr w14:val="000000">
                      <w14:alpha w14:val="100000"/>
                    </w14:srgbClr>
                  </w14:solidFill>
                </w14:textFill>
              </w:rPr>
              <w:t xml:space="preserve">　</w:t>
            </w:r>
            <w:r w:rsidR="00F4744A">
              <w:rPr>
                <w:color w:val="000000"/>
                <w:w w:val="15"/>
                <w:szCs w:val="20"/>
                <w:shd w:val="solid" w:color="000000" w:fill="000000"/>
                <w:fitText w:val="12" w:id="-694393599"/>
                <w14:textFill>
                  <w14:solidFill>
                    <w14:srgbClr w14:val="000000">
                      <w14:alpha w14:val="100000"/>
                    </w14:srgbClr>
                  </w14:solidFill>
                </w14:textFill>
              </w:rPr>
              <w:t>|</w:t>
            </w:r>
            <w:r w:rsidR="00F4744A">
              <w:rPr>
                <w:rFonts w:hint="eastAsia"/>
                <w:color w:val="000000"/>
                <w:spacing w:val="-54"/>
                <w:w w:val="15"/>
                <w:szCs w:val="20"/>
                <w:shd w:val="solid" w:color="000000" w:fill="000000"/>
                <w:fitText w:val="12" w:id="-694393599"/>
                <w14:textFill>
                  <w14:solidFill>
                    <w14:srgbClr w14:val="000000">
                      <w14:alpha w14:val="100000"/>
                    </w14:srgbClr>
                  </w14:solidFill>
                </w14:textFill>
              </w:rPr>
              <w:t xml:space="preserve">　</w:t>
            </w:r>
            <w:r w:rsidRPr="00895FD1">
              <w:rPr>
                <w:szCs w:val="20"/>
              </w:rPr>
              <w:t>%</w:t>
            </w:r>
          </w:p>
        </w:tc>
      </w:tr>
      <w:tr w:rsidR="00096FEB" w:rsidRPr="00895FD1" w14:paraId="373B4980" w14:textId="77777777" w:rsidTr="00096FEB">
        <w:trPr>
          <w:cantSplit/>
          <w:trHeight w:val="20"/>
          <w:jc w:val="center"/>
        </w:trPr>
        <w:tc>
          <w:tcPr>
            <w:tcW w:w="2416" w:type="pct"/>
            <w:vAlign w:val="center"/>
          </w:tcPr>
          <w:p w14:paraId="6EA62FFE" w14:textId="396DC20F" w:rsidR="008C022A" w:rsidRPr="00895FD1" w:rsidRDefault="50C3BB26" w:rsidP="002553CE">
            <w:pPr>
              <w:pStyle w:val="TableText"/>
              <w:widowControl/>
              <w:rPr>
                <w:szCs w:val="20"/>
              </w:rPr>
            </w:pPr>
            <w:r w:rsidRPr="00895FD1">
              <w:rPr>
                <w:szCs w:val="20"/>
              </w:rPr>
              <w:t>$647.05/ test, $1,356.53 per patient identified</w:t>
            </w:r>
          </w:p>
        </w:tc>
        <w:tc>
          <w:tcPr>
            <w:tcW w:w="624" w:type="pct"/>
            <w:vAlign w:val="center"/>
          </w:tcPr>
          <w:p w14:paraId="788C15B0" w14:textId="688D0005" w:rsidR="008C022A"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8"/>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8"/>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8"/>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3128E8DD" w14:textId="57622462" w:rsidR="008C022A" w:rsidRPr="00895FD1" w:rsidRDefault="008C022A" w:rsidP="002553CE">
            <w:pPr>
              <w:pStyle w:val="TableText"/>
              <w:widowControl/>
              <w:jc w:val="center"/>
              <w:rPr>
                <w:rFonts w:cstheme="minorHAnsi"/>
                <w:szCs w:val="20"/>
              </w:rPr>
            </w:pPr>
            <w:r w:rsidRPr="00895FD1">
              <w:rPr>
                <w:rFonts w:cstheme="minorHAnsi"/>
                <w:szCs w:val="20"/>
              </w:rPr>
              <w:t>0.60</w:t>
            </w:r>
          </w:p>
        </w:tc>
        <w:tc>
          <w:tcPr>
            <w:tcW w:w="557" w:type="pct"/>
            <w:vAlign w:val="center"/>
          </w:tcPr>
          <w:p w14:paraId="097A3DBB" w14:textId="54FF7464" w:rsidR="008C022A"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97"/>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7"/>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7"/>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319EE170" w14:textId="5A63C86C" w:rsidR="008C022A" w:rsidRPr="00895FD1" w:rsidRDefault="008C022A" w:rsidP="002553CE">
            <w:pPr>
              <w:pStyle w:val="TableText"/>
              <w:widowControl/>
              <w:jc w:val="center"/>
              <w:rPr>
                <w:rFonts w:cstheme="minorHAnsi"/>
                <w:szCs w:val="20"/>
              </w:rPr>
            </w:pPr>
            <w:r w:rsidRPr="00895FD1">
              <w:rPr>
                <w:rFonts w:cstheme="minorHAnsi"/>
                <w:szCs w:val="20"/>
              </w:rPr>
              <w:t>-</w:t>
            </w:r>
            <w:r w:rsidR="00F4744A" w:rsidRPr="00F4744A">
              <w:rPr>
                <w:rFonts w:cstheme="minorHAnsi"/>
                <w:color w:val="000000"/>
                <w:szCs w:val="20"/>
                <w:shd w:val="solid" w:color="000000" w:fill="000000"/>
                <w14:textFill>
                  <w14:solidFill>
                    <w14:srgbClr w14:val="000000">
                      <w14:alpha w14:val="100000"/>
                    </w14:srgbClr>
                  </w14:solidFill>
                </w14:textFill>
              </w:rPr>
              <w:t>|</w:t>
            </w:r>
            <w:r w:rsidRPr="00895FD1">
              <w:rPr>
                <w:rFonts w:cstheme="minorHAnsi"/>
                <w:szCs w:val="20"/>
              </w:rPr>
              <w:t>%</w:t>
            </w:r>
          </w:p>
        </w:tc>
      </w:tr>
      <w:tr w:rsidR="00096FEB" w:rsidRPr="00895FD1" w14:paraId="2221FE6C" w14:textId="77777777" w:rsidTr="00096FEB">
        <w:trPr>
          <w:cantSplit/>
          <w:trHeight w:val="20"/>
          <w:jc w:val="center"/>
        </w:trPr>
        <w:tc>
          <w:tcPr>
            <w:tcW w:w="2416" w:type="pct"/>
            <w:vAlign w:val="center"/>
          </w:tcPr>
          <w:p w14:paraId="0A229C1C" w14:textId="2FF7C4DC" w:rsidR="008C022A" w:rsidRPr="00895FD1" w:rsidRDefault="50C3BB26" w:rsidP="002553CE">
            <w:pPr>
              <w:pStyle w:val="TableText"/>
              <w:widowControl/>
              <w:rPr>
                <w:szCs w:val="20"/>
              </w:rPr>
            </w:pPr>
            <w:r w:rsidRPr="00895FD1">
              <w:rPr>
                <w:szCs w:val="20"/>
              </w:rPr>
              <w:t>$1,766.75/ test, $3,703.98 per patient identified</w:t>
            </w:r>
          </w:p>
        </w:tc>
        <w:tc>
          <w:tcPr>
            <w:tcW w:w="624" w:type="pct"/>
            <w:vAlign w:val="center"/>
          </w:tcPr>
          <w:p w14:paraId="6CCBA534" w14:textId="5768C059" w:rsidR="008C022A"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6"/>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6"/>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6"/>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5B8D9D39" w14:textId="446BF11F" w:rsidR="008C022A" w:rsidRPr="00895FD1" w:rsidRDefault="008C022A" w:rsidP="002553CE">
            <w:pPr>
              <w:pStyle w:val="TableText"/>
              <w:widowControl/>
              <w:jc w:val="center"/>
              <w:rPr>
                <w:rFonts w:cstheme="minorHAnsi"/>
                <w:szCs w:val="20"/>
              </w:rPr>
            </w:pPr>
            <w:r w:rsidRPr="00895FD1">
              <w:rPr>
                <w:rFonts w:cstheme="minorHAnsi"/>
                <w:szCs w:val="20"/>
              </w:rPr>
              <w:t>0.60</w:t>
            </w:r>
          </w:p>
        </w:tc>
        <w:tc>
          <w:tcPr>
            <w:tcW w:w="557" w:type="pct"/>
            <w:vAlign w:val="center"/>
          </w:tcPr>
          <w:p w14:paraId="62D56BBF" w14:textId="13553A6F" w:rsidR="008C022A"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95"/>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5"/>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5"/>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309368A3" w14:textId="1C837CD8" w:rsidR="008C022A" w:rsidRPr="00895FD1" w:rsidRDefault="008C022A" w:rsidP="002553CE">
            <w:pPr>
              <w:pStyle w:val="TableText"/>
              <w:widowControl/>
              <w:jc w:val="center"/>
              <w:rPr>
                <w:rFonts w:cstheme="minorHAnsi"/>
                <w:szCs w:val="20"/>
              </w:rPr>
            </w:pPr>
            <w:r w:rsidRPr="00895FD1">
              <w:rPr>
                <w:rFonts w:cstheme="minorHAnsi"/>
                <w:szCs w:val="20"/>
              </w:rPr>
              <w:t>+</w:t>
            </w:r>
            <w:r w:rsidR="00F4744A">
              <w:rPr>
                <w:rFonts w:cstheme="minorHAnsi" w:hint="eastAsia"/>
                <w:color w:val="000000"/>
                <w:w w:val="15"/>
                <w:szCs w:val="20"/>
                <w:shd w:val="solid" w:color="000000" w:fill="000000"/>
                <w:fitText w:val="12" w:id="-694393594"/>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4"/>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4"/>
                <w14:textFill>
                  <w14:solidFill>
                    <w14:srgbClr w14:val="000000">
                      <w14:alpha w14:val="100000"/>
                    </w14:srgbClr>
                  </w14:solidFill>
                </w14:textFill>
              </w:rPr>
              <w:t xml:space="preserve">　</w:t>
            </w:r>
            <w:r w:rsidRPr="00895FD1">
              <w:rPr>
                <w:rFonts w:cstheme="minorHAnsi"/>
                <w:szCs w:val="20"/>
              </w:rPr>
              <w:t>%</w:t>
            </w:r>
          </w:p>
        </w:tc>
      </w:tr>
      <w:tr w:rsidR="008C022A" w:rsidRPr="00895FD1" w14:paraId="23434543" w14:textId="77777777" w:rsidTr="001504A5">
        <w:trPr>
          <w:cantSplit/>
          <w:trHeight w:val="20"/>
          <w:jc w:val="center"/>
        </w:trPr>
        <w:tc>
          <w:tcPr>
            <w:tcW w:w="5000" w:type="pct"/>
            <w:gridSpan w:val="5"/>
            <w:vAlign w:val="center"/>
          </w:tcPr>
          <w:p w14:paraId="75E9BEA2" w14:textId="77777777" w:rsidR="008C022A" w:rsidRPr="00895FD1" w:rsidRDefault="008C022A" w:rsidP="002553CE">
            <w:pPr>
              <w:pStyle w:val="TableText"/>
              <w:keepNext/>
              <w:widowControl/>
              <w:rPr>
                <w:rFonts w:eastAsia="Calibri"/>
                <w:szCs w:val="20"/>
              </w:rPr>
            </w:pPr>
            <w:r w:rsidRPr="00895FD1">
              <w:rPr>
                <w:rFonts w:cstheme="minorHAnsi"/>
                <w:b/>
                <w:bCs/>
                <w:szCs w:val="20"/>
              </w:rPr>
              <w:t>Stepped multi-variate analyses</w:t>
            </w:r>
          </w:p>
        </w:tc>
      </w:tr>
      <w:tr w:rsidR="00096FEB" w:rsidRPr="00895FD1" w14:paraId="443F2175" w14:textId="77777777" w:rsidTr="00096FEB">
        <w:trPr>
          <w:cantSplit/>
          <w:trHeight w:val="20"/>
          <w:jc w:val="center"/>
        </w:trPr>
        <w:tc>
          <w:tcPr>
            <w:tcW w:w="2416" w:type="pct"/>
            <w:vAlign w:val="center"/>
          </w:tcPr>
          <w:p w14:paraId="66C4F148" w14:textId="04D1E8F1" w:rsidR="008C022A" w:rsidRPr="00895FD1" w:rsidRDefault="50C3BB26" w:rsidP="002553CE">
            <w:pPr>
              <w:pStyle w:val="TableText"/>
              <w:widowControl/>
              <w:numPr>
                <w:ilvl w:val="0"/>
                <w:numId w:val="30"/>
              </w:numPr>
              <w:ind w:left="368" w:hanging="281"/>
              <w:rPr>
                <w:szCs w:val="20"/>
              </w:rPr>
            </w:pPr>
            <w:r w:rsidRPr="00895FD1">
              <w:rPr>
                <w:szCs w:val="20"/>
              </w:rPr>
              <w:t>Truncation point for PFS, OS, TCD and TTD outcomes derived using methods from Gebski 2018 (base case = mean OS follow up [18 months])</w:t>
            </w:r>
          </w:p>
        </w:tc>
        <w:tc>
          <w:tcPr>
            <w:tcW w:w="624" w:type="pct"/>
            <w:vAlign w:val="center"/>
          </w:tcPr>
          <w:p w14:paraId="2C693E1C" w14:textId="1878B67F"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15"/>
                <w:szCs w:val="20"/>
                <w:shd w:val="solid" w:color="000000" w:fill="000000"/>
                <w:fitText w:val="37" w:id="-694393593"/>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3"/>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3"/>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vAlign w:val="center"/>
          </w:tcPr>
          <w:p w14:paraId="5C8081AD" w14:textId="77777777" w:rsidR="008C022A" w:rsidRPr="00895FD1" w:rsidRDefault="008C022A" w:rsidP="002553CE">
            <w:pPr>
              <w:pStyle w:val="TableText"/>
              <w:widowControl/>
              <w:jc w:val="center"/>
              <w:rPr>
                <w:rFonts w:eastAsia="Calibri"/>
                <w:szCs w:val="20"/>
              </w:rPr>
            </w:pPr>
            <w:r w:rsidRPr="00895FD1">
              <w:rPr>
                <w:rFonts w:cstheme="minorHAnsi"/>
                <w:szCs w:val="20"/>
              </w:rPr>
              <w:t>0.57</w:t>
            </w:r>
          </w:p>
        </w:tc>
        <w:tc>
          <w:tcPr>
            <w:tcW w:w="557" w:type="pct"/>
            <w:vAlign w:val="center"/>
          </w:tcPr>
          <w:p w14:paraId="48FBAAF4" w14:textId="4FBEA386"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28"/>
                <w:szCs w:val="20"/>
                <w:shd w:val="solid" w:color="000000" w:fill="000000"/>
                <w:fitText w:val="125" w:id="-694393592"/>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2"/>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2"/>
                <w14:textFill>
                  <w14:solidFill>
                    <w14:srgbClr w14:val="000000">
                      <w14:alpha w14:val="100000"/>
                    </w14:srgbClr>
                  </w14:solidFill>
                </w14:textFill>
              </w:rPr>
              <w:t xml:space="preserve">　</w:t>
            </w:r>
            <w:r w:rsidR="00A27688" w:rsidRPr="00895FD1">
              <w:rPr>
                <w:rFonts w:cstheme="minorHAnsi"/>
                <w:b/>
                <w:bCs/>
                <w:szCs w:val="20"/>
                <w:vertAlign w:val="superscript"/>
              </w:rPr>
              <w:t>1</w:t>
            </w:r>
          </w:p>
        </w:tc>
        <w:tc>
          <w:tcPr>
            <w:tcW w:w="779" w:type="pct"/>
            <w:vAlign w:val="center"/>
          </w:tcPr>
          <w:p w14:paraId="79DA3C10" w14:textId="24D5EFA4" w:rsidR="008C022A" w:rsidRPr="00895FD1" w:rsidRDefault="008C022A"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1"/>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1"/>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1"/>
                <w14:textFill>
                  <w14:solidFill>
                    <w14:srgbClr w14:val="000000">
                      <w14:alpha w14:val="100000"/>
                    </w14:srgbClr>
                  </w14:solidFill>
                </w14:textFill>
              </w:rPr>
              <w:t xml:space="preserve">　</w:t>
            </w:r>
            <w:r w:rsidRPr="00895FD1">
              <w:rPr>
                <w:rFonts w:cstheme="minorHAnsi"/>
                <w:szCs w:val="20"/>
              </w:rPr>
              <w:t>%</w:t>
            </w:r>
          </w:p>
        </w:tc>
      </w:tr>
      <w:tr w:rsidR="00096FEB" w:rsidRPr="00895FD1" w14:paraId="2A98CE51" w14:textId="77777777" w:rsidTr="00096FEB">
        <w:trPr>
          <w:cantSplit/>
          <w:trHeight w:val="20"/>
          <w:jc w:val="center"/>
        </w:trPr>
        <w:tc>
          <w:tcPr>
            <w:tcW w:w="2416" w:type="pct"/>
            <w:vAlign w:val="center"/>
          </w:tcPr>
          <w:p w14:paraId="44F351DB" w14:textId="0106F9D7" w:rsidR="008C022A" w:rsidRPr="00895FD1" w:rsidRDefault="50C3BB26" w:rsidP="002553CE">
            <w:pPr>
              <w:pStyle w:val="TableText"/>
              <w:widowControl/>
              <w:numPr>
                <w:ilvl w:val="0"/>
                <w:numId w:val="30"/>
              </w:numPr>
              <w:ind w:left="368" w:hanging="281"/>
              <w:rPr>
                <w:szCs w:val="20"/>
              </w:rPr>
            </w:pPr>
            <w:r w:rsidRPr="00895FD1">
              <w:rPr>
                <w:szCs w:val="20"/>
              </w:rPr>
              <w:lastRenderedPageBreak/>
              <w:t>OS extrapolation elacestrant = Gamma (base case = Log-logistic)</w:t>
            </w:r>
          </w:p>
        </w:tc>
        <w:tc>
          <w:tcPr>
            <w:tcW w:w="624" w:type="pct"/>
          </w:tcPr>
          <w:p w14:paraId="45981BEB" w14:textId="42959186"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15"/>
                <w:szCs w:val="20"/>
                <w:shd w:val="solid" w:color="000000" w:fill="000000"/>
                <w:fitText w:val="37" w:id="-694393590"/>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0"/>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0"/>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tcPr>
          <w:p w14:paraId="7773ECA5" w14:textId="77777777" w:rsidR="008C022A" w:rsidRPr="00895FD1" w:rsidRDefault="008C022A" w:rsidP="002553CE">
            <w:pPr>
              <w:pStyle w:val="TableText"/>
              <w:widowControl/>
              <w:jc w:val="center"/>
              <w:rPr>
                <w:rFonts w:eastAsia="Calibri"/>
                <w:szCs w:val="20"/>
              </w:rPr>
            </w:pPr>
            <w:r w:rsidRPr="00895FD1">
              <w:rPr>
                <w:rFonts w:cstheme="minorHAnsi"/>
                <w:szCs w:val="20"/>
              </w:rPr>
              <w:t>0.39</w:t>
            </w:r>
          </w:p>
        </w:tc>
        <w:tc>
          <w:tcPr>
            <w:tcW w:w="557" w:type="pct"/>
          </w:tcPr>
          <w:p w14:paraId="354A73D2" w14:textId="60C9F649"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28"/>
                <w:szCs w:val="20"/>
                <w:shd w:val="solid" w:color="000000" w:fill="000000"/>
                <w:fitText w:val="125" w:id="-694393589"/>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9"/>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9"/>
                <w14:textFill>
                  <w14:solidFill>
                    <w14:srgbClr w14:val="000000">
                      <w14:alpha w14:val="100000"/>
                    </w14:srgbClr>
                  </w14:solidFill>
                </w14:textFill>
              </w:rPr>
              <w:t xml:space="preserve">　</w:t>
            </w:r>
            <w:r w:rsidR="008D1A62" w:rsidRPr="00895FD1">
              <w:rPr>
                <w:rFonts w:cstheme="minorHAnsi"/>
                <w:szCs w:val="20"/>
                <w:vertAlign w:val="superscript"/>
              </w:rPr>
              <w:t>2</w:t>
            </w:r>
          </w:p>
        </w:tc>
        <w:tc>
          <w:tcPr>
            <w:tcW w:w="779" w:type="pct"/>
          </w:tcPr>
          <w:p w14:paraId="044A1F20" w14:textId="6CFAE9F9" w:rsidR="008C022A" w:rsidRPr="00895FD1" w:rsidRDefault="008C022A"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88"/>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88"/>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88"/>
                <w14:textFill>
                  <w14:solidFill>
                    <w14:srgbClr w14:val="000000">
                      <w14:alpha w14:val="100000"/>
                    </w14:srgbClr>
                  </w14:solidFill>
                </w14:textFill>
              </w:rPr>
              <w:t xml:space="preserve">　</w:t>
            </w:r>
            <w:r w:rsidRPr="00895FD1">
              <w:rPr>
                <w:rFonts w:cstheme="minorHAnsi"/>
                <w:szCs w:val="20"/>
              </w:rPr>
              <w:t>%</w:t>
            </w:r>
          </w:p>
        </w:tc>
      </w:tr>
      <w:tr w:rsidR="00096FEB" w:rsidRPr="00895FD1" w14:paraId="602B75F6" w14:textId="77777777" w:rsidTr="00096FEB">
        <w:trPr>
          <w:cantSplit/>
          <w:trHeight w:val="20"/>
          <w:jc w:val="center"/>
        </w:trPr>
        <w:tc>
          <w:tcPr>
            <w:tcW w:w="2416" w:type="pct"/>
            <w:vAlign w:val="center"/>
          </w:tcPr>
          <w:p w14:paraId="432FBC0A" w14:textId="77777777" w:rsidR="008C022A" w:rsidRPr="00895FD1" w:rsidRDefault="008C022A" w:rsidP="002553CE">
            <w:pPr>
              <w:pStyle w:val="TableText"/>
              <w:widowControl/>
              <w:numPr>
                <w:ilvl w:val="0"/>
                <w:numId w:val="30"/>
              </w:numPr>
              <w:ind w:left="368" w:hanging="281"/>
              <w:rPr>
                <w:szCs w:val="20"/>
              </w:rPr>
            </w:pPr>
            <w:r w:rsidRPr="00895FD1">
              <w:rPr>
                <w:szCs w:val="20"/>
              </w:rPr>
              <w:t>OS extrapolation SOC = Gamma (base case = Gompertz)</w:t>
            </w:r>
          </w:p>
        </w:tc>
        <w:tc>
          <w:tcPr>
            <w:tcW w:w="624" w:type="pct"/>
          </w:tcPr>
          <w:p w14:paraId="194D9178" w14:textId="1288CF91"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15"/>
                <w:szCs w:val="20"/>
                <w:shd w:val="solid" w:color="000000" w:fill="000000"/>
                <w:fitText w:val="37" w:id="-694393587"/>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7"/>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7"/>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tcPr>
          <w:p w14:paraId="4FD26729" w14:textId="77777777" w:rsidR="008C022A" w:rsidRPr="00895FD1" w:rsidRDefault="008C022A" w:rsidP="002553CE">
            <w:pPr>
              <w:pStyle w:val="TableText"/>
              <w:widowControl/>
              <w:jc w:val="center"/>
              <w:rPr>
                <w:rFonts w:eastAsia="Calibri"/>
                <w:szCs w:val="20"/>
              </w:rPr>
            </w:pPr>
            <w:r w:rsidRPr="00895FD1">
              <w:rPr>
                <w:rFonts w:cstheme="minorHAnsi"/>
                <w:szCs w:val="20"/>
              </w:rPr>
              <w:t>0.30</w:t>
            </w:r>
          </w:p>
        </w:tc>
        <w:tc>
          <w:tcPr>
            <w:tcW w:w="557" w:type="pct"/>
          </w:tcPr>
          <w:p w14:paraId="55CC5D12" w14:textId="0812E1B0"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28"/>
                <w:szCs w:val="20"/>
                <w:shd w:val="solid" w:color="000000" w:fill="000000"/>
                <w:fitText w:val="125" w:id="-694393586"/>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86"/>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86"/>
                <w14:textFill>
                  <w14:solidFill>
                    <w14:srgbClr w14:val="000000">
                      <w14:alpha w14:val="100000"/>
                    </w14:srgbClr>
                  </w14:solidFill>
                </w14:textFill>
              </w:rPr>
              <w:t xml:space="preserve">　</w:t>
            </w:r>
            <w:r w:rsidR="00600294" w:rsidRPr="00895FD1">
              <w:rPr>
                <w:rFonts w:cstheme="minorHAnsi"/>
                <w:szCs w:val="20"/>
                <w:vertAlign w:val="superscript"/>
              </w:rPr>
              <w:t>4</w:t>
            </w:r>
          </w:p>
        </w:tc>
        <w:tc>
          <w:tcPr>
            <w:tcW w:w="779" w:type="pct"/>
          </w:tcPr>
          <w:p w14:paraId="1C1B58D4" w14:textId="36E24E26" w:rsidR="008C022A" w:rsidRPr="00895FD1" w:rsidRDefault="008C022A"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85"/>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85"/>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85"/>
                <w14:textFill>
                  <w14:solidFill>
                    <w14:srgbClr w14:val="000000">
                      <w14:alpha w14:val="100000"/>
                    </w14:srgbClr>
                  </w14:solidFill>
                </w14:textFill>
              </w:rPr>
              <w:t xml:space="preserve">　</w:t>
            </w:r>
            <w:r w:rsidRPr="00895FD1">
              <w:rPr>
                <w:rFonts w:cstheme="minorHAnsi"/>
                <w:szCs w:val="20"/>
              </w:rPr>
              <w:t>%</w:t>
            </w:r>
          </w:p>
        </w:tc>
      </w:tr>
      <w:tr w:rsidR="00096FEB" w:rsidRPr="00895FD1" w14:paraId="5470D03B" w14:textId="77777777" w:rsidTr="00096FEB">
        <w:trPr>
          <w:cantSplit/>
          <w:trHeight w:val="20"/>
          <w:jc w:val="center"/>
        </w:trPr>
        <w:tc>
          <w:tcPr>
            <w:tcW w:w="2416" w:type="pct"/>
            <w:vAlign w:val="center"/>
          </w:tcPr>
          <w:p w14:paraId="7E593A00" w14:textId="5254A8DC" w:rsidR="008C022A" w:rsidRPr="00895FD1" w:rsidRDefault="50C3BB26" w:rsidP="002553CE">
            <w:pPr>
              <w:pStyle w:val="TableText"/>
              <w:widowControl/>
              <w:numPr>
                <w:ilvl w:val="0"/>
                <w:numId w:val="30"/>
              </w:numPr>
              <w:ind w:left="368" w:hanging="281"/>
              <w:rPr>
                <w:szCs w:val="20"/>
              </w:rPr>
            </w:pPr>
            <w:r w:rsidRPr="00895FD1">
              <w:rPr>
                <w:szCs w:val="20"/>
              </w:rPr>
              <w:t>PFS extrapolation elacestrant = log-normal (base case = generalised gamma)</w:t>
            </w:r>
          </w:p>
        </w:tc>
        <w:tc>
          <w:tcPr>
            <w:tcW w:w="624" w:type="pct"/>
          </w:tcPr>
          <w:p w14:paraId="401317D2" w14:textId="4055587B"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15"/>
                <w:szCs w:val="20"/>
                <w:shd w:val="solid" w:color="000000" w:fill="000000"/>
                <w:fitText w:val="37" w:id="-694393584"/>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84"/>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84"/>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tcPr>
          <w:p w14:paraId="3785BD04" w14:textId="77777777" w:rsidR="008C022A" w:rsidRPr="00895FD1" w:rsidRDefault="008C022A" w:rsidP="002553CE">
            <w:pPr>
              <w:pStyle w:val="TableText"/>
              <w:widowControl/>
              <w:jc w:val="center"/>
              <w:rPr>
                <w:rFonts w:eastAsia="Calibri"/>
                <w:szCs w:val="20"/>
              </w:rPr>
            </w:pPr>
            <w:r w:rsidRPr="00895FD1">
              <w:rPr>
                <w:rFonts w:cstheme="minorHAnsi"/>
                <w:szCs w:val="20"/>
              </w:rPr>
              <w:t>0.23</w:t>
            </w:r>
          </w:p>
        </w:tc>
        <w:tc>
          <w:tcPr>
            <w:tcW w:w="557" w:type="pct"/>
          </w:tcPr>
          <w:p w14:paraId="20B1013F" w14:textId="415C3267"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28"/>
                <w:szCs w:val="20"/>
                <w:shd w:val="solid" w:color="000000" w:fill="000000"/>
                <w:fitText w:val="125" w:id="-694393600"/>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600"/>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600"/>
                <w14:textFill>
                  <w14:solidFill>
                    <w14:srgbClr w14:val="000000">
                      <w14:alpha w14:val="100000"/>
                    </w14:srgbClr>
                  </w14:solidFill>
                </w14:textFill>
              </w:rPr>
              <w:t xml:space="preserve">　</w:t>
            </w:r>
            <w:r w:rsidR="004211AE" w:rsidRPr="00895FD1">
              <w:rPr>
                <w:rFonts w:cstheme="minorHAnsi"/>
                <w:szCs w:val="20"/>
                <w:vertAlign w:val="superscript"/>
              </w:rPr>
              <w:t>5</w:t>
            </w:r>
          </w:p>
        </w:tc>
        <w:tc>
          <w:tcPr>
            <w:tcW w:w="779" w:type="pct"/>
          </w:tcPr>
          <w:p w14:paraId="4189899B" w14:textId="125215FA" w:rsidR="008C022A" w:rsidRPr="00895FD1" w:rsidRDefault="008C022A"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9"/>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9"/>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9"/>
                <w14:textFill>
                  <w14:solidFill>
                    <w14:srgbClr w14:val="000000">
                      <w14:alpha w14:val="100000"/>
                    </w14:srgbClr>
                  </w14:solidFill>
                </w14:textFill>
              </w:rPr>
              <w:t xml:space="preserve">　</w:t>
            </w:r>
            <w:r w:rsidRPr="00895FD1">
              <w:rPr>
                <w:rFonts w:cstheme="minorHAnsi"/>
                <w:szCs w:val="20"/>
              </w:rPr>
              <w:t>%</w:t>
            </w:r>
          </w:p>
        </w:tc>
      </w:tr>
      <w:tr w:rsidR="00096FEB" w:rsidRPr="00895FD1" w14:paraId="6E570875" w14:textId="77777777" w:rsidTr="00096FEB">
        <w:trPr>
          <w:cantSplit/>
          <w:trHeight w:val="20"/>
          <w:jc w:val="center"/>
        </w:trPr>
        <w:tc>
          <w:tcPr>
            <w:tcW w:w="2416" w:type="pct"/>
            <w:vAlign w:val="center"/>
          </w:tcPr>
          <w:p w14:paraId="6237A5F3" w14:textId="2F9B883B" w:rsidR="008C022A" w:rsidRPr="00895FD1" w:rsidRDefault="50C3BB26" w:rsidP="002553CE">
            <w:pPr>
              <w:pStyle w:val="TableText"/>
              <w:widowControl/>
              <w:numPr>
                <w:ilvl w:val="0"/>
                <w:numId w:val="30"/>
              </w:numPr>
              <w:ind w:left="368" w:hanging="281"/>
              <w:rPr>
                <w:szCs w:val="20"/>
              </w:rPr>
            </w:pPr>
            <w:r w:rsidRPr="00895FD1">
              <w:rPr>
                <w:szCs w:val="20"/>
              </w:rPr>
              <w:t xml:space="preserve">PD utility decrement from Lloyd 2006 (PF=0.876, PD=0.604, utility decrement= -0.272 [base case = </w:t>
            </w:r>
            <w:r w:rsidR="00096FEB">
              <w:rPr>
                <w:szCs w:val="20"/>
              </w:rPr>
              <w:noBreakHyphen/>
              <w:t xml:space="preserve"> </w:t>
            </w:r>
            <w:r w:rsidRPr="00895FD1">
              <w:rPr>
                <w:szCs w:val="20"/>
              </w:rPr>
              <w:t>0.333])</w:t>
            </w:r>
          </w:p>
        </w:tc>
        <w:tc>
          <w:tcPr>
            <w:tcW w:w="624" w:type="pct"/>
          </w:tcPr>
          <w:p w14:paraId="0BE64AB3" w14:textId="2C618981"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15"/>
                <w:szCs w:val="20"/>
                <w:shd w:val="solid" w:color="000000" w:fill="000000"/>
                <w:fitText w:val="37" w:id="-694393598"/>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8"/>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8"/>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tcPr>
          <w:p w14:paraId="1CCC6C54" w14:textId="7A14897B" w:rsidR="008C022A" w:rsidRPr="00895FD1" w:rsidRDefault="008C022A" w:rsidP="002553CE">
            <w:pPr>
              <w:pStyle w:val="TableText"/>
              <w:widowControl/>
              <w:jc w:val="center"/>
              <w:rPr>
                <w:rFonts w:eastAsia="Calibri"/>
                <w:szCs w:val="20"/>
              </w:rPr>
            </w:pPr>
            <w:r w:rsidRPr="00895FD1" w:rsidDel="00FA1984">
              <w:rPr>
                <w:rFonts w:cstheme="minorHAnsi"/>
                <w:szCs w:val="20"/>
              </w:rPr>
              <w:t>0.21</w:t>
            </w:r>
          </w:p>
        </w:tc>
        <w:tc>
          <w:tcPr>
            <w:tcW w:w="557" w:type="pct"/>
          </w:tcPr>
          <w:p w14:paraId="696487F0" w14:textId="575A3F2B" w:rsidR="008C022A" w:rsidRPr="00895FD1" w:rsidRDefault="00F4744A" w:rsidP="002553CE">
            <w:pPr>
              <w:pStyle w:val="TableText"/>
              <w:widowControl/>
              <w:jc w:val="center"/>
              <w:rPr>
                <w:rFonts w:eastAsia="Calibri"/>
                <w:szCs w:val="20"/>
                <w:highlight w:val="darkGray"/>
              </w:rPr>
            </w:pPr>
            <w:r w:rsidRPr="00F4744A">
              <w:rPr>
                <w:rFonts w:cstheme="minorHAnsi" w:hint="eastAsia"/>
                <w:color w:val="000000"/>
                <w:w w:val="28"/>
                <w:szCs w:val="20"/>
                <w:shd w:val="solid" w:color="000000" w:fill="000000"/>
                <w:fitText w:val="125" w:id="-694393597"/>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7"/>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7"/>
                <w14:textFill>
                  <w14:solidFill>
                    <w14:srgbClr w14:val="000000">
                      <w14:alpha w14:val="100000"/>
                    </w14:srgbClr>
                  </w14:solidFill>
                </w14:textFill>
              </w:rPr>
              <w:t xml:space="preserve">　</w:t>
            </w:r>
            <w:r w:rsidR="004211AE" w:rsidRPr="00895FD1">
              <w:rPr>
                <w:rFonts w:cstheme="minorHAnsi"/>
                <w:szCs w:val="20"/>
                <w:vertAlign w:val="superscript"/>
              </w:rPr>
              <w:t>5</w:t>
            </w:r>
          </w:p>
        </w:tc>
        <w:tc>
          <w:tcPr>
            <w:tcW w:w="779" w:type="pct"/>
          </w:tcPr>
          <w:p w14:paraId="50BFEF95" w14:textId="7B5AA53D" w:rsidR="008C022A" w:rsidRPr="00895FD1" w:rsidRDefault="008C022A" w:rsidP="002553CE">
            <w:pPr>
              <w:pStyle w:val="TableText"/>
              <w:widowControl/>
              <w:jc w:val="center"/>
              <w:rPr>
                <w:rFonts w:eastAsia="Calibri"/>
                <w:szCs w:val="20"/>
              </w:rPr>
            </w:pPr>
            <w:r w:rsidRPr="00895FD1">
              <w:rPr>
                <w:rFonts w:cstheme="minorHAnsi"/>
                <w:szCs w:val="20"/>
              </w:rPr>
              <w:t>+</w:t>
            </w:r>
            <w:r w:rsidR="00F4744A">
              <w:rPr>
                <w:rFonts w:cstheme="minorHAnsi" w:hint="eastAsia"/>
                <w:color w:val="000000"/>
                <w:w w:val="15"/>
                <w:szCs w:val="20"/>
                <w:shd w:val="solid" w:color="000000" w:fill="000000"/>
                <w:fitText w:val="12" w:id="-694393596"/>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6"/>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6"/>
                <w14:textFill>
                  <w14:solidFill>
                    <w14:srgbClr w14:val="000000">
                      <w14:alpha w14:val="100000"/>
                    </w14:srgbClr>
                  </w14:solidFill>
                </w14:textFill>
              </w:rPr>
              <w:t xml:space="preserve">　</w:t>
            </w:r>
            <w:r w:rsidRPr="00895FD1" w:rsidDel="00FA1984">
              <w:rPr>
                <w:rFonts w:cstheme="minorHAnsi"/>
                <w:szCs w:val="20"/>
              </w:rPr>
              <w:t>%</w:t>
            </w:r>
          </w:p>
        </w:tc>
      </w:tr>
      <w:tr w:rsidR="00096FEB" w:rsidRPr="00895FD1" w14:paraId="3945B67B" w14:textId="77777777" w:rsidTr="00096FEB">
        <w:trPr>
          <w:cantSplit/>
          <w:trHeight w:val="20"/>
          <w:jc w:val="center"/>
        </w:trPr>
        <w:tc>
          <w:tcPr>
            <w:tcW w:w="2416" w:type="pct"/>
            <w:vAlign w:val="center"/>
          </w:tcPr>
          <w:p w14:paraId="0260B686" w14:textId="04E630B9" w:rsidR="008C022A" w:rsidRPr="00895FD1" w:rsidRDefault="008C022A" w:rsidP="002553CE">
            <w:pPr>
              <w:pStyle w:val="TableText"/>
              <w:widowControl/>
              <w:numPr>
                <w:ilvl w:val="0"/>
                <w:numId w:val="30"/>
              </w:numPr>
              <w:ind w:left="368" w:hanging="281"/>
              <w:rPr>
                <w:szCs w:val="20"/>
              </w:rPr>
            </w:pPr>
            <w:r w:rsidRPr="00895FD1">
              <w:rPr>
                <w:szCs w:val="20"/>
              </w:rPr>
              <w:t>Time horizon = 7 years (base case =10 years)</w:t>
            </w:r>
          </w:p>
        </w:tc>
        <w:tc>
          <w:tcPr>
            <w:tcW w:w="624" w:type="pct"/>
          </w:tcPr>
          <w:p w14:paraId="5346D299" w14:textId="35DDA90A" w:rsidR="008C022A"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15"/>
                <w:szCs w:val="20"/>
                <w:shd w:val="solid" w:color="000000" w:fill="000000"/>
                <w:fitText w:val="37" w:id="-694393595"/>
                <w14:textFill>
                  <w14:solidFill>
                    <w14:srgbClr w14:val="000000">
                      <w14:alpha w14:val="100000"/>
                    </w14:srgbClr>
                  </w14:solidFill>
                </w14:textFill>
              </w:rPr>
              <w:t xml:space="preserve">　</w:t>
            </w:r>
            <w:r w:rsidRPr="00F4744A">
              <w:rPr>
                <w:rFonts w:cstheme="minorHAnsi"/>
                <w:color w:val="000000"/>
                <w:w w:val="15"/>
                <w:szCs w:val="20"/>
                <w:shd w:val="solid" w:color="000000" w:fill="000000"/>
                <w:fitText w:val="37" w:id="-694393595"/>
                <w14:textFill>
                  <w14:solidFill>
                    <w14:srgbClr w14:val="000000">
                      <w14:alpha w14:val="100000"/>
                    </w14:srgbClr>
                  </w14:solidFill>
                </w14:textFill>
              </w:rPr>
              <w:t>|</w:t>
            </w:r>
            <w:r w:rsidRPr="00F4744A">
              <w:rPr>
                <w:rFonts w:cstheme="minorHAnsi" w:hint="eastAsia"/>
                <w:color w:val="000000"/>
                <w:spacing w:val="-28"/>
                <w:w w:val="15"/>
                <w:szCs w:val="20"/>
                <w:shd w:val="solid" w:color="000000" w:fill="000000"/>
                <w:fitText w:val="37" w:id="-694393595"/>
                <w14:textFill>
                  <w14:solidFill>
                    <w14:srgbClr w14:val="000000">
                      <w14:alpha w14:val="100000"/>
                    </w14:srgbClr>
                  </w14:solidFill>
                </w14:textFill>
              </w:rPr>
              <w:t xml:space="preserve">　</w:t>
            </w:r>
            <w:r w:rsidR="001F65BC" w:rsidRPr="001F65BC">
              <w:rPr>
                <w:rFonts w:cstheme="minorHAnsi"/>
                <w:szCs w:val="20"/>
              </w:rPr>
              <w:t xml:space="preserve"> </w:t>
            </w:r>
          </w:p>
        </w:tc>
        <w:tc>
          <w:tcPr>
            <w:tcW w:w="624" w:type="pct"/>
          </w:tcPr>
          <w:p w14:paraId="5F0A1FF5" w14:textId="4E52F7DC" w:rsidR="008C022A" w:rsidRPr="00895FD1" w:rsidRDefault="008C022A" w:rsidP="002553CE">
            <w:pPr>
              <w:pStyle w:val="TableText"/>
              <w:widowControl/>
              <w:jc w:val="center"/>
              <w:rPr>
                <w:rFonts w:cstheme="minorHAnsi"/>
                <w:szCs w:val="20"/>
              </w:rPr>
            </w:pPr>
            <w:r w:rsidRPr="00895FD1">
              <w:rPr>
                <w:rFonts w:cstheme="minorHAnsi"/>
                <w:szCs w:val="20"/>
              </w:rPr>
              <w:t>0.21</w:t>
            </w:r>
          </w:p>
        </w:tc>
        <w:tc>
          <w:tcPr>
            <w:tcW w:w="557" w:type="pct"/>
          </w:tcPr>
          <w:p w14:paraId="2278EBD2" w14:textId="7A3E09DD" w:rsidR="008C022A" w:rsidRPr="00895FD1" w:rsidRDefault="00F4744A" w:rsidP="002553CE">
            <w:pPr>
              <w:pStyle w:val="TableText"/>
              <w:widowControl/>
              <w:jc w:val="center"/>
              <w:rPr>
                <w:rFonts w:cstheme="minorHAnsi"/>
                <w:szCs w:val="20"/>
                <w:highlight w:val="darkGray"/>
              </w:rPr>
            </w:pPr>
            <w:r w:rsidRPr="00F4744A">
              <w:rPr>
                <w:rFonts w:cstheme="minorHAnsi" w:hint="eastAsia"/>
                <w:color w:val="000000"/>
                <w:w w:val="28"/>
                <w:szCs w:val="20"/>
                <w:shd w:val="solid" w:color="000000" w:fill="000000"/>
                <w:fitText w:val="125" w:id="-694393594"/>
                <w14:textFill>
                  <w14:solidFill>
                    <w14:srgbClr w14:val="000000">
                      <w14:alpha w14:val="100000"/>
                    </w14:srgbClr>
                  </w14:solidFill>
                </w14:textFill>
              </w:rPr>
              <w:t xml:space="preserve">　</w:t>
            </w:r>
            <w:r w:rsidRPr="00F4744A">
              <w:rPr>
                <w:rFonts w:cstheme="minorHAnsi"/>
                <w:color w:val="000000"/>
                <w:w w:val="28"/>
                <w:szCs w:val="20"/>
                <w:shd w:val="solid" w:color="000000" w:fill="000000"/>
                <w:fitText w:val="125" w:id="-694393594"/>
                <w14:textFill>
                  <w14:solidFill>
                    <w14:srgbClr w14:val="000000">
                      <w14:alpha w14:val="100000"/>
                    </w14:srgbClr>
                  </w14:solidFill>
                </w14:textFill>
              </w:rPr>
              <w:t>|</w:t>
            </w:r>
            <w:r w:rsidRPr="00F4744A">
              <w:rPr>
                <w:rFonts w:cstheme="minorHAnsi" w:hint="eastAsia"/>
                <w:color w:val="000000"/>
                <w:spacing w:val="3"/>
                <w:w w:val="28"/>
                <w:szCs w:val="20"/>
                <w:shd w:val="solid" w:color="000000" w:fill="000000"/>
                <w:fitText w:val="125" w:id="-694393594"/>
                <w14:textFill>
                  <w14:solidFill>
                    <w14:srgbClr w14:val="000000">
                      <w14:alpha w14:val="100000"/>
                    </w14:srgbClr>
                  </w14:solidFill>
                </w14:textFill>
              </w:rPr>
              <w:t xml:space="preserve">　</w:t>
            </w:r>
            <w:r w:rsidR="004211AE" w:rsidRPr="00895FD1">
              <w:rPr>
                <w:rFonts w:cstheme="minorHAnsi"/>
                <w:szCs w:val="20"/>
                <w:vertAlign w:val="superscript"/>
              </w:rPr>
              <w:t>5</w:t>
            </w:r>
          </w:p>
        </w:tc>
        <w:tc>
          <w:tcPr>
            <w:tcW w:w="779" w:type="pct"/>
          </w:tcPr>
          <w:p w14:paraId="13FBADC2" w14:textId="18C99931" w:rsidR="008C022A" w:rsidRPr="00895FD1" w:rsidRDefault="008C022A" w:rsidP="002553CE">
            <w:pPr>
              <w:pStyle w:val="TableText"/>
              <w:widowControl/>
              <w:jc w:val="center"/>
              <w:rPr>
                <w:rFonts w:cstheme="minorHAnsi"/>
                <w:szCs w:val="20"/>
              </w:rPr>
            </w:pPr>
            <w:r w:rsidRPr="00895FD1">
              <w:rPr>
                <w:rFonts w:cstheme="minorHAnsi"/>
                <w:szCs w:val="20"/>
              </w:rPr>
              <w:t>+</w:t>
            </w:r>
            <w:r w:rsidR="00F4744A">
              <w:rPr>
                <w:rFonts w:cstheme="minorHAnsi" w:hint="eastAsia"/>
                <w:color w:val="000000"/>
                <w:w w:val="15"/>
                <w:szCs w:val="20"/>
                <w:shd w:val="solid" w:color="000000" w:fill="000000"/>
                <w:fitText w:val="12" w:id="-694393593"/>
                <w14:textFill>
                  <w14:solidFill>
                    <w14:srgbClr w14:val="000000">
                      <w14:alpha w14:val="100000"/>
                    </w14:srgbClr>
                  </w14:solidFill>
                </w14:textFill>
              </w:rPr>
              <w:t xml:space="preserve">　</w:t>
            </w:r>
            <w:r w:rsidR="00F4744A">
              <w:rPr>
                <w:rFonts w:cstheme="minorHAnsi"/>
                <w:color w:val="000000"/>
                <w:w w:val="15"/>
                <w:szCs w:val="20"/>
                <w:shd w:val="solid" w:color="000000" w:fill="000000"/>
                <w:fitText w:val="12" w:id="-694393593"/>
                <w14:textFill>
                  <w14:solidFill>
                    <w14:srgbClr w14:val="000000">
                      <w14:alpha w14:val="100000"/>
                    </w14:srgbClr>
                  </w14:solidFill>
                </w14:textFill>
              </w:rPr>
              <w:t>|</w:t>
            </w:r>
            <w:r w:rsidR="00F4744A">
              <w:rPr>
                <w:rFonts w:cstheme="minorHAnsi" w:hint="eastAsia"/>
                <w:color w:val="000000"/>
                <w:spacing w:val="-54"/>
                <w:w w:val="15"/>
                <w:szCs w:val="20"/>
                <w:shd w:val="solid" w:color="000000" w:fill="000000"/>
                <w:fitText w:val="12" w:id="-694393593"/>
                <w14:textFill>
                  <w14:solidFill>
                    <w14:srgbClr w14:val="000000">
                      <w14:alpha w14:val="100000"/>
                    </w14:srgbClr>
                  </w14:solidFill>
                </w14:textFill>
              </w:rPr>
              <w:t xml:space="preserve">　</w:t>
            </w:r>
            <w:r w:rsidRPr="00895FD1">
              <w:rPr>
                <w:rFonts w:cstheme="minorHAnsi"/>
                <w:szCs w:val="20"/>
              </w:rPr>
              <w:t>%</w:t>
            </w:r>
          </w:p>
        </w:tc>
      </w:tr>
    </w:tbl>
    <w:p w14:paraId="1BEC6ED6" w14:textId="3AE64BE7" w:rsidR="009E18C3" w:rsidRPr="000A7BB0" w:rsidRDefault="009E18C3" w:rsidP="002553CE">
      <w:pPr>
        <w:pStyle w:val="TableFigureFooter"/>
        <w:jc w:val="both"/>
        <w:rPr>
          <w:rStyle w:val="CommentReference"/>
        </w:rPr>
      </w:pPr>
      <w:r w:rsidRPr="000A7BB0">
        <w:t>Source: Table 3.39, of the submission and developed during the evaluation.</w:t>
      </w:r>
    </w:p>
    <w:p w14:paraId="5864C4CF" w14:textId="06590E6A" w:rsidR="009E18C3" w:rsidRPr="000A7BB0" w:rsidRDefault="009E18C3" w:rsidP="002553CE">
      <w:pPr>
        <w:pStyle w:val="TableFigureFooter"/>
        <w:jc w:val="both"/>
      </w:pPr>
      <w:r w:rsidRPr="000A7BB0">
        <w:t>ICER = incremental cost effectiveness ratio; OS = overall survival; PD = progressed disease; PF = progression-free; PFS = progression-free survival; QALY = quality adjusted life year; SOC = standard of care</w:t>
      </w:r>
      <w:r w:rsidR="00875B67" w:rsidRPr="000A7BB0">
        <w:t xml:space="preserve">; </w:t>
      </w:r>
      <w:r w:rsidR="00F8795E" w:rsidRPr="000A7BB0">
        <w:t>TCD = time to chemotherapy or death</w:t>
      </w:r>
      <w:r w:rsidR="00875B67" w:rsidRPr="000A7BB0">
        <w:t>; TTD = time to treatment discontinuation</w:t>
      </w:r>
    </w:p>
    <w:p w14:paraId="048EC29D" w14:textId="77777777" w:rsidR="00012B3A" w:rsidRDefault="009E18C3" w:rsidP="002553CE">
      <w:pPr>
        <w:pStyle w:val="TableFigureFooter"/>
        <w:jc w:val="both"/>
      </w:pPr>
      <w:r w:rsidRPr="000A7BB0">
        <w:rPr>
          <w:rFonts w:eastAsia="Calibri"/>
          <w:i/>
          <w:szCs w:val="20"/>
          <w:vertAlign w:val="superscript"/>
        </w:rPr>
        <w:t xml:space="preserve">a </w:t>
      </w:r>
      <w:r w:rsidRPr="000A7BB0">
        <w:rPr>
          <w:rFonts w:eastAsia="Calibri"/>
          <w:iCs/>
          <w:szCs w:val="20"/>
        </w:rPr>
        <w:t>Value corrected during the evaluation</w:t>
      </w:r>
      <w:r w:rsidR="00012B3A" w:rsidRPr="00012B3A">
        <w:t xml:space="preserve"> </w:t>
      </w:r>
    </w:p>
    <w:p w14:paraId="22A82345" w14:textId="77777777" w:rsidR="00A14209" w:rsidRDefault="00A14209" w:rsidP="002553CE">
      <w:pPr>
        <w:pStyle w:val="TableFigureFooter"/>
        <w:jc w:val="both"/>
        <w:rPr>
          <w:rFonts w:eastAsia="Calibri"/>
          <w:i/>
          <w:szCs w:val="20"/>
        </w:rPr>
      </w:pPr>
      <w:r w:rsidRPr="00A14209">
        <w:rPr>
          <w:rFonts w:eastAsia="Calibri"/>
          <w:i/>
          <w:szCs w:val="20"/>
        </w:rPr>
        <w:t>Note that the results presented in Table 11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Pr>
          <w:rFonts w:eastAsia="Calibri"/>
          <w:i/>
          <w:szCs w:val="20"/>
        </w:rPr>
        <w:t>.</w:t>
      </w:r>
    </w:p>
    <w:p w14:paraId="53121C12" w14:textId="6E8AFC72" w:rsidR="00012B3A" w:rsidRPr="00524601" w:rsidRDefault="00012B3A" w:rsidP="002553CE">
      <w:pPr>
        <w:pStyle w:val="TableFigureFooter"/>
        <w:jc w:val="both"/>
        <w:rPr>
          <w:rFonts w:eastAsia="Calibri"/>
          <w:i/>
          <w:szCs w:val="20"/>
        </w:rPr>
      </w:pPr>
      <w:r w:rsidRPr="00524601">
        <w:rPr>
          <w:rFonts w:eastAsia="Calibri"/>
          <w:i/>
          <w:szCs w:val="20"/>
        </w:rPr>
        <w:t>The redacted values correspond to the following ranges</w:t>
      </w:r>
      <w:r w:rsidR="00E667DF">
        <w:rPr>
          <w:rFonts w:eastAsia="Calibri"/>
          <w:i/>
          <w:szCs w:val="20"/>
        </w:rPr>
        <w:t>:</w:t>
      </w:r>
      <w:r w:rsidRPr="00524601">
        <w:rPr>
          <w:rFonts w:eastAsia="Calibri"/>
          <w:i/>
          <w:szCs w:val="20"/>
        </w:rPr>
        <w:t xml:space="preserve"> </w:t>
      </w:r>
    </w:p>
    <w:p w14:paraId="1030AEDC" w14:textId="77777777" w:rsidR="008D1A62" w:rsidRPr="00524601" w:rsidRDefault="00012B3A" w:rsidP="002553CE">
      <w:pPr>
        <w:pStyle w:val="TableFigureFooter"/>
        <w:jc w:val="both"/>
        <w:rPr>
          <w:rFonts w:eastAsia="Calibri"/>
          <w:i/>
          <w:szCs w:val="20"/>
        </w:rPr>
      </w:pPr>
      <w:r w:rsidRPr="00524601">
        <w:rPr>
          <w:rFonts w:eastAsia="Calibri"/>
          <w:i/>
          <w:szCs w:val="20"/>
          <w:vertAlign w:val="superscript"/>
        </w:rPr>
        <w:t>1</w:t>
      </w:r>
      <w:r w:rsidRPr="00524601">
        <w:rPr>
          <w:rFonts w:eastAsia="Calibri"/>
          <w:i/>
          <w:szCs w:val="20"/>
        </w:rPr>
        <w:t xml:space="preserve"> </w:t>
      </w:r>
      <w:r w:rsidR="00A27688" w:rsidRPr="00524601">
        <w:rPr>
          <w:rFonts w:eastAsia="Calibri"/>
          <w:i/>
          <w:szCs w:val="20"/>
        </w:rPr>
        <w:t xml:space="preserve">$55,000 to &lt; $75,000 </w:t>
      </w:r>
    </w:p>
    <w:p w14:paraId="0923778B" w14:textId="6C9E4E59" w:rsidR="008D1A62" w:rsidRPr="00524601" w:rsidRDefault="008D1A62" w:rsidP="002553CE">
      <w:pPr>
        <w:pStyle w:val="TableFigureFooter"/>
        <w:jc w:val="both"/>
        <w:rPr>
          <w:rFonts w:eastAsia="Calibri"/>
          <w:i/>
          <w:szCs w:val="20"/>
        </w:rPr>
      </w:pPr>
      <w:r w:rsidRPr="00524601">
        <w:rPr>
          <w:rFonts w:eastAsia="Calibri"/>
          <w:i/>
          <w:szCs w:val="20"/>
          <w:vertAlign w:val="superscript"/>
        </w:rPr>
        <w:t>2</w:t>
      </w:r>
      <w:r w:rsidRPr="00524601">
        <w:rPr>
          <w:rFonts w:eastAsia="Calibri"/>
          <w:i/>
          <w:szCs w:val="20"/>
        </w:rPr>
        <w:t xml:space="preserve"> $95,000 to &lt; $115,000 </w:t>
      </w:r>
    </w:p>
    <w:p w14:paraId="27CE8681" w14:textId="77777777" w:rsidR="002D18BF" w:rsidRPr="00524601" w:rsidRDefault="002D18BF" w:rsidP="002553CE">
      <w:pPr>
        <w:pStyle w:val="TableFigureFooter"/>
        <w:jc w:val="both"/>
        <w:rPr>
          <w:rFonts w:eastAsia="Calibri"/>
          <w:i/>
          <w:szCs w:val="20"/>
        </w:rPr>
      </w:pPr>
      <w:r w:rsidRPr="00524601">
        <w:rPr>
          <w:rFonts w:eastAsia="Calibri"/>
          <w:i/>
          <w:szCs w:val="20"/>
          <w:vertAlign w:val="superscript"/>
        </w:rPr>
        <w:t>3</w:t>
      </w:r>
      <w:r w:rsidRPr="00524601">
        <w:rPr>
          <w:rFonts w:eastAsia="Calibri"/>
          <w:i/>
          <w:szCs w:val="20"/>
        </w:rPr>
        <w:t xml:space="preserve"> </w:t>
      </w:r>
      <w:r w:rsidR="004F2B6A" w:rsidRPr="00524601">
        <w:rPr>
          <w:rFonts w:eastAsia="Calibri"/>
          <w:i/>
          <w:szCs w:val="20"/>
        </w:rPr>
        <w:t>$75,000 to &lt; $95,000</w:t>
      </w:r>
      <w:r w:rsidRPr="00524601">
        <w:rPr>
          <w:rFonts w:eastAsia="Calibri"/>
          <w:i/>
          <w:szCs w:val="20"/>
        </w:rPr>
        <w:t xml:space="preserve"> </w:t>
      </w:r>
    </w:p>
    <w:p w14:paraId="081F4C12" w14:textId="295B1F5A" w:rsidR="002D18BF" w:rsidRPr="00524601" w:rsidRDefault="002D18BF" w:rsidP="002553CE">
      <w:pPr>
        <w:pStyle w:val="TableFigureFooter"/>
        <w:jc w:val="both"/>
        <w:rPr>
          <w:rFonts w:eastAsia="Calibri"/>
          <w:i/>
          <w:szCs w:val="20"/>
        </w:rPr>
      </w:pPr>
      <w:r w:rsidRPr="00524601">
        <w:rPr>
          <w:rFonts w:eastAsia="Calibri"/>
          <w:i/>
          <w:szCs w:val="20"/>
          <w:vertAlign w:val="superscript"/>
        </w:rPr>
        <w:t>4</w:t>
      </w:r>
      <w:r w:rsidRPr="00524601">
        <w:rPr>
          <w:rFonts w:eastAsia="Calibri"/>
          <w:i/>
          <w:szCs w:val="20"/>
        </w:rPr>
        <w:t xml:space="preserve"> $135,000 to &lt; $155,000</w:t>
      </w:r>
    </w:p>
    <w:p w14:paraId="227A6AD3" w14:textId="13ABEF0E" w:rsidR="004F2B6A" w:rsidRPr="004F2B6A" w:rsidRDefault="002D18BF" w:rsidP="002553CE">
      <w:pPr>
        <w:pStyle w:val="TableFigureFooter"/>
        <w:jc w:val="both"/>
        <w:rPr>
          <w:rFonts w:eastAsia="Calibri"/>
          <w:iCs/>
          <w:szCs w:val="20"/>
        </w:rPr>
      </w:pPr>
      <w:r w:rsidRPr="00524601">
        <w:rPr>
          <w:rFonts w:eastAsia="Calibri"/>
          <w:i/>
          <w:szCs w:val="20"/>
          <w:vertAlign w:val="superscript"/>
        </w:rPr>
        <w:t>5</w:t>
      </w:r>
      <w:r w:rsidRPr="00524601">
        <w:rPr>
          <w:rFonts w:eastAsia="Calibri"/>
          <w:i/>
          <w:szCs w:val="20"/>
        </w:rPr>
        <w:t xml:space="preserve"> $155,000 to &lt; $255,000</w:t>
      </w:r>
    </w:p>
    <w:p w14:paraId="79B52DD1" w14:textId="3CE13FE8" w:rsidR="009E18C3" w:rsidRPr="000A7BB0" w:rsidRDefault="009E18C3" w:rsidP="002553CE">
      <w:pPr>
        <w:keepNext/>
        <w:keepLines/>
        <w:jc w:val="left"/>
        <w:outlineLvl w:val="1"/>
        <w:rPr>
          <w:rFonts w:eastAsiaTheme="majorEastAsia" w:cstheme="minorHAnsi"/>
          <w:b/>
          <w:i/>
          <w:snapToGrid w:val="0"/>
          <w:sz w:val="28"/>
          <w:szCs w:val="28"/>
        </w:rPr>
      </w:pPr>
      <w:r w:rsidRPr="000A7BB0">
        <w:rPr>
          <w:rFonts w:eastAsiaTheme="majorEastAsia" w:cstheme="minorHAnsi"/>
          <w:b/>
          <w:i/>
          <w:snapToGrid w:val="0"/>
          <w:sz w:val="28"/>
          <w:szCs w:val="28"/>
        </w:rPr>
        <w:t>Drug cost/patient/course</w:t>
      </w:r>
    </w:p>
    <w:p w14:paraId="104968F8" w14:textId="410E94EE" w:rsidR="009E18C3" w:rsidRPr="000A7BB0" w:rsidRDefault="009E18C3" w:rsidP="002553CE">
      <w:pPr>
        <w:numPr>
          <w:ilvl w:val="4"/>
          <w:numId w:val="11"/>
        </w:numPr>
        <w:ind w:left="709" w:hanging="709"/>
        <w:rPr>
          <w:color w:val="000000" w:themeColor="text1"/>
        </w:rPr>
      </w:pPr>
      <w:r w:rsidRPr="000A7BB0">
        <w:rPr>
          <w:color w:val="000000" w:themeColor="text1"/>
        </w:rPr>
        <w:t xml:space="preserve">The drug cost/patient/course for elacestrant and SOC is presented in </w:t>
      </w:r>
      <w:r w:rsidRPr="000A7BB0">
        <w:fldChar w:fldCharType="begin"/>
      </w:r>
      <w:r w:rsidRPr="000A7BB0">
        <w:instrText xml:space="preserve"> REF _Ref184477533 \h  \* MERGEFORMAT </w:instrText>
      </w:r>
      <w:r w:rsidRPr="000A7BB0">
        <w:fldChar w:fldCharType="separate"/>
      </w:r>
      <w:r w:rsidR="004F224A" w:rsidRPr="000A7BB0">
        <w:t xml:space="preserve">Table </w:t>
      </w:r>
      <w:r w:rsidR="004F224A">
        <w:t>12</w:t>
      </w:r>
      <w:r w:rsidRPr="000A7BB0">
        <w:fldChar w:fldCharType="end"/>
      </w:r>
      <w:r w:rsidRPr="000A7BB0">
        <w:rPr>
          <w:color w:val="000000" w:themeColor="text1"/>
        </w:rPr>
        <w:t>.</w:t>
      </w:r>
    </w:p>
    <w:p w14:paraId="552D523D" w14:textId="030719EE" w:rsidR="009E18C3" w:rsidRPr="000A7BB0" w:rsidRDefault="009E18C3" w:rsidP="002553CE">
      <w:pPr>
        <w:pStyle w:val="TableFigureHeading"/>
        <w:keepLines/>
        <w:rPr>
          <w:rStyle w:val="CommentReference"/>
          <w:b/>
        </w:rPr>
      </w:pPr>
      <w:bookmarkStart w:id="43" w:name="_Ref184477533"/>
      <w:r w:rsidRPr="000A7BB0">
        <w:lastRenderedPageBreak/>
        <w:t xml:space="preserve">Table </w:t>
      </w:r>
      <w:r>
        <w:fldChar w:fldCharType="begin"/>
      </w:r>
      <w:r>
        <w:instrText>SEQ Table_PBAC. \* ARABIC</w:instrText>
      </w:r>
      <w:r>
        <w:fldChar w:fldCharType="separate"/>
      </w:r>
      <w:r w:rsidR="004F224A">
        <w:rPr>
          <w:noProof/>
        </w:rPr>
        <w:t>12</w:t>
      </w:r>
      <w:r>
        <w:fldChar w:fldCharType="end"/>
      </w:r>
      <w:bookmarkEnd w:id="43"/>
      <w:r w:rsidRPr="000A7BB0">
        <w:t xml:space="preserve">: </w:t>
      </w:r>
      <w:r w:rsidRPr="000A7BB0">
        <w:rPr>
          <w:rStyle w:val="CommentReference"/>
          <w:b/>
        </w:rPr>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for proposed and comparator drugs"/>
      </w:tblPr>
      <w:tblGrid>
        <w:gridCol w:w="1555"/>
        <w:gridCol w:w="1170"/>
        <w:gridCol w:w="1098"/>
        <w:gridCol w:w="1134"/>
        <w:gridCol w:w="1275"/>
        <w:gridCol w:w="1277"/>
        <w:gridCol w:w="1507"/>
      </w:tblGrid>
      <w:tr w:rsidR="009E18C3" w:rsidRPr="000A7BB0" w14:paraId="366580D7" w14:textId="77777777" w:rsidTr="00C86464">
        <w:trPr>
          <w:cantSplit/>
          <w:tblHeader/>
          <w:jc w:val="center"/>
        </w:trPr>
        <w:tc>
          <w:tcPr>
            <w:tcW w:w="862" w:type="pct"/>
            <w:vAlign w:val="center"/>
          </w:tcPr>
          <w:p w14:paraId="46B8DD94" w14:textId="77777777" w:rsidR="009E18C3" w:rsidRPr="000A7BB0" w:rsidRDefault="009E18C3" w:rsidP="002553CE">
            <w:pPr>
              <w:pStyle w:val="In-tableHeading"/>
              <w:keepLines/>
              <w:jc w:val="center"/>
              <w:rPr>
                <w:lang w:val="en-AU"/>
              </w:rPr>
            </w:pPr>
          </w:p>
        </w:tc>
        <w:tc>
          <w:tcPr>
            <w:tcW w:w="649" w:type="pct"/>
            <w:vAlign w:val="center"/>
          </w:tcPr>
          <w:p w14:paraId="3D19546D" w14:textId="77777777" w:rsidR="009E18C3" w:rsidRPr="000A7BB0" w:rsidRDefault="009E18C3" w:rsidP="002553CE">
            <w:pPr>
              <w:pStyle w:val="In-tableHeading"/>
              <w:keepLines/>
              <w:jc w:val="center"/>
              <w:rPr>
                <w:lang w:val="en-AU"/>
              </w:rPr>
            </w:pPr>
            <w:r w:rsidRPr="000A7BB0">
              <w:rPr>
                <w:lang w:val="en-AU"/>
              </w:rPr>
              <w:t>Elacestrant</w:t>
            </w:r>
          </w:p>
          <w:p w14:paraId="0FC8B563" w14:textId="77777777" w:rsidR="009E18C3" w:rsidRPr="000A7BB0" w:rsidRDefault="009E18C3" w:rsidP="002553CE">
            <w:pPr>
              <w:pStyle w:val="In-tableHeading"/>
              <w:keepLines/>
              <w:jc w:val="center"/>
              <w:rPr>
                <w:lang w:val="en-AU"/>
              </w:rPr>
            </w:pPr>
            <w:r w:rsidRPr="000A7BB0">
              <w:rPr>
                <w:lang w:val="en-AU"/>
              </w:rPr>
              <w:t>Trial dose and duration</w:t>
            </w:r>
          </w:p>
        </w:tc>
        <w:tc>
          <w:tcPr>
            <w:tcW w:w="609" w:type="pct"/>
            <w:vAlign w:val="center"/>
          </w:tcPr>
          <w:p w14:paraId="21E35E00" w14:textId="77777777" w:rsidR="009E18C3" w:rsidRPr="000A7BB0" w:rsidRDefault="009E18C3" w:rsidP="002553CE">
            <w:pPr>
              <w:pStyle w:val="In-tableHeading"/>
              <w:keepLines/>
              <w:jc w:val="center"/>
              <w:rPr>
                <w:lang w:val="en-AU"/>
              </w:rPr>
            </w:pPr>
            <w:r w:rsidRPr="000A7BB0">
              <w:rPr>
                <w:lang w:val="en-AU"/>
              </w:rPr>
              <w:t>Elacestrant</w:t>
            </w:r>
          </w:p>
          <w:p w14:paraId="2A99E0F8" w14:textId="77777777" w:rsidR="009E18C3" w:rsidRPr="000A7BB0" w:rsidRDefault="009E18C3" w:rsidP="002553CE">
            <w:pPr>
              <w:pStyle w:val="In-tableHeading"/>
              <w:keepLines/>
              <w:jc w:val="center"/>
              <w:rPr>
                <w:lang w:val="en-AU"/>
              </w:rPr>
            </w:pPr>
            <w:r w:rsidRPr="000A7BB0">
              <w:rPr>
                <w:lang w:val="en-AU"/>
              </w:rPr>
              <w:t>Model</w:t>
            </w:r>
          </w:p>
        </w:tc>
        <w:tc>
          <w:tcPr>
            <w:tcW w:w="629" w:type="pct"/>
            <w:vAlign w:val="center"/>
          </w:tcPr>
          <w:p w14:paraId="6C58620F" w14:textId="77777777" w:rsidR="009E18C3" w:rsidRPr="000A7BB0" w:rsidRDefault="009E18C3" w:rsidP="002553CE">
            <w:pPr>
              <w:pStyle w:val="In-tableHeading"/>
              <w:keepLines/>
              <w:jc w:val="center"/>
              <w:rPr>
                <w:lang w:val="en-AU"/>
              </w:rPr>
            </w:pPr>
            <w:r w:rsidRPr="000A7BB0">
              <w:rPr>
                <w:lang w:val="en-AU"/>
              </w:rPr>
              <w:t>Elacestrant Financial estimates</w:t>
            </w:r>
          </w:p>
        </w:tc>
        <w:tc>
          <w:tcPr>
            <w:tcW w:w="707" w:type="pct"/>
            <w:vAlign w:val="center"/>
          </w:tcPr>
          <w:p w14:paraId="15B6BCBB" w14:textId="77777777" w:rsidR="009E18C3" w:rsidRPr="000A7BB0" w:rsidRDefault="009E18C3" w:rsidP="002553CE">
            <w:pPr>
              <w:pStyle w:val="In-tableHeading"/>
              <w:keepLines/>
              <w:jc w:val="center"/>
              <w:rPr>
                <w:vertAlign w:val="superscript"/>
                <w:lang w:val="en-AU"/>
              </w:rPr>
            </w:pPr>
            <w:r w:rsidRPr="000A7BB0">
              <w:rPr>
                <w:lang w:val="en-AU"/>
              </w:rPr>
              <w:t>SOC</w:t>
            </w:r>
          </w:p>
          <w:p w14:paraId="1E731F56" w14:textId="77777777" w:rsidR="009E18C3" w:rsidRPr="000A7BB0" w:rsidRDefault="009E18C3" w:rsidP="002553CE">
            <w:pPr>
              <w:pStyle w:val="In-tableHeading"/>
              <w:keepLines/>
              <w:jc w:val="center"/>
              <w:rPr>
                <w:lang w:val="en-AU"/>
              </w:rPr>
            </w:pPr>
            <w:r w:rsidRPr="000A7BB0">
              <w:rPr>
                <w:lang w:val="en-AU"/>
              </w:rPr>
              <w:t>Trial dose and duration</w:t>
            </w:r>
          </w:p>
        </w:tc>
        <w:tc>
          <w:tcPr>
            <w:tcW w:w="708" w:type="pct"/>
            <w:vAlign w:val="center"/>
          </w:tcPr>
          <w:p w14:paraId="4185F212" w14:textId="77777777" w:rsidR="009E18C3" w:rsidRPr="000A7BB0" w:rsidRDefault="009E18C3" w:rsidP="002553CE">
            <w:pPr>
              <w:pStyle w:val="In-tableHeading"/>
              <w:keepLines/>
              <w:jc w:val="center"/>
              <w:rPr>
                <w:lang w:val="en-AU"/>
              </w:rPr>
            </w:pPr>
            <w:r w:rsidRPr="000A7BB0">
              <w:rPr>
                <w:lang w:val="en-AU"/>
              </w:rPr>
              <w:t>SOC</w:t>
            </w:r>
          </w:p>
          <w:p w14:paraId="4AA46F7C" w14:textId="77777777" w:rsidR="009E18C3" w:rsidRPr="000A7BB0" w:rsidRDefault="009E18C3" w:rsidP="002553CE">
            <w:pPr>
              <w:pStyle w:val="In-tableHeading"/>
              <w:keepLines/>
              <w:jc w:val="center"/>
              <w:rPr>
                <w:lang w:val="en-AU"/>
              </w:rPr>
            </w:pPr>
            <w:r w:rsidRPr="000A7BB0">
              <w:rPr>
                <w:lang w:val="en-AU"/>
              </w:rPr>
              <w:t>Model</w:t>
            </w:r>
          </w:p>
        </w:tc>
        <w:tc>
          <w:tcPr>
            <w:tcW w:w="836" w:type="pct"/>
            <w:vAlign w:val="center"/>
          </w:tcPr>
          <w:p w14:paraId="2155C4CF" w14:textId="77777777" w:rsidR="009E18C3" w:rsidRPr="000A7BB0" w:rsidRDefault="009E18C3" w:rsidP="002553CE">
            <w:pPr>
              <w:pStyle w:val="In-tableHeading"/>
              <w:keepLines/>
              <w:jc w:val="center"/>
              <w:rPr>
                <w:lang w:val="en-AU"/>
              </w:rPr>
            </w:pPr>
            <w:r w:rsidRPr="000A7BB0">
              <w:rPr>
                <w:lang w:val="en-AU"/>
              </w:rPr>
              <w:t>SOC</w:t>
            </w:r>
          </w:p>
          <w:p w14:paraId="726C0E17" w14:textId="77777777" w:rsidR="009E18C3" w:rsidRPr="000A7BB0" w:rsidRDefault="009E18C3" w:rsidP="002553CE">
            <w:pPr>
              <w:pStyle w:val="In-tableHeading"/>
              <w:keepLines/>
              <w:jc w:val="center"/>
              <w:rPr>
                <w:lang w:val="en-AU"/>
              </w:rPr>
            </w:pPr>
            <w:r w:rsidRPr="000A7BB0">
              <w:rPr>
                <w:lang w:val="en-AU"/>
              </w:rPr>
              <w:t>Financial estimates</w:t>
            </w:r>
          </w:p>
        </w:tc>
      </w:tr>
      <w:tr w:rsidR="009E18C3" w:rsidRPr="000A7BB0" w14:paraId="5DB0CF1F" w14:textId="77777777" w:rsidTr="00C86464">
        <w:trPr>
          <w:cantSplit/>
          <w:jc w:val="center"/>
        </w:trPr>
        <w:tc>
          <w:tcPr>
            <w:tcW w:w="862" w:type="pct"/>
            <w:vAlign w:val="center"/>
          </w:tcPr>
          <w:p w14:paraId="6F0C94F0" w14:textId="77777777" w:rsidR="009E18C3" w:rsidRPr="000A7BB0" w:rsidRDefault="009E18C3" w:rsidP="002553CE">
            <w:pPr>
              <w:pStyle w:val="TableText"/>
              <w:keepNext/>
              <w:keepLines/>
              <w:widowControl/>
            </w:pPr>
            <w:r w:rsidRPr="000A7BB0">
              <w:t>Mean dose (proportion of cohort)</w:t>
            </w:r>
          </w:p>
        </w:tc>
        <w:tc>
          <w:tcPr>
            <w:tcW w:w="1887" w:type="pct"/>
            <w:gridSpan w:val="3"/>
            <w:vAlign w:val="center"/>
          </w:tcPr>
          <w:p w14:paraId="50BABD6A" w14:textId="77777777" w:rsidR="009E18C3" w:rsidRPr="000A7BB0" w:rsidRDefault="009E18C3" w:rsidP="002553CE">
            <w:pPr>
              <w:pStyle w:val="TableText"/>
              <w:keepNext/>
              <w:keepLines/>
              <w:widowControl/>
              <w:jc w:val="center"/>
            </w:pPr>
            <w:r w:rsidRPr="000A7BB0">
              <w:t>345mg/day (95%)</w:t>
            </w:r>
          </w:p>
          <w:p w14:paraId="270159A9" w14:textId="77777777" w:rsidR="009E18C3" w:rsidRPr="000A7BB0" w:rsidRDefault="009E18C3" w:rsidP="002553CE">
            <w:pPr>
              <w:pStyle w:val="TableText"/>
              <w:keepNext/>
              <w:keepLines/>
              <w:widowControl/>
              <w:jc w:val="center"/>
            </w:pPr>
            <w:r w:rsidRPr="000A7BB0">
              <w:t>258mg/day (2.5%)</w:t>
            </w:r>
          </w:p>
          <w:p w14:paraId="79D96D2D" w14:textId="77777777" w:rsidR="009E18C3" w:rsidRPr="000A7BB0" w:rsidRDefault="009E18C3" w:rsidP="002553CE">
            <w:pPr>
              <w:pStyle w:val="TableText"/>
              <w:keepNext/>
              <w:keepLines/>
              <w:widowControl/>
              <w:jc w:val="center"/>
              <w:rPr>
                <w:b/>
              </w:rPr>
            </w:pPr>
            <w:r w:rsidRPr="000A7BB0">
              <w:t>172mg/day (2.5%)</w:t>
            </w:r>
          </w:p>
        </w:tc>
        <w:tc>
          <w:tcPr>
            <w:tcW w:w="1415" w:type="pct"/>
            <w:gridSpan w:val="2"/>
            <w:vAlign w:val="center"/>
          </w:tcPr>
          <w:p w14:paraId="253E4DD0" w14:textId="478E626B" w:rsidR="009E18C3" w:rsidRPr="000A7BB0" w:rsidRDefault="009E18C3" w:rsidP="002553CE">
            <w:pPr>
              <w:pStyle w:val="TableText"/>
              <w:keepNext/>
              <w:keepLines/>
              <w:widowControl/>
              <w:jc w:val="center"/>
            </w:pPr>
            <w:r w:rsidRPr="000A7BB0">
              <w:t>Fulvestrant (cycle 1) 500mg x2/cycle (73%)</w:t>
            </w:r>
          </w:p>
          <w:p w14:paraId="623BDEC8" w14:textId="32496C7A" w:rsidR="009E18C3" w:rsidRPr="000A7BB0" w:rsidRDefault="009E18C3" w:rsidP="002553CE">
            <w:pPr>
              <w:pStyle w:val="TableText"/>
              <w:keepNext/>
              <w:keepLines/>
              <w:widowControl/>
              <w:jc w:val="center"/>
            </w:pPr>
            <w:r w:rsidRPr="000A7BB0">
              <w:t>Fulvestrant (cycle 2+) 500mg x1/cycle (73%)</w:t>
            </w:r>
          </w:p>
          <w:p w14:paraId="2DDE7DAB" w14:textId="77777777" w:rsidR="009E18C3" w:rsidRPr="000A7BB0" w:rsidRDefault="009E18C3" w:rsidP="002553CE">
            <w:pPr>
              <w:pStyle w:val="TableText"/>
              <w:keepNext/>
              <w:keepLines/>
              <w:widowControl/>
              <w:jc w:val="center"/>
            </w:pPr>
            <w:r w:rsidRPr="000A7BB0">
              <w:t>Anastrozole: 1mg/day (3%)</w:t>
            </w:r>
          </w:p>
          <w:p w14:paraId="4B87C8E2" w14:textId="77777777" w:rsidR="009E18C3" w:rsidRPr="000A7BB0" w:rsidRDefault="009E18C3" w:rsidP="002553CE">
            <w:pPr>
              <w:pStyle w:val="TableText"/>
              <w:keepNext/>
              <w:keepLines/>
              <w:widowControl/>
              <w:jc w:val="center"/>
            </w:pPr>
            <w:r w:rsidRPr="000A7BB0">
              <w:t>Letrozole: 2.5mg/day (3%)</w:t>
            </w:r>
          </w:p>
          <w:p w14:paraId="3332760C" w14:textId="77777777" w:rsidR="009E18C3" w:rsidRPr="000A7BB0" w:rsidRDefault="009E18C3" w:rsidP="002553CE">
            <w:pPr>
              <w:pStyle w:val="TableText"/>
              <w:keepNext/>
              <w:keepLines/>
              <w:widowControl/>
              <w:jc w:val="center"/>
            </w:pPr>
            <w:r w:rsidRPr="000A7BB0">
              <w:t>Exemestane: 25mg/day (21%)</w:t>
            </w:r>
          </w:p>
        </w:tc>
        <w:tc>
          <w:tcPr>
            <w:tcW w:w="836" w:type="pct"/>
            <w:vAlign w:val="center"/>
          </w:tcPr>
          <w:p w14:paraId="31E76C13" w14:textId="77777777" w:rsidR="009E18C3" w:rsidRPr="000A7BB0" w:rsidRDefault="009E18C3" w:rsidP="002553CE">
            <w:pPr>
              <w:pStyle w:val="TableText"/>
              <w:keepNext/>
              <w:keepLines/>
              <w:widowControl/>
              <w:jc w:val="center"/>
            </w:pPr>
            <w:r w:rsidRPr="000A7BB0">
              <w:t>2L therapies as analysed by PBS10% sample in 2023</w:t>
            </w:r>
          </w:p>
          <w:p w14:paraId="1629D3D8" w14:textId="48E3C39F" w:rsidR="009E18C3" w:rsidRPr="000A7BB0" w:rsidRDefault="009E18C3" w:rsidP="002553CE">
            <w:pPr>
              <w:pStyle w:val="TableText"/>
              <w:keepNext/>
              <w:keepLines/>
              <w:widowControl/>
              <w:jc w:val="center"/>
              <w:rPr>
                <w:vertAlign w:val="superscript"/>
              </w:rPr>
            </w:pPr>
            <w:r w:rsidRPr="000A7BB0">
              <w:t>with treatment dosages and regimens informed by EviQ guidelines</w:t>
            </w:r>
            <w:r w:rsidRPr="000A7BB0">
              <w:rPr>
                <w:vertAlign w:val="superscript"/>
              </w:rPr>
              <w:t>a</w:t>
            </w:r>
          </w:p>
        </w:tc>
      </w:tr>
      <w:tr w:rsidR="009E18C3" w:rsidRPr="000A7BB0" w14:paraId="3BC6F8C7" w14:textId="77777777" w:rsidTr="00C86464">
        <w:trPr>
          <w:cantSplit/>
          <w:jc w:val="center"/>
        </w:trPr>
        <w:tc>
          <w:tcPr>
            <w:tcW w:w="862" w:type="pct"/>
            <w:vAlign w:val="center"/>
          </w:tcPr>
          <w:p w14:paraId="6306C74E" w14:textId="77777777" w:rsidR="009E18C3" w:rsidRPr="000A7BB0" w:rsidRDefault="009E18C3" w:rsidP="002553CE">
            <w:pPr>
              <w:pStyle w:val="TableText"/>
              <w:keepNext/>
              <w:keepLines/>
              <w:widowControl/>
            </w:pPr>
            <w:r w:rsidRPr="000A7BB0">
              <w:t>Mean duration (days)</w:t>
            </w:r>
          </w:p>
        </w:tc>
        <w:tc>
          <w:tcPr>
            <w:tcW w:w="649" w:type="pct"/>
            <w:vAlign w:val="center"/>
          </w:tcPr>
          <w:p w14:paraId="1618DC85" w14:textId="77777777" w:rsidR="009E18C3" w:rsidRPr="000A7BB0" w:rsidRDefault="009E18C3" w:rsidP="002553CE">
            <w:pPr>
              <w:pStyle w:val="TableText"/>
              <w:keepNext/>
              <w:keepLines/>
              <w:widowControl/>
              <w:jc w:val="center"/>
            </w:pPr>
            <w:r w:rsidRPr="000A7BB0">
              <w:t>160.30</w:t>
            </w:r>
          </w:p>
        </w:tc>
        <w:tc>
          <w:tcPr>
            <w:tcW w:w="609" w:type="pct"/>
            <w:vAlign w:val="center"/>
          </w:tcPr>
          <w:p w14:paraId="52D0A458" w14:textId="77777777" w:rsidR="009E18C3" w:rsidRPr="000A7BB0" w:rsidRDefault="009E18C3" w:rsidP="002553CE">
            <w:pPr>
              <w:pStyle w:val="TableText"/>
              <w:keepNext/>
              <w:keepLines/>
              <w:widowControl/>
              <w:jc w:val="center"/>
              <w:rPr>
                <w:i/>
                <w:vertAlign w:val="superscript"/>
              </w:rPr>
            </w:pPr>
            <w:r w:rsidRPr="000A7BB0">
              <w:rPr>
                <w:i/>
              </w:rPr>
              <w:t xml:space="preserve">224.94 </w:t>
            </w:r>
            <w:r w:rsidRPr="000A7BB0">
              <w:rPr>
                <w:i/>
                <w:vertAlign w:val="superscript"/>
              </w:rPr>
              <w:t>b</w:t>
            </w:r>
            <w:r w:rsidRPr="000A7BB0">
              <w:rPr>
                <w:i/>
              </w:rPr>
              <w:t xml:space="preserve"> </w:t>
            </w:r>
          </w:p>
        </w:tc>
        <w:tc>
          <w:tcPr>
            <w:tcW w:w="629" w:type="pct"/>
            <w:vAlign w:val="center"/>
          </w:tcPr>
          <w:p w14:paraId="293DAF7E" w14:textId="77777777" w:rsidR="009E18C3" w:rsidRPr="000A7BB0" w:rsidRDefault="009E18C3" w:rsidP="002553CE">
            <w:pPr>
              <w:pStyle w:val="TableText"/>
              <w:keepNext/>
              <w:keepLines/>
              <w:widowControl/>
              <w:jc w:val="center"/>
            </w:pPr>
            <w:r w:rsidRPr="000A7BB0">
              <w:t>160.30</w:t>
            </w:r>
          </w:p>
        </w:tc>
        <w:tc>
          <w:tcPr>
            <w:tcW w:w="707" w:type="pct"/>
            <w:vAlign w:val="center"/>
          </w:tcPr>
          <w:p w14:paraId="3E82415A" w14:textId="77777777" w:rsidR="009E18C3" w:rsidRPr="000A7BB0" w:rsidRDefault="009E18C3" w:rsidP="002553CE">
            <w:pPr>
              <w:pStyle w:val="TableText"/>
              <w:keepNext/>
              <w:keepLines/>
              <w:widowControl/>
              <w:jc w:val="center"/>
            </w:pPr>
            <w:r w:rsidRPr="000A7BB0">
              <w:t>117.26</w:t>
            </w:r>
          </w:p>
        </w:tc>
        <w:tc>
          <w:tcPr>
            <w:tcW w:w="708" w:type="pct"/>
            <w:vAlign w:val="center"/>
          </w:tcPr>
          <w:p w14:paraId="2611E599" w14:textId="77777777" w:rsidR="009E18C3" w:rsidRPr="000A7BB0" w:rsidRDefault="009E18C3" w:rsidP="002553CE">
            <w:pPr>
              <w:pStyle w:val="TableText"/>
              <w:keepNext/>
              <w:keepLines/>
              <w:widowControl/>
              <w:jc w:val="center"/>
              <w:rPr>
                <w:vertAlign w:val="superscript"/>
              </w:rPr>
            </w:pPr>
            <w:r w:rsidRPr="000A7BB0">
              <w:t xml:space="preserve">121.24 </w:t>
            </w:r>
            <w:r w:rsidRPr="000A7BB0">
              <w:rPr>
                <w:vertAlign w:val="superscript"/>
              </w:rPr>
              <w:t>b</w:t>
            </w:r>
          </w:p>
        </w:tc>
        <w:tc>
          <w:tcPr>
            <w:tcW w:w="836" w:type="pct"/>
            <w:vAlign w:val="center"/>
          </w:tcPr>
          <w:p w14:paraId="17A1F880" w14:textId="77777777" w:rsidR="009E18C3" w:rsidRPr="000A7BB0" w:rsidRDefault="009E18C3" w:rsidP="002553CE">
            <w:pPr>
              <w:pStyle w:val="TableText"/>
              <w:keepNext/>
              <w:keepLines/>
              <w:widowControl/>
              <w:jc w:val="center"/>
            </w:pPr>
            <w:r w:rsidRPr="000A7BB0">
              <w:t>160.30</w:t>
            </w:r>
          </w:p>
        </w:tc>
      </w:tr>
      <w:tr w:rsidR="009E18C3" w:rsidRPr="0018253C" w14:paraId="7949D727" w14:textId="77777777" w:rsidTr="00C86464">
        <w:trPr>
          <w:cantSplit/>
          <w:jc w:val="center"/>
        </w:trPr>
        <w:tc>
          <w:tcPr>
            <w:tcW w:w="862" w:type="pct"/>
            <w:vAlign w:val="center"/>
          </w:tcPr>
          <w:p w14:paraId="5B42BF8F" w14:textId="77777777" w:rsidR="009E18C3" w:rsidRPr="0018253C" w:rsidRDefault="009E18C3" w:rsidP="002553CE">
            <w:pPr>
              <w:pStyle w:val="TableText"/>
              <w:keepNext/>
              <w:keepLines/>
              <w:widowControl/>
              <w:rPr>
                <w:vertAlign w:val="superscript"/>
              </w:rPr>
            </w:pPr>
            <w:r w:rsidRPr="0018253C">
              <w:t xml:space="preserve">Mean number of cycles </w:t>
            </w:r>
          </w:p>
        </w:tc>
        <w:tc>
          <w:tcPr>
            <w:tcW w:w="649" w:type="pct"/>
            <w:vAlign w:val="center"/>
          </w:tcPr>
          <w:p w14:paraId="2ABBC5EA" w14:textId="77777777" w:rsidR="009E18C3" w:rsidRPr="0018253C" w:rsidRDefault="009E18C3" w:rsidP="002553CE">
            <w:pPr>
              <w:pStyle w:val="TableText"/>
              <w:keepNext/>
              <w:keepLines/>
              <w:widowControl/>
              <w:jc w:val="center"/>
              <w:rPr>
                <w:vertAlign w:val="superscript"/>
              </w:rPr>
            </w:pPr>
            <w:r w:rsidRPr="0018253C">
              <w:t xml:space="preserve">5.73 </w:t>
            </w:r>
            <w:r w:rsidRPr="0018253C">
              <w:rPr>
                <w:vertAlign w:val="superscript"/>
              </w:rPr>
              <w:t>c</w:t>
            </w:r>
          </w:p>
        </w:tc>
        <w:tc>
          <w:tcPr>
            <w:tcW w:w="609" w:type="pct"/>
            <w:vAlign w:val="center"/>
          </w:tcPr>
          <w:p w14:paraId="00A46A3E" w14:textId="324C1496" w:rsidR="009E18C3" w:rsidRPr="0018253C" w:rsidRDefault="009E18C3" w:rsidP="002553CE">
            <w:pPr>
              <w:pStyle w:val="TableText"/>
              <w:keepNext/>
              <w:keepLines/>
              <w:widowControl/>
              <w:jc w:val="center"/>
              <w:rPr>
                <w:vertAlign w:val="superscript"/>
              </w:rPr>
            </w:pPr>
            <w:r w:rsidRPr="0018253C">
              <w:t>8.</w:t>
            </w:r>
            <w:r w:rsidR="00DE16D7" w:rsidRPr="0018253C">
              <w:t>38</w:t>
            </w:r>
            <w:r w:rsidRPr="0018253C">
              <w:t xml:space="preserve"> </w:t>
            </w:r>
            <w:r w:rsidRPr="0018253C">
              <w:rPr>
                <w:vertAlign w:val="superscript"/>
              </w:rPr>
              <w:t>d</w:t>
            </w:r>
          </w:p>
        </w:tc>
        <w:tc>
          <w:tcPr>
            <w:tcW w:w="629" w:type="pct"/>
            <w:vAlign w:val="center"/>
          </w:tcPr>
          <w:p w14:paraId="3E8C83E5" w14:textId="77777777" w:rsidR="009E18C3" w:rsidRPr="0018253C" w:rsidRDefault="009E18C3" w:rsidP="002553CE">
            <w:pPr>
              <w:pStyle w:val="TableText"/>
              <w:keepNext/>
              <w:keepLines/>
              <w:widowControl/>
              <w:jc w:val="center"/>
              <w:rPr>
                <w:vertAlign w:val="superscript"/>
              </w:rPr>
            </w:pPr>
            <w:r w:rsidRPr="0018253C">
              <w:t xml:space="preserve">5.73 </w:t>
            </w:r>
            <w:r w:rsidRPr="0018253C">
              <w:rPr>
                <w:vertAlign w:val="superscript"/>
              </w:rPr>
              <w:t>c</w:t>
            </w:r>
          </w:p>
        </w:tc>
        <w:tc>
          <w:tcPr>
            <w:tcW w:w="707" w:type="pct"/>
            <w:vAlign w:val="center"/>
          </w:tcPr>
          <w:p w14:paraId="2FACCAF3" w14:textId="77777777" w:rsidR="009E18C3" w:rsidRPr="0018253C" w:rsidRDefault="009E18C3" w:rsidP="002553CE">
            <w:pPr>
              <w:pStyle w:val="TableText"/>
              <w:keepNext/>
              <w:keepLines/>
              <w:widowControl/>
              <w:jc w:val="center"/>
            </w:pPr>
            <w:r w:rsidRPr="0018253C">
              <w:t>4.19</w:t>
            </w:r>
            <w:r w:rsidRPr="0018253C">
              <w:rPr>
                <w:vertAlign w:val="superscript"/>
              </w:rPr>
              <w:t xml:space="preserve"> c</w:t>
            </w:r>
          </w:p>
        </w:tc>
        <w:tc>
          <w:tcPr>
            <w:tcW w:w="708" w:type="pct"/>
            <w:vAlign w:val="center"/>
          </w:tcPr>
          <w:p w14:paraId="12F29AA8" w14:textId="77777777" w:rsidR="009E18C3" w:rsidRPr="0018253C" w:rsidRDefault="009E18C3" w:rsidP="002553CE">
            <w:pPr>
              <w:pStyle w:val="TableText"/>
              <w:keepNext/>
              <w:keepLines/>
              <w:widowControl/>
              <w:jc w:val="center"/>
            </w:pPr>
            <w:r w:rsidRPr="0018253C">
              <w:t xml:space="preserve">4.33 </w:t>
            </w:r>
            <w:r w:rsidRPr="0018253C">
              <w:rPr>
                <w:vertAlign w:val="superscript"/>
              </w:rPr>
              <w:t>d</w:t>
            </w:r>
          </w:p>
        </w:tc>
        <w:tc>
          <w:tcPr>
            <w:tcW w:w="836" w:type="pct"/>
            <w:vAlign w:val="center"/>
          </w:tcPr>
          <w:p w14:paraId="0023D25D" w14:textId="77777777" w:rsidR="009E18C3" w:rsidRPr="0018253C" w:rsidRDefault="009E18C3" w:rsidP="002553CE">
            <w:pPr>
              <w:pStyle w:val="TableText"/>
              <w:keepNext/>
              <w:keepLines/>
              <w:widowControl/>
              <w:jc w:val="center"/>
            </w:pPr>
            <w:r w:rsidRPr="0018253C">
              <w:t>5.73</w:t>
            </w:r>
            <w:r w:rsidRPr="0018253C">
              <w:rPr>
                <w:vertAlign w:val="superscript"/>
              </w:rPr>
              <w:t xml:space="preserve"> c</w:t>
            </w:r>
          </w:p>
        </w:tc>
      </w:tr>
      <w:tr w:rsidR="009E18C3" w:rsidRPr="000A7BB0" w14:paraId="0FC07D88" w14:textId="77777777" w:rsidTr="00C86464">
        <w:trPr>
          <w:cantSplit/>
          <w:jc w:val="center"/>
        </w:trPr>
        <w:tc>
          <w:tcPr>
            <w:tcW w:w="862" w:type="pct"/>
            <w:vAlign w:val="center"/>
          </w:tcPr>
          <w:p w14:paraId="20CFFB2B" w14:textId="77777777" w:rsidR="009E18C3" w:rsidRPr="000A7BB0" w:rsidRDefault="009E18C3" w:rsidP="002553CE">
            <w:pPr>
              <w:pStyle w:val="TableText"/>
              <w:keepNext/>
              <w:keepLines/>
              <w:widowControl/>
            </w:pPr>
            <w:r w:rsidRPr="000A7BB0">
              <w:t>Cost/patient/cycle</w:t>
            </w:r>
          </w:p>
        </w:tc>
        <w:tc>
          <w:tcPr>
            <w:tcW w:w="1887" w:type="pct"/>
            <w:gridSpan w:val="3"/>
            <w:vAlign w:val="center"/>
          </w:tcPr>
          <w:p w14:paraId="65E35631" w14:textId="597719AD" w:rsidR="009E18C3" w:rsidRPr="000A7BB0" w:rsidRDefault="009E18C3" w:rsidP="002553CE">
            <w:pPr>
              <w:pStyle w:val="TableText"/>
              <w:keepNext/>
              <w:keepLines/>
              <w:widowControl/>
              <w:jc w:val="center"/>
            </w:pPr>
            <w:r w:rsidRPr="000A7BB0">
              <w:t>$</w:t>
            </w:r>
            <w:r w:rsidR="00F4744A" w:rsidRPr="00F4744A">
              <w:rPr>
                <w:color w:val="000000"/>
                <w:shd w:val="solid" w:color="000000" w:fill="000000"/>
                <w14:textFill>
                  <w14:solidFill>
                    <w14:srgbClr w14:val="000000">
                      <w14:alpha w14:val="100000"/>
                    </w14:srgbClr>
                  </w14:solidFill>
                </w14:textFill>
              </w:rPr>
              <w:t>|</w:t>
            </w:r>
            <w:r w:rsidR="001F65BC" w:rsidRPr="001F65BC">
              <w:t xml:space="preserve"> </w:t>
            </w:r>
            <w:r w:rsidR="00F4744A" w:rsidRPr="00F4744A">
              <w:rPr>
                <w:color w:val="000000"/>
                <w:shd w:val="solid" w:color="000000" w:fill="000000"/>
                <w14:textFill>
                  <w14:solidFill>
                    <w14:srgbClr w14:val="000000">
                      <w14:alpha w14:val="100000"/>
                    </w14:srgbClr>
                  </w14:solidFill>
                </w14:textFill>
              </w:rPr>
              <w:t>|</w:t>
            </w:r>
          </w:p>
        </w:tc>
        <w:tc>
          <w:tcPr>
            <w:tcW w:w="1415" w:type="pct"/>
            <w:gridSpan w:val="2"/>
            <w:vAlign w:val="center"/>
          </w:tcPr>
          <w:p w14:paraId="5D6E9122" w14:textId="77777777" w:rsidR="009E18C3" w:rsidRPr="000A7BB0" w:rsidRDefault="009E18C3" w:rsidP="002553CE">
            <w:pPr>
              <w:pStyle w:val="TableText"/>
              <w:keepNext/>
              <w:keepLines/>
              <w:widowControl/>
              <w:jc w:val="center"/>
            </w:pPr>
            <w:r w:rsidRPr="000A7BB0">
              <w:t>Cycle 1: $343.93</w:t>
            </w:r>
          </w:p>
          <w:p w14:paraId="75C29E70" w14:textId="77777777" w:rsidR="009E18C3" w:rsidRPr="000A7BB0" w:rsidRDefault="009E18C3" w:rsidP="002553CE">
            <w:pPr>
              <w:pStyle w:val="TableText"/>
              <w:keepNext/>
              <w:keepLines/>
              <w:widowControl/>
              <w:jc w:val="center"/>
            </w:pPr>
            <w:r w:rsidRPr="000A7BB0">
              <w:t>Cycle 2+: $180.36</w:t>
            </w:r>
          </w:p>
        </w:tc>
        <w:tc>
          <w:tcPr>
            <w:tcW w:w="836" w:type="pct"/>
            <w:vAlign w:val="center"/>
          </w:tcPr>
          <w:p w14:paraId="46452DC4" w14:textId="77777777" w:rsidR="009E18C3" w:rsidRPr="000A7BB0" w:rsidRDefault="009E18C3" w:rsidP="002553CE">
            <w:pPr>
              <w:pStyle w:val="TableText"/>
              <w:keepNext/>
              <w:keepLines/>
              <w:widowControl/>
              <w:jc w:val="center"/>
            </w:pPr>
            <w:r w:rsidRPr="000A7BB0">
              <w:t>Cycle 1: $169.46</w:t>
            </w:r>
          </w:p>
          <w:p w14:paraId="66F99470" w14:textId="77777777" w:rsidR="009E18C3" w:rsidRPr="000A7BB0" w:rsidRDefault="009E18C3" w:rsidP="002553CE">
            <w:pPr>
              <w:pStyle w:val="TableText"/>
              <w:keepNext/>
              <w:keepLines/>
              <w:widowControl/>
              <w:jc w:val="center"/>
            </w:pPr>
            <w:r w:rsidRPr="000A7BB0">
              <w:t>Cycle 2+: $138.13</w:t>
            </w:r>
          </w:p>
        </w:tc>
      </w:tr>
      <w:tr w:rsidR="009E18C3" w:rsidRPr="000A7BB0" w14:paraId="61E3BB55" w14:textId="77777777" w:rsidTr="00C86464">
        <w:trPr>
          <w:cantSplit/>
          <w:jc w:val="center"/>
        </w:trPr>
        <w:tc>
          <w:tcPr>
            <w:tcW w:w="862" w:type="pct"/>
            <w:vAlign w:val="center"/>
          </w:tcPr>
          <w:p w14:paraId="669C9302" w14:textId="77777777" w:rsidR="009E18C3" w:rsidRPr="000A7BB0" w:rsidRDefault="009E18C3" w:rsidP="002553CE">
            <w:pPr>
              <w:pStyle w:val="TableText"/>
              <w:keepNext/>
              <w:keepLines/>
              <w:widowControl/>
            </w:pPr>
            <w:r w:rsidRPr="000A7BB0">
              <w:t>Cost/patient/course</w:t>
            </w:r>
          </w:p>
        </w:tc>
        <w:tc>
          <w:tcPr>
            <w:tcW w:w="649" w:type="pct"/>
            <w:vAlign w:val="center"/>
          </w:tcPr>
          <w:p w14:paraId="1FC0B44E" w14:textId="40928C15" w:rsidR="009E18C3" w:rsidRPr="000A7BB0" w:rsidRDefault="009E18C3" w:rsidP="002553CE">
            <w:pPr>
              <w:pStyle w:val="TableText"/>
              <w:keepNext/>
              <w:keepLines/>
              <w:widowControl/>
              <w:jc w:val="center"/>
              <w:rPr>
                <w:vertAlign w:val="superscript"/>
              </w:rPr>
            </w:pPr>
            <w:r w:rsidRPr="000A7BB0">
              <w:t>$</w:t>
            </w:r>
            <w:r w:rsidR="00F4744A" w:rsidRPr="00F4744A">
              <w:rPr>
                <w:rFonts w:hint="eastAsia"/>
                <w:color w:val="000000"/>
                <w:w w:val="15"/>
                <w:shd w:val="solid" w:color="000000" w:fill="000000"/>
                <w:fitText w:val="62" w:id="-694393592"/>
                <w14:textFill>
                  <w14:solidFill>
                    <w14:srgbClr w14:val="000000">
                      <w14:alpha w14:val="100000"/>
                    </w14:srgbClr>
                  </w14:solidFill>
                </w14:textFill>
              </w:rPr>
              <w:t xml:space="preserve">　</w:t>
            </w:r>
            <w:r w:rsidR="00F4744A" w:rsidRPr="00F4744A">
              <w:rPr>
                <w:color w:val="000000"/>
                <w:w w:val="15"/>
                <w:shd w:val="solid" w:color="000000" w:fill="000000"/>
                <w:fitText w:val="62" w:id="-694393592"/>
                <w14:textFill>
                  <w14:solidFill>
                    <w14:srgbClr w14:val="000000">
                      <w14:alpha w14:val="100000"/>
                    </w14:srgbClr>
                  </w14:solidFill>
                </w14:textFill>
              </w:rPr>
              <w:t>|</w:t>
            </w:r>
            <w:r w:rsidR="00F4744A" w:rsidRPr="00F4744A">
              <w:rPr>
                <w:rFonts w:hint="eastAsia"/>
                <w:color w:val="000000"/>
                <w:spacing w:val="-3"/>
                <w:w w:val="15"/>
                <w:shd w:val="solid" w:color="000000" w:fill="000000"/>
                <w:fitText w:val="62" w:id="-694393592"/>
                <w14:textFill>
                  <w14:solidFill>
                    <w14:srgbClr w14:val="000000">
                      <w14:alpha w14:val="100000"/>
                    </w14:srgbClr>
                  </w14:solidFill>
                </w14:textFill>
              </w:rPr>
              <w:t xml:space="preserve">　</w:t>
            </w:r>
            <w:r w:rsidRPr="000A7BB0">
              <w:rPr>
                <w:vertAlign w:val="superscript"/>
              </w:rPr>
              <w:t>e</w:t>
            </w:r>
          </w:p>
        </w:tc>
        <w:tc>
          <w:tcPr>
            <w:tcW w:w="609" w:type="pct"/>
            <w:vAlign w:val="center"/>
          </w:tcPr>
          <w:p w14:paraId="3ED1E27D" w14:textId="05B3D874" w:rsidR="009E18C3" w:rsidRPr="000A7BB0" w:rsidRDefault="009E18C3" w:rsidP="002553CE">
            <w:pPr>
              <w:pStyle w:val="TableText"/>
              <w:keepNext/>
              <w:keepLines/>
              <w:widowControl/>
              <w:jc w:val="center"/>
            </w:pPr>
            <w:r w:rsidRPr="000A7BB0">
              <w:t>$</w:t>
            </w:r>
            <w:r w:rsidR="00F4744A" w:rsidRPr="00F4744A">
              <w:rPr>
                <w:rFonts w:hint="eastAsia"/>
                <w:color w:val="000000"/>
                <w:w w:val="16"/>
                <w:shd w:val="solid" w:color="000000" w:fill="000000"/>
                <w:fitText w:val="75" w:id="-694393591"/>
                <w14:textFill>
                  <w14:solidFill>
                    <w14:srgbClr w14:val="000000">
                      <w14:alpha w14:val="100000"/>
                    </w14:srgbClr>
                  </w14:solidFill>
                </w14:textFill>
              </w:rPr>
              <w:t xml:space="preserve">　</w:t>
            </w:r>
            <w:r w:rsidR="00F4744A" w:rsidRPr="00F4744A">
              <w:rPr>
                <w:color w:val="000000"/>
                <w:w w:val="16"/>
                <w:shd w:val="solid" w:color="000000" w:fill="000000"/>
                <w:fitText w:val="75" w:id="-694393591"/>
                <w14:textFill>
                  <w14:solidFill>
                    <w14:srgbClr w14:val="000000">
                      <w14:alpha w14:val="100000"/>
                    </w14:srgbClr>
                  </w14:solidFill>
                </w14:textFill>
              </w:rPr>
              <w:t>|</w:t>
            </w:r>
            <w:r w:rsidR="00F4744A" w:rsidRPr="00F4744A">
              <w:rPr>
                <w:rFonts w:hint="eastAsia"/>
                <w:color w:val="000000"/>
                <w:spacing w:val="5"/>
                <w:w w:val="16"/>
                <w:shd w:val="solid" w:color="000000" w:fill="000000"/>
                <w:fitText w:val="75" w:id="-694393591"/>
                <w14:textFill>
                  <w14:solidFill>
                    <w14:srgbClr w14:val="000000">
                      <w14:alpha w14:val="100000"/>
                    </w14:srgbClr>
                  </w14:solidFill>
                </w14:textFill>
              </w:rPr>
              <w:t xml:space="preserve">　</w:t>
            </w:r>
          </w:p>
        </w:tc>
        <w:tc>
          <w:tcPr>
            <w:tcW w:w="629" w:type="pct"/>
            <w:vAlign w:val="center"/>
          </w:tcPr>
          <w:p w14:paraId="14EA9A33" w14:textId="5E5EADFA" w:rsidR="009E18C3" w:rsidRPr="000A7BB0" w:rsidRDefault="009E18C3" w:rsidP="002553CE">
            <w:pPr>
              <w:pStyle w:val="TableText"/>
              <w:keepNext/>
              <w:keepLines/>
              <w:widowControl/>
              <w:jc w:val="center"/>
              <w:rPr>
                <w:vertAlign w:val="superscript"/>
              </w:rPr>
            </w:pPr>
            <w:r w:rsidRPr="000A7BB0">
              <w:t>$</w:t>
            </w:r>
            <w:r w:rsidR="00F4744A" w:rsidRPr="00F4744A">
              <w:rPr>
                <w:rFonts w:hint="eastAsia"/>
                <w:color w:val="000000"/>
                <w:w w:val="22"/>
                <w:shd w:val="solid" w:color="000000" w:fill="000000"/>
                <w:fitText w:val="101" w:id="-694393590"/>
                <w14:textFill>
                  <w14:solidFill>
                    <w14:srgbClr w14:val="000000">
                      <w14:alpha w14:val="100000"/>
                    </w14:srgbClr>
                  </w14:solidFill>
                </w14:textFill>
              </w:rPr>
              <w:t xml:space="preserve">　</w:t>
            </w:r>
            <w:r w:rsidR="00F4744A" w:rsidRPr="00F4744A">
              <w:rPr>
                <w:color w:val="000000"/>
                <w:w w:val="22"/>
                <w:shd w:val="solid" w:color="000000" w:fill="000000"/>
                <w:fitText w:val="101" w:id="-694393590"/>
                <w14:textFill>
                  <w14:solidFill>
                    <w14:srgbClr w14:val="000000">
                      <w14:alpha w14:val="100000"/>
                    </w14:srgbClr>
                  </w14:solidFill>
                </w14:textFill>
              </w:rPr>
              <w:t>|</w:t>
            </w:r>
            <w:r w:rsidR="00F4744A" w:rsidRPr="00F4744A">
              <w:rPr>
                <w:rFonts w:hint="eastAsia"/>
                <w:color w:val="000000"/>
                <w:spacing w:val="4"/>
                <w:w w:val="22"/>
                <w:shd w:val="solid" w:color="000000" w:fill="000000"/>
                <w:fitText w:val="101" w:id="-694393590"/>
                <w14:textFill>
                  <w14:solidFill>
                    <w14:srgbClr w14:val="000000">
                      <w14:alpha w14:val="100000"/>
                    </w14:srgbClr>
                  </w14:solidFill>
                </w14:textFill>
              </w:rPr>
              <w:t xml:space="preserve">　</w:t>
            </w:r>
            <w:r w:rsidRPr="000A7BB0">
              <w:t xml:space="preserve"> </w:t>
            </w:r>
            <w:r w:rsidRPr="000A7BB0">
              <w:rPr>
                <w:vertAlign w:val="superscript"/>
              </w:rPr>
              <w:t>e</w:t>
            </w:r>
          </w:p>
        </w:tc>
        <w:tc>
          <w:tcPr>
            <w:tcW w:w="707" w:type="pct"/>
            <w:vAlign w:val="center"/>
          </w:tcPr>
          <w:p w14:paraId="072A4044" w14:textId="77777777" w:rsidR="009E18C3" w:rsidRPr="000A7BB0" w:rsidRDefault="009E18C3" w:rsidP="002553CE">
            <w:pPr>
              <w:pStyle w:val="TableText"/>
              <w:keepNext/>
              <w:keepLines/>
              <w:widowControl/>
              <w:jc w:val="center"/>
              <w:rPr>
                <w:vertAlign w:val="superscript"/>
              </w:rPr>
            </w:pPr>
            <w:r w:rsidRPr="000A7BB0">
              <w:t xml:space="preserve">$919 </w:t>
            </w:r>
            <w:r w:rsidRPr="000A7BB0">
              <w:rPr>
                <w:vertAlign w:val="superscript"/>
              </w:rPr>
              <w:t>e</w:t>
            </w:r>
          </w:p>
        </w:tc>
        <w:tc>
          <w:tcPr>
            <w:tcW w:w="708" w:type="pct"/>
            <w:vAlign w:val="center"/>
          </w:tcPr>
          <w:p w14:paraId="7AF02AD8" w14:textId="4ADDFB6E" w:rsidR="009E18C3" w:rsidRPr="000A7BB0" w:rsidRDefault="009E18C3" w:rsidP="002553CE">
            <w:pPr>
              <w:pStyle w:val="TableText"/>
              <w:keepNext/>
              <w:keepLines/>
              <w:widowControl/>
              <w:jc w:val="center"/>
            </w:pPr>
            <w:r w:rsidRPr="000A7BB0">
              <w:t>$94</w:t>
            </w:r>
            <w:r w:rsidR="00DE16D7" w:rsidRPr="000A7BB0">
              <w:t>5</w:t>
            </w:r>
          </w:p>
        </w:tc>
        <w:tc>
          <w:tcPr>
            <w:tcW w:w="836" w:type="pct"/>
            <w:vAlign w:val="center"/>
          </w:tcPr>
          <w:p w14:paraId="6AA89EDF" w14:textId="77777777" w:rsidR="009E18C3" w:rsidRPr="000A7BB0" w:rsidRDefault="009E18C3" w:rsidP="002553CE">
            <w:pPr>
              <w:pStyle w:val="TableText"/>
              <w:keepNext/>
              <w:keepLines/>
              <w:widowControl/>
              <w:jc w:val="center"/>
              <w:rPr>
                <w:vertAlign w:val="superscript"/>
              </w:rPr>
            </w:pPr>
            <w:r w:rsidRPr="000A7BB0">
              <w:t>$823</w:t>
            </w:r>
            <w:r w:rsidRPr="000A7BB0">
              <w:rPr>
                <w:vertAlign w:val="superscript"/>
              </w:rPr>
              <w:t>e</w:t>
            </w:r>
          </w:p>
        </w:tc>
      </w:tr>
    </w:tbl>
    <w:p w14:paraId="7896A26A" w14:textId="77777777" w:rsidR="009E18C3" w:rsidRPr="000A7BB0" w:rsidRDefault="009E18C3" w:rsidP="002553CE">
      <w:pPr>
        <w:pStyle w:val="TableFigureFooter"/>
        <w:keepNext/>
        <w:keepLines/>
      </w:pPr>
      <w:r w:rsidRPr="000A7BB0">
        <w:t>Source: Developed during the evaluation using data from the economic workbook</w:t>
      </w:r>
    </w:p>
    <w:p w14:paraId="45E1A3FC" w14:textId="77777777" w:rsidR="009E18C3" w:rsidRPr="000A7BB0" w:rsidRDefault="009E18C3" w:rsidP="002553CE">
      <w:pPr>
        <w:pStyle w:val="TableFigureFooter"/>
        <w:keepNext/>
        <w:keepLines/>
      </w:pPr>
      <w:r w:rsidRPr="000A7BB0">
        <w:t>2L = second line; mg = milligram; PBS = Pharmaceutical Benefits Scheme; SOC = standard of care</w:t>
      </w:r>
    </w:p>
    <w:p w14:paraId="7C5CCE8A" w14:textId="37271725" w:rsidR="009E18C3" w:rsidRPr="000A7BB0" w:rsidRDefault="009E18C3" w:rsidP="002553CE">
      <w:pPr>
        <w:pStyle w:val="TableFigureFooter"/>
        <w:keepNext/>
        <w:keepLines/>
      </w:pPr>
      <w:r w:rsidRPr="000A7BB0">
        <w:rPr>
          <w:vertAlign w:val="superscript"/>
        </w:rPr>
        <w:t>a</w:t>
      </w:r>
      <w:r w:rsidRPr="000A7BB0">
        <w:t xml:space="preserve"> Treatments included fulvestrant 500mg x2/first cycle then x 1/cycle (14%), Everolimus 10mg/day (3%), , Goserelin 3.6mg/cycle (6%), AIs (Anastrozole 1mg/day 10%, Letrozole 2.5mg/day 26%, Exemestane 25mg/day 9%), Tamoxifen 20mg/day (1%) and Chemotherapy (Paclitaxel 300mg/50 ml injection [3% Public/6% Private], Doxorubicin 135 mg injection/intravesical [2% Public/3% Private], Capecitabine 500mg tablet [4%]) </w:t>
      </w:r>
    </w:p>
    <w:p w14:paraId="0F6C75BA" w14:textId="77777777" w:rsidR="009E18C3" w:rsidRPr="000A7BB0" w:rsidRDefault="009E18C3" w:rsidP="002553CE">
      <w:pPr>
        <w:pStyle w:val="TableFigureFooter"/>
        <w:keepNext/>
        <w:keepLines/>
      </w:pPr>
      <w:r w:rsidRPr="000A7BB0">
        <w:rPr>
          <w:vertAlign w:val="superscript"/>
        </w:rPr>
        <w:t xml:space="preserve">b </w:t>
      </w:r>
      <w:r w:rsidRPr="000A7BB0">
        <w:t>Calculated by multiplying the mean number of cycles by 28</w:t>
      </w:r>
    </w:p>
    <w:p w14:paraId="4EED2222" w14:textId="77777777" w:rsidR="009E18C3" w:rsidRPr="000A7BB0" w:rsidRDefault="009E18C3" w:rsidP="002553CE">
      <w:pPr>
        <w:pStyle w:val="TableFigureFooter"/>
        <w:keepNext/>
        <w:keepLines/>
      </w:pPr>
      <w:r w:rsidRPr="000A7BB0">
        <w:rPr>
          <w:vertAlign w:val="superscript"/>
        </w:rPr>
        <w:t>c</w:t>
      </w:r>
      <w:r w:rsidRPr="000A7BB0">
        <w:t xml:space="preserve"> Calculated by dividing mean duration (days) by 28</w:t>
      </w:r>
    </w:p>
    <w:p w14:paraId="7A4349B7" w14:textId="5AF26D9E" w:rsidR="009E18C3" w:rsidRPr="000A7BB0" w:rsidRDefault="009E18C3" w:rsidP="002553CE">
      <w:pPr>
        <w:pStyle w:val="TableFigureFooter"/>
        <w:keepNext/>
        <w:keepLines/>
      </w:pPr>
      <w:r w:rsidRPr="000A7BB0">
        <w:rPr>
          <w:vertAlign w:val="superscript"/>
        </w:rPr>
        <w:t xml:space="preserve">d </w:t>
      </w:r>
      <w:r w:rsidRPr="000A7BB0">
        <w:t>Calculated by dividing the mean</w:t>
      </w:r>
      <w:r w:rsidR="00DE16D7" w:rsidRPr="000A7BB0">
        <w:t xml:space="preserve"> undiscounted</w:t>
      </w:r>
      <w:r w:rsidRPr="000A7BB0">
        <w:t xml:space="preserve"> cost/patient/course from the economic model by the cost/patient/cycle</w:t>
      </w:r>
    </w:p>
    <w:p w14:paraId="026FE9BF" w14:textId="77777777" w:rsidR="009E18C3" w:rsidRPr="000A7BB0" w:rsidRDefault="009E18C3" w:rsidP="002553CE">
      <w:pPr>
        <w:pStyle w:val="TableFigureFooter"/>
        <w:keepNext/>
        <w:keepLines/>
      </w:pPr>
      <w:r w:rsidRPr="000A7BB0">
        <w:rPr>
          <w:vertAlign w:val="superscript"/>
        </w:rPr>
        <w:t xml:space="preserve">e </w:t>
      </w:r>
      <w:r w:rsidRPr="000A7BB0">
        <w:t>Calculated by multiplying the cost/patient/cycle by the mean number of cycles</w:t>
      </w:r>
    </w:p>
    <w:p w14:paraId="540452D4" w14:textId="77777777" w:rsidR="00C67418" w:rsidRDefault="009E18C3" w:rsidP="002553CE">
      <w:pPr>
        <w:pStyle w:val="TableFigureFooter"/>
        <w:keepNext/>
        <w:keepLines/>
      </w:pPr>
      <w:r w:rsidRPr="000A7BB0">
        <w:t>Notes: 1 cycle is equivalent to 28 days. Numbers in italics indicate calculations undertaken during the evaluation</w:t>
      </w:r>
    </w:p>
    <w:p w14:paraId="1A66E608" w14:textId="2A4F7793" w:rsidR="009E18C3" w:rsidRPr="00C67418" w:rsidRDefault="00C67418" w:rsidP="002553CE">
      <w:pPr>
        <w:pStyle w:val="TableFigureFooter"/>
        <w:keepLines/>
        <w:rPr>
          <w:i/>
          <w:iCs/>
          <w:color w:val="3366FF"/>
        </w:rPr>
      </w:pPr>
      <w:r w:rsidRPr="00C67418">
        <w:rPr>
          <w:i/>
          <w:iCs/>
        </w:rPr>
        <w:t>Note that the results presented in Table 12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sidR="00B51309">
        <w:rPr>
          <w:i/>
          <w:iCs/>
        </w:rPr>
        <w:t xml:space="preserve"> </w:t>
      </w:r>
    </w:p>
    <w:p w14:paraId="34FCB911" w14:textId="6FDC2A12" w:rsidR="009E18C3" w:rsidRPr="000A7BB0" w:rsidRDefault="29236EA4" w:rsidP="002553CE">
      <w:pPr>
        <w:numPr>
          <w:ilvl w:val="4"/>
          <w:numId w:val="11"/>
        </w:numPr>
        <w:ind w:left="709" w:hanging="709"/>
        <w:rPr>
          <w:color w:val="000000" w:themeColor="text1"/>
        </w:rPr>
      </w:pPr>
      <w:r w:rsidRPr="000A7BB0">
        <w:rPr>
          <w:color w:val="000000" w:themeColor="text1"/>
        </w:rPr>
        <w:t xml:space="preserve">The treatment duration (and associated drug costs) for both elacestrant and SOC was greater in the economic model than the trial and financial estimates. This is </w:t>
      </w:r>
      <w:r w:rsidR="5C408780" w:rsidRPr="000A7BB0">
        <w:rPr>
          <w:color w:val="000000" w:themeColor="text1"/>
        </w:rPr>
        <w:t xml:space="preserve">likely </w:t>
      </w:r>
      <w:r w:rsidR="7715CA11" w:rsidRPr="000A7BB0">
        <w:rPr>
          <w:color w:val="000000" w:themeColor="text1"/>
        </w:rPr>
        <w:t xml:space="preserve">related to the </w:t>
      </w:r>
      <w:r w:rsidR="67029CF5" w:rsidRPr="000A7BB0">
        <w:rPr>
          <w:color w:val="000000" w:themeColor="text1"/>
        </w:rPr>
        <w:t xml:space="preserve">time-to-discontinuation </w:t>
      </w:r>
      <w:r w:rsidR="7F4AFDB9" w:rsidRPr="000A7BB0">
        <w:rPr>
          <w:color w:val="000000" w:themeColor="text1"/>
        </w:rPr>
        <w:t>extrapolation</w:t>
      </w:r>
      <w:r w:rsidR="72276023" w:rsidRPr="000A7BB0">
        <w:rPr>
          <w:color w:val="000000" w:themeColor="text1"/>
        </w:rPr>
        <w:t xml:space="preserve"> method applied in the economic model</w:t>
      </w:r>
      <w:r w:rsidR="6DEE8F17" w:rsidRPr="000A7BB0">
        <w:rPr>
          <w:color w:val="000000" w:themeColor="text1"/>
        </w:rPr>
        <w:t xml:space="preserve"> which </w:t>
      </w:r>
      <w:r w:rsidR="6E8F352B" w:rsidRPr="000A7BB0">
        <w:rPr>
          <w:color w:val="000000" w:themeColor="text1"/>
        </w:rPr>
        <w:t xml:space="preserve">overestimated the </w:t>
      </w:r>
      <w:r w:rsidR="0709EA10" w:rsidRPr="000A7BB0">
        <w:rPr>
          <w:color w:val="000000" w:themeColor="text1"/>
        </w:rPr>
        <w:t xml:space="preserve">predicted </w:t>
      </w:r>
      <w:r w:rsidR="6E8F352B" w:rsidRPr="000A7BB0">
        <w:rPr>
          <w:color w:val="000000" w:themeColor="text1"/>
        </w:rPr>
        <w:t>outcomes</w:t>
      </w:r>
      <w:r w:rsidR="54858006" w:rsidRPr="000A7BB0">
        <w:rPr>
          <w:color w:val="000000" w:themeColor="text1"/>
        </w:rPr>
        <w:t xml:space="preserve"> when compared to </w:t>
      </w:r>
      <w:r w:rsidR="11B2AC7A" w:rsidRPr="000A7BB0">
        <w:rPr>
          <w:color w:val="000000" w:themeColor="text1"/>
        </w:rPr>
        <w:t>that observed in the trial</w:t>
      </w:r>
      <w:r w:rsidR="2AAB4F81" w:rsidRPr="000A7BB0">
        <w:rPr>
          <w:color w:val="000000" w:themeColor="text1"/>
        </w:rPr>
        <w:t xml:space="preserve">. </w:t>
      </w:r>
      <w:r w:rsidR="3E673DB3" w:rsidRPr="004A232C">
        <w:rPr>
          <w:color w:val="000000" w:themeColor="text1"/>
        </w:rPr>
        <w:t xml:space="preserve">The ESCs noted that the </w:t>
      </w:r>
      <w:r w:rsidR="5A7F0757" w:rsidRPr="004A232C">
        <w:rPr>
          <w:color w:val="000000" w:themeColor="text1"/>
        </w:rPr>
        <w:t xml:space="preserve">TTD </w:t>
      </w:r>
      <w:r w:rsidR="7CFE5233" w:rsidRPr="004A232C">
        <w:rPr>
          <w:color w:val="000000" w:themeColor="text1"/>
        </w:rPr>
        <w:t>KM curves were mature and</w:t>
      </w:r>
      <w:r w:rsidR="326EAB6A" w:rsidRPr="004A232C">
        <w:rPr>
          <w:color w:val="000000" w:themeColor="text1"/>
        </w:rPr>
        <w:t xml:space="preserve"> their</w:t>
      </w:r>
      <w:r w:rsidR="7CFE5233" w:rsidRPr="004A232C">
        <w:rPr>
          <w:color w:val="000000" w:themeColor="text1"/>
        </w:rPr>
        <w:t xml:space="preserve"> extrapolation </w:t>
      </w:r>
      <w:r w:rsidR="326EAB6A" w:rsidRPr="004A232C">
        <w:rPr>
          <w:color w:val="000000" w:themeColor="text1"/>
        </w:rPr>
        <w:t xml:space="preserve">in the economic model </w:t>
      </w:r>
      <w:r w:rsidR="2E7D93CD" w:rsidRPr="004A232C">
        <w:rPr>
          <w:color w:val="000000" w:themeColor="text1"/>
        </w:rPr>
        <w:t>appears to</w:t>
      </w:r>
      <w:r w:rsidR="326EAB6A" w:rsidRPr="004A232C">
        <w:rPr>
          <w:color w:val="000000" w:themeColor="text1"/>
        </w:rPr>
        <w:t xml:space="preserve"> overestimate the </w:t>
      </w:r>
      <w:r w:rsidR="2EC86951" w:rsidRPr="004A232C">
        <w:rPr>
          <w:color w:val="000000" w:themeColor="text1"/>
        </w:rPr>
        <w:t>time on treatment.</w:t>
      </w:r>
      <w:r w:rsidR="2E7D93CD" w:rsidRPr="000A7BB0">
        <w:rPr>
          <w:i/>
          <w:iCs/>
          <w:color w:val="000000" w:themeColor="text1"/>
        </w:rPr>
        <w:t xml:space="preserve"> </w:t>
      </w:r>
    </w:p>
    <w:p w14:paraId="17571970" w14:textId="74A8C2F6" w:rsidR="009E18C3" w:rsidRPr="000A7BB0" w:rsidRDefault="009E18C3" w:rsidP="002553CE">
      <w:pPr>
        <w:pStyle w:val="OutlineHeading2"/>
        <w:rPr>
          <w:rFonts w:asciiTheme="minorHAnsi" w:hAnsiTheme="minorHAnsi" w:cstheme="minorHAnsi"/>
        </w:rPr>
      </w:pPr>
      <w:r w:rsidRPr="000A7BB0">
        <w:rPr>
          <w:rFonts w:asciiTheme="minorHAnsi" w:hAnsiTheme="minorHAnsi" w:cstheme="minorHAnsi"/>
        </w:rPr>
        <w:t>Estimated PBS usage &amp; financial implications</w:t>
      </w:r>
    </w:p>
    <w:p w14:paraId="620DB500" w14:textId="0A6DC478" w:rsidR="002174ED" w:rsidRPr="00710D1B" w:rsidRDefault="002174ED" w:rsidP="002553CE">
      <w:pPr>
        <w:numPr>
          <w:ilvl w:val="4"/>
          <w:numId w:val="11"/>
        </w:numPr>
        <w:ind w:left="709" w:hanging="709"/>
        <w:rPr>
          <w:i/>
        </w:rPr>
      </w:pPr>
      <w:r w:rsidRPr="00710D1B">
        <w:rPr>
          <w:color w:val="000000" w:themeColor="text1"/>
        </w:rPr>
        <w:t xml:space="preserve">This submission </w:t>
      </w:r>
      <w:r w:rsidR="00260AD2" w:rsidRPr="00710D1B">
        <w:rPr>
          <w:color w:val="000000" w:themeColor="text1"/>
        </w:rPr>
        <w:t>was</w:t>
      </w:r>
      <w:r w:rsidRPr="00710D1B">
        <w:rPr>
          <w:color w:val="000000" w:themeColor="text1"/>
        </w:rPr>
        <w:t xml:space="preserve"> considered by DUSC. The submission </w:t>
      </w:r>
      <w:r w:rsidR="00260AD2" w:rsidRPr="00710D1B">
        <w:rPr>
          <w:color w:val="000000" w:themeColor="text1"/>
        </w:rPr>
        <w:t>used</w:t>
      </w:r>
      <w:r w:rsidRPr="00710D1B">
        <w:rPr>
          <w:color w:val="000000" w:themeColor="text1"/>
        </w:rPr>
        <w:t xml:space="preserve"> an epidemiological approach to estimating the use and financial impact of the proposed codependent technologies.</w:t>
      </w:r>
      <w:r w:rsidR="00AF748A" w:rsidRPr="00710D1B">
        <w:rPr>
          <w:rFonts w:ascii="Calibri" w:eastAsiaTheme="majorEastAsia" w:hAnsi="Calibri" w:cstheme="majorBidi"/>
          <w:sz w:val="22"/>
          <w:lang w:bidi="en-US"/>
        </w:rPr>
        <w:t xml:space="preserve"> </w:t>
      </w:r>
      <w:r w:rsidR="00AF748A" w:rsidRPr="00710D1B">
        <w:rPr>
          <w:color w:val="000000" w:themeColor="text1"/>
        </w:rPr>
        <w:t>To estimate the size of the eligible population of patients for elacestrant, an analysis was conducted using the 10% PBS sample. Firstly, the number of patients with ER+/HER2- mBC treated with a CDK4/6i in combination with fulvestrant or an AI was identified. Secondly, the analysis determined the number of these patients that progressed onto another treatment in the most recent full year of data (2023) or patients that stopped CDK4/6i treatment in 2023 and did not seek further PBS-listed treatment</w:t>
      </w:r>
      <w:r w:rsidR="00710D1B">
        <w:rPr>
          <w:color w:val="000000" w:themeColor="text1"/>
        </w:rPr>
        <w:t>.</w:t>
      </w:r>
      <w:r w:rsidR="00595CC2" w:rsidRPr="00710D1B">
        <w:rPr>
          <w:color w:val="000000" w:themeColor="text1"/>
        </w:rPr>
        <w:t xml:space="preserve"> </w:t>
      </w:r>
      <w:r w:rsidR="00260AD2" w:rsidRPr="00710D1B">
        <w:rPr>
          <w:iCs/>
        </w:rPr>
        <w:t>DUSC considered that t</w:t>
      </w:r>
      <w:r w:rsidR="00A74FA0" w:rsidRPr="00710D1B">
        <w:rPr>
          <w:iCs/>
        </w:rPr>
        <w:t xml:space="preserve">o capture the prevalent population more </w:t>
      </w:r>
      <w:r w:rsidR="00A74FA0" w:rsidRPr="00710D1B">
        <w:rPr>
          <w:iCs/>
        </w:rPr>
        <w:lastRenderedPageBreak/>
        <w:t>appropriately, the approach should identify when the incident population progresses to the next line of therapy.</w:t>
      </w:r>
    </w:p>
    <w:p w14:paraId="42E5BBE2" w14:textId="3ECD0EF8" w:rsidR="002174ED" w:rsidRPr="007C0B33" w:rsidRDefault="002174ED" w:rsidP="002553CE">
      <w:pPr>
        <w:numPr>
          <w:ilvl w:val="4"/>
          <w:numId w:val="11"/>
        </w:numPr>
        <w:ind w:left="709" w:hanging="709"/>
        <w:rPr>
          <w:color w:val="000000" w:themeColor="text1"/>
        </w:rPr>
      </w:pPr>
      <w:bookmarkStart w:id="44" w:name="_Hlk184477876"/>
      <w:r w:rsidRPr="007C0B33">
        <w:rPr>
          <w:color w:val="000000" w:themeColor="text1"/>
        </w:rPr>
        <w:t xml:space="preserve">A summary of the key inputs for the financial estimates is presented in </w:t>
      </w:r>
      <w:r w:rsidRPr="007C0B33">
        <w:rPr>
          <w:color w:val="000000" w:themeColor="text1"/>
        </w:rPr>
        <w:fldChar w:fldCharType="begin"/>
      </w:r>
      <w:r w:rsidRPr="007C0B33">
        <w:rPr>
          <w:color w:val="000000" w:themeColor="text1"/>
        </w:rPr>
        <w:instrText xml:space="preserve"> REF _Ref184477590 \h </w:instrText>
      </w:r>
      <w:r w:rsidR="007C0B33">
        <w:rPr>
          <w:color w:val="000000" w:themeColor="text1"/>
        </w:rPr>
        <w:instrText xml:space="preserve"> \* MERGEFORMAT </w:instrText>
      </w:r>
      <w:r w:rsidRPr="007C0B33">
        <w:rPr>
          <w:color w:val="000000" w:themeColor="text1"/>
        </w:rPr>
      </w:r>
      <w:r w:rsidRPr="007C0B33">
        <w:rPr>
          <w:color w:val="000000" w:themeColor="text1"/>
        </w:rPr>
        <w:fldChar w:fldCharType="separate"/>
      </w:r>
      <w:r w:rsidR="004F224A" w:rsidRPr="004F224A">
        <w:rPr>
          <w:color w:val="000000" w:themeColor="text1"/>
        </w:rPr>
        <w:t>Table 13</w:t>
      </w:r>
      <w:r w:rsidRPr="007C0B33">
        <w:rPr>
          <w:color w:val="000000" w:themeColor="text1"/>
        </w:rPr>
        <w:fldChar w:fldCharType="end"/>
      </w:r>
      <w:r w:rsidRPr="007C0B33">
        <w:rPr>
          <w:color w:val="000000" w:themeColor="text1"/>
        </w:rPr>
        <w:t>.</w:t>
      </w:r>
      <w:bookmarkEnd w:id="44"/>
    </w:p>
    <w:p w14:paraId="0265A2C0" w14:textId="14955894" w:rsidR="002174ED" w:rsidRPr="00F66709" w:rsidRDefault="002174ED" w:rsidP="002553CE">
      <w:pPr>
        <w:pStyle w:val="TableFigureHeading"/>
        <w:rPr>
          <w:rStyle w:val="CommentReference"/>
          <w:b/>
        </w:rPr>
      </w:pPr>
      <w:bookmarkStart w:id="45" w:name="_Ref184477590"/>
      <w:r w:rsidRPr="00F66709">
        <w:t xml:space="preserve">Table </w:t>
      </w:r>
      <w:r w:rsidRPr="00677A64">
        <w:fldChar w:fldCharType="begin"/>
      </w:r>
      <w:r w:rsidRPr="00F66709">
        <w:instrText xml:space="preserve"> SEQ Table_PBAC. \* ARABIC </w:instrText>
      </w:r>
      <w:r w:rsidRPr="00677A64">
        <w:fldChar w:fldCharType="separate"/>
      </w:r>
      <w:r w:rsidR="004F224A">
        <w:rPr>
          <w:noProof/>
        </w:rPr>
        <w:t>13</w:t>
      </w:r>
      <w:r w:rsidRPr="00677A64">
        <w:fldChar w:fldCharType="end"/>
      </w:r>
      <w:bookmarkEnd w:id="45"/>
      <w:r w:rsidRPr="00677A64">
        <w:t xml:space="preserve">: </w:t>
      </w:r>
      <w:r w:rsidRPr="00F66709">
        <w:rPr>
          <w:rStyle w:val="CommentReference"/>
          <w:b/>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713"/>
        <w:gridCol w:w="3810"/>
        <w:gridCol w:w="3493"/>
      </w:tblGrid>
      <w:tr w:rsidR="002174ED" w:rsidRPr="00F66709" w14:paraId="7A5FEC15" w14:textId="77777777" w:rsidTr="0089600D">
        <w:trPr>
          <w:tblHeader/>
        </w:trPr>
        <w:tc>
          <w:tcPr>
            <w:tcW w:w="950" w:type="pct"/>
            <w:vAlign w:val="center"/>
          </w:tcPr>
          <w:p w14:paraId="10214478" w14:textId="77777777" w:rsidR="002174ED" w:rsidRPr="00F66709" w:rsidRDefault="002174ED" w:rsidP="002553CE">
            <w:pPr>
              <w:pStyle w:val="In-tableHeading"/>
              <w:rPr>
                <w:lang w:val="en-AU"/>
              </w:rPr>
            </w:pPr>
            <w:r w:rsidRPr="00F66709">
              <w:rPr>
                <w:lang w:val="en-AU"/>
              </w:rPr>
              <w:t>Parameter</w:t>
            </w:r>
          </w:p>
        </w:tc>
        <w:tc>
          <w:tcPr>
            <w:tcW w:w="2113" w:type="pct"/>
            <w:vAlign w:val="center"/>
          </w:tcPr>
          <w:p w14:paraId="674C6338" w14:textId="77777777" w:rsidR="002174ED" w:rsidRPr="00F66709" w:rsidRDefault="002174ED" w:rsidP="002553CE">
            <w:pPr>
              <w:pStyle w:val="In-tableHeading"/>
              <w:rPr>
                <w:lang w:val="en-AU"/>
              </w:rPr>
            </w:pPr>
            <w:r w:rsidRPr="00F66709">
              <w:rPr>
                <w:lang w:val="en-AU"/>
              </w:rPr>
              <w:t>Value applied and source</w:t>
            </w:r>
          </w:p>
        </w:tc>
        <w:tc>
          <w:tcPr>
            <w:tcW w:w="1937" w:type="pct"/>
            <w:vAlign w:val="center"/>
          </w:tcPr>
          <w:p w14:paraId="788751F4" w14:textId="5AFD0539" w:rsidR="002174ED" w:rsidRPr="00D62CCF" w:rsidRDefault="00DB794E" w:rsidP="002553CE">
            <w:pPr>
              <w:pStyle w:val="In-tableHeading"/>
              <w:rPr>
                <w:lang w:val="en-AU"/>
              </w:rPr>
            </w:pPr>
            <w:r>
              <w:rPr>
                <w:lang w:val="en-AU"/>
              </w:rPr>
              <w:t>Evaluation and DUSC c</w:t>
            </w:r>
            <w:r w:rsidR="002174ED" w:rsidRPr="00D62CCF">
              <w:rPr>
                <w:lang w:val="en-AU"/>
              </w:rPr>
              <w:t>omment</w:t>
            </w:r>
            <w:r>
              <w:rPr>
                <w:lang w:val="en-AU"/>
              </w:rPr>
              <w:t>s</w:t>
            </w:r>
          </w:p>
        </w:tc>
      </w:tr>
      <w:tr w:rsidR="002174ED" w:rsidRPr="00F66709" w14:paraId="4DE3052F" w14:textId="77777777" w:rsidTr="0089600D">
        <w:tc>
          <w:tcPr>
            <w:tcW w:w="950" w:type="pct"/>
            <w:vAlign w:val="center"/>
          </w:tcPr>
          <w:p w14:paraId="4CF0D7F1" w14:textId="77777777" w:rsidR="002174ED" w:rsidRPr="00F66709" w:rsidRDefault="002174ED" w:rsidP="002553CE">
            <w:pPr>
              <w:pStyle w:val="TableText"/>
              <w:widowControl/>
            </w:pPr>
            <w:r w:rsidRPr="00F66709">
              <w:t>Eligible test population: Patients with ER+/HER2- mBC progressing from a CDK4/6i</w:t>
            </w:r>
          </w:p>
        </w:tc>
        <w:tc>
          <w:tcPr>
            <w:tcW w:w="2113" w:type="pct"/>
            <w:vAlign w:val="center"/>
          </w:tcPr>
          <w:p w14:paraId="60CC1BE2" w14:textId="77777777" w:rsidR="002174ED" w:rsidRPr="00F66709" w:rsidRDefault="002174ED" w:rsidP="002553CE">
            <w:pPr>
              <w:pStyle w:val="TableText"/>
              <w:widowControl/>
            </w:pPr>
            <w:r w:rsidRPr="00F66709">
              <w:t>Sourced from analysis of annual number of patients with ER+/HER2- mBC progressing from a CDK4/6i between 2018 and 2023 (from the PBS10%), indexed against the general population growth in Australia (1.4%) for future years (sourced from ABS data).</w:t>
            </w:r>
          </w:p>
          <w:p w14:paraId="1156A417" w14:textId="77777777" w:rsidR="002174ED" w:rsidRPr="00F66709" w:rsidRDefault="002174ED" w:rsidP="002553CE">
            <w:pPr>
              <w:pStyle w:val="TableText"/>
              <w:widowControl/>
            </w:pPr>
          </w:p>
          <w:p w14:paraId="43E1CAEA" w14:textId="38171DC3" w:rsidR="002174ED" w:rsidRPr="00F66709" w:rsidRDefault="002174ED" w:rsidP="002553CE">
            <w:pPr>
              <w:pStyle w:val="TableText"/>
              <w:widowControl/>
            </w:pPr>
            <w:r w:rsidRPr="00F66709">
              <w:rPr>
                <w:szCs w:val="20"/>
              </w:rPr>
              <w:t xml:space="preserve">In the first year of the proposed listing, it is expected that there will be a pool of prevalent patients </w:t>
            </w:r>
            <w:r w:rsidR="006352B3">
              <w:rPr>
                <w:szCs w:val="20"/>
              </w:rPr>
              <w:t>who</w:t>
            </w:r>
            <w:r w:rsidRPr="00F66709">
              <w:rPr>
                <w:szCs w:val="20"/>
              </w:rPr>
              <w:t xml:space="preserve"> progressed from a CDK4/6i in previous years </w:t>
            </w:r>
            <w:r w:rsidR="006352B3">
              <w:rPr>
                <w:szCs w:val="20"/>
              </w:rPr>
              <w:t>and</w:t>
            </w:r>
            <w:r w:rsidRPr="00F66709">
              <w:rPr>
                <w:szCs w:val="20"/>
              </w:rPr>
              <w:t xml:space="preserve"> would be eligible for elacestrant under the proposed listing (‘warehoused’ patients). Th</w:t>
            </w:r>
            <w:r w:rsidR="00D53D16">
              <w:rPr>
                <w:szCs w:val="20"/>
              </w:rPr>
              <w:t>e</w:t>
            </w:r>
            <w:r w:rsidRPr="00F66709">
              <w:rPr>
                <w:szCs w:val="20"/>
              </w:rPr>
              <w:t xml:space="preserve"> </w:t>
            </w:r>
            <w:r w:rsidR="006352B3">
              <w:rPr>
                <w:szCs w:val="20"/>
              </w:rPr>
              <w:t>submission</w:t>
            </w:r>
            <w:r w:rsidRPr="00F66709">
              <w:rPr>
                <w:szCs w:val="20"/>
              </w:rPr>
              <w:t xml:space="preserve"> doubl</w:t>
            </w:r>
            <w:r w:rsidR="00104865">
              <w:rPr>
                <w:szCs w:val="20"/>
              </w:rPr>
              <w:t>ed</w:t>
            </w:r>
            <w:r w:rsidRPr="00F66709">
              <w:rPr>
                <w:szCs w:val="20"/>
              </w:rPr>
              <w:t xml:space="preserve"> the number of eligible patients in the test populat</w:t>
            </w:r>
            <w:r>
              <w:rPr>
                <w:szCs w:val="20"/>
              </w:rPr>
              <w:t>i</w:t>
            </w:r>
            <w:r w:rsidRPr="00F66709">
              <w:rPr>
                <w:szCs w:val="20"/>
              </w:rPr>
              <w:t>on in Year 1</w:t>
            </w:r>
            <w:r w:rsidR="00104865">
              <w:rPr>
                <w:szCs w:val="20"/>
              </w:rPr>
              <w:t xml:space="preserve"> to account for these patients.</w:t>
            </w:r>
          </w:p>
        </w:tc>
        <w:tc>
          <w:tcPr>
            <w:tcW w:w="1937" w:type="pct"/>
            <w:vAlign w:val="center"/>
          </w:tcPr>
          <w:p w14:paraId="4A2AEB9D" w14:textId="77777777" w:rsidR="002174ED" w:rsidRDefault="00D62CCF" w:rsidP="002553CE">
            <w:pPr>
              <w:pStyle w:val="TableText"/>
              <w:widowControl/>
            </w:pPr>
            <w:r>
              <w:t xml:space="preserve">The evaluation </w:t>
            </w:r>
            <w:r w:rsidR="001564DC">
              <w:t xml:space="preserve">and DUSC </w:t>
            </w:r>
            <w:r>
              <w:t xml:space="preserve">considered that </w:t>
            </w:r>
            <w:r w:rsidR="002174ED" w:rsidRPr="00D62CCF">
              <w:t xml:space="preserve">the number of ‘warehoused’ patients included in year 1 </w:t>
            </w:r>
            <w:r>
              <w:t>wa</w:t>
            </w:r>
            <w:r w:rsidR="002174ED" w:rsidRPr="00D62CCF">
              <w:t xml:space="preserve">s </w:t>
            </w:r>
            <w:r w:rsidR="001564DC">
              <w:t>uncertain</w:t>
            </w:r>
            <w:r w:rsidR="00057C6D">
              <w:t>.</w:t>
            </w:r>
          </w:p>
          <w:p w14:paraId="3B904864" w14:textId="2AFE904F" w:rsidR="002F1D85" w:rsidRPr="002F1D85" w:rsidRDefault="002F1D85" w:rsidP="002553CE">
            <w:pPr>
              <w:jc w:val="left"/>
              <w:rPr>
                <w:rFonts w:ascii="Arial Narrow" w:hAnsi="Arial Narrow"/>
                <w:sz w:val="20"/>
                <w:szCs w:val="20"/>
              </w:rPr>
            </w:pPr>
            <w:r w:rsidRPr="002F1D85">
              <w:rPr>
                <w:rFonts w:ascii="Arial Narrow" w:hAnsi="Arial Narrow"/>
                <w:sz w:val="20"/>
                <w:szCs w:val="20"/>
              </w:rPr>
              <w:t xml:space="preserve">DUSC </w:t>
            </w:r>
            <w:r w:rsidR="000D5645">
              <w:rPr>
                <w:rFonts w:ascii="Arial Narrow" w:hAnsi="Arial Narrow"/>
                <w:sz w:val="20"/>
                <w:szCs w:val="20"/>
              </w:rPr>
              <w:t>identified</w:t>
            </w:r>
            <w:r w:rsidRPr="002F1D85">
              <w:rPr>
                <w:rFonts w:ascii="Arial Narrow" w:hAnsi="Arial Narrow"/>
                <w:sz w:val="20"/>
                <w:szCs w:val="20"/>
              </w:rPr>
              <w:t xml:space="preserve"> populations</w:t>
            </w:r>
            <w:r w:rsidR="009B3EE3">
              <w:rPr>
                <w:rFonts w:ascii="Arial Narrow" w:hAnsi="Arial Narrow"/>
                <w:sz w:val="20"/>
                <w:szCs w:val="20"/>
              </w:rPr>
              <w:t xml:space="preserve"> </w:t>
            </w:r>
            <w:r w:rsidR="001D6731">
              <w:rPr>
                <w:rFonts w:ascii="Arial Narrow" w:hAnsi="Arial Narrow"/>
                <w:sz w:val="20"/>
                <w:szCs w:val="20"/>
              </w:rPr>
              <w:t>potentially not accounted for</w:t>
            </w:r>
            <w:r w:rsidR="00F02AAF">
              <w:rPr>
                <w:rFonts w:ascii="Arial Narrow" w:hAnsi="Arial Narrow"/>
                <w:sz w:val="20"/>
                <w:szCs w:val="20"/>
              </w:rPr>
              <w:t xml:space="preserve"> (although they may have been included in the assumed “ware</w:t>
            </w:r>
            <w:r w:rsidR="009436AF">
              <w:rPr>
                <w:rFonts w:ascii="Arial Narrow" w:hAnsi="Arial Narrow"/>
                <w:sz w:val="20"/>
                <w:szCs w:val="20"/>
              </w:rPr>
              <w:t>housed” patients)</w:t>
            </w:r>
            <w:r w:rsidRPr="002F1D85">
              <w:rPr>
                <w:rFonts w:ascii="Arial Narrow" w:hAnsi="Arial Narrow"/>
                <w:sz w:val="20"/>
                <w:szCs w:val="20"/>
              </w:rPr>
              <w:t xml:space="preserve">: </w:t>
            </w:r>
          </w:p>
          <w:p w14:paraId="05896C01" w14:textId="633C2D36" w:rsidR="002F1D85" w:rsidRPr="008D4845" w:rsidRDefault="002F1D85" w:rsidP="002553CE">
            <w:pPr>
              <w:pStyle w:val="ListParagraph"/>
              <w:numPr>
                <w:ilvl w:val="0"/>
                <w:numId w:val="35"/>
              </w:numPr>
              <w:spacing w:before="0" w:after="0"/>
              <w:contextualSpacing/>
              <w:jc w:val="left"/>
              <w:rPr>
                <w:rFonts w:ascii="Arial Narrow" w:hAnsi="Arial Narrow"/>
                <w:sz w:val="20"/>
                <w:szCs w:val="20"/>
              </w:rPr>
            </w:pPr>
            <w:r w:rsidRPr="002F1D85">
              <w:rPr>
                <w:rFonts w:ascii="Arial Narrow" w:hAnsi="Arial Narrow"/>
                <w:sz w:val="20"/>
                <w:szCs w:val="20"/>
              </w:rPr>
              <w:t>2L/3L population already on ET</w:t>
            </w:r>
            <w:r w:rsidR="005D6FA5">
              <w:rPr>
                <w:rFonts w:ascii="Arial Narrow" w:hAnsi="Arial Narrow"/>
                <w:sz w:val="20"/>
                <w:szCs w:val="20"/>
              </w:rPr>
              <w:t xml:space="preserve"> or </w:t>
            </w:r>
            <w:r w:rsidRPr="002F1D85">
              <w:rPr>
                <w:rFonts w:ascii="Arial Narrow" w:hAnsi="Arial Narrow"/>
                <w:sz w:val="20"/>
                <w:szCs w:val="20"/>
              </w:rPr>
              <w:t>chemotherapy</w:t>
            </w:r>
          </w:p>
          <w:p w14:paraId="3769DCBA" w14:textId="77777777" w:rsidR="00057C6D" w:rsidRPr="001D6731" w:rsidRDefault="002F1D85" w:rsidP="002553CE">
            <w:pPr>
              <w:pStyle w:val="ListParagraph"/>
              <w:numPr>
                <w:ilvl w:val="0"/>
                <w:numId w:val="35"/>
              </w:numPr>
              <w:spacing w:before="0" w:after="0"/>
              <w:contextualSpacing/>
              <w:jc w:val="left"/>
            </w:pPr>
            <w:r w:rsidRPr="002F1D85">
              <w:rPr>
                <w:rFonts w:ascii="Arial Narrow" w:hAnsi="Arial Narrow"/>
                <w:sz w:val="20"/>
                <w:szCs w:val="20"/>
              </w:rPr>
              <w:t>Adjuvant population on abemaciclib who progress (5-6% in first year and up to 10-15% in the second year of therapy)</w:t>
            </w:r>
            <w:r w:rsidRPr="002F1D85">
              <w:rPr>
                <w:rFonts w:ascii="Arial" w:hAnsi="Arial"/>
                <w:sz w:val="20"/>
                <w:szCs w:val="20"/>
              </w:rPr>
              <w:t>​</w:t>
            </w:r>
          </w:p>
          <w:p w14:paraId="48325490" w14:textId="36910461" w:rsidR="001D6731" w:rsidRPr="00DB794E" w:rsidRDefault="001D6731" w:rsidP="002553CE">
            <w:pPr>
              <w:spacing w:after="0"/>
              <w:jc w:val="left"/>
              <w:rPr>
                <w:rFonts w:ascii="Arial Narrow" w:hAnsi="Arial Narrow"/>
                <w:i/>
                <w:iCs/>
                <w:sz w:val="20"/>
                <w:szCs w:val="20"/>
              </w:rPr>
            </w:pPr>
            <w:r w:rsidRPr="00DB794E">
              <w:rPr>
                <w:rFonts w:ascii="Arial Narrow" w:hAnsi="Arial Narrow"/>
                <w:color w:val="000000" w:themeColor="text1"/>
                <w:sz w:val="20"/>
                <w:szCs w:val="20"/>
              </w:rPr>
              <w:t xml:space="preserve">In addition, </w:t>
            </w:r>
            <w:r w:rsidR="00DB794E" w:rsidRPr="00DB794E">
              <w:rPr>
                <w:rFonts w:ascii="Arial Narrow" w:hAnsi="Arial Narrow"/>
                <w:color w:val="000000" w:themeColor="text1"/>
                <w:sz w:val="20"/>
                <w:szCs w:val="20"/>
              </w:rPr>
              <w:t xml:space="preserve">patient numbers may be underestimated as it was unclear why there were fewer </w:t>
            </w:r>
            <w:r w:rsidRPr="00DB794E">
              <w:rPr>
                <w:rFonts w:ascii="Arial Narrow" w:hAnsi="Arial Narrow"/>
                <w:color w:val="000000" w:themeColor="text1"/>
                <w:sz w:val="20"/>
                <w:szCs w:val="20"/>
              </w:rPr>
              <w:t xml:space="preserve">CDK4/6 inhibitor 1L progressors </w:t>
            </w:r>
            <w:r w:rsidR="00DB794E" w:rsidRPr="00DB794E">
              <w:rPr>
                <w:rFonts w:ascii="Arial Narrow" w:hAnsi="Arial Narrow"/>
                <w:color w:val="000000" w:themeColor="text1"/>
                <w:sz w:val="20"/>
                <w:szCs w:val="20"/>
              </w:rPr>
              <w:t xml:space="preserve">for </w:t>
            </w:r>
            <w:r w:rsidRPr="00DB794E">
              <w:rPr>
                <w:rFonts w:ascii="Arial Narrow" w:hAnsi="Arial Narrow"/>
                <w:color w:val="000000" w:themeColor="text1"/>
                <w:sz w:val="20"/>
                <w:szCs w:val="20"/>
              </w:rPr>
              <w:t>2023</w:t>
            </w:r>
            <w:r w:rsidR="00DB794E" w:rsidRPr="00DB794E">
              <w:rPr>
                <w:rFonts w:ascii="Arial Narrow" w:hAnsi="Arial Narrow"/>
                <w:color w:val="000000" w:themeColor="text1"/>
                <w:sz w:val="20"/>
                <w:szCs w:val="20"/>
              </w:rPr>
              <w:t xml:space="preserve"> compared with 2022</w:t>
            </w:r>
            <w:r w:rsidRPr="00DB794E">
              <w:rPr>
                <w:rFonts w:ascii="Arial Narrow" w:hAnsi="Arial Narrow"/>
                <w:color w:val="000000" w:themeColor="text1"/>
                <w:sz w:val="20"/>
                <w:szCs w:val="20"/>
              </w:rPr>
              <w:t>.</w:t>
            </w:r>
          </w:p>
        </w:tc>
      </w:tr>
      <w:tr w:rsidR="002174ED" w:rsidRPr="00F66709" w14:paraId="75432958" w14:textId="77777777" w:rsidTr="0089600D">
        <w:tc>
          <w:tcPr>
            <w:tcW w:w="950" w:type="pct"/>
            <w:vAlign w:val="center"/>
          </w:tcPr>
          <w:p w14:paraId="194AB2FE" w14:textId="77777777" w:rsidR="002174ED" w:rsidRPr="00F66709" w:rsidRDefault="002174ED" w:rsidP="002553CE">
            <w:pPr>
              <w:pStyle w:val="TableText"/>
              <w:widowControl/>
            </w:pPr>
            <w:r w:rsidRPr="00F66709">
              <w:t>Prevalence of biomarker (</w:t>
            </w:r>
            <w:r w:rsidRPr="00F66709">
              <w:rPr>
                <w:i/>
                <w:iCs/>
              </w:rPr>
              <w:t xml:space="preserve">ESR1 </w:t>
            </w:r>
            <w:r w:rsidRPr="00F66709">
              <w:t>variants</w:t>
            </w:r>
            <w:r w:rsidRPr="00F66709">
              <w:rPr>
                <w:i/>
                <w:iCs/>
              </w:rPr>
              <w:t>)</w:t>
            </w:r>
          </w:p>
        </w:tc>
        <w:tc>
          <w:tcPr>
            <w:tcW w:w="2113" w:type="pct"/>
            <w:vAlign w:val="center"/>
          </w:tcPr>
          <w:p w14:paraId="61C188B9" w14:textId="77777777" w:rsidR="002174ED" w:rsidRPr="00F66709" w:rsidRDefault="002174ED" w:rsidP="002553CE">
            <w:pPr>
              <w:pStyle w:val="TableText"/>
              <w:widowControl/>
            </w:pPr>
            <w:r w:rsidRPr="00F66709">
              <w:t>70.2%</w:t>
            </w:r>
          </w:p>
          <w:p w14:paraId="58A701DD" w14:textId="77777777" w:rsidR="002174ED" w:rsidRPr="00F66709" w:rsidRDefault="002174ED" w:rsidP="002553CE">
            <w:pPr>
              <w:pStyle w:val="TableText"/>
              <w:widowControl/>
            </w:pPr>
            <w:r w:rsidRPr="00F66709">
              <w:t xml:space="preserve">Based on calculations using the prevalence of </w:t>
            </w:r>
            <w:r w:rsidRPr="00F66709">
              <w:rPr>
                <w:i/>
                <w:iCs/>
              </w:rPr>
              <w:t>ESR1</w:t>
            </w:r>
            <w:r w:rsidRPr="00F66709">
              <w:t xml:space="preserve"> variant positive patients from the EMERALD trial (47.7%) and assumptions that 100% of patients will opt for a test post 1L progression and 90% of remaining patients will opt for a further test post 2L progression (in the same year). </w:t>
            </w:r>
          </w:p>
        </w:tc>
        <w:tc>
          <w:tcPr>
            <w:tcW w:w="1937" w:type="pct"/>
            <w:vAlign w:val="center"/>
          </w:tcPr>
          <w:p w14:paraId="692BE646" w14:textId="77777777" w:rsidR="002174ED" w:rsidRDefault="002174ED" w:rsidP="002553CE">
            <w:pPr>
              <w:pStyle w:val="TableText"/>
              <w:widowControl/>
            </w:pPr>
            <w:r w:rsidRPr="00D62CCF">
              <w:t xml:space="preserve">The proportion of </w:t>
            </w:r>
            <w:r w:rsidRPr="0094020F">
              <w:rPr>
                <w:i/>
                <w:iCs/>
              </w:rPr>
              <w:t>ESR1</w:t>
            </w:r>
            <w:r w:rsidRPr="00D62CCF">
              <w:t xml:space="preserve"> variant positive patients in the EMERALD trial (47.7%) was based on a single test and included those who had disease progression following 1L or 2L therapy. As such, the estimated prevalence of </w:t>
            </w:r>
            <w:r w:rsidRPr="0094020F">
              <w:rPr>
                <w:i/>
                <w:iCs/>
              </w:rPr>
              <w:t>ESR1</w:t>
            </w:r>
            <w:r w:rsidRPr="00D62CCF">
              <w:t xml:space="preserve"> variants applied in the financial estimates is likely overestimated.</w:t>
            </w:r>
          </w:p>
          <w:p w14:paraId="19FF6144" w14:textId="129AC5FB" w:rsidR="00F248EA" w:rsidRPr="00F248EA" w:rsidRDefault="00F248EA" w:rsidP="002553CE">
            <w:pPr>
              <w:pStyle w:val="TableText"/>
              <w:widowControl/>
            </w:pPr>
            <w:r w:rsidRPr="00F248EA">
              <w:rPr>
                <w:szCs w:val="20"/>
              </w:rPr>
              <w:t xml:space="preserve">DUSC </w:t>
            </w:r>
            <w:r w:rsidR="005E1FB8">
              <w:rPr>
                <w:szCs w:val="20"/>
              </w:rPr>
              <w:t>agreed</w:t>
            </w:r>
            <w:r w:rsidR="00F554B4">
              <w:rPr>
                <w:szCs w:val="20"/>
              </w:rPr>
              <w:t xml:space="preserve"> the overall prevalence should be </w:t>
            </w:r>
            <w:r w:rsidR="00500B4E">
              <w:rPr>
                <w:szCs w:val="20"/>
              </w:rPr>
              <w:t>47.7% but</w:t>
            </w:r>
            <w:r w:rsidR="00F554B4">
              <w:rPr>
                <w:szCs w:val="20"/>
              </w:rPr>
              <w:t xml:space="preserve"> a</w:t>
            </w:r>
            <w:r w:rsidRPr="00F248EA">
              <w:rPr>
                <w:szCs w:val="20"/>
              </w:rPr>
              <w:t xml:space="preserve">cknowledged that given the </w:t>
            </w:r>
            <w:r w:rsidRPr="0094020F">
              <w:rPr>
                <w:i/>
                <w:iCs/>
                <w:szCs w:val="20"/>
              </w:rPr>
              <w:t>ESR1</w:t>
            </w:r>
            <w:r w:rsidRPr="00F248EA">
              <w:rPr>
                <w:szCs w:val="20"/>
              </w:rPr>
              <w:t xml:space="preserve"> variant is emergent and dynamic, the exact numbers are somewhat uncertain.</w:t>
            </w:r>
          </w:p>
        </w:tc>
      </w:tr>
      <w:tr w:rsidR="002174ED" w:rsidRPr="00F66709" w14:paraId="2BFE045E" w14:textId="77777777" w:rsidTr="0089600D">
        <w:tc>
          <w:tcPr>
            <w:tcW w:w="950" w:type="pct"/>
            <w:vAlign w:val="center"/>
          </w:tcPr>
          <w:p w14:paraId="2C96054A" w14:textId="77777777" w:rsidR="002174ED" w:rsidRPr="00F66709" w:rsidRDefault="002174ED" w:rsidP="002553CE">
            <w:pPr>
              <w:pStyle w:val="TableText"/>
              <w:widowControl/>
            </w:pPr>
            <w:r w:rsidRPr="00F66709">
              <w:t xml:space="preserve">Uptake rate </w:t>
            </w:r>
          </w:p>
        </w:tc>
        <w:tc>
          <w:tcPr>
            <w:tcW w:w="2113" w:type="pct"/>
            <w:vAlign w:val="center"/>
          </w:tcPr>
          <w:p w14:paraId="1255A627" w14:textId="3C0270BF" w:rsidR="002174ED" w:rsidRPr="00F66709" w:rsidRDefault="00F4744A" w:rsidP="002553CE">
            <w:pPr>
              <w:pStyle w:val="TableText"/>
              <w:widowControl/>
            </w:pPr>
            <w:r w:rsidRPr="00484AD0">
              <w:rPr>
                <w:color w:val="000000"/>
                <w:spacing w:val="51"/>
                <w:shd w:val="solid" w:color="000000" w:fill="000000"/>
                <w:fitText w:val="326" w:id="-694393589"/>
                <w14:textFill>
                  <w14:solidFill>
                    <w14:srgbClr w14:val="000000">
                      <w14:alpha w14:val="100000"/>
                    </w14:srgbClr>
                  </w14:solidFill>
                </w14:textFill>
              </w:rPr>
              <w:t>|||</w:t>
            </w:r>
            <w:r w:rsidRPr="00484AD0">
              <w:rPr>
                <w:color w:val="000000"/>
                <w:spacing w:val="3"/>
                <w:shd w:val="solid" w:color="000000" w:fill="000000"/>
                <w:fitText w:val="326" w:id="-694393589"/>
                <w14:textFill>
                  <w14:solidFill>
                    <w14:srgbClr w14:val="000000">
                      <w14:alpha w14:val="100000"/>
                    </w14:srgbClr>
                  </w14:solidFill>
                </w14:textFill>
              </w:rPr>
              <w:t>|</w:t>
            </w:r>
            <w:r w:rsidR="002174ED" w:rsidRPr="00F66709">
              <w:t xml:space="preserve">% in Year 1 increasing to </w:t>
            </w:r>
            <w:r w:rsidRPr="00484AD0">
              <w:rPr>
                <w:color w:val="000000"/>
                <w:spacing w:val="51"/>
                <w:shd w:val="solid" w:color="000000" w:fill="000000"/>
                <w:fitText w:val="325" w:id="-694393588"/>
                <w14:textFill>
                  <w14:solidFill>
                    <w14:srgbClr w14:val="000000">
                      <w14:alpha w14:val="100000"/>
                    </w14:srgbClr>
                  </w14:solidFill>
                </w14:textFill>
              </w:rPr>
              <w:t>|||</w:t>
            </w:r>
            <w:r w:rsidRPr="00484AD0">
              <w:rPr>
                <w:color w:val="000000"/>
                <w:spacing w:val="2"/>
                <w:shd w:val="solid" w:color="000000" w:fill="000000"/>
                <w:fitText w:val="325" w:id="-694393588"/>
                <w14:textFill>
                  <w14:solidFill>
                    <w14:srgbClr w14:val="000000">
                      <w14:alpha w14:val="100000"/>
                    </w14:srgbClr>
                  </w14:solidFill>
                </w14:textFill>
              </w:rPr>
              <w:t>|</w:t>
            </w:r>
            <w:r w:rsidR="002174ED" w:rsidRPr="00F66709">
              <w:t xml:space="preserve">% in Year 4 onwards. Based on an estimate from the </w:t>
            </w:r>
            <w:r w:rsidR="002174ED">
              <w:t>submission</w:t>
            </w:r>
          </w:p>
        </w:tc>
        <w:tc>
          <w:tcPr>
            <w:tcW w:w="1937" w:type="pct"/>
            <w:vAlign w:val="center"/>
          </w:tcPr>
          <w:p w14:paraId="7AD3D778" w14:textId="69F61BB7" w:rsidR="002174ED" w:rsidRPr="00D62CCF" w:rsidRDefault="009A28E5" w:rsidP="002553CE">
            <w:pPr>
              <w:pStyle w:val="TableText"/>
              <w:widowControl/>
            </w:pPr>
            <w:r>
              <w:t>The evaluation and DUSC considered the e</w:t>
            </w:r>
            <w:r w:rsidR="002174ED" w:rsidRPr="00D62CCF">
              <w:t>stimates appear reasonable given the demonstrated superior effectiveness and likely inferior but manageable safety profile</w:t>
            </w:r>
            <w:r>
              <w:t>.</w:t>
            </w:r>
          </w:p>
        </w:tc>
      </w:tr>
      <w:tr w:rsidR="002174ED" w:rsidRPr="00F66709" w14:paraId="42E108F8" w14:textId="77777777" w:rsidTr="0089600D">
        <w:tc>
          <w:tcPr>
            <w:tcW w:w="950" w:type="pct"/>
            <w:vAlign w:val="center"/>
          </w:tcPr>
          <w:p w14:paraId="7DB62DCF" w14:textId="2C4342B2" w:rsidR="002174ED" w:rsidRPr="00F66709" w:rsidRDefault="002174ED" w:rsidP="002553CE">
            <w:pPr>
              <w:pStyle w:val="TableText"/>
              <w:widowControl/>
            </w:pPr>
            <w:r w:rsidRPr="00F66709">
              <w:t>Compliance rate</w:t>
            </w:r>
          </w:p>
        </w:tc>
        <w:tc>
          <w:tcPr>
            <w:tcW w:w="2113" w:type="pct"/>
            <w:vAlign w:val="center"/>
          </w:tcPr>
          <w:p w14:paraId="51086598" w14:textId="77777777" w:rsidR="002174ED" w:rsidRPr="00F66709" w:rsidRDefault="002174ED" w:rsidP="002553CE">
            <w:pPr>
              <w:pStyle w:val="TableText"/>
              <w:widowControl/>
            </w:pPr>
            <w:r w:rsidRPr="00F66709">
              <w:t>95%</w:t>
            </w:r>
          </w:p>
          <w:p w14:paraId="4A2E5AC0" w14:textId="77777777" w:rsidR="002174ED" w:rsidRPr="00F66709" w:rsidRDefault="002174ED" w:rsidP="002553CE">
            <w:pPr>
              <w:pStyle w:val="TableText"/>
              <w:widowControl/>
            </w:pPr>
            <w:r w:rsidRPr="00F66709">
              <w:t xml:space="preserve">Based on an assumption from the </w:t>
            </w:r>
            <w:r>
              <w:t>submission</w:t>
            </w:r>
          </w:p>
        </w:tc>
        <w:tc>
          <w:tcPr>
            <w:tcW w:w="1937" w:type="pct"/>
            <w:vAlign w:val="center"/>
          </w:tcPr>
          <w:p w14:paraId="6F5C4C1E" w14:textId="00B30968" w:rsidR="002174ED" w:rsidRPr="00D62CCF" w:rsidRDefault="002174ED" w:rsidP="002553CE">
            <w:pPr>
              <w:pStyle w:val="TableText"/>
              <w:widowControl/>
            </w:pPr>
            <w:r w:rsidRPr="00D62CCF">
              <w:t>Th</w:t>
            </w:r>
            <w:r w:rsidR="00F0664A">
              <w:t>e evaluation and DUSC considered th</w:t>
            </w:r>
            <w:r w:rsidRPr="00D62CCF">
              <w:t xml:space="preserve">is </w:t>
            </w:r>
            <w:r w:rsidR="00500B4E" w:rsidRPr="00D62CCF">
              <w:t>were</w:t>
            </w:r>
            <w:r w:rsidRPr="00D62CCF">
              <w:t xml:space="preserve"> reasonable – compliance in the EMERALD trial was high (99%) with low incidence rates for treatment emergent AEs.</w:t>
            </w:r>
            <w:r w:rsidR="00F0664A">
              <w:t xml:space="preserve"> </w:t>
            </w:r>
            <w:r w:rsidR="00500B4E">
              <w:t>However,</w:t>
            </w:r>
            <w:r w:rsidR="00F0664A">
              <w:t xml:space="preserve"> DUSC considered that compliance m</w:t>
            </w:r>
            <w:r w:rsidR="007F58F3">
              <w:t>ay be lower in clinical practice.</w:t>
            </w:r>
          </w:p>
        </w:tc>
      </w:tr>
      <w:tr w:rsidR="002174ED" w:rsidRPr="00F66709" w14:paraId="334ABC16" w14:textId="77777777" w:rsidTr="0089600D">
        <w:tc>
          <w:tcPr>
            <w:tcW w:w="950" w:type="pct"/>
            <w:vAlign w:val="center"/>
          </w:tcPr>
          <w:p w14:paraId="4E21E57D" w14:textId="77777777" w:rsidR="002174ED" w:rsidRPr="00F66709" w:rsidRDefault="002174ED" w:rsidP="002553CE">
            <w:pPr>
              <w:pStyle w:val="TableText"/>
              <w:widowControl/>
            </w:pPr>
            <w:r w:rsidRPr="00F66709">
              <w:t>Mean duration of treatment</w:t>
            </w:r>
          </w:p>
        </w:tc>
        <w:tc>
          <w:tcPr>
            <w:tcW w:w="2113" w:type="pct"/>
            <w:vAlign w:val="center"/>
          </w:tcPr>
          <w:p w14:paraId="056DCC9F" w14:textId="77777777" w:rsidR="002174ED" w:rsidRPr="00F66709" w:rsidRDefault="002174ED" w:rsidP="002553CE">
            <w:pPr>
              <w:pStyle w:val="TableText"/>
              <w:widowControl/>
            </w:pPr>
            <w:r w:rsidRPr="00F66709">
              <w:t>160.3 days</w:t>
            </w:r>
          </w:p>
          <w:p w14:paraId="604FABED" w14:textId="77777777" w:rsidR="002174ED" w:rsidRPr="00F66709" w:rsidRDefault="002174ED" w:rsidP="002553CE">
            <w:pPr>
              <w:pStyle w:val="TableText"/>
              <w:widowControl/>
            </w:pPr>
            <w:r w:rsidRPr="00F66709">
              <w:t>EMERALD trial (</w:t>
            </w:r>
            <w:r w:rsidRPr="00F66709">
              <w:rPr>
                <w:i/>
              </w:rPr>
              <w:t>ESR1</w:t>
            </w:r>
            <w:r w:rsidRPr="00F66709">
              <w:t xml:space="preserve"> positive subgroup)</w:t>
            </w:r>
          </w:p>
        </w:tc>
        <w:tc>
          <w:tcPr>
            <w:tcW w:w="1937" w:type="pct"/>
            <w:vAlign w:val="center"/>
          </w:tcPr>
          <w:p w14:paraId="0D8BB351" w14:textId="01F79373" w:rsidR="002174ED" w:rsidRDefault="002174ED" w:rsidP="002553CE">
            <w:pPr>
              <w:pStyle w:val="TableText"/>
              <w:widowControl/>
            </w:pPr>
            <w:r w:rsidRPr="00D62CCF">
              <w:t>T</w:t>
            </w:r>
            <w:r w:rsidR="00E30A5D">
              <w:t>he evaluation and DUSC considered t</w:t>
            </w:r>
            <w:r w:rsidRPr="00D62CCF">
              <w:t xml:space="preserve">his </w:t>
            </w:r>
            <w:r w:rsidR="00500B4E" w:rsidRPr="00D62CCF">
              <w:t>were</w:t>
            </w:r>
            <w:r w:rsidRPr="00D62CCF">
              <w:t xml:space="preserve"> appropriate.</w:t>
            </w:r>
          </w:p>
          <w:p w14:paraId="6B839DD4" w14:textId="68F21FC7" w:rsidR="00433909" w:rsidRPr="00D62CCF" w:rsidRDefault="00433909" w:rsidP="002553CE">
            <w:pPr>
              <w:pStyle w:val="TableText"/>
              <w:widowControl/>
            </w:pPr>
            <w:r>
              <w:t>The duration of treatment applied in the economic model was substantially longer.</w:t>
            </w:r>
          </w:p>
        </w:tc>
      </w:tr>
      <w:tr w:rsidR="002174ED" w:rsidRPr="00F66709" w14:paraId="586030F8" w14:textId="77777777" w:rsidTr="0089600D">
        <w:trPr>
          <w:cantSplit/>
        </w:trPr>
        <w:tc>
          <w:tcPr>
            <w:tcW w:w="950" w:type="pct"/>
            <w:vAlign w:val="center"/>
          </w:tcPr>
          <w:p w14:paraId="551E6B63" w14:textId="77777777" w:rsidR="002174ED" w:rsidRPr="00F66709" w:rsidRDefault="002174ED" w:rsidP="002553CE">
            <w:pPr>
              <w:pStyle w:val="TableText"/>
              <w:widowControl/>
            </w:pPr>
            <w:r w:rsidRPr="00F66709">
              <w:lastRenderedPageBreak/>
              <w:t>Offsets for comparator</w:t>
            </w:r>
          </w:p>
        </w:tc>
        <w:tc>
          <w:tcPr>
            <w:tcW w:w="2113" w:type="pct"/>
            <w:vAlign w:val="center"/>
          </w:tcPr>
          <w:p w14:paraId="0B0A952D" w14:textId="77777777" w:rsidR="002174ED" w:rsidRPr="00F66709" w:rsidRDefault="002174ED" w:rsidP="002553CE">
            <w:pPr>
              <w:pStyle w:val="TableText"/>
              <w:widowControl/>
            </w:pPr>
            <w:r w:rsidRPr="00677A64">
              <w:t xml:space="preserve">Substitution of SOC 2L+ therapies including Fulvestrant (14%), AIs (Anastrozole [10%],Exemestane [9%], Letrozole [26%]), chemotherapy (Paclitaxel [3% Public/6% Private], Doxorubicin [2% Public/3% Private], capecitabine [4%]) Everolimus (3%), Goserelin (6%), Tamoxifen (1%) </w:t>
            </w:r>
          </w:p>
          <w:p w14:paraId="30099B84" w14:textId="220D1FD3" w:rsidR="002174ED" w:rsidRPr="00F66709" w:rsidRDefault="002174ED" w:rsidP="002553CE">
            <w:pPr>
              <w:pStyle w:val="TableText"/>
              <w:widowControl/>
            </w:pPr>
            <w:r w:rsidRPr="00677A64">
              <w:t>Based on</w:t>
            </w:r>
            <w:r w:rsidR="00B51309">
              <w:t xml:space="preserve"> </w:t>
            </w:r>
            <w:r w:rsidRPr="00677A64">
              <w:t>analysis of 2L treatments in PBS 10% sample in 2023</w:t>
            </w:r>
          </w:p>
          <w:p w14:paraId="7B9FEB52" w14:textId="77777777" w:rsidR="002174ED" w:rsidRPr="00F66709" w:rsidRDefault="002174ED" w:rsidP="002553CE">
            <w:pPr>
              <w:pStyle w:val="TableText"/>
              <w:widowControl/>
            </w:pPr>
            <w:r w:rsidRPr="00677A64">
              <w:t xml:space="preserve">Dosages and treatment regimens determined by EviQ recommendations </w:t>
            </w:r>
          </w:p>
          <w:p w14:paraId="411396DC" w14:textId="77777777" w:rsidR="002174ED" w:rsidRPr="00F66709" w:rsidRDefault="002174ED" w:rsidP="002553CE">
            <w:pPr>
              <w:pStyle w:val="TableText"/>
              <w:widowControl/>
            </w:pPr>
            <w:r w:rsidRPr="00677A64">
              <w:t>Mean duration 160.3 days (as per elacestrant treatment arm in EMERALD trial)</w:t>
            </w:r>
          </w:p>
        </w:tc>
        <w:tc>
          <w:tcPr>
            <w:tcW w:w="1937" w:type="pct"/>
            <w:vAlign w:val="center"/>
          </w:tcPr>
          <w:p w14:paraId="278F4952" w14:textId="77777777" w:rsidR="002174ED" w:rsidRPr="00D62CCF" w:rsidRDefault="002174ED" w:rsidP="002553CE">
            <w:pPr>
              <w:pStyle w:val="TableText"/>
              <w:widowControl/>
            </w:pPr>
            <w:r w:rsidRPr="00D62CCF">
              <w:t>This is inconsistent with Section 1 and 3, where SOC consisted of fulvestrant (73%) or AI (Anastrozole, exemestane, letrozole [27%]) monotherapy only.</w:t>
            </w:r>
          </w:p>
          <w:p w14:paraId="4E0DADF7" w14:textId="77777777" w:rsidR="001F65BC" w:rsidRPr="001F65BC" w:rsidRDefault="001F65BC" w:rsidP="002553CE">
            <w:pPr>
              <w:pStyle w:val="TableText"/>
              <w:widowControl/>
            </w:pPr>
          </w:p>
          <w:p w14:paraId="4B33D1E3" w14:textId="77777777" w:rsidR="002174ED" w:rsidRDefault="002174ED" w:rsidP="002553CE">
            <w:pPr>
              <w:pStyle w:val="TableText"/>
              <w:widowControl/>
            </w:pPr>
            <w:r w:rsidRPr="00D62CCF">
              <w:t>The proportions assigned to each treatment sum to 87%; this is greater than the 79% as analysed by the PBS10% sample (which included 21% of patients who had no further treatment following disease progression after 1L therapy). Further, the mean treatment duration of elacestrant was greater than the mean treatment duration of SOC in EMERALD (117.3 days). As such, the extent of substitution of current PBS listed drugs may be overestimated.</w:t>
            </w:r>
          </w:p>
          <w:p w14:paraId="786484DB" w14:textId="77777777" w:rsidR="00C85E48" w:rsidRDefault="00C85E48" w:rsidP="002553CE">
            <w:pPr>
              <w:pStyle w:val="TableText"/>
              <w:widowControl/>
            </w:pPr>
          </w:p>
          <w:p w14:paraId="79129161" w14:textId="1BC16213" w:rsidR="00C85E48" w:rsidRPr="00D62CCF" w:rsidRDefault="00C85E48" w:rsidP="002553CE">
            <w:pPr>
              <w:pStyle w:val="TableText"/>
              <w:widowControl/>
            </w:pPr>
            <w:r>
              <w:t>DUSC also noted that</w:t>
            </w:r>
            <w:r w:rsidRPr="0094362B">
              <w:t xml:space="preserve"> </w:t>
            </w:r>
            <w:r w:rsidR="0094362B">
              <w:t xml:space="preserve">the </w:t>
            </w:r>
            <w:r w:rsidR="0094362B" w:rsidRPr="0094362B">
              <w:rPr>
                <w:szCs w:val="20"/>
              </w:rPr>
              <w:t>submission had not accounted for some patients that would have palliative care (no treatment) nor displacement of these therapies to a</w:t>
            </w:r>
            <w:r w:rsidR="00B51309">
              <w:rPr>
                <w:szCs w:val="20"/>
              </w:rPr>
              <w:t xml:space="preserve"> </w:t>
            </w:r>
            <w:r w:rsidR="0094362B" w:rsidRPr="0094362B">
              <w:rPr>
                <w:szCs w:val="20"/>
              </w:rPr>
              <w:t>later line.</w:t>
            </w:r>
          </w:p>
        </w:tc>
      </w:tr>
      <w:tr w:rsidR="002174ED" w:rsidRPr="00F66709" w14:paraId="2F9E2D5B" w14:textId="77777777" w:rsidTr="0089600D">
        <w:tc>
          <w:tcPr>
            <w:tcW w:w="950" w:type="pct"/>
            <w:vAlign w:val="center"/>
          </w:tcPr>
          <w:p w14:paraId="7D43884F" w14:textId="77777777" w:rsidR="002174ED" w:rsidRPr="00F66709" w:rsidRDefault="002174ED" w:rsidP="002553CE">
            <w:pPr>
              <w:pStyle w:val="TableText"/>
              <w:widowControl/>
            </w:pPr>
            <w:r w:rsidRPr="00F66709">
              <w:t>MBS items</w:t>
            </w:r>
          </w:p>
        </w:tc>
        <w:tc>
          <w:tcPr>
            <w:tcW w:w="2113" w:type="pct"/>
            <w:vAlign w:val="center"/>
          </w:tcPr>
          <w:p w14:paraId="22D14652" w14:textId="7192F10A" w:rsidR="002174ED" w:rsidRPr="00F66709" w:rsidRDefault="002174ED" w:rsidP="002553CE">
            <w:pPr>
              <w:pStyle w:val="TableText"/>
              <w:widowControl/>
            </w:pPr>
            <w:r w:rsidRPr="57EAAB5B">
              <w:rPr>
                <w:i/>
                <w:iCs/>
              </w:rPr>
              <w:t xml:space="preserve">ESR1 </w:t>
            </w:r>
            <w:r>
              <w:t xml:space="preserve">variant test cost = </w:t>
            </w:r>
            <w:r w:rsidRPr="00C67418">
              <w:t>$</w:t>
            </w:r>
            <w:r w:rsidRPr="00C67418">
              <w:rPr>
                <w:rFonts w:asciiTheme="minorHAnsi" w:eastAsiaTheme="minorEastAsia" w:hAnsiTheme="minorHAnsi"/>
                <w:szCs w:val="20"/>
              </w:rPr>
              <w:t>150</w:t>
            </w:r>
            <w:r w:rsidRPr="00C67418">
              <w:t>0</w:t>
            </w:r>
            <w:r w:rsidR="00B51309">
              <w:t xml:space="preserve"> </w:t>
            </w:r>
          </w:p>
          <w:p w14:paraId="518388F0" w14:textId="77777777" w:rsidR="002174ED" w:rsidRPr="00F66709" w:rsidRDefault="002174ED" w:rsidP="002553CE">
            <w:pPr>
              <w:pStyle w:val="TableText"/>
              <w:widowControl/>
            </w:pPr>
            <w:r w:rsidRPr="00F66709">
              <w:t>Estimate based on costs of similar MBS items</w:t>
            </w:r>
          </w:p>
          <w:p w14:paraId="3E292E2A" w14:textId="77777777" w:rsidR="002174ED" w:rsidRPr="00F66709" w:rsidRDefault="002174ED" w:rsidP="002553CE">
            <w:pPr>
              <w:pStyle w:val="TableText"/>
              <w:widowControl/>
            </w:pPr>
          </w:p>
          <w:p w14:paraId="4CDCC5F7" w14:textId="77777777" w:rsidR="002174ED" w:rsidRPr="00F66709" w:rsidRDefault="002174ED" w:rsidP="002553CE">
            <w:pPr>
              <w:pStyle w:val="TableText"/>
              <w:widowControl/>
            </w:pPr>
            <w:r w:rsidRPr="00F66709">
              <w:t>Given the expected substitution of fulvestrant, paclitaxel and doxorubicin by PBS listing of elacestrant, the need for parenteral administrations of these drugs is expected to be reduced</w:t>
            </w:r>
          </w:p>
          <w:p w14:paraId="4CA38439" w14:textId="77777777" w:rsidR="002174ED" w:rsidRPr="00F66709" w:rsidRDefault="002174ED" w:rsidP="002553CE">
            <w:pPr>
              <w:pStyle w:val="TableText"/>
              <w:widowControl/>
            </w:pPr>
            <w:r w:rsidRPr="00F66709">
              <w:t xml:space="preserve">Parenteral administration =$123.05 </w:t>
            </w:r>
          </w:p>
          <w:p w14:paraId="38146356" w14:textId="77777777" w:rsidR="002174ED" w:rsidRPr="00F66709" w:rsidRDefault="002174ED" w:rsidP="002553CE">
            <w:pPr>
              <w:pStyle w:val="TableText"/>
              <w:widowControl/>
            </w:pPr>
            <w:r w:rsidRPr="00F66709">
              <w:t>MBS item 13950</w:t>
            </w:r>
          </w:p>
        </w:tc>
        <w:tc>
          <w:tcPr>
            <w:tcW w:w="1937" w:type="pct"/>
            <w:vAlign w:val="center"/>
          </w:tcPr>
          <w:p w14:paraId="373CFF0D" w14:textId="0170A978" w:rsidR="002174ED" w:rsidRPr="00D62CCF" w:rsidRDefault="002174ED" w:rsidP="002553CE">
            <w:pPr>
              <w:pStyle w:val="TableText"/>
              <w:widowControl/>
            </w:pPr>
            <w:r w:rsidRPr="00D62CCF">
              <w:t>Cost offsets related to parenteral administration was appropriate</w:t>
            </w:r>
            <w:r w:rsidR="006C2942">
              <w:t>.</w:t>
            </w:r>
          </w:p>
          <w:p w14:paraId="3A117389" w14:textId="77777777" w:rsidR="002174ED" w:rsidRPr="00D62CCF" w:rsidRDefault="002174ED" w:rsidP="002553CE">
            <w:pPr>
              <w:pStyle w:val="TableText"/>
              <w:widowControl/>
            </w:pPr>
          </w:p>
          <w:p w14:paraId="4A8A1D98" w14:textId="336E7DF0" w:rsidR="002174ED" w:rsidRPr="00D62CCF" w:rsidRDefault="002174ED" w:rsidP="002553CE">
            <w:pPr>
              <w:pStyle w:val="TableText"/>
              <w:widowControl/>
            </w:pPr>
            <w:r w:rsidRPr="00D62CCF">
              <w:t xml:space="preserve">The submission incorrectly applied </w:t>
            </w:r>
            <w:r w:rsidR="00500B4E" w:rsidRPr="00D62CCF">
              <w:t>an</w:t>
            </w:r>
            <w:r w:rsidRPr="00D62CCF">
              <w:t xml:space="preserve"> 80% benefit to MBS costs- this was corrected by the evaluation (85% benefit assuming all items out of hospital and greatest permissible gap (=$102.40) applied to test costs).</w:t>
            </w:r>
          </w:p>
        </w:tc>
      </w:tr>
    </w:tbl>
    <w:p w14:paraId="623ECD6E" w14:textId="77777777" w:rsidR="002174ED" w:rsidRPr="00F66709" w:rsidRDefault="002174ED" w:rsidP="002553CE">
      <w:pPr>
        <w:pStyle w:val="TableFooter"/>
        <w:widowControl/>
        <w:rPr>
          <w:sz w:val="20"/>
        </w:rPr>
      </w:pPr>
      <w:r w:rsidRPr="00F66709">
        <w:t>Source: Table 4.3,pp349-350, Table 4.5, pp350-351, Tables 4.6 &amp; 4.8 p351 of the submission.</w:t>
      </w:r>
    </w:p>
    <w:p w14:paraId="1E5BD8D8" w14:textId="77777777" w:rsidR="002174ED" w:rsidRDefault="002174ED" w:rsidP="002553CE">
      <w:pPr>
        <w:pStyle w:val="TableFigureFooter"/>
        <w:jc w:val="both"/>
      </w:pPr>
      <w:r w:rsidRPr="00F66709">
        <w:t xml:space="preserve">1L = first line; 2L = second line; AI = aromatase inhibitor; ABS = Australian Bureau of Statistics; AEs = adverse events; CDK4/6i = cyclin dependent kinase 4/6 inhibitor; ER+/HER2-mBC = estrogen receptor 1, human epidermal growth factor 2 negative metastatic breast cancer; </w:t>
      </w:r>
      <w:r w:rsidRPr="00F66709">
        <w:rPr>
          <w:i/>
          <w:iCs/>
        </w:rPr>
        <w:t>ESR1</w:t>
      </w:r>
      <w:r w:rsidRPr="00F66709">
        <w:t xml:space="preserve"> =estrogen receptor 1; MBS = Medicare Benefits Schedule; PBS = Pharmaceutical Benefits Scheme; SOC = standard of care.</w:t>
      </w:r>
    </w:p>
    <w:p w14:paraId="073C2032" w14:textId="54487462" w:rsidR="0089600D" w:rsidRPr="0089600D" w:rsidRDefault="0089600D" w:rsidP="002553CE">
      <w:pPr>
        <w:pStyle w:val="TableFigureFooter"/>
        <w:jc w:val="both"/>
        <w:rPr>
          <w:i/>
          <w:iCs/>
        </w:rPr>
      </w:pPr>
      <w:r w:rsidRPr="0089600D">
        <w:rPr>
          <w:i/>
          <w:iCs/>
        </w:rPr>
        <w:t>Note that the results presented in Table 13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460AA8D2" w14:textId="17AFB7B2" w:rsidR="006943F7" w:rsidRDefault="002174ED" w:rsidP="002553CE">
      <w:pPr>
        <w:numPr>
          <w:ilvl w:val="4"/>
          <w:numId w:val="11"/>
        </w:numPr>
        <w:ind w:left="709" w:hanging="709"/>
        <w:rPr>
          <w:color w:val="000000" w:themeColor="text1"/>
        </w:rPr>
      </w:pPr>
      <w:r w:rsidRPr="007C0B33">
        <w:rPr>
          <w:color w:val="000000" w:themeColor="text1"/>
        </w:rPr>
        <w:t xml:space="preserve">The estimated use and financial implications of the proposed MBS and PBS/RPBS listings of the co-dependent technologies is presented in </w:t>
      </w:r>
      <w:r w:rsidRPr="007C0B33">
        <w:rPr>
          <w:color w:val="000000" w:themeColor="text1"/>
        </w:rPr>
        <w:fldChar w:fldCharType="begin"/>
      </w:r>
      <w:r w:rsidRPr="007C0B33">
        <w:rPr>
          <w:color w:val="000000" w:themeColor="text1"/>
        </w:rPr>
        <w:instrText xml:space="preserve"> REF _Ref184477923 \h </w:instrText>
      </w:r>
      <w:r w:rsidR="007C0B33">
        <w:rPr>
          <w:color w:val="000000" w:themeColor="text1"/>
        </w:rPr>
        <w:instrText xml:space="preserve"> \* MERGEFORMAT </w:instrText>
      </w:r>
      <w:r w:rsidRPr="007C0B33">
        <w:rPr>
          <w:color w:val="000000" w:themeColor="text1"/>
        </w:rPr>
      </w:r>
      <w:r w:rsidRPr="007C0B33">
        <w:rPr>
          <w:color w:val="000000" w:themeColor="text1"/>
        </w:rPr>
        <w:fldChar w:fldCharType="separate"/>
      </w:r>
      <w:r w:rsidR="004F224A" w:rsidRPr="004F224A">
        <w:rPr>
          <w:color w:val="000000" w:themeColor="text1"/>
        </w:rPr>
        <w:t>Table 14</w:t>
      </w:r>
      <w:r w:rsidRPr="007C0B33">
        <w:rPr>
          <w:color w:val="000000" w:themeColor="text1"/>
        </w:rPr>
        <w:fldChar w:fldCharType="end"/>
      </w:r>
      <w:r w:rsidRPr="007C0B33">
        <w:rPr>
          <w:color w:val="000000" w:themeColor="text1"/>
        </w:rPr>
        <w:t xml:space="preserve">. In estimating the number of tests for </w:t>
      </w:r>
      <w:r w:rsidRPr="00335EE1">
        <w:rPr>
          <w:i/>
          <w:iCs/>
          <w:color w:val="000000" w:themeColor="text1"/>
        </w:rPr>
        <w:t>ESR1</w:t>
      </w:r>
      <w:r w:rsidRPr="007C0B33">
        <w:rPr>
          <w:color w:val="000000" w:themeColor="text1"/>
        </w:rPr>
        <w:t xml:space="preserve"> variants, the submission multiplied the patient years of treatment by the number of tests required to identify one </w:t>
      </w:r>
      <w:r w:rsidRPr="00335EE1">
        <w:rPr>
          <w:i/>
          <w:iCs/>
          <w:color w:val="000000" w:themeColor="text1"/>
        </w:rPr>
        <w:t>ESR1</w:t>
      </w:r>
      <w:r w:rsidRPr="007C0B33">
        <w:rPr>
          <w:color w:val="000000" w:themeColor="text1"/>
        </w:rPr>
        <w:t xml:space="preserve"> variant patient (=2.1, based on an </w:t>
      </w:r>
      <w:r w:rsidRPr="006D0255">
        <w:rPr>
          <w:i/>
          <w:iCs/>
          <w:color w:val="000000" w:themeColor="text1"/>
        </w:rPr>
        <w:t>ESR1</w:t>
      </w:r>
      <w:r w:rsidRPr="007C0B33">
        <w:rPr>
          <w:color w:val="000000" w:themeColor="text1"/>
        </w:rPr>
        <w:t xml:space="preserve"> variant prevalence rate of 47.7% from the EMERALD trial). This was inconsistent with methods used by the submission to estimate the number of patients likely to be treated with elacestrant, underestimating the number of tests that would be required (and subsequent costs to the MBS). This </w:t>
      </w:r>
      <w:r w:rsidR="00B13348">
        <w:rPr>
          <w:color w:val="000000" w:themeColor="text1"/>
        </w:rPr>
        <w:t>was</w:t>
      </w:r>
      <w:r w:rsidRPr="007C0B33">
        <w:rPr>
          <w:color w:val="000000" w:themeColor="text1"/>
        </w:rPr>
        <w:t xml:space="preserve"> corrected during the evaluation.</w:t>
      </w:r>
      <w:r w:rsidR="007114AA">
        <w:rPr>
          <w:color w:val="000000" w:themeColor="text1"/>
        </w:rPr>
        <w:t xml:space="preserve"> </w:t>
      </w:r>
    </w:p>
    <w:p w14:paraId="449A8ED1" w14:textId="55E3A44F" w:rsidR="002174ED" w:rsidRPr="007C0B33" w:rsidRDefault="007114AA" w:rsidP="002553CE">
      <w:pPr>
        <w:numPr>
          <w:ilvl w:val="4"/>
          <w:numId w:val="11"/>
        </w:numPr>
        <w:ind w:left="709" w:hanging="709"/>
        <w:rPr>
          <w:color w:val="000000" w:themeColor="text1"/>
        </w:rPr>
      </w:pPr>
      <w:r w:rsidRPr="006943F7">
        <w:rPr>
          <w:color w:val="000000" w:themeColor="text1"/>
        </w:rPr>
        <w:t xml:space="preserve">The ESCs considered that prevalence of </w:t>
      </w:r>
      <w:r w:rsidRPr="006943F7">
        <w:rPr>
          <w:i/>
          <w:iCs/>
          <w:color w:val="000000" w:themeColor="text1"/>
        </w:rPr>
        <w:t>ERS1</w:t>
      </w:r>
      <w:r w:rsidRPr="006943F7">
        <w:rPr>
          <w:color w:val="000000" w:themeColor="text1"/>
        </w:rPr>
        <w:t xml:space="preserve"> variants is unlikely to exceed 50%</w:t>
      </w:r>
      <w:r w:rsidR="006943F7">
        <w:rPr>
          <w:color w:val="000000" w:themeColor="text1"/>
        </w:rPr>
        <w:t>,</w:t>
      </w:r>
      <w:r w:rsidRPr="006943F7">
        <w:rPr>
          <w:color w:val="000000" w:themeColor="text1"/>
        </w:rPr>
        <w:t xml:space="preserve"> even after several lines of treatment and progression</w:t>
      </w:r>
      <w:r w:rsidR="006943F7">
        <w:rPr>
          <w:color w:val="000000" w:themeColor="text1"/>
        </w:rPr>
        <w:t>,</w:t>
      </w:r>
      <w:r w:rsidRPr="006943F7">
        <w:rPr>
          <w:color w:val="000000" w:themeColor="text1"/>
        </w:rPr>
        <w:t xml:space="preserve"> and considered that the prevalence from EMERALD was the most appropriate value for use in estimating the cost to Government for listing of elacestrant.</w:t>
      </w:r>
    </w:p>
    <w:p w14:paraId="7865B22D" w14:textId="568C97D2" w:rsidR="002174ED" w:rsidRPr="00F66709" w:rsidRDefault="002174ED" w:rsidP="002553CE">
      <w:pPr>
        <w:pStyle w:val="Caption"/>
      </w:pPr>
      <w:bookmarkStart w:id="46" w:name="_Ref184477923"/>
      <w:r w:rsidRPr="00F66709">
        <w:lastRenderedPageBreak/>
        <w:t xml:space="preserve">Table </w:t>
      </w:r>
      <w:r w:rsidRPr="00677A64">
        <w:fldChar w:fldCharType="begin"/>
      </w:r>
      <w:r w:rsidRPr="00F66709">
        <w:instrText xml:space="preserve"> SEQ Table_PBAC. \* ARABIC </w:instrText>
      </w:r>
      <w:r w:rsidRPr="00677A64">
        <w:fldChar w:fldCharType="separate"/>
      </w:r>
      <w:r w:rsidR="004F224A">
        <w:rPr>
          <w:noProof/>
        </w:rPr>
        <w:t>14</w:t>
      </w:r>
      <w:r w:rsidRPr="00677A64">
        <w:fldChar w:fldCharType="end"/>
      </w:r>
      <w:bookmarkEnd w:id="46"/>
      <w:r w:rsidRPr="00F66709">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971"/>
        <w:gridCol w:w="991"/>
        <w:gridCol w:w="994"/>
        <w:gridCol w:w="992"/>
        <w:gridCol w:w="992"/>
        <w:gridCol w:w="992"/>
        <w:gridCol w:w="1084"/>
      </w:tblGrid>
      <w:tr w:rsidR="002174ED" w:rsidRPr="00F706EC" w14:paraId="0DC00DF6" w14:textId="77777777">
        <w:trPr>
          <w:tblHeader/>
        </w:trPr>
        <w:tc>
          <w:tcPr>
            <w:tcW w:w="1648" w:type="pct"/>
            <w:vAlign w:val="center"/>
          </w:tcPr>
          <w:p w14:paraId="707168C6" w14:textId="77777777" w:rsidR="002174ED" w:rsidRPr="00F706EC" w:rsidRDefault="002174ED" w:rsidP="002553CE">
            <w:pPr>
              <w:keepNext/>
              <w:keepLines/>
              <w:spacing w:before="0" w:after="0"/>
              <w:jc w:val="center"/>
              <w:rPr>
                <w:rFonts w:ascii="Arial Narrow" w:hAnsi="Arial Narrow"/>
                <w:b/>
                <w:sz w:val="20"/>
              </w:rPr>
            </w:pPr>
          </w:p>
        </w:tc>
        <w:tc>
          <w:tcPr>
            <w:tcW w:w="550" w:type="pct"/>
            <w:vAlign w:val="center"/>
          </w:tcPr>
          <w:p w14:paraId="49CD5AA8" w14:textId="77777777" w:rsidR="002174ED" w:rsidRPr="00F706EC" w:rsidRDefault="002174ED" w:rsidP="002553CE">
            <w:pPr>
              <w:keepNext/>
              <w:keepLines/>
              <w:spacing w:before="0" w:after="0"/>
              <w:jc w:val="center"/>
              <w:rPr>
                <w:rFonts w:ascii="Arial Narrow" w:hAnsi="Arial Narrow"/>
                <w:b/>
                <w:sz w:val="20"/>
              </w:rPr>
            </w:pPr>
            <w:r w:rsidRPr="00F706EC">
              <w:rPr>
                <w:rFonts w:ascii="Arial Narrow" w:hAnsi="Arial Narrow"/>
                <w:b/>
                <w:sz w:val="20"/>
              </w:rPr>
              <w:t>Year 1</w:t>
            </w:r>
          </w:p>
        </w:tc>
        <w:tc>
          <w:tcPr>
            <w:tcW w:w="551" w:type="pct"/>
            <w:vAlign w:val="center"/>
          </w:tcPr>
          <w:p w14:paraId="661BBA11" w14:textId="77777777" w:rsidR="002174ED" w:rsidRPr="00F706EC" w:rsidRDefault="002174ED" w:rsidP="002553CE">
            <w:pPr>
              <w:keepNext/>
              <w:keepLines/>
              <w:spacing w:before="0" w:after="0"/>
              <w:jc w:val="center"/>
              <w:rPr>
                <w:rFonts w:ascii="Arial Narrow" w:hAnsi="Arial Narrow"/>
                <w:b/>
                <w:sz w:val="20"/>
              </w:rPr>
            </w:pPr>
            <w:r w:rsidRPr="00F706EC">
              <w:rPr>
                <w:rFonts w:ascii="Arial Narrow" w:hAnsi="Arial Narrow"/>
                <w:b/>
                <w:sz w:val="20"/>
              </w:rPr>
              <w:t>Year 2</w:t>
            </w:r>
          </w:p>
        </w:tc>
        <w:tc>
          <w:tcPr>
            <w:tcW w:w="550" w:type="pct"/>
            <w:vAlign w:val="center"/>
          </w:tcPr>
          <w:p w14:paraId="50BE129D" w14:textId="77777777" w:rsidR="002174ED" w:rsidRPr="00F706EC" w:rsidRDefault="002174ED" w:rsidP="002553CE">
            <w:pPr>
              <w:keepNext/>
              <w:keepLines/>
              <w:spacing w:before="0" w:after="0"/>
              <w:jc w:val="center"/>
              <w:rPr>
                <w:rFonts w:ascii="Arial Narrow" w:hAnsi="Arial Narrow"/>
                <w:b/>
                <w:sz w:val="20"/>
              </w:rPr>
            </w:pPr>
            <w:r w:rsidRPr="00F706EC">
              <w:rPr>
                <w:rFonts w:ascii="Arial Narrow" w:hAnsi="Arial Narrow"/>
                <w:b/>
                <w:sz w:val="20"/>
              </w:rPr>
              <w:t>Year 3</w:t>
            </w:r>
          </w:p>
        </w:tc>
        <w:tc>
          <w:tcPr>
            <w:tcW w:w="550" w:type="pct"/>
            <w:vAlign w:val="center"/>
          </w:tcPr>
          <w:p w14:paraId="26DCF537" w14:textId="77777777" w:rsidR="002174ED" w:rsidRPr="00F706EC" w:rsidRDefault="002174ED" w:rsidP="002553CE">
            <w:pPr>
              <w:keepNext/>
              <w:keepLines/>
              <w:spacing w:before="0" w:after="0"/>
              <w:jc w:val="center"/>
              <w:rPr>
                <w:rFonts w:ascii="Arial Narrow" w:hAnsi="Arial Narrow"/>
                <w:b/>
                <w:sz w:val="20"/>
              </w:rPr>
            </w:pPr>
            <w:r w:rsidRPr="00F706EC">
              <w:rPr>
                <w:rFonts w:ascii="Arial Narrow" w:hAnsi="Arial Narrow"/>
                <w:b/>
                <w:sz w:val="20"/>
              </w:rPr>
              <w:t>Year 4</w:t>
            </w:r>
          </w:p>
        </w:tc>
        <w:tc>
          <w:tcPr>
            <w:tcW w:w="550" w:type="pct"/>
            <w:vAlign w:val="center"/>
          </w:tcPr>
          <w:p w14:paraId="05B81334" w14:textId="77777777" w:rsidR="002174ED" w:rsidRPr="00F706EC" w:rsidRDefault="002174ED" w:rsidP="002553CE">
            <w:pPr>
              <w:keepNext/>
              <w:keepLines/>
              <w:spacing w:before="0" w:after="0"/>
              <w:jc w:val="center"/>
              <w:rPr>
                <w:rFonts w:ascii="Arial Narrow" w:hAnsi="Arial Narrow"/>
                <w:b/>
                <w:sz w:val="20"/>
              </w:rPr>
            </w:pPr>
            <w:r w:rsidRPr="00F706EC">
              <w:rPr>
                <w:rFonts w:ascii="Arial Narrow" w:hAnsi="Arial Narrow"/>
                <w:b/>
                <w:sz w:val="20"/>
              </w:rPr>
              <w:t>Year 5</w:t>
            </w:r>
          </w:p>
        </w:tc>
        <w:tc>
          <w:tcPr>
            <w:tcW w:w="601" w:type="pct"/>
          </w:tcPr>
          <w:p w14:paraId="01C56BAA" w14:textId="77777777" w:rsidR="002174ED" w:rsidRPr="00F706EC" w:rsidRDefault="002174ED" w:rsidP="002553CE">
            <w:pPr>
              <w:keepNext/>
              <w:keepLines/>
              <w:spacing w:before="0" w:after="0"/>
              <w:jc w:val="center"/>
              <w:rPr>
                <w:rFonts w:ascii="Arial Narrow" w:hAnsi="Arial Narrow"/>
                <w:b/>
                <w:sz w:val="20"/>
              </w:rPr>
            </w:pPr>
            <w:r w:rsidRPr="00F706EC">
              <w:rPr>
                <w:rFonts w:ascii="Arial Narrow" w:hAnsi="Arial Narrow"/>
                <w:b/>
                <w:sz w:val="20"/>
              </w:rPr>
              <w:t>Year 6</w:t>
            </w:r>
          </w:p>
        </w:tc>
      </w:tr>
      <w:tr w:rsidR="002174ED" w:rsidRPr="00F706EC" w14:paraId="1FBE0E79" w14:textId="77777777">
        <w:tc>
          <w:tcPr>
            <w:tcW w:w="5000" w:type="pct"/>
            <w:gridSpan w:val="7"/>
            <w:vAlign w:val="center"/>
          </w:tcPr>
          <w:p w14:paraId="1BE44880" w14:textId="77777777" w:rsidR="002174ED" w:rsidRPr="00F706EC" w:rsidRDefault="002174ED" w:rsidP="002553CE">
            <w:pPr>
              <w:keepNext/>
              <w:keepLines/>
              <w:spacing w:before="0" w:after="0"/>
              <w:jc w:val="left"/>
              <w:rPr>
                <w:rFonts w:ascii="Arial Narrow" w:hAnsi="Arial Narrow"/>
                <w:b/>
                <w:sz w:val="20"/>
              </w:rPr>
            </w:pPr>
            <w:r w:rsidRPr="00F706EC">
              <w:rPr>
                <w:rFonts w:ascii="Arial Narrow" w:hAnsi="Arial Narrow"/>
                <w:b/>
                <w:sz w:val="20"/>
              </w:rPr>
              <w:t xml:space="preserve">Estimated extent of use of genetic testing for ESR1 variants </w:t>
            </w:r>
          </w:p>
        </w:tc>
      </w:tr>
      <w:tr w:rsidR="002174ED" w:rsidRPr="00F706EC" w14:paraId="30A9D686" w14:textId="77777777">
        <w:tc>
          <w:tcPr>
            <w:tcW w:w="1648" w:type="pct"/>
            <w:vAlign w:val="center"/>
          </w:tcPr>
          <w:p w14:paraId="593E05BB" w14:textId="77777777"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Number of patients tested</w:t>
            </w:r>
          </w:p>
        </w:tc>
        <w:tc>
          <w:tcPr>
            <w:tcW w:w="550" w:type="pct"/>
          </w:tcPr>
          <w:p w14:paraId="3B6EC59A" w14:textId="04D59385" w:rsidR="002174ED" w:rsidRPr="00F706EC" w:rsidRDefault="00F4744A" w:rsidP="002553CE">
            <w:pPr>
              <w:keepNext/>
              <w:keepLines/>
              <w:tabs>
                <w:tab w:val="decimal" w:pos="396"/>
              </w:tabs>
              <w:spacing w:before="0" w:after="0"/>
              <w:jc w:val="center"/>
              <w:rPr>
                <w:rFonts w:ascii="Arial Narrow" w:hAnsi="Arial Narrow"/>
                <w:sz w:val="20"/>
              </w:rPr>
            </w:pPr>
            <w:r w:rsidRPr="00F4744A">
              <w:rPr>
                <w:rFonts w:ascii="Arial Narrow" w:hAnsi="Arial Narrow" w:hint="eastAsia"/>
                <w:color w:val="000000"/>
                <w:w w:val="30"/>
                <w:sz w:val="20"/>
                <w:szCs w:val="20"/>
                <w:shd w:val="solid" w:color="000000" w:fill="000000"/>
                <w:fitText w:val="137" w:id="-694393587"/>
                <w14:textFill>
                  <w14:solidFill>
                    <w14:srgbClr w14:val="000000">
                      <w14:alpha w14:val="100000"/>
                    </w14:srgbClr>
                  </w14:solidFill>
                </w14:textFill>
              </w:rPr>
              <w:t xml:space="preserve">　</w:t>
            </w:r>
            <w:r w:rsidRPr="00F4744A">
              <w:rPr>
                <w:rFonts w:ascii="Arial Narrow" w:hAnsi="Arial Narrow"/>
                <w:color w:val="000000"/>
                <w:w w:val="30"/>
                <w:sz w:val="20"/>
                <w:szCs w:val="20"/>
                <w:shd w:val="solid" w:color="000000" w:fill="000000"/>
                <w:fitText w:val="137" w:id="-694393587"/>
                <w14:textFill>
                  <w14:solidFill>
                    <w14:srgbClr w14:val="000000">
                      <w14:alpha w14:val="100000"/>
                    </w14:srgbClr>
                  </w14:solidFill>
                </w14:textFill>
              </w:rPr>
              <w:t>|</w:t>
            </w:r>
            <w:r w:rsidRPr="00F4744A">
              <w:rPr>
                <w:rFonts w:ascii="Arial Narrow" w:hAnsi="Arial Narrow" w:hint="eastAsia"/>
                <w:color w:val="000000"/>
                <w:spacing w:val="5"/>
                <w:w w:val="30"/>
                <w:sz w:val="20"/>
                <w:szCs w:val="20"/>
                <w:shd w:val="solid" w:color="000000" w:fill="000000"/>
                <w:fitText w:val="137" w:id="-694393587"/>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r w:rsidR="002174ED" w:rsidRPr="00F706EC">
              <w:rPr>
                <w:rFonts w:ascii="Arial Narrow" w:hAnsi="Arial Narrow"/>
                <w:sz w:val="20"/>
                <w:szCs w:val="20"/>
                <w:vertAlign w:val="superscript"/>
              </w:rPr>
              <w:t>a</w:t>
            </w:r>
          </w:p>
        </w:tc>
        <w:tc>
          <w:tcPr>
            <w:tcW w:w="551" w:type="pct"/>
          </w:tcPr>
          <w:p w14:paraId="239F89A7" w14:textId="5E58761C"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5"/>
                <w:sz w:val="20"/>
                <w:szCs w:val="20"/>
                <w:shd w:val="solid" w:color="000000" w:fill="000000"/>
                <w:fitText w:val="113" w:id="-694393586"/>
                <w14:textFill>
                  <w14:solidFill>
                    <w14:srgbClr w14:val="000000">
                      <w14:alpha w14:val="100000"/>
                    </w14:srgbClr>
                  </w14:solidFill>
                </w14:textFill>
              </w:rPr>
              <w:t xml:space="preserve">　</w:t>
            </w:r>
            <w:r w:rsidRPr="00F4744A">
              <w:rPr>
                <w:rFonts w:ascii="Arial Narrow" w:hAnsi="Arial Narrow"/>
                <w:color w:val="000000"/>
                <w:w w:val="25"/>
                <w:sz w:val="20"/>
                <w:szCs w:val="20"/>
                <w:shd w:val="solid" w:color="000000" w:fill="000000"/>
                <w:fitText w:val="113" w:id="-694393586"/>
                <w14:textFill>
                  <w14:solidFill>
                    <w14:srgbClr w14:val="000000">
                      <w14:alpha w14:val="100000"/>
                    </w14:srgbClr>
                  </w14:solidFill>
                </w14:textFill>
              </w:rPr>
              <w:t>|</w:t>
            </w:r>
            <w:r w:rsidRPr="00F4744A">
              <w:rPr>
                <w:rFonts w:ascii="Arial Narrow" w:hAnsi="Arial Narrow" w:hint="eastAsia"/>
                <w:color w:val="000000"/>
                <w:spacing w:val="2"/>
                <w:w w:val="25"/>
                <w:sz w:val="20"/>
                <w:szCs w:val="20"/>
                <w:shd w:val="solid" w:color="000000" w:fill="000000"/>
                <w:fitText w:val="113" w:id="-694393586"/>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tcPr>
          <w:p w14:paraId="3A7083F1" w14:textId="6561C254"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85"/>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85"/>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85"/>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tcPr>
          <w:p w14:paraId="098277D7" w14:textId="17253562"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84"/>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84"/>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84"/>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tcPr>
          <w:p w14:paraId="6D3C2AED" w14:textId="13546B71"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600"/>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600"/>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600"/>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601" w:type="pct"/>
          </w:tcPr>
          <w:p w14:paraId="3847AC4D" w14:textId="6F94967B"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15"/>
                <w:sz w:val="20"/>
                <w:szCs w:val="20"/>
                <w:shd w:val="solid" w:color="000000" w:fill="000000"/>
                <w:fitText w:val="63" w:id="-694393599"/>
                <w14:textFill>
                  <w14:solidFill>
                    <w14:srgbClr w14:val="000000">
                      <w14:alpha w14:val="100000"/>
                    </w14:srgbClr>
                  </w14:solidFill>
                </w14:textFill>
              </w:rPr>
              <w:t xml:space="preserve">　</w:t>
            </w:r>
            <w:r w:rsidRPr="00F4744A">
              <w:rPr>
                <w:rFonts w:ascii="Arial Narrow" w:hAnsi="Arial Narrow"/>
                <w:color w:val="000000"/>
                <w:w w:val="15"/>
                <w:sz w:val="20"/>
                <w:szCs w:val="20"/>
                <w:shd w:val="solid" w:color="000000" w:fill="000000"/>
                <w:fitText w:val="63" w:id="-694393599"/>
                <w14:textFill>
                  <w14:solidFill>
                    <w14:srgbClr w14:val="000000">
                      <w14:alpha w14:val="100000"/>
                    </w14:srgbClr>
                  </w14:solidFill>
                </w14:textFill>
              </w:rPr>
              <w:t>|</w:t>
            </w:r>
            <w:r w:rsidRPr="00F4744A">
              <w:rPr>
                <w:rFonts w:ascii="Arial Narrow" w:hAnsi="Arial Narrow" w:hint="eastAsia"/>
                <w:color w:val="000000"/>
                <w:spacing w:val="-2"/>
                <w:w w:val="15"/>
                <w:sz w:val="20"/>
                <w:szCs w:val="20"/>
                <w:shd w:val="solid" w:color="000000" w:fill="000000"/>
                <w:fitText w:val="63" w:id="-694393599"/>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r>
      <w:tr w:rsidR="002174ED" w:rsidRPr="00F706EC" w14:paraId="5874B9F4" w14:textId="77777777">
        <w:tc>
          <w:tcPr>
            <w:tcW w:w="1648" w:type="pct"/>
            <w:vAlign w:val="center"/>
          </w:tcPr>
          <w:p w14:paraId="7E979044" w14:textId="77777777"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 xml:space="preserve">Predicted number of patients testing positive for an </w:t>
            </w:r>
            <w:r w:rsidRPr="006D0255">
              <w:rPr>
                <w:rFonts w:ascii="Arial Narrow" w:hAnsi="Arial Narrow"/>
                <w:i/>
                <w:iCs/>
                <w:sz w:val="20"/>
              </w:rPr>
              <w:t>ESR1</w:t>
            </w:r>
            <w:r w:rsidRPr="00F706EC">
              <w:rPr>
                <w:rFonts w:ascii="Arial Narrow" w:hAnsi="Arial Narrow"/>
                <w:sz w:val="20"/>
              </w:rPr>
              <w:t xml:space="preserve"> variant and eligible for treatment with elacestrant </w:t>
            </w:r>
          </w:p>
        </w:tc>
        <w:tc>
          <w:tcPr>
            <w:tcW w:w="550" w:type="pct"/>
            <w:vAlign w:val="center"/>
          </w:tcPr>
          <w:p w14:paraId="17868CBF" w14:textId="7B915304" w:rsidR="002174ED" w:rsidRPr="00F706EC" w:rsidRDefault="00F4744A" w:rsidP="002553CE">
            <w:pPr>
              <w:keepNext/>
              <w:keepLines/>
              <w:tabs>
                <w:tab w:val="decimal" w:pos="396"/>
              </w:tabs>
              <w:spacing w:before="0" w:after="0"/>
              <w:jc w:val="center"/>
              <w:rPr>
                <w:rFonts w:ascii="Arial Narrow" w:hAnsi="Arial Narrow"/>
                <w:sz w:val="20"/>
              </w:rPr>
            </w:pPr>
            <w:r w:rsidRPr="00F4744A">
              <w:rPr>
                <w:rFonts w:ascii="Arial Narrow" w:hAnsi="Arial Narrow" w:hint="eastAsia"/>
                <w:color w:val="000000"/>
                <w:w w:val="25"/>
                <w:sz w:val="20"/>
                <w:szCs w:val="20"/>
                <w:shd w:val="solid" w:color="000000" w:fill="000000"/>
                <w:fitText w:val="112" w:id="-694393598"/>
                <w14:textFill>
                  <w14:solidFill>
                    <w14:srgbClr w14:val="000000">
                      <w14:alpha w14:val="100000"/>
                    </w14:srgbClr>
                  </w14:solidFill>
                </w14:textFill>
              </w:rPr>
              <w:t xml:space="preserve">　</w:t>
            </w:r>
            <w:r w:rsidRPr="00F4744A">
              <w:rPr>
                <w:rFonts w:ascii="Arial Narrow" w:hAnsi="Arial Narrow"/>
                <w:color w:val="000000"/>
                <w:w w:val="25"/>
                <w:sz w:val="20"/>
                <w:szCs w:val="20"/>
                <w:shd w:val="solid" w:color="000000" w:fill="000000"/>
                <w:fitText w:val="112" w:id="-694393598"/>
                <w14:textFill>
                  <w14:solidFill>
                    <w14:srgbClr w14:val="000000">
                      <w14:alpha w14:val="100000"/>
                    </w14:srgbClr>
                  </w14:solidFill>
                </w14:textFill>
              </w:rPr>
              <w:t>|</w:t>
            </w:r>
            <w:r w:rsidRPr="00F4744A">
              <w:rPr>
                <w:rFonts w:ascii="Arial Narrow" w:hAnsi="Arial Narrow" w:hint="eastAsia"/>
                <w:color w:val="000000"/>
                <w:spacing w:val="1"/>
                <w:w w:val="25"/>
                <w:sz w:val="20"/>
                <w:szCs w:val="20"/>
                <w:shd w:val="solid" w:color="000000" w:fill="000000"/>
                <w:fitText w:val="112" w:id="-694393598"/>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1" w:type="pct"/>
            <w:vAlign w:val="center"/>
          </w:tcPr>
          <w:p w14:paraId="1FD24199" w14:textId="30D58EDF"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5"/>
                <w:sz w:val="20"/>
                <w:szCs w:val="20"/>
                <w:shd w:val="solid" w:color="000000" w:fill="000000"/>
                <w:fitText w:val="113" w:id="-694393597"/>
                <w14:textFill>
                  <w14:solidFill>
                    <w14:srgbClr w14:val="000000">
                      <w14:alpha w14:val="100000"/>
                    </w14:srgbClr>
                  </w14:solidFill>
                </w14:textFill>
              </w:rPr>
              <w:t xml:space="preserve">　</w:t>
            </w:r>
            <w:r w:rsidRPr="00F4744A">
              <w:rPr>
                <w:rFonts w:ascii="Arial Narrow" w:hAnsi="Arial Narrow"/>
                <w:color w:val="000000"/>
                <w:w w:val="25"/>
                <w:sz w:val="20"/>
                <w:szCs w:val="20"/>
                <w:shd w:val="solid" w:color="000000" w:fill="000000"/>
                <w:fitText w:val="113" w:id="-694393597"/>
                <w14:textFill>
                  <w14:solidFill>
                    <w14:srgbClr w14:val="000000">
                      <w14:alpha w14:val="100000"/>
                    </w14:srgbClr>
                  </w14:solidFill>
                </w14:textFill>
              </w:rPr>
              <w:t>|</w:t>
            </w:r>
            <w:r w:rsidRPr="00F4744A">
              <w:rPr>
                <w:rFonts w:ascii="Arial Narrow" w:hAnsi="Arial Narrow" w:hint="eastAsia"/>
                <w:color w:val="000000"/>
                <w:spacing w:val="2"/>
                <w:w w:val="25"/>
                <w:sz w:val="20"/>
                <w:szCs w:val="20"/>
                <w:shd w:val="solid" w:color="000000" w:fill="000000"/>
                <w:fitText w:val="113" w:id="-694393597"/>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602B45A0" w14:textId="06144F4B"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96"/>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96"/>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96"/>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771AEA0E" w14:textId="6D76DA95"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95"/>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95"/>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95"/>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5E92209B" w14:textId="2815E913"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94"/>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94"/>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94"/>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601" w:type="pct"/>
            <w:vAlign w:val="center"/>
          </w:tcPr>
          <w:p w14:paraId="26F9CE86" w14:textId="7C8071B9" w:rsidR="002174ED" w:rsidRPr="009F2252" w:rsidRDefault="00F4744A" w:rsidP="002553CE">
            <w:pPr>
              <w:keepNext/>
              <w:keepLines/>
              <w:tabs>
                <w:tab w:val="decimal" w:pos="396"/>
              </w:tabs>
              <w:spacing w:before="0" w:after="0"/>
              <w:jc w:val="center"/>
              <w:rPr>
                <w:rFonts w:ascii="Arial Narrow" w:hAnsi="Arial Narrow"/>
                <w:sz w:val="20"/>
                <w:highlight w:val="darkGray"/>
              </w:rPr>
            </w:pPr>
            <w:r w:rsidRPr="00F4744A">
              <w:rPr>
                <w:rFonts w:ascii="Arial Narrow" w:hAnsi="Arial Narrow" w:hint="eastAsia"/>
                <w:color w:val="000000"/>
                <w:w w:val="15"/>
                <w:sz w:val="20"/>
                <w:szCs w:val="20"/>
                <w:shd w:val="solid" w:color="000000" w:fill="000000"/>
                <w:fitText w:val="63" w:id="-694393593"/>
                <w14:textFill>
                  <w14:solidFill>
                    <w14:srgbClr w14:val="000000">
                      <w14:alpha w14:val="100000"/>
                    </w14:srgbClr>
                  </w14:solidFill>
                </w14:textFill>
              </w:rPr>
              <w:t xml:space="preserve">　</w:t>
            </w:r>
            <w:r w:rsidRPr="00F4744A">
              <w:rPr>
                <w:rFonts w:ascii="Arial Narrow" w:hAnsi="Arial Narrow"/>
                <w:color w:val="000000"/>
                <w:w w:val="15"/>
                <w:sz w:val="20"/>
                <w:szCs w:val="20"/>
                <w:shd w:val="solid" w:color="000000" w:fill="000000"/>
                <w:fitText w:val="63" w:id="-694393593"/>
                <w14:textFill>
                  <w14:solidFill>
                    <w14:srgbClr w14:val="000000">
                      <w14:alpha w14:val="100000"/>
                    </w14:srgbClr>
                  </w14:solidFill>
                </w14:textFill>
              </w:rPr>
              <w:t>|</w:t>
            </w:r>
            <w:r w:rsidRPr="00F4744A">
              <w:rPr>
                <w:rFonts w:ascii="Arial Narrow" w:hAnsi="Arial Narrow" w:hint="eastAsia"/>
                <w:color w:val="000000"/>
                <w:spacing w:val="-2"/>
                <w:w w:val="15"/>
                <w:sz w:val="20"/>
                <w:szCs w:val="20"/>
                <w:shd w:val="solid" w:color="000000" w:fill="000000"/>
                <w:fitText w:val="63" w:id="-694393593"/>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r>
      <w:tr w:rsidR="002174ED" w:rsidRPr="00F706EC" w14:paraId="7A0BB7B6" w14:textId="77777777">
        <w:tc>
          <w:tcPr>
            <w:tcW w:w="5000" w:type="pct"/>
            <w:gridSpan w:val="7"/>
            <w:vAlign w:val="center"/>
          </w:tcPr>
          <w:p w14:paraId="110EA63A" w14:textId="77777777" w:rsidR="002174ED" w:rsidRPr="00F706EC" w:rsidRDefault="002174ED" w:rsidP="002553CE">
            <w:pPr>
              <w:keepNext/>
              <w:keepLines/>
              <w:spacing w:before="0" w:after="0"/>
              <w:jc w:val="left"/>
              <w:rPr>
                <w:rFonts w:ascii="Arial Narrow" w:hAnsi="Arial Narrow"/>
                <w:b/>
                <w:sz w:val="20"/>
              </w:rPr>
            </w:pPr>
            <w:r w:rsidRPr="00F706EC">
              <w:rPr>
                <w:rFonts w:ascii="Arial Narrow" w:hAnsi="Arial Narrow"/>
                <w:b/>
                <w:sz w:val="20"/>
              </w:rPr>
              <w:t>Estimated extent of use of elacestrant</w:t>
            </w:r>
          </w:p>
        </w:tc>
      </w:tr>
      <w:tr w:rsidR="002174ED" w:rsidRPr="00F706EC" w14:paraId="3164DDB1" w14:textId="77777777">
        <w:tc>
          <w:tcPr>
            <w:tcW w:w="1648" w:type="pct"/>
            <w:vAlign w:val="center"/>
          </w:tcPr>
          <w:p w14:paraId="2E93CD9C" w14:textId="77777777" w:rsidR="002174ED" w:rsidRPr="00F706EC" w:rsidRDefault="002174ED" w:rsidP="002553CE">
            <w:pPr>
              <w:keepNext/>
              <w:keepLines/>
              <w:spacing w:before="0" w:after="0"/>
              <w:jc w:val="left"/>
              <w:rPr>
                <w:rFonts w:ascii="Times" w:eastAsia="Times New Roman" w:hAnsi="Times" w:cs="Times New Roman"/>
                <w:sz w:val="20"/>
              </w:rPr>
            </w:pPr>
            <w:r w:rsidRPr="00F706EC">
              <w:rPr>
                <w:rFonts w:ascii="Arial Narrow" w:hAnsi="Arial Narrow"/>
                <w:sz w:val="20"/>
              </w:rPr>
              <w:t>Number of patients likely to be treated with proposed drug</w:t>
            </w:r>
          </w:p>
        </w:tc>
        <w:tc>
          <w:tcPr>
            <w:tcW w:w="550" w:type="pct"/>
            <w:vAlign w:val="center"/>
          </w:tcPr>
          <w:p w14:paraId="7743A353" w14:textId="2FC4C77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5"/>
                <w:sz w:val="20"/>
                <w:szCs w:val="20"/>
                <w:shd w:val="solid" w:color="000000" w:fill="000000"/>
                <w:fitText w:val="112" w:id="-694393592"/>
                <w14:textFill>
                  <w14:solidFill>
                    <w14:srgbClr w14:val="000000">
                      <w14:alpha w14:val="100000"/>
                    </w14:srgbClr>
                  </w14:solidFill>
                </w14:textFill>
              </w:rPr>
              <w:t xml:space="preserve">　</w:t>
            </w:r>
            <w:r w:rsidRPr="00F4744A">
              <w:rPr>
                <w:rFonts w:ascii="Arial Narrow" w:hAnsi="Arial Narrow"/>
                <w:color w:val="000000"/>
                <w:w w:val="25"/>
                <w:sz w:val="20"/>
                <w:szCs w:val="20"/>
                <w:shd w:val="solid" w:color="000000" w:fill="000000"/>
                <w:fitText w:val="112" w:id="-694393592"/>
                <w14:textFill>
                  <w14:solidFill>
                    <w14:srgbClr w14:val="000000">
                      <w14:alpha w14:val="100000"/>
                    </w14:srgbClr>
                  </w14:solidFill>
                </w14:textFill>
              </w:rPr>
              <w:t>|</w:t>
            </w:r>
            <w:r w:rsidRPr="00F4744A">
              <w:rPr>
                <w:rFonts w:ascii="Arial Narrow" w:hAnsi="Arial Narrow" w:hint="eastAsia"/>
                <w:color w:val="000000"/>
                <w:spacing w:val="1"/>
                <w:w w:val="25"/>
                <w:sz w:val="20"/>
                <w:szCs w:val="20"/>
                <w:shd w:val="solid" w:color="000000" w:fill="000000"/>
                <w:fitText w:val="112" w:id="-694393592"/>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1" w:type="pct"/>
            <w:vAlign w:val="center"/>
          </w:tcPr>
          <w:p w14:paraId="78DD9631" w14:textId="0AC588CB"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5"/>
                <w:sz w:val="20"/>
                <w:szCs w:val="20"/>
                <w:shd w:val="solid" w:color="000000" w:fill="000000"/>
                <w:fitText w:val="113" w:id="-694393591"/>
                <w14:textFill>
                  <w14:solidFill>
                    <w14:srgbClr w14:val="000000">
                      <w14:alpha w14:val="100000"/>
                    </w14:srgbClr>
                  </w14:solidFill>
                </w14:textFill>
              </w:rPr>
              <w:t xml:space="preserve">　</w:t>
            </w:r>
            <w:r w:rsidRPr="00F4744A">
              <w:rPr>
                <w:rFonts w:ascii="Arial Narrow" w:hAnsi="Arial Narrow"/>
                <w:color w:val="000000"/>
                <w:w w:val="25"/>
                <w:sz w:val="20"/>
                <w:szCs w:val="20"/>
                <w:shd w:val="solid" w:color="000000" w:fill="000000"/>
                <w:fitText w:val="113" w:id="-694393591"/>
                <w14:textFill>
                  <w14:solidFill>
                    <w14:srgbClr w14:val="000000">
                      <w14:alpha w14:val="100000"/>
                    </w14:srgbClr>
                  </w14:solidFill>
                </w14:textFill>
              </w:rPr>
              <w:t>|</w:t>
            </w:r>
            <w:r w:rsidRPr="00F4744A">
              <w:rPr>
                <w:rFonts w:ascii="Arial Narrow" w:hAnsi="Arial Narrow" w:hint="eastAsia"/>
                <w:color w:val="000000"/>
                <w:spacing w:val="2"/>
                <w:w w:val="25"/>
                <w:sz w:val="20"/>
                <w:szCs w:val="20"/>
                <w:shd w:val="solid" w:color="000000" w:fill="000000"/>
                <w:fitText w:val="113" w:id="-694393591"/>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67D7DD7E" w14:textId="21FC7BBE"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90"/>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90"/>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90"/>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5F59292D" w14:textId="44131B09"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89"/>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89"/>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89"/>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7A8D8D98" w14:textId="3A533AA1"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2"/>
                <w:sz w:val="20"/>
                <w:szCs w:val="20"/>
                <w:shd w:val="solid" w:color="000000" w:fill="000000"/>
                <w:fitText w:val="100" w:id="-694393588"/>
                <w14:textFill>
                  <w14:solidFill>
                    <w14:srgbClr w14:val="000000">
                      <w14:alpha w14:val="100000"/>
                    </w14:srgbClr>
                  </w14:solidFill>
                </w14:textFill>
              </w:rPr>
              <w:t xml:space="preserve">　</w:t>
            </w:r>
            <w:r w:rsidRPr="00F4744A">
              <w:rPr>
                <w:rFonts w:ascii="Arial Narrow" w:hAnsi="Arial Narrow"/>
                <w:color w:val="000000"/>
                <w:w w:val="22"/>
                <w:sz w:val="20"/>
                <w:szCs w:val="20"/>
                <w:shd w:val="solid" w:color="000000" w:fill="000000"/>
                <w:fitText w:val="100" w:id="-694393588"/>
                <w14:textFill>
                  <w14:solidFill>
                    <w14:srgbClr w14:val="000000">
                      <w14:alpha w14:val="100000"/>
                    </w14:srgbClr>
                  </w14:solidFill>
                </w14:textFill>
              </w:rPr>
              <w:t>|</w:t>
            </w:r>
            <w:r w:rsidRPr="00F4744A">
              <w:rPr>
                <w:rFonts w:ascii="Arial Narrow" w:hAnsi="Arial Narrow" w:hint="eastAsia"/>
                <w:color w:val="000000"/>
                <w:spacing w:val="3"/>
                <w:w w:val="22"/>
                <w:sz w:val="20"/>
                <w:szCs w:val="20"/>
                <w:shd w:val="solid" w:color="000000" w:fill="000000"/>
                <w:fitText w:val="100" w:id="-694393588"/>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601" w:type="pct"/>
            <w:vAlign w:val="center"/>
          </w:tcPr>
          <w:p w14:paraId="237DEFCA" w14:textId="3A16FBA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15"/>
                <w:sz w:val="20"/>
                <w:szCs w:val="20"/>
                <w:shd w:val="solid" w:color="000000" w:fill="000000"/>
                <w:fitText w:val="63" w:id="-694393587"/>
                <w14:textFill>
                  <w14:solidFill>
                    <w14:srgbClr w14:val="000000">
                      <w14:alpha w14:val="100000"/>
                    </w14:srgbClr>
                  </w14:solidFill>
                </w14:textFill>
              </w:rPr>
              <w:t xml:space="preserve">　</w:t>
            </w:r>
            <w:r w:rsidRPr="00F4744A">
              <w:rPr>
                <w:rFonts w:ascii="Arial Narrow" w:hAnsi="Arial Narrow"/>
                <w:color w:val="000000"/>
                <w:w w:val="15"/>
                <w:sz w:val="20"/>
                <w:szCs w:val="20"/>
                <w:shd w:val="solid" w:color="000000" w:fill="000000"/>
                <w:fitText w:val="63" w:id="-694393587"/>
                <w14:textFill>
                  <w14:solidFill>
                    <w14:srgbClr w14:val="000000">
                      <w14:alpha w14:val="100000"/>
                    </w14:srgbClr>
                  </w14:solidFill>
                </w14:textFill>
              </w:rPr>
              <w:t>|</w:t>
            </w:r>
            <w:r w:rsidRPr="00F4744A">
              <w:rPr>
                <w:rFonts w:ascii="Arial Narrow" w:hAnsi="Arial Narrow" w:hint="eastAsia"/>
                <w:color w:val="000000"/>
                <w:spacing w:val="-2"/>
                <w:w w:val="15"/>
                <w:sz w:val="20"/>
                <w:szCs w:val="20"/>
                <w:shd w:val="solid" w:color="000000" w:fill="000000"/>
                <w:fitText w:val="63" w:id="-694393587"/>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r>
      <w:tr w:rsidR="002174ED" w:rsidRPr="00F706EC" w14:paraId="44D83C9C" w14:textId="77777777">
        <w:tc>
          <w:tcPr>
            <w:tcW w:w="1648" w:type="pct"/>
            <w:vAlign w:val="center"/>
          </w:tcPr>
          <w:p w14:paraId="0599A9D1" w14:textId="77777777" w:rsidR="002174ED" w:rsidRPr="00F706EC" w:rsidRDefault="002174ED" w:rsidP="002553CE">
            <w:pPr>
              <w:keepNext/>
              <w:keepLines/>
              <w:spacing w:before="0" w:after="0"/>
              <w:jc w:val="left"/>
              <w:rPr>
                <w:rFonts w:ascii="Times" w:eastAsia="Times New Roman" w:hAnsi="Times" w:cs="Times New Roman"/>
                <w:sz w:val="20"/>
                <w:vertAlign w:val="superscript"/>
              </w:rPr>
            </w:pPr>
            <w:r w:rsidRPr="00F706EC">
              <w:rPr>
                <w:rFonts w:ascii="Arial Narrow" w:hAnsi="Arial Narrow"/>
                <w:sz w:val="20"/>
              </w:rPr>
              <w:t>Number of scripts dispensed</w:t>
            </w:r>
            <w:r w:rsidRPr="00F706EC">
              <w:rPr>
                <w:rFonts w:ascii="Arial Narrow" w:hAnsi="Arial Narrow"/>
                <w:sz w:val="20"/>
                <w:vertAlign w:val="superscript"/>
              </w:rPr>
              <w:t>b</w:t>
            </w:r>
          </w:p>
        </w:tc>
        <w:tc>
          <w:tcPr>
            <w:tcW w:w="550" w:type="pct"/>
            <w:vAlign w:val="center"/>
          </w:tcPr>
          <w:p w14:paraId="73147A95" w14:textId="08524A7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5"/>
                <w:sz w:val="20"/>
                <w:shd w:val="solid" w:color="000000" w:fill="000000"/>
                <w:fitText w:val="112" w:id="-694393586"/>
                <w14:textFill>
                  <w14:solidFill>
                    <w14:srgbClr w14:val="000000">
                      <w14:alpha w14:val="100000"/>
                    </w14:srgbClr>
                  </w14:solidFill>
                </w14:textFill>
              </w:rPr>
              <w:t xml:space="preserve">　</w:t>
            </w:r>
            <w:r w:rsidRPr="00F4744A">
              <w:rPr>
                <w:rFonts w:ascii="Arial Narrow" w:hAnsi="Arial Narrow"/>
                <w:color w:val="000000"/>
                <w:w w:val="25"/>
                <w:sz w:val="20"/>
                <w:shd w:val="solid" w:color="000000" w:fill="000000"/>
                <w:fitText w:val="112" w:id="-694393586"/>
                <w14:textFill>
                  <w14:solidFill>
                    <w14:srgbClr w14:val="000000">
                      <w14:alpha w14:val="100000"/>
                    </w14:srgbClr>
                  </w14:solidFill>
                </w14:textFill>
              </w:rPr>
              <w:t>|</w:t>
            </w:r>
            <w:r w:rsidRPr="00F4744A">
              <w:rPr>
                <w:rFonts w:ascii="Arial Narrow" w:hAnsi="Arial Narrow" w:hint="eastAsia"/>
                <w:color w:val="000000"/>
                <w:spacing w:val="1"/>
                <w:w w:val="25"/>
                <w:sz w:val="20"/>
                <w:shd w:val="solid" w:color="000000" w:fill="000000"/>
                <w:fitText w:val="112" w:id="-694393586"/>
                <w14:textFill>
                  <w14:solidFill>
                    <w14:srgbClr w14:val="000000">
                      <w14:alpha w14:val="100000"/>
                    </w14:srgbClr>
                  </w14:solidFill>
                </w14:textFill>
              </w:rPr>
              <w:t xml:space="preserve">　</w:t>
            </w:r>
            <w:r w:rsidR="005E17ED" w:rsidRPr="005E17ED">
              <w:rPr>
                <w:rFonts w:ascii="Arial Narrow" w:hAnsi="Arial Narrow"/>
                <w:sz w:val="20"/>
                <w:vertAlign w:val="superscript"/>
              </w:rPr>
              <w:t>2</w:t>
            </w:r>
          </w:p>
        </w:tc>
        <w:tc>
          <w:tcPr>
            <w:tcW w:w="551" w:type="pct"/>
            <w:vAlign w:val="center"/>
          </w:tcPr>
          <w:p w14:paraId="73AFA727" w14:textId="2AEC89C7"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5"/>
                <w:sz w:val="20"/>
                <w:shd w:val="solid" w:color="000000" w:fill="000000"/>
                <w:fitText w:val="113" w:id="-694393585"/>
                <w14:textFill>
                  <w14:solidFill>
                    <w14:srgbClr w14:val="000000">
                      <w14:alpha w14:val="100000"/>
                    </w14:srgbClr>
                  </w14:solidFill>
                </w14:textFill>
              </w:rPr>
              <w:t xml:space="preserve">　</w:t>
            </w:r>
            <w:r w:rsidRPr="00F4744A">
              <w:rPr>
                <w:rFonts w:ascii="Arial Narrow" w:hAnsi="Arial Narrow"/>
                <w:color w:val="000000"/>
                <w:w w:val="25"/>
                <w:sz w:val="20"/>
                <w:shd w:val="solid" w:color="000000" w:fill="000000"/>
                <w:fitText w:val="113" w:id="-694393585"/>
                <w14:textFill>
                  <w14:solidFill>
                    <w14:srgbClr w14:val="000000">
                      <w14:alpha w14:val="100000"/>
                    </w14:srgbClr>
                  </w14:solidFill>
                </w14:textFill>
              </w:rPr>
              <w:t>|</w:t>
            </w:r>
            <w:r w:rsidRPr="00F4744A">
              <w:rPr>
                <w:rFonts w:ascii="Arial Narrow" w:hAnsi="Arial Narrow" w:hint="eastAsia"/>
                <w:color w:val="000000"/>
                <w:spacing w:val="2"/>
                <w:w w:val="25"/>
                <w:sz w:val="20"/>
                <w:shd w:val="solid" w:color="000000" w:fill="000000"/>
                <w:fitText w:val="113" w:id="-694393585"/>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34AC7B47" w14:textId="234957C6"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2"/>
                <w:sz w:val="20"/>
                <w:shd w:val="solid" w:color="000000" w:fill="000000"/>
                <w:fitText w:val="100" w:id="-694393584"/>
                <w14:textFill>
                  <w14:solidFill>
                    <w14:srgbClr w14:val="000000">
                      <w14:alpha w14:val="100000"/>
                    </w14:srgbClr>
                  </w14:solidFill>
                </w14:textFill>
              </w:rPr>
              <w:t xml:space="preserve">　</w:t>
            </w:r>
            <w:r w:rsidRPr="00F4744A">
              <w:rPr>
                <w:rFonts w:ascii="Arial Narrow" w:hAnsi="Arial Narrow"/>
                <w:color w:val="000000"/>
                <w:w w:val="22"/>
                <w:sz w:val="20"/>
                <w:shd w:val="solid" w:color="000000" w:fill="000000"/>
                <w:fitText w:val="100" w:id="-694393584"/>
                <w14:textFill>
                  <w14:solidFill>
                    <w14:srgbClr w14:val="000000">
                      <w14:alpha w14:val="100000"/>
                    </w14:srgbClr>
                  </w14:solidFill>
                </w14:textFill>
              </w:rPr>
              <w:t>|</w:t>
            </w:r>
            <w:r w:rsidRPr="00F4744A">
              <w:rPr>
                <w:rFonts w:ascii="Arial Narrow" w:hAnsi="Arial Narrow" w:hint="eastAsia"/>
                <w:color w:val="000000"/>
                <w:spacing w:val="3"/>
                <w:w w:val="22"/>
                <w:sz w:val="20"/>
                <w:shd w:val="solid" w:color="000000" w:fill="000000"/>
                <w:fitText w:val="100" w:id="-694393584"/>
                <w14:textFill>
                  <w14:solidFill>
                    <w14:srgbClr w14:val="000000">
                      <w14:alpha w14:val="100000"/>
                    </w14:srgbClr>
                  </w14:solidFill>
                </w14:textFill>
              </w:rPr>
              <w:t xml:space="preserve">　</w:t>
            </w:r>
            <w:r w:rsidR="005E17ED" w:rsidRPr="005E17ED">
              <w:rPr>
                <w:rFonts w:ascii="Arial Narrow" w:hAnsi="Arial Narrow"/>
                <w:sz w:val="20"/>
                <w:szCs w:val="20"/>
                <w:vertAlign w:val="superscript"/>
              </w:rPr>
              <w:t>1</w:t>
            </w:r>
          </w:p>
        </w:tc>
        <w:tc>
          <w:tcPr>
            <w:tcW w:w="550" w:type="pct"/>
            <w:vAlign w:val="center"/>
          </w:tcPr>
          <w:p w14:paraId="58023339" w14:textId="0D9F7338"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2"/>
                <w:sz w:val="20"/>
                <w:shd w:val="solid" w:color="000000" w:fill="000000"/>
                <w:fitText w:val="100" w:id="-694393600"/>
                <w14:textFill>
                  <w14:solidFill>
                    <w14:srgbClr w14:val="000000">
                      <w14:alpha w14:val="100000"/>
                    </w14:srgbClr>
                  </w14:solidFill>
                </w14:textFill>
              </w:rPr>
              <w:t xml:space="preserve">　</w:t>
            </w:r>
            <w:r w:rsidRPr="00F4744A">
              <w:rPr>
                <w:rFonts w:ascii="Arial Narrow" w:hAnsi="Arial Narrow"/>
                <w:color w:val="000000"/>
                <w:w w:val="22"/>
                <w:sz w:val="20"/>
                <w:shd w:val="solid" w:color="000000" w:fill="000000"/>
                <w:fitText w:val="100" w:id="-694393600"/>
                <w14:textFill>
                  <w14:solidFill>
                    <w14:srgbClr w14:val="000000">
                      <w14:alpha w14:val="100000"/>
                    </w14:srgbClr>
                  </w14:solidFill>
                </w14:textFill>
              </w:rPr>
              <w:t>|</w:t>
            </w:r>
            <w:r w:rsidRPr="00F4744A">
              <w:rPr>
                <w:rFonts w:ascii="Arial Narrow" w:hAnsi="Arial Narrow" w:hint="eastAsia"/>
                <w:color w:val="000000"/>
                <w:spacing w:val="3"/>
                <w:w w:val="22"/>
                <w:sz w:val="20"/>
                <w:shd w:val="solid" w:color="000000" w:fill="000000"/>
                <w:fitText w:val="100" w:id="-694393600"/>
                <w14:textFill>
                  <w14:solidFill>
                    <w14:srgbClr w14:val="000000">
                      <w14:alpha w14:val="100000"/>
                    </w14:srgbClr>
                  </w14:solidFill>
                </w14:textFill>
              </w:rPr>
              <w:t xml:space="preserve">　</w:t>
            </w:r>
            <w:r w:rsidR="005E17ED" w:rsidRPr="005E17ED">
              <w:rPr>
                <w:rFonts w:ascii="Arial Narrow" w:hAnsi="Arial Narrow"/>
                <w:sz w:val="20"/>
                <w:vertAlign w:val="superscript"/>
              </w:rPr>
              <w:t>2</w:t>
            </w:r>
          </w:p>
        </w:tc>
        <w:tc>
          <w:tcPr>
            <w:tcW w:w="550" w:type="pct"/>
            <w:vAlign w:val="center"/>
          </w:tcPr>
          <w:p w14:paraId="67740924" w14:textId="6C83C78F"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22"/>
                <w:sz w:val="20"/>
                <w:shd w:val="solid" w:color="000000" w:fill="000000"/>
                <w:fitText w:val="100" w:id="-694393599"/>
                <w14:textFill>
                  <w14:solidFill>
                    <w14:srgbClr w14:val="000000">
                      <w14:alpha w14:val="100000"/>
                    </w14:srgbClr>
                  </w14:solidFill>
                </w14:textFill>
              </w:rPr>
              <w:t xml:space="preserve">　</w:t>
            </w:r>
            <w:r w:rsidRPr="00F4744A">
              <w:rPr>
                <w:rFonts w:ascii="Arial Narrow" w:hAnsi="Arial Narrow"/>
                <w:color w:val="000000"/>
                <w:w w:val="22"/>
                <w:sz w:val="20"/>
                <w:shd w:val="solid" w:color="000000" w:fill="000000"/>
                <w:fitText w:val="100" w:id="-694393599"/>
                <w14:textFill>
                  <w14:solidFill>
                    <w14:srgbClr w14:val="000000">
                      <w14:alpha w14:val="100000"/>
                    </w14:srgbClr>
                  </w14:solidFill>
                </w14:textFill>
              </w:rPr>
              <w:t>|</w:t>
            </w:r>
            <w:r w:rsidRPr="00F4744A">
              <w:rPr>
                <w:rFonts w:ascii="Arial Narrow" w:hAnsi="Arial Narrow" w:hint="eastAsia"/>
                <w:color w:val="000000"/>
                <w:spacing w:val="3"/>
                <w:w w:val="22"/>
                <w:sz w:val="20"/>
                <w:shd w:val="solid" w:color="000000" w:fill="000000"/>
                <w:fitText w:val="100" w:id="-694393599"/>
                <w14:textFill>
                  <w14:solidFill>
                    <w14:srgbClr w14:val="000000">
                      <w14:alpha w14:val="100000"/>
                    </w14:srgbClr>
                  </w14:solidFill>
                </w14:textFill>
              </w:rPr>
              <w:t xml:space="preserve">　</w:t>
            </w:r>
            <w:r w:rsidR="005E17ED" w:rsidRPr="005E17ED">
              <w:rPr>
                <w:rFonts w:ascii="Arial Narrow" w:hAnsi="Arial Narrow"/>
                <w:sz w:val="20"/>
                <w:vertAlign w:val="superscript"/>
              </w:rPr>
              <w:t>2</w:t>
            </w:r>
          </w:p>
        </w:tc>
        <w:tc>
          <w:tcPr>
            <w:tcW w:w="601" w:type="pct"/>
            <w:vAlign w:val="center"/>
          </w:tcPr>
          <w:p w14:paraId="698F9872" w14:textId="5B35CB8D"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hint="eastAsia"/>
                <w:color w:val="000000"/>
                <w:w w:val="15"/>
                <w:sz w:val="20"/>
                <w:shd w:val="solid" w:color="000000" w:fill="000000"/>
                <w:fitText w:val="63" w:id="-694393598"/>
                <w14:textFill>
                  <w14:solidFill>
                    <w14:srgbClr w14:val="000000">
                      <w14:alpha w14:val="100000"/>
                    </w14:srgbClr>
                  </w14:solidFill>
                </w14:textFill>
              </w:rPr>
              <w:t xml:space="preserve">　</w:t>
            </w:r>
            <w:r w:rsidRPr="00F4744A">
              <w:rPr>
                <w:rFonts w:ascii="Arial Narrow" w:hAnsi="Arial Narrow"/>
                <w:color w:val="000000"/>
                <w:w w:val="15"/>
                <w:sz w:val="20"/>
                <w:shd w:val="solid" w:color="000000" w:fill="000000"/>
                <w:fitText w:val="63" w:id="-694393598"/>
                <w14:textFill>
                  <w14:solidFill>
                    <w14:srgbClr w14:val="000000">
                      <w14:alpha w14:val="100000"/>
                    </w14:srgbClr>
                  </w14:solidFill>
                </w14:textFill>
              </w:rPr>
              <w:t>|</w:t>
            </w:r>
            <w:r w:rsidRPr="00F4744A">
              <w:rPr>
                <w:rFonts w:ascii="Arial Narrow" w:hAnsi="Arial Narrow" w:hint="eastAsia"/>
                <w:color w:val="000000"/>
                <w:spacing w:val="-2"/>
                <w:w w:val="15"/>
                <w:sz w:val="20"/>
                <w:shd w:val="solid" w:color="000000" w:fill="000000"/>
                <w:fitText w:val="63" w:id="-694393598"/>
                <w14:textFill>
                  <w14:solidFill>
                    <w14:srgbClr w14:val="000000">
                      <w14:alpha w14:val="100000"/>
                    </w14:srgbClr>
                  </w14:solidFill>
                </w14:textFill>
              </w:rPr>
              <w:t xml:space="preserve">　</w:t>
            </w:r>
            <w:r w:rsidR="005E17ED" w:rsidRPr="005E17ED">
              <w:rPr>
                <w:rFonts w:ascii="Arial Narrow" w:hAnsi="Arial Narrow"/>
                <w:sz w:val="20"/>
                <w:vertAlign w:val="superscript"/>
              </w:rPr>
              <w:t>2</w:t>
            </w:r>
          </w:p>
        </w:tc>
      </w:tr>
      <w:tr w:rsidR="002174ED" w:rsidRPr="00F706EC" w14:paraId="4B693EBF" w14:textId="77777777">
        <w:tc>
          <w:tcPr>
            <w:tcW w:w="5000" w:type="pct"/>
            <w:gridSpan w:val="7"/>
            <w:vAlign w:val="center"/>
          </w:tcPr>
          <w:p w14:paraId="3699F56E" w14:textId="77777777" w:rsidR="002174ED" w:rsidRPr="00F706EC" w:rsidRDefault="002174ED" w:rsidP="002553CE">
            <w:pPr>
              <w:keepNext/>
              <w:keepLines/>
              <w:spacing w:before="0" w:after="0"/>
              <w:jc w:val="left"/>
              <w:rPr>
                <w:rFonts w:ascii="Arial Narrow" w:hAnsi="Arial Narrow"/>
                <w:b/>
                <w:bCs/>
                <w:color w:val="000000"/>
                <w:sz w:val="20"/>
              </w:rPr>
            </w:pPr>
            <w:r w:rsidRPr="00F706EC">
              <w:rPr>
                <w:rFonts w:ascii="Arial Narrow" w:hAnsi="Arial Narrow"/>
                <w:b/>
                <w:sz w:val="20"/>
              </w:rPr>
              <w:t>Estimated financial implications of the genetic testing for ESR1 variants to the MBS</w:t>
            </w:r>
          </w:p>
        </w:tc>
      </w:tr>
      <w:tr w:rsidR="002174ED" w:rsidRPr="00F706EC" w14:paraId="30502E40" w14:textId="77777777">
        <w:tc>
          <w:tcPr>
            <w:tcW w:w="1648" w:type="pct"/>
            <w:vAlign w:val="center"/>
          </w:tcPr>
          <w:p w14:paraId="1F9911A9" w14:textId="77777777"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Cost to the MBS</w:t>
            </w:r>
            <w:r w:rsidRPr="00F706EC">
              <w:rPr>
                <w:rFonts w:ascii="Arial Narrow" w:hAnsi="Arial Narrow"/>
                <w:sz w:val="20"/>
                <w:vertAlign w:val="superscript"/>
              </w:rPr>
              <w:t>c</w:t>
            </w:r>
            <w:r w:rsidRPr="00F706EC">
              <w:rPr>
                <w:rFonts w:ascii="Arial Narrow" w:hAnsi="Arial Narrow"/>
                <w:sz w:val="20"/>
              </w:rPr>
              <w:t xml:space="preserve"> </w:t>
            </w:r>
          </w:p>
        </w:tc>
        <w:tc>
          <w:tcPr>
            <w:tcW w:w="550" w:type="pct"/>
            <w:vAlign w:val="center"/>
          </w:tcPr>
          <w:p w14:paraId="4E4745ED" w14:textId="638F46DF"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2" w:id="-694393597"/>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2" w:id="-694393597"/>
                <w14:textFill>
                  <w14:solidFill>
                    <w14:srgbClr w14:val="000000">
                      <w14:alpha w14:val="100000"/>
                    </w14:srgbClr>
                  </w14:solidFill>
                </w14:textFill>
              </w:rPr>
              <w:t>|</w:t>
            </w:r>
            <w:r w:rsidRPr="00F4744A">
              <w:rPr>
                <w:rFonts w:ascii="Arial Narrow" w:hAnsi="Arial Narrow" w:cs="Arial" w:hint="eastAsia"/>
                <w:color w:val="000000"/>
                <w:spacing w:val="1"/>
                <w:w w:val="25"/>
                <w:sz w:val="20"/>
                <w:szCs w:val="20"/>
                <w:shd w:val="solid" w:color="000000" w:fill="000000"/>
                <w:fitText w:val="112" w:id="-694393597"/>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1" w:type="pct"/>
            <w:vAlign w:val="center"/>
          </w:tcPr>
          <w:p w14:paraId="1F528485" w14:textId="6165CF4D"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596"/>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596"/>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596"/>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0" w:type="pct"/>
            <w:vAlign w:val="center"/>
          </w:tcPr>
          <w:p w14:paraId="3BB2999D" w14:textId="09A67166"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5"/>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5"/>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5"/>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0" w:type="pct"/>
            <w:vAlign w:val="center"/>
          </w:tcPr>
          <w:p w14:paraId="4DBBF7D2" w14:textId="760F93B7"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4"/>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4"/>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4"/>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0" w:type="pct"/>
            <w:vAlign w:val="center"/>
          </w:tcPr>
          <w:p w14:paraId="3F1F20AF" w14:textId="68811085"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3"/>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3"/>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3"/>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601" w:type="pct"/>
            <w:vAlign w:val="center"/>
          </w:tcPr>
          <w:p w14:paraId="2835BAE8" w14:textId="40B7EF74"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592"/>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592"/>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592"/>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r>
      <w:tr w:rsidR="002174ED" w:rsidRPr="00F706EC" w14:paraId="3591E0F3" w14:textId="77777777">
        <w:tc>
          <w:tcPr>
            <w:tcW w:w="5000" w:type="pct"/>
            <w:gridSpan w:val="7"/>
            <w:vAlign w:val="center"/>
          </w:tcPr>
          <w:p w14:paraId="0F0B0A2C" w14:textId="77777777" w:rsidR="002174ED" w:rsidRPr="00F706EC" w:rsidRDefault="002174ED" w:rsidP="002553CE">
            <w:pPr>
              <w:keepNext/>
              <w:keepLines/>
              <w:spacing w:before="0" w:after="0"/>
              <w:jc w:val="left"/>
              <w:rPr>
                <w:rFonts w:ascii="Arial Narrow" w:hAnsi="Arial Narrow"/>
                <w:b/>
                <w:sz w:val="20"/>
              </w:rPr>
            </w:pPr>
            <w:r w:rsidRPr="00F706EC">
              <w:rPr>
                <w:rFonts w:ascii="Arial Narrow" w:hAnsi="Arial Narrow"/>
                <w:b/>
                <w:sz w:val="20"/>
              </w:rPr>
              <w:t>Estimated financial implications of elacestrant to the PBS/RPBS</w:t>
            </w:r>
          </w:p>
        </w:tc>
      </w:tr>
      <w:tr w:rsidR="002174ED" w:rsidRPr="00F706EC" w14:paraId="3298C366" w14:textId="77777777">
        <w:tc>
          <w:tcPr>
            <w:tcW w:w="1648" w:type="pct"/>
            <w:vAlign w:val="center"/>
          </w:tcPr>
          <w:p w14:paraId="386F8F23" w14:textId="3008C204"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Cost to PBS/RPBS less copayments</w:t>
            </w:r>
            <w:r w:rsidR="009923CA" w:rsidRPr="009923CA">
              <w:rPr>
                <w:rFonts w:ascii="Arial Narrow" w:hAnsi="Arial Narrow"/>
                <w:sz w:val="20"/>
                <w:vertAlign w:val="superscript"/>
              </w:rPr>
              <w:t>e</w:t>
            </w:r>
          </w:p>
        </w:tc>
        <w:tc>
          <w:tcPr>
            <w:tcW w:w="550" w:type="pct"/>
            <w:vAlign w:val="center"/>
          </w:tcPr>
          <w:p w14:paraId="2AD308C8" w14:textId="043A80CE"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2" w:id="-694393591"/>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2" w:id="-694393591"/>
                <w14:textFill>
                  <w14:solidFill>
                    <w14:srgbClr w14:val="000000">
                      <w14:alpha w14:val="100000"/>
                    </w14:srgbClr>
                  </w14:solidFill>
                </w14:textFill>
              </w:rPr>
              <w:t>|</w:t>
            </w:r>
            <w:r w:rsidRPr="00F4744A">
              <w:rPr>
                <w:rFonts w:ascii="Arial Narrow" w:hAnsi="Arial Narrow" w:cs="Arial" w:hint="eastAsia"/>
                <w:color w:val="000000"/>
                <w:spacing w:val="1"/>
                <w:w w:val="25"/>
                <w:sz w:val="20"/>
                <w:szCs w:val="20"/>
                <w:shd w:val="solid" w:color="000000" w:fill="000000"/>
                <w:fitText w:val="112" w:id="-694393591"/>
                <w14:textFill>
                  <w14:solidFill>
                    <w14:srgbClr w14:val="000000">
                      <w14:alpha w14:val="100000"/>
                    </w14:srgbClr>
                  </w14:solidFill>
                </w14:textFill>
              </w:rPr>
              <w:t xml:space="preserve">　</w:t>
            </w:r>
            <w:r w:rsidR="00A07C09" w:rsidRPr="00A07C09">
              <w:rPr>
                <w:rFonts w:ascii="Arial Narrow" w:hAnsi="Arial Narrow" w:cs="Arial"/>
                <w:color w:val="000000"/>
                <w:sz w:val="20"/>
                <w:szCs w:val="20"/>
                <w:vertAlign w:val="superscript"/>
              </w:rPr>
              <w:t>4</w:t>
            </w:r>
          </w:p>
        </w:tc>
        <w:tc>
          <w:tcPr>
            <w:tcW w:w="551" w:type="pct"/>
            <w:vAlign w:val="center"/>
          </w:tcPr>
          <w:p w14:paraId="7D04BD0A" w14:textId="641FCA43"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590"/>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590"/>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590"/>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39D5276A" w14:textId="19941BB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89"/>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89"/>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89"/>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4155CDDF" w14:textId="03B38ABA"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88"/>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88"/>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88"/>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13C7BEFA" w14:textId="17819FB4"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87"/>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87"/>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87"/>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601" w:type="pct"/>
            <w:vAlign w:val="center"/>
          </w:tcPr>
          <w:p w14:paraId="70F643ED" w14:textId="1D900FCB"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586"/>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586"/>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586"/>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r>
      <w:tr w:rsidR="002174ED" w:rsidRPr="00F706EC" w14:paraId="1F75A236" w14:textId="77777777">
        <w:tc>
          <w:tcPr>
            <w:tcW w:w="5000" w:type="pct"/>
            <w:gridSpan w:val="7"/>
            <w:vAlign w:val="center"/>
          </w:tcPr>
          <w:p w14:paraId="298CF3E7" w14:textId="77777777" w:rsidR="002174ED" w:rsidRPr="00F706EC" w:rsidRDefault="002174ED" w:rsidP="002553CE">
            <w:pPr>
              <w:keepNext/>
              <w:keepLines/>
              <w:spacing w:before="0" w:after="0"/>
              <w:jc w:val="left"/>
              <w:rPr>
                <w:rFonts w:ascii="Arial Narrow" w:hAnsi="Arial Narrow"/>
                <w:b/>
                <w:sz w:val="20"/>
              </w:rPr>
            </w:pPr>
            <w:r w:rsidRPr="00F706EC">
              <w:rPr>
                <w:rFonts w:ascii="Arial Narrow" w:hAnsi="Arial Narrow"/>
                <w:b/>
                <w:sz w:val="20"/>
              </w:rPr>
              <w:t>Estimated financial implications from change in use of other MBS services</w:t>
            </w:r>
          </w:p>
        </w:tc>
      </w:tr>
      <w:tr w:rsidR="002174ED" w:rsidRPr="00F706EC" w14:paraId="23DC42D5" w14:textId="77777777">
        <w:tc>
          <w:tcPr>
            <w:tcW w:w="1648" w:type="pct"/>
            <w:vAlign w:val="center"/>
          </w:tcPr>
          <w:p w14:paraId="7EDCBB6B" w14:textId="77777777" w:rsidR="002174ED" w:rsidRPr="00F706EC" w:rsidRDefault="002174ED" w:rsidP="002553CE">
            <w:pPr>
              <w:keepNext/>
              <w:keepLines/>
              <w:spacing w:before="0" w:after="0"/>
              <w:jc w:val="left"/>
              <w:rPr>
                <w:rFonts w:ascii="Arial Narrow" w:hAnsi="Arial Narrow"/>
                <w:sz w:val="20"/>
                <w:szCs w:val="20"/>
              </w:rPr>
            </w:pPr>
            <w:r w:rsidRPr="00F706EC">
              <w:rPr>
                <w:rFonts w:ascii="Arial Narrow" w:hAnsi="Arial Narrow"/>
                <w:sz w:val="20"/>
                <w:szCs w:val="20"/>
              </w:rPr>
              <w:t>Cost to MBS</w:t>
            </w:r>
            <w:r w:rsidRPr="00F706EC">
              <w:rPr>
                <w:rFonts w:ascii="Arial Narrow" w:hAnsi="Arial Narrow"/>
                <w:sz w:val="20"/>
                <w:szCs w:val="20"/>
                <w:vertAlign w:val="superscript"/>
              </w:rPr>
              <w:t>d</w:t>
            </w:r>
            <w:r w:rsidRPr="00F706EC">
              <w:rPr>
                <w:rFonts w:ascii="Arial Narrow" w:hAnsi="Arial Narrow"/>
                <w:sz w:val="20"/>
                <w:szCs w:val="20"/>
              </w:rPr>
              <w:t xml:space="preserve"> </w:t>
            </w:r>
          </w:p>
        </w:tc>
        <w:tc>
          <w:tcPr>
            <w:tcW w:w="550" w:type="pct"/>
            <w:vAlign w:val="center"/>
          </w:tcPr>
          <w:p w14:paraId="750EF4D9" w14:textId="20E37279"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2" w:id="-694393585"/>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2" w:id="-694393585"/>
                <w14:textFill>
                  <w14:solidFill>
                    <w14:srgbClr w14:val="000000">
                      <w14:alpha w14:val="100000"/>
                    </w14:srgbClr>
                  </w14:solidFill>
                </w14:textFill>
              </w:rPr>
              <w:t>|</w:t>
            </w:r>
            <w:r w:rsidRPr="00F4744A">
              <w:rPr>
                <w:rFonts w:ascii="Arial Narrow" w:hAnsi="Arial Narrow" w:cs="Arial" w:hint="eastAsia"/>
                <w:color w:val="000000"/>
                <w:spacing w:val="1"/>
                <w:w w:val="25"/>
                <w:sz w:val="20"/>
                <w:szCs w:val="20"/>
                <w:shd w:val="solid" w:color="000000" w:fill="000000"/>
                <w:fitText w:val="112" w:id="-694393585"/>
                <w14:textFill>
                  <w14:solidFill>
                    <w14:srgbClr w14:val="000000">
                      <w14:alpha w14:val="100000"/>
                    </w14:srgbClr>
                  </w14:solidFill>
                </w14:textFill>
              </w:rPr>
              <w:t xml:space="preserve">　</w:t>
            </w:r>
            <w:r w:rsidR="00EF52E6" w:rsidRPr="00EF52E6">
              <w:rPr>
                <w:rFonts w:ascii="Arial Narrow" w:hAnsi="Arial Narrow" w:cs="Arial"/>
                <w:sz w:val="20"/>
                <w:szCs w:val="20"/>
                <w:vertAlign w:val="superscript"/>
              </w:rPr>
              <w:t>6</w:t>
            </w:r>
          </w:p>
        </w:tc>
        <w:tc>
          <w:tcPr>
            <w:tcW w:w="551" w:type="pct"/>
            <w:vAlign w:val="center"/>
          </w:tcPr>
          <w:p w14:paraId="59D42822" w14:textId="4559B4F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584"/>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584"/>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584"/>
                <w14:textFill>
                  <w14:solidFill>
                    <w14:srgbClr w14:val="000000">
                      <w14:alpha w14:val="100000"/>
                    </w14:srgbClr>
                  </w14:solidFill>
                </w14:textFill>
              </w:rPr>
              <w:t xml:space="preserve">　</w:t>
            </w:r>
            <w:r w:rsidR="00EF52E6" w:rsidRPr="00EF52E6">
              <w:rPr>
                <w:rFonts w:ascii="Arial Narrow" w:hAnsi="Arial Narrow" w:cs="Arial"/>
                <w:sz w:val="20"/>
                <w:szCs w:val="20"/>
                <w:vertAlign w:val="superscript"/>
              </w:rPr>
              <w:t>6</w:t>
            </w:r>
          </w:p>
        </w:tc>
        <w:tc>
          <w:tcPr>
            <w:tcW w:w="550" w:type="pct"/>
            <w:vAlign w:val="center"/>
          </w:tcPr>
          <w:p w14:paraId="3B149192" w14:textId="5F5AA627"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600"/>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600"/>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600"/>
                <w14:textFill>
                  <w14:solidFill>
                    <w14:srgbClr w14:val="000000">
                      <w14:alpha w14:val="100000"/>
                    </w14:srgbClr>
                  </w14:solidFill>
                </w14:textFill>
              </w:rPr>
              <w:t xml:space="preserve">　</w:t>
            </w:r>
            <w:r w:rsidR="00EF52E6" w:rsidRPr="00EF52E6">
              <w:rPr>
                <w:rFonts w:ascii="Arial Narrow" w:hAnsi="Arial Narrow" w:cs="Arial"/>
                <w:sz w:val="20"/>
                <w:szCs w:val="20"/>
                <w:vertAlign w:val="superscript"/>
              </w:rPr>
              <w:t>6</w:t>
            </w:r>
          </w:p>
        </w:tc>
        <w:tc>
          <w:tcPr>
            <w:tcW w:w="550" w:type="pct"/>
            <w:vAlign w:val="center"/>
          </w:tcPr>
          <w:p w14:paraId="1F215320" w14:textId="3989C431"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9"/>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9"/>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9"/>
                <w14:textFill>
                  <w14:solidFill>
                    <w14:srgbClr w14:val="000000">
                      <w14:alpha w14:val="100000"/>
                    </w14:srgbClr>
                  </w14:solidFill>
                </w14:textFill>
              </w:rPr>
              <w:t xml:space="preserve">　</w:t>
            </w:r>
            <w:r w:rsidR="00EF52E6" w:rsidRPr="00EF52E6">
              <w:rPr>
                <w:rFonts w:ascii="Arial Narrow" w:hAnsi="Arial Narrow" w:cs="Arial"/>
                <w:sz w:val="20"/>
                <w:szCs w:val="20"/>
                <w:vertAlign w:val="superscript"/>
              </w:rPr>
              <w:t>6</w:t>
            </w:r>
          </w:p>
        </w:tc>
        <w:tc>
          <w:tcPr>
            <w:tcW w:w="550" w:type="pct"/>
            <w:vAlign w:val="center"/>
          </w:tcPr>
          <w:p w14:paraId="5C7EB83B" w14:textId="67D96833"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8"/>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8"/>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8"/>
                <w14:textFill>
                  <w14:solidFill>
                    <w14:srgbClr w14:val="000000">
                      <w14:alpha w14:val="100000"/>
                    </w14:srgbClr>
                  </w14:solidFill>
                </w14:textFill>
              </w:rPr>
              <w:t xml:space="preserve">　</w:t>
            </w:r>
            <w:r w:rsidR="00EF52E6" w:rsidRPr="00EF52E6">
              <w:rPr>
                <w:rFonts w:ascii="Arial Narrow" w:hAnsi="Arial Narrow" w:cs="Arial"/>
                <w:sz w:val="20"/>
                <w:szCs w:val="20"/>
                <w:vertAlign w:val="superscript"/>
              </w:rPr>
              <w:t>6</w:t>
            </w:r>
          </w:p>
        </w:tc>
        <w:tc>
          <w:tcPr>
            <w:tcW w:w="601" w:type="pct"/>
            <w:vAlign w:val="center"/>
          </w:tcPr>
          <w:p w14:paraId="046EA5D3" w14:textId="629AB222"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597"/>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597"/>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597"/>
                <w14:textFill>
                  <w14:solidFill>
                    <w14:srgbClr w14:val="000000">
                      <w14:alpha w14:val="100000"/>
                    </w14:srgbClr>
                  </w14:solidFill>
                </w14:textFill>
              </w:rPr>
              <w:t xml:space="preserve">　</w:t>
            </w:r>
            <w:r w:rsidR="00EF52E6" w:rsidRPr="00EF52E6">
              <w:rPr>
                <w:rFonts w:ascii="Arial Narrow" w:hAnsi="Arial Narrow" w:cs="Arial"/>
                <w:sz w:val="20"/>
                <w:szCs w:val="20"/>
                <w:vertAlign w:val="superscript"/>
              </w:rPr>
              <w:t>6</w:t>
            </w:r>
          </w:p>
        </w:tc>
      </w:tr>
      <w:tr w:rsidR="002174ED" w:rsidRPr="00F706EC" w14:paraId="1CD9F739" w14:textId="77777777">
        <w:tc>
          <w:tcPr>
            <w:tcW w:w="5000" w:type="pct"/>
            <w:gridSpan w:val="7"/>
            <w:vAlign w:val="center"/>
          </w:tcPr>
          <w:p w14:paraId="53FC9B2D" w14:textId="77777777" w:rsidR="002174ED" w:rsidRPr="00F706EC" w:rsidRDefault="002174ED" w:rsidP="002553CE">
            <w:pPr>
              <w:keepNext/>
              <w:keepLines/>
              <w:spacing w:before="0" w:after="0"/>
              <w:jc w:val="left"/>
              <w:rPr>
                <w:rFonts w:ascii="Arial Narrow" w:hAnsi="Arial Narrow"/>
                <w:b/>
                <w:sz w:val="20"/>
              </w:rPr>
            </w:pPr>
            <w:r w:rsidRPr="00F706EC">
              <w:rPr>
                <w:rFonts w:ascii="Arial Narrow" w:hAnsi="Arial Narrow"/>
                <w:b/>
                <w:sz w:val="20"/>
              </w:rPr>
              <w:t xml:space="preserve">Estimated financial implications from change in use of other PBS items </w:t>
            </w:r>
          </w:p>
        </w:tc>
      </w:tr>
      <w:tr w:rsidR="002174ED" w:rsidRPr="00F706EC" w14:paraId="4A84DC9F" w14:textId="77777777">
        <w:tc>
          <w:tcPr>
            <w:tcW w:w="1648" w:type="pct"/>
            <w:vAlign w:val="center"/>
          </w:tcPr>
          <w:p w14:paraId="70EE126E" w14:textId="77777777"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Cost to PBS/RPBS less copayments</w:t>
            </w:r>
          </w:p>
        </w:tc>
        <w:tc>
          <w:tcPr>
            <w:tcW w:w="550" w:type="pct"/>
            <w:vAlign w:val="center"/>
          </w:tcPr>
          <w:p w14:paraId="78460629" w14:textId="199BA5DD"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30"/>
                <w:sz w:val="20"/>
                <w:szCs w:val="20"/>
                <w:shd w:val="solid" w:color="000000" w:fill="000000"/>
                <w:fitText w:val="137" w:id="-694393596"/>
                <w14:textFill>
                  <w14:solidFill>
                    <w14:srgbClr w14:val="000000">
                      <w14:alpha w14:val="100000"/>
                    </w14:srgbClr>
                  </w14:solidFill>
                </w14:textFill>
              </w:rPr>
              <w:t xml:space="preserve">　</w:t>
            </w:r>
            <w:r w:rsidRPr="00F4744A">
              <w:rPr>
                <w:rFonts w:ascii="Arial Narrow" w:hAnsi="Arial Narrow" w:cs="Arial"/>
                <w:color w:val="000000"/>
                <w:w w:val="30"/>
                <w:sz w:val="20"/>
                <w:szCs w:val="20"/>
                <w:shd w:val="solid" w:color="000000" w:fill="000000"/>
                <w:fitText w:val="137" w:id="-694393596"/>
                <w14:textFill>
                  <w14:solidFill>
                    <w14:srgbClr w14:val="000000">
                      <w14:alpha w14:val="100000"/>
                    </w14:srgbClr>
                  </w14:solidFill>
                </w14:textFill>
              </w:rPr>
              <w:t>|</w:t>
            </w:r>
            <w:r w:rsidRPr="00F4744A">
              <w:rPr>
                <w:rFonts w:ascii="Arial Narrow" w:hAnsi="Arial Narrow" w:cs="Arial" w:hint="eastAsia"/>
                <w:color w:val="000000"/>
                <w:spacing w:val="5"/>
                <w:w w:val="30"/>
                <w:sz w:val="20"/>
                <w:szCs w:val="20"/>
                <w:shd w:val="solid" w:color="000000" w:fill="000000"/>
                <w:fitText w:val="137" w:id="-694393596"/>
                <w14:textFill>
                  <w14:solidFill>
                    <w14:srgbClr w14:val="000000">
                      <w14:alpha w14:val="100000"/>
                    </w14:srgbClr>
                  </w14:solidFill>
                </w14:textFill>
              </w:rPr>
              <w:t xml:space="preserve">　</w:t>
            </w:r>
            <w:r w:rsidR="00E96FFC" w:rsidRPr="00EF52E6">
              <w:rPr>
                <w:rFonts w:ascii="Arial Narrow" w:hAnsi="Arial Narrow" w:cs="Arial"/>
                <w:sz w:val="20"/>
                <w:szCs w:val="20"/>
                <w:vertAlign w:val="superscript"/>
              </w:rPr>
              <w:t>66</w:t>
            </w:r>
          </w:p>
        </w:tc>
        <w:tc>
          <w:tcPr>
            <w:tcW w:w="551" w:type="pct"/>
            <w:vAlign w:val="center"/>
          </w:tcPr>
          <w:p w14:paraId="31674B01" w14:textId="6E6DCAB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595"/>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595"/>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595"/>
                <w14:textFill>
                  <w14:solidFill>
                    <w14:srgbClr w14:val="000000">
                      <w14:alpha w14:val="100000"/>
                    </w14:srgbClr>
                  </w14:solidFill>
                </w14:textFill>
              </w:rPr>
              <w:t xml:space="preserve">　</w:t>
            </w:r>
            <w:r w:rsidR="00B31CA8" w:rsidRPr="00EF52E6">
              <w:rPr>
                <w:rFonts w:ascii="Arial Narrow" w:hAnsi="Arial Narrow" w:cs="Arial"/>
                <w:sz w:val="20"/>
                <w:szCs w:val="20"/>
                <w:vertAlign w:val="superscript"/>
              </w:rPr>
              <w:t>6</w:t>
            </w:r>
          </w:p>
        </w:tc>
        <w:tc>
          <w:tcPr>
            <w:tcW w:w="550" w:type="pct"/>
            <w:vAlign w:val="center"/>
          </w:tcPr>
          <w:p w14:paraId="62B545CB" w14:textId="3C67805A"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4"/>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4"/>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4"/>
                <w14:textFill>
                  <w14:solidFill>
                    <w14:srgbClr w14:val="000000">
                      <w14:alpha w14:val="100000"/>
                    </w14:srgbClr>
                  </w14:solidFill>
                </w14:textFill>
              </w:rPr>
              <w:t xml:space="preserve">　</w:t>
            </w:r>
            <w:r w:rsidR="00B31CA8" w:rsidRPr="00EF52E6">
              <w:rPr>
                <w:rFonts w:ascii="Arial Narrow" w:hAnsi="Arial Narrow" w:cs="Arial"/>
                <w:sz w:val="20"/>
                <w:szCs w:val="20"/>
                <w:vertAlign w:val="superscript"/>
              </w:rPr>
              <w:t>6</w:t>
            </w:r>
          </w:p>
        </w:tc>
        <w:tc>
          <w:tcPr>
            <w:tcW w:w="550" w:type="pct"/>
            <w:vAlign w:val="center"/>
          </w:tcPr>
          <w:p w14:paraId="5F43742E" w14:textId="3307A72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3"/>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3"/>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3"/>
                <w14:textFill>
                  <w14:solidFill>
                    <w14:srgbClr w14:val="000000">
                      <w14:alpha w14:val="100000"/>
                    </w14:srgbClr>
                  </w14:solidFill>
                </w14:textFill>
              </w:rPr>
              <w:t xml:space="preserve">　</w:t>
            </w:r>
            <w:r w:rsidR="00B31CA8" w:rsidRPr="00EF52E6">
              <w:rPr>
                <w:rFonts w:ascii="Arial Narrow" w:hAnsi="Arial Narrow" w:cs="Arial"/>
                <w:sz w:val="20"/>
                <w:szCs w:val="20"/>
                <w:vertAlign w:val="superscript"/>
              </w:rPr>
              <w:t>6</w:t>
            </w:r>
          </w:p>
        </w:tc>
        <w:tc>
          <w:tcPr>
            <w:tcW w:w="550" w:type="pct"/>
            <w:vAlign w:val="center"/>
          </w:tcPr>
          <w:p w14:paraId="39CCF715" w14:textId="53C76F6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92"/>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92"/>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92"/>
                <w14:textFill>
                  <w14:solidFill>
                    <w14:srgbClr w14:val="000000">
                      <w14:alpha w14:val="100000"/>
                    </w14:srgbClr>
                  </w14:solidFill>
                </w14:textFill>
              </w:rPr>
              <w:t xml:space="preserve">　</w:t>
            </w:r>
            <w:r w:rsidR="00B31CA8" w:rsidRPr="00EF52E6">
              <w:rPr>
                <w:rFonts w:ascii="Arial Narrow" w:hAnsi="Arial Narrow" w:cs="Arial"/>
                <w:sz w:val="20"/>
                <w:szCs w:val="20"/>
                <w:vertAlign w:val="superscript"/>
              </w:rPr>
              <w:t>6</w:t>
            </w:r>
          </w:p>
        </w:tc>
        <w:tc>
          <w:tcPr>
            <w:tcW w:w="601" w:type="pct"/>
            <w:vAlign w:val="center"/>
          </w:tcPr>
          <w:p w14:paraId="072FA977" w14:textId="71CDC094"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591"/>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591"/>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591"/>
                <w14:textFill>
                  <w14:solidFill>
                    <w14:srgbClr w14:val="000000">
                      <w14:alpha w14:val="100000"/>
                    </w14:srgbClr>
                  </w14:solidFill>
                </w14:textFill>
              </w:rPr>
              <w:t xml:space="preserve">　</w:t>
            </w:r>
            <w:r w:rsidR="00B31CA8" w:rsidRPr="00EF52E6">
              <w:rPr>
                <w:rFonts w:ascii="Arial Narrow" w:hAnsi="Arial Narrow" w:cs="Arial"/>
                <w:sz w:val="20"/>
                <w:szCs w:val="20"/>
                <w:vertAlign w:val="superscript"/>
              </w:rPr>
              <w:t>6</w:t>
            </w:r>
          </w:p>
        </w:tc>
      </w:tr>
      <w:tr w:rsidR="002174ED" w:rsidRPr="00F706EC" w14:paraId="280681EB" w14:textId="77777777">
        <w:tc>
          <w:tcPr>
            <w:tcW w:w="5000" w:type="pct"/>
            <w:gridSpan w:val="7"/>
            <w:vAlign w:val="center"/>
          </w:tcPr>
          <w:p w14:paraId="6610A7E9" w14:textId="77777777" w:rsidR="002174ED" w:rsidRPr="00F706EC" w:rsidRDefault="002174ED" w:rsidP="002553CE">
            <w:pPr>
              <w:keepNext/>
              <w:keepLines/>
              <w:spacing w:before="0" w:after="0"/>
              <w:jc w:val="left"/>
              <w:rPr>
                <w:rFonts w:ascii="Arial Narrow" w:hAnsi="Arial Narrow"/>
                <w:b/>
                <w:sz w:val="20"/>
              </w:rPr>
            </w:pPr>
            <w:r w:rsidRPr="00F706EC">
              <w:rPr>
                <w:rFonts w:ascii="Arial Narrow" w:hAnsi="Arial Narrow"/>
                <w:b/>
                <w:sz w:val="20"/>
              </w:rPr>
              <w:t>Net financial implications</w:t>
            </w:r>
            <w:r w:rsidRPr="00F706EC">
              <w:rPr>
                <w:rFonts w:ascii="Arial Narrow" w:hAnsi="Arial Narrow"/>
                <w:b/>
                <w:color w:val="4472C4" w:themeColor="accent5"/>
                <w:sz w:val="20"/>
              </w:rPr>
              <w:t xml:space="preserve"> </w:t>
            </w:r>
          </w:p>
        </w:tc>
      </w:tr>
      <w:tr w:rsidR="002174ED" w:rsidRPr="00F706EC" w14:paraId="378B338C" w14:textId="77777777">
        <w:tc>
          <w:tcPr>
            <w:tcW w:w="1648" w:type="pct"/>
            <w:vAlign w:val="center"/>
          </w:tcPr>
          <w:p w14:paraId="1CB2D9E8" w14:textId="77777777"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Net cost to PBS/RPBS</w:t>
            </w:r>
          </w:p>
        </w:tc>
        <w:tc>
          <w:tcPr>
            <w:tcW w:w="550" w:type="pct"/>
            <w:vAlign w:val="center"/>
          </w:tcPr>
          <w:p w14:paraId="145E6257" w14:textId="62CDE17F"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2" w:id="-694393590"/>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2" w:id="-694393590"/>
                <w14:textFill>
                  <w14:solidFill>
                    <w14:srgbClr w14:val="000000">
                      <w14:alpha w14:val="100000"/>
                    </w14:srgbClr>
                  </w14:solidFill>
                </w14:textFill>
              </w:rPr>
              <w:t>|</w:t>
            </w:r>
            <w:r w:rsidRPr="00F4744A">
              <w:rPr>
                <w:rFonts w:ascii="Arial Narrow" w:hAnsi="Arial Narrow" w:cs="Arial" w:hint="eastAsia"/>
                <w:color w:val="000000"/>
                <w:spacing w:val="1"/>
                <w:w w:val="25"/>
                <w:sz w:val="20"/>
                <w:szCs w:val="20"/>
                <w:shd w:val="solid" w:color="000000" w:fill="000000"/>
                <w:fitText w:val="112" w:id="-694393590"/>
                <w14:textFill>
                  <w14:solidFill>
                    <w14:srgbClr w14:val="000000">
                      <w14:alpha w14:val="100000"/>
                    </w14:srgbClr>
                  </w14:solidFill>
                </w14:textFill>
              </w:rPr>
              <w:t xml:space="preserve">　</w:t>
            </w:r>
            <w:r w:rsidR="00A07C09" w:rsidRPr="00A07C09">
              <w:rPr>
                <w:rFonts w:ascii="Arial Narrow" w:hAnsi="Arial Narrow" w:cs="Arial"/>
                <w:color w:val="000000"/>
                <w:sz w:val="20"/>
                <w:szCs w:val="20"/>
                <w:vertAlign w:val="superscript"/>
              </w:rPr>
              <w:t>4</w:t>
            </w:r>
          </w:p>
        </w:tc>
        <w:tc>
          <w:tcPr>
            <w:tcW w:w="551" w:type="pct"/>
            <w:vAlign w:val="center"/>
          </w:tcPr>
          <w:p w14:paraId="03EF5AE8" w14:textId="7888278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589"/>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589"/>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589"/>
                <w14:textFill>
                  <w14:solidFill>
                    <w14:srgbClr w14:val="000000">
                      <w14:alpha w14:val="100000"/>
                    </w14:srgbClr>
                  </w14:solidFill>
                </w14:textFill>
              </w:rPr>
              <w:t xml:space="preserve">　</w:t>
            </w:r>
            <w:r w:rsidR="00CB3023" w:rsidRPr="00CB3023">
              <w:rPr>
                <w:rFonts w:ascii="Arial Narrow" w:hAnsi="Arial Narrow" w:cs="Arial"/>
                <w:color w:val="000000"/>
                <w:sz w:val="20"/>
                <w:szCs w:val="20"/>
                <w:vertAlign w:val="superscript"/>
              </w:rPr>
              <w:t>7</w:t>
            </w:r>
          </w:p>
        </w:tc>
        <w:tc>
          <w:tcPr>
            <w:tcW w:w="550" w:type="pct"/>
            <w:vAlign w:val="center"/>
          </w:tcPr>
          <w:p w14:paraId="107F2BB5" w14:textId="580416BA"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88"/>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88"/>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88"/>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79BC85C8" w14:textId="557949F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87"/>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87"/>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87"/>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5065515A" w14:textId="58448323"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586"/>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586"/>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586"/>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601" w:type="pct"/>
            <w:vAlign w:val="center"/>
          </w:tcPr>
          <w:p w14:paraId="59EEC1BC" w14:textId="10C2D80D"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344"/>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344"/>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344"/>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r>
      <w:tr w:rsidR="002174ED" w:rsidRPr="00F706EC" w14:paraId="0DD4FB2A" w14:textId="77777777">
        <w:tc>
          <w:tcPr>
            <w:tcW w:w="1648" w:type="pct"/>
            <w:vAlign w:val="center"/>
          </w:tcPr>
          <w:p w14:paraId="72454B10" w14:textId="77777777" w:rsidR="002174ED" w:rsidRPr="00F706EC" w:rsidRDefault="002174ED" w:rsidP="002553CE">
            <w:pPr>
              <w:keepNext/>
              <w:keepLines/>
              <w:spacing w:before="0" w:after="0"/>
              <w:jc w:val="left"/>
              <w:rPr>
                <w:rFonts w:ascii="Times" w:eastAsia="Times New Roman" w:hAnsi="Times" w:cs="Times New Roman"/>
                <w:sz w:val="20"/>
              </w:rPr>
            </w:pPr>
            <w:r w:rsidRPr="00F706EC">
              <w:rPr>
                <w:rFonts w:ascii="Arial Narrow" w:hAnsi="Arial Narrow"/>
                <w:sz w:val="20"/>
              </w:rPr>
              <w:t>Net cost to MBS</w:t>
            </w:r>
          </w:p>
        </w:tc>
        <w:tc>
          <w:tcPr>
            <w:tcW w:w="550" w:type="pct"/>
            <w:vAlign w:val="center"/>
          </w:tcPr>
          <w:p w14:paraId="675D9068" w14:textId="739DBA22"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2" w:id="-694393343"/>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2" w:id="-694393343"/>
                <w14:textFill>
                  <w14:solidFill>
                    <w14:srgbClr w14:val="000000">
                      <w14:alpha w14:val="100000"/>
                    </w14:srgbClr>
                  </w14:solidFill>
                </w14:textFill>
              </w:rPr>
              <w:t>|</w:t>
            </w:r>
            <w:r w:rsidRPr="00F4744A">
              <w:rPr>
                <w:rFonts w:ascii="Arial Narrow" w:hAnsi="Arial Narrow" w:cs="Arial" w:hint="eastAsia"/>
                <w:color w:val="000000"/>
                <w:spacing w:val="1"/>
                <w:w w:val="25"/>
                <w:sz w:val="20"/>
                <w:szCs w:val="20"/>
                <w:shd w:val="solid" w:color="000000" w:fill="000000"/>
                <w:fitText w:val="112" w:id="-694393343"/>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1" w:type="pct"/>
            <w:vAlign w:val="center"/>
          </w:tcPr>
          <w:p w14:paraId="0B79DFB1" w14:textId="3A74890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342"/>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342"/>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342"/>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0" w:type="pct"/>
            <w:vAlign w:val="center"/>
          </w:tcPr>
          <w:p w14:paraId="5D875115" w14:textId="48D49B2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341"/>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341"/>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341"/>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0" w:type="pct"/>
            <w:vAlign w:val="center"/>
          </w:tcPr>
          <w:p w14:paraId="2B3E6CEB" w14:textId="0DFF836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340"/>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340"/>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340"/>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550" w:type="pct"/>
            <w:vAlign w:val="center"/>
          </w:tcPr>
          <w:p w14:paraId="14E5487E" w14:textId="7EE1921A"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339"/>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339"/>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339"/>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c>
          <w:tcPr>
            <w:tcW w:w="601" w:type="pct"/>
            <w:vAlign w:val="center"/>
          </w:tcPr>
          <w:p w14:paraId="3B1ACA70" w14:textId="4CE9D3F4"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338"/>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338"/>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338"/>
                <w14:textFill>
                  <w14:solidFill>
                    <w14:srgbClr w14:val="000000">
                      <w14:alpha w14:val="100000"/>
                    </w14:srgbClr>
                  </w14:solidFill>
                </w14:textFill>
              </w:rPr>
              <w:t xml:space="preserve">　</w:t>
            </w:r>
            <w:r w:rsidR="005E17ED" w:rsidRPr="005E17ED">
              <w:rPr>
                <w:rFonts w:ascii="Arial Narrow" w:hAnsi="Arial Narrow" w:cs="Arial"/>
                <w:color w:val="000000"/>
                <w:sz w:val="20"/>
                <w:szCs w:val="20"/>
                <w:vertAlign w:val="superscript"/>
              </w:rPr>
              <w:t>3</w:t>
            </w:r>
          </w:p>
        </w:tc>
      </w:tr>
      <w:tr w:rsidR="002174ED" w:rsidRPr="00F706EC" w14:paraId="69FFF114" w14:textId="77777777">
        <w:tc>
          <w:tcPr>
            <w:tcW w:w="1648" w:type="pct"/>
            <w:vAlign w:val="center"/>
          </w:tcPr>
          <w:p w14:paraId="3EB430E2" w14:textId="77777777" w:rsidR="002174ED" w:rsidRPr="00F706EC" w:rsidRDefault="002174ED" w:rsidP="002553CE">
            <w:pPr>
              <w:keepNext/>
              <w:keepLines/>
              <w:spacing w:before="0" w:after="0"/>
              <w:jc w:val="left"/>
              <w:rPr>
                <w:rFonts w:ascii="Arial Narrow" w:hAnsi="Arial Narrow"/>
                <w:sz w:val="20"/>
              </w:rPr>
            </w:pPr>
            <w:r w:rsidRPr="00F706EC">
              <w:rPr>
                <w:rFonts w:ascii="Arial Narrow" w:hAnsi="Arial Narrow"/>
                <w:sz w:val="20"/>
              </w:rPr>
              <w:t>Net cost to PBS/RPBS/MBS</w:t>
            </w:r>
          </w:p>
        </w:tc>
        <w:tc>
          <w:tcPr>
            <w:tcW w:w="550" w:type="pct"/>
            <w:vAlign w:val="center"/>
          </w:tcPr>
          <w:p w14:paraId="21C4118A" w14:textId="7D7028E2"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2" w:id="-694393337"/>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2" w:id="-694393337"/>
                <w14:textFill>
                  <w14:solidFill>
                    <w14:srgbClr w14:val="000000">
                      <w14:alpha w14:val="100000"/>
                    </w14:srgbClr>
                  </w14:solidFill>
                </w14:textFill>
              </w:rPr>
              <w:t>|</w:t>
            </w:r>
            <w:r w:rsidRPr="00F4744A">
              <w:rPr>
                <w:rFonts w:ascii="Arial Narrow" w:hAnsi="Arial Narrow" w:cs="Arial" w:hint="eastAsia"/>
                <w:color w:val="000000"/>
                <w:spacing w:val="1"/>
                <w:w w:val="25"/>
                <w:sz w:val="20"/>
                <w:szCs w:val="20"/>
                <w:shd w:val="solid" w:color="000000" w:fill="000000"/>
                <w:fitText w:val="112" w:id="-694393337"/>
                <w14:textFill>
                  <w14:solidFill>
                    <w14:srgbClr w14:val="000000">
                      <w14:alpha w14:val="100000"/>
                    </w14:srgbClr>
                  </w14:solidFill>
                </w14:textFill>
              </w:rPr>
              <w:t xml:space="preserve">　</w:t>
            </w:r>
            <w:r w:rsidR="00A07C09" w:rsidRPr="00A07C09">
              <w:rPr>
                <w:rFonts w:ascii="Arial Narrow" w:hAnsi="Arial Narrow" w:cs="Arial"/>
                <w:color w:val="000000"/>
                <w:sz w:val="20"/>
                <w:szCs w:val="20"/>
                <w:vertAlign w:val="superscript"/>
              </w:rPr>
              <w:t>4</w:t>
            </w:r>
          </w:p>
        </w:tc>
        <w:tc>
          <w:tcPr>
            <w:tcW w:w="551" w:type="pct"/>
            <w:vAlign w:val="center"/>
          </w:tcPr>
          <w:p w14:paraId="79E1A0E3" w14:textId="1D67EC95"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5"/>
                <w:sz w:val="20"/>
                <w:szCs w:val="20"/>
                <w:shd w:val="solid" w:color="000000" w:fill="000000"/>
                <w:fitText w:val="113" w:id="-694393336"/>
                <w14:textFill>
                  <w14:solidFill>
                    <w14:srgbClr w14:val="000000">
                      <w14:alpha w14:val="100000"/>
                    </w14:srgbClr>
                  </w14:solidFill>
                </w14:textFill>
              </w:rPr>
              <w:t xml:space="preserve">　</w:t>
            </w:r>
            <w:r w:rsidRPr="00F4744A">
              <w:rPr>
                <w:rFonts w:ascii="Arial Narrow" w:hAnsi="Arial Narrow" w:cs="Arial"/>
                <w:color w:val="000000"/>
                <w:w w:val="25"/>
                <w:sz w:val="20"/>
                <w:szCs w:val="20"/>
                <w:shd w:val="solid" w:color="000000" w:fill="000000"/>
                <w:fitText w:val="113" w:id="-694393336"/>
                <w14:textFill>
                  <w14:solidFill>
                    <w14:srgbClr w14:val="000000">
                      <w14:alpha w14:val="100000"/>
                    </w14:srgbClr>
                  </w14:solidFill>
                </w14:textFill>
              </w:rPr>
              <w:t>|</w:t>
            </w:r>
            <w:r w:rsidRPr="00F4744A">
              <w:rPr>
                <w:rFonts w:ascii="Arial Narrow" w:hAnsi="Arial Narrow" w:cs="Arial" w:hint="eastAsia"/>
                <w:color w:val="000000"/>
                <w:spacing w:val="2"/>
                <w:w w:val="25"/>
                <w:sz w:val="20"/>
                <w:szCs w:val="20"/>
                <w:shd w:val="solid" w:color="000000" w:fill="000000"/>
                <w:fitText w:val="113" w:id="-694393336"/>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5FE628C9" w14:textId="3ABBB75B"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335"/>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335"/>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335"/>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1BB79ED5" w14:textId="1AA4C8F6"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334"/>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334"/>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334"/>
                <w14:textFill>
                  <w14:solidFill>
                    <w14:srgbClr w14:val="000000">
                      <w14:alpha w14:val="100000"/>
                    </w14:srgbClr>
                  </w14:solidFill>
                </w14:textFill>
              </w:rPr>
              <w:t xml:space="preserve">　</w:t>
            </w:r>
            <w:r w:rsidR="00CD686D" w:rsidRPr="00CD686D">
              <w:rPr>
                <w:rFonts w:ascii="Arial Narrow" w:hAnsi="Arial Narrow" w:cs="Arial"/>
                <w:color w:val="000000"/>
                <w:sz w:val="20"/>
                <w:szCs w:val="20"/>
                <w:vertAlign w:val="superscript"/>
              </w:rPr>
              <w:t>5</w:t>
            </w:r>
          </w:p>
        </w:tc>
        <w:tc>
          <w:tcPr>
            <w:tcW w:w="550" w:type="pct"/>
            <w:vAlign w:val="center"/>
          </w:tcPr>
          <w:p w14:paraId="6E5515DC" w14:textId="74A2DF20"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22"/>
                <w:sz w:val="20"/>
                <w:szCs w:val="20"/>
                <w:shd w:val="solid" w:color="000000" w:fill="000000"/>
                <w:fitText w:val="100" w:id="-694393333"/>
                <w14:textFill>
                  <w14:solidFill>
                    <w14:srgbClr w14:val="000000">
                      <w14:alpha w14:val="100000"/>
                    </w14:srgbClr>
                  </w14:solidFill>
                </w14:textFill>
              </w:rPr>
              <w:t xml:space="preserve">　</w:t>
            </w:r>
            <w:r w:rsidRPr="00F4744A">
              <w:rPr>
                <w:rFonts w:ascii="Arial Narrow" w:hAnsi="Arial Narrow" w:cs="Arial"/>
                <w:color w:val="000000"/>
                <w:w w:val="22"/>
                <w:sz w:val="20"/>
                <w:szCs w:val="20"/>
                <w:shd w:val="solid" w:color="000000" w:fill="000000"/>
                <w:fitText w:val="100" w:id="-694393333"/>
                <w14:textFill>
                  <w14:solidFill>
                    <w14:srgbClr w14:val="000000">
                      <w14:alpha w14:val="100000"/>
                    </w14:srgbClr>
                  </w14:solidFill>
                </w14:textFill>
              </w:rPr>
              <w:t>|</w:t>
            </w:r>
            <w:r w:rsidRPr="00F4744A">
              <w:rPr>
                <w:rFonts w:ascii="Arial Narrow" w:hAnsi="Arial Narrow" w:cs="Arial" w:hint="eastAsia"/>
                <w:color w:val="000000"/>
                <w:spacing w:val="3"/>
                <w:w w:val="22"/>
                <w:sz w:val="20"/>
                <w:szCs w:val="20"/>
                <w:shd w:val="solid" w:color="000000" w:fill="000000"/>
                <w:fitText w:val="100" w:id="-694393333"/>
                <w14:textFill>
                  <w14:solidFill>
                    <w14:srgbClr w14:val="000000">
                      <w14:alpha w14:val="100000"/>
                    </w14:srgbClr>
                  </w14:solidFill>
                </w14:textFill>
              </w:rPr>
              <w:t xml:space="preserve">　</w:t>
            </w:r>
            <w:r w:rsidR="00A07C09" w:rsidRPr="00A07C09">
              <w:rPr>
                <w:rFonts w:ascii="Arial Narrow" w:hAnsi="Arial Narrow" w:cs="Arial"/>
                <w:color w:val="000000"/>
                <w:sz w:val="20"/>
                <w:szCs w:val="20"/>
                <w:vertAlign w:val="superscript"/>
              </w:rPr>
              <w:t>4</w:t>
            </w:r>
          </w:p>
        </w:tc>
        <w:tc>
          <w:tcPr>
            <w:tcW w:w="601" w:type="pct"/>
            <w:vAlign w:val="center"/>
          </w:tcPr>
          <w:p w14:paraId="513499DF" w14:textId="0140671C" w:rsidR="002174ED" w:rsidRPr="009F2252" w:rsidRDefault="00F4744A" w:rsidP="002553CE">
            <w:pPr>
              <w:keepNext/>
              <w:keepLines/>
              <w:spacing w:before="0" w:after="0"/>
              <w:jc w:val="center"/>
              <w:rPr>
                <w:rFonts w:ascii="Arial Narrow" w:hAnsi="Arial Narrow"/>
                <w:sz w:val="20"/>
                <w:highlight w:val="darkGray"/>
              </w:rPr>
            </w:pPr>
            <w:r w:rsidRPr="00F4744A">
              <w:rPr>
                <w:rFonts w:ascii="Arial Narrow" w:hAnsi="Arial Narrow" w:cs="Arial" w:hint="eastAsia"/>
                <w:color w:val="000000"/>
                <w:w w:val="15"/>
                <w:sz w:val="20"/>
                <w:szCs w:val="20"/>
                <w:shd w:val="solid" w:color="000000" w:fill="000000"/>
                <w:fitText w:val="63" w:id="-694393332"/>
                <w14:textFill>
                  <w14:solidFill>
                    <w14:srgbClr w14:val="000000">
                      <w14:alpha w14:val="100000"/>
                    </w14:srgbClr>
                  </w14:solidFill>
                </w14:textFill>
              </w:rPr>
              <w:t xml:space="preserve">　</w:t>
            </w:r>
            <w:r w:rsidRPr="00F4744A">
              <w:rPr>
                <w:rFonts w:ascii="Arial Narrow" w:hAnsi="Arial Narrow" w:cs="Arial"/>
                <w:color w:val="000000"/>
                <w:w w:val="15"/>
                <w:sz w:val="20"/>
                <w:szCs w:val="20"/>
                <w:shd w:val="solid" w:color="000000" w:fill="000000"/>
                <w:fitText w:val="63" w:id="-694393332"/>
                <w14:textFill>
                  <w14:solidFill>
                    <w14:srgbClr w14:val="000000">
                      <w14:alpha w14:val="100000"/>
                    </w14:srgbClr>
                  </w14:solidFill>
                </w14:textFill>
              </w:rPr>
              <w:t>|</w:t>
            </w:r>
            <w:r w:rsidRPr="00F4744A">
              <w:rPr>
                <w:rFonts w:ascii="Arial Narrow" w:hAnsi="Arial Narrow" w:cs="Arial" w:hint="eastAsia"/>
                <w:color w:val="000000"/>
                <w:spacing w:val="-2"/>
                <w:w w:val="15"/>
                <w:sz w:val="20"/>
                <w:szCs w:val="20"/>
                <w:shd w:val="solid" w:color="000000" w:fill="000000"/>
                <w:fitText w:val="63" w:id="-694393332"/>
                <w14:textFill>
                  <w14:solidFill>
                    <w14:srgbClr w14:val="000000">
                      <w14:alpha w14:val="100000"/>
                    </w14:srgbClr>
                  </w14:solidFill>
                </w14:textFill>
              </w:rPr>
              <w:t xml:space="preserve">　</w:t>
            </w:r>
            <w:r w:rsidR="00A07C09" w:rsidRPr="00A07C09">
              <w:rPr>
                <w:rFonts w:ascii="Arial Narrow" w:hAnsi="Arial Narrow" w:cs="Arial"/>
                <w:color w:val="000000"/>
                <w:sz w:val="20"/>
                <w:szCs w:val="20"/>
                <w:vertAlign w:val="superscript"/>
              </w:rPr>
              <w:t>4</w:t>
            </w:r>
          </w:p>
        </w:tc>
      </w:tr>
    </w:tbl>
    <w:p w14:paraId="1AD069C7" w14:textId="4275FD24" w:rsidR="002174ED" w:rsidRPr="00F66709" w:rsidRDefault="002174ED" w:rsidP="002553CE">
      <w:pPr>
        <w:keepNext/>
        <w:keepLines/>
        <w:spacing w:before="0" w:after="0"/>
        <w:contextualSpacing/>
        <w:rPr>
          <w:rFonts w:ascii="Arial Narrow" w:eastAsia="Times New Roman" w:hAnsi="Arial Narrow" w:cs="Arial"/>
          <w:snapToGrid w:val="0"/>
          <w:sz w:val="18"/>
          <w:szCs w:val="20"/>
        </w:rPr>
      </w:pPr>
      <w:r w:rsidRPr="00F66709">
        <w:rPr>
          <w:rFonts w:ascii="Arial Narrow" w:eastAsia="Times New Roman" w:hAnsi="Arial Narrow" w:cs="Arial"/>
          <w:snapToGrid w:val="0"/>
          <w:sz w:val="18"/>
          <w:szCs w:val="20"/>
        </w:rPr>
        <w:t xml:space="preserve">Source: Table 4.5, Table 4.6 &amp; 4.8, Table 4.9, Table 4.14, Table 4.15, Table 4.20 &amp; 4.21, of the submission </w:t>
      </w:r>
    </w:p>
    <w:p w14:paraId="4876C525" w14:textId="77777777" w:rsidR="002174ED" w:rsidRPr="00F66709" w:rsidRDefault="002174ED" w:rsidP="002553CE">
      <w:pPr>
        <w:keepNext/>
        <w:keepLines/>
        <w:spacing w:before="0" w:after="0"/>
        <w:contextualSpacing/>
        <w:rPr>
          <w:rFonts w:ascii="Arial Narrow" w:eastAsia="Times New Roman" w:hAnsi="Arial Narrow" w:cs="Arial"/>
          <w:snapToGrid w:val="0"/>
          <w:sz w:val="18"/>
          <w:szCs w:val="20"/>
        </w:rPr>
      </w:pPr>
      <w:r w:rsidRPr="00F66709">
        <w:rPr>
          <w:rFonts w:ascii="Arial Narrow" w:eastAsia="Times New Roman" w:hAnsi="Arial Narrow" w:cs="Arial"/>
          <w:i/>
          <w:iCs/>
          <w:snapToGrid w:val="0"/>
          <w:sz w:val="18"/>
          <w:szCs w:val="20"/>
        </w:rPr>
        <w:t>ESR1</w:t>
      </w:r>
      <w:r w:rsidRPr="00F66709">
        <w:rPr>
          <w:rFonts w:ascii="Arial Narrow" w:eastAsia="Times New Roman" w:hAnsi="Arial Narrow" w:cs="Arial"/>
          <w:snapToGrid w:val="0"/>
          <w:sz w:val="18"/>
          <w:szCs w:val="20"/>
        </w:rPr>
        <w:t xml:space="preserve"> = estrogen receptor 1; MBS = Medicare Benefits Schedule; PBS = Pharmaceutical Benefits Scheme; RPBS = </w:t>
      </w:r>
      <w:r w:rsidRPr="00F66709">
        <w:rPr>
          <w:rFonts w:ascii="Arial Narrow" w:hAnsi="Arial Narrow" w:cs="Arial"/>
          <w:snapToGrid w:val="0"/>
          <w:sz w:val="18"/>
          <w:szCs w:val="20"/>
        </w:rPr>
        <w:t>Reparation Pharmaceutical Benefits Scheme.</w:t>
      </w:r>
      <w:r w:rsidRPr="00F66709">
        <w:rPr>
          <w:rFonts w:ascii="Arial Narrow" w:eastAsia="Times New Roman" w:hAnsi="Arial Narrow" w:cs="Arial"/>
          <w:snapToGrid w:val="0"/>
          <w:sz w:val="18"/>
          <w:szCs w:val="20"/>
        </w:rPr>
        <w:t xml:space="preserve"> </w:t>
      </w:r>
    </w:p>
    <w:p w14:paraId="0F75EBB8" w14:textId="1259F38E" w:rsidR="002174ED" w:rsidRPr="00F66709" w:rsidRDefault="002174ED" w:rsidP="002553CE">
      <w:pPr>
        <w:keepNext/>
        <w:keepLines/>
        <w:tabs>
          <w:tab w:val="left" w:pos="284"/>
        </w:tabs>
        <w:spacing w:before="0" w:after="0"/>
        <w:jc w:val="left"/>
        <w:rPr>
          <w:rFonts w:ascii="Arial Narrow" w:eastAsia="Times New Roman" w:hAnsi="Arial Narrow" w:cs="Arial"/>
          <w:snapToGrid w:val="0"/>
          <w:sz w:val="18"/>
          <w:szCs w:val="20"/>
        </w:rPr>
      </w:pPr>
      <w:r w:rsidRPr="00F66709">
        <w:rPr>
          <w:rFonts w:ascii="Arial Narrow" w:eastAsia="Times New Roman" w:hAnsi="Arial Narrow" w:cs="Arial"/>
          <w:snapToGrid w:val="0"/>
          <w:sz w:val="18"/>
          <w:vertAlign w:val="superscript"/>
          <w:lang w:eastAsia="en-AU"/>
        </w:rPr>
        <w:t xml:space="preserve">a </w:t>
      </w:r>
      <w:r w:rsidRPr="00F66709">
        <w:rPr>
          <w:rFonts w:ascii="Arial Narrow" w:eastAsia="Times New Roman" w:hAnsi="Arial Narrow" w:cs="Arial"/>
          <w:snapToGrid w:val="0"/>
          <w:sz w:val="18"/>
          <w:lang w:eastAsia="en-AU"/>
        </w:rPr>
        <w:t>Projected eligible test population (n=</w:t>
      </w:r>
      <w:r w:rsidR="005A4785" w:rsidRPr="005A4785">
        <w:rPr>
          <w:rFonts w:ascii="Arial Narrow" w:eastAsia="Times New Roman" w:hAnsi="Arial Narrow" w:cs="Arial"/>
          <w:snapToGrid w:val="0"/>
          <w:sz w:val="18"/>
          <w:lang w:eastAsia="en-AU"/>
        </w:rPr>
        <w:t>500 to &lt; 5,000</w:t>
      </w:r>
      <w:r w:rsidRPr="00F66709">
        <w:rPr>
          <w:rFonts w:ascii="Arial Narrow" w:eastAsia="Times New Roman" w:hAnsi="Arial Narrow" w:cs="Arial"/>
          <w:snapToGrid w:val="0"/>
          <w:sz w:val="18"/>
          <w:lang w:eastAsia="en-AU"/>
        </w:rPr>
        <w:t>) multiplied by 2 due to expected ‘warehoused’ patients from previous years</w:t>
      </w:r>
    </w:p>
    <w:p w14:paraId="39E0AC10" w14:textId="77777777" w:rsidR="002174ED" w:rsidRDefault="002174ED" w:rsidP="002553CE">
      <w:pPr>
        <w:keepNext/>
        <w:keepLines/>
        <w:spacing w:before="0" w:after="0"/>
        <w:contextualSpacing/>
        <w:rPr>
          <w:rFonts w:ascii="Arial Narrow" w:eastAsia="Times New Roman" w:hAnsi="Arial Narrow" w:cs="Arial"/>
          <w:snapToGrid w:val="0"/>
          <w:sz w:val="18"/>
          <w:szCs w:val="20"/>
        </w:rPr>
      </w:pPr>
      <w:r>
        <w:rPr>
          <w:rFonts w:ascii="Arial Narrow" w:eastAsia="Times New Roman" w:hAnsi="Arial Narrow" w:cs="Arial"/>
          <w:snapToGrid w:val="0"/>
          <w:sz w:val="18"/>
          <w:szCs w:val="20"/>
          <w:vertAlign w:val="superscript"/>
        </w:rPr>
        <w:t>b</w:t>
      </w:r>
      <w:r w:rsidRPr="00F66709">
        <w:rPr>
          <w:rFonts w:ascii="Arial Narrow" w:eastAsia="Times New Roman" w:hAnsi="Arial Narrow" w:cs="Arial"/>
          <w:snapToGrid w:val="0"/>
          <w:sz w:val="18"/>
          <w:szCs w:val="20"/>
          <w:vertAlign w:val="superscript"/>
        </w:rPr>
        <w:t xml:space="preserve"> </w:t>
      </w:r>
      <w:r w:rsidRPr="00F66709">
        <w:rPr>
          <w:rFonts w:ascii="Arial Narrow" w:eastAsia="Times New Roman" w:hAnsi="Arial Narrow" w:cs="Arial"/>
          <w:snapToGrid w:val="0"/>
          <w:sz w:val="18"/>
          <w:szCs w:val="20"/>
        </w:rPr>
        <w:t>Based on 5.44 scripts/patient/year (calculated by mean duration of treatment [=160.3 days] ÷ max quantity per prescription [=28 days] x treatment compliance [=95%])</w:t>
      </w:r>
    </w:p>
    <w:p w14:paraId="7B35C0D1" w14:textId="77777777" w:rsidR="002174ED" w:rsidRPr="006B1EC9" w:rsidRDefault="002174ED" w:rsidP="002553CE">
      <w:pPr>
        <w:pStyle w:val="TableFooter"/>
        <w:keepNext/>
        <w:keepLines/>
        <w:widowControl/>
      </w:pPr>
      <w:r>
        <w:rPr>
          <w:vertAlign w:val="superscript"/>
        </w:rPr>
        <w:t xml:space="preserve">c </w:t>
      </w:r>
      <w:r>
        <w:t xml:space="preserve">85% benefit and greatest </w:t>
      </w:r>
      <w:r w:rsidRPr="00524386">
        <w:t>permissible gap (=$102.40) applied</w:t>
      </w:r>
      <w:r>
        <w:t xml:space="preserve"> to proposed test cost for </w:t>
      </w:r>
      <w:r w:rsidRPr="006B1EC9">
        <w:rPr>
          <w:i/>
          <w:iCs/>
        </w:rPr>
        <w:t>ESR1</w:t>
      </w:r>
      <w:r>
        <w:t xml:space="preserve"> variants (all out of hospital services)</w:t>
      </w:r>
    </w:p>
    <w:p w14:paraId="58331E6A" w14:textId="77777777" w:rsidR="002174ED" w:rsidRDefault="002174ED" w:rsidP="002553CE">
      <w:pPr>
        <w:pStyle w:val="TableFooter"/>
        <w:keepNext/>
        <w:keepLines/>
        <w:widowControl/>
      </w:pPr>
      <w:r>
        <w:rPr>
          <w:vertAlign w:val="superscript"/>
        </w:rPr>
        <w:t xml:space="preserve">d </w:t>
      </w:r>
      <w:r>
        <w:t>85% benefit applied to MBS item 13950 (all out of hospital services)</w:t>
      </w:r>
    </w:p>
    <w:p w14:paraId="6239D234" w14:textId="0B301B2B" w:rsidR="009F2252" w:rsidRDefault="009923CA" w:rsidP="002553CE">
      <w:pPr>
        <w:pStyle w:val="TableFooter"/>
        <w:keepNext/>
        <w:keepLines/>
        <w:widowControl/>
      </w:pPr>
      <w:r w:rsidRPr="00F6438E">
        <w:rPr>
          <w:vertAlign w:val="superscript"/>
        </w:rPr>
        <w:t>e</w:t>
      </w:r>
      <w:r>
        <w:t xml:space="preserve"> </w:t>
      </w:r>
      <w:r w:rsidR="00623D90">
        <w:t xml:space="preserve">The price for </w:t>
      </w:r>
      <w:r w:rsidR="00EE4001">
        <w:t xml:space="preserve">the 258 </w:t>
      </w:r>
      <w:r w:rsidR="00E34078">
        <w:t>mg</w:t>
      </w:r>
      <w:r w:rsidR="00EE4001">
        <w:t xml:space="preserve"> dose was entered incorrectly as $</w:t>
      </w:r>
      <w:r w:rsidR="00F4744A" w:rsidRPr="00B51309">
        <w:rPr>
          <w:color w:val="000000"/>
          <w:spacing w:val="19"/>
          <w:shd w:val="solid" w:color="000000" w:fill="000000"/>
          <w:fitText w:val="281" w:id="-694393331"/>
          <w14:textFill>
            <w14:solidFill>
              <w14:srgbClr w14:val="000000">
                <w14:alpha w14:val="100000"/>
              </w14:srgbClr>
            </w14:solidFill>
          </w14:textFill>
        </w:rPr>
        <w:t>||</w:t>
      </w:r>
      <w:r w:rsidR="00B51309" w:rsidRPr="00B51309">
        <w:rPr>
          <w:color w:val="000000"/>
          <w:spacing w:val="19"/>
          <w:shd w:val="solid" w:color="000000" w:fill="000000"/>
          <w:fitText w:val="281" w:id="-694393331"/>
          <w14:textFill>
            <w14:solidFill>
              <w14:srgbClr w14:val="000000">
                <w14:alpha w14:val="100000"/>
              </w14:srgbClr>
            </w14:solidFill>
          </w14:textFill>
        </w:rPr>
        <w:t xml:space="preserve"> </w:t>
      </w:r>
      <w:r w:rsidR="00F4744A" w:rsidRPr="00B51309">
        <w:rPr>
          <w:color w:val="000000"/>
          <w:spacing w:val="19"/>
          <w:shd w:val="solid" w:color="000000" w:fill="000000"/>
          <w:fitText w:val="281" w:id="-694393331"/>
          <w14:textFill>
            <w14:solidFill>
              <w14:srgbClr w14:val="000000">
                <w14:alpha w14:val="100000"/>
              </w14:srgbClr>
            </w14:solidFill>
          </w14:textFill>
        </w:rPr>
        <w:t>||</w:t>
      </w:r>
      <w:r w:rsidR="00EE4001">
        <w:t xml:space="preserve">, however the discrepancy made </w:t>
      </w:r>
      <w:r w:rsidR="006B747D">
        <w:t>only a small impact on overall costs and has not been corrected.</w:t>
      </w:r>
      <w:r w:rsidR="00E34078">
        <w:t xml:space="preserve"> </w:t>
      </w:r>
    </w:p>
    <w:p w14:paraId="56EA6FFB" w14:textId="734B1424" w:rsidR="009F2252" w:rsidRPr="00251381" w:rsidRDefault="009F2252" w:rsidP="002553CE">
      <w:pPr>
        <w:pStyle w:val="TableFooter"/>
        <w:keepNext/>
        <w:keepLines/>
        <w:widowControl/>
        <w:rPr>
          <w:i/>
        </w:rPr>
      </w:pPr>
      <w:r w:rsidRPr="00251381">
        <w:rPr>
          <w:i/>
        </w:rPr>
        <w:t>The redacted values correspond to the following ranges</w:t>
      </w:r>
      <w:r w:rsidR="006501D2">
        <w:rPr>
          <w:i/>
        </w:rPr>
        <w:t>:</w:t>
      </w:r>
      <w:r w:rsidRPr="00251381">
        <w:rPr>
          <w:i/>
        </w:rPr>
        <w:t xml:space="preserve"> </w:t>
      </w:r>
    </w:p>
    <w:p w14:paraId="1751F9F2" w14:textId="77777777" w:rsidR="005E17ED" w:rsidRPr="00251381" w:rsidRDefault="009F2252" w:rsidP="002553CE">
      <w:pPr>
        <w:pStyle w:val="TableFooter"/>
        <w:keepNext/>
        <w:keepLines/>
        <w:widowControl/>
        <w:rPr>
          <w:i/>
        </w:rPr>
      </w:pPr>
      <w:r w:rsidRPr="00251381">
        <w:rPr>
          <w:i/>
          <w:vertAlign w:val="superscript"/>
        </w:rPr>
        <w:t>1</w:t>
      </w:r>
      <w:r w:rsidRPr="00251381">
        <w:rPr>
          <w:i/>
        </w:rPr>
        <w:t xml:space="preserve"> </w:t>
      </w:r>
      <w:r w:rsidR="005E17ED" w:rsidRPr="00251381">
        <w:rPr>
          <w:i/>
        </w:rPr>
        <w:t>500 to &lt; 5,000</w:t>
      </w:r>
    </w:p>
    <w:p w14:paraId="455F8450" w14:textId="1A4A70F7" w:rsidR="00C50B77" w:rsidRPr="00251381" w:rsidRDefault="005E17ED" w:rsidP="002553CE">
      <w:pPr>
        <w:pStyle w:val="TableFooter"/>
        <w:keepNext/>
        <w:keepLines/>
        <w:widowControl/>
        <w:rPr>
          <w:i/>
        </w:rPr>
      </w:pPr>
      <w:r w:rsidRPr="00251381">
        <w:rPr>
          <w:i/>
          <w:vertAlign w:val="superscript"/>
        </w:rPr>
        <w:t>2</w:t>
      </w:r>
      <w:r w:rsidRPr="00251381">
        <w:rPr>
          <w:i/>
        </w:rPr>
        <w:t xml:space="preserve"> </w:t>
      </w:r>
      <w:r w:rsidR="005A4785" w:rsidRPr="00251381">
        <w:rPr>
          <w:i/>
        </w:rPr>
        <w:t>5,000 to &lt; 10,000</w:t>
      </w:r>
    </w:p>
    <w:p w14:paraId="73CB6523" w14:textId="77777777" w:rsidR="00CD686D" w:rsidRPr="00251381" w:rsidRDefault="00C50B77" w:rsidP="002553CE">
      <w:pPr>
        <w:pStyle w:val="TableFooter"/>
        <w:keepNext/>
        <w:keepLines/>
        <w:widowControl/>
        <w:rPr>
          <w:i/>
        </w:rPr>
      </w:pPr>
      <w:r w:rsidRPr="00251381">
        <w:rPr>
          <w:i/>
          <w:vertAlign w:val="superscript"/>
        </w:rPr>
        <w:t>3</w:t>
      </w:r>
      <w:r w:rsidRPr="00251381">
        <w:rPr>
          <w:i/>
        </w:rPr>
        <w:t xml:space="preserve"> $0 to &lt; $10 million</w:t>
      </w:r>
      <w:r w:rsidR="00CD686D" w:rsidRPr="00251381">
        <w:rPr>
          <w:i/>
        </w:rPr>
        <w:t xml:space="preserve"> </w:t>
      </w:r>
    </w:p>
    <w:p w14:paraId="4FBC1827" w14:textId="77777777" w:rsidR="00EF52E6" w:rsidRPr="00251381" w:rsidRDefault="00CD686D" w:rsidP="002553CE">
      <w:pPr>
        <w:pStyle w:val="TableFooter"/>
        <w:keepNext/>
        <w:keepLines/>
        <w:widowControl/>
        <w:rPr>
          <w:i/>
        </w:rPr>
      </w:pPr>
      <w:r w:rsidRPr="00251381">
        <w:rPr>
          <w:i/>
          <w:vertAlign w:val="superscript"/>
        </w:rPr>
        <w:t>4</w:t>
      </w:r>
      <w:r w:rsidRPr="00251381">
        <w:rPr>
          <w:i/>
        </w:rPr>
        <w:t xml:space="preserve"> $30 million to &lt; $40 million</w:t>
      </w:r>
      <w:r w:rsidR="0056668C" w:rsidRPr="00251381">
        <w:rPr>
          <w:i/>
        </w:rPr>
        <w:t xml:space="preserve"> </w:t>
      </w:r>
    </w:p>
    <w:p w14:paraId="298CE91C" w14:textId="77777777" w:rsidR="002668A4" w:rsidRPr="00251381" w:rsidRDefault="0056668C" w:rsidP="002553CE">
      <w:pPr>
        <w:pStyle w:val="TableFooter"/>
        <w:keepNext/>
        <w:keepLines/>
        <w:widowControl/>
        <w:rPr>
          <w:i/>
        </w:rPr>
      </w:pPr>
      <w:r w:rsidRPr="00251381">
        <w:rPr>
          <w:i/>
          <w:vertAlign w:val="superscript"/>
        </w:rPr>
        <w:t xml:space="preserve">5 </w:t>
      </w:r>
      <w:r w:rsidRPr="00251381">
        <w:rPr>
          <w:i/>
        </w:rPr>
        <w:t>$20 million to &lt; $30 million</w:t>
      </w:r>
      <w:r w:rsidR="002668A4" w:rsidRPr="00251381">
        <w:rPr>
          <w:i/>
        </w:rPr>
        <w:t xml:space="preserve"> </w:t>
      </w:r>
    </w:p>
    <w:p w14:paraId="306D4C6F" w14:textId="77777777" w:rsidR="005226B9" w:rsidRPr="00251381" w:rsidRDefault="002668A4" w:rsidP="002553CE">
      <w:pPr>
        <w:pStyle w:val="TableFooter"/>
        <w:keepNext/>
        <w:keepLines/>
        <w:widowControl/>
        <w:rPr>
          <w:i/>
        </w:rPr>
      </w:pPr>
      <w:r w:rsidRPr="00251381">
        <w:rPr>
          <w:i/>
          <w:vertAlign w:val="superscript"/>
        </w:rPr>
        <w:t>6</w:t>
      </w:r>
      <w:r w:rsidRPr="00251381">
        <w:rPr>
          <w:i/>
        </w:rPr>
        <w:t xml:space="preserve"> net cost saving</w:t>
      </w:r>
      <w:r w:rsidR="005226B9" w:rsidRPr="00251381">
        <w:rPr>
          <w:i/>
        </w:rPr>
        <w:t xml:space="preserve"> </w:t>
      </w:r>
    </w:p>
    <w:p w14:paraId="7B6430E6" w14:textId="061BC466" w:rsidR="009923CA" w:rsidRPr="000D0ABE" w:rsidRDefault="005226B9" w:rsidP="002553CE">
      <w:pPr>
        <w:pStyle w:val="TableFooter"/>
        <w:keepNext/>
        <w:keepLines/>
        <w:widowControl/>
      </w:pPr>
      <w:r w:rsidRPr="00251381">
        <w:rPr>
          <w:i/>
          <w:vertAlign w:val="superscript"/>
        </w:rPr>
        <w:t xml:space="preserve">7 </w:t>
      </w:r>
      <w:r w:rsidRPr="00251381">
        <w:rPr>
          <w:i/>
        </w:rPr>
        <w:t>$10 million to &lt; $20 million</w:t>
      </w:r>
    </w:p>
    <w:p w14:paraId="0D740D1F" w14:textId="099F71E1" w:rsidR="00F30673" w:rsidRPr="007C0B33" w:rsidRDefault="002174ED" w:rsidP="002553CE">
      <w:pPr>
        <w:numPr>
          <w:ilvl w:val="4"/>
          <w:numId w:val="11"/>
        </w:numPr>
        <w:ind w:left="709" w:hanging="709"/>
        <w:rPr>
          <w:color w:val="000000" w:themeColor="text1"/>
        </w:rPr>
      </w:pPr>
      <w:r w:rsidRPr="007C0B33">
        <w:rPr>
          <w:color w:val="000000" w:themeColor="text1"/>
        </w:rPr>
        <w:t xml:space="preserve">The total cost to the PBS/RPBS of listing elacestrant was estimated to be </w:t>
      </w:r>
      <w:r w:rsidR="0085427E" w:rsidRPr="0085427E">
        <w:rPr>
          <w:color w:val="000000" w:themeColor="text1"/>
        </w:rPr>
        <w:t>$20</w:t>
      </w:r>
      <w:r w:rsidR="00251381">
        <w:rPr>
          <w:color w:val="000000" w:themeColor="text1"/>
        </w:rPr>
        <w:t> </w:t>
      </w:r>
      <w:r w:rsidR="0085427E" w:rsidRPr="0085427E">
        <w:rPr>
          <w:color w:val="000000" w:themeColor="text1"/>
        </w:rPr>
        <w:t>million</w:t>
      </w:r>
      <w:r w:rsidR="00E71D52">
        <w:rPr>
          <w:color w:val="000000" w:themeColor="text1"/>
        </w:rPr>
        <w:t> </w:t>
      </w:r>
      <w:r w:rsidR="0085427E" w:rsidRPr="0085427E">
        <w:rPr>
          <w:color w:val="000000" w:themeColor="text1"/>
        </w:rPr>
        <w:t>to</w:t>
      </w:r>
      <w:r w:rsidR="005C1EA5">
        <w:rPr>
          <w:color w:val="000000" w:themeColor="text1"/>
        </w:rPr>
        <w:t> </w:t>
      </w:r>
      <w:r w:rsidR="0085427E" w:rsidRPr="0085427E">
        <w:rPr>
          <w:color w:val="000000" w:themeColor="text1"/>
        </w:rPr>
        <w:t>&lt;</w:t>
      </w:r>
      <w:r w:rsidR="00251381">
        <w:rPr>
          <w:color w:val="000000" w:themeColor="text1"/>
        </w:rPr>
        <w:t> </w:t>
      </w:r>
      <w:r w:rsidR="0085427E" w:rsidRPr="0085427E">
        <w:rPr>
          <w:color w:val="000000" w:themeColor="text1"/>
        </w:rPr>
        <w:t>$30</w:t>
      </w:r>
      <w:r w:rsidR="00251381">
        <w:rPr>
          <w:color w:val="000000" w:themeColor="text1"/>
        </w:rPr>
        <w:t> </w:t>
      </w:r>
      <w:r w:rsidR="0085427E" w:rsidRPr="0085427E">
        <w:rPr>
          <w:color w:val="000000" w:themeColor="text1"/>
        </w:rPr>
        <w:t xml:space="preserve">million </w:t>
      </w:r>
      <w:r w:rsidRPr="007C0B33">
        <w:rPr>
          <w:color w:val="000000" w:themeColor="text1"/>
        </w:rPr>
        <w:t xml:space="preserve">in Year 6, and a total of </w:t>
      </w:r>
      <w:r w:rsidR="00A3750D" w:rsidRPr="00A3750D">
        <w:rPr>
          <w:color w:val="000000" w:themeColor="text1"/>
        </w:rPr>
        <w:t>$100</w:t>
      </w:r>
      <w:r w:rsidR="00E71D52">
        <w:rPr>
          <w:color w:val="000000" w:themeColor="text1"/>
        </w:rPr>
        <w:t> </w:t>
      </w:r>
      <w:r w:rsidR="00A3750D" w:rsidRPr="00A3750D">
        <w:rPr>
          <w:color w:val="000000" w:themeColor="text1"/>
        </w:rPr>
        <w:t>million</w:t>
      </w:r>
      <w:r w:rsidR="00E71D52">
        <w:rPr>
          <w:color w:val="000000" w:themeColor="text1"/>
        </w:rPr>
        <w:t> </w:t>
      </w:r>
      <w:r w:rsidR="00A3750D" w:rsidRPr="00A3750D">
        <w:rPr>
          <w:color w:val="000000" w:themeColor="text1"/>
        </w:rPr>
        <w:t>to</w:t>
      </w:r>
      <w:r w:rsidR="00E71D52">
        <w:rPr>
          <w:color w:val="000000" w:themeColor="text1"/>
        </w:rPr>
        <w:t> </w:t>
      </w:r>
      <w:r w:rsidR="00A3750D" w:rsidRPr="00A3750D">
        <w:rPr>
          <w:color w:val="000000" w:themeColor="text1"/>
        </w:rPr>
        <w:t>&lt;</w:t>
      </w:r>
      <w:r w:rsidR="00E71D52">
        <w:rPr>
          <w:color w:val="000000" w:themeColor="text1"/>
        </w:rPr>
        <w:t> </w:t>
      </w:r>
      <w:r w:rsidR="00A3750D" w:rsidRPr="00A3750D">
        <w:rPr>
          <w:color w:val="000000" w:themeColor="text1"/>
        </w:rPr>
        <w:t>$200</w:t>
      </w:r>
      <w:r w:rsidR="00E71D52">
        <w:rPr>
          <w:color w:val="000000" w:themeColor="text1"/>
        </w:rPr>
        <w:t> </w:t>
      </w:r>
      <w:r w:rsidR="00A3750D" w:rsidRPr="00A3750D">
        <w:rPr>
          <w:color w:val="000000" w:themeColor="text1"/>
        </w:rPr>
        <w:t>million</w:t>
      </w:r>
      <w:r w:rsidR="00251381">
        <w:rPr>
          <w:color w:val="000000" w:themeColor="text1"/>
        </w:rPr>
        <w:t xml:space="preserve"> </w:t>
      </w:r>
      <w:r w:rsidRPr="007C0B33">
        <w:rPr>
          <w:color w:val="000000" w:themeColor="text1"/>
        </w:rPr>
        <w:t xml:space="preserve">in the first 6 years of listing. </w:t>
      </w:r>
      <w:r w:rsidR="00F30673" w:rsidRPr="007C0B33">
        <w:rPr>
          <w:color w:val="000000" w:themeColor="text1"/>
        </w:rPr>
        <w:t xml:space="preserve">The net financial impact to the PBS/RPBS of listing elacestrant was estimated to be </w:t>
      </w:r>
      <w:r w:rsidR="00A3750D" w:rsidRPr="00A3750D">
        <w:rPr>
          <w:color w:val="000000" w:themeColor="text1"/>
        </w:rPr>
        <w:t>$100</w:t>
      </w:r>
      <w:r w:rsidR="00E71D52">
        <w:rPr>
          <w:color w:val="000000" w:themeColor="text1"/>
        </w:rPr>
        <w:t> </w:t>
      </w:r>
      <w:r w:rsidR="00A3750D" w:rsidRPr="00A3750D">
        <w:rPr>
          <w:color w:val="000000" w:themeColor="text1"/>
        </w:rPr>
        <w:t>million</w:t>
      </w:r>
      <w:r w:rsidR="00E71D52">
        <w:rPr>
          <w:color w:val="000000" w:themeColor="text1"/>
        </w:rPr>
        <w:t> </w:t>
      </w:r>
      <w:r w:rsidR="00A3750D" w:rsidRPr="00A3750D">
        <w:rPr>
          <w:color w:val="000000" w:themeColor="text1"/>
        </w:rPr>
        <w:t>to</w:t>
      </w:r>
      <w:r w:rsidR="00E71D52">
        <w:rPr>
          <w:color w:val="000000" w:themeColor="text1"/>
        </w:rPr>
        <w:t> </w:t>
      </w:r>
      <w:r w:rsidR="00A3750D" w:rsidRPr="00A3750D">
        <w:rPr>
          <w:color w:val="000000" w:themeColor="text1"/>
        </w:rPr>
        <w:t>&lt;</w:t>
      </w:r>
      <w:r w:rsidR="00E71D52">
        <w:rPr>
          <w:color w:val="000000" w:themeColor="text1"/>
        </w:rPr>
        <w:t> </w:t>
      </w:r>
      <w:r w:rsidR="00A3750D" w:rsidRPr="00A3750D">
        <w:rPr>
          <w:color w:val="000000" w:themeColor="text1"/>
        </w:rPr>
        <w:t>$200</w:t>
      </w:r>
      <w:r w:rsidR="00E71D52">
        <w:rPr>
          <w:color w:val="000000" w:themeColor="text1"/>
        </w:rPr>
        <w:t> </w:t>
      </w:r>
      <w:r w:rsidR="00A3750D" w:rsidRPr="00A3750D">
        <w:rPr>
          <w:color w:val="000000" w:themeColor="text1"/>
        </w:rPr>
        <w:t>million</w:t>
      </w:r>
      <w:r w:rsidR="00251381">
        <w:rPr>
          <w:color w:val="000000" w:themeColor="text1"/>
        </w:rPr>
        <w:t xml:space="preserve"> </w:t>
      </w:r>
      <w:r w:rsidR="00F30673" w:rsidRPr="007C0B33">
        <w:rPr>
          <w:color w:val="000000" w:themeColor="text1"/>
        </w:rPr>
        <w:t xml:space="preserve">over 6 years. The net financial impact to the Australian Government </w:t>
      </w:r>
      <w:r w:rsidR="00BB47AB">
        <w:rPr>
          <w:color w:val="000000" w:themeColor="text1"/>
        </w:rPr>
        <w:t xml:space="preserve">(PBS/RPBS/MBS) </w:t>
      </w:r>
      <w:r w:rsidR="00F30673" w:rsidRPr="007C0B33">
        <w:rPr>
          <w:color w:val="000000" w:themeColor="text1"/>
        </w:rPr>
        <w:t xml:space="preserve">of listing elacestrant was estimated to be </w:t>
      </w:r>
      <w:r w:rsidR="00A3750D" w:rsidRPr="00A3750D">
        <w:rPr>
          <w:color w:val="000000" w:themeColor="text1"/>
        </w:rPr>
        <w:t>$100</w:t>
      </w:r>
      <w:r w:rsidR="00524386">
        <w:rPr>
          <w:color w:val="000000" w:themeColor="text1"/>
        </w:rPr>
        <w:t> </w:t>
      </w:r>
      <w:r w:rsidR="00A3750D" w:rsidRPr="00A3750D">
        <w:rPr>
          <w:color w:val="000000" w:themeColor="text1"/>
        </w:rPr>
        <w:t>million to &lt;</w:t>
      </w:r>
      <w:r w:rsidR="00524386">
        <w:rPr>
          <w:color w:val="000000" w:themeColor="text1"/>
        </w:rPr>
        <w:t> </w:t>
      </w:r>
      <w:r w:rsidR="00A3750D" w:rsidRPr="00A3750D">
        <w:rPr>
          <w:color w:val="000000" w:themeColor="text1"/>
        </w:rPr>
        <w:t>$200</w:t>
      </w:r>
      <w:r w:rsidR="00524386">
        <w:rPr>
          <w:color w:val="000000" w:themeColor="text1"/>
        </w:rPr>
        <w:t> </w:t>
      </w:r>
      <w:r w:rsidR="00A3750D" w:rsidRPr="00A3750D">
        <w:rPr>
          <w:color w:val="000000" w:themeColor="text1"/>
        </w:rPr>
        <w:t>millio</w:t>
      </w:r>
      <w:r w:rsidR="00F30673" w:rsidRPr="007C0B33">
        <w:rPr>
          <w:color w:val="000000" w:themeColor="text1"/>
        </w:rPr>
        <w:t>n over 6 years.</w:t>
      </w:r>
    </w:p>
    <w:p w14:paraId="7DB32963" w14:textId="2F633F6E" w:rsidR="002174ED" w:rsidRPr="007C0B33" w:rsidRDefault="002174ED" w:rsidP="002553CE">
      <w:pPr>
        <w:numPr>
          <w:ilvl w:val="4"/>
          <w:numId w:val="11"/>
        </w:numPr>
        <w:ind w:left="709" w:hanging="709"/>
        <w:rPr>
          <w:color w:val="000000" w:themeColor="text1"/>
        </w:rPr>
      </w:pPr>
      <w:r w:rsidRPr="007C0B33">
        <w:rPr>
          <w:color w:val="000000" w:themeColor="text1"/>
        </w:rPr>
        <w:t>The</w:t>
      </w:r>
      <w:r w:rsidR="00D87DC0">
        <w:rPr>
          <w:color w:val="000000" w:themeColor="text1"/>
        </w:rPr>
        <w:t xml:space="preserve"> evaluation considered the</w:t>
      </w:r>
      <w:r w:rsidRPr="007C0B33">
        <w:rPr>
          <w:color w:val="000000" w:themeColor="text1"/>
        </w:rPr>
        <w:t xml:space="preserve"> overestimation of the number of ‘warehoused patients’ in year 1 (achieved by doubling the number of patients eligible for testing), the prevalence of </w:t>
      </w:r>
      <w:r w:rsidRPr="003B7609">
        <w:rPr>
          <w:i/>
          <w:iCs/>
          <w:color w:val="000000" w:themeColor="text1"/>
        </w:rPr>
        <w:t>ESR1</w:t>
      </w:r>
      <w:r w:rsidRPr="007C0B33">
        <w:rPr>
          <w:color w:val="000000" w:themeColor="text1"/>
        </w:rPr>
        <w:t xml:space="preserve"> variants (70%) and the extent of substitution of current PBS listed drugs has likely resulted in the financial implications being overestimated.</w:t>
      </w:r>
    </w:p>
    <w:p w14:paraId="68049A5B" w14:textId="77777777" w:rsidR="00B6696E" w:rsidRPr="0090150D" w:rsidRDefault="00B6696E" w:rsidP="002553CE">
      <w:pPr>
        <w:pStyle w:val="PBACESHeading1"/>
        <w:numPr>
          <w:ilvl w:val="0"/>
          <w:numId w:val="11"/>
        </w:numPr>
        <w:tabs>
          <w:tab w:val="clear" w:pos="1077"/>
          <w:tab w:val="left" w:pos="720"/>
        </w:tabs>
      </w:pPr>
      <w:bookmarkStart w:id="47" w:name="_Hlk76381249"/>
      <w:bookmarkStart w:id="48" w:name="_Hlk76377955"/>
      <w:r w:rsidRPr="0090150D">
        <w:lastRenderedPageBreak/>
        <w:t>PBAC Outcome</w:t>
      </w:r>
    </w:p>
    <w:p w14:paraId="3B7F081A" w14:textId="6C7E7091" w:rsidR="007E6E4D" w:rsidRPr="00AD623F" w:rsidRDefault="007E6E4D" w:rsidP="002553CE">
      <w:pPr>
        <w:numPr>
          <w:ilvl w:val="4"/>
          <w:numId w:val="11"/>
        </w:numPr>
        <w:ind w:left="709" w:hanging="709"/>
        <w:rPr>
          <w:color w:val="000000" w:themeColor="text1"/>
        </w:rPr>
      </w:pPr>
      <w:r w:rsidRPr="00AD623F">
        <w:rPr>
          <w:color w:val="000000" w:themeColor="text1"/>
        </w:rPr>
        <w:t>The PBAC did not recommend the listing of elacestrant for the treatment of patients with ER+ HER2</w:t>
      </w:r>
      <w:r w:rsidR="00441E63" w:rsidRPr="00AD623F">
        <w:rPr>
          <w:color w:val="000000" w:themeColor="text1"/>
        </w:rPr>
        <w:softHyphen/>
      </w:r>
      <w:r w:rsidR="00441E63" w:rsidRPr="00AD623F">
        <w:rPr>
          <w:color w:val="000000" w:themeColor="text1"/>
        </w:rPr>
        <w:softHyphen/>
      </w:r>
      <w:r w:rsidR="00441E63" w:rsidRPr="00AD623F">
        <w:rPr>
          <w:color w:val="000000" w:themeColor="text1"/>
        </w:rPr>
        <w:softHyphen/>
      </w:r>
      <w:r w:rsidR="00AD623F" w:rsidRPr="00AD623F">
        <w:rPr>
          <w:color w:val="000000" w:themeColor="text1"/>
        </w:rPr>
        <w:noBreakHyphen/>
      </w:r>
      <w:r w:rsidRPr="00AD623F">
        <w:rPr>
          <w:color w:val="000000" w:themeColor="text1"/>
        </w:rPr>
        <w:t xml:space="preserve"> locally advanced or metastatic breast cancer in patients whose tumours have evidence of activating </w:t>
      </w:r>
      <w:r w:rsidRPr="00282BD3">
        <w:rPr>
          <w:i/>
          <w:iCs/>
          <w:color w:val="000000" w:themeColor="text1"/>
        </w:rPr>
        <w:t>ESR1</w:t>
      </w:r>
      <w:r w:rsidRPr="00AD623F">
        <w:rPr>
          <w:color w:val="000000" w:themeColor="text1"/>
        </w:rPr>
        <w:t xml:space="preserve"> variants. The PBAC considered that </w:t>
      </w:r>
      <w:r w:rsidR="00A76B42">
        <w:rPr>
          <w:color w:val="000000" w:themeColor="text1"/>
        </w:rPr>
        <w:t>in</w:t>
      </w:r>
      <w:r w:rsidRPr="00AD623F">
        <w:rPr>
          <w:color w:val="000000" w:themeColor="text1"/>
        </w:rPr>
        <w:t xml:space="preserve"> </w:t>
      </w:r>
      <w:r w:rsidR="00110EFD">
        <w:rPr>
          <w:color w:val="000000" w:themeColor="text1"/>
        </w:rPr>
        <w:t xml:space="preserve">the </w:t>
      </w:r>
      <w:r w:rsidRPr="00AD623F">
        <w:rPr>
          <w:color w:val="000000" w:themeColor="text1"/>
        </w:rPr>
        <w:t xml:space="preserve">heavily pre-treated population included in the clinical trial for elacestrant, the </w:t>
      </w:r>
      <w:r w:rsidR="00F355BE">
        <w:rPr>
          <w:color w:val="000000" w:themeColor="text1"/>
        </w:rPr>
        <w:t>control arm</w:t>
      </w:r>
      <w:r w:rsidR="00F355BE" w:rsidRPr="00AD623F">
        <w:rPr>
          <w:color w:val="000000" w:themeColor="text1"/>
        </w:rPr>
        <w:t xml:space="preserve"> </w:t>
      </w:r>
      <w:r w:rsidRPr="00AD623F">
        <w:rPr>
          <w:color w:val="000000" w:themeColor="text1"/>
        </w:rPr>
        <w:t xml:space="preserve">of fulvestrant was inappropriate for many </w:t>
      </w:r>
      <w:r w:rsidR="00047666" w:rsidRPr="00AD623F">
        <w:rPr>
          <w:color w:val="000000" w:themeColor="text1"/>
        </w:rPr>
        <w:t>patients and</w:t>
      </w:r>
      <w:r w:rsidRPr="00AD623F">
        <w:rPr>
          <w:color w:val="000000" w:themeColor="text1"/>
        </w:rPr>
        <w:t xml:space="preserve"> was not representative of standard of care. The PBAC considered the outcomes from the pivotal trial are likely to overestimate the clinical benefit for elacestrant due to the inappropriate </w:t>
      </w:r>
      <w:r w:rsidR="00E6448C">
        <w:rPr>
          <w:color w:val="000000" w:themeColor="text1"/>
        </w:rPr>
        <w:t>comparison</w:t>
      </w:r>
      <w:r w:rsidR="008A5351">
        <w:rPr>
          <w:color w:val="000000" w:themeColor="text1"/>
        </w:rPr>
        <w:t xml:space="preserve">. </w:t>
      </w:r>
      <w:r w:rsidRPr="00AD623F">
        <w:rPr>
          <w:color w:val="000000" w:themeColor="text1"/>
        </w:rPr>
        <w:t xml:space="preserve">The PBAC considered that </w:t>
      </w:r>
      <w:r w:rsidR="00545079">
        <w:rPr>
          <w:color w:val="000000" w:themeColor="text1"/>
        </w:rPr>
        <w:t xml:space="preserve">in some patients </w:t>
      </w:r>
      <w:r w:rsidRPr="00AD623F">
        <w:rPr>
          <w:color w:val="000000" w:themeColor="text1"/>
        </w:rPr>
        <w:t xml:space="preserve">elacestrant may be useful as an oral alternative to intramuscular fulvestrant due to its different mode of administration. </w:t>
      </w:r>
      <w:r w:rsidR="00047666" w:rsidRPr="00AD623F">
        <w:rPr>
          <w:color w:val="000000" w:themeColor="text1"/>
        </w:rPr>
        <w:t>However,</w:t>
      </w:r>
      <w:r w:rsidRPr="00AD623F">
        <w:rPr>
          <w:color w:val="000000" w:themeColor="text1"/>
        </w:rPr>
        <w:t xml:space="preserve"> the PBAC considered that</w:t>
      </w:r>
      <w:r w:rsidR="003C7BE6">
        <w:rPr>
          <w:color w:val="000000" w:themeColor="text1"/>
        </w:rPr>
        <w:t>,</w:t>
      </w:r>
      <w:r w:rsidRPr="00AD623F">
        <w:rPr>
          <w:color w:val="000000" w:themeColor="text1"/>
        </w:rPr>
        <w:t xml:space="preserve"> </w:t>
      </w:r>
      <w:r w:rsidR="00C25EBB">
        <w:rPr>
          <w:color w:val="000000" w:themeColor="text1"/>
        </w:rPr>
        <w:t xml:space="preserve">due to the </w:t>
      </w:r>
      <w:r w:rsidR="003C7BE6">
        <w:rPr>
          <w:color w:val="000000" w:themeColor="text1"/>
        </w:rPr>
        <w:t xml:space="preserve">patient population included in the trial, </w:t>
      </w:r>
      <w:r w:rsidRPr="00AD623F">
        <w:rPr>
          <w:color w:val="000000" w:themeColor="text1"/>
        </w:rPr>
        <w:t xml:space="preserve">no </w:t>
      </w:r>
      <w:r w:rsidR="00EB3FF6">
        <w:rPr>
          <w:color w:val="000000" w:themeColor="text1"/>
        </w:rPr>
        <w:t>clear</w:t>
      </w:r>
      <w:r w:rsidR="004A139E">
        <w:rPr>
          <w:color w:val="000000" w:themeColor="text1"/>
        </w:rPr>
        <w:t xml:space="preserve"> PFS or OS benefit</w:t>
      </w:r>
      <w:r w:rsidRPr="00AD623F">
        <w:rPr>
          <w:color w:val="000000" w:themeColor="text1"/>
        </w:rPr>
        <w:t xml:space="preserve"> compared with </w:t>
      </w:r>
      <w:r w:rsidR="003C7BE6">
        <w:rPr>
          <w:color w:val="000000" w:themeColor="text1"/>
        </w:rPr>
        <w:t xml:space="preserve">fulvestrant </w:t>
      </w:r>
      <w:r w:rsidRPr="00AD623F">
        <w:rPr>
          <w:color w:val="000000" w:themeColor="text1"/>
        </w:rPr>
        <w:t xml:space="preserve">was supported by the evidence and therefore </w:t>
      </w:r>
      <w:r w:rsidR="001F5786">
        <w:rPr>
          <w:color w:val="000000" w:themeColor="text1"/>
        </w:rPr>
        <w:t xml:space="preserve">at </w:t>
      </w:r>
      <w:r w:rsidRPr="00AD623F">
        <w:rPr>
          <w:color w:val="000000" w:themeColor="text1"/>
        </w:rPr>
        <w:t xml:space="preserve">the </w:t>
      </w:r>
      <w:r w:rsidR="001F5786">
        <w:rPr>
          <w:color w:val="000000" w:themeColor="text1"/>
        </w:rPr>
        <w:t xml:space="preserve">proposed </w:t>
      </w:r>
      <w:r w:rsidRPr="00AD623F">
        <w:rPr>
          <w:color w:val="000000" w:themeColor="text1"/>
        </w:rPr>
        <w:t>substantially higher cost</w:t>
      </w:r>
      <w:r w:rsidR="001F5786">
        <w:rPr>
          <w:color w:val="000000" w:themeColor="text1"/>
        </w:rPr>
        <w:t xml:space="preserve">, </w:t>
      </w:r>
      <w:r w:rsidRPr="00AD623F">
        <w:rPr>
          <w:color w:val="000000" w:themeColor="text1"/>
        </w:rPr>
        <w:t>elacestrant was not considered cost</w:t>
      </w:r>
      <w:r w:rsidR="00370F9F">
        <w:rPr>
          <w:color w:val="000000" w:themeColor="text1"/>
        </w:rPr>
        <w:noBreakHyphen/>
      </w:r>
      <w:r w:rsidRPr="00AD623F">
        <w:rPr>
          <w:color w:val="000000" w:themeColor="text1"/>
        </w:rPr>
        <w:t xml:space="preserve">effective. </w:t>
      </w:r>
    </w:p>
    <w:p w14:paraId="4DDD1ED9" w14:textId="03866046" w:rsidR="00EE76BC" w:rsidRDefault="00C71DE0" w:rsidP="002553CE">
      <w:pPr>
        <w:numPr>
          <w:ilvl w:val="4"/>
          <w:numId w:val="11"/>
        </w:numPr>
        <w:ind w:left="709" w:hanging="709"/>
        <w:rPr>
          <w:color w:val="000000" w:themeColor="text1"/>
        </w:rPr>
      </w:pPr>
      <w:r>
        <w:rPr>
          <w:color w:val="000000" w:themeColor="text1"/>
        </w:rPr>
        <w:t xml:space="preserve">The PBAC </w:t>
      </w:r>
      <w:r w:rsidR="006C1324">
        <w:rPr>
          <w:color w:val="000000" w:themeColor="text1"/>
        </w:rPr>
        <w:t>considered there is a moderate clinical need for additional effective therapies in HR+/HER2 metastatic breast cancer</w:t>
      </w:r>
      <w:r w:rsidR="00E2117A">
        <w:rPr>
          <w:color w:val="000000" w:themeColor="text1"/>
        </w:rPr>
        <w:t xml:space="preserve">, particularly noting that fulvestrant has very limited efficacy and </w:t>
      </w:r>
      <w:r w:rsidR="00CB6002">
        <w:rPr>
          <w:color w:val="000000" w:themeColor="text1"/>
        </w:rPr>
        <w:t xml:space="preserve">its method of administration is </w:t>
      </w:r>
      <w:r w:rsidR="00562090">
        <w:rPr>
          <w:color w:val="000000" w:themeColor="text1"/>
        </w:rPr>
        <w:t xml:space="preserve">painful </w:t>
      </w:r>
      <w:r w:rsidR="00CB6002">
        <w:rPr>
          <w:color w:val="000000" w:themeColor="text1"/>
        </w:rPr>
        <w:t xml:space="preserve">and </w:t>
      </w:r>
      <w:r w:rsidR="006F1D9D">
        <w:rPr>
          <w:color w:val="000000" w:themeColor="text1"/>
        </w:rPr>
        <w:t xml:space="preserve">distressing for many patients, as outlined in the consumer comments. </w:t>
      </w:r>
    </w:p>
    <w:p w14:paraId="3ED017D0" w14:textId="22393E95" w:rsidR="00B6696E" w:rsidRPr="00387539" w:rsidRDefault="005B00B8" w:rsidP="002553CE">
      <w:pPr>
        <w:numPr>
          <w:ilvl w:val="4"/>
          <w:numId w:val="11"/>
        </w:numPr>
        <w:ind w:left="709" w:hanging="709"/>
        <w:rPr>
          <w:color w:val="000000" w:themeColor="text1"/>
        </w:rPr>
      </w:pPr>
      <w:r w:rsidRPr="00387539">
        <w:rPr>
          <w:color w:val="000000" w:themeColor="text1"/>
        </w:rPr>
        <w:t>The PBAC considered that the clinical criteria in the PBS restriction for elacestrant should specify</w:t>
      </w:r>
      <w:r w:rsidR="0095457F" w:rsidRPr="00387539">
        <w:rPr>
          <w:color w:val="000000" w:themeColor="text1"/>
        </w:rPr>
        <w:t xml:space="preserve"> </w:t>
      </w:r>
      <w:r w:rsidRPr="00387539">
        <w:rPr>
          <w:color w:val="000000" w:themeColor="text1"/>
        </w:rPr>
        <w:t>‘estrogen receptor positive’</w:t>
      </w:r>
      <w:r w:rsidR="0095457F" w:rsidRPr="00387539">
        <w:rPr>
          <w:color w:val="000000" w:themeColor="text1"/>
        </w:rPr>
        <w:t xml:space="preserve"> breast cancer, consistent with the mechanism of action of elacestrant (ER degrader)</w:t>
      </w:r>
      <w:r w:rsidR="00081383" w:rsidRPr="00387539">
        <w:rPr>
          <w:color w:val="000000" w:themeColor="text1"/>
        </w:rPr>
        <w:t xml:space="preserve">, the TGA indication, and the clinical trial population included in EMERALD. </w:t>
      </w:r>
      <w:r w:rsidR="00E511C8" w:rsidRPr="00387539">
        <w:rPr>
          <w:color w:val="000000" w:themeColor="text1"/>
        </w:rPr>
        <w:t xml:space="preserve">The PBAC also agreed with the ESCs that the requirement for the </w:t>
      </w:r>
      <w:r w:rsidR="00E511C8" w:rsidRPr="00387539">
        <w:rPr>
          <w:i/>
          <w:iCs/>
          <w:color w:val="000000" w:themeColor="text1"/>
        </w:rPr>
        <w:t>ESR1</w:t>
      </w:r>
      <w:r w:rsidR="00E511C8" w:rsidRPr="00387539">
        <w:rPr>
          <w:color w:val="000000" w:themeColor="text1"/>
        </w:rPr>
        <w:t xml:space="preserve"> variant to be an ‘activating’ variant should be added to the criterion regarding </w:t>
      </w:r>
      <w:r w:rsidR="00E511C8" w:rsidRPr="00387539">
        <w:rPr>
          <w:i/>
          <w:iCs/>
          <w:color w:val="000000" w:themeColor="text1"/>
        </w:rPr>
        <w:t>ESR1</w:t>
      </w:r>
      <w:r w:rsidR="00E511C8" w:rsidRPr="00387539">
        <w:rPr>
          <w:color w:val="000000" w:themeColor="text1"/>
        </w:rPr>
        <w:t xml:space="preserve"> status.</w:t>
      </w:r>
      <w:r w:rsidR="000232A4" w:rsidRPr="00387539">
        <w:rPr>
          <w:color w:val="000000" w:themeColor="text1"/>
        </w:rPr>
        <w:t xml:space="preserve"> The PBAC considered that it would be reasonable to exclude the criteria relating to ECOG status </w:t>
      </w:r>
      <w:r w:rsidR="00054A99" w:rsidRPr="00387539">
        <w:rPr>
          <w:color w:val="000000" w:themeColor="text1"/>
        </w:rPr>
        <w:t xml:space="preserve">to allow clinical judgement regarding patient performance. The PBAC considered it would be reasonable for the restrictions </w:t>
      </w:r>
      <w:r w:rsidR="00475257" w:rsidRPr="00387539">
        <w:rPr>
          <w:color w:val="000000" w:themeColor="text1"/>
        </w:rPr>
        <w:t>to allow treatment of patients who had received ET+CDK4/6i in the adjuvant setting</w:t>
      </w:r>
      <w:r w:rsidR="00F74551" w:rsidRPr="00387539">
        <w:rPr>
          <w:color w:val="000000" w:themeColor="text1"/>
        </w:rPr>
        <w:t xml:space="preserve">, as this is consistent with the population in the EMERALD trial and is likely to become </w:t>
      </w:r>
      <w:r w:rsidR="00387539" w:rsidRPr="00387539">
        <w:rPr>
          <w:color w:val="000000" w:themeColor="text1"/>
        </w:rPr>
        <w:t>increasingly</w:t>
      </w:r>
      <w:r w:rsidR="00F74551" w:rsidRPr="00387539">
        <w:rPr>
          <w:color w:val="000000" w:themeColor="text1"/>
        </w:rPr>
        <w:t xml:space="preserve"> common</w:t>
      </w:r>
      <w:r w:rsidR="00387539" w:rsidRPr="00387539">
        <w:rPr>
          <w:color w:val="000000" w:themeColor="text1"/>
        </w:rPr>
        <w:t>.</w:t>
      </w:r>
    </w:p>
    <w:p w14:paraId="4F0F0574" w14:textId="315B3252" w:rsidR="009A459C" w:rsidRPr="008603BC" w:rsidRDefault="009A459C" w:rsidP="002553CE">
      <w:pPr>
        <w:numPr>
          <w:ilvl w:val="4"/>
          <w:numId w:val="11"/>
        </w:numPr>
        <w:ind w:left="709" w:hanging="709"/>
        <w:rPr>
          <w:color w:val="000000" w:themeColor="text1"/>
        </w:rPr>
      </w:pPr>
      <w:r w:rsidRPr="00370F9F">
        <w:rPr>
          <w:color w:val="000000" w:themeColor="text1"/>
        </w:rPr>
        <w:t xml:space="preserve">The PBAC noted that as an integrated codependent submission, the proposed MBS item for </w:t>
      </w:r>
      <w:r w:rsidRPr="00925AD4">
        <w:rPr>
          <w:i/>
          <w:iCs/>
          <w:color w:val="000000" w:themeColor="text1"/>
        </w:rPr>
        <w:t>ESR1</w:t>
      </w:r>
      <w:r w:rsidRPr="00370F9F">
        <w:rPr>
          <w:color w:val="000000" w:themeColor="text1"/>
        </w:rPr>
        <w:t xml:space="preserve"> testing would be considered at the April 2025 MSAC meeting.</w:t>
      </w:r>
      <w:r>
        <w:rPr>
          <w:color w:val="000000" w:themeColor="text1"/>
        </w:rPr>
        <w:t xml:space="preserve"> </w:t>
      </w:r>
      <w:r w:rsidR="00C672DB">
        <w:rPr>
          <w:color w:val="000000" w:themeColor="text1"/>
        </w:rPr>
        <w:t xml:space="preserve">The PBAC considered that there </w:t>
      </w:r>
      <w:r w:rsidR="00C672DB" w:rsidRPr="00C672DB">
        <w:rPr>
          <w:color w:val="000000" w:themeColor="text1"/>
        </w:rPr>
        <w:t>appeared to be minimal benefit in the non-</w:t>
      </w:r>
      <w:r w:rsidR="00C672DB" w:rsidRPr="00C672DB">
        <w:rPr>
          <w:i/>
          <w:iCs/>
          <w:color w:val="000000" w:themeColor="text1"/>
        </w:rPr>
        <w:t>ESR1</w:t>
      </w:r>
      <w:r w:rsidR="00C672DB" w:rsidRPr="00C672DB">
        <w:rPr>
          <w:color w:val="000000" w:themeColor="text1"/>
        </w:rPr>
        <w:t xml:space="preserve"> subgroup and the clinical rationale and mechanism of action for elacestrant supported the claim that </w:t>
      </w:r>
      <w:r w:rsidR="00C672DB" w:rsidRPr="00C672DB">
        <w:rPr>
          <w:i/>
          <w:iCs/>
          <w:color w:val="000000" w:themeColor="text1"/>
        </w:rPr>
        <w:t>ESR1</w:t>
      </w:r>
      <w:r w:rsidR="00C672DB" w:rsidRPr="00C672DB">
        <w:rPr>
          <w:color w:val="000000" w:themeColor="text1"/>
        </w:rPr>
        <w:t xml:space="preserve"> is likely to be a predictive biomarker for treatment with elacestrant. </w:t>
      </w:r>
      <w:r w:rsidR="000119E3">
        <w:rPr>
          <w:color w:val="000000" w:themeColor="text1"/>
        </w:rPr>
        <w:t xml:space="preserve">The PBAC noted that there is evidence that </w:t>
      </w:r>
      <w:r w:rsidR="0030102C">
        <w:rPr>
          <w:color w:val="000000" w:themeColor="text1"/>
        </w:rPr>
        <w:t xml:space="preserve">AIs are ineffective in patients with activating </w:t>
      </w:r>
      <w:r w:rsidR="0030102C" w:rsidRPr="00394FA7">
        <w:rPr>
          <w:i/>
          <w:iCs/>
          <w:color w:val="000000" w:themeColor="text1"/>
        </w:rPr>
        <w:t>ESR1</w:t>
      </w:r>
      <w:r w:rsidR="0030102C">
        <w:rPr>
          <w:color w:val="000000" w:themeColor="text1"/>
        </w:rPr>
        <w:t xml:space="preserve"> variants, and that fulvestrant and tamoxifen are less effective in these patients. </w:t>
      </w:r>
      <w:r w:rsidR="00533C3C">
        <w:rPr>
          <w:color w:val="000000" w:themeColor="text1"/>
        </w:rPr>
        <w:t>T</w:t>
      </w:r>
      <w:r w:rsidR="00C672DB">
        <w:rPr>
          <w:color w:val="000000" w:themeColor="text1"/>
        </w:rPr>
        <w:t xml:space="preserve">he PBAC noted that </w:t>
      </w:r>
      <w:r w:rsidR="004772A5">
        <w:rPr>
          <w:color w:val="000000" w:themeColor="text1"/>
        </w:rPr>
        <w:t xml:space="preserve">further input from MSAC was required </w:t>
      </w:r>
      <w:r w:rsidR="00EC74C1">
        <w:rPr>
          <w:color w:val="000000" w:themeColor="text1"/>
        </w:rPr>
        <w:t xml:space="preserve">regarding the suitability of the proposed MBS item for </w:t>
      </w:r>
      <w:r w:rsidR="00EC74C1" w:rsidRPr="006D61FE">
        <w:rPr>
          <w:i/>
          <w:iCs/>
          <w:color w:val="000000" w:themeColor="text1"/>
        </w:rPr>
        <w:t>ESR1</w:t>
      </w:r>
      <w:r w:rsidR="00EC74C1">
        <w:rPr>
          <w:color w:val="000000" w:themeColor="text1"/>
        </w:rPr>
        <w:t xml:space="preserve"> testing</w:t>
      </w:r>
      <w:r w:rsidR="008603BC">
        <w:rPr>
          <w:color w:val="000000" w:themeColor="text1"/>
        </w:rPr>
        <w:t>.</w:t>
      </w:r>
    </w:p>
    <w:p w14:paraId="7B8D0A83" w14:textId="1C2886DC" w:rsidR="00106AF5" w:rsidRDefault="006A75F8" w:rsidP="002553CE">
      <w:pPr>
        <w:numPr>
          <w:ilvl w:val="4"/>
          <w:numId w:val="11"/>
        </w:numPr>
        <w:ind w:left="709" w:hanging="709"/>
        <w:rPr>
          <w:color w:val="000000" w:themeColor="text1"/>
        </w:rPr>
      </w:pPr>
      <w:r>
        <w:rPr>
          <w:color w:val="000000" w:themeColor="text1"/>
        </w:rPr>
        <w:t>The PBAC considered that</w:t>
      </w:r>
      <w:r w:rsidR="005615E5">
        <w:rPr>
          <w:color w:val="000000" w:themeColor="text1"/>
        </w:rPr>
        <w:t xml:space="preserve"> </w:t>
      </w:r>
      <w:r>
        <w:rPr>
          <w:color w:val="000000" w:themeColor="text1"/>
        </w:rPr>
        <w:t>there may be a clinical place for elacestrant</w:t>
      </w:r>
      <w:r w:rsidR="000E232B">
        <w:rPr>
          <w:color w:val="000000" w:themeColor="text1"/>
        </w:rPr>
        <w:t xml:space="preserve"> as an oral alternative to fulvestrant</w:t>
      </w:r>
      <w:r w:rsidR="00E119BF">
        <w:rPr>
          <w:color w:val="000000" w:themeColor="text1"/>
        </w:rPr>
        <w:t xml:space="preserve"> for patients</w:t>
      </w:r>
      <w:r w:rsidR="00550B0F">
        <w:rPr>
          <w:color w:val="000000" w:themeColor="text1"/>
        </w:rPr>
        <w:t xml:space="preserve"> naïve to fulvestrant</w:t>
      </w:r>
      <w:r w:rsidR="002B3D49">
        <w:rPr>
          <w:color w:val="000000" w:themeColor="text1"/>
        </w:rPr>
        <w:t xml:space="preserve">, </w:t>
      </w:r>
      <w:r w:rsidR="00FE3826">
        <w:rPr>
          <w:color w:val="000000" w:themeColor="text1"/>
        </w:rPr>
        <w:t>both drugs being SERDs</w:t>
      </w:r>
      <w:r w:rsidR="00AA68B6">
        <w:rPr>
          <w:color w:val="000000" w:themeColor="text1"/>
        </w:rPr>
        <w:t xml:space="preserve">. </w:t>
      </w:r>
      <w:r w:rsidR="003A0132">
        <w:rPr>
          <w:color w:val="000000" w:themeColor="text1"/>
        </w:rPr>
        <w:t xml:space="preserve">However, the PBAC considered that </w:t>
      </w:r>
      <w:r w:rsidR="00E119BF">
        <w:rPr>
          <w:color w:val="000000" w:themeColor="text1"/>
        </w:rPr>
        <w:t>the</w:t>
      </w:r>
      <w:r w:rsidR="00766883">
        <w:rPr>
          <w:color w:val="000000" w:themeColor="text1"/>
        </w:rPr>
        <w:t>re was no</w:t>
      </w:r>
      <w:r w:rsidR="00E119BF">
        <w:rPr>
          <w:color w:val="000000" w:themeColor="text1"/>
        </w:rPr>
        <w:t xml:space="preserve"> clinical evidence </w:t>
      </w:r>
      <w:r w:rsidR="00550B0F">
        <w:rPr>
          <w:color w:val="000000" w:themeColor="text1"/>
        </w:rPr>
        <w:t xml:space="preserve">presented </w:t>
      </w:r>
      <w:r w:rsidR="00766883">
        <w:rPr>
          <w:color w:val="000000" w:themeColor="text1"/>
        </w:rPr>
        <w:t xml:space="preserve">to </w:t>
      </w:r>
      <w:r w:rsidR="00766883">
        <w:rPr>
          <w:color w:val="000000" w:themeColor="text1"/>
        </w:rPr>
        <w:lastRenderedPageBreak/>
        <w:t>support</w:t>
      </w:r>
      <w:r w:rsidR="00E119BF">
        <w:rPr>
          <w:color w:val="000000" w:themeColor="text1"/>
        </w:rPr>
        <w:t xml:space="preserve"> </w:t>
      </w:r>
      <w:r w:rsidR="006E3759">
        <w:rPr>
          <w:color w:val="000000" w:themeColor="text1"/>
        </w:rPr>
        <w:t xml:space="preserve">use of elacestrant </w:t>
      </w:r>
      <w:r w:rsidR="002A6053">
        <w:rPr>
          <w:color w:val="000000" w:themeColor="text1"/>
        </w:rPr>
        <w:t>in place of</w:t>
      </w:r>
      <w:r w:rsidR="006E3759">
        <w:rPr>
          <w:color w:val="000000" w:themeColor="text1"/>
        </w:rPr>
        <w:t xml:space="preserve"> chemotherapy</w:t>
      </w:r>
      <w:r w:rsidR="00655270">
        <w:rPr>
          <w:color w:val="000000" w:themeColor="text1"/>
        </w:rPr>
        <w:t xml:space="preserve"> </w:t>
      </w:r>
      <w:r w:rsidR="00A04EE0">
        <w:rPr>
          <w:color w:val="000000" w:themeColor="text1"/>
        </w:rPr>
        <w:t>or alternative targeted treatments</w:t>
      </w:r>
      <w:r w:rsidR="00D539CB">
        <w:rPr>
          <w:color w:val="000000" w:themeColor="text1"/>
        </w:rPr>
        <w:t>.</w:t>
      </w:r>
      <w:r w:rsidR="00B11B55">
        <w:rPr>
          <w:color w:val="000000" w:themeColor="text1"/>
        </w:rPr>
        <w:t xml:space="preserve"> </w:t>
      </w:r>
      <w:r w:rsidR="00217288">
        <w:rPr>
          <w:color w:val="000000" w:themeColor="text1"/>
        </w:rPr>
        <w:t xml:space="preserve">The PBAC considered that elacestrant was unlikely to be the best treatment choice for patients with more than one line of </w:t>
      </w:r>
      <w:r w:rsidR="00D46459">
        <w:rPr>
          <w:color w:val="000000" w:themeColor="text1"/>
        </w:rPr>
        <w:t>prior endocrine therapy</w:t>
      </w:r>
      <w:r w:rsidR="00901E53">
        <w:rPr>
          <w:color w:val="000000" w:themeColor="text1"/>
        </w:rPr>
        <w:t xml:space="preserve"> or with visceral metastases. </w:t>
      </w:r>
    </w:p>
    <w:p w14:paraId="5BA38CF4" w14:textId="59FFA80F" w:rsidR="00B6696E" w:rsidRPr="00FB76BC" w:rsidRDefault="00F55316" w:rsidP="002553CE">
      <w:pPr>
        <w:numPr>
          <w:ilvl w:val="4"/>
          <w:numId w:val="11"/>
        </w:numPr>
        <w:ind w:left="709" w:hanging="709"/>
        <w:rPr>
          <w:color w:val="000000" w:themeColor="text1"/>
        </w:rPr>
      </w:pPr>
      <w:r w:rsidRPr="00F97E60">
        <w:rPr>
          <w:color w:val="000000" w:themeColor="text1"/>
        </w:rPr>
        <w:t>The</w:t>
      </w:r>
      <w:r>
        <w:rPr>
          <w:color w:val="000000" w:themeColor="text1"/>
        </w:rPr>
        <w:t xml:space="preserve"> PBAC considered that the treatment algorithm </w:t>
      </w:r>
      <w:r w:rsidR="00380B84">
        <w:rPr>
          <w:color w:val="000000" w:themeColor="text1"/>
        </w:rPr>
        <w:t xml:space="preserve">in the 2L setting </w:t>
      </w:r>
      <w:r>
        <w:rPr>
          <w:color w:val="000000" w:themeColor="text1"/>
        </w:rPr>
        <w:t>was complex as the</w:t>
      </w:r>
      <w:r w:rsidRPr="00F97E60">
        <w:rPr>
          <w:color w:val="000000" w:themeColor="text1"/>
        </w:rPr>
        <w:t xml:space="preserve">re </w:t>
      </w:r>
      <w:r w:rsidR="00EC0B16">
        <w:rPr>
          <w:color w:val="000000" w:themeColor="text1"/>
        </w:rPr>
        <w:t>is</w:t>
      </w:r>
      <w:r w:rsidRPr="00F97E60">
        <w:rPr>
          <w:color w:val="000000" w:themeColor="text1"/>
        </w:rPr>
        <w:t xml:space="preserve"> a range of different treatment options and no clear SOC. </w:t>
      </w:r>
      <w:r w:rsidR="00F97E60" w:rsidRPr="00F97E60">
        <w:rPr>
          <w:color w:val="000000" w:themeColor="text1"/>
        </w:rPr>
        <w:t xml:space="preserve">There are subgroups of patients for whom a different therapy could be the appropriate comparator depending on the previous treatments or other biomarkers, as well as the line of treatment for elacestrant. </w:t>
      </w:r>
      <w:r w:rsidR="001534D6">
        <w:rPr>
          <w:color w:val="000000" w:themeColor="text1"/>
        </w:rPr>
        <w:t>The PBAC considered that if the clinical place for elacestrant is in patients naïve to fulvestrant</w:t>
      </w:r>
      <w:r w:rsidR="005F2CBE">
        <w:rPr>
          <w:color w:val="000000" w:themeColor="text1"/>
        </w:rPr>
        <w:t xml:space="preserve"> (likely to be endocrine sensitive), and</w:t>
      </w:r>
      <w:r w:rsidR="00A33751">
        <w:rPr>
          <w:color w:val="000000" w:themeColor="text1"/>
        </w:rPr>
        <w:t xml:space="preserve"> </w:t>
      </w:r>
      <w:r w:rsidR="005F2CBE">
        <w:rPr>
          <w:color w:val="000000" w:themeColor="text1"/>
        </w:rPr>
        <w:t>with no visceral crisis,</w:t>
      </w:r>
      <w:r w:rsidR="001534D6">
        <w:rPr>
          <w:color w:val="000000" w:themeColor="text1"/>
        </w:rPr>
        <w:t xml:space="preserve"> </w:t>
      </w:r>
      <w:r w:rsidR="00F97E60" w:rsidRPr="00F97E60">
        <w:rPr>
          <w:color w:val="000000" w:themeColor="text1"/>
        </w:rPr>
        <w:t xml:space="preserve">the nominated comparator of ET monotherapy is </w:t>
      </w:r>
      <w:r w:rsidR="0007304D">
        <w:rPr>
          <w:color w:val="000000" w:themeColor="text1"/>
        </w:rPr>
        <w:t>appropriate</w:t>
      </w:r>
      <w:r w:rsidR="005F2CBE">
        <w:rPr>
          <w:color w:val="000000" w:themeColor="text1"/>
        </w:rPr>
        <w:t xml:space="preserve">. </w:t>
      </w:r>
      <w:r w:rsidR="007308D1">
        <w:rPr>
          <w:color w:val="000000" w:themeColor="text1"/>
        </w:rPr>
        <w:t xml:space="preserve">However, for the proposed population, and for </w:t>
      </w:r>
      <w:r w:rsidR="00431E5E">
        <w:rPr>
          <w:color w:val="000000" w:themeColor="text1"/>
        </w:rPr>
        <w:t xml:space="preserve">patients included in the pivotal trial (EMERALD) </w:t>
      </w:r>
      <w:r w:rsidR="00F97E60" w:rsidRPr="00F97E60">
        <w:rPr>
          <w:color w:val="000000" w:themeColor="text1"/>
        </w:rPr>
        <w:t>ET monotherapy was not representative</w:t>
      </w:r>
      <w:r w:rsidR="00D86B11">
        <w:rPr>
          <w:color w:val="000000" w:themeColor="text1"/>
        </w:rPr>
        <w:t xml:space="preserve"> of</w:t>
      </w:r>
      <w:r w:rsidR="00F97E60" w:rsidRPr="00F97E60">
        <w:rPr>
          <w:color w:val="000000" w:themeColor="text1"/>
        </w:rPr>
        <w:t xml:space="preserve"> SOC as other viable options </w:t>
      </w:r>
      <w:r w:rsidR="00431E5E">
        <w:rPr>
          <w:color w:val="000000" w:themeColor="text1"/>
        </w:rPr>
        <w:t>would</w:t>
      </w:r>
      <w:r w:rsidR="00F97E60" w:rsidRPr="00F97E60">
        <w:rPr>
          <w:color w:val="000000" w:themeColor="text1"/>
        </w:rPr>
        <w:t xml:space="preserve"> be preferred </w:t>
      </w:r>
      <w:r w:rsidR="00431E5E">
        <w:rPr>
          <w:color w:val="000000" w:themeColor="text1"/>
        </w:rPr>
        <w:t xml:space="preserve">for many patients </w:t>
      </w:r>
      <w:r w:rsidR="00F97E60" w:rsidRPr="00F97E60">
        <w:rPr>
          <w:color w:val="000000" w:themeColor="text1"/>
        </w:rPr>
        <w:t xml:space="preserve">due to improved efficacy compared with </w:t>
      </w:r>
      <w:r w:rsidR="000A1189">
        <w:rPr>
          <w:color w:val="000000" w:themeColor="text1"/>
        </w:rPr>
        <w:t>ET</w:t>
      </w:r>
      <w:r w:rsidR="00F97E60" w:rsidRPr="00F97E60">
        <w:rPr>
          <w:color w:val="000000" w:themeColor="text1"/>
        </w:rPr>
        <w:t xml:space="preserve"> monotherapy</w:t>
      </w:r>
      <w:r w:rsidR="00A44DC6">
        <w:rPr>
          <w:color w:val="000000" w:themeColor="text1"/>
        </w:rPr>
        <w:t xml:space="preserve">. </w:t>
      </w:r>
    </w:p>
    <w:p w14:paraId="148BE4BD" w14:textId="416479D9" w:rsidR="005D0B86" w:rsidRPr="00C268E4" w:rsidRDefault="001028BA" w:rsidP="002553CE">
      <w:pPr>
        <w:numPr>
          <w:ilvl w:val="4"/>
          <w:numId w:val="11"/>
        </w:numPr>
        <w:ind w:left="709" w:hanging="709"/>
        <w:rPr>
          <w:color w:val="000000" w:themeColor="text1"/>
        </w:rPr>
      </w:pPr>
      <w:bookmarkStart w:id="49" w:name="_Ref194661046"/>
      <w:r w:rsidRPr="006137FD">
        <w:rPr>
          <w:color w:val="000000" w:themeColor="text1"/>
        </w:rPr>
        <w:t xml:space="preserve">The PBAC noted that the submission was based on </w:t>
      </w:r>
      <w:r w:rsidR="00454D1D" w:rsidRPr="006137FD">
        <w:rPr>
          <w:color w:val="000000" w:themeColor="text1"/>
        </w:rPr>
        <w:t xml:space="preserve">the </w:t>
      </w:r>
      <w:r w:rsidRPr="006137FD">
        <w:rPr>
          <w:color w:val="000000" w:themeColor="text1"/>
        </w:rPr>
        <w:t>EMERALD</w:t>
      </w:r>
      <w:r w:rsidR="00454D1D" w:rsidRPr="006137FD">
        <w:rPr>
          <w:color w:val="000000" w:themeColor="text1"/>
        </w:rPr>
        <w:t xml:space="preserve"> trial, </w:t>
      </w:r>
      <w:r w:rsidRPr="006137FD">
        <w:rPr>
          <w:color w:val="000000" w:themeColor="text1"/>
        </w:rPr>
        <w:t xml:space="preserve">a randomised, Phase 3 clinical trial of elacestrant versus </w:t>
      </w:r>
      <w:r w:rsidR="00A31075">
        <w:rPr>
          <w:color w:val="000000" w:themeColor="text1"/>
        </w:rPr>
        <w:t>ET monotherapy</w:t>
      </w:r>
      <w:r w:rsidRPr="006137FD">
        <w:rPr>
          <w:color w:val="000000" w:themeColor="text1"/>
        </w:rPr>
        <w:t xml:space="preserve"> in patients with ER+/HER2- mBC who had disease progression following 1L or 2L treatment with a CDK4/6 inhibitor and ET. Comparative efficacy between treatment arms was analysed in the whole trial </w:t>
      </w:r>
      <w:r w:rsidR="00DE4AB7" w:rsidRPr="006137FD">
        <w:rPr>
          <w:color w:val="000000" w:themeColor="text1"/>
        </w:rPr>
        <w:t xml:space="preserve">(ITT) </w:t>
      </w:r>
      <w:r w:rsidRPr="006137FD">
        <w:rPr>
          <w:color w:val="000000" w:themeColor="text1"/>
        </w:rPr>
        <w:t xml:space="preserve">population and in patients with a detectable </w:t>
      </w:r>
      <w:r w:rsidRPr="006137FD">
        <w:rPr>
          <w:i/>
          <w:iCs/>
          <w:color w:val="000000" w:themeColor="text1"/>
        </w:rPr>
        <w:t>ESR1</w:t>
      </w:r>
      <w:r w:rsidRPr="006137FD">
        <w:rPr>
          <w:color w:val="000000" w:themeColor="text1"/>
        </w:rPr>
        <w:t xml:space="preserve"> variant. </w:t>
      </w:r>
      <w:r w:rsidR="006D6C5E" w:rsidRPr="006137FD">
        <w:rPr>
          <w:color w:val="000000" w:themeColor="text1"/>
        </w:rPr>
        <w:t xml:space="preserve">The PBAC noted that the EMERALD trial included a comparator arm described as representing SOC, consisting of investigators choice of: fulvestrant, anastrozole, letrozole or exemestane. </w:t>
      </w:r>
      <w:r w:rsidR="005D0B86">
        <w:rPr>
          <w:color w:val="000000" w:themeColor="text1"/>
        </w:rPr>
        <w:t xml:space="preserve">In the SOC arm 70% of patients received fulvestrant and 30% received an AI. In the </w:t>
      </w:r>
      <w:r w:rsidR="005D0B86" w:rsidRPr="00B97E96">
        <w:rPr>
          <w:i/>
          <w:iCs/>
          <w:color w:val="000000" w:themeColor="text1"/>
        </w:rPr>
        <w:t>ESR1</w:t>
      </w:r>
      <w:r w:rsidR="005D0B86">
        <w:rPr>
          <w:color w:val="000000" w:themeColor="text1"/>
        </w:rPr>
        <w:t xml:space="preserve"> variant subgroup 38% of patients had 2 prior lines of ET, 25% had prior chemotherapy</w:t>
      </w:r>
      <w:r w:rsidR="00D7123A">
        <w:rPr>
          <w:color w:val="000000" w:themeColor="text1"/>
        </w:rPr>
        <w:t>,</w:t>
      </w:r>
      <w:r w:rsidR="005D0B86">
        <w:rPr>
          <w:color w:val="000000" w:themeColor="text1"/>
        </w:rPr>
        <w:t xml:space="preserve"> and 73% had visceral metastases. The PBAC noted that 60% of the AI control arm had already received a prior AI (strongly predicting resistance). The PBAC considered that retreatment with an AI following progression is not clinically appropriate and would be expected to be ineffective. Further, for patients with 2 lines of prior ET or patients with visceral metastases, endocrine monotherapy would be expected to be ineffective and equivalent to placebo rather than SOC. </w:t>
      </w:r>
      <w:r w:rsidR="001F76D3">
        <w:rPr>
          <w:color w:val="000000" w:themeColor="text1"/>
        </w:rPr>
        <w:t>T</w:t>
      </w:r>
      <w:r w:rsidR="005D0B86">
        <w:rPr>
          <w:color w:val="000000" w:themeColor="text1"/>
        </w:rPr>
        <w:t xml:space="preserve">he PBAC considered that the EMERALD trial is likely to overestimate the benefit for elacestrant compared to SOC as the comparator arm was </w:t>
      </w:r>
      <w:r w:rsidR="001F76D3">
        <w:rPr>
          <w:color w:val="000000" w:themeColor="text1"/>
        </w:rPr>
        <w:t xml:space="preserve">suboptimal </w:t>
      </w:r>
      <w:r w:rsidR="002A08BD">
        <w:rPr>
          <w:color w:val="000000" w:themeColor="text1"/>
        </w:rPr>
        <w:t xml:space="preserve">and </w:t>
      </w:r>
      <w:r w:rsidR="005D0B86">
        <w:rPr>
          <w:color w:val="000000" w:themeColor="text1"/>
        </w:rPr>
        <w:t>expected to be ineffective for a substantial proportion of patients.</w:t>
      </w:r>
      <w:bookmarkEnd w:id="49"/>
      <w:r w:rsidR="005D0B86">
        <w:rPr>
          <w:color w:val="000000" w:themeColor="text1"/>
        </w:rPr>
        <w:t xml:space="preserve"> </w:t>
      </w:r>
    </w:p>
    <w:p w14:paraId="0EF4D90B" w14:textId="0648E2AC" w:rsidR="005323D1" w:rsidRPr="008423D9" w:rsidRDefault="00276022" w:rsidP="002553CE">
      <w:pPr>
        <w:numPr>
          <w:ilvl w:val="4"/>
          <w:numId w:val="11"/>
        </w:numPr>
        <w:ind w:left="709" w:hanging="709"/>
        <w:rPr>
          <w:color w:val="000000" w:themeColor="text1"/>
        </w:rPr>
      </w:pPr>
      <w:r>
        <w:rPr>
          <w:color w:val="000000" w:themeColor="text1"/>
        </w:rPr>
        <w:t>In the EMERALD trial, i</w:t>
      </w:r>
      <w:r w:rsidR="005323D1" w:rsidRPr="008423D9">
        <w:rPr>
          <w:color w:val="000000" w:themeColor="text1"/>
        </w:rPr>
        <w:t xml:space="preserve">n patients with </w:t>
      </w:r>
      <w:r w:rsidR="005323D1" w:rsidRPr="008423D9">
        <w:rPr>
          <w:i/>
          <w:iCs/>
          <w:color w:val="000000" w:themeColor="text1"/>
        </w:rPr>
        <w:t>ESR1</w:t>
      </w:r>
      <w:r w:rsidR="005323D1" w:rsidRPr="008423D9">
        <w:rPr>
          <w:color w:val="000000" w:themeColor="text1"/>
        </w:rPr>
        <w:t xml:space="preserve"> variant tumours, elacestrant was associated with a statistically significant improvement in PFS, reducing the risk of disease progression or death by 45% compared to </w:t>
      </w:r>
      <w:r>
        <w:rPr>
          <w:color w:val="000000" w:themeColor="text1"/>
        </w:rPr>
        <w:t>ET monotherapy</w:t>
      </w:r>
      <w:r w:rsidR="005323D1" w:rsidRPr="008423D9">
        <w:rPr>
          <w:color w:val="000000" w:themeColor="text1"/>
        </w:rPr>
        <w:t xml:space="preserve"> (HR 0.546 [95% CI: 0.387 to 0.768]. The median PFS was 3.</w:t>
      </w:r>
      <w:r w:rsidR="00B57FF8" w:rsidRPr="008423D9">
        <w:rPr>
          <w:color w:val="000000" w:themeColor="text1"/>
        </w:rPr>
        <w:t xml:space="preserve">8 </w:t>
      </w:r>
      <w:r w:rsidR="005323D1" w:rsidRPr="008423D9">
        <w:rPr>
          <w:color w:val="000000" w:themeColor="text1"/>
        </w:rPr>
        <w:t>months for the elacestrant group compared to 1.</w:t>
      </w:r>
      <w:r w:rsidR="00B57FF8" w:rsidRPr="008423D9">
        <w:rPr>
          <w:color w:val="000000" w:themeColor="text1"/>
        </w:rPr>
        <w:t>9</w:t>
      </w:r>
      <w:r w:rsidR="005323D1" w:rsidRPr="008423D9">
        <w:rPr>
          <w:color w:val="000000" w:themeColor="text1"/>
        </w:rPr>
        <w:t xml:space="preserve"> months in the </w:t>
      </w:r>
      <w:r>
        <w:rPr>
          <w:color w:val="000000" w:themeColor="text1"/>
        </w:rPr>
        <w:t>ET monotherapy</w:t>
      </w:r>
      <w:r w:rsidR="005323D1" w:rsidRPr="008423D9">
        <w:rPr>
          <w:color w:val="000000" w:themeColor="text1"/>
        </w:rPr>
        <w:t xml:space="preserve"> group.</w:t>
      </w:r>
      <w:r w:rsidR="003F2647" w:rsidRPr="008423D9">
        <w:rPr>
          <w:color w:val="000000" w:themeColor="text1"/>
        </w:rPr>
        <w:t xml:space="preserve"> The pre-PBAC response stated that the initial rapid drop of the PFS KM curve in both arms is due to the inclusion of heavily pre-treated patients, including those with prior exposure to chemotherapy, fulvestrant, and patients who have primary endocrine resistance and are expected to progress rapidly. As such, at the median point (50% progression) the curves have only just begun to diverge. </w:t>
      </w:r>
      <w:r w:rsidR="008423D9" w:rsidRPr="008423D9">
        <w:rPr>
          <w:color w:val="000000" w:themeColor="text1"/>
        </w:rPr>
        <w:t xml:space="preserve">The PBAC considered that the inclusion of heavily pre-treated </w:t>
      </w:r>
      <w:r w:rsidR="008423D9" w:rsidRPr="008423D9">
        <w:rPr>
          <w:color w:val="000000" w:themeColor="text1"/>
        </w:rPr>
        <w:lastRenderedPageBreak/>
        <w:t>patients made it difficult to interpret the PFS benefit</w:t>
      </w:r>
      <w:r w:rsidR="00643C3F">
        <w:rPr>
          <w:color w:val="000000" w:themeColor="text1"/>
        </w:rPr>
        <w:t xml:space="preserve"> for elacestrant</w:t>
      </w:r>
      <w:r w:rsidR="003917D2">
        <w:rPr>
          <w:color w:val="000000" w:themeColor="text1"/>
        </w:rPr>
        <w:t xml:space="preserve"> and </w:t>
      </w:r>
      <w:r w:rsidR="006413C3">
        <w:rPr>
          <w:color w:val="000000" w:themeColor="text1"/>
        </w:rPr>
        <w:t>the applicability of the trial data to Australian clinical practice was uncertain</w:t>
      </w:r>
      <w:r w:rsidR="008423D9" w:rsidRPr="008423D9">
        <w:rPr>
          <w:color w:val="000000" w:themeColor="text1"/>
        </w:rPr>
        <w:t>. The PBAC considered that the PFS improvement compared to endocrine monotherapy was modest. The</w:t>
      </w:r>
      <w:r w:rsidR="0086430E">
        <w:rPr>
          <w:color w:val="000000" w:themeColor="text1"/>
        </w:rPr>
        <w:t xml:space="preserve"> PBAC noted that the</w:t>
      </w:r>
      <w:r w:rsidR="008423D9" w:rsidRPr="008423D9">
        <w:rPr>
          <w:color w:val="000000" w:themeColor="text1"/>
        </w:rPr>
        <w:t xml:space="preserve">re were no statistically significant differences </w:t>
      </w:r>
      <w:r w:rsidR="00643C3F">
        <w:rPr>
          <w:color w:val="000000" w:themeColor="text1"/>
        </w:rPr>
        <w:t>in</w:t>
      </w:r>
      <w:r w:rsidR="008423D9" w:rsidRPr="008423D9">
        <w:rPr>
          <w:color w:val="000000" w:themeColor="text1"/>
        </w:rPr>
        <w:t xml:space="preserve"> secondary endpoints (OS, ORR, duration of response, or HRQoL)</w:t>
      </w:r>
      <w:r w:rsidR="0086430E">
        <w:rPr>
          <w:color w:val="000000" w:themeColor="text1"/>
        </w:rPr>
        <w:t>, though the trial was not powered to detect differences in OS</w:t>
      </w:r>
      <w:r w:rsidR="008423D9" w:rsidRPr="008423D9">
        <w:rPr>
          <w:color w:val="000000" w:themeColor="text1"/>
        </w:rPr>
        <w:t>.</w:t>
      </w:r>
    </w:p>
    <w:p w14:paraId="53DF5891" w14:textId="6289AA23" w:rsidR="0082146D" w:rsidRPr="00D74CC7" w:rsidRDefault="0091221C" w:rsidP="002553CE">
      <w:pPr>
        <w:numPr>
          <w:ilvl w:val="4"/>
          <w:numId w:val="11"/>
        </w:numPr>
        <w:ind w:left="709" w:hanging="709"/>
        <w:rPr>
          <w:color w:val="000000" w:themeColor="text1"/>
        </w:rPr>
      </w:pPr>
      <w:r>
        <w:rPr>
          <w:color w:val="000000" w:themeColor="text1"/>
        </w:rPr>
        <w:t>The PBAC noted t</w:t>
      </w:r>
      <w:r w:rsidRPr="000A7BB0">
        <w:rPr>
          <w:color w:val="000000" w:themeColor="text1"/>
        </w:rPr>
        <w:t>he submission described treatment with elacestrant as having a different and manageable safety profile compared to SOC (</w:t>
      </w:r>
      <w:r w:rsidR="0088071A">
        <w:rPr>
          <w:color w:val="000000" w:themeColor="text1"/>
        </w:rPr>
        <w:t>ET</w:t>
      </w:r>
      <w:r w:rsidRPr="000A7BB0">
        <w:rPr>
          <w:color w:val="000000" w:themeColor="text1"/>
        </w:rPr>
        <w:t xml:space="preserve"> monotherapy). </w:t>
      </w:r>
      <w:r w:rsidR="007223BB">
        <w:rPr>
          <w:color w:val="000000" w:themeColor="text1"/>
        </w:rPr>
        <w:t>The PBAC noted that p</w:t>
      </w:r>
      <w:r w:rsidR="007223BB" w:rsidRPr="000A7BB0">
        <w:rPr>
          <w:color w:val="000000" w:themeColor="text1"/>
        </w:rPr>
        <w:t xml:space="preserve">atients in the elacestrant arm </w:t>
      </w:r>
      <w:r w:rsidR="007223BB">
        <w:rPr>
          <w:color w:val="000000" w:themeColor="text1"/>
        </w:rPr>
        <w:t xml:space="preserve">of EMERALD </w:t>
      </w:r>
      <w:r w:rsidR="007223BB" w:rsidRPr="000A7BB0">
        <w:rPr>
          <w:color w:val="000000" w:themeColor="text1"/>
        </w:rPr>
        <w:t>had a greater risk of experiencing Grade ≥3 TEAEs (27.0% vs 20.9%)</w:t>
      </w:r>
      <w:r w:rsidR="00365197">
        <w:rPr>
          <w:color w:val="000000" w:themeColor="text1"/>
        </w:rPr>
        <w:t xml:space="preserve">, the most common being </w:t>
      </w:r>
      <w:r w:rsidR="00736F3A" w:rsidRPr="000A7BB0">
        <w:rPr>
          <w:color w:val="000000" w:themeColor="text1"/>
        </w:rPr>
        <w:t>gastrointestinal (</w:t>
      </w:r>
      <w:r w:rsidR="00D42470">
        <w:rPr>
          <w:color w:val="000000" w:themeColor="text1"/>
        </w:rPr>
        <w:t xml:space="preserve">primarily </w:t>
      </w:r>
      <w:r w:rsidR="00736F3A" w:rsidRPr="000A7BB0">
        <w:rPr>
          <w:color w:val="000000" w:themeColor="text1"/>
        </w:rPr>
        <w:t>nausea) and musculoskeletal and connective tissue (back and bone pain) disorders</w:t>
      </w:r>
      <w:r w:rsidR="003911EF">
        <w:rPr>
          <w:color w:val="000000" w:themeColor="text1"/>
        </w:rPr>
        <w:t xml:space="preserve">. </w:t>
      </w:r>
      <w:r w:rsidR="0082146D" w:rsidRPr="00D74CC7">
        <w:rPr>
          <w:color w:val="000000" w:themeColor="text1"/>
        </w:rPr>
        <w:t xml:space="preserve">The PBAC considered that </w:t>
      </w:r>
      <w:r w:rsidR="009E558A">
        <w:rPr>
          <w:color w:val="000000" w:themeColor="text1"/>
        </w:rPr>
        <w:t xml:space="preserve">gastrointestinal </w:t>
      </w:r>
      <w:r w:rsidR="002735CB">
        <w:rPr>
          <w:color w:val="000000" w:themeColor="text1"/>
        </w:rPr>
        <w:t xml:space="preserve">AEs are likely to have a substantial impact on patients and </w:t>
      </w:r>
      <w:r w:rsidR="0082146D" w:rsidRPr="00D74CC7">
        <w:rPr>
          <w:color w:val="000000" w:themeColor="text1"/>
        </w:rPr>
        <w:t>a claim of inferior comparative safety would be appropriate based on the evidence provided.</w:t>
      </w:r>
    </w:p>
    <w:p w14:paraId="5AC548C6" w14:textId="694A862E" w:rsidR="00B6696E" w:rsidRPr="00FB76BC" w:rsidRDefault="00391E6A" w:rsidP="002553CE">
      <w:pPr>
        <w:numPr>
          <w:ilvl w:val="4"/>
          <w:numId w:val="11"/>
        </w:numPr>
        <w:ind w:left="709" w:hanging="709"/>
        <w:rPr>
          <w:color w:val="000000" w:themeColor="text1"/>
        </w:rPr>
      </w:pPr>
      <w:r w:rsidRPr="00391E6A">
        <w:rPr>
          <w:color w:val="000000" w:themeColor="text1"/>
        </w:rPr>
        <w:t xml:space="preserve">The </w:t>
      </w:r>
      <w:r>
        <w:rPr>
          <w:color w:val="000000" w:themeColor="text1"/>
        </w:rPr>
        <w:t xml:space="preserve">PBAC noted the </w:t>
      </w:r>
      <w:r w:rsidRPr="00391E6A">
        <w:rPr>
          <w:color w:val="000000" w:themeColor="text1"/>
        </w:rPr>
        <w:t>submission presented a modelled economic evaluation, based on the direct randomised trial, EMERALD, comparing elacestrant to SOC (</w:t>
      </w:r>
      <w:r w:rsidR="006F4F3C">
        <w:rPr>
          <w:color w:val="000000" w:themeColor="text1"/>
        </w:rPr>
        <w:t xml:space="preserve">defined as </w:t>
      </w:r>
      <w:r w:rsidRPr="00391E6A">
        <w:rPr>
          <w:color w:val="000000" w:themeColor="text1"/>
        </w:rPr>
        <w:t xml:space="preserve">fulvestrant or an AI monotherapy) in patients with ER+/HER2- mBC who test positive for an </w:t>
      </w:r>
      <w:r w:rsidRPr="00391E6A">
        <w:rPr>
          <w:i/>
          <w:color w:val="000000" w:themeColor="text1"/>
        </w:rPr>
        <w:t>ESR1</w:t>
      </w:r>
      <w:r w:rsidR="006F4F3C">
        <w:rPr>
          <w:color w:val="000000" w:themeColor="text1"/>
        </w:rPr>
        <w:t xml:space="preserve"> </w:t>
      </w:r>
      <w:r w:rsidRPr="00391E6A">
        <w:rPr>
          <w:color w:val="000000" w:themeColor="text1"/>
        </w:rPr>
        <w:t xml:space="preserve">variant. </w:t>
      </w:r>
      <w:r>
        <w:rPr>
          <w:color w:val="000000" w:themeColor="text1"/>
        </w:rPr>
        <w:t>The model</w:t>
      </w:r>
      <w:r w:rsidR="009A7787">
        <w:rPr>
          <w:color w:val="000000" w:themeColor="text1"/>
        </w:rPr>
        <w:t xml:space="preserve"> </w:t>
      </w:r>
      <w:r w:rsidR="00B104FF">
        <w:rPr>
          <w:color w:val="000000" w:themeColor="text1"/>
        </w:rPr>
        <w:t xml:space="preserve">structure </w:t>
      </w:r>
      <w:r w:rsidR="009A7787">
        <w:rPr>
          <w:color w:val="000000" w:themeColor="text1"/>
        </w:rPr>
        <w:t xml:space="preserve">did not </w:t>
      </w:r>
      <w:r w:rsidR="00670C86">
        <w:rPr>
          <w:color w:val="000000" w:themeColor="text1"/>
        </w:rPr>
        <w:t xml:space="preserve">capture patients at the </w:t>
      </w:r>
      <w:r w:rsidR="00FD0DD1">
        <w:rPr>
          <w:color w:val="000000" w:themeColor="text1"/>
        </w:rPr>
        <w:t xml:space="preserve">point of testing as recommended in the PBAC Guidelines </w:t>
      </w:r>
      <w:r w:rsidR="0097784D">
        <w:rPr>
          <w:color w:val="000000" w:themeColor="text1"/>
        </w:rPr>
        <w:t>(Version 5.0)</w:t>
      </w:r>
      <w:r w:rsidR="00BA038F">
        <w:rPr>
          <w:color w:val="000000" w:themeColor="text1"/>
        </w:rPr>
        <w:t>. A</w:t>
      </w:r>
      <w:r w:rsidR="0097784D">
        <w:rPr>
          <w:color w:val="000000" w:themeColor="text1"/>
        </w:rPr>
        <w:t xml:space="preserve">lthough </w:t>
      </w:r>
      <w:r w:rsidR="00BA038F">
        <w:rPr>
          <w:color w:val="000000" w:themeColor="text1"/>
        </w:rPr>
        <w:t>testing costs were included in the model</w:t>
      </w:r>
      <w:r w:rsidR="00B67D1D">
        <w:rPr>
          <w:color w:val="000000" w:themeColor="text1"/>
        </w:rPr>
        <w:t xml:space="preserve"> for a single test, costs were underestimated as the </w:t>
      </w:r>
      <w:r w:rsidR="00AF0267">
        <w:rPr>
          <w:color w:val="000000" w:themeColor="text1"/>
        </w:rPr>
        <w:t>proposed restriction allows testing at each episode of disease progression</w:t>
      </w:r>
      <w:r w:rsidR="00423FC6">
        <w:rPr>
          <w:color w:val="000000" w:themeColor="text1"/>
        </w:rPr>
        <w:t xml:space="preserve"> and n</w:t>
      </w:r>
      <w:r w:rsidR="00B104FF" w:rsidRPr="00B104FF">
        <w:rPr>
          <w:color w:val="000000" w:themeColor="text1"/>
        </w:rPr>
        <w:t>o test scenarios were included in the economic model</w:t>
      </w:r>
      <w:r w:rsidR="00423FC6">
        <w:rPr>
          <w:color w:val="000000" w:themeColor="text1"/>
        </w:rPr>
        <w:t xml:space="preserve"> structure</w:t>
      </w:r>
      <w:r w:rsidR="00B104FF" w:rsidRPr="00B104FF">
        <w:rPr>
          <w:color w:val="000000" w:themeColor="text1"/>
        </w:rPr>
        <w:t>.</w:t>
      </w:r>
      <w:r w:rsidR="00423FC6">
        <w:rPr>
          <w:color w:val="000000" w:themeColor="text1"/>
        </w:rPr>
        <w:t xml:space="preserve"> T</w:t>
      </w:r>
      <w:r w:rsidR="00452362">
        <w:rPr>
          <w:color w:val="000000" w:themeColor="text1"/>
        </w:rPr>
        <w:t xml:space="preserve">he PBAC noted that </w:t>
      </w:r>
      <w:r w:rsidR="00850422">
        <w:rPr>
          <w:color w:val="000000" w:themeColor="text1"/>
        </w:rPr>
        <w:t xml:space="preserve">the submission applied </w:t>
      </w:r>
      <w:r w:rsidR="00B15F39">
        <w:rPr>
          <w:color w:val="000000" w:themeColor="text1"/>
        </w:rPr>
        <w:t xml:space="preserve">independent </w:t>
      </w:r>
      <w:r w:rsidR="001E14C3">
        <w:rPr>
          <w:color w:val="000000" w:themeColor="text1"/>
        </w:rPr>
        <w:t xml:space="preserve">parametric extrapolations for OS, PFS, TCD and TTD outcomes. </w:t>
      </w:r>
      <w:r w:rsidR="007321E7">
        <w:rPr>
          <w:color w:val="000000" w:themeColor="text1"/>
        </w:rPr>
        <w:t xml:space="preserve">The PBAC considered that the </w:t>
      </w:r>
      <w:r w:rsidR="009B078F">
        <w:rPr>
          <w:color w:val="000000" w:themeColor="text1"/>
        </w:rPr>
        <w:t>parametric functions for OS and PFS we</w:t>
      </w:r>
      <w:r w:rsidR="00874D50">
        <w:rPr>
          <w:color w:val="000000" w:themeColor="text1"/>
        </w:rPr>
        <w:t xml:space="preserve">re </w:t>
      </w:r>
      <w:r w:rsidR="007D3B43">
        <w:rPr>
          <w:color w:val="000000" w:themeColor="text1"/>
        </w:rPr>
        <w:t>poorly justified and inappropriately</w:t>
      </w:r>
      <w:r w:rsidR="00874D50">
        <w:rPr>
          <w:color w:val="000000" w:themeColor="text1"/>
        </w:rPr>
        <w:t xml:space="preserve"> favoured elacestrant. The PBAC noted that the choice of truncation point </w:t>
      </w:r>
      <w:r w:rsidR="00814C35">
        <w:rPr>
          <w:color w:val="000000" w:themeColor="text1"/>
        </w:rPr>
        <w:t xml:space="preserve">was not justified as it excluded a large amount of trial </w:t>
      </w:r>
      <w:r w:rsidR="007D3DB9">
        <w:rPr>
          <w:color w:val="000000" w:themeColor="text1"/>
        </w:rPr>
        <w:t>data</w:t>
      </w:r>
      <w:r w:rsidR="00BD779D">
        <w:rPr>
          <w:color w:val="000000" w:themeColor="text1"/>
        </w:rPr>
        <w:t xml:space="preserve"> in both treatment arms</w:t>
      </w:r>
      <w:r w:rsidR="007D3DB9">
        <w:rPr>
          <w:color w:val="000000" w:themeColor="text1"/>
        </w:rPr>
        <w:t xml:space="preserve"> and </w:t>
      </w:r>
      <w:r w:rsidR="00BD779D">
        <w:rPr>
          <w:color w:val="000000" w:themeColor="text1"/>
        </w:rPr>
        <w:t>favoured elacestrant a</w:t>
      </w:r>
      <w:r w:rsidR="00416AC3">
        <w:rPr>
          <w:color w:val="000000" w:themeColor="text1"/>
        </w:rPr>
        <w:t xml:space="preserve">s the point chosen was </w:t>
      </w:r>
      <w:r w:rsidR="00050598">
        <w:rPr>
          <w:color w:val="000000" w:themeColor="text1"/>
        </w:rPr>
        <w:t xml:space="preserve">where OS curves were most separated. </w:t>
      </w:r>
      <w:r w:rsidR="0091054A">
        <w:rPr>
          <w:color w:val="000000" w:themeColor="text1"/>
        </w:rPr>
        <w:t>The PBAC noted that the utility val</w:t>
      </w:r>
      <w:r w:rsidR="00243440">
        <w:rPr>
          <w:color w:val="000000" w:themeColor="text1"/>
        </w:rPr>
        <w:t xml:space="preserve">ue for the PD state was inconsistent with prior </w:t>
      </w:r>
      <w:r w:rsidR="00424A25">
        <w:rPr>
          <w:color w:val="000000" w:themeColor="text1"/>
        </w:rPr>
        <w:t>submissions and the larger difference between the progression-free and progressed state</w:t>
      </w:r>
      <w:r w:rsidR="009E7138">
        <w:rPr>
          <w:color w:val="000000" w:themeColor="text1"/>
        </w:rPr>
        <w:t xml:space="preserve"> utility values</w:t>
      </w:r>
      <w:r w:rsidR="00424A25">
        <w:rPr>
          <w:color w:val="000000" w:themeColor="text1"/>
        </w:rPr>
        <w:t xml:space="preserve"> </w:t>
      </w:r>
      <w:r w:rsidR="009E7138">
        <w:rPr>
          <w:color w:val="000000" w:themeColor="text1"/>
        </w:rPr>
        <w:t xml:space="preserve">favoured elacestrant. </w:t>
      </w:r>
      <w:r w:rsidR="00047666">
        <w:rPr>
          <w:color w:val="000000" w:themeColor="text1"/>
        </w:rPr>
        <w:t>Overall,</w:t>
      </w:r>
      <w:r w:rsidR="002F3654">
        <w:rPr>
          <w:color w:val="000000" w:themeColor="text1"/>
        </w:rPr>
        <w:t xml:space="preserve"> the PBAC considered that the modelled outcomes were </w:t>
      </w:r>
      <w:r w:rsidR="004D4A8B">
        <w:rPr>
          <w:color w:val="000000" w:themeColor="text1"/>
        </w:rPr>
        <w:t>optimistic</w:t>
      </w:r>
      <w:r w:rsidR="00602329">
        <w:rPr>
          <w:color w:val="000000" w:themeColor="text1"/>
        </w:rPr>
        <w:t xml:space="preserve"> and </w:t>
      </w:r>
      <w:r w:rsidR="005A0FAC">
        <w:rPr>
          <w:color w:val="000000" w:themeColor="text1"/>
        </w:rPr>
        <w:t>thus</w:t>
      </w:r>
      <w:r w:rsidR="009A6E18">
        <w:rPr>
          <w:color w:val="000000" w:themeColor="text1"/>
        </w:rPr>
        <w:t xml:space="preserve"> the ICER for elacestrant</w:t>
      </w:r>
      <w:r w:rsidR="005A0FAC">
        <w:rPr>
          <w:color w:val="000000" w:themeColor="text1"/>
        </w:rPr>
        <w:t xml:space="preserve"> was underestimated</w:t>
      </w:r>
      <w:r w:rsidR="009A6E18">
        <w:rPr>
          <w:color w:val="000000" w:themeColor="text1"/>
        </w:rPr>
        <w:t xml:space="preserve">. The PBAC noted that this was in addition to the </w:t>
      </w:r>
      <w:r w:rsidR="003E43DF">
        <w:rPr>
          <w:color w:val="000000" w:themeColor="text1"/>
        </w:rPr>
        <w:t>overestimated treatment effect from the EMERALD trial</w:t>
      </w:r>
      <w:r w:rsidR="009937BC">
        <w:rPr>
          <w:color w:val="000000" w:themeColor="text1"/>
        </w:rPr>
        <w:t xml:space="preserve"> (see also paragraph </w:t>
      </w:r>
      <w:r w:rsidR="009937BC">
        <w:rPr>
          <w:color w:val="000000" w:themeColor="text1"/>
        </w:rPr>
        <w:fldChar w:fldCharType="begin"/>
      </w:r>
      <w:r w:rsidR="009937BC">
        <w:rPr>
          <w:color w:val="000000" w:themeColor="text1"/>
        </w:rPr>
        <w:instrText xml:space="preserve"> REF _Ref194661046 \r \h </w:instrText>
      </w:r>
      <w:r w:rsidR="009937BC">
        <w:rPr>
          <w:color w:val="000000" w:themeColor="text1"/>
        </w:rPr>
      </w:r>
      <w:r w:rsidR="009937BC">
        <w:rPr>
          <w:color w:val="000000" w:themeColor="text1"/>
        </w:rPr>
        <w:fldChar w:fldCharType="separate"/>
      </w:r>
      <w:r w:rsidR="004F224A">
        <w:rPr>
          <w:color w:val="000000" w:themeColor="text1"/>
        </w:rPr>
        <w:t>7.7</w:t>
      </w:r>
      <w:r w:rsidR="009937BC">
        <w:rPr>
          <w:color w:val="000000" w:themeColor="text1"/>
        </w:rPr>
        <w:fldChar w:fldCharType="end"/>
      </w:r>
      <w:r w:rsidR="009937BC">
        <w:rPr>
          <w:color w:val="000000" w:themeColor="text1"/>
        </w:rPr>
        <w:t>).</w:t>
      </w:r>
      <w:r w:rsidR="00763268">
        <w:rPr>
          <w:color w:val="000000" w:themeColor="text1"/>
        </w:rPr>
        <w:t xml:space="preserve"> The PBAC </w:t>
      </w:r>
      <w:r w:rsidR="0056506B">
        <w:rPr>
          <w:color w:val="000000" w:themeColor="text1"/>
        </w:rPr>
        <w:t xml:space="preserve">noted that the requested </w:t>
      </w:r>
      <w:r w:rsidR="00E10028">
        <w:rPr>
          <w:color w:val="000000" w:themeColor="text1"/>
        </w:rPr>
        <w:t>price</w:t>
      </w:r>
      <w:r w:rsidR="0056506B">
        <w:rPr>
          <w:color w:val="000000" w:themeColor="text1"/>
        </w:rPr>
        <w:t xml:space="preserve"> for elacestrant </w:t>
      </w:r>
      <w:r w:rsidR="00E10028">
        <w:rPr>
          <w:color w:val="000000" w:themeColor="text1"/>
        </w:rPr>
        <w:t xml:space="preserve">resulted in </w:t>
      </w:r>
      <w:r w:rsidR="00335E8C">
        <w:rPr>
          <w:color w:val="000000" w:themeColor="text1"/>
        </w:rPr>
        <w:t xml:space="preserve">treatment </w:t>
      </w:r>
      <w:r w:rsidR="00E10028">
        <w:rPr>
          <w:color w:val="000000" w:themeColor="text1"/>
        </w:rPr>
        <w:t xml:space="preserve">costs that are </w:t>
      </w:r>
      <w:r w:rsidR="0056506B">
        <w:rPr>
          <w:color w:val="000000" w:themeColor="text1"/>
        </w:rPr>
        <w:t xml:space="preserve">substantially higher than for fulvestrant. </w:t>
      </w:r>
      <w:r w:rsidR="00E10028">
        <w:rPr>
          <w:color w:val="000000" w:themeColor="text1"/>
        </w:rPr>
        <w:t xml:space="preserve">The PBAC considered that this was inappropriate given that </w:t>
      </w:r>
      <w:r w:rsidR="006D5A7F">
        <w:rPr>
          <w:color w:val="000000" w:themeColor="text1"/>
        </w:rPr>
        <w:t xml:space="preserve">its mechanism of action is the same as fulvestrant, and </w:t>
      </w:r>
      <w:r w:rsidR="00AB6ADF">
        <w:rPr>
          <w:color w:val="000000" w:themeColor="text1"/>
        </w:rPr>
        <w:t>its</w:t>
      </w:r>
      <w:r w:rsidR="006D5A7F">
        <w:rPr>
          <w:color w:val="000000" w:themeColor="text1"/>
        </w:rPr>
        <w:t xml:space="preserve"> ma</w:t>
      </w:r>
      <w:r w:rsidR="00153011">
        <w:rPr>
          <w:color w:val="000000" w:themeColor="text1"/>
        </w:rPr>
        <w:t>in</w:t>
      </w:r>
      <w:r w:rsidR="006D5A7F">
        <w:rPr>
          <w:color w:val="000000" w:themeColor="text1"/>
        </w:rPr>
        <w:t xml:space="preserve"> advantage </w:t>
      </w:r>
      <w:r w:rsidR="00153011">
        <w:rPr>
          <w:color w:val="000000" w:themeColor="text1"/>
        </w:rPr>
        <w:t xml:space="preserve">over fulvestrant </w:t>
      </w:r>
      <w:r w:rsidR="006D5A7F">
        <w:rPr>
          <w:color w:val="000000" w:themeColor="text1"/>
        </w:rPr>
        <w:t>is the mode of administration</w:t>
      </w:r>
      <w:r w:rsidR="00AB6ADF">
        <w:rPr>
          <w:color w:val="000000" w:themeColor="text1"/>
        </w:rPr>
        <w:t xml:space="preserve"> (despite the association of </w:t>
      </w:r>
      <w:r w:rsidR="00450C70">
        <w:rPr>
          <w:color w:val="000000" w:themeColor="text1"/>
        </w:rPr>
        <w:t>gastrointestinal</w:t>
      </w:r>
      <w:r w:rsidR="00AB6ADF">
        <w:rPr>
          <w:color w:val="000000" w:themeColor="text1"/>
        </w:rPr>
        <w:t xml:space="preserve"> AEs with oral administration)</w:t>
      </w:r>
      <w:r w:rsidR="00887DAD">
        <w:rPr>
          <w:color w:val="000000" w:themeColor="text1"/>
        </w:rPr>
        <w:t>.</w:t>
      </w:r>
    </w:p>
    <w:p w14:paraId="5D85C299" w14:textId="3B200A47" w:rsidR="00B6696E" w:rsidRPr="00FB76BC" w:rsidRDefault="00A65276" w:rsidP="002553CE">
      <w:pPr>
        <w:numPr>
          <w:ilvl w:val="4"/>
          <w:numId w:val="11"/>
        </w:numPr>
        <w:ind w:left="709" w:hanging="709"/>
        <w:rPr>
          <w:color w:val="000000" w:themeColor="text1"/>
        </w:rPr>
      </w:pPr>
      <w:r w:rsidRPr="00A65276">
        <w:rPr>
          <w:color w:val="000000" w:themeColor="text1"/>
        </w:rPr>
        <w:t xml:space="preserve">The submission used an epidemiological approach to estimating the use and financial impact of </w:t>
      </w:r>
      <w:r w:rsidR="009D35D9" w:rsidRPr="009D35D9">
        <w:rPr>
          <w:i/>
          <w:iCs/>
          <w:color w:val="000000" w:themeColor="text1"/>
        </w:rPr>
        <w:t>ESR1</w:t>
      </w:r>
      <w:r w:rsidR="009D35D9">
        <w:rPr>
          <w:color w:val="000000" w:themeColor="text1"/>
        </w:rPr>
        <w:t xml:space="preserve"> testing and elacestrant</w:t>
      </w:r>
      <w:r w:rsidRPr="00A65276">
        <w:rPr>
          <w:color w:val="000000" w:themeColor="text1"/>
        </w:rPr>
        <w:t xml:space="preserve">. </w:t>
      </w:r>
      <w:r w:rsidR="004A416D">
        <w:rPr>
          <w:color w:val="000000" w:themeColor="text1"/>
        </w:rPr>
        <w:t>The number of incident patients w</w:t>
      </w:r>
      <w:r w:rsidR="009D35D9">
        <w:rPr>
          <w:color w:val="000000" w:themeColor="text1"/>
        </w:rPr>
        <w:t>as</w:t>
      </w:r>
      <w:r w:rsidR="004A416D">
        <w:rPr>
          <w:color w:val="000000" w:themeColor="text1"/>
        </w:rPr>
        <w:t xml:space="preserve"> calculated based on the PBS 10% sample. The PBAC considered that this approach may be reasonable, however the estimated number of </w:t>
      </w:r>
      <w:r w:rsidR="00082A36">
        <w:rPr>
          <w:color w:val="000000" w:themeColor="text1"/>
        </w:rPr>
        <w:t xml:space="preserve">prevalent patients was highly </w:t>
      </w:r>
      <w:r w:rsidR="00082A36">
        <w:rPr>
          <w:color w:val="000000" w:themeColor="text1"/>
        </w:rPr>
        <w:lastRenderedPageBreak/>
        <w:t xml:space="preserve">uncertain and </w:t>
      </w:r>
      <w:r w:rsidR="00C17879">
        <w:rPr>
          <w:color w:val="000000" w:themeColor="text1"/>
        </w:rPr>
        <w:t xml:space="preserve">poorly justified. </w:t>
      </w:r>
      <w:r w:rsidR="0040481A">
        <w:rPr>
          <w:color w:val="000000" w:themeColor="text1"/>
        </w:rPr>
        <w:t xml:space="preserve">The PBAC noted that the submission overestimated the </w:t>
      </w:r>
      <w:r w:rsidR="0040481A" w:rsidRPr="009D35D9">
        <w:rPr>
          <w:i/>
          <w:iCs/>
          <w:color w:val="000000" w:themeColor="text1"/>
        </w:rPr>
        <w:t>ESR1</w:t>
      </w:r>
      <w:r w:rsidR="0040481A">
        <w:rPr>
          <w:color w:val="000000" w:themeColor="text1"/>
        </w:rPr>
        <w:t xml:space="preserve"> positive test rate</w:t>
      </w:r>
      <w:r w:rsidR="00244CE0">
        <w:rPr>
          <w:color w:val="000000" w:themeColor="text1"/>
        </w:rPr>
        <w:t xml:space="preserve"> and </w:t>
      </w:r>
      <w:r w:rsidR="009D35D9">
        <w:rPr>
          <w:color w:val="000000" w:themeColor="text1"/>
        </w:rPr>
        <w:t xml:space="preserve">the PBAC </w:t>
      </w:r>
      <w:r w:rsidR="00244CE0">
        <w:rPr>
          <w:color w:val="000000" w:themeColor="text1"/>
        </w:rPr>
        <w:t xml:space="preserve">agreed with the </w:t>
      </w:r>
      <w:r w:rsidR="00800CD3">
        <w:rPr>
          <w:color w:val="000000" w:themeColor="text1"/>
        </w:rPr>
        <w:t xml:space="preserve">ESCs and </w:t>
      </w:r>
      <w:r w:rsidR="00244CE0">
        <w:rPr>
          <w:color w:val="000000" w:themeColor="text1"/>
        </w:rPr>
        <w:t>DUSC that the rate should be no more than 47.7% across multiple lines</w:t>
      </w:r>
      <w:r w:rsidR="00963710">
        <w:rPr>
          <w:color w:val="000000" w:themeColor="text1"/>
        </w:rPr>
        <w:t xml:space="preserve"> of treatment, consistent with the EMERALD trial. </w:t>
      </w:r>
      <w:r w:rsidR="001528AE">
        <w:rPr>
          <w:color w:val="000000" w:themeColor="text1"/>
        </w:rPr>
        <w:t xml:space="preserve">The PBAC considered that uptake is likely to be overestimated as </w:t>
      </w:r>
      <w:r w:rsidR="00355B87">
        <w:rPr>
          <w:color w:val="000000" w:themeColor="text1"/>
        </w:rPr>
        <w:t>clinicians would be expected to choose more effective therapies</w:t>
      </w:r>
      <w:r w:rsidR="000C0B8D">
        <w:rPr>
          <w:color w:val="000000" w:themeColor="text1"/>
        </w:rPr>
        <w:t>, particularly</w:t>
      </w:r>
      <w:r w:rsidR="00355B87">
        <w:rPr>
          <w:color w:val="000000" w:themeColor="text1"/>
        </w:rPr>
        <w:t xml:space="preserve"> in </w:t>
      </w:r>
      <w:r w:rsidR="000C0B8D">
        <w:rPr>
          <w:color w:val="000000" w:themeColor="text1"/>
        </w:rPr>
        <w:t xml:space="preserve">more heavily pre-treated </w:t>
      </w:r>
      <w:r w:rsidR="00355B87">
        <w:rPr>
          <w:color w:val="000000" w:themeColor="text1"/>
        </w:rPr>
        <w:t>patients</w:t>
      </w:r>
      <w:r w:rsidR="000C0B8D">
        <w:rPr>
          <w:color w:val="000000" w:themeColor="text1"/>
        </w:rPr>
        <w:t>.</w:t>
      </w:r>
      <w:r w:rsidR="00B51309">
        <w:rPr>
          <w:color w:val="000000" w:themeColor="text1"/>
        </w:rPr>
        <w:t xml:space="preserve"> </w:t>
      </w:r>
    </w:p>
    <w:p w14:paraId="7DBA4630" w14:textId="100F58D8" w:rsidR="00B6696E" w:rsidRPr="00FD0EE2" w:rsidRDefault="00B6696E" w:rsidP="002553CE">
      <w:pPr>
        <w:numPr>
          <w:ilvl w:val="4"/>
          <w:numId w:val="11"/>
        </w:numPr>
        <w:ind w:left="709" w:hanging="709"/>
        <w:rPr>
          <w:rFonts w:cs="Arial"/>
          <w:bCs/>
          <w:snapToGrid w:val="0"/>
          <w:lang w:val="en-GB"/>
        </w:rPr>
      </w:pPr>
      <w:r w:rsidRPr="00465C40">
        <w:rPr>
          <w:color w:val="000000" w:themeColor="text1"/>
        </w:rPr>
        <w:t>The</w:t>
      </w:r>
      <w:r w:rsidRPr="00C6512B">
        <w:rPr>
          <w:rFonts w:cs="Arial"/>
          <w:bCs/>
          <w:snapToGrid w:val="0"/>
          <w:lang w:val="en-GB"/>
        </w:rPr>
        <w:t xml:space="preserve"> PBAC considered a resubmission for </w:t>
      </w:r>
      <w:r w:rsidR="00465C40">
        <w:rPr>
          <w:rFonts w:cs="Arial"/>
          <w:bCs/>
          <w:snapToGrid w:val="0"/>
          <w:lang w:val="en-GB"/>
        </w:rPr>
        <w:t>elacestrant</w:t>
      </w:r>
      <w:r w:rsidRPr="00C6512B">
        <w:rPr>
          <w:rFonts w:cs="Arial"/>
          <w:bCs/>
          <w:snapToGrid w:val="0"/>
          <w:lang w:val="en-GB"/>
        </w:rPr>
        <w:t xml:space="preserve"> should </w:t>
      </w:r>
      <w:r w:rsidR="00374D79">
        <w:rPr>
          <w:rFonts w:cs="Arial"/>
          <w:bCs/>
          <w:snapToGrid w:val="0"/>
          <w:lang w:val="en-GB"/>
        </w:rPr>
        <w:t>provide</w:t>
      </w:r>
      <w:r w:rsidR="002D3C27">
        <w:rPr>
          <w:rFonts w:cs="Arial"/>
          <w:bCs/>
          <w:snapToGrid w:val="0"/>
          <w:lang w:val="en-GB"/>
        </w:rPr>
        <w:t xml:space="preserve"> more clarity with regard to the clinical place for elacestrant, and evidence that </w:t>
      </w:r>
      <w:r w:rsidR="0079572D">
        <w:rPr>
          <w:rFonts w:cs="Arial"/>
          <w:bCs/>
          <w:snapToGrid w:val="0"/>
          <w:lang w:val="en-GB"/>
        </w:rPr>
        <w:t>supports the efficacy over</w:t>
      </w:r>
      <w:r w:rsidR="00E91B65">
        <w:rPr>
          <w:rFonts w:cs="Arial"/>
          <w:bCs/>
          <w:snapToGrid w:val="0"/>
          <w:lang w:val="en-GB"/>
        </w:rPr>
        <w:t xml:space="preserve"> a comparator that reflects</w:t>
      </w:r>
      <w:r w:rsidR="0079572D">
        <w:rPr>
          <w:rFonts w:cs="Arial"/>
          <w:bCs/>
          <w:snapToGrid w:val="0"/>
          <w:lang w:val="en-GB"/>
        </w:rPr>
        <w:t xml:space="preserve"> standard of care</w:t>
      </w:r>
      <w:r w:rsidR="00305675">
        <w:rPr>
          <w:rFonts w:cs="Arial"/>
          <w:bCs/>
          <w:snapToGrid w:val="0"/>
          <w:lang w:val="en-GB"/>
        </w:rPr>
        <w:t xml:space="preserve"> in that patient population</w:t>
      </w:r>
      <w:r w:rsidR="00E91B65">
        <w:rPr>
          <w:rFonts w:cs="Arial"/>
          <w:bCs/>
          <w:snapToGrid w:val="0"/>
          <w:lang w:val="en-GB"/>
        </w:rPr>
        <w:t>.</w:t>
      </w:r>
      <w:r w:rsidR="00851314">
        <w:rPr>
          <w:rFonts w:cs="Arial"/>
          <w:bCs/>
          <w:snapToGrid w:val="0"/>
          <w:lang w:val="en-GB"/>
        </w:rPr>
        <w:t xml:space="preserve"> In addition, the PBAC considered that</w:t>
      </w:r>
      <w:r w:rsidR="00E95373">
        <w:rPr>
          <w:rFonts w:cs="Arial"/>
          <w:bCs/>
          <w:snapToGrid w:val="0"/>
          <w:lang w:val="en-GB"/>
        </w:rPr>
        <w:t xml:space="preserve"> for fulvestrant naïve patients</w:t>
      </w:r>
      <w:r w:rsidR="00851314">
        <w:rPr>
          <w:rFonts w:cs="Arial"/>
          <w:bCs/>
          <w:snapToGrid w:val="0"/>
          <w:lang w:val="en-GB"/>
        </w:rPr>
        <w:t xml:space="preserve"> elacestrant is unlikely to be considered cost-effective at a price substantially higher than </w:t>
      </w:r>
      <w:r w:rsidR="00FD0EE2">
        <w:rPr>
          <w:rFonts w:cs="Arial"/>
          <w:bCs/>
          <w:snapToGrid w:val="0"/>
          <w:lang w:val="en-GB"/>
        </w:rPr>
        <w:t xml:space="preserve">fulvestrant. </w:t>
      </w:r>
      <w:r w:rsidRPr="00FD0EE2">
        <w:rPr>
          <w:rFonts w:cs="Arial"/>
          <w:bCs/>
          <w:snapToGrid w:val="0"/>
          <w:lang w:val="en-GB"/>
        </w:rPr>
        <w:t>The resubmission may be lodged at any future standard due date for PBAC submissions using the standard re-entry pathway.</w:t>
      </w:r>
    </w:p>
    <w:p w14:paraId="4B4850C1" w14:textId="39FD0B4D" w:rsidR="00B6696E" w:rsidRPr="007D4707" w:rsidRDefault="00B6696E" w:rsidP="002553CE">
      <w:pPr>
        <w:numPr>
          <w:ilvl w:val="4"/>
          <w:numId w:val="11"/>
        </w:numPr>
        <w:ind w:left="709" w:hanging="709"/>
        <w:rPr>
          <w:rFonts w:cs="Arial"/>
          <w:bCs/>
          <w:snapToGrid w:val="0"/>
          <w:lang w:val="en-GB"/>
        </w:rPr>
      </w:pPr>
      <w:r w:rsidRPr="00FB76BC">
        <w:rPr>
          <w:color w:val="000000" w:themeColor="text1"/>
        </w:rPr>
        <w:t xml:space="preserve">The PBAC noted that this submission is eligible for an Independent Review. </w:t>
      </w:r>
    </w:p>
    <w:p w14:paraId="304EDF9F" w14:textId="77777777" w:rsidR="00B6696E" w:rsidRPr="00525B39" w:rsidRDefault="00B6696E" w:rsidP="002553CE">
      <w:pPr>
        <w:spacing w:before="240" w:after="0"/>
        <w:rPr>
          <w:rFonts w:cs="Arial"/>
          <w:b/>
          <w:bCs/>
          <w:snapToGrid w:val="0"/>
          <w:lang w:val="en-GB"/>
        </w:rPr>
      </w:pPr>
      <w:r w:rsidRPr="00525B39">
        <w:rPr>
          <w:rFonts w:cs="Arial"/>
          <w:b/>
          <w:bCs/>
          <w:snapToGrid w:val="0"/>
          <w:lang w:val="en-GB"/>
        </w:rPr>
        <w:t>Outcome:</w:t>
      </w:r>
    </w:p>
    <w:p w14:paraId="5CE592A1" w14:textId="204C0E5A" w:rsidR="00B6696E" w:rsidRDefault="00B6696E" w:rsidP="002553CE">
      <w:pPr>
        <w:rPr>
          <w:rFonts w:cs="Arial"/>
          <w:bCs/>
          <w:snapToGrid w:val="0"/>
          <w:lang w:val="en-GB"/>
        </w:rPr>
      </w:pPr>
      <w:r>
        <w:rPr>
          <w:rFonts w:cs="Arial"/>
          <w:bCs/>
          <w:snapToGrid w:val="0"/>
          <w:lang w:val="en-GB"/>
        </w:rPr>
        <w:t>Not recommended</w:t>
      </w:r>
      <w:bookmarkEnd w:id="47"/>
      <w:bookmarkEnd w:id="48"/>
    </w:p>
    <w:p w14:paraId="13499F28" w14:textId="77777777" w:rsidR="000374A4" w:rsidRPr="000374A4" w:rsidRDefault="000374A4" w:rsidP="002553CE">
      <w:pPr>
        <w:pStyle w:val="PBACESHeading1"/>
        <w:numPr>
          <w:ilvl w:val="0"/>
          <w:numId w:val="11"/>
        </w:numPr>
        <w:tabs>
          <w:tab w:val="clear" w:pos="1077"/>
          <w:tab w:val="left" w:pos="720"/>
        </w:tabs>
        <w:rPr>
          <w:rFonts w:ascii="Calibri" w:hAnsi="Calibri"/>
          <w:lang w:eastAsia="en-AU"/>
        </w:rPr>
      </w:pPr>
      <w:r w:rsidRPr="000374A4">
        <w:rPr>
          <w:rFonts w:ascii="Calibri" w:hAnsi="Calibri"/>
          <w:lang w:eastAsia="en-AU"/>
        </w:rPr>
        <w:t>Context for Decision</w:t>
      </w:r>
    </w:p>
    <w:p w14:paraId="0A6B8173" w14:textId="77777777" w:rsidR="000374A4" w:rsidRPr="000374A4" w:rsidRDefault="000374A4" w:rsidP="002553CE">
      <w:pPr>
        <w:spacing w:before="0"/>
        <w:ind w:left="720"/>
        <w:rPr>
          <w:rFonts w:ascii="Calibri" w:eastAsia="Times New Roman" w:hAnsi="Calibri" w:cs="Arial"/>
          <w:bCs/>
          <w:szCs w:val="24"/>
          <w:lang w:val="en-GB" w:eastAsia="en-AU"/>
        </w:rPr>
      </w:pPr>
      <w:r w:rsidRPr="000374A4">
        <w:rPr>
          <w:rFonts w:ascii="Calibri" w:eastAsia="Times New Roman" w:hAnsi="Calibri" w:cs="Arial"/>
          <w:bCs/>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951C9EE" w14:textId="77777777" w:rsidR="000374A4" w:rsidRPr="000374A4" w:rsidRDefault="000374A4" w:rsidP="002553CE">
      <w:pPr>
        <w:pStyle w:val="PBACESHeading1"/>
        <w:numPr>
          <w:ilvl w:val="0"/>
          <w:numId w:val="11"/>
        </w:numPr>
        <w:tabs>
          <w:tab w:val="clear" w:pos="1077"/>
          <w:tab w:val="left" w:pos="720"/>
        </w:tabs>
        <w:rPr>
          <w:rFonts w:ascii="Calibri" w:hAnsi="Calibri"/>
          <w:lang w:eastAsia="en-AU"/>
        </w:rPr>
      </w:pPr>
      <w:r w:rsidRPr="000374A4">
        <w:rPr>
          <w:rFonts w:ascii="Calibri" w:hAnsi="Calibri"/>
          <w:lang w:eastAsia="en-AU"/>
        </w:rPr>
        <w:t>Sponsor’s Comment</w:t>
      </w:r>
    </w:p>
    <w:p w14:paraId="1C881505" w14:textId="238F0302" w:rsidR="000374A4" w:rsidRPr="00525B39" w:rsidRDefault="000374A4" w:rsidP="002553CE">
      <w:pPr>
        <w:spacing w:before="0" w:line="276" w:lineRule="auto"/>
        <w:ind w:left="720"/>
        <w:rPr>
          <w:rFonts w:cs="Arial"/>
          <w:bCs/>
          <w:snapToGrid w:val="0"/>
          <w:lang w:val="en-GB"/>
        </w:rPr>
      </w:pPr>
      <w:r w:rsidRPr="000374A4">
        <w:rPr>
          <w:rFonts w:ascii="Calibri" w:eastAsia="Calibri" w:hAnsi="Calibri" w:cs="Arial"/>
          <w:bCs/>
        </w:rPr>
        <w:t>The sponsor had no comment.</w:t>
      </w:r>
    </w:p>
    <w:sectPr w:rsidR="000374A4" w:rsidRPr="00525B39" w:rsidSect="002A0AA0">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2077E" w14:textId="77777777" w:rsidR="006C5C3E" w:rsidRDefault="006C5C3E" w:rsidP="00BA3306">
      <w:pPr>
        <w:spacing w:before="0" w:after="0"/>
      </w:pPr>
      <w:r>
        <w:separator/>
      </w:r>
    </w:p>
    <w:p w14:paraId="613648DC" w14:textId="77777777" w:rsidR="006C5C3E" w:rsidRDefault="006C5C3E"/>
  </w:endnote>
  <w:endnote w:type="continuationSeparator" w:id="0">
    <w:p w14:paraId="67F74FDC" w14:textId="77777777" w:rsidR="006C5C3E" w:rsidRDefault="006C5C3E" w:rsidP="00BA3306">
      <w:pPr>
        <w:spacing w:before="0" w:after="0"/>
      </w:pPr>
      <w:r>
        <w:continuationSeparator/>
      </w:r>
    </w:p>
    <w:p w14:paraId="15BFAAD4" w14:textId="77777777" w:rsidR="006C5C3E" w:rsidRDefault="006C5C3E"/>
  </w:endnote>
  <w:endnote w:type="continuationNotice" w:id="1">
    <w:p w14:paraId="7E6EE16F" w14:textId="77777777" w:rsidR="006C5C3E" w:rsidRDefault="006C5C3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Light Semi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1859" w14:textId="063C08CD" w:rsidR="007D59B3" w:rsidRDefault="009B37D8">
    <w:pPr>
      <w:pStyle w:val="Footer"/>
    </w:pPr>
    <w:r>
      <w:rPr>
        <w:noProof/>
      </w:rPr>
      <mc:AlternateContent>
        <mc:Choice Requires="wps">
          <w:drawing>
            <wp:anchor distT="0" distB="0" distL="0" distR="0" simplePos="0" relativeHeight="251668480" behindDoc="0" locked="0" layoutInCell="1" allowOverlap="1" wp14:anchorId="482A4D34" wp14:editId="1E0CB78B">
              <wp:simplePos x="635" y="635"/>
              <wp:positionH relativeFrom="page">
                <wp:align>center</wp:align>
              </wp:positionH>
              <wp:positionV relativeFrom="page">
                <wp:align>bottom</wp:align>
              </wp:positionV>
              <wp:extent cx="551815" cy="452755"/>
              <wp:effectExtent l="0" t="0" r="635" b="0"/>
              <wp:wrapNone/>
              <wp:docPr id="7672411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B96A381" w14:textId="3D0B8519"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2A4D34"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5.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fill o:detectmouseclick="t"/>
              <v:textbox style="mso-fit-shape-to-text:t" inset="0,0,0,15pt">
                <w:txbxContent>
                  <w:p w14:paraId="5B96A381" w14:textId="3D0B8519"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D809" w14:textId="77A5B7EA" w:rsidR="00D140E0" w:rsidRDefault="009B37D8" w:rsidP="00D12BC7">
    <w:pPr>
      <w:pStyle w:val="Footer"/>
      <w:jc w:val="center"/>
      <w:rPr>
        <w:b/>
        <w:bCs/>
      </w:rPr>
    </w:pPr>
    <w:r>
      <w:rPr>
        <w:b/>
        <w:bCs/>
        <w:noProof/>
      </w:rPr>
      <mc:AlternateContent>
        <mc:Choice Requires="wps">
          <w:drawing>
            <wp:anchor distT="0" distB="0" distL="0" distR="0" simplePos="0" relativeHeight="251669504" behindDoc="0" locked="0" layoutInCell="1" allowOverlap="1" wp14:anchorId="2B8D88C4" wp14:editId="592EE2D7">
              <wp:simplePos x="635" y="635"/>
              <wp:positionH relativeFrom="page">
                <wp:align>center</wp:align>
              </wp:positionH>
              <wp:positionV relativeFrom="page">
                <wp:align>bottom</wp:align>
              </wp:positionV>
              <wp:extent cx="551815" cy="452755"/>
              <wp:effectExtent l="0" t="0" r="635" b="0"/>
              <wp:wrapNone/>
              <wp:docPr id="3127094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62215A2C" w14:textId="348D2938"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8D88C4"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5.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A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yNT9DpoTDuVg3Le3fN1h6Q3z4Zk5XDDOgaIN&#10;T3hIBX1N4WxR0oL78Td/zEfeMUpJj4KpqUFFU6K+GdxH1NZkuMnYJaO4zcsc4+ag7wFlWOCLsDyZ&#10;6HVBTaZ0oF9RzqtYCEPMcCxX091k3odRufgcuFitUhLKyLKwMVvLI3SkK3L5MrwyZ8+EB9zUI0xq&#10;YtUb3sfceNPb1SEg+2kpkdqRyDPjKMG01vNziRr/9T9lXR/18ic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mhwKQ4CAAAc&#10;BAAADgAAAAAAAAAAAAAAAAAuAgAAZHJzL2Uyb0RvYy54bWxQSwECLQAUAAYACAAAACEA763esdsA&#10;AAADAQAADwAAAAAAAAAAAAAAAABoBAAAZHJzL2Rvd25yZXYueG1sUEsFBgAAAAAEAAQA8wAAAHAF&#10;AAAAAA==&#10;" filled="f" stroked="f">
              <v:fill o:detectmouseclick="t"/>
              <v:textbox style="mso-fit-shape-to-text:t" inset="0,0,0,15pt">
                <w:txbxContent>
                  <w:p w14:paraId="62215A2C" w14:textId="348D2938"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v:textbox>
              <w10:wrap anchorx="page" anchory="page"/>
            </v:shape>
          </w:pict>
        </mc:Fallback>
      </mc:AlternateContent>
    </w:r>
  </w:p>
  <w:p w14:paraId="27A182A0" w14:textId="15C1D90F" w:rsidR="00227D10" w:rsidRPr="00D12BC7" w:rsidRDefault="00D12BC7" w:rsidP="00D12BC7">
    <w:pPr>
      <w:pStyle w:val="Footer"/>
      <w:jc w:val="center"/>
      <w:rPr>
        <w:b/>
        <w:bCs/>
      </w:rPr>
    </w:pPr>
    <w:r w:rsidRPr="00D12BC7">
      <w:rPr>
        <w:b/>
        <w:bCs/>
      </w:rPr>
      <w:fldChar w:fldCharType="begin"/>
    </w:r>
    <w:r w:rsidRPr="00D12BC7">
      <w:rPr>
        <w:b/>
        <w:bCs/>
      </w:rPr>
      <w:instrText xml:space="preserve"> PAGE   \* MERGEFORMAT </w:instrText>
    </w:r>
    <w:r w:rsidRPr="00D12BC7">
      <w:rPr>
        <w:b/>
        <w:bCs/>
      </w:rPr>
      <w:fldChar w:fldCharType="separate"/>
    </w:r>
    <w:r w:rsidRPr="00D12BC7">
      <w:rPr>
        <w:b/>
        <w:bCs/>
      </w:rPr>
      <w:t>22</w:t>
    </w:r>
    <w:r w:rsidRPr="00D12BC7">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4A89" w14:textId="6DF2B7BD" w:rsidR="007D59B3" w:rsidRDefault="009B37D8">
    <w:pPr>
      <w:pStyle w:val="Footer"/>
    </w:pPr>
    <w:r>
      <w:rPr>
        <w:noProof/>
      </w:rPr>
      <mc:AlternateContent>
        <mc:Choice Requires="wps">
          <w:drawing>
            <wp:anchor distT="0" distB="0" distL="0" distR="0" simplePos="0" relativeHeight="251667456" behindDoc="0" locked="0" layoutInCell="1" allowOverlap="1" wp14:anchorId="137FD1C3" wp14:editId="6A02801A">
              <wp:simplePos x="635" y="635"/>
              <wp:positionH relativeFrom="page">
                <wp:align>center</wp:align>
              </wp:positionH>
              <wp:positionV relativeFrom="page">
                <wp:align>bottom</wp:align>
              </wp:positionV>
              <wp:extent cx="551815" cy="452755"/>
              <wp:effectExtent l="0" t="0" r="635" b="0"/>
              <wp:wrapNone/>
              <wp:docPr id="86374255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F5CBA94" w14:textId="336E9D5A"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FD1C3"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2Z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nU/d76A54VAOxn17y9cdlt4wH56ZwwXjHCja&#10;8ISHVNDXFM4WJS24H3/zx3zkHaOU9CiYmhpUNCXqm8F9RG1NhpuMXTKK27zMMW4O+h5QhgW+CMuT&#10;iV4X1GRKB/oV5byKhTDEDMdyNd1N5n0YlYvPgYvVKiWhjCwLG7O1PEJHuiKXL8Mrc/ZMeMBNPcKk&#10;Jla94X3MjTe9XR0Csp+WEqkdiTwzjhJMaz0/l6jxX/9T1vVRL38C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VRtmQ4CAAAc&#10;BAAADgAAAAAAAAAAAAAAAAAuAgAAZHJzL2Uyb0RvYy54bWxQSwECLQAUAAYACAAAACEA763esdsA&#10;AAADAQAADwAAAAAAAAAAAAAAAABoBAAAZHJzL2Rvd25yZXYueG1sUEsFBgAAAAAEAAQA8wAAAHAF&#10;AAAAAA==&#10;" filled="f" stroked="f">
              <v:fill o:detectmouseclick="t"/>
              <v:textbox style="mso-fit-shape-to-text:t" inset="0,0,0,15pt">
                <w:txbxContent>
                  <w:p w14:paraId="4F5CBA94" w14:textId="336E9D5A"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7D6AB" w14:textId="77777777" w:rsidR="006C5C3E" w:rsidRDefault="006C5C3E" w:rsidP="00BA3306">
      <w:pPr>
        <w:spacing w:before="0" w:after="0"/>
      </w:pPr>
      <w:r>
        <w:separator/>
      </w:r>
    </w:p>
    <w:p w14:paraId="4EA350FC" w14:textId="77777777" w:rsidR="006C5C3E" w:rsidRDefault="006C5C3E"/>
  </w:footnote>
  <w:footnote w:type="continuationSeparator" w:id="0">
    <w:p w14:paraId="02B72261" w14:textId="77777777" w:rsidR="006C5C3E" w:rsidRDefault="006C5C3E" w:rsidP="00BA3306">
      <w:pPr>
        <w:spacing w:before="0" w:after="0"/>
      </w:pPr>
      <w:r>
        <w:continuationSeparator/>
      </w:r>
    </w:p>
    <w:p w14:paraId="46AE9105" w14:textId="77777777" w:rsidR="006C5C3E" w:rsidRDefault="006C5C3E"/>
  </w:footnote>
  <w:footnote w:type="continuationNotice" w:id="1">
    <w:p w14:paraId="02CFA4E0" w14:textId="77777777" w:rsidR="006C5C3E" w:rsidRDefault="006C5C3E">
      <w:pPr>
        <w:spacing w:before="0" w:after="0"/>
      </w:pPr>
    </w:p>
  </w:footnote>
  <w:footnote w:id="2">
    <w:p w14:paraId="33027AED" w14:textId="4C6E8C29" w:rsidR="00CD3054" w:rsidRDefault="00CD3054">
      <w:pPr>
        <w:pStyle w:val="FootnoteText"/>
      </w:pPr>
      <w:r>
        <w:rPr>
          <w:rStyle w:val="FootnoteReference"/>
        </w:rPr>
        <w:footnoteRef/>
      </w:r>
      <w:r>
        <w:t xml:space="preserve"> </w:t>
      </w:r>
      <w:r w:rsidR="00095C93" w:rsidRPr="00095C93">
        <w:rPr>
          <w:rFonts w:ascii="Calibri" w:eastAsia="Calibri" w:hAnsi="Calibri" w:cs="Calibri"/>
          <w:sz w:val="20"/>
          <w:lang w:val="en-GB" w:eastAsia="ja-JP"/>
        </w:rPr>
        <w:t>Information will be unredacted in full when the product has been approved by the Therapeutic Goods Administration (TGA) and listed on the Australian Register of Therapeutic Goods (ARTG)</w:t>
      </w:r>
    </w:p>
  </w:footnote>
  <w:footnote w:id="3">
    <w:p w14:paraId="2441110F" w14:textId="56E48182" w:rsidR="00320FD0" w:rsidRPr="009E3AA2" w:rsidRDefault="00320FD0" w:rsidP="00CC121D">
      <w:pPr>
        <w:pStyle w:val="Bibliography"/>
        <w:spacing w:before="0" w:after="0"/>
        <w:rPr>
          <w:sz w:val="18"/>
          <w:szCs w:val="18"/>
        </w:rPr>
      </w:pPr>
      <w:r>
        <w:rPr>
          <w:rStyle w:val="FootnoteReference"/>
        </w:rPr>
        <w:footnoteRef/>
      </w:r>
      <w:r>
        <w:t xml:space="preserve"> </w:t>
      </w:r>
      <w:r w:rsidR="009E3AA2" w:rsidRPr="0019409D">
        <w:rPr>
          <w:rFonts w:ascii="Arial Narrow" w:hAnsi="Arial Narrow"/>
          <w:sz w:val="18"/>
          <w:szCs w:val="18"/>
        </w:rPr>
        <w:t xml:space="preserve">Cancer Australia. (2023). </w:t>
      </w:r>
      <w:r w:rsidR="009E3AA2" w:rsidRPr="0019409D">
        <w:rPr>
          <w:rFonts w:ascii="Arial Narrow" w:hAnsi="Arial Narrow"/>
          <w:i/>
          <w:iCs/>
          <w:sz w:val="18"/>
          <w:szCs w:val="18"/>
        </w:rPr>
        <w:t>Breast cancer in Australia statistics</w:t>
      </w:r>
      <w:r w:rsidR="009E3AA2" w:rsidRPr="0019409D">
        <w:rPr>
          <w:rFonts w:ascii="Arial Narrow" w:hAnsi="Arial Narrow"/>
          <w:sz w:val="18"/>
          <w:szCs w:val="18"/>
        </w:rPr>
        <w:t>. https://www.canceraustralia.gov.au/cancer-types/breast-cancer/statistics</w:t>
      </w:r>
    </w:p>
  </w:footnote>
  <w:footnote w:id="4">
    <w:p w14:paraId="69F71883" w14:textId="10A01E5C" w:rsidR="00457154" w:rsidRDefault="00457154" w:rsidP="00CC121D">
      <w:pPr>
        <w:pStyle w:val="Bibliography"/>
        <w:spacing w:before="0" w:after="0"/>
      </w:pPr>
      <w:r>
        <w:rPr>
          <w:rStyle w:val="FootnoteReference"/>
        </w:rPr>
        <w:footnoteRef/>
      </w:r>
      <w:r>
        <w:t xml:space="preserve"> </w:t>
      </w:r>
      <w:r w:rsidRPr="0019409D">
        <w:rPr>
          <w:rFonts w:ascii="Arial Narrow" w:hAnsi="Arial Narrow"/>
          <w:sz w:val="18"/>
          <w:szCs w:val="18"/>
        </w:rPr>
        <w:t xml:space="preserve">Harbeck, N., Penault-Llorca, F., Cortes, J., et al. (2019). Breast cancer. </w:t>
      </w:r>
      <w:r w:rsidRPr="0019409D">
        <w:rPr>
          <w:rFonts w:ascii="Arial Narrow" w:hAnsi="Arial Narrow"/>
          <w:i/>
          <w:iCs/>
          <w:sz w:val="18"/>
          <w:szCs w:val="18"/>
        </w:rPr>
        <w:t>Nature Reviews Disease Primers</w:t>
      </w:r>
      <w:r w:rsidRPr="0019409D">
        <w:rPr>
          <w:rFonts w:ascii="Arial Narrow" w:hAnsi="Arial Narrow"/>
          <w:sz w:val="18"/>
          <w:szCs w:val="18"/>
        </w:rPr>
        <w:t xml:space="preserve">, </w:t>
      </w:r>
      <w:r w:rsidRPr="0019409D">
        <w:rPr>
          <w:rFonts w:ascii="Arial Narrow" w:hAnsi="Arial Narrow"/>
          <w:i/>
          <w:iCs/>
          <w:sz w:val="18"/>
          <w:szCs w:val="18"/>
        </w:rPr>
        <w:t>5</w:t>
      </w:r>
      <w:r w:rsidRPr="0019409D">
        <w:rPr>
          <w:rFonts w:ascii="Arial Narrow" w:hAnsi="Arial Narrow"/>
          <w:sz w:val="18"/>
          <w:szCs w:val="18"/>
        </w:rPr>
        <w:t>(1), 1–31. https://doi.org/10.1038/s41572-019-0111-2</w:t>
      </w:r>
    </w:p>
  </w:footnote>
  <w:footnote w:id="5">
    <w:p w14:paraId="4C56A6B1" w14:textId="12DD39F3" w:rsidR="00AE4C03" w:rsidRPr="00773C67" w:rsidRDefault="00AE4C03" w:rsidP="00CC121D">
      <w:pPr>
        <w:pStyle w:val="Bibliography"/>
        <w:spacing w:before="0" w:after="0"/>
        <w:contextualSpacing/>
        <w:rPr>
          <w:rFonts w:ascii="Arial Narrow" w:hAnsi="Arial Narrow"/>
          <w:sz w:val="18"/>
          <w:szCs w:val="18"/>
          <w:lang w:val="pt-BR"/>
        </w:rPr>
      </w:pPr>
      <w:r>
        <w:rPr>
          <w:rStyle w:val="FootnoteReference"/>
        </w:rPr>
        <w:footnoteRef/>
      </w:r>
      <w:r>
        <w:t xml:space="preserve"> </w:t>
      </w:r>
      <w:r w:rsidRPr="0019409D">
        <w:rPr>
          <w:rFonts w:ascii="Arial Narrow" w:hAnsi="Arial Narrow"/>
          <w:noProof/>
          <w:sz w:val="18"/>
          <w:szCs w:val="18"/>
        </w:rPr>
        <w:t xml:space="preserve">Howlader, N., Altekruse, S. F., Li, C. I., Chen, V. W., Clarke, C. A., &amp; et al. (2014). US incidence of breast cancer subtypes defined by joint hormone receptor and HER2 status. </w:t>
      </w:r>
      <w:r w:rsidRPr="008630E8">
        <w:rPr>
          <w:rFonts w:ascii="Arial Narrow" w:hAnsi="Arial Narrow"/>
          <w:i/>
          <w:sz w:val="18"/>
          <w:szCs w:val="18"/>
          <w:lang w:val="pt-BR"/>
        </w:rPr>
        <w:t>J Natl Cancer Inst</w:t>
      </w:r>
      <w:r w:rsidRPr="008630E8">
        <w:rPr>
          <w:rFonts w:ascii="Arial Narrow" w:hAnsi="Arial Narrow"/>
          <w:sz w:val="18"/>
          <w:szCs w:val="18"/>
          <w:lang w:val="pt-BR"/>
        </w:rPr>
        <w:t>, 106(5):dju055</w:t>
      </w:r>
    </w:p>
  </w:footnote>
  <w:footnote w:id="6">
    <w:p w14:paraId="467E987E" w14:textId="28118FA2" w:rsidR="00CE1EA5" w:rsidRDefault="00CE1EA5" w:rsidP="00CC121D">
      <w:pPr>
        <w:pStyle w:val="FootnoteText"/>
      </w:pPr>
      <w:r>
        <w:rPr>
          <w:rStyle w:val="FootnoteReference"/>
        </w:rPr>
        <w:footnoteRef/>
      </w:r>
      <w:r>
        <w:t xml:space="preserve"> </w:t>
      </w:r>
      <w:r w:rsidR="00CC121D" w:rsidRPr="008630E8">
        <w:rPr>
          <w:rFonts w:ascii="Arial Narrow" w:hAnsi="Arial Narrow"/>
          <w:szCs w:val="18"/>
          <w:lang w:val="pt-BR"/>
        </w:rPr>
        <w:t xml:space="preserve">Gennari, A., André, F., Barrios, C. H., et al. </w:t>
      </w:r>
      <w:r w:rsidR="00CC121D" w:rsidRPr="00217350">
        <w:rPr>
          <w:rFonts w:ascii="Arial Narrow" w:hAnsi="Arial Narrow"/>
          <w:szCs w:val="18"/>
        </w:rPr>
        <w:t xml:space="preserve">(2021). ESMO Clinical Practice Guideline for the diagnosis, staging and treatment of patients with metastatic breast cancer. </w:t>
      </w:r>
      <w:r w:rsidR="00CC121D" w:rsidRPr="00217350">
        <w:rPr>
          <w:rFonts w:ascii="Arial Narrow" w:hAnsi="Arial Narrow"/>
          <w:i/>
          <w:iCs/>
          <w:szCs w:val="18"/>
        </w:rPr>
        <w:t>Annals of Oncology</w:t>
      </w:r>
      <w:r w:rsidR="00CC121D" w:rsidRPr="00217350">
        <w:rPr>
          <w:rFonts w:ascii="Arial Narrow" w:hAnsi="Arial Narrow"/>
          <w:szCs w:val="18"/>
        </w:rPr>
        <w:t xml:space="preserve">, </w:t>
      </w:r>
      <w:r w:rsidR="00CC121D" w:rsidRPr="00217350">
        <w:rPr>
          <w:rFonts w:ascii="Arial Narrow" w:hAnsi="Arial Narrow"/>
          <w:i/>
          <w:iCs/>
          <w:szCs w:val="18"/>
        </w:rPr>
        <w:t>32</w:t>
      </w:r>
      <w:r w:rsidR="00CC121D" w:rsidRPr="00217350">
        <w:rPr>
          <w:rFonts w:ascii="Arial Narrow" w:hAnsi="Arial Narrow"/>
          <w:szCs w:val="18"/>
        </w:rPr>
        <w:t xml:space="preserve">(12), 1475–1495. </w:t>
      </w:r>
      <w:hyperlink r:id="rId1" w:history="1">
        <w:r w:rsidR="00CC121D" w:rsidRPr="00E731BA">
          <w:rPr>
            <w:rStyle w:val="Hyperlink"/>
            <w:rFonts w:ascii="Arial Narrow" w:hAnsi="Arial Narrow"/>
            <w:szCs w:val="18"/>
          </w:rPr>
          <w:t>https://doi.org/10.1016/j.annonc.2021.09.019</w:t>
        </w:r>
      </w:hyperlink>
      <w:r w:rsidR="00CC121D">
        <w:rPr>
          <w:rFonts w:ascii="Arial Narrow" w:hAnsi="Arial Narrow"/>
          <w:szCs w:val="18"/>
        </w:rPr>
        <w:t>.</w:t>
      </w:r>
    </w:p>
  </w:footnote>
  <w:footnote w:id="7">
    <w:p w14:paraId="7C564F78" w14:textId="25BD869E" w:rsidR="00E10B29" w:rsidRDefault="00E10B29">
      <w:pPr>
        <w:pStyle w:val="FootnoteText"/>
      </w:pPr>
      <w:r>
        <w:rPr>
          <w:rStyle w:val="FootnoteReference"/>
        </w:rPr>
        <w:footnoteRef/>
      </w:r>
      <w:r>
        <w:t xml:space="preserve"> </w:t>
      </w:r>
      <w:r w:rsidRPr="009F6204">
        <w:rPr>
          <w:rFonts w:ascii="Arial Narrow" w:hAnsi="Arial Narrow"/>
          <w:noProof/>
          <w:szCs w:val="18"/>
        </w:rPr>
        <w:t xml:space="preserve">Hartkopf, A. D., Grischke, E., &amp; Brucker, S. Y. (2020). Endocrine-Resistant Breast Cancer: Mechanisms and Treatment. </w:t>
      </w:r>
      <w:r w:rsidRPr="009F6204">
        <w:rPr>
          <w:rFonts w:ascii="Arial Narrow" w:hAnsi="Arial Narrow"/>
          <w:i/>
          <w:iCs/>
          <w:noProof/>
          <w:szCs w:val="18"/>
        </w:rPr>
        <w:t>Breast Care (Basel)</w:t>
      </w:r>
      <w:r w:rsidRPr="009F6204">
        <w:rPr>
          <w:rFonts w:ascii="Arial Narrow" w:hAnsi="Arial Narrow"/>
          <w:noProof/>
          <w:szCs w:val="18"/>
        </w:rPr>
        <w:t>, 15(4):347-354.</w:t>
      </w:r>
    </w:p>
  </w:footnote>
  <w:footnote w:id="8">
    <w:p w14:paraId="11E619C2" w14:textId="4470E3EF" w:rsidR="00C415FB" w:rsidRDefault="00C415FB">
      <w:pPr>
        <w:pStyle w:val="FootnoteText"/>
      </w:pPr>
      <w:r>
        <w:rPr>
          <w:rStyle w:val="FootnoteReference"/>
        </w:rPr>
        <w:footnoteRef/>
      </w:r>
      <w:r>
        <w:t xml:space="preserve"> </w:t>
      </w:r>
      <w:r>
        <w:rPr>
          <w:noProof/>
        </w:rPr>
        <w:t xml:space="preserve">Brett, J. O., Spring, L. M., Bardia, A., &amp; Wander, S. A. (2021). </w:t>
      </w:r>
      <w:r w:rsidRPr="00380A81">
        <w:rPr>
          <w:i/>
        </w:rPr>
        <w:t>ESR1</w:t>
      </w:r>
      <w:r>
        <w:rPr>
          <w:noProof/>
        </w:rPr>
        <w:t xml:space="preserve"> mutation as an emerging clinical biomarker in metastatic hormone receptor-positive breast cancer. </w:t>
      </w:r>
      <w:r>
        <w:rPr>
          <w:i/>
          <w:iCs/>
          <w:noProof/>
        </w:rPr>
        <w:t>Breast Cancer Res</w:t>
      </w:r>
      <w:r>
        <w:rPr>
          <w:noProof/>
        </w:rPr>
        <w:t>, 23(1):85.</w:t>
      </w:r>
    </w:p>
  </w:footnote>
  <w:footnote w:id="9">
    <w:p w14:paraId="0BA13C05" w14:textId="41E01C33" w:rsidR="00C415FB" w:rsidRDefault="00C415FB">
      <w:pPr>
        <w:pStyle w:val="FootnoteText"/>
      </w:pPr>
      <w:r>
        <w:rPr>
          <w:rStyle w:val="FootnoteReference"/>
        </w:rPr>
        <w:footnoteRef/>
      </w:r>
      <w:r>
        <w:t xml:space="preserve"> </w:t>
      </w:r>
      <w:r>
        <w:rPr>
          <w:noProof/>
        </w:rPr>
        <w:t xml:space="preserve">Piezzo, M. C. (2020). Progression-Free Survival and Overall Survival of CDK 4/6 Inhibitors Plus Endocrine Therapy in Metastatic Breast Cancer: A Systematic Review and Meta-Analysis. . </w:t>
      </w:r>
      <w:r>
        <w:rPr>
          <w:i/>
          <w:iCs/>
          <w:noProof/>
        </w:rPr>
        <w:t>International Journal of Molecular Science</w:t>
      </w:r>
      <w:r>
        <w:rPr>
          <w:noProof/>
        </w:rPr>
        <w:t>, 21(17) 6400.</w:t>
      </w:r>
    </w:p>
  </w:footnote>
  <w:footnote w:id="10">
    <w:p w14:paraId="5BCE3017" w14:textId="2600B2FB" w:rsidR="005A5108" w:rsidRDefault="005A5108">
      <w:pPr>
        <w:pStyle w:val="FootnoteText"/>
      </w:pPr>
      <w:r>
        <w:rPr>
          <w:rStyle w:val="FootnoteReference"/>
        </w:rPr>
        <w:footnoteRef/>
      </w:r>
      <w:r>
        <w:t xml:space="preserve"> </w:t>
      </w:r>
      <w:r w:rsidRPr="00910DA3">
        <w:rPr>
          <w:rStyle w:val="TableFooterChar"/>
          <w:rFonts w:eastAsiaTheme="minorHAnsi"/>
        </w:rPr>
        <w:t xml:space="preserve">Turner, N. C., Swift, C., Kilburn, L., Fribbens, C., Beaney, M., &amp; et al. (2020). </w:t>
      </w:r>
      <w:r w:rsidRPr="00380A81">
        <w:rPr>
          <w:rStyle w:val="TableFooterChar"/>
          <w:rFonts w:eastAsiaTheme="minorHAnsi"/>
          <w:i/>
        </w:rPr>
        <w:t>ESR1</w:t>
      </w:r>
      <w:r w:rsidRPr="00910DA3">
        <w:rPr>
          <w:rStyle w:val="TableFooterChar"/>
          <w:rFonts w:eastAsiaTheme="minorHAnsi"/>
        </w:rPr>
        <w:t xml:space="preserve"> Mutations and Overall Survival on Fulvestrant versus Exemestane in Advanced Hormone</w:t>
      </w:r>
      <w:r>
        <w:rPr>
          <w:noProof/>
        </w:rPr>
        <w:t xml:space="preserve"> </w:t>
      </w:r>
      <w:r w:rsidRPr="00910DA3">
        <w:rPr>
          <w:rStyle w:val="TableFooterChar"/>
          <w:rFonts w:eastAsiaTheme="minorHAnsi"/>
        </w:rPr>
        <w:t>Receptor-Positive Breast Cancer: A Combined Analysis of the Phase III SoFEA and EFECT Trials. Clin Cancer Res, 26(19):5172-5177.</w:t>
      </w:r>
    </w:p>
  </w:footnote>
  <w:footnote w:id="11">
    <w:p w14:paraId="2F6B6D0B" w14:textId="65B91055" w:rsidR="00297166" w:rsidRDefault="00297166">
      <w:pPr>
        <w:pStyle w:val="FootnoteText"/>
      </w:pPr>
      <w:r>
        <w:rPr>
          <w:rStyle w:val="FootnoteReference"/>
        </w:rPr>
        <w:footnoteRef/>
      </w:r>
      <w:r>
        <w:t xml:space="preserve"> </w:t>
      </w:r>
      <w:r w:rsidR="001F3F25" w:rsidRPr="001B5EAE">
        <w:t xml:space="preserve">ESMO. (2024). </w:t>
      </w:r>
      <w:r w:rsidR="001F3F25" w:rsidRPr="001B5EAE">
        <w:rPr>
          <w:i/>
          <w:iCs/>
        </w:rPr>
        <w:t>ESMO Guidelines Breast Cancer Version 4. 2024.</w:t>
      </w:r>
      <w:r w:rsidR="001F3F25" w:rsidRPr="001B5EAE">
        <w:t xml:space="preserve"> ESMO. Retrieved Sep 08, 2024, from </w:t>
      </w:r>
      <w:hyperlink r:id="rId2" w:history="1">
        <w:r w:rsidR="001F3F25" w:rsidRPr="001B5EAE">
          <w:rPr>
            <w:rStyle w:val="Hyperlink"/>
            <w:color w:val="auto"/>
          </w:rPr>
          <w:t>https://www.esmo.org/living-guidelines/esmo-metastatic-breast-cancer-living-guideline/er-positive-her2-negative-breast-cancer</w:t>
        </w:r>
      </w:hyperlink>
      <w:r w:rsidR="001F3F25" w:rsidRPr="001B5EAE">
        <w:t>.</w:t>
      </w:r>
    </w:p>
  </w:footnote>
  <w:footnote w:id="12">
    <w:p w14:paraId="35EBE280" w14:textId="0B3CC977" w:rsidR="001C5A36" w:rsidRDefault="001C5A36">
      <w:pPr>
        <w:pStyle w:val="FootnoteText"/>
      </w:pPr>
      <w:r>
        <w:rPr>
          <w:rStyle w:val="FootnoteReference"/>
        </w:rPr>
        <w:footnoteRef/>
      </w:r>
      <w:r>
        <w:t xml:space="preserve"> </w:t>
      </w:r>
      <w:r w:rsidR="00857862">
        <w:rPr>
          <w:noProof/>
        </w:rPr>
        <w:t xml:space="preserve">NCCN. (2024). </w:t>
      </w:r>
      <w:r w:rsidR="00857862">
        <w:rPr>
          <w:i/>
          <w:iCs/>
          <w:noProof/>
        </w:rPr>
        <w:t>NCCN Guidelines Breast Cancer Version 4. 2024.</w:t>
      </w:r>
      <w:r w:rsidR="00857862">
        <w:rPr>
          <w:noProof/>
        </w:rPr>
        <w:t xml:space="preserve"> NCCN. Retrieved Sep 08, 2024, from </w:t>
      </w:r>
      <w:hyperlink r:id="rId3" w:history="1">
        <w:r w:rsidR="00857862" w:rsidRPr="00E731BA">
          <w:rPr>
            <w:rStyle w:val="Hyperlink"/>
            <w:noProof/>
          </w:rPr>
          <w:t>https://www.nccn.org/professionals/physician_gls/pdf/breast.pdf</w:t>
        </w:r>
      </w:hyperlink>
      <w:r w:rsidR="00857862">
        <w:rPr>
          <w:noProof/>
        </w:rPr>
        <w:t>.</w:t>
      </w:r>
    </w:p>
  </w:footnote>
  <w:footnote w:id="13">
    <w:p w14:paraId="23C8586F" w14:textId="7C0D11F4" w:rsidR="00B530AF" w:rsidRDefault="00B530AF">
      <w:pPr>
        <w:pStyle w:val="FootnoteText"/>
      </w:pPr>
      <w:r>
        <w:rPr>
          <w:rStyle w:val="FootnoteReference"/>
        </w:rPr>
        <w:footnoteRef/>
      </w:r>
      <w:r>
        <w:t xml:space="preserve"> </w:t>
      </w:r>
      <w:r w:rsidRPr="00B530AF">
        <w:t xml:space="preserve">Cancer Australia. (2023). </w:t>
      </w:r>
      <w:r w:rsidRPr="00B530AF">
        <w:rPr>
          <w:i/>
          <w:iCs/>
        </w:rPr>
        <w:t>Breast cancer in Australia statistics</w:t>
      </w:r>
      <w:r w:rsidRPr="00B530AF">
        <w:t>. https://www.canceraustralia.gov.au/cancer-types/breast-cancer/statistics</w:t>
      </w:r>
    </w:p>
  </w:footnote>
  <w:footnote w:id="14">
    <w:p w14:paraId="3BE9DFAC" w14:textId="629637DC" w:rsidR="002B57AF" w:rsidRDefault="002B57AF">
      <w:pPr>
        <w:pStyle w:val="FootnoteText"/>
      </w:pPr>
      <w:r>
        <w:rPr>
          <w:rStyle w:val="FootnoteReference"/>
        </w:rPr>
        <w:footnoteRef/>
      </w:r>
      <w:r>
        <w:t xml:space="preserve"> </w:t>
      </w:r>
      <w:r w:rsidRPr="002B57AF">
        <w:t xml:space="preserve">Harbeck, N., Penault-Llorca, F., Cortes, J., et al. (2019). Breast cancer. </w:t>
      </w:r>
      <w:r w:rsidRPr="002B57AF">
        <w:rPr>
          <w:i/>
          <w:iCs/>
        </w:rPr>
        <w:t>Nature Reviews Disease Primers</w:t>
      </w:r>
      <w:r w:rsidRPr="002B57AF">
        <w:t xml:space="preserve">, </w:t>
      </w:r>
      <w:r w:rsidRPr="002B57AF">
        <w:rPr>
          <w:i/>
          <w:iCs/>
        </w:rPr>
        <w:t>5</w:t>
      </w:r>
      <w:r w:rsidRPr="002B57AF">
        <w:t>(1), 1–31. https://doi.org/10.1038/s41572-019-0111-2</w:t>
      </w:r>
    </w:p>
  </w:footnote>
  <w:footnote w:id="15">
    <w:p w14:paraId="175B8C09" w14:textId="77777777" w:rsidR="00120DBE" w:rsidRPr="00D661B3" w:rsidRDefault="00120DBE" w:rsidP="00120DBE">
      <w:pPr>
        <w:pStyle w:val="FootnoteText"/>
        <w:rPr>
          <w:i/>
          <w:iCs/>
        </w:rPr>
      </w:pPr>
      <w:r w:rsidRPr="00D661B3">
        <w:rPr>
          <w:rStyle w:val="FootnoteReference"/>
          <w:i/>
          <w:iCs/>
        </w:rPr>
        <w:footnoteRef/>
      </w:r>
      <w:r w:rsidRPr="00D661B3">
        <w:rPr>
          <w:i/>
          <w:iCs/>
        </w:rPr>
        <w:t xml:space="preserve"> </w:t>
      </w:r>
      <w:r w:rsidRPr="00B333AF">
        <w:t>Ashai N, Swain SM. Post-CDK 4/6 Inhibitor Therapy: Current Agents and Novel Targets. Cancers (Basel). 2023 Mar 20;15(6):1855. doi: 10.3390/cancers15061855.</w:t>
      </w:r>
      <w:r w:rsidRPr="00D661B3">
        <w:rPr>
          <w:i/>
          <w:iCs/>
        </w:rPr>
        <w:t xml:space="preserve"> </w:t>
      </w:r>
    </w:p>
  </w:footnote>
  <w:footnote w:id="16">
    <w:p w14:paraId="00297E58" w14:textId="2C47C539" w:rsidR="005E61CF" w:rsidRDefault="005E61CF">
      <w:pPr>
        <w:pStyle w:val="FootnoteText"/>
      </w:pPr>
      <w:r>
        <w:rPr>
          <w:rStyle w:val="FootnoteReference"/>
        </w:rPr>
        <w:footnoteRef/>
      </w:r>
      <w:r>
        <w:t xml:space="preserve"> </w:t>
      </w:r>
      <w:r w:rsidRPr="00255699">
        <w:rPr>
          <w:rFonts w:cs="Arial"/>
          <w:bCs/>
          <w:snapToGrid w:val="0"/>
          <w:sz w:val="16"/>
        </w:rPr>
        <w:t>Cherny NI, Dafni U, Bogaerts J, et al: ESMO-Magnitude of Clinical Benefit Scale version 1.1. Annals of Oncology 28:2340-2366, 2017</w:t>
      </w:r>
    </w:p>
  </w:footnote>
  <w:footnote w:id="17">
    <w:p w14:paraId="26B67E3E" w14:textId="7A6BE882" w:rsidR="00C268E4" w:rsidRDefault="00C268E4" w:rsidP="00C268E4">
      <w:pPr>
        <w:pStyle w:val="FootnoteText"/>
      </w:pPr>
      <w:r>
        <w:rPr>
          <w:rStyle w:val="FootnoteReference"/>
        </w:rPr>
        <w:footnoteRef/>
      </w:r>
      <w:r>
        <w:t xml:space="preserve"> Olivier and Prasad (2022) Elacestrant in metastatic breast cancer: Is the “standard of care” meeting standard requirements?” </w:t>
      </w:r>
      <w:r w:rsidRPr="006F139B">
        <w:rPr>
          <w:i/>
          <w:iCs/>
        </w:rPr>
        <w:t>Translational Oncology 15 (2022) 101273</w:t>
      </w:r>
      <w:r>
        <w:t>.</w:t>
      </w:r>
      <w:r w:rsidR="00B51309">
        <w:t xml:space="preserve"> </w:t>
      </w:r>
      <w:r w:rsidRPr="006F139B">
        <w:t>https://doi.org/10.1016/j.tranon.2021.101273</w:t>
      </w:r>
      <w:r>
        <w:t xml:space="preserve"> </w:t>
      </w:r>
    </w:p>
  </w:footnote>
  <w:footnote w:id="18">
    <w:p w14:paraId="3C39F6AD" w14:textId="32674DF5" w:rsidR="005B6040" w:rsidRPr="00E5039F" w:rsidRDefault="005B6040">
      <w:pPr>
        <w:pStyle w:val="FootnoteText"/>
        <w:rPr>
          <w:i/>
          <w:iCs/>
        </w:rPr>
      </w:pPr>
      <w:r>
        <w:rPr>
          <w:rStyle w:val="FootnoteReference"/>
        </w:rPr>
        <w:footnoteRef/>
      </w:r>
      <w:r>
        <w:t xml:space="preserve"> </w:t>
      </w:r>
      <w:r w:rsidR="00E5039F" w:rsidRPr="00E5039F">
        <w:rPr>
          <w:i/>
          <w:iCs/>
        </w:rPr>
        <w:t xml:space="preserve">Note that the results presented in Paragraph </w:t>
      </w:r>
      <w:r w:rsidR="00E5039F">
        <w:rPr>
          <w:i/>
          <w:iCs/>
        </w:rPr>
        <w:t>6.3</w:t>
      </w:r>
      <w:r w:rsidR="00266D9D">
        <w:rPr>
          <w:i/>
          <w:iCs/>
        </w:rPr>
        <w:t>8</w:t>
      </w:r>
      <w:r w:rsidR="00E5039F" w:rsidRPr="00E5039F">
        <w:rPr>
          <w:i/>
          <w:iCs/>
        </w:rPr>
        <w:t xml:space="preserve"> are derived from ad-hoc analyses conducted by the applicant specifically for the purposes of informing the PBAC consideration. These analyses were not part of the pre-specified statistical plan for </w:t>
      </w:r>
      <w:r w:rsidR="00266D9D" w:rsidRPr="00266D9D">
        <w:rPr>
          <w:i/>
          <w:iCs/>
        </w:rPr>
        <w:t xml:space="preserve">EMERALD </w:t>
      </w:r>
      <w:r w:rsidR="00E5039F" w:rsidRPr="00E5039F">
        <w:rPr>
          <w:i/>
          <w:iCs/>
        </w:rPr>
        <w:t>Study. Interpretation of the results and their application should therefore be limited to seeking to understand the basis for the PBAC outcome and should not be used for any other purpose.</w:t>
      </w:r>
    </w:p>
  </w:footnote>
  <w:footnote w:id="19">
    <w:p w14:paraId="1DBC9401" w14:textId="77777777" w:rsidR="009E18C3" w:rsidRDefault="009E18C3" w:rsidP="009E18C3">
      <w:pPr>
        <w:pStyle w:val="FootnoteText"/>
      </w:pPr>
      <w:r>
        <w:rPr>
          <w:rStyle w:val="FootnoteReference"/>
        </w:rPr>
        <w:footnoteRef/>
      </w:r>
      <w:r>
        <w:t xml:space="preserve"> </w:t>
      </w:r>
      <w:r w:rsidRPr="00886AE0">
        <w:t>Lloyd A, Nafees B, Narewska J, Dewilde S, Watkins J. Health state utilities for metastatic breast cancer. Br J Cancer. 2006 Sep 18;95(6):683-90. doi: 10.1038/sj.bjc.6603326. </w:t>
      </w:r>
    </w:p>
  </w:footnote>
  <w:footnote w:id="20">
    <w:p w14:paraId="5F3DE8BA" w14:textId="6D1589CB" w:rsidR="00307441" w:rsidRDefault="00307441">
      <w:pPr>
        <w:pStyle w:val="FootnoteText"/>
      </w:pPr>
      <w:r>
        <w:rPr>
          <w:rStyle w:val="FootnoteReference"/>
        </w:rPr>
        <w:footnoteRef/>
      </w:r>
      <w:r>
        <w:t xml:space="preserve"> </w:t>
      </w:r>
      <w:r w:rsidR="002A69FB">
        <w:t>O’Leary et al (2018) The Genetic Landscape and Clonal Evolution of Breast Cancer Resistance to Palbociclib plus Fulvestrant in the PALOMA-3 Trial</w:t>
      </w:r>
      <w:r w:rsidR="007564A5">
        <w:t xml:space="preserve"> </w:t>
      </w:r>
      <w:r w:rsidR="007564A5" w:rsidRPr="007564A5">
        <w:rPr>
          <w:i/>
          <w:iCs/>
        </w:rPr>
        <w:t>Cancer Discov</w:t>
      </w:r>
      <w:r w:rsidR="007564A5" w:rsidRPr="007564A5">
        <w:t> (2018) 8 (11): 1390–1403.</w:t>
      </w:r>
      <w:r w:rsidR="007564A5" w:rsidRPr="007564A5">
        <w:rPr>
          <w:sz w:val="24"/>
          <w:szCs w:val="22"/>
        </w:rPr>
        <w:t xml:space="preserve"> </w:t>
      </w:r>
      <w:hyperlink r:id="rId4" w:tgtFrame="_blank" w:history="1">
        <w:r w:rsidR="007564A5" w:rsidRPr="007564A5">
          <w:rPr>
            <w:rStyle w:val="Hyperlink"/>
          </w:rPr>
          <w:t>https://doi.org/10.1158/2159-8290.CD-18-0264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831B" w14:textId="366F7235" w:rsidR="007D59B3" w:rsidRDefault="009B37D8">
    <w:pPr>
      <w:pStyle w:val="Header"/>
    </w:pPr>
    <w:r>
      <w:rPr>
        <w:noProof/>
      </w:rPr>
      <mc:AlternateContent>
        <mc:Choice Requires="wps">
          <w:drawing>
            <wp:anchor distT="0" distB="0" distL="0" distR="0" simplePos="0" relativeHeight="251665408" behindDoc="0" locked="0" layoutInCell="1" allowOverlap="1" wp14:anchorId="6C7D1F83" wp14:editId="4A88A7CD">
              <wp:simplePos x="635" y="635"/>
              <wp:positionH relativeFrom="page">
                <wp:align>center</wp:align>
              </wp:positionH>
              <wp:positionV relativeFrom="page">
                <wp:align>top</wp:align>
              </wp:positionV>
              <wp:extent cx="551815" cy="452755"/>
              <wp:effectExtent l="0" t="0" r="635" b="4445"/>
              <wp:wrapNone/>
              <wp:docPr id="6791419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7A06D45A" w14:textId="730D8A69"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7D1F83"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5.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fill o:detectmouseclick="t"/>
              <v:textbox style="mso-fit-shape-to-text:t" inset="0,15pt,0,0">
                <w:txbxContent>
                  <w:p w14:paraId="7A06D45A" w14:textId="730D8A69"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0" w:name="_Hlk76375146"/>
  <w:p w14:paraId="0A0AA165" w14:textId="740F2DA5" w:rsidR="00C436B5" w:rsidRPr="002A0AA0" w:rsidRDefault="009B37D8" w:rsidP="00C436B5">
    <w:pPr>
      <w:pStyle w:val="Header"/>
      <w:keepNext/>
      <w:ind w:left="360"/>
      <w:jc w:val="center"/>
      <w:rPr>
        <w:rFonts w:cs="Arial"/>
        <w:i/>
      </w:rPr>
    </w:pPr>
    <w:r>
      <w:rPr>
        <w:rFonts w:cs="Arial"/>
        <w:i/>
        <w:noProof/>
      </w:rPr>
      <mc:AlternateContent>
        <mc:Choice Requires="wps">
          <w:drawing>
            <wp:anchor distT="0" distB="0" distL="0" distR="0" simplePos="0" relativeHeight="251666432" behindDoc="0" locked="0" layoutInCell="1" allowOverlap="1" wp14:anchorId="05570429" wp14:editId="73264CC4">
              <wp:simplePos x="635" y="635"/>
              <wp:positionH relativeFrom="page">
                <wp:align>center</wp:align>
              </wp:positionH>
              <wp:positionV relativeFrom="page">
                <wp:align>top</wp:align>
              </wp:positionV>
              <wp:extent cx="551815" cy="452755"/>
              <wp:effectExtent l="0" t="0" r="635" b="4445"/>
              <wp:wrapNone/>
              <wp:docPr id="21003630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AF00BAA" w14:textId="55FC44CF"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570429"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5.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Og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VYfOp+B80Jh3Iw7ttbvu6w9Ib58MwcLhjnQNGG&#10;Jzykgr6mcLYoacH9+Js/5iPvGKWkR8HU1KCiKVHfDO4jaisZxW1e5nhzk3s3Geag7wFlWOCLsDyZ&#10;MS+oyZQO9CvKeRULYYgZjuVqGibzPozKxefAxWqVklBGloWN2VoeoSNdkcuX4ZU5eyY84KYeYVIT&#10;q97wPubGP71dHQKyn5YSqR2JPDOOEkxrPT+XqPFf7ynr+qiXPwE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DUQk6ANAgAAHAQA&#10;AA4AAAAAAAAAAAAAAAAALgIAAGRycy9lMm9Eb2MueG1sUEsBAi0AFAAGAAgAAAAhAAxeAg7aAAAA&#10;AwEAAA8AAAAAAAAAAAAAAAAAZwQAAGRycy9kb3ducmV2LnhtbFBLBQYAAAAABAAEAPMAAABuBQAA&#10;AAA=&#10;" filled="f" stroked="f">
              <v:fill o:detectmouseclick="t"/>
              <v:textbox style="mso-fit-shape-to-text:t" inset="0,15pt,0,0">
                <w:txbxContent>
                  <w:p w14:paraId="2AF00BAA" w14:textId="55FC44CF"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v:textbox>
              <w10:wrap anchorx="page" anchory="page"/>
            </v:shape>
          </w:pict>
        </mc:Fallback>
      </mc:AlternateContent>
    </w:r>
    <w:r w:rsidR="007E4A3E" w:rsidRPr="002A0AA0">
      <w:rPr>
        <w:rFonts w:cs="Arial"/>
        <w:i/>
      </w:rPr>
      <w:t xml:space="preserve">Public Summary Document </w:t>
    </w:r>
    <w:r w:rsidR="00C436B5" w:rsidRPr="002A0AA0">
      <w:rPr>
        <w:rFonts w:cs="Arial"/>
        <w:i/>
      </w:rPr>
      <w:t>– March 202</w:t>
    </w:r>
    <w:r w:rsidR="00171D3C" w:rsidRPr="002A0AA0">
      <w:rPr>
        <w:rFonts w:cs="Arial"/>
        <w:i/>
      </w:rPr>
      <w:t>5</w:t>
    </w:r>
    <w:r w:rsidR="00C436B5" w:rsidRPr="002A0AA0">
      <w:rPr>
        <w:rFonts w:cs="Arial"/>
        <w:i/>
      </w:rPr>
      <w:t xml:space="preserve"> PBAC Meeting</w:t>
    </w:r>
  </w:p>
  <w:bookmarkEnd w:id="50"/>
  <w:p w14:paraId="6C63EC46" w14:textId="77777777" w:rsidR="00A664C0" w:rsidRDefault="00A664C0" w:rsidP="00C436B5">
    <w:pPr>
      <w:spacing w:before="0" w:after="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D72B" w14:textId="70A0F637" w:rsidR="007D59B3" w:rsidRDefault="009B37D8">
    <w:pPr>
      <w:pStyle w:val="Header"/>
    </w:pPr>
    <w:r>
      <w:rPr>
        <w:noProof/>
      </w:rPr>
      <mc:AlternateContent>
        <mc:Choice Requires="wps">
          <w:drawing>
            <wp:anchor distT="0" distB="0" distL="0" distR="0" simplePos="0" relativeHeight="251664384" behindDoc="0" locked="0" layoutInCell="1" allowOverlap="1" wp14:anchorId="6A12A253" wp14:editId="6AFCC45A">
              <wp:simplePos x="635" y="635"/>
              <wp:positionH relativeFrom="page">
                <wp:align>center</wp:align>
              </wp:positionH>
              <wp:positionV relativeFrom="page">
                <wp:align>top</wp:align>
              </wp:positionV>
              <wp:extent cx="551815" cy="452755"/>
              <wp:effectExtent l="0" t="0" r="635" b="4445"/>
              <wp:wrapNone/>
              <wp:docPr id="3641227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061ABAF" w14:textId="5E041B09"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12A253"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5.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fill o:detectmouseclick="t"/>
              <v:textbox style="mso-fit-shape-to-text:t" inset="0,15pt,0,0">
                <w:txbxContent>
                  <w:p w14:paraId="2061ABAF" w14:textId="5E041B09" w:rsidR="009B37D8" w:rsidRPr="009B37D8" w:rsidRDefault="009B37D8" w:rsidP="009B37D8">
                    <w:pPr>
                      <w:spacing w:after="0"/>
                      <w:rPr>
                        <w:rFonts w:ascii="Calibri" w:eastAsia="Calibri" w:hAnsi="Calibri" w:cs="Calibri"/>
                        <w:noProof/>
                        <w:color w:val="FF0000"/>
                        <w:szCs w:val="24"/>
                      </w:rPr>
                    </w:pPr>
                    <w:r w:rsidRPr="009B37D8">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1ED"/>
    <w:multiLevelType w:val="hybridMultilevel"/>
    <w:tmpl w:val="54C2F31E"/>
    <w:styleLink w:val="Style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62A1D"/>
    <w:multiLevelType w:val="hybridMultilevel"/>
    <w:tmpl w:val="C100AE06"/>
    <w:lvl w:ilvl="0" w:tplc="0C090001">
      <w:numFmt w:val="bullet"/>
      <w:lvlText w:val="-"/>
      <w:lvlJc w:val="left"/>
      <w:pPr>
        <w:ind w:left="360" w:hanging="360"/>
      </w:pPr>
      <w:rPr>
        <w:rFonts w:ascii="Aptos" w:eastAsiaTheme="minorHAnsi" w:hAnsi="Aptos"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617AC2"/>
    <w:multiLevelType w:val="multilevel"/>
    <w:tmpl w:val="30546588"/>
    <w:lvl w:ilvl="0">
      <w:start w:val="1"/>
      <w:numFmt w:val="bullet"/>
      <w:pStyle w:val="MainBodyBulletPoint"/>
      <w:lvlText w:val=""/>
      <w:lvlJc w:val="left"/>
      <w:pPr>
        <w:ind w:left="720" w:hanging="360"/>
      </w:pPr>
      <w:rPr>
        <w:rFonts w:ascii="Symbol" w:hAnsi="Symbol" w:hint="default"/>
      </w:rPr>
    </w:lvl>
    <w:lvl w:ilvl="1">
      <w:numFmt w:val="bullet"/>
      <w:lvlText w:val="-"/>
      <w:lvlJc w:val="left"/>
      <w:pPr>
        <w:ind w:left="1324" w:hanging="360"/>
      </w:pPr>
      <w:rPr>
        <w:rFonts w:ascii="Aptos" w:eastAsiaTheme="minorHAnsi" w:hAnsi="Aptos"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2B73E2"/>
    <w:multiLevelType w:val="hybridMultilevel"/>
    <w:tmpl w:val="69A8BB6C"/>
    <w:lvl w:ilvl="0" w:tplc="B4D00B58">
      <w:start w:val="1"/>
      <w:numFmt w:val="bullet"/>
      <w:pStyle w:val="Bullet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FF556F"/>
    <w:multiLevelType w:val="hybridMultilevel"/>
    <w:tmpl w:val="45B20AD2"/>
    <w:lvl w:ilvl="0" w:tplc="FB942214">
      <w:start w:val="1"/>
      <w:numFmt w:val="bullet"/>
      <w:pStyle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2852078"/>
    <w:multiLevelType w:val="hybridMultilevel"/>
    <w:tmpl w:val="CBA4F07A"/>
    <w:lvl w:ilvl="0" w:tplc="42947746">
      <w:start w:val="1"/>
      <w:numFmt w:val="decimal"/>
      <w:lvlText w:val="%1."/>
      <w:lvlJc w:val="left"/>
      <w:pPr>
        <w:ind w:left="360" w:hanging="360"/>
      </w:pPr>
      <w:rPr>
        <w:rFonts w:ascii="Arial Narrow" w:hAnsi="Arial Narrow"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FB219F8"/>
    <w:multiLevelType w:val="hybridMultilevel"/>
    <w:tmpl w:val="E13C3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F14546"/>
    <w:multiLevelType w:val="hybridMultilevel"/>
    <w:tmpl w:val="28D0F8F2"/>
    <w:lvl w:ilvl="0" w:tplc="08090001">
      <w:start w:val="1"/>
      <w:numFmt w:val="bullet"/>
      <w:pStyle w:val="ListBullet"/>
      <w:lvlText w:val=""/>
      <w:lvlJc w:val="left"/>
      <w:pPr>
        <w:ind w:left="720" w:hanging="360"/>
      </w:pPr>
      <w:rPr>
        <w:rFonts w:ascii="Symbol" w:hAnsi="Symbol" w:hint="default"/>
        <w:color w:val="auto"/>
        <w:u w:color="FFFFFF" w:themeColor="backgroun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C5ACF"/>
    <w:multiLevelType w:val="hybridMultilevel"/>
    <w:tmpl w:val="FCAE5F90"/>
    <w:styleLink w:val="Style211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372209"/>
    <w:multiLevelType w:val="hybridMultilevel"/>
    <w:tmpl w:val="BC1C0ECE"/>
    <w:styleLink w:val="Styl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65573C"/>
    <w:multiLevelType w:val="hybridMultilevel"/>
    <w:tmpl w:val="4EBCD9F6"/>
    <w:lvl w:ilvl="0" w:tplc="0C090001">
      <w:start w:val="1"/>
      <w:numFmt w:val="bullet"/>
      <w:pStyle w:val="TablebulletL2"/>
      <w:lvlText w:val="o"/>
      <w:lvlJc w:val="left"/>
      <w:pPr>
        <w:ind w:left="1723" w:hanging="360"/>
      </w:pPr>
      <w:rPr>
        <w:rFonts w:ascii="Courier New" w:hAnsi="Courier New" w:cs="Courier New" w:hint="default"/>
        <w:color w:val="A5A5A5" w:themeColor="accent3"/>
        <w:sz w:val="18"/>
      </w:rPr>
    </w:lvl>
    <w:lvl w:ilvl="1" w:tplc="0C090003" w:tentative="1">
      <w:start w:val="1"/>
      <w:numFmt w:val="bullet"/>
      <w:lvlText w:val="o"/>
      <w:lvlJc w:val="left"/>
      <w:pPr>
        <w:ind w:left="2443" w:hanging="360"/>
      </w:pPr>
      <w:rPr>
        <w:rFonts w:ascii="Courier New" w:hAnsi="Courier New" w:cs="Courier New" w:hint="default"/>
      </w:rPr>
    </w:lvl>
    <w:lvl w:ilvl="2" w:tplc="0C090005" w:tentative="1">
      <w:start w:val="1"/>
      <w:numFmt w:val="bullet"/>
      <w:lvlText w:val=""/>
      <w:lvlJc w:val="left"/>
      <w:pPr>
        <w:ind w:left="3163" w:hanging="360"/>
      </w:pPr>
      <w:rPr>
        <w:rFonts w:ascii="Wingdings" w:hAnsi="Wingdings" w:hint="default"/>
      </w:rPr>
    </w:lvl>
    <w:lvl w:ilvl="3" w:tplc="0C090001" w:tentative="1">
      <w:start w:val="1"/>
      <w:numFmt w:val="bullet"/>
      <w:lvlText w:val=""/>
      <w:lvlJc w:val="left"/>
      <w:pPr>
        <w:ind w:left="3883" w:hanging="360"/>
      </w:pPr>
      <w:rPr>
        <w:rFonts w:ascii="Symbol" w:hAnsi="Symbol" w:hint="default"/>
      </w:rPr>
    </w:lvl>
    <w:lvl w:ilvl="4" w:tplc="0C090003" w:tentative="1">
      <w:start w:val="1"/>
      <w:numFmt w:val="bullet"/>
      <w:lvlText w:val="o"/>
      <w:lvlJc w:val="left"/>
      <w:pPr>
        <w:ind w:left="4603" w:hanging="360"/>
      </w:pPr>
      <w:rPr>
        <w:rFonts w:ascii="Courier New" w:hAnsi="Courier New" w:cs="Courier New" w:hint="default"/>
      </w:rPr>
    </w:lvl>
    <w:lvl w:ilvl="5" w:tplc="0C090005" w:tentative="1">
      <w:start w:val="1"/>
      <w:numFmt w:val="bullet"/>
      <w:lvlText w:val=""/>
      <w:lvlJc w:val="left"/>
      <w:pPr>
        <w:ind w:left="5323" w:hanging="360"/>
      </w:pPr>
      <w:rPr>
        <w:rFonts w:ascii="Wingdings" w:hAnsi="Wingdings" w:hint="default"/>
      </w:rPr>
    </w:lvl>
    <w:lvl w:ilvl="6" w:tplc="0C090001" w:tentative="1">
      <w:start w:val="1"/>
      <w:numFmt w:val="bullet"/>
      <w:lvlText w:val=""/>
      <w:lvlJc w:val="left"/>
      <w:pPr>
        <w:ind w:left="6043" w:hanging="360"/>
      </w:pPr>
      <w:rPr>
        <w:rFonts w:ascii="Symbol" w:hAnsi="Symbol" w:hint="default"/>
      </w:rPr>
    </w:lvl>
    <w:lvl w:ilvl="7" w:tplc="0C090003" w:tentative="1">
      <w:start w:val="1"/>
      <w:numFmt w:val="bullet"/>
      <w:lvlText w:val="o"/>
      <w:lvlJc w:val="left"/>
      <w:pPr>
        <w:ind w:left="6763" w:hanging="360"/>
      </w:pPr>
      <w:rPr>
        <w:rFonts w:ascii="Courier New" w:hAnsi="Courier New" w:cs="Courier New" w:hint="default"/>
      </w:rPr>
    </w:lvl>
    <w:lvl w:ilvl="8" w:tplc="0C090005" w:tentative="1">
      <w:start w:val="1"/>
      <w:numFmt w:val="bullet"/>
      <w:lvlText w:val=""/>
      <w:lvlJc w:val="left"/>
      <w:pPr>
        <w:ind w:left="7483" w:hanging="360"/>
      </w:pPr>
      <w:rPr>
        <w:rFonts w:ascii="Wingdings" w:hAnsi="Wingdings" w:hint="default"/>
      </w:rPr>
    </w:lvl>
  </w:abstractNum>
  <w:abstractNum w:abstractNumId="15" w15:restartNumberingAfterBreak="0">
    <w:nsid w:val="35715BE8"/>
    <w:multiLevelType w:val="hybridMultilevel"/>
    <w:tmpl w:val="7F96331A"/>
    <w:styleLink w:val="Style213"/>
    <w:lvl w:ilvl="0" w:tplc="F99C8CCE">
      <w:start w:val="78"/>
      <w:numFmt w:val="bullet"/>
      <w:lvlText w:val="-"/>
      <w:lvlJc w:val="left"/>
      <w:pPr>
        <w:ind w:left="450" w:hanging="360"/>
      </w:pPr>
      <w:rPr>
        <w:rFonts w:ascii="Arial Narrow" w:eastAsiaTheme="minorHAnsi" w:hAnsi="Arial Narrow" w:cstheme="minorBidi" w:hint="default"/>
      </w:rPr>
    </w:lvl>
    <w:lvl w:ilvl="1" w:tplc="0C090003">
      <w:start w:val="1"/>
      <w:numFmt w:val="bullet"/>
      <w:lvlText w:val="o"/>
      <w:lvlJc w:val="left"/>
      <w:pPr>
        <w:ind w:left="1170" w:hanging="360"/>
      </w:pPr>
      <w:rPr>
        <w:rFonts w:ascii="Courier New" w:hAnsi="Courier New" w:cs="Courier New" w:hint="default"/>
      </w:rPr>
    </w:lvl>
    <w:lvl w:ilvl="2" w:tplc="0C090005" w:tentative="1">
      <w:start w:val="1"/>
      <w:numFmt w:val="bullet"/>
      <w:lvlText w:val=""/>
      <w:lvlJc w:val="left"/>
      <w:pPr>
        <w:ind w:left="1890" w:hanging="360"/>
      </w:pPr>
      <w:rPr>
        <w:rFonts w:ascii="Wingdings" w:hAnsi="Wingdings" w:hint="default"/>
      </w:rPr>
    </w:lvl>
    <w:lvl w:ilvl="3" w:tplc="0C090001" w:tentative="1">
      <w:start w:val="1"/>
      <w:numFmt w:val="bullet"/>
      <w:lvlText w:val=""/>
      <w:lvlJc w:val="left"/>
      <w:pPr>
        <w:ind w:left="2610" w:hanging="360"/>
      </w:pPr>
      <w:rPr>
        <w:rFonts w:ascii="Symbol" w:hAnsi="Symbol" w:hint="default"/>
      </w:rPr>
    </w:lvl>
    <w:lvl w:ilvl="4" w:tplc="0C090003" w:tentative="1">
      <w:start w:val="1"/>
      <w:numFmt w:val="bullet"/>
      <w:lvlText w:val="o"/>
      <w:lvlJc w:val="left"/>
      <w:pPr>
        <w:ind w:left="3330" w:hanging="360"/>
      </w:pPr>
      <w:rPr>
        <w:rFonts w:ascii="Courier New" w:hAnsi="Courier New" w:cs="Courier New" w:hint="default"/>
      </w:rPr>
    </w:lvl>
    <w:lvl w:ilvl="5" w:tplc="0C090005" w:tentative="1">
      <w:start w:val="1"/>
      <w:numFmt w:val="bullet"/>
      <w:lvlText w:val=""/>
      <w:lvlJc w:val="left"/>
      <w:pPr>
        <w:ind w:left="4050" w:hanging="360"/>
      </w:pPr>
      <w:rPr>
        <w:rFonts w:ascii="Wingdings" w:hAnsi="Wingdings" w:hint="default"/>
      </w:rPr>
    </w:lvl>
    <w:lvl w:ilvl="6" w:tplc="0C090001" w:tentative="1">
      <w:start w:val="1"/>
      <w:numFmt w:val="bullet"/>
      <w:lvlText w:val=""/>
      <w:lvlJc w:val="left"/>
      <w:pPr>
        <w:ind w:left="4770" w:hanging="360"/>
      </w:pPr>
      <w:rPr>
        <w:rFonts w:ascii="Symbol" w:hAnsi="Symbol" w:hint="default"/>
      </w:rPr>
    </w:lvl>
    <w:lvl w:ilvl="7" w:tplc="0C090003" w:tentative="1">
      <w:start w:val="1"/>
      <w:numFmt w:val="bullet"/>
      <w:lvlText w:val="o"/>
      <w:lvlJc w:val="left"/>
      <w:pPr>
        <w:ind w:left="5490" w:hanging="360"/>
      </w:pPr>
      <w:rPr>
        <w:rFonts w:ascii="Courier New" w:hAnsi="Courier New" w:cs="Courier New" w:hint="default"/>
      </w:rPr>
    </w:lvl>
    <w:lvl w:ilvl="8" w:tplc="0C090005" w:tentative="1">
      <w:start w:val="1"/>
      <w:numFmt w:val="bullet"/>
      <w:lvlText w:val=""/>
      <w:lvlJc w:val="left"/>
      <w:pPr>
        <w:ind w:left="6210" w:hanging="360"/>
      </w:pPr>
      <w:rPr>
        <w:rFonts w:ascii="Wingdings" w:hAnsi="Wingdings" w:hint="default"/>
      </w:rPr>
    </w:lvl>
  </w:abstractNum>
  <w:abstractNum w:abstractNumId="16"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732002"/>
    <w:multiLevelType w:val="hybridMultilevel"/>
    <w:tmpl w:val="0B506336"/>
    <w:lvl w:ilvl="0" w:tplc="A07664E4">
      <w:start w:val="1"/>
      <w:numFmt w:val="decimal"/>
      <w:pStyle w:val="MSAC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CF7F1C"/>
    <w:multiLevelType w:val="hybridMultilevel"/>
    <w:tmpl w:val="704A4A30"/>
    <w:styleLink w:val="Style2113"/>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8D67A6"/>
    <w:multiLevelType w:val="hybridMultilevel"/>
    <w:tmpl w:val="4E70AEB0"/>
    <w:styleLink w:val="MSACESBulletpoints1"/>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50AC160D"/>
    <w:multiLevelType w:val="hybridMultilevel"/>
    <w:tmpl w:val="6BB43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8A1127"/>
    <w:multiLevelType w:val="hybridMultilevel"/>
    <w:tmpl w:val="84CCE5DC"/>
    <w:lvl w:ilvl="0" w:tplc="4204FE0A">
      <w:start w:val="1"/>
      <w:numFmt w:val="decimal"/>
      <w:lvlText w:val="%1."/>
      <w:lvlJc w:val="left"/>
      <w:pPr>
        <w:ind w:left="720" w:hanging="360"/>
      </w:pPr>
      <w:rPr>
        <w:rFonts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631B79"/>
    <w:multiLevelType w:val="hybridMultilevel"/>
    <w:tmpl w:val="1ED4FB9E"/>
    <w:styleLink w:val="Styl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0FC758B"/>
    <w:multiLevelType w:val="hybridMultilevel"/>
    <w:tmpl w:val="7D583F8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151E1D"/>
    <w:multiLevelType w:val="hybridMultilevel"/>
    <w:tmpl w:val="10CCCBE8"/>
    <w:styleLink w:val="Style21"/>
    <w:lvl w:ilvl="0" w:tplc="22D6F4A8">
      <w:start w:val="1"/>
      <w:numFmt w:val="bullet"/>
      <w:lvlText w:val=""/>
      <w:lvlJc w:val="left"/>
      <w:pPr>
        <w:ind w:left="720" w:hanging="360"/>
      </w:pPr>
      <w:rPr>
        <w:rFonts w:ascii="Symbol" w:hAnsi="Symbol" w:hint="default"/>
      </w:rPr>
    </w:lvl>
    <w:lvl w:ilvl="1" w:tplc="84F4F2E6">
      <w:start w:val="1"/>
      <w:numFmt w:val="bullet"/>
      <w:lvlText w:val="o"/>
      <w:lvlJc w:val="left"/>
      <w:pPr>
        <w:ind w:left="1440" w:hanging="360"/>
      </w:pPr>
      <w:rPr>
        <w:rFonts w:ascii="Courier New" w:hAnsi="Courier New" w:hint="default"/>
      </w:rPr>
    </w:lvl>
    <w:lvl w:ilvl="2" w:tplc="FCF4E2F0">
      <w:start w:val="1"/>
      <w:numFmt w:val="bullet"/>
      <w:lvlText w:val=""/>
      <w:lvlJc w:val="left"/>
      <w:pPr>
        <w:ind w:left="2160" w:hanging="360"/>
      </w:pPr>
      <w:rPr>
        <w:rFonts w:ascii="Wingdings" w:hAnsi="Wingdings" w:hint="default"/>
      </w:rPr>
    </w:lvl>
    <w:lvl w:ilvl="3" w:tplc="CCB85192">
      <w:start w:val="1"/>
      <w:numFmt w:val="bullet"/>
      <w:lvlText w:val=""/>
      <w:lvlJc w:val="left"/>
      <w:pPr>
        <w:ind w:left="2880" w:hanging="360"/>
      </w:pPr>
      <w:rPr>
        <w:rFonts w:ascii="Symbol" w:hAnsi="Symbol" w:hint="default"/>
      </w:rPr>
    </w:lvl>
    <w:lvl w:ilvl="4" w:tplc="C8D655C4">
      <w:start w:val="1"/>
      <w:numFmt w:val="bullet"/>
      <w:lvlText w:val="o"/>
      <w:lvlJc w:val="left"/>
      <w:pPr>
        <w:ind w:left="3600" w:hanging="360"/>
      </w:pPr>
      <w:rPr>
        <w:rFonts w:ascii="Courier New" w:hAnsi="Courier New" w:hint="default"/>
      </w:rPr>
    </w:lvl>
    <w:lvl w:ilvl="5" w:tplc="B13CDD20">
      <w:start w:val="1"/>
      <w:numFmt w:val="bullet"/>
      <w:lvlText w:val=""/>
      <w:lvlJc w:val="left"/>
      <w:pPr>
        <w:ind w:left="4320" w:hanging="360"/>
      </w:pPr>
      <w:rPr>
        <w:rFonts w:ascii="Wingdings" w:hAnsi="Wingdings" w:hint="default"/>
      </w:rPr>
    </w:lvl>
    <w:lvl w:ilvl="6" w:tplc="A91E6F84">
      <w:start w:val="1"/>
      <w:numFmt w:val="bullet"/>
      <w:lvlText w:val=""/>
      <w:lvlJc w:val="left"/>
      <w:pPr>
        <w:ind w:left="5040" w:hanging="360"/>
      </w:pPr>
      <w:rPr>
        <w:rFonts w:ascii="Symbol" w:hAnsi="Symbol" w:hint="default"/>
      </w:rPr>
    </w:lvl>
    <w:lvl w:ilvl="7" w:tplc="9170F258">
      <w:start w:val="1"/>
      <w:numFmt w:val="bullet"/>
      <w:lvlText w:val="o"/>
      <w:lvlJc w:val="left"/>
      <w:pPr>
        <w:ind w:left="5760" w:hanging="360"/>
      </w:pPr>
      <w:rPr>
        <w:rFonts w:ascii="Courier New" w:hAnsi="Courier New" w:hint="default"/>
      </w:rPr>
    </w:lvl>
    <w:lvl w:ilvl="8" w:tplc="ADE83636">
      <w:start w:val="1"/>
      <w:numFmt w:val="bullet"/>
      <w:lvlText w:val=""/>
      <w:lvlJc w:val="left"/>
      <w:pPr>
        <w:ind w:left="6480" w:hanging="360"/>
      </w:pPr>
      <w:rPr>
        <w:rFonts w:ascii="Wingdings" w:hAnsi="Wingdings" w:hint="default"/>
      </w:rPr>
    </w:lvl>
  </w:abstractNum>
  <w:abstractNum w:abstractNumId="29"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84D033C"/>
    <w:multiLevelType w:val="multilevel"/>
    <w:tmpl w:val="989625E6"/>
    <w:styleLink w:val="Headings12"/>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1542D6"/>
    <w:multiLevelType w:val="hybridMultilevel"/>
    <w:tmpl w:val="9DBEF0DE"/>
    <w:styleLink w:val="MSACESBulletpoints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A6B1374"/>
    <w:multiLevelType w:val="multilevel"/>
    <w:tmpl w:val="FFFFFFFF"/>
    <w:lvl w:ilvl="0">
      <w:start w:val="1"/>
      <w:numFmt w:val="bullet"/>
      <w:pStyle w:val="MSACESBulletPoint"/>
      <w:lvlText w:val=""/>
      <w:lvlJc w:val="left"/>
      <w:pPr>
        <w:ind w:left="717"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DBF4F48"/>
    <w:multiLevelType w:val="hybridMultilevel"/>
    <w:tmpl w:val="95B25180"/>
    <w:styleLink w:val="Style3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1916752">
    <w:abstractNumId w:val="33"/>
  </w:num>
  <w:num w:numId="2" w16cid:durableId="2132093849">
    <w:abstractNumId w:val="30"/>
  </w:num>
  <w:num w:numId="3" w16cid:durableId="1943294745">
    <w:abstractNumId w:val="10"/>
  </w:num>
  <w:num w:numId="4" w16cid:durableId="268393627">
    <w:abstractNumId w:val="7"/>
  </w:num>
  <w:num w:numId="5" w16cid:durableId="821584777">
    <w:abstractNumId w:val="22"/>
  </w:num>
  <w:num w:numId="6" w16cid:durableId="1831209707">
    <w:abstractNumId w:val="3"/>
  </w:num>
  <w:num w:numId="7" w16cid:durableId="1213539042">
    <w:abstractNumId w:val="9"/>
  </w:num>
  <w:num w:numId="8" w16cid:durableId="1119836982">
    <w:abstractNumId w:val="26"/>
  </w:num>
  <w:num w:numId="9" w16cid:durableId="376708755">
    <w:abstractNumId w:val="1"/>
  </w:num>
  <w:num w:numId="10" w16cid:durableId="1170438738">
    <w:abstractNumId w:val="31"/>
  </w:num>
  <w:num w:numId="11" w16cid:durableId="832525810">
    <w:abstractNumId w:val="16"/>
  </w:num>
  <w:num w:numId="12" w16cid:durableId="219446458">
    <w:abstractNumId w:val="21"/>
  </w:num>
  <w:num w:numId="13" w16cid:durableId="708606475">
    <w:abstractNumId w:val="8"/>
  </w:num>
  <w:num w:numId="14" w16cid:durableId="1716932451">
    <w:abstractNumId w:val="5"/>
  </w:num>
  <w:num w:numId="15" w16cid:durableId="210267045">
    <w:abstractNumId w:val="18"/>
  </w:num>
  <w:num w:numId="16" w16cid:durableId="68046365">
    <w:abstractNumId w:val="15"/>
  </w:num>
  <w:num w:numId="17" w16cid:durableId="290092592">
    <w:abstractNumId w:val="25"/>
  </w:num>
  <w:num w:numId="18" w16cid:durableId="652760589">
    <w:abstractNumId w:val="0"/>
  </w:num>
  <w:num w:numId="19" w16cid:durableId="406730076">
    <w:abstractNumId w:val="19"/>
  </w:num>
  <w:num w:numId="20" w16cid:durableId="1321349398">
    <w:abstractNumId w:val="28"/>
  </w:num>
  <w:num w:numId="21" w16cid:durableId="1129401656">
    <w:abstractNumId w:val="13"/>
  </w:num>
  <w:num w:numId="22" w16cid:durableId="1220820638">
    <w:abstractNumId w:val="20"/>
  </w:num>
  <w:num w:numId="23" w16cid:durableId="1138298492">
    <w:abstractNumId w:val="11"/>
  </w:num>
  <w:num w:numId="24" w16cid:durableId="1700665144">
    <w:abstractNumId w:val="12"/>
  </w:num>
  <w:num w:numId="25" w16cid:durableId="1604344354">
    <w:abstractNumId w:val="29"/>
  </w:num>
  <w:num w:numId="26" w16cid:durableId="2037853324">
    <w:abstractNumId w:val="4"/>
  </w:num>
  <w:num w:numId="27" w16cid:durableId="1098794887">
    <w:abstractNumId w:val="23"/>
  </w:num>
  <w:num w:numId="28" w16cid:durableId="621038822">
    <w:abstractNumId w:val="27"/>
  </w:num>
  <w:num w:numId="29" w16cid:durableId="1582519985">
    <w:abstractNumId w:val="2"/>
  </w:num>
  <w:num w:numId="30" w16cid:durableId="1067803882">
    <w:abstractNumId w:val="24"/>
  </w:num>
  <w:num w:numId="31" w16cid:durableId="284240494">
    <w:abstractNumId w:val="32"/>
  </w:num>
  <w:num w:numId="32" w16cid:durableId="350422654">
    <w:abstractNumId w:val="34"/>
  </w:num>
  <w:num w:numId="33" w16cid:durableId="1871143191">
    <w:abstractNumId w:val="14"/>
  </w:num>
  <w:num w:numId="34" w16cid:durableId="1395353421">
    <w:abstractNumId w:val="17"/>
  </w:num>
  <w:num w:numId="35" w16cid:durableId="1104152146">
    <w:abstractNumId w:val="6"/>
  </w:num>
  <w:num w:numId="36" w16cid:durableId="447286548">
    <w:abstractNumId w:val="7"/>
  </w:num>
  <w:num w:numId="37" w16cid:durableId="530805504">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GB"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82"/>
    <w:rsid w:val="000002DF"/>
    <w:rsid w:val="000003B3"/>
    <w:rsid w:val="000009C3"/>
    <w:rsid w:val="00000A10"/>
    <w:rsid w:val="00000D39"/>
    <w:rsid w:val="000013F5"/>
    <w:rsid w:val="00001482"/>
    <w:rsid w:val="000014EF"/>
    <w:rsid w:val="000015AE"/>
    <w:rsid w:val="000017B4"/>
    <w:rsid w:val="00001AB4"/>
    <w:rsid w:val="00001CC1"/>
    <w:rsid w:val="00001D7E"/>
    <w:rsid w:val="0000243C"/>
    <w:rsid w:val="000026CA"/>
    <w:rsid w:val="000029C7"/>
    <w:rsid w:val="00002B34"/>
    <w:rsid w:val="00002F88"/>
    <w:rsid w:val="00003119"/>
    <w:rsid w:val="00003176"/>
    <w:rsid w:val="000033F1"/>
    <w:rsid w:val="00003C89"/>
    <w:rsid w:val="00003DAE"/>
    <w:rsid w:val="000040AA"/>
    <w:rsid w:val="000042F9"/>
    <w:rsid w:val="00004D2F"/>
    <w:rsid w:val="0000535C"/>
    <w:rsid w:val="00005751"/>
    <w:rsid w:val="00005889"/>
    <w:rsid w:val="000059A7"/>
    <w:rsid w:val="00005AEB"/>
    <w:rsid w:val="0000619B"/>
    <w:rsid w:val="000062E0"/>
    <w:rsid w:val="000063EE"/>
    <w:rsid w:val="0000669E"/>
    <w:rsid w:val="00006756"/>
    <w:rsid w:val="00006792"/>
    <w:rsid w:val="000068DF"/>
    <w:rsid w:val="000078D6"/>
    <w:rsid w:val="00007BF6"/>
    <w:rsid w:val="00007DF8"/>
    <w:rsid w:val="0001047E"/>
    <w:rsid w:val="0001066F"/>
    <w:rsid w:val="00010748"/>
    <w:rsid w:val="00010A77"/>
    <w:rsid w:val="00010C00"/>
    <w:rsid w:val="00010FB0"/>
    <w:rsid w:val="00010FED"/>
    <w:rsid w:val="00011083"/>
    <w:rsid w:val="0001118E"/>
    <w:rsid w:val="000113DE"/>
    <w:rsid w:val="0001141F"/>
    <w:rsid w:val="0001184F"/>
    <w:rsid w:val="000119E3"/>
    <w:rsid w:val="00012774"/>
    <w:rsid w:val="0001281E"/>
    <w:rsid w:val="00012B3A"/>
    <w:rsid w:val="00012C7F"/>
    <w:rsid w:val="00012D7E"/>
    <w:rsid w:val="00012F15"/>
    <w:rsid w:val="00012F70"/>
    <w:rsid w:val="000131C9"/>
    <w:rsid w:val="00013222"/>
    <w:rsid w:val="00013552"/>
    <w:rsid w:val="00013594"/>
    <w:rsid w:val="00013655"/>
    <w:rsid w:val="00013768"/>
    <w:rsid w:val="0001390B"/>
    <w:rsid w:val="000139DE"/>
    <w:rsid w:val="00013A7D"/>
    <w:rsid w:val="00013C9B"/>
    <w:rsid w:val="00013E19"/>
    <w:rsid w:val="00013FA1"/>
    <w:rsid w:val="0001406A"/>
    <w:rsid w:val="000142C1"/>
    <w:rsid w:val="00014698"/>
    <w:rsid w:val="00014CF3"/>
    <w:rsid w:val="0001502F"/>
    <w:rsid w:val="00015290"/>
    <w:rsid w:val="0001548D"/>
    <w:rsid w:val="000159CC"/>
    <w:rsid w:val="0001602F"/>
    <w:rsid w:val="00016295"/>
    <w:rsid w:val="00016343"/>
    <w:rsid w:val="00016479"/>
    <w:rsid w:val="000164FC"/>
    <w:rsid w:val="00016835"/>
    <w:rsid w:val="00016869"/>
    <w:rsid w:val="000168EA"/>
    <w:rsid w:val="00016AD0"/>
    <w:rsid w:val="00016E60"/>
    <w:rsid w:val="00016F7A"/>
    <w:rsid w:val="000170E1"/>
    <w:rsid w:val="0001719B"/>
    <w:rsid w:val="000171DF"/>
    <w:rsid w:val="00017B6E"/>
    <w:rsid w:val="00020193"/>
    <w:rsid w:val="000203F5"/>
    <w:rsid w:val="0002040A"/>
    <w:rsid w:val="00020469"/>
    <w:rsid w:val="0002078D"/>
    <w:rsid w:val="0002095B"/>
    <w:rsid w:val="00020C5B"/>
    <w:rsid w:val="00020E25"/>
    <w:rsid w:val="000215F6"/>
    <w:rsid w:val="00021644"/>
    <w:rsid w:val="00021716"/>
    <w:rsid w:val="000218DB"/>
    <w:rsid w:val="000219B5"/>
    <w:rsid w:val="00021D74"/>
    <w:rsid w:val="0002269C"/>
    <w:rsid w:val="00022E5C"/>
    <w:rsid w:val="00022E73"/>
    <w:rsid w:val="00022F7F"/>
    <w:rsid w:val="00022FB0"/>
    <w:rsid w:val="0002308E"/>
    <w:rsid w:val="00023139"/>
    <w:rsid w:val="000232A4"/>
    <w:rsid w:val="000233A6"/>
    <w:rsid w:val="00023782"/>
    <w:rsid w:val="000237D3"/>
    <w:rsid w:val="000239BE"/>
    <w:rsid w:val="00023E96"/>
    <w:rsid w:val="00024149"/>
    <w:rsid w:val="0002417C"/>
    <w:rsid w:val="000241BC"/>
    <w:rsid w:val="000242BC"/>
    <w:rsid w:val="00024433"/>
    <w:rsid w:val="000245FB"/>
    <w:rsid w:val="00024A7D"/>
    <w:rsid w:val="00024B45"/>
    <w:rsid w:val="00024E6B"/>
    <w:rsid w:val="0002501A"/>
    <w:rsid w:val="0002501E"/>
    <w:rsid w:val="00025046"/>
    <w:rsid w:val="000251D7"/>
    <w:rsid w:val="0002524A"/>
    <w:rsid w:val="00025268"/>
    <w:rsid w:val="00025411"/>
    <w:rsid w:val="0002552E"/>
    <w:rsid w:val="00025B1B"/>
    <w:rsid w:val="00025F4B"/>
    <w:rsid w:val="00026539"/>
    <w:rsid w:val="000268F9"/>
    <w:rsid w:val="00026A87"/>
    <w:rsid w:val="00026B6F"/>
    <w:rsid w:val="00026C33"/>
    <w:rsid w:val="000274AA"/>
    <w:rsid w:val="000274AB"/>
    <w:rsid w:val="00027814"/>
    <w:rsid w:val="00027D69"/>
    <w:rsid w:val="00027F6E"/>
    <w:rsid w:val="00027FB8"/>
    <w:rsid w:val="00030011"/>
    <w:rsid w:val="00030433"/>
    <w:rsid w:val="0003044B"/>
    <w:rsid w:val="000305CF"/>
    <w:rsid w:val="000308C3"/>
    <w:rsid w:val="00030A71"/>
    <w:rsid w:val="00030D9F"/>
    <w:rsid w:val="00031096"/>
    <w:rsid w:val="000310CE"/>
    <w:rsid w:val="00031501"/>
    <w:rsid w:val="00031524"/>
    <w:rsid w:val="00031794"/>
    <w:rsid w:val="000318AB"/>
    <w:rsid w:val="000319DE"/>
    <w:rsid w:val="00031CFE"/>
    <w:rsid w:val="00031EB7"/>
    <w:rsid w:val="00031F00"/>
    <w:rsid w:val="00031F71"/>
    <w:rsid w:val="00031FAC"/>
    <w:rsid w:val="000321D5"/>
    <w:rsid w:val="000322B7"/>
    <w:rsid w:val="000323C6"/>
    <w:rsid w:val="000324D7"/>
    <w:rsid w:val="000330F7"/>
    <w:rsid w:val="000338D2"/>
    <w:rsid w:val="00033CE1"/>
    <w:rsid w:val="00034404"/>
    <w:rsid w:val="00034810"/>
    <w:rsid w:val="000348CC"/>
    <w:rsid w:val="00034949"/>
    <w:rsid w:val="0003497C"/>
    <w:rsid w:val="0003513A"/>
    <w:rsid w:val="00035760"/>
    <w:rsid w:val="00035917"/>
    <w:rsid w:val="000359BA"/>
    <w:rsid w:val="00035A34"/>
    <w:rsid w:val="00035A83"/>
    <w:rsid w:val="00035F97"/>
    <w:rsid w:val="00037057"/>
    <w:rsid w:val="00037062"/>
    <w:rsid w:val="000374A4"/>
    <w:rsid w:val="000377F0"/>
    <w:rsid w:val="000377FC"/>
    <w:rsid w:val="0003796D"/>
    <w:rsid w:val="00037BA0"/>
    <w:rsid w:val="00037FE0"/>
    <w:rsid w:val="000402C9"/>
    <w:rsid w:val="00040603"/>
    <w:rsid w:val="00040902"/>
    <w:rsid w:val="00040B53"/>
    <w:rsid w:val="00040CC6"/>
    <w:rsid w:val="00041410"/>
    <w:rsid w:val="000416F0"/>
    <w:rsid w:val="00042483"/>
    <w:rsid w:val="000425A8"/>
    <w:rsid w:val="0004260D"/>
    <w:rsid w:val="00042648"/>
    <w:rsid w:val="0004273C"/>
    <w:rsid w:val="00042AC9"/>
    <w:rsid w:val="00042ACA"/>
    <w:rsid w:val="00042D66"/>
    <w:rsid w:val="000432F0"/>
    <w:rsid w:val="000435D3"/>
    <w:rsid w:val="000437CE"/>
    <w:rsid w:val="000438F5"/>
    <w:rsid w:val="00043C42"/>
    <w:rsid w:val="000442CE"/>
    <w:rsid w:val="00044324"/>
    <w:rsid w:val="000443F1"/>
    <w:rsid w:val="0004441D"/>
    <w:rsid w:val="000448FD"/>
    <w:rsid w:val="00044B40"/>
    <w:rsid w:val="000451B5"/>
    <w:rsid w:val="000452D1"/>
    <w:rsid w:val="000453F0"/>
    <w:rsid w:val="0004563B"/>
    <w:rsid w:val="0004587A"/>
    <w:rsid w:val="000461CF"/>
    <w:rsid w:val="0004656E"/>
    <w:rsid w:val="00046732"/>
    <w:rsid w:val="00046E96"/>
    <w:rsid w:val="00047306"/>
    <w:rsid w:val="0004758F"/>
    <w:rsid w:val="000475AE"/>
    <w:rsid w:val="00047666"/>
    <w:rsid w:val="00047867"/>
    <w:rsid w:val="000478AF"/>
    <w:rsid w:val="00047CD9"/>
    <w:rsid w:val="000492A9"/>
    <w:rsid w:val="00050085"/>
    <w:rsid w:val="000502ED"/>
    <w:rsid w:val="00050598"/>
    <w:rsid w:val="00050862"/>
    <w:rsid w:val="000508C5"/>
    <w:rsid w:val="000508E7"/>
    <w:rsid w:val="00050A46"/>
    <w:rsid w:val="00050A72"/>
    <w:rsid w:val="00050BAA"/>
    <w:rsid w:val="000516AC"/>
    <w:rsid w:val="00051ACD"/>
    <w:rsid w:val="00051EEB"/>
    <w:rsid w:val="00051F7B"/>
    <w:rsid w:val="000522EE"/>
    <w:rsid w:val="000528AC"/>
    <w:rsid w:val="00052B77"/>
    <w:rsid w:val="00052BCD"/>
    <w:rsid w:val="00052E9A"/>
    <w:rsid w:val="00053AC1"/>
    <w:rsid w:val="00053D86"/>
    <w:rsid w:val="00054171"/>
    <w:rsid w:val="00054205"/>
    <w:rsid w:val="0005431E"/>
    <w:rsid w:val="0005433B"/>
    <w:rsid w:val="00054441"/>
    <w:rsid w:val="00054671"/>
    <w:rsid w:val="00054975"/>
    <w:rsid w:val="00054A99"/>
    <w:rsid w:val="00054AF8"/>
    <w:rsid w:val="00054B7A"/>
    <w:rsid w:val="000550EE"/>
    <w:rsid w:val="00055B39"/>
    <w:rsid w:val="00055D30"/>
    <w:rsid w:val="00055DCD"/>
    <w:rsid w:val="00055DF3"/>
    <w:rsid w:val="00055E0B"/>
    <w:rsid w:val="00055F39"/>
    <w:rsid w:val="0005614C"/>
    <w:rsid w:val="00056412"/>
    <w:rsid w:val="000564DA"/>
    <w:rsid w:val="000565DA"/>
    <w:rsid w:val="00056980"/>
    <w:rsid w:val="000569D1"/>
    <w:rsid w:val="00056C32"/>
    <w:rsid w:val="00056DC4"/>
    <w:rsid w:val="00056EAC"/>
    <w:rsid w:val="00056EF3"/>
    <w:rsid w:val="00057125"/>
    <w:rsid w:val="00057285"/>
    <w:rsid w:val="000572AD"/>
    <w:rsid w:val="000573BC"/>
    <w:rsid w:val="0005744F"/>
    <w:rsid w:val="000578D9"/>
    <w:rsid w:val="00057973"/>
    <w:rsid w:val="000579BC"/>
    <w:rsid w:val="00057C6D"/>
    <w:rsid w:val="00057F71"/>
    <w:rsid w:val="00060080"/>
    <w:rsid w:val="00060450"/>
    <w:rsid w:val="0006053C"/>
    <w:rsid w:val="0006098B"/>
    <w:rsid w:val="00060BA3"/>
    <w:rsid w:val="00060E31"/>
    <w:rsid w:val="00061180"/>
    <w:rsid w:val="00061234"/>
    <w:rsid w:val="000613C0"/>
    <w:rsid w:val="000613DB"/>
    <w:rsid w:val="0006193F"/>
    <w:rsid w:val="000619DC"/>
    <w:rsid w:val="00061A9A"/>
    <w:rsid w:val="00061DD3"/>
    <w:rsid w:val="00062018"/>
    <w:rsid w:val="00062067"/>
    <w:rsid w:val="000621B8"/>
    <w:rsid w:val="000622FA"/>
    <w:rsid w:val="0006287B"/>
    <w:rsid w:val="00062A90"/>
    <w:rsid w:val="00062B9F"/>
    <w:rsid w:val="0006331C"/>
    <w:rsid w:val="00063492"/>
    <w:rsid w:val="00063553"/>
    <w:rsid w:val="00063A63"/>
    <w:rsid w:val="00063C65"/>
    <w:rsid w:val="00063D8D"/>
    <w:rsid w:val="0006419C"/>
    <w:rsid w:val="000643FA"/>
    <w:rsid w:val="0006442F"/>
    <w:rsid w:val="000645C7"/>
    <w:rsid w:val="00064763"/>
    <w:rsid w:val="0006478F"/>
    <w:rsid w:val="00064D04"/>
    <w:rsid w:val="00065239"/>
    <w:rsid w:val="00065677"/>
    <w:rsid w:val="00065710"/>
    <w:rsid w:val="00065C2C"/>
    <w:rsid w:val="00065C62"/>
    <w:rsid w:val="00065CDE"/>
    <w:rsid w:val="00065F14"/>
    <w:rsid w:val="00065F4A"/>
    <w:rsid w:val="0006607E"/>
    <w:rsid w:val="000660C9"/>
    <w:rsid w:val="0006618B"/>
    <w:rsid w:val="000661D5"/>
    <w:rsid w:val="0006629E"/>
    <w:rsid w:val="00066765"/>
    <w:rsid w:val="0006681C"/>
    <w:rsid w:val="000669F8"/>
    <w:rsid w:val="00066BAE"/>
    <w:rsid w:val="00066CDB"/>
    <w:rsid w:val="00066E70"/>
    <w:rsid w:val="00067248"/>
    <w:rsid w:val="0006731D"/>
    <w:rsid w:val="0006753E"/>
    <w:rsid w:val="000676E5"/>
    <w:rsid w:val="000676E9"/>
    <w:rsid w:val="000677DE"/>
    <w:rsid w:val="000679B5"/>
    <w:rsid w:val="00067AF2"/>
    <w:rsid w:val="00067C08"/>
    <w:rsid w:val="00070177"/>
    <w:rsid w:val="0007063B"/>
    <w:rsid w:val="00070789"/>
    <w:rsid w:val="000708AA"/>
    <w:rsid w:val="00070BE2"/>
    <w:rsid w:val="00070D75"/>
    <w:rsid w:val="00070F2E"/>
    <w:rsid w:val="0007139D"/>
    <w:rsid w:val="00071567"/>
    <w:rsid w:val="0007199E"/>
    <w:rsid w:val="00071BD4"/>
    <w:rsid w:val="00071C38"/>
    <w:rsid w:val="00071E4D"/>
    <w:rsid w:val="00071F81"/>
    <w:rsid w:val="00072050"/>
    <w:rsid w:val="00072056"/>
    <w:rsid w:val="000721FB"/>
    <w:rsid w:val="00072239"/>
    <w:rsid w:val="00072265"/>
    <w:rsid w:val="000722A3"/>
    <w:rsid w:val="00072437"/>
    <w:rsid w:val="000727C4"/>
    <w:rsid w:val="000729A3"/>
    <w:rsid w:val="00072ADE"/>
    <w:rsid w:val="00072B8C"/>
    <w:rsid w:val="00072BA1"/>
    <w:rsid w:val="00072D42"/>
    <w:rsid w:val="00072D56"/>
    <w:rsid w:val="00072D9B"/>
    <w:rsid w:val="0007304D"/>
    <w:rsid w:val="0007332F"/>
    <w:rsid w:val="00073379"/>
    <w:rsid w:val="000734A0"/>
    <w:rsid w:val="000734D5"/>
    <w:rsid w:val="00073750"/>
    <w:rsid w:val="00073753"/>
    <w:rsid w:val="00073FCB"/>
    <w:rsid w:val="00073FE7"/>
    <w:rsid w:val="0007403D"/>
    <w:rsid w:val="000741D5"/>
    <w:rsid w:val="000743EF"/>
    <w:rsid w:val="00074507"/>
    <w:rsid w:val="000745E6"/>
    <w:rsid w:val="0007462E"/>
    <w:rsid w:val="00074A38"/>
    <w:rsid w:val="00074B15"/>
    <w:rsid w:val="00075AF0"/>
    <w:rsid w:val="00075FA0"/>
    <w:rsid w:val="00076802"/>
    <w:rsid w:val="00077787"/>
    <w:rsid w:val="0007787E"/>
    <w:rsid w:val="00077CEE"/>
    <w:rsid w:val="00077E3A"/>
    <w:rsid w:val="00077F1E"/>
    <w:rsid w:val="000802F8"/>
    <w:rsid w:val="00080398"/>
    <w:rsid w:val="000805DB"/>
    <w:rsid w:val="00080813"/>
    <w:rsid w:val="0008099D"/>
    <w:rsid w:val="00080FF3"/>
    <w:rsid w:val="00081383"/>
    <w:rsid w:val="000816CC"/>
    <w:rsid w:val="000816DF"/>
    <w:rsid w:val="00081829"/>
    <w:rsid w:val="000818F4"/>
    <w:rsid w:val="00081AEB"/>
    <w:rsid w:val="00081DFC"/>
    <w:rsid w:val="00081FDF"/>
    <w:rsid w:val="00082422"/>
    <w:rsid w:val="000825EF"/>
    <w:rsid w:val="00082868"/>
    <w:rsid w:val="0008297F"/>
    <w:rsid w:val="000829F7"/>
    <w:rsid w:val="00082A36"/>
    <w:rsid w:val="000831DE"/>
    <w:rsid w:val="0008344B"/>
    <w:rsid w:val="0008358B"/>
    <w:rsid w:val="0008362B"/>
    <w:rsid w:val="00083754"/>
    <w:rsid w:val="00083C71"/>
    <w:rsid w:val="00083E64"/>
    <w:rsid w:val="00083E95"/>
    <w:rsid w:val="000840CF"/>
    <w:rsid w:val="0008473C"/>
    <w:rsid w:val="000847FE"/>
    <w:rsid w:val="00084B18"/>
    <w:rsid w:val="000852AA"/>
    <w:rsid w:val="00085378"/>
    <w:rsid w:val="00085421"/>
    <w:rsid w:val="00085573"/>
    <w:rsid w:val="00085984"/>
    <w:rsid w:val="00085E58"/>
    <w:rsid w:val="00086133"/>
    <w:rsid w:val="00086407"/>
    <w:rsid w:val="00086544"/>
    <w:rsid w:val="000866A0"/>
    <w:rsid w:val="000866AE"/>
    <w:rsid w:val="00086823"/>
    <w:rsid w:val="00086850"/>
    <w:rsid w:val="00086891"/>
    <w:rsid w:val="00086D79"/>
    <w:rsid w:val="00086F75"/>
    <w:rsid w:val="00086FE1"/>
    <w:rsid w:val="00087836"/>
    <w:rsid w:val="00087928"/>
    <w:rsid w:val="00087E52"/>
    <w:rsid w:val="00087F71"/>
    <w:rsid w:val="00090005"/>
    <w:rsid w:val="00090196"/>
    <w:rsid w:val="00090303"/>
    <w:rsid w:val="000904C6"/>
    <w:rsid w:val="00090524"/>
    <w:rsid w:val="00090710"/>
    <w:rsid w:val="0009100E"/>
    <w:rsid w:val="000913E2"/>
    <w:rsid w:val="000914FB"/>
    <w:rsid w:val="00091798"/>
    <w:rsid w:val="00091949"/>
    <w:rsid w:val="0009194B"/>
    <w:rsid w:val="00091976"/>
    <w:rsid w:val="0009222A"/>
    <w:rsid w:val="000922B9"/>
    <w:rsid w:val="00092475"/>
    <w:rsid w:val="00092727"/>
    <w:rsid w:val="00092945"/>
    <w:rsid w:val="00092DD7"/>
    <w:rsid w:val="00092E04"/>
    <w:rsid w:val="00092F97"/>
    <w:rsid w:val="000930C3"/>
    <w:rsid w:val="000931A6"/>
    <w:rsid w:val="0009380C"/>
    <w:rsid w:val="000939F4"/>
    <w:rsid w:val="00093A48"/>
    <w:rsid w:val="00093B03"/>
    <w:rsid w:val="00093BE1"/>
    <w:rsid w:val="00094462"/>
    <w:rsid w:val="00094493"/>
    <w:rsid w:val="00094A14"/>
    <w:rsid w:val="00094A79"/>
    <w:rsid w:val="00094CDE"/>
    <w:rsid w:val="000953F6"/>
    <w:rsid w:val="000957AC"/>
    <w:rsid w:val="00095921"/>
    <w:rsid w:val="00095B73"/>
    <w:rsid w:val="00095C93"/>
    <w:rsid w:val="000961F6"/>
    <w:rsid w:val="00096762"/>
    <w:rsid w:val="0009688E"/>
    <w:rsid w:val="000969D7"/>
    <w:rsid w:val="00096A9D"/>
    <w:rsid w:val="00096B02"/>
    <w:rsid w:val="00096B33"/>
    <w:rsid w:val="00096BCD"/>
    <w:rsid w:val="00096C18"/>
    <w:rsid w:val="00096CFA"/>
    <w:rsid w:val="00096DB5"/>
    <w:rsid w:val="00096FEB"/>
    <w:rsid w:val="00097498"/>
    <w:rsid w:val="00097D06"/>
    <w:rsid w:val="000A01D6"/>
    <w:rsid w:val="000A027E"/>
    <w:rsid w:val="000A0936"/>
    <w:rsid w:val="000A0C05"/>
    <w:rsid w:val="000A0F04"/>
    <w:rsid w:val="000A0F1C"/>
    <w:rsid w:val="000A1031"/>
    <w:rsid w:val="000A1189"/>
    <w:rsid w:val="000A1249"/>
    <w:rsid w:val="000A1A21"/>
    <w:rsid w:val="000A1F7B"/>
    <w:rsid w:val="000A223B"/>
    <w:rsid w:val="000A22FA"/>
    <w:rsid w:val="000A24A6"/>
    <w:rsid w:val="000A259F"/>
    <w:rsid w:val="000A2687"/>
    <w:rsid w:val="000A2694"/>
    <w:rsid w:val="000A26D6"/>
    <w:rsid w:val="000A271C"/>
    <w:rsid w:val="000A2D48"/>
    <w:rsid w:val="000A2E22"/>
    <w:rsid w:val="000A2EF1"/>
    <w:rsid w:val="000A30CC"/>
    <w:rsid w:val="000A3243"/>
    <w:rsid w:val="000A32EE"/>
    <w:rsid w:val="000A3BCC"/>
    <w:rsid w:val="000A3D99"/>
    <w:rsid w:val="000A3F08"/>
    <w:rsid w:val="000A3F4C"/>
    <w:rsid w:val="000A3F95"/>
    <w:rsid w:val="000A46C3"/>
    <w:rsid w:val="000A4860"/>
    <w:rsid w:val="000A4AFC"/>
    <w:rsid w:val="000A4CDB"/>
    <w:rsid w:val="000A4EB3"/>
    <w:rsid w:val="000A505A"/>
    <w:rsid w:val="000A50F0"/>
    <w:rsid w:val="000A51D4"/>
    <w:rsid w:val="000A5268"/>
    <w:rsid w:val="000A5353"/>
    <w:rsid w:val="000A55F5"/>
    <w:rsid w:val="000A5834"/>
    <w:rsid w:val="000A5AAA"/>
    <w:rsid w:val="000A5CDC"/>
    <w:rsid w:val="000A5D44"/>
    <w:rsid w:val="000A634F"/>
    <w:rsid w:val="000A6363"/>
    <w:rsid w:val="000A662D"/>
    <w:rsid w:val="000A6741"/>
    <w:rsid w:val="000A68E6"/>
    <w:rsid w:val="000A6B6E"/>
    <w:rsid w:val="000A6D10"/>
    <w:rsid w:val="000A6D53"/>
    <w:rsid w:val="000A6FBD"/>
    <w:rsid w:val="000A72AC"/>
    <w:rsid w:val="000A7333"/>
    <w:rsid w:val="000A7350"/>
    <w:rsid w:val="000A755E"/>
    <w:rsid w:val="000A7BB0"/>
    <w:rsid w:val="000A7C8B"/>
    <w:rsid w:val="000A7EA5"/>
    <w:rsid w:val="000A7EE0"/>
    <w:rsid w:val="000A7F65"/>
    <w:rsid w:val="000B06DD"/>
    <w:rsid w:val="000B0900"/>
    <w:rsid w:val="000B0E29"/>
    <w:rsid w:val="000B111E"/>
    <w:rsid w:val="000B1253"/>
    <w:rsid w:val="000B14F5"/>
    <w:rsid w:val="000B1868"/>
    <w:rsid w:val="000B1C5A"/>
    <w:rsid w:val="000B1FB9"/>
    <w:rsid w:val="000B203A"/>
    <w:rsid w:val="000B2443"/>
    <w:rsid w:val="000B25A9"/>
    <w:rsid w:val="000B27A0"/>
    <w:rsid w:val="000B2832"/>
    <w:rsid w:val="000B2873"/>
    <w:rsid w:val="000B294D"/>
    <w:rsid w:val="000B2970"/>
    <w:rsid w:val="000B2A81"/>
    <w:rsid w:val="000B2BE3"/>
    <w:rsid w:val="000B2D3E"/>
    <w:rsid w:val="000B3222"/>
    <w:rsid w:val="000B3361"/>
    <w:rsid w:val="000B35EA"/>
    <w:rsid w:val="000B3866"/>
    <w:rsid w:val="000B3A88"/>
    <w:rsid w:val="000B3D44"/>
    <w:rsid w:val="000B3F94"/>
    <w:rsid w:val="000B4164"/>
    <w:rsid w:val="000B41B4"/>
    <w:rsid w:val="000B41C2"/>
    <w:rsid w:val="000B432A"/>
    <w:rsid w:val="000B472E"/>
    <w:rsid w:val="000B489D"/>
    <w:rsid w:val="000B4B13"/>
    <w:rsid w:val="000B51B4"/>
    <w:rsid w:val="000B5303"/>
    <w:rsid w:val="000B53B5"/>
    <w:rsid w:val="000B56CD"/>
    <w:rsid w:val="000B5C2F"/>
    <w:rsid w:val="000B60A0"/>
    <w:rsid w:val="000B6470"/>
    <w:rsid w:val="000B684D"/>
    <w:rsid w:val="000B6B69"/>
    <w:rsid w:val="000B7072"/>
    <w:rsid w:val="000B70A6"/>
    <w:rsid w:val="000B787F"/>
    <w:rsid w:val="000B7AED"/>
    <w:rsid w:val="000B7B8D"/>
    <w:rsid w:val="000C0098"/>
    <w:rsid w:val="000C0142"/>
    <w:rsid w:val="000C037D"/>
    <w:rsid w:val="000C044C"/>
    <w:rsid w:val="000C04A9"/>
    <w:rsid w:val="000C07DA"/>
    <w:rsid w:val="000C0A0C"/>
    <w:rsid w:val="000C0B8D"/>
    <w:rsid w:val="000C0BD8"/>
    <w:rsid w:val="000C0C86"/>
    <w:rsid w:val="000C0DE0"/>
    <w:rsid w:val="000C11CC"/>
    <w:rsid w:val="000C125A"/>
    <w:rsid w:val="000C12AB"/>
    <w:rsid w:val="000C1316"/>
    <w:rsid w:val="000C17FA"/>
    <w:rsid w:val="000C1C89"/>
    <w:rsid w:val="000C20B7"/>
    <w:rsid w:val="000C303A"/>
    <w:rsid w:val="000C331B"/>
    <w:rsid w:val="000C3529"/>
    <w:rsid w:val="000C3703"/>
    <w:rsid w:val="000C37A7"/>
    <w:rsid w:val="000C47D6"/>
    <w:rsid w:val="000C4A40"/>
    <w:rsid w:val="000C4E43"/>
    <w:rsid w:val="000C4E56"/>
    <w:rsid w:val="000C4EA7"/>
    <w:rsid w:val="000C4F7B"/>
    <w:rsid w:val="000C5508"/>
    <w:rsid w:val="000C56B3"/>
    <w:rsid w:val="000C5935"/>
    <w:rsid w:val="000C5EE4"/>
    <w:rsid w:val="000C6173"/>
    <w:rsid w:val="000C6332"/>
    <w:rsid w:val="000C6482"/>
    <w:rsid w:val="000C668E"/>
    <w:rsid w:val="000C6743"/>
    <w:rsid w:val="000C6839"/>
    <w:rsid w:val="000C6A1A"/>
    <w:rsid w:val="000C6A40"/>
    <w:rsid w:val="000C763B"/>
    <w:rsid w:val="000C76E4"/>
    <w:rsid w:val="000C7883"/>
    <w:rsid w:val="000C793A"/>
    <w:rsid w:val="000C7B1E"/>
    <w:rsid w:val="000C7D48"/>
    <w:rsid w:val="000D0023"/>
    <w:rsid w:val="000D02F0"/>
    <w:rsid w:val="000D08E0"/>
    <w:rsid w:val="000D0A81"/>
    <w:rsid w:val="000D0ABE"/>
    <w:rsid w:val="000D0D63"/>
    <w:rsid w:val="000D13E6"/>
    <w:rsid w:val="000D169F"/>
    <w:rsid w:val="000D1785"/>
    <w:rsid w:val="000D1AB4"/>
    <w:rsid w:val="000D1C5E"/>
    <w:rsid w:val="000D1D04"/>
    <w:rsid w:val="000D1DA5"/>
    <w:rsid w:val="000D1F2D"/>
    <w:rsid w:val="000D2775"/>
    <w:rsid w:val="000D289D"/>
    <w:rsid w:val="000D2994"/>
    <w:rsid w:val="000D3218"/>
    <w:rsid w:val="000D3322"/>
    <w:rsid w:val="000D3352"/>
    <w:rsid w:val="000D335F"/>
    <w:rsid w:val="000D34EA"/>
    <w:rsid w:val="000D38E5"/>
    <w:rsid w:val="000D39EF"/>
    <w:rsid w:val="000D3A64"/>
    <w:rsid w:val="000D3AE7"/>
    <w:rsid w:val="000D402A"/>
    <w:rsid w:val="000D4785"/>
    <w:rsid w:val="000D4793"/>
    <w:rsid w:val="000D4C1D"/>
    <w:rsid w:val="000D4C3A"/>
    <w:rsid w:val="000D4FA3"/>
    <w:rsid w:val="000D4FA5"/>
    <w:rsid w:val="000D5375"/>
    <w:rsid w:val="000D5645"/>
    <w:rsid w:val="000D57C9"/>
    <w:rsid w:val="000D5AE6"/>
    <w:rsid w:val="000D5BF2"/>
    <w:rsid w:val="000D5D44"/>
    <w:rsid w:val="000D5EDE"/>
    <w:rsid w:val="000D6339"/>
    <w:rsid w:val="000D6692"/>
    <w:rsid w:val="000D672A"/>
    <w:rsid w:val="000D68FB"/>
    <w:rsid w:val="000D6A25"/>
    <w:rsid w:val="000D6E9C"/>
    <w:rsid w:val="000D6F43"/>
    <w:rsid w:val="000D7045"/>
    <w:rsid w:val="000D72DF"/>
    <w:rsid w:val="000D740D"/>
    <w:rsid w:val="000D74C8"/>
    <w:rsid w:val="000D784A"/>
    <w:rsid w:val="000D790A"/>
    <w:rsid w:val="000D7A9C"/>
    <w:rsid w:val="000D7D05"/>
    <w:rsid w:val="000D7D18"/>
    <w:rsid w:val="000D7DC4"/>
    <w:rsid w:val="000D7F9D"/>
    <w:rsid w:val="000D7FD8"/>
    <w:rsid w:val="000D7FFB"/>
    <w:rsid w:val="000E0135"/>
    <w:rsid w:val="000E0303"/>
    <w:rsid w:val="000E0307"/>
    <w:rsid w:val="000E0588"/>
    <w:rsid w:val="000E05E7"/>
    <w:rsid w:val="000E072F"/>
    <w:rsid w:val="000E0783"/>
    <w:rsid w:val="000E07CD"/>
    <w:rsid w:val="000E08B2"/>
    <w:rsid w:val="000E0B92"/>
    <w:rsid w:val="000E0CF4"/>
    <w:rsid w:val="000E0E21"/>
    <w:rsid w:val="000E0E6C"/>
    <w:rsid w:val="000E1160"/>
    <w:rsid w:val="000E12E0"/>
    <w:rsid w:val="000E131F"/>
    <w:rsid w:val="000E1335"/>
    <w:rsid w:val="000E1ABE"/>
    <w:rsid w:val="000E1B24"/>
    <w:rsid w:val="000E232B"/>
    <w:rsid w:val="000E258C"/>
    <w:rsid w:val="000E25D3"/>
    <w:rsid w:val="000E2617"/>
    <w:rsid w:val="000E2717"/>
    <w:rsid w:val="000E29F5"/>
    <w:rsid w:val="000E2B15"/>
    <w:rsid w:val="000E2BC4"/>
    <w:rsid w:val="000E2CFB"/>
    <w:rsid w:val="000E2D4F"/>
    <w:rsid w:val="000E2EE2"/>
    <w:rsid w:val="000E32E2"/>
    <w:rsid w:val="000E3366"/>
    <w:rsid w:val="000E35B6"/>
    <w:rsid w:val="000E38F0"/>
    <w:rsid w:val="000E3989"/>
    <w:rsid w:val="000E3ECF"/>
    <w:rsid w:val="000E47D8"/>
    <w:rsid w:val="000E49FF"/>
    <w:rsid w:val="000E4C98"/>
    <w:rsid w:val="000E51D0"/>
    <w:rsid w:val="000E525D"/>
    <w:rsid w:val="000E5475"/>
    <w:rsid w:val="000E5AB3"/>
    <w:rsid w:val="000E6500"/>
    <w:rsid w:val="000E7019"/>
    <w:rsid w:val="000E7397"/>
    <w:rsid w:val="000E739C"/>
    <w:rsid w:val="000E754F"/>
    <w:rsid w:val="000E79EE"/>
    <w:rsid w:val="000E7C65"/>
    <w:rsid w:val="000E7CA2"/>
    <w:rsid w:val="000E7E2F"/>
    <w:rsid w:val="000F02BD"/>
    <w:rsid w:val="000F02DE"/>
    <w:rsid w:val="000F03AC"/>
    <w:rsid w:val="000F0708"/>
    <w:rsid w:val="000F08AD"/>
    <w:rsid w:val="000F0956"/>
    <w:rsid w:val="000F0C12"/>
    <w:rsid w:val="000F0D97"/>
    <w:rsid w:val="000F0E8C"/>
    <w:rsid w:val="000F132C"/>
    <w:rsid w:val="000F1354"/>
    <w:rsid w:val="000F151A"/>
    <w:rsid w:val="000F1768"/>
    <w:rsid w:val="000F1948"/>
    <w:rsid w:val="000F1967"/>
    <w:rsid w:val="000F243A"/>
    <w:rsid w:val="000F2534"/>
    <w:rsid w:val="000F2812"/>
    <w:rsid w:val="000F28D8"/>
    <w:rsid w:val="000F2E76"/>
    <w:rsid w:val="000F313A"/>
    <w:rsid w:val="000F3652"/>
    <w:rsid w:val="000F367C"/>
    <w:rsid w:val="000F36C3"/>
    <w:rsid w:val="000F36DE"/>
    <w:rsid w:val="000F37EB"/>
    <w:rsid w:val="000F3B14"/>
    <w:rsid w:val="000F3C9B"/>
    <w:rsid w:val="000F3D49"/>
    <w:rsid w:val="000F41AB"/>
    <w:rsid w:val="000F4276"/>
    <w:rsid w:val="000F4396"/>
    <w:rsid w:val="000F4444"/>
    <w:rsid w:val="000F493E"/>
    <w:rsid w:val="000F4A11"/>
    <w:rsid w:val="000F4B46"/>
    <w:rsid w:val="000F4BA6"/>
    <w:rsid w:val="000F4D2D"/>
    <w:rsid w:val="000F4DAC"/>
    <w:rsid w:val="000F4F5C"/>
    <w:rsid w:val="000F5609"/>
    <w:rsid w:val="000F59F1"/>
    <w:rsid w:val="000F59F8"/>
    <w:rsid w:val="000F5A42"/>
    <w:rsid w:val="000F5A58"/>
    <w:rsid w:val="000F620F"/>
    <w:rsid w:val="000F6287"/>
    <w:rsid w:val="000F629B"/>
    <w:rsid w:val="000F63C9"/>
    <w:rsid w:val="000F6609"/>
    <w:rsid w:val="000F66A9"/>
    <w:rsid w:val="000F67E3"/>
    <w:rsid w:val="000F67F0"/>
    <w:rsid w:val="000F693D"/>
    <w:rsid w:val="000F6F28"/>
    <w:rsid w:val="000F6FD4"/>
    <w:rsid w:val="000F7059"/>
    <w:rsid w:val="000F7441"/>
    <w:rsid w:val="000F7566"/>
    <w:rsid w:val="000F77DE"/>
    <w:rsid w:val="000F788E"/>
    <w:rsid w:val="000F7BCD"/>
    <w:rsid w:val="0010002A"/>
    <w:rsid w:val="0010016F"/>
    <w:rsid w:val="0010030D"/>
    <w:rsid w:val="001007BB"/>
    <w:rsid w:val="0010086D"/>
    <w:rsid w:val="00100BD3"/>
    <w:rsid w:val="00100C4A"/>
    <w:rsid w:val="00100E4E"/>
    <w:rsid w:val="00100F9A"/>
    <w:rsid w:val="0010134A"/>
    <w:rsid w:val="00101525"/>
    <w:rsid w:val="0010156D"/>
    <w:rsid w:val="00101802"/>
    <w:rsid w:val="001018A8"/>
    <w:rsid w:val="00101952"/>
    <w:rsid w:val="00101A3B"/>
    <w:rsid w:val="00102167"/>
    <w:rsid w:val="001023DD"/>
    <w:rsid w:val="0010256B"/>
    <w:rsid w:val="001028BA"/>
    <w:rsid w:val="00102CCA"/>
    <w:rsid w:val="00103546"/>
    <w:rsid w:val="00103BDA"/>
    <w:rsid w:val="0010441D"/>
    <w:rsid w:val="00104865"/>
    <w:rsid w:val="00104A1D"/>
    <w:rsid w:val="00104C73"/>
    <w:rsid w:val="00104F18"/>
    <w:rsid w:val="00105210"/>
    <w:rsid w:val="001054F7"/>
    <w:rsid w:val="00105895"/>
    <w:rsid w:val="00105932"/>
    <w:rsid w:val="001059D6"/>
    <w:rsid w:val="00105A98"/>
    <w:rsid w:val="00105AB6"/>
    <w:rsid w:val="00105FF2"/>
    <w:rsid w:val="001060AB"/>
    <w:rsid w:val="00106348"/>
    <w:rsid w:val="00106401"/>
    <w:rsid w:val="0010650B"/>
    <w:rsid w:val="00106518"/>
    <w:rsid w:val="001069A7"/>
    <w:rsid w:val="00106AF5"/>
    <w:rsid w:val="00106F0D"/>
    <w:rsid w:val="00107465"/>
    <w:rsid w:val="00107477"/>
    <w:rsid w:val="0010761C"/>
    <w:rsid w:val="00107882"/>
    <w:rsid w:val="00107C1A"/>
    <w:rsid w:val="00107E51"/>
    <w:rsid w:val="00107F31"/>
    <w:rsid w:val="00107F4A"/>
    <w:rsid w:val="00107FF9"/>
    <w:rsid w:val="001101D4"/>
    <w:rsid w:val="00110771"/>
    <w:rsid w:val="001107DB"/>
    <w:rsid w:val="00110931"/>
    <w:rsid w:val="00110EFD"/>
    <w:rsid w:val="0011137E"/>
    <w:rsid w:val="0011149F"/>
    <w:rsid w:val="00111508"/>
    <w:rsid w:val="0011156E"/>
    <w:rsid w:val="00111667"/>
    <w:rsid w:val="00111668"/>
    <w:rsid w:val="00111951"/>
    <w:rsid w:val="00111CCE"/>
    <w:rsid w:val="00111D90"/>
    <w:rsid w:val="00111EE5"/>
    <w:rsid w:val="00111F7B"/>
    <w:rsid w:val="00112841"/>
    <w:rsid w:val="0011287E"/>
    <w:rsid w:val="00112A37"/>
    <w:rsid w:val="00112A62"/>
    <w:rsid w:val="00112E38"/>
    <w:rsid w:val="00112F1A"/>
    <w:rsid w:val="00112F22"/>
    <w:rsid w:val="00113088"/>
    <w:rsid w:val="0011311B"/>
    <w:rsid w:val="001131EF"/>
    <w:rsid w:val="0011355E"/>
    <w:rsid w:val="00113665"/>
    <w:rsid w:val="001136A7"/>
    <w:rsid w:val="0011384C"/>
    <w:rsid w:val="001139CD"/>
    <w:rsid w:val="00114618"/>
    <w:rsid w:val="001146EF"/>
    <w:rsid w:val="00114823"/>
    <w:rsid w:val="00114886"/>
    <w:rsid w:val="00114D64"/>
    <w:rsid w:val="00114D83"/>
    <w:rsid w:val="00114FE3"/>
    <w:rsid w:val="00115192"/>
    <w:rsid w:val="00115481"/>
    <w:rsid w:val="00115539"/>
    <w:rsid w:val="0011574B"/>
    <w:rsid w:val="0011579D"/>
    <w:rsid w:val="00115C1A"/>
    <w:rsid w:val="00115D20"/>
    <w:rsid w:val="00115E8A"/>
    <w:rsid w:val="00116478"/>
    <w:rsid w:val="001166BC"/>
    <w:rsid w:val="00116CB4"/>
    <w:rsid w:val="00116FEE"/>
    <w:rsid w:val="0011714C"/>
    <w:rsid w:val="00117283"/>
    <w:rsid w:val="001172AF"/>
    <w:rsid w:val="00117830"/>
    <w:rsid w:val="0011792A"/>
    <w:rsid w:val="00117C17"/>
    <w:rsid w:val="00120266"/>
    <w:rsid w:val="0012026F"/>
    <w:rsid w:val="0012044E"/>
    <w:rsid w:val="001206A4"/>
    <w:rsid w:val="001206F2"/>
    <w:rsid w:val="00120A6B"/>
    <w:rsid w:val="00120ADF"/>
    <w:rsid w:val="00120DBE"/>
    <w:rsid w:val="00120F43"/>
    <w:rsid w:val="001215AB"/>
    <w:rsid w:val="00121E18"/>
    <w:rsid w:val="001221C9"/>
    <w:rsid w:val="00122345"/>
    <w:rsid w:val="001225AE"/>
    <w:rsid w:val="00122778"/>
    <w:rsid w:val="001229E7"/>
    <w:rsid w:val="00122B32"/>
    <w:rsid w:val="00122C04"/>
    <w:rsid w:val="0012307D"/>
    <w:rsid w:val="00123172"/>
    <w:rsid w:val="001239A6"/>
    <w:rsid w:val="00123A96"/>
    <w:rsid w:val="00123BC8"/>
    <w:rsid w:val="00123D60"/>
    <w:rsid w:val="00123E41"/>
    <w:rsid w:val="00123E81"/>
    <w:rsid w:val="001246A1"/>
    <w:rsid w:val="001246E0"/>
    <w:rsid w:val="001248E8"/>
    <w:rsid w:val="0012492A"/>
    <w:rsid w:val="00124DD8"/>
    <w:rsid w:val="0012508B"/>
    <w:rsid w:val="0012523C"/>
    <w:rsid w:val="00125328"/>
    <w:rsid w:val="00125673"/>
    <w:rsid w:val="00125856"/>
    <w:rsid w:val="00125967"/>
    <w:rsid w:val="00125C21"/>
    <w:rsid w:val="00125E7D"/>
    <w:rsid w:val="00125F29"/>
    <w:rsid w:val="00125F8C"/>
    <w:rsid w:val="00126559"/>
    <w:rsid w:val="00126C87"/>
    <w:rsid w:val="00126F7F"/>
    <w:rsid w:val="0012701F"/>
    <w:rsid w:val="00127284"/>
    <w:rsid w:val="00127288"/>
    <w:rsid w:val="0012755D"/>
    <w:rsid w:val="0012784B"/>
    <w:rsid w:val="001279AE"/>
    <w:rsid w:val="00127A5E"/>
    <w:rsid w:val="00127C97"/>
    <w:rsid w:val="00127EBD"/>
    <w:rsid w:val="00127F46"/>
    <w:rsid w:val="001306D5"/>
    <w:rsid w:val="0013092F"/>
    <w:rsid w:val="00130BA0"/>
    <w:rsid w:val="0013178C"/>
    <w:rsid w:val="00131AC7"/>
    <w:rsid w:val="00131C4D"/>
    <w:rsid w:val="00132023"/>
    <w:rsid w:val="00132032"/>
    <w:rsid w:val="00132112"/>
    <w:rsid w:val="00132307"/>
    <w:rsid w:val="001323D6"/>
    <w:rsid w:val="00132402"/>
    <w:rsid w:val="0013254E"/>
    <w:rsid w:val="001327DA"/>
    <w:rsid w:val="00132CF1"/>
    <w:rsid w:val="00132D06"/>
    <w:rsid w:val="00133176"/>
    <w:rsid w:val="0013341F"/>
    <w:rsid w:val="00133847"/>
    <w:rsid w:val="00133B1C"/>
    <w:rsid w:val="00134187"/>
    <w:rsid w:val="001341B9"/>
    <w:rsid w:val="001343FD"/>
    <w:rsid w:val="00134616"/>
    <w:rsid w:val="00134750"/>
    <w:rsid w:val="0013482D"/>
    <w:rsid w:val="001349BA"/>
    <w:rsid w:val="00134BE1"/>
    <w:rsid w:val="00134DEF"/>
    <w:rsid w:val="00134FD2"/>
    <w:rsid w:val="00135050"/>
    <w:rsid w:val="001352EE"/>
    <w:rsid w:val="001355D2"/>
    <w:rsid w:val="00135674"/>
    <w:rsid w:val="00135C1A"/>
    <w:rsid w:val="00135E1A"/>
    <w:rsid w:val="00136171"/>
    <w:rsid w:val="001362DE"/>
    <w:rsid w:val="00136399"/>
    <w:rsid w:val="0013691E"/>
    <w:rsid w:val="00136E76"/>
    <w:rsid w:val="00136E92"/>
    <w:rsid w:val="00136F0F"/>
    <w:rsid w:val="0013709C"/>
    <w:rsid w:val="001371CB"/>
    <w:rsid w:val="001375B9"/>
    <w:rsid w:val="001377BA"/>
    <w:rsid w:val="0013784E"/>
    <w:rsid w:val="0014089D"/>
    <w:rsid w:val="00140A20"/>
    <w:rsid w:val="00140A71"/>
    <w:rsid w:val="00140A7B"/>
    <w:rsid w:val="00140E4B"/>
    <w:rsid w:val="00140FB0"/>
    <w:rsid w:val="001416DD"/>
    <w:rsid w:val="0014188F"/>
    <w:rsid w:val="0014194B"/>
    <w:rsid w:val="00141B71"/>
    <w:rsid w:val="00141B8C"/>
    <w:rsid w:val="00141EFB"/>
    <w:rsid w:val="00142350"/>
    <w:rsid w:val="0014270D"/>
    <w:rsid w:val="00142915"/>
    <w:rsid w:val="001429D9"/>
    <w:rsid w:val="001431A2"/>
    <w:rsid w:val="001433D2"/>
    <w:rsid w:val="001439CC"/>
    <w:rsid w:val="00144449"/>
    <w:rsid w:val="0014475F"/>
    <w:rsid w:val="00144B62"/>
    <w:rsid w:val="00145071"/>
    <w:rsid w:val="0014530F"/>
    <w:rsid w:val="00145449"/>
    <w:rsid w:val="0014584E"/>
    <w:rsid w:val="00145B31"/>
    <w:rsid w:val="00145D1F"/>
    <w:rsid w:val="00145FA1"/>
    <w:rsid w:val="00145FF3"/>
    <w:rsid w:val="001460CA"/>
    <w:rsid w:val="001464C7"/>
    <w:rsid w:val="00146858"/>
    <w:rsid w:val="001468C6"/>
    <w:rsid w:val="00146C30"/>
    <w:rsid w:val="00146C47"/>
    <w:rsid w:val="00146E52"/>
    <w:rsid w:val="00146FCE"/>
    <w:rsid w:val="0014714F"/>
    <w:rsid w:val="0014723B"/>
    <w:rsid w:val="001474ED"/>
    <w:rsid w:val="001475D3"/>
    <w:rsid w:val="001477E4"/>
    <w:rsid w:val="001504A5"/>
    <w:rsid w:val="0015063B"/>
    <w:rsid w:val="00150663"/>
    <w:rsid w:val="00150998"/>
    <w:rsid w:val="00150D59"/>
    <w:rsid w:val="00150E33"/>
    <w:rsid w:val="0015150F"/>
    <w:rsid w:val="0015164B"/>
    <w:rsid w:val="001518DC"/>
    <w:rsid w:val="001519C2"/>
    <w:rsid w:val="00151A66"/>
    <w:rsid w:val="00151BB3"/>
    <w:rsid w:val="0015224D"/>
    <w:rsid w:val="00152392"/>
    <w:rsid w:val="0015247C"/>
    <w:rsid w:val="001525A2"/>
    <w:rsid w:val="00152635"/>
    <w:rsid w:val="00152779"/>
    <w:rsid w:val="001528AE"/>
    <w:rsid w:val="00152C8E"/>
    <w:rsid w:val="00152C8F"/>
    <w:rsid w:val="00152D82"/>
    <w:rsid w:val="00153011"/>
    <w:rsid w:val="001534D6"/>
    <w:rsid w:val="00153A0A"/>
    <w:rsid w:val="00153A3C"/>
    <w:rsid w:val="00153CCA"/>
    <w:rsid w:val="00153E0E"/>
    <w:rsid w:val="001544AE"/>
    <w:rsid w:val="00154735"/>
    <w:rsid w:val="00154769"/>
    <w:rsid w:val="00154A2A"/>
    <w:rsid w:val="0015534A"/>
    <w:rsid w:val="00155AAB"/>
    <w:rsid w:val="00155BAE"/>
    <w:rsid w:val="00155BD6"/>
    <w:rsid w:val="00155CD7"/>
    <w:rsid w:val="001563C1"/>
    <w:rsid w:val="001564DC"/>
    <w:rsid w:val="00156523"/>
    <w:rsid w:val="00156D2D"/>
    <w:rsid w:val="00156E3D"/>
    <w:rsid w:val="00157030"/>
    <w:rsid w:val="001572AB"/>
    <w:rsid w:val="00157499"/>
    <w:rsid w:val="001576BB"/>
    <w:rsid w:val="00157BDC"/>
    <w:rsid w:val="00157C81"/>
    <w:rsid w:val="00157CBD"/>
    <w:rsid w:val="00160100"/>
    <w:rsid w:val="00160590"/>
    <w:rsid w:val="00160635"/>
    <w:rsid w:val="001609A4"/>
    <w:rsid w:val="00160C2B"/>
    <w:rsid w:val="00160C72"/>
    <w:rsid w:val="00161071"/>
    <w:rsid w:val="00161229"/>
    <w:rsid w:val="0016135B"/>
    <w:rsid w:val="001613EF"/>
    <w:rsid w:val="0016157A"/>
    <w:rsid w:val="001615B4"/>
    <w:rsid w:val="001618A5"/>
    <w:rsid w:val="00161B8F"/>
    <w:rsid w:val="00161CB0"/>
    <w:rsid w:val="001620E3"/>
    <w:rsid w:val="00162594"/>
    <w:rsid w:val="001628CB"/>
    <w:rsid w:val="00163598"/>
    <w:rsid w:val="00163969"/>
    <w:rsid w:val="00163C28"/>
    <w:rsid w:val="00163D0A"/>
    <w:rsid w:val="00163E11"/>
    <w:rsid w:val="00163E3A"/>
    <w:rsid w:val="00164095"/>
    <w:rsid w:val="001640CF"/>
    <w:rsid w:val="0016424F"/>
    <w:rsid w:val="0016456A"/>
    <w:rsid w:val="00164996"/>
    <w:rsid w:val="00164A51"/>
    <w:rsid w:val="00164AAB"/>
    <w:rsid w:val="00164C92"/>
    <w:rsid w:val="00165A49"/>
    <w:rsid w:val="00165AE3"/>
    <w:rsid w:val="00165C10"/>
    <w:rsid w:val="00165E4D"/>
    <w:rsid w:val="001667A9"/>
    <w:rsid w:val="00166E36"/>
    <w:rsid w:val="001674FC"/>
    <w:rsid w:val="001677F9"/>
    <w:rsid w:val="0016794C"/>
    <w:rsid w:val="00167E58"/>
    <w:rsid w:val="00167F67"/>
    <w:rsid w:val="00170003"/>
    <w:rsid w:val="0017014B"/>
    <w:rsid w:val="001701D7"/>
    <w:rsid w:val="001703D4"/>
    <w:rsid w:val="0017051D"/>
    <w:rsid w:val="001707A5"/>
    <w:rsid w:val="00170854"/>
    <w:rsid w:val="001709D4"/>
    <w:rsid w:val="00170FA8"/>
    <w:rsid w:val="00170FBC"/>
    <w:rsid w:val="001710E4"/>
    <w:rsid w:val="00171215"/>
    <w:rsid w:val="0017133E"/>
    <w:rsid w:val="0017140A"/>
    <w:rsid w:val="00171A25"/>
    <w:rsid w:val="00171BEA"/>
    <w:rsid w:val="00171D3C"/>
    <w:rsid w:val="00171D96"/>
    <w:rsid w:val="00172689"/>
    <w:rsid w:val="001726B8"/>
    <w:rsid w:val="00172889"/>
    <w:rsid w:val="00172938"/>
    <w:rsid w:val="0017294D"/>
    <w:rsid w:val="00172A7B"/>
    <w:rsid w:val="00172F5E"/>
    <w:rsid w:val="00173483"/>
    <w:rsid w:val="00173485"/>
    <w:rsid w:val="00173577"/>
    <w:rsid w:val="00173774"/>
    <w:rsid w:val="00173E55"/>
    <w:rsid w:val="00173E89"/>
    <w:rsid w:val="00173FBB"/>
    <w:rsid w:val="00174058"/>
    <w:rsid w:val="001746ED"/>
    <w:rsid w:val="00174830"/>
    <w:rsid w:val="00175040"/>
    <w:rsid w:val="00175151"/>
    <w:rsid w:val="001751B1"/>
    <w:rsid w:val="0017564E"/>
    <w:rsid w:val="00175699"/>
    <w:rsid w:val="00175AC2"/>
    <w:rsid w:val="00175D7C"/>
    <w:rsid w:val="00175DE3"/>
    <w:rsid w:val="00176142"/>
    <w:rsid w:val="00176373"/>
    <w:rsid w:val="001764ED"/>
    <w:rsid w:val="00176658"/>
    <w:rsid w:val="00176AA5"/>
    <w:rsid w:val="00176BB1"/>
    <w:rsid w:val="00176D80"/>
    <w:rsid w:val="00176FE0"/>
    <w:rsid w:val="001770A7"/>
    <w:rsid w:val="001770E4"/>
    <w:rsid w:val="001770F2"/>
    <w:rsid w:val="00177176"/>
    <w:rsid w:val="0017720E"/>
    <w:rsid w:val="001772CC"/>
    <w:rsid w:val="00177334"/>
    <w:rsid w:val="00177429"/>
    <w:rsid w:val="001774B1"/>
    <w:rsid w:val="00177669"/>
    <w:rsid w:val="001776B8"/>
    <w:rsid w:val="00177893"/>
    <w:rsid w:val="00177A9D"/>
    <w:rsid w:val="00177EF5"/>
    <w:rsid w:val="00180217"/>
    <w:rsid w:val="00180256"/>
    <w:rsid w:val="00180398"/>
    <w:rsid w:val="001804B7"/>
    <w:rsid w:val="001804D1"/>
    <w:rsid w:val="0018092A"/>
    <w:rsid w:val="001809D1"/>
    <w:rsid w:val="00180E40"/>
    <w:rsid w:val="00180F6C"/>
    <w:rsid w:val="00180FB9"/>
    <w:rsid w:val="001811A4"/>
    <w:rsid w:val="00181234"/>
    <w:rsid w:val="0018141A"/>
    <w:rsid w:val="00181A01"/>
    <w:rsid w:val="00181EF7"/>
    <w:rsid w:val="00182021"/>
    <w:rsid w:val="0018253C"/>
    <w:rsid w:val="00182D06"/>
    <w:rsid w:val="00182DA6"/>
    <w:rsid w:val="0018311B"/>
    <w:rsid w:val="00183517"/>
    <w:rsid w:val="0018357F"/>
    <w:rsid w:val="0018373E"/>
    <w:rsid w:val="001839C0"/>
    <w:rsid w:val="001839E8"/>
    <w:rsid w:val="001839FA"/>
    <w:rsid w:val="00183A87"/>
    <w:rsid w:val="00183B2E"/>
    <w:rsid w:val="00183DB9"/>
    <w:rsid w:val="00183FF4"/>
    <w:rsid w:val="00184221"/>
    <w:rsid w:val="0018443E"/>
    <w:rsid w:val="00184BB3"/>
    <w:rsid w:val="00184E28"/>
    <w:rsid w:val="00185A82"/>
    <w:rsid w:val="00185B71"/>
    <w:rsid w:val="00185C35"/>
    <w:rsid w:val="00185CF0"/>
    <w:rsid w:val="00185E1E"/>
    <w:rsid w:val="00186011"/>
    <w:rsid w:val="00186306"/>
    <w:rsid w:val="00186307"/>
    <w:rsid w:val="001863F7"/>
    <w:rsid w:val="00186AFE"/>
    <w:rsid w:val="00186D3A"/>
    <w:rsid w:val="00186EBC"/>
    <w:rsid w:val="00186F06"/>
    <w:rsid w:val="0018700E"/>
    <w:rsid w:val="001870CA"/>
    <w:rsid w:val="0018721B"/>
    <w:rsid w:val="001874BD"/>
    <w:rsid w:val="001876BD"/>
    <w:rsid w:val="001877CA"/>
    <w:rsid w:val="001878CB"/>
    <w:rsid w:val="00187BEB"/>
    <w:rsid w:val="00187D51"/>
    <w:rsid w:val="0019028A"/>
    <w:rsid w:val="00190BA2"/>
    <w:rsid w:val="00190C19"/>
    <w:rsid w:val="00190F48"/>
    <w:rsid w:val="0019121D"/>
    <w:rsid w:val="001914EE"/>
    <w:rsid w:val="0019165B"/>
    <w:rsid w:val="001916C0"/>
    <w:rsid w:val="00191B1A"/>
    <w:rsid w:val="00191B28"/>
    <w:rsid w:val="00191E7A"/>
    <w:rsid w:val="00192326"/>
    <w:rsid w:val="00192471"/>
    <w:rsid w:val="00192CE6"/>
    <w:rsid w:val="00192D80"/>
    <w:rsid w:val="00192EF3"/>
    <w:rsid w:val="001931C9"/>
    <w:rsid w:val="001934D7"/>
    <w:rsid w:val="00193D60"/>
    <w:rsid w:val="0019405C"/>
    <w:rsid w:val="00194182"/>
    <w:rsid w:val="001941FE"/>
    <w:rsid w:val="00194281"/>
    <w:rsid w:val="0019445B"/>
    <w:rsid w:val="001945F7"/>
    <w:rsid w:val="00194CF4"/>
    <w:rsid w:val="001952BB"/>
    <w:rsid w:val="0019547C"/>
    <w:rsid w:val="00195914"/>
    <w:rsid w:val="00195DA4"/>
    <w:rsid w:val="0019736C"/>
    <w:rsid w:val="00197587"/>
    <w:rsid w:val="00197780"/>
    <w:rsid w:val="00197903"/>
    <w:rsid w:val="00197D31"/>
    <w:rsid w:val="001A0142"/>
    <w:rsid w:val="001A0225"/>
    <w:rsid w:val="001A043B"/>
    <w:rsid w:val="001A08C6"/>
    <w:rsid w:val="001A08F5"/>
    <w:rsid w:val="001A0EFE"/>
    <w:rsid w:val="001A1362"/>
    <w:rsid w:val="001A186A"/>
    <w:rsid w:val="001A18A8"/>
    <w:rsid w:val="001A198D"/>
    <w:rsid w:val="001A1BAD"/>
    <w:rsid w:val="001A1CF5"/>
    <w:rsid w:val="001A20DC"/>
    <w:rsid w:val="001A23F5"/>
    <w:rsid w:val="001A2912"/>
    <w:rsid w:val="001A2A0F"/>
    <w:rsid w:val="001A2B43"/>
    <w:rsid w:val="001A2C5A"/>
    <w:rsid w:val="001A301B"/>
    <w:rsid w:val="001A308A"/>
    <w:rsid w:val="001A3126"/>
    <w:rsid w:val="001A32B3"/>
    <w:rsid w:val="001A3459"/>
    <w:rsid w:val="001A34BF"/>
    <w:rsid w:val="001A34DA"/>
    <w:rsid w:val="001A35D6"/>
    <w:rsid w:val="001A3664"/>
    <w:rsid w:val="001A39FD"/>
    <w:rsid w:val="001A3ADA"/>
    <w:rsid w:val="001A3DC9"/>
    <w:rsid w:val="001A3EC2"/>
    <w:rsid w:val="001A3F6F"/>
    <w:rsid w:val="001A455F"/>
    <w:rsid w:val="001A456E"/>
    <w:rsid w:val="001A45CD"/>
    <w:rsid w:val="001A4792"/>
    <w:rsid w:val="001A47A6"/>
    <w:rsid w:val="001A47E6"/>
    <w:rsid w:val="001A4A44"/>
    <w:rsid w:val="001A4BA0"/>
    <w:rsid w:val="001A5239"/>
    <w:rsid w:val="001A5604"/>
    <w:rsid w:val="001A5634"/>
    <w:rsid w:val="001A56E8"/>
    <w:rsid w:val="001A611F"/>
    <w:rsid w:val="001A61FF"/>
    <w:rsid w:val="001A6887"/>
    <w:rsid w:val="001A6A0A"/>
    <w:rsid w:val="001A7037"/>
    <w:rsid w:val="001A763B"/>
    <w:rsid w:val="001A7786"/>
    <w:rsid w:val="001A7A0B"/>
    <w:rsid w:val="001A7A96"/>
    <w:rsid w:val="001A7FB5"/>
    <w:rsid w:val="001ABE64"/>
    <w:rsid w:val="001B00CE"/>
    <w:rsid w:val="001B00E7"/>
    <w:rsid w:val="001B0121"/>
    <w:rsid w:val="001B052C"/>
    <w:rsid w:val="001B07F3"/>
    <w:rsid w:val="001B0D1E"/>
    <w:rsid w:val="001B0DE5"/>
    <w:rsid w:val="001B0FE6"/>
    <w:rsid w:val="001B106F"/>
    <w:rsid w:val="001B12A9"/>
    <w:rsid w:val="001B13B8"/>
    <w:rsid w:val="001B148D"/>
    <w:rsid w:val="001B1B8C"/>
    <w:rsid w:val="001B1FB3"/>
    <w:rsid w:val="001B22EF"/>
    <w:rsid w:val="001B2373"/>
    <w:rsid w:val="001B2429"/>
    <w:rsid w:val="001B27CF"/>
    <w:rsid w:val="001B2963"/>
    <w:rsid w:val="001B2B7D"/>
    <w:rsid w:val="001B2F07"/>
    <w:rsid w:val="001B32DA"/>
    <w:rsid w:val="001B376D"/>
    <w:rsid w:val="001B37D4"/>
    <w:rsid w:val="001B3BDA"/>
    <w:rsid w:val="001B4241"/>
    <w:rsid w:val="001B48D2"/>
    <w:rsid w:val="001B5B6B"/>
    <w:rsid w:val="001B5D05"/>
    <w:rsid w:val="001B5E11"/>
    <w:rsid w:val="001B5EAE"/>
    <w:rsid w:val="001B6389"/>
    <w:rsid w:val="001B639B"/>
    <w:rsid w:val="001B689B"/>
    <w:rsid w:val="001B6C2D"/>
    <w:rsid w:val="001B6E2A"/>
    <w:rsid w:val="001B7227"/>
    <w:rsid w:val="001B74DC"/>
    <w:rsid w:val="001B782E"/>
    <w:rsid w:val="001B7AE7"/>
    <w:rsid w:val="001B7C2D"/>
    <w:rsid w:val="001C01DC"/>
    <w:rsid w:val="001C04CC"/>
    <w:rsid w:val="001C051E"/>
    <w:rsid w:val="001C06A3"/>
    <w:rsid w:val="001C06AA"/>
    <w:rsid w:val="001C0873"/>
    <w:rsid w:val="001C0899"/>
    <w:rsid w:val="001C0ADC"/>
    <w:rsid w:val="001C0C75"/>
    <w:rsid w:val="001C0C83"/>
    <w:rsid w:val="001C0D4D"/>
    <w:rsid w:val="001C0E42"/>
    <w:rsid w:val="001C13C6"/>
    <w:rsid w:val="001C150C"/>
    <w:rsid w:val="001C1EEB"/>
    <w:rsid w:val="001C1FF7"/>
    <w:rsid w:val="001C203A"/>
    <w:rsid w:val="001C20F1"/>
    <w:rsid w:val="001C2380"/>
    <w:rsid w:val="001C2979"/>
    <w:rsid w:val="001C2F9B"/>
    <w:rsid w:val="001C32AD"/>
    <w:rsid w:val="001C3608"/>
    <w:rsid w:val="001C376F"/>
    <w:rsid w:val="001C383C"/>
    <w:rsid w:val="001C3AAA"/>
    <w:rsid w:val="001C3AD4"/>
    <w:rsid w:val="001C40A1"/>
    <w:rsid w:val="001C41CB"/>
    <w:rsid w:val="001C44D9"/>
    <w:rsid w:val="001C4552"/>
    <w:rsid w:val="001C4A26"/>
    <w:rsid w:val="001C4D2C"/>
    <w:rsid w:val="001C4E06"/>
    <w:rsid w:val="001C577B"/>
    <w:rsid w:val="001C5A36"/>
    <w:rsid w:val="001C5D6D"/>
    <w:rsid w:val="001C5F2A"/>
    <w:rsid w:val="001C6049"/>
    <w:rsid w:val="001C60DD"/>
    <w:rsid w:val="001C68A8"/>
    <w:rsid w:val="001C69D7"/>
    <w:rsid w:val="001C6BB6"/>
    <w:rsid w:val="001C6DC2"/>
    <w:rsid w:val="001C7264"/>
    <w:rsid w:val="001C7384"/>
    <w:rsid w:val="001C7497"/>
    <w:rsid w:val="001C758A"/>
    <w:rsid w:val="001C78DA"/>
    <w:rsid w:val="001C796E"/>
    <w:rsid w:val="001C7D17"/>
    <w:rsid w:val="001C7D1B"/>
    <w:rsid w:val="001D0112"/>
    <w:rsid w:val="001D045A"/>
    <w:rsid w:val="001D07DB"/>
    <w:rsid w:val="001D0CE2"/>
    <w:rsid w:val="001D0D79"/>
    <w:rsid w:val="001D108C"/>
    <w:rsid w:val="001D10BA"/>
    <w:rsid w:val="001D10C7"/>
    <w:rsid w:val="001D11C3"/>
    <w:rsid w:val="001D14B9"/>
    <w:rsid w:val="001D1511"/>
    <w:rsid w:val="001D1684"/>
    <w:rsid w:val="001D1D0D"/>
    <w:rsid w:val="001D2279"/>
    <w:rsid w:val="001D2485"/>
    <w:rsid w:val="001D24DC"/>
    <w:rsid w:val="001D259F"/>
    <w:rsid w:val="001D25F7"/>
    <w:rsid w:val="001D26B3"/>
    <w:rsid w:val="001D2705"/>
    <w:rsid w:val="001D2933"/>
    <w:rsid w:val="001D2AB4"/>
    <w:rsid w:val="001D2FB1"/>
    <w:rsid w:val="001D30B1"/>
    <w:rsid w:val="001D3228"/>
    <w:rsid w:val="001D3371"/>
    <w:rsid w:val="001D3382"/>
    <w:rsid w:val="001D3415"/>
    <w:rsid w:val="001D386C"/>
    <w:rsid w:val="001D43DF"/>
    <w:rsid w:val="001D44B0"/>
    <w:rsid w:val="001D4C33"/>
    <w:rsid w:val="001D4E63"/>
    <w:rsid w:val="001D4F1D"/>
    <w:rsid w:val="001D4F1E"/>
    <w:rsid w:val="001D50E7"/>
    <w:rsid w:val="001D546E"/>
    <w:rsid w:val="001D560A"/>
    <w:rsid w:val="001D5746"/>
    <w:rsid w:val="001D5BA0"/>
    <w:rsid w:val="001D5D47"/>
    <w:rsid w:val="001D5DE3"/>
    <w:rsid w:val="001D5DE4"/>
    <w:rsid w:val="001D61F8"/>
    <w:rsid w:val="001D6498"/>
    <w:rsid w:val="001D6650"/>
    <w:rsid w:val="001D6731"/>
    <w:rsid w:val="001D686A"/>
    <w:rsid w:val="001D6A42"/>
    <w:rsid w:val="001D6AA0"/>
    <w:rsid w:val="001D6B66"/>
    <w:rsid w:val="001D6DE6"/>
    <w:rsid w:val="001D6F1D"/>
    <w:rsid w:val="001D7055"/>
    <w:rsid w:val="001D70F8"/>
    <w:rsid w:val="001D7166"/>
    <w:rsid w:val="001D71FB"/>
    <w:rsid w:val="001D7393"/>
    <w:rsid w:val="001D76DB"/>
    <w:rsid w:val="001D79B1"/>
    <w:rsid w:val="001D7ADB"/>
    <w:rsid w:val="001D7B89"/>
    <w:rsid w:val="001D7CBE"/>
    <w:rsid w:val="001D7CDF"/>
    <w:rsid w:val="001D7CF1"/>
    <w:rsid w:val="001E021B"/>
    <w:rsid w:val="001E04D0"/>
    <w:rsid w:val="001E0994"/>
    <w:rsid w:val="001E0AC9"/>
    <w:rsid w:val="001E0B0D"/>
    <w:rsid w:val="001E0CD2"/>
    <w:rsid w:val="001E10A5"/>
    <w:rsid w:val="001E12DA"/>
    <w:rsid w:val="001E133F"/>
    <w:rsid w:val="001E14C3"/>
    <w:rsid w:val="001E1517"/>
    <w:rsid w:val="001E1565"/>
    <w:rsid w:val="001E1791"/>
    <w:rsid w:val="001E17A1"/>
    <w:rsid w:val="001E1827"/>
    <w:rsid w:val="001E1C09"/>
    <w:rsid w:val="001E1F4D"/>
    <w:rsid w:val="001E21FE"/>
    <w:rsid w:val="001E2330"/>
    <w:rsid w:val="001E2414"/>
    <w:rsid w:val="001E2441"/>
    <w:rsid w:val="001E2468"/>
    <w:rsid w:val="001E2532"/>
    <w:rsid w:val="001E2562"/>
    <w:rsid w:val="001E25EC"/>
    <w:rsid w:val="001E297D"/>
    <w:rsid w:val="001E2A90"/>
    <w:rsid w:val="001E2AD9"/>
    <w:rsid w:val="001E2C71"/>
    <w:rsid w:val="001E2ED8"/>
    <w:rsid w:val="001E328A"/>
    <w:rsid w:val="001E3353"/>
    <w:rsid w:val="001E33F8"/>
    <w:rsid w:val="001E355B"/>
    <w:rsid w:val="001E3C47"/>
    <w:rsid w:val="001E3CC7"/>
    <w:rsid w:val="001E3E97"/>
    <w:rsid w:val="001E3F1F"/>
    <w:rsid w:val="001E40FE"/>
    <w:rsid w:val="001E4135"/>
    <w:rsid w:val="001E4555"/>
    <w:rsid w:val="001E45F2"/>
    <w:rsid w:val="001E4708"/>
    <w:rsid w:val="001E4E98"/>
    <w:rsid w:val="001E5129"/>
    <w:rsid w:val="001E54EC"/>
    <w:rsid w:val="001E5720"/>
    <w:rsid w:val="001E5896"/>
    <w:rsid w:val="001E5918"/>
    <w:rsid w:val="001E5F15"/>
    <w:rsid w:val="001E6095"/>
    <w:rsid w:val="001E665E"/>
    <w:rsid w:val="001E67FF"/>
    <w:rsid w:val="001E6D56"/>
    <w:rsid w:val="001E78B2"/>
    <w:rsid w:val="001E7ACB"/>
    <w:rsid w:val="001E7B1C"/>
    <w:rsid w:val="001E7BA7"/>
    <w:rsid w:val="001E7BF8"/>
    <w:rsid w:val="001F0337"/>
    <w:rsid w:val="001F073C"/>
    <w:rsid w:val="001F0D0A"/>
    <w:rsid w:val="001F1252"/>
    <w:rsid w:val="001F1342"/>
    <w:rsid w:val="001F16C3"/>
    <w:rsid w:val="001F1947"/>
    <w:rsid w:val="001F1A90"/>
    <w:rsid w:val="001F202C"/>
    <w:rsid w:val="001F20A4"/>
    <w:rsid w:val="001F24CE"/>
    <w:rsid w:val="001F2912"/>
    <w:rsid w:val="001F29E2"/>
    <w:rsid w:val="001F2C87"/>
    <w:rsid w:val="001F2D76"/>
    <w:rsid w:val="001F2DBB"/>
    <w:rsid w:val="001F2F47"/>
    <w:rsid w:val="001F3680"/>
    <w:rsid w:val="001F3953"/>
    <w:rsid w:val="001F3C0E"/>
    <w:rsid w:val="001F3CDE"/>
    <w:rsid w:val="001F3CDF"/>
    <w:rsid w:val="001F3E56"/>
    <w:rsid w:val="001F3F25"/>
    <w:rsid w:val="001F3FCA"/>
    <w:rsid w:val="001F4358"/>
    <w:rsid w:val="001F4392"/>
    <w:rsid w:val="001F4498"/>
    <w:rsid w:val="001F4956"/>
    <w:rsid w:val="001F4AA1"/>
    <w:rsid w:val="001F4AB0"/>
    <w:rsid w:val="001F4C5A"/>
    <w:rsid w:val="001F4EEF"/>
    <w:rsid w:val="001F5016"/>
    <w:rsid w:val="001F5418"/>
    <w:rsid w:val="001F5786"/>
    <w:rsid w:val="001F5A31"/>
    <w:rsid w:val="001F5F25"/>
    <w:rsid w:val="001F5FD9"/>
    <w:rsid w:val="001F5FF1"/>
    <w:rsid w:val="001F63D4"/>
    <w:rsid w:val="001F6459"/>
    <w:rsid w:val="001F65BC"/>
    <w:rsid w:val="001F6896"/>
    <w:rsid w:val="001F68D2"/>
    <w:rsid w:val="001F6900"/>
    <w:rsid w:val="001F729E"/>
    <w:rsid w:val="001F76D3"/>
    <w:rsid w:val="001F7895"/>
    <w:rsid w:val="00200296"/>
    <w:rsid w:val="0020029D"/>
    <w:rsid w:val="00200DBE"/>
    <w:rsid w:val="00200F0C"/>
    <w:rsid w:val="00201353"/>
    <w:rsid w:val="00201658"/>
    <w:rsid w:val="002016E7"/>
    <w:rsid w:val="002017EE"/>
    <w:rsid w:val="00201ADB"/>
    <w:rsid w:val="00201C53"/>
    <w:rsid w:val="00202336"/>
    <w:rsid w:val="002023FE"/>
    <w:rsid w:val="0020250B"/>
    <w:rsid w:val="00202905"/>
    <w:rsid w:val="00202B76"/>
    <w:rsid w:val="00202BBA"/>
    <w:rsid w:val="00202CF7"/>
    <w:rsid w:val="00202EF3"/>
    <w:rsid w:val="00203036"/>
    <w:rsid w:val="0020358C"/>
    <w:rsid w:val="00203825"/>
    <w:rsid w:val="002039CB"/>
    <w:rsid w:val="00203D8B"/>
    <w:rsid w:val="002042DF"/>
    <w:rsid w:val="002046E5"/>
    <w:rsid w:val="002047A9"/>
    <w:rsid w:val="002049FB"/>
    <w:rsid w:val="00204AA2"/>
    <w:rsid w:val="00204B6C"/>
    <w:rsid w:val="00204D5B"/>
    <w:rsid w:val="002050AC"/>
    <w:rsid w:val="00205557"/>
    <w:rsid w:val="002056ED"/>
    <w:rsid w:val="00205763"/>
    <w:rsid w:val="002058E5"/>
    <w:rsid w:val="00205AC6"/>
    <w:rsid w:val="00205D18"/>
    <w:rsid w:val="0020625F"/>
    <w:rsid w:val="002062A0"/>
    <w:rsid w:val="00206332"/>
    <w:rsid w:val="002074E2"/>
    <w:rsid w:val="00207C0B"/>
    <w:rsid w:val="002101F8"/>
    <w:rsid w:val="00210431"/>
    <w:rsid w:val="00210592"/>
    <w:rsid w:val="00210C30"/>
    <w:rsid w:val="00210FAA"/>
    <w:rsid w:val="00211340"/>
    <w:rsid w:val="0021139C"/>
    <w:rsid w:val="002113B7"/>
    <w:rsid w:val="0021173D"/>
    <w:rsid w:val="00211CB0"/>
    <w:rsid w:val="00211E5F"/>
    <w:rsid w:val="00211F51"/>
    <w:rsid w:val="00212FF3"/>
    <w:rsid w:val="0021304E"/>
    <w:rsid w:val="002134C8"/>
    <w:rsid w:val="0021359D"/>
    <w:rsid w:val="002135B2"/>
    <w:rsid w:val="002136AC"/>
    <w:rsid w:val="002139D5"/>
    <w:rsid w:val="00213FA9"/>
    <w:rsid w:val="00213FE4"/>
    <w:rsid w:val="00214438"/>
    <w:rsid w:val="00214501"/>
    <w:rsid w:val="00214CFF"/>
    <w:rsid w:val="002150AE"/>
    <w:rsid w:val="002151CD"/>
    <w:rsid w:val="00215222"/>
    <w:rsid w:val="002155D6"/>
    <w:rsid w:val="00215787"/>
    <w:rsid w:val="00215902"/>
    <w:rsid w:val="00215972"/>
    <w:rsid w:val="00215AC3"/>
    <w:rsid w:val="00215B5E"/>
    <w:rsid w:val="00215FB0"/>
    <w:rsid w:val="0021607D"/>
    <w:rsid w:val="002165CD"/>
    <w:rsid w:val="00216816"/>
    <w:rsid w:val="00216AEF"/>
    <w:rsid w:val="00216C31"/>
    <w:rsid w:val="00216E67"/>
    <w:rsid w:val="0021701F"/>
    <w:rsid w:val="0021712C"/>
    <w:rsid w:val="00217288"/>
    <w:rsid w:val="002174ED"/>
    <w:rsid w:val="00217A85"/>
    <w:rsid w:val="00217FAE"/>
    <w:rsid w:val="002200E3"/>
    <w:rsid w:val="00220424"/>
    <w:rsid w:val="00220441"/>
    <w:rsid w:val="002205EB"/>
    <w:rsid w:val="002209DB"/>
    <w:rsid w:val="002209E1"/>
    <w:rsid w:val="00220C6D"/>
    <w:rsid w:val="00220DC4"/>
    <w:rsid w:val="00220DCB"/>
    <w:rsid w:val="00220EF8"/>
    <w:rsid w:val="00220F21"/>
    <w:rsid w:val="00220FE5"/>
    <w:rsid w:val="002210E2"/>
    <w:rsid w:val="0022112C"/>
    <w:rsid w:val="0022116C"/>
    <w:rsid w:val="0022130E"/>
    <w:rsid w:val="0022160B"/>
    <w:rsid w:val="00221B23"/>
    <w:rsid w:val="00221B3C"/>
    <w:rsid w:val="00221B5C"/>
    <w:rsid w:val="00221CFF"/>
    <w:rsid w:val="002220E3"/>
    <w:rsid w:val="0022222A"/>
    <w:rsid w:val="0022254D"/>
    <w:rsid w:val="00222A49"/>
    <w:rsid w:val="00222BDC"/>
    <w:rsid w:val="00222C06"/>
    <w:rsid w:val="00222D4B"/>
    <w:rsid w:val="00223022"/>
    <w:rsid w:val="002234A6"/>
    <w:rsid w:val="002234EA"/>
    <w:rsid w:val="002238E0"/>
    <w:rsid w:val="00223B1F"/>
    <w:rsid w:val="00223E65"/>
    <w:rsid w:val="00223ECB"/>
    <w:rsid w:val="002242FC"/>
    <w:rsid w:val="00224577"/>
    <w:rsid w:val="002249D5"/>
    <w:rsid w:val="00225014"/>
    <w:rsid w:val="002250C2"/>
    <w:rsid w:val="00225108"/>
    <w:rsid w:val="002251FF"/>
    <w:rsid w:val="00225441"/>
    <w:rsid w:val="002256AE"/>
    <w:rsid w:val="002256D5"/>
    <w:rsid w:val="002257F5"/>
    <w:rsid w:val="00225FCB"/>
    <w:rsid w:val="002262E8"/>
    <w:rsid w:val="002263D6"/>
    <w:rsid w:val="00226583"/>
    <w:rsid w:val="00226B28"/>
    <w:rsid w:val="0022718B"/>
    <w:rsid w:val="002271A9"/>
    <w:rsid w:val="002273B0"/>
    <w:rsid w:val="00227614"/>
    <w:rsid w:val="002277DB"/>
    <w:rsid w:val="002277F1"/>
    <w:rsid w:val="002278C7"/>
    <w:rsid w:val="00227905"/>
    <w:rsid w:val="002279F0"/>
    <w:rsid w:val="00227BB6"/>
    <w:rsid w:val="00227D10"/>
    <w:rsid w:val="00230475"/>
    <w:rsid w:val="00230483"/>
    <w:rsid w:val="00230533"/>
    <w:rsid w:val="00230765"/>
    <w:rsid w:val="00230BCC"/>
    <w:rsid w:val="00230EFD"/>
    <w:rsid w:val="00230F4B"/>
    <w:rsid w:val="00230FDC"/>
    <w:rsid w:val="0023119E"/>
    <w:rsid w:val="00231252"/>
    <w:rsid w:val="00231285"/>
    <w:rsid w:val="00231406"/>
    <w:rsid w:val="00231A65"/>
    <w:rsid w:val="00231D5A"/>
    <w:rsid w:val="00231F8B"/>
    <w:rsid w:val="002320D5"/>
    <w:rsid w:val="0023241C"/>
    <w:rsid w:val="002328F2"/>
    <w:rsid w:val="00232C48"/>
    <w:rsid w:val="00233139"/>
    <w:rsid w:val="00233296"/>
    <w:rsid w:val="002333F3"/>
    <w:rsid w:val="002336DB"/>
    <w:rsid w:val="00233714"/>
    <w:rsid w:val="00233B8E"/>
    <w:rsid w:val="00233CC5"/>
    <w:rsid w:val="00233F26"/>
    <w:rsid w:val="00234259"/>
    <w:rsid w:val="00234654"/>
    <w:rsid w:val="00234775"/>
    <w:rsid w:val="00234A4C"/>
    <w:rsid w:val="00234B78"/>
    <w:rsid w:val="00234C59"/>
    <w:rsid w:val="00234C5A"/>
    <w:rsid w:val="00234E2D"/>
    <w:rsid w:val="0023543A"/>
    <w:rsid w:val="0023581A"/>
    <w:rsid w:val="002358FF"/>
    <w:rsid w:val="002359C3"/>
    <w:rsid w:val="00235CEA"/>
    <w:rsid w:val="00235E3E"/>
    <w:rsid w:val="00236156"/>
    <w:rsid w:val="0023656C"/>
    <w:rsid w:val="002365B2"/>
    <w:rsid w:val="002366AA"/>
    <w:rsid w:val="00236828"/>
    <w:rsid w:val="00236937"/>
    <w:rsid w:val="00236B53"/>
    <w:rsid w:val="00236C97"/>
    <w:rsid w:val="00236E7D"/>
    <w:rsid w:val="00237016"/>
    <w:rsid w:val="0023736D"/>
    <w:rsid w:val="002375B2"/>
    <w:rsid w:val="0023770D"/>
    <w:rsid w:val="0023786F"/>
    <w:rsid w:val="002378C3"/>
    <w:rsid w:val="00237BC2"/>
    <w:rsid w:val="00237E7D"/>
    <w:rsid w:val="00237ED4"/>
    <w:rsid w:val="002403B7"/>
    <w:rsid w:val="00240474"/>
    <w:rsid w:val="00240639"/>
    <w:rsid w:val="00240666"/>
    <w:rsid w:val="00240775"/>
    <w:rsid w:val="002407DF"/>
    <w:rsid w:val="00240972"/>
    <w:rsid w:val="00240ADC"/>
    <w:rsid w:val="00240B68"/>
    <w:rsid w:val="00240D0F"/>
    <w:rsid w:val="00240D75"/>
    <w:rsid w:val="00241438"/>
    <w:rsid w:val="002417B1"/>
    <w:rsid w:val="00241A8D"/>
    <w:rsid w:val="00242164"/>
    <w:rsid w:val="002425EA"/>
    <w:rsid w:val="0024262A"/>
    <w:rsid w:val="00242DA9"/>
    <w:rsid w:val="00242DC9"/>
    <w:rsid w:val="00242E9D"/>
    <w:rsid w:val="00242EA0"/>
    <w:rsid w:val="00243440"/>
    <w:rsid w:val="0024344C"/>
    <w:rsid w:val="00243685"/>
    <w:rsid w:val="00243CD6"/>
    <w:rsid w:val="00243E14"/>
    <w:rsid w:val="00243E2D"/>
    <w:rsid w:val="00243F24"/>
    <w:rsid w:val="00244385"/>
    <w:rsid w:val="002444DC"/>
    <w:rsid w:val="0024459C"/>
    <w:rsid w:val="0024460A"/>
    <w:rsid w:val="0024493E"/>
    <w:rsid w:val="00244CDE"/>
    <w:rsid w:val="00244CE0"/>
    <w:rsid w:val="00245625"/>
    <w:rsid w:val="00245663"/>
    <w:rsid w:val="002456A1"/>
    <w:rsid w:val="00245839"/>
    <w:rsid w:val="002458D2"/>
    <w:rsid w:val="00245AD1"/>
    <w:rsid w:val="00245AD9"/>
    <w:rsid w:val="00245B45"/>
    <w:rsid w:val="00245DFF"/>
    <w:rsid w:val="00245FB0"/>
    <w:rsid w:val="0024661D"/>
    <w:rsid w:val="00246A85"/>
    <w:rsid w:val="00246BDF"/>
    <w:rsid w:val="002470BB"/>
    <w:rsid w:val="00247138"/>
    <w:rsid w:val="002471BF"/>
    <w:rsid w:val="0024753B"/>
    <w:rsid w:val="0024794B"/>
    <w:rsid w:val="00247A02"/>
    <w:rsid w:val="00247B11"/>
    <w:rsid w:val="00247BD6"/>
    <w:rsid w:val="00247DB4"/>
    <w:rsid w:val="00250402"/>
    <w:rsid w:val="002504CF"/>
    <w:rsid w:val="002505E5"/>
    <w:rsid w:val="0025079D"/>
    <w:rsid w:val="00250B12"/>
    <w:rsid w:val="002510F2"/>
    <w:rsid w:val="00251381"/>
    <w:rsid w:val="002515DB"/>
    <w:rsid w:val="002515E9"/>
    <w:rsid w:val="00251923"/>
    <w:rsid w:val="00251988"/>
    <w:rsid w:val="00251A63"/>
    <w:rsid w:val="0025237B"/>
    <w:rsid w:val="002524C9"/>
    <w:rsid w:val="00252B61"/>
    <w:rsid w:val="00252D05"/>
    <w:rsid w:val="00252D2A"/>
    <w:rsid w:val="00252D61"/>
    <w:rsid w:val="00252E70"/>
    <w:rsid w:val="002530E7"/>
    <w:rsid w:val="002532B4"/>
    <w:rsid w:val="002539E5"/>
    <w:rsid w:val="00253DB5"/>
    <w:rsid w:val="00254237"/>
    <w:rsid w:val="002544A3"/>
    <w:rsid w:val="002544DF"/>
    <w:rsid w:val="002545DA"/>
    <w:rsid w:val="00254637"/>
    <w:rsid w:val="0025485A"/>
    <w:rsid w:val="0025487C"/>
    <w:rsid w:val="00254AE2"/>
    <w:rsid w:val="00254B09"/>
    <w:rsid w:val="00254D0F"/>
    <w:rsid w:val="00254EEB"/>
    <w:rsid w:val="00255095"/>
    <w:rsid w:val="002553CE"/>
    <w:rsid w:val="00255699"/>
    <w:rsid w:val="00255853"/>
    <w:rsid w:val="002559E1"/>
    <w:rsid w:val="00255DA4"/>
    <w:rsid w:val="00255E04"/>
    <w:rsid w:val="0025613F"/>
    <w:rsid w:val="00256554"/>
    <w:rsid w:val="002567C0"/>
    <w:rsid w:val="002567D1"/>
    <w:rsid w:val="0025683C"/>
    <w:rsid w:val="00256AE9"/>
    <w:rsid w:val="002571E6"/>
    <w:rsid w:val="00257454"/>
    <w:rsid w:val="00257C43"/>
    <w:rsid w:val="00257D01"/>
    <w:rsid w:val="00257F91"/>
    <w:rsid w:val="00260002"/>
    <w:rsid w:val="002600E7"/>
    <w:rsid w:val="00260676"/>
    <w:rsid w:val="00260978"/>
    <w:rsid w:val="00260AD2"/>
    <w:rsid w:val="00261289"/>
    <w:rsid w:val="00261450"/>
    <w:rsid w:val="002618D6"/>
    <w:rsid w:val="00261B5C"/>
    <w:rsid w:val="00261C51"/>
    <w:rsid w:val="00261C6E"/>
    <w:rsid w:val="00261DC6"/>
    <w:rsid w:val="002622DD"/>
    <w:rsid w:val="00262395"/>
    <w:rsid w:val="00262809"/>
    <w:rsid w:val="00262918"/>
    <w:rsid w:val="00262C13"/>
    <w:rsid w:val="00262D9E"/>
    <w:rsid w:val="00263308"/>
    <w:rsid w:val="00263721"/>
    <w:rsid w:val="00263902"/>
    <w:rsid w:val="00263919"/>
    <w:rsid w:val="0026395E"/>
    <w:rsid w:val="0026398D"/>
    <w:rsid w:val="00263A45"/>
    <w:rsid w:val="00263C60"/>
    <w:rsid w:val="00264623"/>
    <w:rsid w:val="0026465E"/>
    <w:rsid w:val="00264773"/>
    <w:rsid w:val="00264BB1"/>
    <w:rsid w:val="00264D78"/>
    <w:rsid w:val="00264E52"/>
    <w:rsid w:val="002650D4"/>
    <w:rsid w:val="00265393"/>
    <w:rsid w:val="00265534"/>
    <w:rsid w:val="002655C8"/>
    <w:rsid w:val="0026595C"/>
    <w:rsid w:val="00265B77"/>
    <w:rsid w:val="00265CF4"/>
    <w:rsid w:val="00265D56"/>
    <w:rsid w:val="00265EBA"/>
    <w:rsid w:val="0026603A"/>
    <w:rsid w:val="002661F7"/>
    <w:rsid w:val="00266266"/>
    <w:rsid w:val="002662BD"/>
    <w:rsid w:val="002662C2"/>
    <w:rsid w:val="0026634E"/>
    <w:rsid w:val="00266489"/>
    <w:rsid w:val="0026656E"/>
    <w:rsid w:val="002668A4"/>
    <w:rsid w:val="00266D9D"/>
    <w:rsid w:val="00266DC7"/>
    <w:rsid w:val="00266EA3"/>
    <w:rsid w:val="00266ED3"/>
    <w:rsid w:val="002670A5"/>
    <w:rsid w:val="0026717E"/>
    <w:rsid w:val="002673DA"/>
    <w:rsid w:val="00267415"/>
    <w:rsid w:val="00267939"/>
    <w:rsid w:val="0026C202"/>
    <w:rsid w:val="00270756"/>
    <w:rsid w:val="002707C6"/>
    <w:rsid w:val="002708C6"/>
    <w:rsid w:val="002708C8"/>
    <w:rsid w:val="00270A88"/>
    <w:rsid w:val="00270BBC"/>
    <w:rsid w:val="0027103B"/>
    <w:rsid w:val="0027105C"/>
    <w:rsid w:val="002717D4"/>
    <w:rsid w:val="00271A5B"/>
    <w:rsid w:val="00271C27"/>
    <w:rsid w:val="00271E8C"/>
    <w:rsid w:val="00271EDA"/>
    <w:rsid w:val="00272597"/>
    <w:rsid w:val="00272657"/>
    <w:rsid w:val="00272DEA"/>
    <w:rsid w:val="0027331C"/>
    <w:rsid w:val="002735CB"/>
    <w:rsid w:val="00273A6A"/>
    <w:rsid w:val="00273AE6"/>
    <w:rsid w:val="00273E22"/>
    <w:rsid w:val="002742C7"/>
    <w:rsid w:val="00274334"/>
    <w:rsid w:val="00274540"/>
    <w:rsid w:val="00274FC3"/>
    <w:rsid w:val="00275035"/>
    <w:rsid w:val="002750A0"/>
    <w:rsid w:val="002750C6"/>
    <w:rsid w:val="0027517B"/>
    <w:rsid w:val="0027523F"/>
    <w:rsid w:val="002754C4"/>
    <w:rsid w:val="0027575E"/>
    <w:rsid w:val="00275D1E"/>
    <w:rsid w:val="00275FE2"/>
    <w:rsid w:val="00276022"/>
    <w:rsid w:val="00276049"/>
    <w:rsid w:val="0027645C"/>
    <w:rsid w:val="002765F0"/>
    <w:rsid w:val="00276C8A"/>
    <w:rsid w:val="00276C8F"/>
    <w:rsid w:val="00276DF4"/>
    <w:rsid w:val="0027710A"/>
    <w:rsid w:val="002771A4"/>
    <w:rsid w:val="002771C7"/>
    <w:rsid w:val="00277BF2"/>
    <w:rsid w:val="00277CF8"/>
    <w:rsid w:val="00277D40"/>
    <w:rsid w:val="00280020"/>
    <w:rsid w:val="002801F4"/>
    <w:rsid w:val="00280296"/>
    <w:rsid w:val="002802BD"/>
    <w:rsid w:val="002802DA"/>
    <w:rsid w:val="00280321"/>
    <w:rsid w:val="00280869"/>
    <w:rsid w:val="00280956"/>
    <w:rsid w:val="00280B01"/>
    <w:rsid w:val="00280B5B"/>
    <w:rsid w:val="00280D8D"/>
    <w:rsid w:val="00280EC7"/>
    <w:rsid w:val="00281242"/>
    <w:rsid w:val="0028156A"/>
    <w:rsid w:val="00281708"/>
    <w:rsid w:val="0028174A"/>
    <w:rsid w:val="00281765"/>
    <w:rsid w:val="00281BBB"/>
    <w:rsid w:val="00281DCF"/>
    <w:rsid w:val="0028211E"/>
    <w:rsid w:val="00282741"/>
    <w:rsid w:val="002827C9"/>
    <w:rsid w:val="002827CD"/>
    <w:rsid w:val="00282BD3"/>
    <w:rsid w:val="00283139"/>
    <w:rsid w:val="002836DF"/>
    <w:rsid w:val="0028374D"/>
    <w:rsid w:val="0028377D"/>
    <w:rsid w:val="00284175"/>
    <w:rsid w:val="00284250"/>
    <w:rsid w:val="00284B19"/>
    <w:rsid w:val="00284FF5"/>
    <w:rsid w:val="002850B1"/>
    <w:rsid w:val="002854EB"/>
    <w:rsid w:val="002854F2"/>
    <w:rsid w:val="00285778"/>
    <w:rsid w:val="00285851"/>
    <w:rsid w:val="002858D3"/>
    <w:rsid w:val="00285ACB"/>
    <w:rsid w:val="00285C2C"/>
    <w:rsid w:val="00286001"/>
    <w:rsid w:val="002861AB"/>
    <w:rsid w:val="002865E3"/>
    <w:rsid w:val="0028661A"/>
    <w:rsid w:val="0028697E"/>
    <w:rsid w:val="002869D1"/>
    <w:rsid w:val="00286D0E"/>
    <w:rsid w:val="00286DF5"/>
    <w:rsid w:val="00286F8E"/>
    <w:rsid w:val="00287234"/>
    <w:rsid w:val="00287596"/>
    <w:rsid w:val="0028773B"/>
    <w:rsid w:val="0028777E"/>
    <w:rsid w:val="00287E1E"/>
    <w:rsid w:val="002900D3"/>
    <w:rsid w:val="00290121"/>
    <w:rsid w:val="00290255"/>
    <w:rsid w:val="00290804"/>
    <w:rsid w:val="0029084F"/>
    <w:rsid w:val="002910A6"/>
    <w:rsid w:val="002911F5"/>
    <w:rsid w:val="002915EF"/>
    <w:rsid w:val="002916BA"/>
    <w:rsid w:val="00291928"/>
    <w:rsid w:val="00291BF0"/>
    <w:rsid w:val="00291D58"/>
    <w:rsid w:val="002923DF"/>
    <w:rsid w:val="00292593"/>
    <w:rsid w:val="00292725"/>
    <w:rsid w:val="0029289C"/>
    <w:rsid w:val="002928D6"/>
    <w:rsid w:val="002928F4"/>
    <w:rsid w:val="002929F7"/>
    <w:rsid w:val="00292C16"/>
    <w:rsid w:val="002937CF"/>
    <w:rsid w:val="00293A1D"/>
    <w:rsid w:val="00293C7C"/>
    <w:rsid w:val="00293DDA"/>
    <w:rsid w:val="00293F3F"/>
    <w:rsid w:val="002941CE"/>
    <w:rsid w:val="00294236"/>
    <w:rsid w:val="002944F3"/>
    <w:rsid w:val="00294693"/>
    <w:rsid w:val="002947E7"/>
    <w:rsid w:val="00294B73"/>
    <w:rsid w:val="002953ED"/>
    <w:rsid w:val="002956F6"/>
    <w:rsid w:val="0029575C"/>
    <w:rsid w:val="00295A94"/>
    <w:rsid w:val="00295D1F"/>
    <w:rsid w:val="00295DF3"/>
    <w:rsid w:val="00296500"/>
    <w:rsid w:val="00296DBF"/>
    <w:rsid w:val="00296DCA"/>
    <w:rsid w:val="00297166"/>
    <w:rsid w:val="0029739E"/>
    <w:rsid w:val="002978BB"/>
    <w:rsid w:val="00297917"/>
    <w:rsid w:val="002979E9"/>
    <w:rsid w:val="00297A77"/>
    <w:rsid w:val="00297AF0"/>
    <w:rsid w:val="00297BE6"/>
    <w:rsid w:val="00297FB4"/>
    <w:rsid w:val="002A031B"/>
    <w:rsid w:val="002A08BD"/>
    <w:rsid w:val="002A0AA0"/>
    <w:rsid w:val="002A0BBD"/>
    <w:rsid w:val="002A0E0F"/>
    <w:rsid w:val="002A1330"/>
    <w:rsid w:val="002A15C0"/>
    <w:rsid w:val="002A1625"/>
    <w:rsid w:val="002A17B5"/>
    <w:rsid w:val="002A1993"/>
    <w:rsid w:val="002A1BF1"/>
    <w:rsid w:val="002A1FD3"/>
    <w:rsid w:val="002A204B"/>
    <w:rsid w:val="002A2093"/>
    <w:rsid w:val="002A25C6"/>
    <w:rsid w:val="002A25D3"/>
    <w:rsid w:val="002A28B4"/>
    <w:rsid w:val="002A2904"/>
    <w:rsid w:val="002A29F9"/>
    <w:rsid w:val="002A2C50"/>
    <w:rsid w:val="002A2DB7"/>
    <w:rsid w:val="002A2E59"/>
    <w:rsid w:val="002A33E8"/>
    <w:rsid w:val="002A34A4"/>
    <w:rsid w:val="002A364F"/>
    <w:rsid w:val="002A391F"/>
    <w:rsid w:val="002A3D81"/>
    <w:rsid w:val="002A3DC6"/>
    <w:rsid w:val="002A416C"/>
    <w:rsid w:val="002A4503"/>
    <w:rsid w:val="002A4CAB"/>
    <w:rsid w:val="002A4E96"/>
    <w:rsid w:val="002A5224"/>
    <w:rsid w:val="002A564A"/>
    <w:rsid w:val="002A5A12"/>
    <w:rsid w:val="002A5D37"/>
    <w:rsid w:val="002A5E0B"/>
    <w:rsid w:val="002A6017"/>
    <w:rsid w:val="002A6053"/>
    <w:rsid w:val="002A6539"/>
    <w:rsid w:val="002A6724"/>
    <w:rsid w:val="002A687F"/>
    <w:rsid w:val="002A69FB"/>
    <w:rsid w:val="002A6A7C"/>
    <w:rsid w:val="002A70EB"/>
    <w:rsid w:val="002A7430"/>
    <w:rsid w:val="002A7897"/>
    <w:rsid w:val="002A78B9"/>
    <w:rsid w:val="002A7D29"/>
    <w:rsid w:val="002A7DB5"/>
    <w:rsid w:val="002A7E1B"/>
    <w:rsid w:val="002B0411"/>
    <w:rsid w:val="002B05B8"/>
    <w:rsid w:val="002B0741"/>
    <w:rsid w:val="002B0850"/>
    <w:rsid w:val="002B08E8"/>
    <w:rsid w:val="002B0EC7"/>
    <w:rsid w:val="002B1267"/>
    <w:rsid w:val="002B1C3B"/>
    <w:rsid w:val="002B232C"/>
    <w:rsid w:val="002B293F"/>
    <w:rsid w:val="002B29E1"/>
    <w:rsid w:val="002B29E4"/>
    <w:rsid w:val="002B2A1B"/>
    <w:rsid w:val="002B2B58"/>
    <w:rsid w:val="002B3161"/>
    <w:rsid w:val="002B31D1"/>
    <w:rsid w:val="002B3D49"/>
    <w:rsid w:val="002B3DE7"/>
    <w:rsid w:val="002B4608"/>
    <w:rsid w:val="002B46BD"/>
    <w:rsid w:val="002B4941"/>
    <w:rsid w:val="002B4FB2"/>
    <w:rsid w:val="002B5275"/>
    <w:rsid w:val="002B5529"/>
    <w:rsid w:val="002B579A"/>
    <w:rsid w:val="002B57AF"/>
    <w:rsid w:val="002B590F"/>
    <w:rsid w:val="002B5928"/>
    <w:rsid w:val="002B5A88"/>
    <w:rsid w:val="002B5D4F"/>
    <w:rsid w:val="002B5D74"/>
    <w:rsid w:val="002B67CA"/>
    <w:rsid w:val="002B6817"/>
    <w:rsid w:val="002B6A6F"/>
    <w:rsid w:val="002B6C17"/>
    <w:rsid w:val="002B6C57"/>
    <w:rsid w:val="002B6EED"/>
    <w:rsid w:val="002B71D1"/>
    <w:rsid w:val="002B75D1"/>
    <w:rsid w:val="002B7ADA"/>
    <w:rsid w:val="002B7ADB"/>
    <w:rsid w:val="002C00A6"/>
    <w:rsid w:val="002C00F5"/>
    <w:rsid w:val="002C019F"/>
    <w:rsid w:val="002C04E0"/>
    <w:rsid w:val="002C07C3"/>
    <w:rsid w:val="002C083B"/>
    <w:rsid w:val="002C0872"/>
    <w:rsid w:val="002C0D4B"/>
    <w:rsid w:val="002C0DEE"/>
    <w:rsid w:val="002C1543"/>
    <w:rsid w:val="002C1649"/>
    <w:rsid w:val="002C17C7"/>
    <w:rsid w:val="002C1D2F"/>
    <w:rsid w:val="002C1E3F"/>
    <w:rsid w:val="002C2043"/>
    <w:rsid w:val="002C21CC"/>
    <w:rsid w:val="002C2BB5"/>
    <w:rsid w:val="002C32CC"/>
    <w:rsid w:val="002C3327"/>
    <w:rsid w:val="002C349E"/>
    <w:rsid w:val="002C3882"/>
    <w:rsid w:val="002C3A7E"/>
    <w:rsid w:val="002C4619"/>
    <w:rsid w:val="002C4834"/>
    <w:rsid w:val="002C48F4"/>
    <w:rsid w:val="002C4B4C"/>
    <w:rsid w:val="002C4C45"/>
    <w:rsid w:val="002C5404"/>
    <w:rsid w:val="002C5496"/>
    <w:rsid w:val="002C56C2"/>
    <w:rsid w:val="002C56FF"/>
    <w:rsid w:val="002C5782"/>
    <w:rsid w:val="002C5784"/>
    <w:rsid w:val="002C579D"/>
    <w:rsid w:val="002C5AB5"/>
    <w:rsid w:val="002C5E11"/>
    <w:rsid w:val="002C6040"/>
    <w:rsid w:val="002C61A3"/>
    <w:rsid w:val="002C6405"/>
    <w:rsid w:val="002C665A"/>
    <w:rsid w:val="002C6982"/>
    <w:rsid w:val="002C6AF2"/>
    <w:rsid w:val="002C705F"/>
    <w:rsid w:val="002C719E"/>
    <w:rsid w:val="002C7413"/>
    <w:rsid w:val="002C7704"/>
    <w:rsid w:val="002C7AD7"/>
    <w:rsid w:val="002C7AD9"/>
    <w:rsid w:val="002C7C13"/>
    <w:rsid w:val="002D061F"/>
    <w:rsid w:val="002D0902"/>
    <w:rsid w:val="002D0EF2"/>
    <w:rsid w:val="002D0F6A"/>
    <w:rsid w:val="002D1242"/>
    <w:rsid w:val="002D13D3"/>
    <w:rsid w:val="002D161D"/>
    <w:rsid w:val="002D16F5"/>
    <w:rsid w:val="002D18BF"/>
    <w:rsid w:val="002D1B71"/>
    <w:rsid w:val="002D23E6"/>
    <w:rsid w:val="002D24AC"/>
    <w:rsid w:val="002D2AAB"/>
    <w:rsid w:val="002D2B80"/>
    <w:rsid w:val="002D2F4D"/>
    <w:rsid w:val="002D2FCA"/>
    <w:rsid w:val="002D31D2"/>
    <w:rsid w:val="002D3374"/>
    <w:rsid w:val="002D37CF"/>
    <w:rsid w:val="002D3927"/>
    <w:rsid w:val="002D397F"/>
    <w:rsid w:val="002D3B05"/>
    <w:rsid w:val="002D3C27"/>
    <w:rsid w:val="002D3C33"/>
    <w:rsid w:val="002D3DC8"/>
    <w:rsid w:val="002D3E1D"/>
    <w:rsid w:val="002D405F"/>
    <w:rsid w:val="002D4287"/>
    <w:rsid w:val="002D448E"/>
    <w:rsid w:val="002D4645"/>
    <w:rsid w:val="002D4ADE"/>
    <w:rsid w:val="002D4B06"/>
    <w:rsid w:val="002D4D56"/>
    <w:rsid w:val="002D4E29"/>
    <w:rsid w:val="002D50AD"/>
    <w:rsid w:val="002D5632"/>
    <w:rsid w:val="002D5CD3"/>
    <w:rsid w:val="002D5DB9"/>
    <w:rsid w:val="002D619D"/>
    <w:rsid w:val="002D6751"/>
    <w:rsid w:val="002D6A52"/>
    <w:rsid w:val="002D6A83"/>
    <w:rsid w:val="002D6E0E"/>
    <w:rsid w:val="002D6E3D"/>
    <w:rsid w:val="002D7823"/>
    <w:rsid w:val="002D7974"/>
    <w:rsid w:val="002D7EA9"/>
    <w:rsid w:val="002D7F60"/>
    <w:rsid w:val="002E01CB"/>
    <w:rsid w:val="002E05BE"/>
    <w:rsid w:val="002E0605"/>
    <w:rsid w:val="002E064C"/>
    <w:rsid w:val="002E0BDB"/>
    <w:rsid w:val="002E0D5A"/>
    <w:rsid w:val="002E10E1"/>
    <w:rsid w:val="002E1110"/>
    <w:rsid w:val="002E1233"/>
    <w:rsid w:val="002E14E8"/>
    <w:rsid w:val="002E1703"/>
    <w:rsid w:val="002E1824"/>
    <w:rsid w:val="002E1BC9"/>
    <w:rsid w:val="002E2147"/>
    <w:rsid w:val="002E2444"/>
    <w:rsid w:val="002E272F"/>
    <w:rsid w:val="002E2B2C"/>
    <w:rsid w:val="002E2E3C"/>
    <w:rsid w:val="002E3493"/>
    <w:rsid w:val="002E35E8"/>
    <w:rsid w:val="002E389F"/>
    <w:rsid w:val="002E3A9C"/>
    <w:rsid w:val="002E3DEE"/>
    <w:rsid w:val="002E3E9A"/>
    <w:rsid w:val="002E3F1C"/>
    <w:rsid w:val="002E4063"/>
    <w:rsid w:val="002E4293"/>
    <w:rsid w:val="002E4508"/>
    <w:rsid w:val="002E4771"/>
    <w:rsid w:val="002E4C17"/>
    <w:rsid w:val="002E4C2D"/>
    <w:rsid w:val="002E4D1B"/>
    <w:rsid w:val="002E4E75"/>
    <w:rsid w:val="002E4FFC"/>
    <w:rsid w:val="002E5285"/>
    <w:rsid w:val="002E574D"/>
    <w:rsid w:val="002E5935"/>
    <w:rsid w:val="002E5AEC"/>
    <w:rsid w:val="002E5DEA"/>
    <w:rsid w:val="002E65EC"/>
    <w:rsid w:val="002E688E"/>
    <w:rsid w:val="002E6B01"/>
    <w:rsid w:val="002E6BA1"/>
    <w:rsid w:val="002E6D6D"/>
    <w:rsid w:val="002E6E77"/>
    <w:rsid w:val="002E6E79"/>
    <w:rsid w:val="002E724A"/>
    <w:rsid w:val="002E72AE"/>
    <w:rsid w:val="002E7B53"/>
    <w:rsid w:val="002E7BC3"/>
    <w:rsid w:val="002E7F2E"/>
    <w:rsid w:val="002F037E"/>
    <w:rsid w:val="002F0399"/>
    <w:rsid w:val="002F0699"/>
    <w:rsid w:val="002F078A"/>
    <w:rsid w:val="002F0D5B"/>
    <w:rsid w:val="002F11ED"/>
    <w:rsid w:val="002F1B9A"/>
    <w:rsid w:val="002F1D85"/>
    <w:rsid w:val="002F1E85"/>
    <w:rsid w:val="002F26E6"/>
    <w:rsid w:val="002F2784"/>
    <w:rsid w:val="002F29B3"/>
    <w:rsid w:val="002F2DFE"/>
    <w:rsid w:val="002F300C"/>
    <w:rsid w:val="002F311E"/>
    <w:rsid w:val="002F313A"/>
    <w:rsid w:val="002F3327"/>
    <w:rsid w:val="002F345B"/>
    <w:rsid w:val="002F3654"/>
    <w:rsid w:val="002F36A6"/>
    <w:rsid w:val="002F3938"/>
    <w:rsid w:val="002F397C"/>
    <w:rsid w:val="002F3BC8"/>
    <w:rsid w:val="002F4515"/>
    <w:rsid w:val="002F4582"/>
    <w:rsid w:val="002F4B45"/>
    <w:rsid w:val="002F4D5A"/>
    <w:rsid w:val="002F4D82"/>
    <w:rsid w:val="002F523C"/>
    <w:rsid w:val="002F54E2"/>
    <w:rsid w:val="002F55AA"/>
    <w:rsid w:val="002F5846"/>
    <w:rsid w:val="002F5B5A"/>
    <w:rsid w:val="002F5BA0"/>
    <w:rsid w:val="002F5E09"/>
    <w:rsid w:val="002F5E65"/>
    <w:rsid w:val="002F5FEC"/>
    <w:rsid w:val="002F6F37"/>
    <w:rsid w:val="002F6FAC"/>
    <w:rsid w:val="002F718E"/>
    <w:rsid w:val="002F71B8"/>
    <w:rsid w:val="002F71F4"/>
    <w:rsid w:val="002F736B"/>
    <w:rsid w:val="002F77FC"/>
    <w:rsid w:val="002F78C4"/>
    <w:rsid w:val="002F79F1"/>
    <w:rsid w:val="002F7AA0"/>
    <w:rsid w:val="002F7B37"/>
    <w:rsid w:val="002F7D10"/>
    <w:rsid w:val="002F7F95"/>
    <w:rsid w:val="00300718"/>
    <w:rsid w:val="003008BD"/>
    <w:rsid w:val="0030102C"/>
    <w:rsid w:val="003015D5"/>
    <w:rsid w:val="00301676"/>
    <w:rsid w:val="00301B19"/>
    <w:rsid w:val="00301E8A"/>
    <w:rsid w:val="00301EA1"/>
    <w:rsid w:val="00301F26"/>
    <w:rsid w:val="0030218F"/>
    <w:rsid w:val="00302CC1"/>
    <w:rsid w:val="00302E1F"/>
    <w:rsid w:val="00302E4B"/>
    <w:rsid w:val="00302FCC"/>
    <w:rsid w:val="003032A0"/>
    <w:rsid w:val="00303363"/>
    <w:rsid w:val="0030344D"/>
    <w:rsid w:val="00303708"/>
    <w:rsid w:val="00303CAE"/>
    <w:rsid w:val="0030405B"/>
    <w:rsid w:val="003041DD"/>
    <w:rsid w:val="00304793"/>
    <w:rsid w:val="003048CA"/>
    <w:rsid w:val="00304943"/>
    <w:rsid w:val="00304CFB"/>
    <w:rsid w:val="00304D63"/>
    <w:rsid w:val="00304E70"/>
    <w:rsid w:val="00305252"/>
    <w:rsid w:val="00305300"/>
    <w:rsid w:val="0030558D"/>
    <w:rsid w:val="0030562B"/>
    <w:rsid w:val="00305675"/>
    <w:rsid w:val="003057A6"/>
    <w:rsid w:val="003057EE"/>
    <w:rsid w:val="003057FD"/>
    <w:rsid w:val="003058A0"/>
    <w:rsid w:val="0030624A"/>
    <w:rsid w:val="003062AE"/>
    <w:rsid w:val="0030652C"/>
    <w:rsid w:val="00306C28"/>
    <w:rsid w:val="00307154"/>
    <w:rsid w:val="00307441"/>
    <w:rsid w:val="003079EC"/>
    <w:rsid w:val="00307CC6"/>
    <w:rsid w:val="0031033B"/>
    <w:rsid w:val="003105C6"/>
    <w:rsid w:val="00310894"/>
    <w:rsid w:val="003108DD"/>
    <w:rsid w:val="00310909"/>
    <w:rsid w:val="0031094D"/>
    <w:rsid w:val="00310A23"/>
    <w:rsid w:val="00310BD1"/>
    <w:rsid w:val="00310E25"/>
    <w:rsid w:val="00310E37"/>
    <w:rsid w:val="00310EF1"/>
    <w:rsid w:val="00310F17"/>
    <w:rsid w:val="00311389"/>
    <w:rsid w:val="003116E4"/>
    <w:rsid w:val="003117EE"/>
    <w:rsid w:val="003118AD"/>
    <w:rsid w:val="0031202A"/>
    <w:rsid w:val="003124F7"/>
    <w:rsid w:val="0031275B"/>
    <w:rsid w:val="003128BF"/>
    <w:rsid w:val="00312E0B"/>
    <w:rsid w:val="00312F3F"/>
    <w:rsid w:val="003132CF"/>
    <w:rsid w:val="00313374"/>
    <w:rsid w:val="00313408"/>
    <w:rsid w:val="003138D3"/>
    <w:rsid w:val="00313971"/>
    <w:rsid w:val="00313C47"/>
    <w:rsid w:val="00313CF7"/>
    <w:rsid w:val="00313EC0"/>
    <w:rsid w:val="00313F63"/>
    <w:rsid w:val="00313F89"/>
    <w:rsid w:val="00314024"/>
    <w:rsid w:val="00314058"/>
    <w:rsid w:val="0031420F"/>
    <w:rsid w:val="0031480D"/>
    <w:rsid w:val="00314BFC"/>
    <w:rsid w:val="00315197"/>
    <w:rsid w:val="003154F1"/>
    <w:rsid w:val="00315514"/>
    <w:rsid w:val="0031580D"/>
    <w:rsid w:val="00315949"/>
    <w:rsid w:val="00315CD0"/>
    <w:rsid w:val="00315D2B"/>
    <w:rsid w:val="00315D5E"/>
    <w:rsid w:val="00316245"/>
    <w:rsid w:val="003162EB"/>
    <w:rsid w:val="00316401"/>
    <w:rsid w:val="00316696"/>
    <w:rsid w:val="00316785"/>
    <w:rsid w:val="00316A0E"/>
    <w:rsid w:val="00316BFE"/>
    <w:rsid w:val="00316D91"/>
    <w:rsid w:val="003171BF"/>
    <w:rsid w:val="00317437"/>
    <w:rsid w:val="00317649"/>
    <w:rsid w:val="00317A4C"/>
    <w:rsid w:val="00317E18"/>
    <w:rsid w:val="0032085A"/>
    <w:rsid w:val="003208AE"/>
    <w:rsid w:val="00320A26"/>
    <w:rsid w:val="00320A2F"/>
    <w:rsid w:val="00320C44"/>
    <w:rsid w:val="00320C97"/>
    <w:rsid w:val="00320FD0"/>
    <w:rsid w:val="00320FD8"/>
    <w:rsid w:val="00321215"/>
    <w:rsid w:val="00321278"/>
    <w:rsid w:val="00321671"/>
    <w:rsid w:val="00321C80"/>
    <w:rsid w:val="00321F7D"/>
    <w:rsid w:val="0032227F"/>
    <w:rsid w:val="00322950"/>
    <w:rsid w:val="00322ABA"/>
    <w:rsid w:val="00322E45"/>
    <w:rsid w:val="00322EE6"/>
    <w:rsid w:val="00322FEA"/>
    <w:rsid w:val="0032358A"/>
    <w:rsid w:val="00323CDC"/>
    <w:rsid w:val="00323CDD"/>
    <w:rsid w:val="00323F4D"/>
    <w:rsid w:val="00324141"/>
    <w:rsid w:val="00324158"/>
    <w:rsid w:val="003244A6"/>
    <w:rsid w:val="00324ACA"/>
    <w:rsid w:val="00324B79"/>
    <w:rsid w:val="00324BD5"/>
    <w:rsid w:val="00325138"/>
    <w:rsid w:val="003257B8"/>
    <w:rsid w:val="00325CC0"/>
    <w:rsid w:val="00325E3F"/>
    <w:rsid w:val="00325FA8"/>
    <w:rsid w:val="003263A7"/>
    <w:rsid w:val="003264BE"/>
    <w:rsid w:val="00326B5E"/>
    <w:rsid w:val="00326F84"/>
    <w:rsid w:val="00327A17"/>
    <w:rsid w:val="00327A8F"/>
    <w:rsid w:val="003300FF"/>
    <w:rsid w:val="0033053F"/>
    <w:rsid w:val="00330687"/>
    <w:rsid w:val="00331095"/>
    <w:rsid w:val="00331947"/>
    <w:rsid w:val="00331A16"/>
    <w:rsid w:val="00331B05"/>
    <w:rsid w:val="00331D9E"/>
    <w:rsid w:val="00331DFB"/>
    <w:rsid w:val="003321CA"/>
    <w:rsid w:val="00332815"/>
    <w:rsid w:val="003328B1"/>
    <w:rsid w:val="00332A9B"/>
    <w:rsid w:val="00332ADE"/>
    <w:rsid w:val="00332CC4"/>
    <w:rsid w:val="00333307"/>
    <w:rsid w:val="003334CE"/>
    <w:rsid w:val="00333B05"/>
    <w:rsid w:val="00333C84"/>
    <w:rsid w:val="00333DFF"/>
    <w:rsid w:val="00334184"/>
    <w:rsid w:val="003341E3"/>
    <w:rsid w:val="00334270"/>
    <w:rsid w:val="003343C0"/>
    <w:rsid w:val="0033491A"/>
    <w:rsid w:val="00334986"/>
    <w:rsid w:val="00334ACF"/>
    <w:rsid w:val="00334BD9"/>
    <w:rsid w:val="00335124"/>
    <w:rsid w:val="0033551A"/>
    <w:rsid w:val="00335606"/>
    <w:rsid w:val="00335CA0"/>
    <w:rsid w:val="00335E8C"/>
    <w:rsid w:val="00335EE1"/>
    <w:rsid w:val="00336376"/>
    <w:rsid w:val="00336497"/>
    <w:rsid w:val="0033664F"/>
    <w:rsid w:val="00336E51"/>
    <w:rsid w:val="00336E9E"/>
    <w:rsid w:val="003371B0"/>
    <w:rsid w:val="003372F6"/>
    <w:rsid w:val="00337556"/>
    <w:rsid w:val="00337D54"/>
    <w:rsid w:val="00337EB6"/>
    <w:rsid w:val="00337F12"/>
    <w:rsid w:val="00340771"/>
    <w:rsid w:val="00340981"/>
    <w:rsid w:val="00340BBB"/>
    <w:rsid w:val="00340C4F"/>
    <w:rsid w:val="0034119F"/>
    <w:rsid w:val="003412E9"/>
    <w:rsid w:val="0034176A"/>
    <w:rsid w:val="00341784"/>
    <w:rsid w:val="00341A14"/>
    <w:rsid w:val="00341AA6"/>
    <w:rsid w:val="00341D70"/>
    <w:rsid w:val="00341F66"/>
    <w:rsid w:val="00341FAD"/>
    <w:rsid w:val="003423A0"/>
    <w:rsid w:val="00342417"/>
    <w:rsid w:val="003424CC"/>
    <w:rsid w:val="003428AF"/>
    <w:rsid w:val="003429D1"/>
    <w:rsid w:val="0034346F"/>
    <w:rsid w:val="003439B5"/>
    <w:rsid w:val="00343A81"/>
    <w:rsid w:val="00343AD3"/>
    <w:rsid w:val="00343D65"/>
    <w:rsid w:val="00343F9C"/>
    <w:rsid w:val="003440BF"/>
    <w:rsid w:val="003443AA"/>
    <w:rsid w:val="0034486D"/>
    <w:rsid w:val="00344A72"/>
    <w:rsid w:val="00344AE5"/>
    <w:rsid w:val="00345321"/>
    <w:rsid w:val="003453D5"/>
    <w:rsid w:val="00345501"/>
    <w:rsid w:val="00345881"/>
    <w:rsid w:val="00345C0D"/>
    <w:rsid w:val="00345D53"/>
    <w:rsid w:val="00345D61"/>
    <w:rsid w:val="00345D7A"/>
    <w:rsid w:val="00345E01"/>
    <w:rsid w:val="00346399"/>
    <w:rsid w:val="003463B8"/>
    <w:rsid w:val="003468BB"/>
    <w:rsid w:val="0034697A"/>
    <w:rsid w:val="00346BF7"/>
    <w:rsid w:val="00346E7B"/>
    <w:rsid w:val="00347020"/>
    <w:rsid w:val="0034706E"/>
    <w:rsid w:val="003471BF"/>
    <w:rsid w:val="003478A7"/>
    <w:rsid w:val="00347F0E"/>
    <w:rsid w:val="003500BF"/>
    <w:rsid w:val="00350344"/>
    <w:rsid w:val="0035037D"/>
    <w:rsid w:val="003503AD"/>
    <w:rsid w:val="0035045D"/>
    <w:rsid w:val="00350576"/>
    <w:rsid w:val="00350BD8"/>
    <w:rsid w:val="00351165"/>
    <w:rsid w:val="00351381"/>
    <w:rsid w:val="003515A7"/>
    <w:rsid w:val="0035172F"/>
    <w:rsid w:val="00351939"/>
    <w:rsid w:val="0035194D"/>
    <w:rsid w:val="00351982"/>
    <w:rsid w:val="003519AD"/>
    <w:rsid w:val="00351B19"/>
    <w:rsid w:val="00351DF4"/>
    <w:rsid w:val="00351FDC"/>
    <w:rsid w:val="00352512"/>
    <w:rsid w:val="003528EC"/>
    <w:rsid w:val="00352C10"/>
    <w:rsid w:val="003530A6"/>
    <w:rsid w:val="00353627"/>
    <w:rsid w:val="00353697"/>
    <w:rsid w:val="003536AF"/>
    <w:rsid w:val="0035370C"/>
    <w:rsid w:val="00353ED4"/>
    <w:rsid w:val="003543E9"/>
    <w:rsid w:val="003549DA"/>
    <w:rsid w:val="00355148"/>
    <w:rsid w:val="00355178"/>
    <w:rsid w:val="0035553F"/>
    <w:rsid w:val="0035554B"/>
    <w:rsid w:val="0035555A"/>
    <w:rsid w:val="00355773"/>
    <w:rsid w:val="0035587E"/>
    <w:rsid w:val="00355B87"/>
    <w:rsid w:val="00355CF4"/>
    <w:rsid w:val="00355E31"/>
    <w:rsid w:val="00355F72"/>
    <w:rsid w:val="00356111"/>
    <w:rsid w:val="00356561"/>
    <w:rsid w:val="00356729"/>
    <w:rsid w:val="00356BE7"/>
    <w:rsid w:val="00356CE2"/>
    <w:rsid w:val="003570C7"/>
    <w:rsid w:val="003573BB"/>
    <w:rsid w:val="00357544"/>
    <w:rsid w:val="00357657"/>
    <w:rsid w:val="00357934"/>
    <w:rsid w:val="00357A30"/>
    <w:rsid w:val="00357E32"/>
    <w:rsid w:val="00357FC8"/>
    <w:rsid w:val="003605BE"/>
    <w:rsid w:val="0036076D"/>
    <w:rsid w:val="0036087A"/>
    <w:rsid w:val="00360918"/>
    <w:rsid w:val="00360E60"/>
    <w:rsid w:val="0036102B"/>
    <w:rsid w:val="003611EC"/>
    <w:rsid w:val="0036141E"/>
    <w:rsid w:val="00361569"/>
    <w:rsid w:val="00361976"/>
    <w:rsid w:val="00361A0F"/>
    <w:rsid w:val="00361AAC"/>
    <w:rsid w:val="00361B8E"/>
    <w:rsid w:val="00361D73"/>
    <w:rsid w:val="003622EA"/>
    <w:rsid w:val="0036243A"/>
    <w:rsid w:val="00362463"/>
    <w:rsid w:val="003628DA"/>
    <w:rsid w:val="00362CD4"/>
    <w:rsid w:val="00362D7F"/>
    <w:rsid w:val="0036300D"/>
    <w:rsid w:val="0036303E"/>
    <w:rsid w:val="00363487"/>
    <w:rsid w:val="00363590"/>
    <w:rsid w:val="00363681"/>
    <w:rsid w:val="00363863"/>
    <w:rsid w:val="00363945"/>
    <w:rsid w:val="003639A3"/>
    <w:rsid w:val="003639A6"/>
    <w:rsid w:val="00363CF1"/>
    <w:rsid w:val="00363D83"/>
    <w:rsid w:val="003642F2"/>
    <w:rsid w:val="003644A4"/>
    <w:rsid w:val="003645D5"/>
    <w:rsid w:val="0036466C"/>
    <w:rsid w:val="00364FEA"/>
    <w:rsid w:val="0036507F"/>
    <w:rsid w:val="00365197"/>
    <w:rsid w:val="00365264"/>
    <w:rsid w:val="00365463"/>
    <w:rsid w:val="00365C56"/>
    <w:rsid w:val="00365FBF"/>
    <w:rsid w:val="00366755"/>
    <w:rsid w:val="00366ADE"/>
    <w:rsid w:val="00366BAE"/>
    <w:rsid w:val="00366BEC"/>
    <w:rsid w:val="00366E4A"/>
    <w:rsid w:val="003672C4"/>
    <w:rsid w:val="0036734E"/>
    <w:rsid w:val="0036746A"/>
    <w:rsid w:val="0036779E"/>
    <w:rsid w:val="00367974"/>
    <w:rsid w:val="003679AE"/>
    <w:rsid w:val="00367A0D"/>
    <w:rsid w:val="00367B69"/>
    <w:rsid w:val="00370195"/>
    <w:rsid w:val="003701E2"/>
    <w:rsid w:val="003701E6"/>
    <w:rsid w:val="00370668"/>
    <w:rsid w:val="00370688"/>
    <w:rsid w:val="00370AB7"/>
    <w:rsid w:val="00370BF8"/>
    <w:rsid w:val="00370D9B"/>
    <w:rsid w:val="00370F9F"/>
    <w:rsid w:val="00371417"/>
    <w:rsid w:val="00371497"/>
    <w:rsid w:val="003714BA"/>
    <w:rsid w:val="00371A1F"/>
    <w:rsid w:val="00371C3D"/>
    <w:rsid w:val="00371D35"/>
    <w:rsid w:val="0037217E"/>
    <w:rsid w:val="003722B7"/>
    <w:rsid w:val="00372348"/>
    <w:rsid w:val="0037244E"/>
    <w:rsid w:val="003728EA"/>
    <w:rsid w:val="00372CC7"/>
    <w:rsid w:val="00372E5A"/>
    <w:rsid w:val="003733A6"/>
    <w:rsid w:val="0037357F"/>
    <w:rsid w:val="003735F6"/>
    <w:rsid w:val="0037360F"/>
    <w:rsid w:val="00373617"/>
    <w:rsid w:val="003736CC"/>
    <w:rsid w:val="003736D0"/>
    <w:rsid w:val="003738F3"/>
    <w:rsid w:val="00373982"/>
    <w:rsid w:val="00373C5F"/>
    <w:rsid w:val="00373D47"/>
    <w:rsid w:val="0037414D"/>
    <w:rsid w:val="0037425F"/>
    <w:rsid w:val="0037438D"/>
    <w:rsid w:val="003747ED"/>
    <w:rsid w:val="00374B3E"/>
    <w:rsid w:val="00374BE7"/>
    <w:rsid w:val="00374D3C"/>
    <w:rsid w:val="00374D79"/>
    <w:rsid w:val="00375631"/>
    <w:rsid w:val="00375765"/>
    <w:rsid w:val="00375883"/>
    <w:rsid w:val="00375BBB"/>
    <w:rsid w:val="00375E85"/>
    <w:rsid w:val="00375EA7"/>
    <w:rsid w:val="0037604A"/>
    <w:rsid w:val="003762DA"/>
    <w:rsid w:val="00376372"/>
    <w:rsid w:val="00376ACD"/>
    <w:rsid w:val="0037770C"/>
    <w:rsid w:val="0037776E"/>
    <w:rsid w:val="00377792"/>
    <w:rsid w:val="00377B4D"/>
    <w:rsid w:val="00377E4A"/>
    <w:rsid w:val="00377F91"/>
    <w:rsid w:val="003801BE"/>
    <w:rsid w:val="00380257"/>
    <w:rsid w:val="003802AE"/>
    <w:rsid w:val="00380557"/>
    <w:rsid w:val="00380576"/>
    <w:rsid w:val="00380A81"/>
    <w:rsid w:val="00380B84"/>
    <w:rsid w:val="003810BE"/>
    <w:rsid w:val="0038167F"/>
    <w:rsid w:val="003819DE"/>
    <w:rsid w:val="00381AB0"/>
    <w:rsid w:val="00381BDD"/>
    <w:rsid w:val="00381C6F"/>
    <w:rsid w:val="0038215D"/>
    <w:rsid w:val="003821C3"/>
    <w:rsid w:val="0038253D"/>
    <w:rsid w:val="00382610"/>
    <w:rsid w:val="00382631"/>
    <w:rsid w:val="00382720"/>
    <w:rsid w:val="0038281C"/>
    <w:rsid w:val="00382881"/>
    <w:rsid w:val="00382C27"/>
    <w:rsid w:val="00382C36"/>
    <w:rsid w:val="00382D8F"/>
    <w:rsid w:val="0038324E"/>
    <w:rsid w:val="003832EB"/>
    <w:rsid w:val="00383711"/>
    <w:rsid w:val="003839FC"/>
    <w:rsid w:val="00383A98"/>
    <w:rsid w:val="00383ABE"/>
    <w:rsid w:val="00383E14"/>
    <w:rsid w:val="00384263"/>
    <w:rsid w:val="003845EE"/>
    <w:rsid w:val="00384868"/>
    <w:rsid w:val="00384E6E"/>
    <w:rsid w:val="0038516B"/>
    <w:rsid w:val="00385777"/>
    <w:rsid w:val="00385A1B"/>
    <w:rsid w:val="00385A64"/>
    <w:rsid w:val="00385AA1"/>
    <w:rsid w:val="00386054"/>
    <w:rsid w:val="003861B9"/>
    <w:rsid w:val="00386953"/>
    <w:rsid w:val="00386C76"/>
    <w:rsid w:val="00386D1A"/>
    <w:rsid w:val="00387154"/>
    <w:rsid w:val="00387539"/>
    <w:rsid w:val="0038759E"/>
    <w:rsid w:val="0038782B"/>
    <w:rsid w:val="003878C8"/>
    <w:rsid w:val="00387A23"/>
    <w:rsid w:val="00387A78"/>
    <w:rsid w:val="00387ABA"/>
    <w:rsid w:val="0039006A"/>
    <w:rsid w:val="003901BE"/>
    <w:rsid w:val="0039020A"/>
    <w:rsid w:val="00390404"/>
    <w:rsid w:val="0039045D"/>
    <w:rsid w:val="00390688"/>
    <w:rsid w:val="0039069A"/>
    <w:rsid w:val="00390E49"/>
    <w:rsid w:val="00390F51"/>
    <w:rsid w:val="003911BE"/>
    <w:rsid w:val="003911EF"/>
    <w:rsid w:val="00391479"/>
    <w:rsid w:val="0039174C"/>
    <w:rsid w:val="003917D2"/>
    <w:rsid w:val="0039182E"/>
    <w:rsid w:val="00391E6A"/>
    <w:rsid w:val="00391FED"/>
    <w:rsid w:val="0039220C"/>
    <w:rsid w:val="00392520"/>
    <w:rsid w:val="00392B21"/>
    <w:rsid w:val="00392E25"/>
    <w:rsid w:val="00392E2D"/>
    <w:rsid w:val="00392EA8"/>
    <w:rsid w:val="00392F11"/>
    <w:rsid w:val="0039315D"/>
    <w:rsid w:val="00393278"/>
    <w:rsid w:val="0039342B"/>
    <w:rsid w:val="003937B1"/>
    <w:rsid w:val="0039393C"/>
    <w:rsid w:val="00393ACB"/>
    <w:rsid w:val="00393EF5"/>
    <w:rsid w:val="00393FA7"/>
    <w:rsid w:val="0039461C"/>
    <w:rsid w:val="00394B2E"/>
    <w:rsid w:val="00394C83"/>
    <w:rsid w:val="00394F2B"/>
    <w:rsid w:val="00394FA7"/>
    <w:rsid w:val="00395531"/>
    <w:rsid w:val="0039560D"/>
    <w:rsid w:val="00395620"/>
    <w:rsid w:val="003958BD"/>
    <w:rsid w:val="00395CE1"/>
    <w:rsid w:val="00395D7E"/>
    <w:rsid w:val="00395DA2"/>
    <w:rsid w:val="00396058"/>
    <w:rsid w:val="0039616B"/>
    <w:rsid w:val="0039629C"/>
    <w:rsid w:val="00396339"/>
    <w:rsid w:val="00396377"/>
    <w:rsid w:val="003964A2"/>
    <w:rsid w:val="00396617"/>
    <w:rsid w:val="003968D2"/>
    <w:rsid w:val="00396EE0"/>
    <w:rsid w:val="0039713D"/>
    <w:rsid w:val="00397170"/>
    <w:rsid w:val="0039758D"/>
    <w:rsid w:val="00397954"/>
    <w:rsid w:val="00397D10"/>
    <w:rsid w:val="00397E0E"/>
    <w:rsid w:val="003A0132"/>
    <w:rsid w:val="003A0300"/>
    <w:rsid w:val="003A04B8"/>
    <w:rsid w:val="003A0568"/>
    <w:rsid w:val="003A0718"/>
    <w:rsid w:val="003A078E"/>
    <w:rsid w:val="003A083E"/>
    <w:rsid w:val="003A08C1"/>
    <w:rsid w:val="003A096A"/>
    <w:rsid w:val="003A0B5F"/>
    <w:rsid w:val="003A0C75"/>
    <w:rsid w:val="003A0D85"/>
    <w:rsid w:val="003A0EDC"/>
    <w:rsid w:val="003A1034"/>
    <w:rsid w:val="003A11F3"/>
    <w:rsid w:val="003A164F"/>
    <w:rsid w:val="003A16C1"/>
    <w:rsid w:val="003A16E4"/>
    <w:rsid w:val="003A1C7E"/>
    <w:rsid w:val="003A1E3F"/>
    <w:rsid w:val="003A21D8"/>
    <w:rsid w:val="003A2262"/>
    <w:rsid w:val="003A231D"/>
    <w:rsid w:val="003A23A4"/>
    <w:rsid w:val="003A2627"/>
    <w:rsid w:val="003A2842"/>
    <w:rsid w:val="003A29D6"/>
    <w:rsid w:val="003A2A3F"/>
    <w:rsid w:val="003A2D80"/>
    <w:rsid w:val="003A3433"/>
    <w:rsid w:val="003A35D9"/>
    <w:rsid w:val="003A36D2"/>
    <w:rsid w:val="003A36DE"/>
    <w:rsid w:val="003A3F44"/>
    <w:rsid w:val="003A4232"/>
    <w:rsid w:val="003A44C6"/>
    <w:rsid w:val="003A45FA"/>
    <w:rsid w:val="003A4673"/>
    <w:rsid w:val="003A4807"/>
    <w:rsid w:val="003A4A16"/>
    <w:rsid w:val="003A4D94"/>
    <w:rsid w:val="003A5018"/>
    <w:rsid w:val="003A537E"/>
    <w:rsid w:val="003A53B3"/>
    <w:rsid w:val="003A5599"/>
    <w:rsid w:val="003A55D2"/>
    <w:rsid w:val="003A57C3"/>
    <w:rsid w:val="003A5831"/>
    <w:rsid w:val="003A5CA5"/>
    <w:rsid w:val="003A6015"/>
    <w:rsid w:val="003A6157"/>
    <w:rsid w:val="003A61B7"/>
    <w:rsid w:val="003A6396"/>
    <w:rsid w:val="003A6414"/>
    <w:rsid w:val="003A64E1"/>
    <w:rsid w:val="003A660F"/>
    <w:rsid w:val="003A6799"/>
    <w:rsid w:val="003A67EC"/>
    <w:rsid w:val="003A693E"/>
    <w:rsid w:val="003A69C5"/>
    <w:rsid w:val="003A6A3A"/>
    <w:rsid w:val="003A7460"/>
    <w:rsid w:val="003A74D9"/>
    <w:rsid w:val="003A7505"/>
    <w:rsid w:val="003A7595"/>
    <w:rsid w:val="003A76A6"/>
    <w:rsid w:val="003A78F5"/>
    <w:rsid w:val="003A79A4"/>
    <w:rsid w:val="003A7BF6"/>
    <w:rsid w:val="003A7F71"/>
    <w:rsid w:val="003B08AB"/>
    <w:rsid w:val="003B095E"/>
    <w:rsid w:val="003B0BA5"/>
    <w:rsid w:val="003B0E2E"/>
    <w:rsid w:val="003B1141"/>
    <w:rsid w:val="003B1498"/>
    <w:rsid w:val="003B1613"/>
    <w:rsid w:val="003B2146"/>
    <w:rsid w:val="003B23C8"/>
    <w:rsid w:val="003B2413"/>
    <w:rsid w:val="003B24DA"/>
    <w:rsid w:val="003B266D"/>
    <w:rsid w:val="003B2776"/>
    <w:rsid w:val="003B29D1"/>
    <w:rsid w:val="003B31A3"/>
    <w:rsid w:val="003B3C35"/>
    <w:rsid w:val="003B3E67"/>
    <w:rsid w:val="003B42E4"/>
    <w:rsid w:val="003B4FDE"/>
    <w:rsid w:val="003B5251"/>
    <w:rsid w:val="003B57C1"/>
    <w:rsid w:val="003B5EA6"/>
    <w:rsid w:val="003B5FC6"/>
    <w:rsid w:val="003B613F"/>
    <w:rsid w:val="003B6610"/>
    <w:rsid w:val="003B6662"/>
    <w:rsid w:val="003B68B9"/>
    <w:rsid w:val="003B6906"/>
    <w:rsid w:val="003B6B04"/>
    <w:rsid w:val="003B6DC5"/>
    <w:rsid w:val="003B6F86"/>
    <w:rsid w:val="003B7303"/>
    <w:rsid w:val="003B7609"/>
    <w:rsid w:val="003B7656"/>
    <w:rsid w:val="003B769E"/>
    <w:rsid w:val="003B772F"/>
    <w:rsid w:val="003B796A"/>
    <w:rsid w:val="003B7E06"/>
    <w:rsid w:val="003C0127"/>
    <w:rsid w:val="003C055D"/>
    <w:rsid w:val="003C072E"/>
    <w:rsid w:val="003C07A6"/>
    <w:rsid w:val="003C09D2"/>
    <w:rsid w:val="003C0A08"/>
    <w:rsid w:val="003C0C59"/>
    <w:rsid w:val="003C0EAF"/>
    <w:rsid w:val="003C1099"/>
    <w:rsid w:val="003C10AA"/>
    <w:rsid w:val="003C12B2"/>
    <w:rsid w:val="003C1388"/>
    <w:rsid w:val="003C13D0"/>
    <w:rsid w:val="003C1436"/>
    <w:rsid w:val="003C1647"/>
    <w:rsid w:val="003C1A9F"/>
    <w:rsid w:val="003C1CEB"/>
    <w:rsid w:val="003C2519"/>
    <w:rsid w:val="003C2785"/>
    <w:rsid w:val="003C2902"/>
    <w:rsid w:val="003C2920"/>
    <w:rsid w:val="003C2B95"/>
    <w:rsid w:val="003C2C11"/>
    <w:rsid w:val="003C301E"/>
    <w:rsid w:val="003C31B4"/>
    <w:rsid w:val="003C3289"/>
    <w:rsid w:val="003C32B3"/>
    <w:rsid w:val="003C3350"/>
    <w:rsid w:val="003C37F7"/>
    <w:rsid w:val="003C3E77"/>
    <w:rsid w:val="003C3EED"/>
    <w:rsid w:val="003C41C9"/>
    <w:rsid w:val="003C4ACD"/>
    <w:rsid w:val="003C4EBA"/>
    <w:rsid w:val="003C5275"/>
    <w:rsid w:val="003C549A"/>
    <w:rsid w:val="003C54D2"/>
    <w:rsid w:val="003C5632"/>
    <w:rsid w:val="003C5675"/>
    <w:rsid w:val="003C5C73"/>
    <w:rsid w:val="003C609B"/>
    <w:rsid w:val="003C62E3"/>
    <w:rsid w:val="003C6A73"/>
    <w:rsid w:val="003C6CAE"/>
    <w:rsid w:val="003C76F2"/>
    <w:rsid w:val="003C777E"/>
    <w:rsid w:val="003C77A8"/>
    <w:rsid w:val="003C7BE6"/>
    <w:rsid w:val="003C7C28"/>
    <w:rsid w:val="003C7E1B"/>
    <w:rsid w:val="003C7E56"/>
    <w:rsid w:val="003D0607"/>
    <w:rsid w:val="003D0894"/>
    <w:rsid w:val="003D0BB3"/>
    <w:rsid w:val="003D0E6F"/>
    <w:rsid w:val="003D11A9"/>
    <w:rsid w:val="003D1451"/>
    <w:rsid w:val="003D1483"/>
    <w:rsid w:val="003D1A0D"/>
    <w:rsid w:val="003D1BAC"/>
    <w:rsid w:val="003D1FB3"/>
    <w:rsid w:val="003D212D"/>
    <w:rsid w:val="003D2495"/>
    <w:rsid w:val="003D2A37"/>
    <w:rsid w:val="003D2C40"/>
    <w:rsid w:val="003D2CD5"/>
    <w:rsid w:val="003D3201"/>
    <w:rsid w:val="003D333B"/>
    <w:rsid w:val="003D37AF"/>
    <w:rsid w:val="003D3896"/>
    <w:rsid w:val="003D3C05"/>
    <w:rsid w:val="003D3CF6"/>
    <w:rsid w:val="003D3DD1"/>
    <w:rsid w:val="003D3E6A"/>
    <w:rsid w:val="003D3EFE"/>
    <w:rsid w:val="003D3F36"/>
    <w:rsid w:val="003D3F75"/>
    <w:rsid w:val="003D430D"/>
    <w:rsid w:val="003D465C"/>
    <w:rsid w:val="003D4726"/>
    <w:rsid w:val="003D472B"/>
    <w:rsid w:val="003D4794"/>
    <w:rsid w:val="003D482A"/>
    <w:rsid w:val="003D4D0B"/>
    <w:rsid w:val="003D50AA"/>
    <w:rsid w:val="003D528C"/>
    <w:rsid w:val="003D5435"/>
    <w:rsid w:val="003D5658"/>
    <w:rsid w:val="003D586A"/>
    <w:rsid w:val="003D645A"/>
    <w:rsid w:val="003D6576"/>
    <w:rsid w:val="003D69EF"/>
    <w:rsid w:val="003D6A55"/>
    <w:rsid w:val="003D7090"/>
    <w:rsid w:val="003D71EB"/>
    <w:rsid w:val="003D7257"/>
    <w:rsid w:val="003D74D4"/>
    <w:rsid w:val="003D75FE"/>
    <w:rsid w:val="003D779D"/>
    <w:rsid w:val="003D7A09"/>
    <w:rsid w:val="003D7ADE"/>
    <w:rsid w:val="003E0076"/>
    <w:rsid w:val="003E010D"/>
    <w:rsid w:val="003E0259"/>
    <w:rsid w:val="003E03D0"/>
    <w:rsid w:val="003E04C9"/>
    <w:rsid w:val="003E07C0"/>
    <w:rsid w:val="003E0C83"/>
    <w:rsid w:val="003E0EC3"/>
    <w:rsid w:val="003E0EDB"/>
    <w:rsid w:val="003E1078"/>
    <w:rsid w:val="003E1144"/>
    <w:rsid w:val="003E12B2"/>
    <w:rsid w:val="003E1402"/>
    <w:rsid w:val="003E1AD1"/>
    <w:rsid w:val="003E1C07"/>
    <w:rsid w:val="003E253A"/>
    <w:rsid w:val="003E264E"/>
    <w:rsid w:val="003E278B"/>
    <w:rsid w:val="003E28CF"/>
    <w:rsid w:val="003E2C2A"/>
    <w:rsid w:val="003E30E7"/>
    <w:rsid w:val="003E3390"/>
    <w:rsid w:val="003E372E"/>
    <w:rsid w:val="003E37FB"/>
    <w:rsid w:val="003E3C64"/>
    <w:rsid w:val="003E43DF"/>
    <w:rsid w:val="003E4690"/>
    <w:rsid w:val="003E4C35"/>
    <w:rsid w:val="003E4E86"/>
    <w:rsid w:val="003E4F9C"/>
    <w:rsid w:val="003E51C6"/>
    <w:rsid w:val="003E545E"/>
    <w:rsid w:val="003E5493"/>
    <w:rsid w:val="003E561B"/>
    <w:rsid w:val="003E5A00"/>
    <w:rsid w:val="003E5C4C"/>
    <w:rsid w:val="003E6098"/>
    <w:rsid w:val="003E6196"/>
    <w:rsid w:val="003E6475"/>
    <w:rsid w:val="003E6740"/>
    <w:rsid w:val="003E6CCB"/>
    <w:rsid w:val="003E6DC1"/>
    <w:rsid w:val="003E70CB"/>
    <w:rsid w:val="003E749D"/>
    <w:rsid w:val="003E76DA"/>
    <w:rsid w:val="003E7CB4"/>
    <w:rsid w:val="003E7D11"/>
    <w:rsid w:val="003E7F66"/>
    <w:rsid w:val="003E7F7D"/>
    <w:rsid w:val="003F0098"/>
    <w:rsid w:val="003F01AB"/>
    <w:rsid w:val="003F02AD"/>
    <w:rsid w:val="003F0844"/>
    <w:rsid w:val="003F0951"/>
    <w:rsid w:val="003F0977"/>
    <w:rsid w:val="003F0D04"/>
    <w:rsid w:val="003F0FD6"/>
    <w:rsid w:val="003F105A"/>
    <w:rsid w:val="003F1242"/>
    <w:rsid w:val="003F13AD"/>
    <w:rsid w:val="003F15AB"/>
    <w:rsid w:val="003F160E"/>
    <w:rsid w:val="003F1DB7"/>
    <w:rsid w:val="003F1F71"/>
    <w:rsid w:val="003F21C2"/>
    <w:rsid w:val="003F2391"/>
    <w:rsid w:val="003F23A1"/>
    <w:rsid w:val="003F24A1"/>
    <w:rsid w:val="003F2562"/>
    <w:rsid w:val="003F2647"/>
    <w:rsid w:val="003F28B9"/>
    <w:rsid w:val="003F2CC6"/>
    <w:rsid w:val="003F2E6A"/>
    <w:rsid w:val="003F2F2A"/>
    <w:rsid w:val="003F2F6D"/>
    <w:rsid w:val="003F36E8"/>
    <w:rsid w:val="003F3B45"/>
    <w:rsid w:val="003F3F4F"/>
    <w:rsid w:val="003F408E"/>
    <w:rsid w:val="003F4306"/>
    <w:rsid w:val="003F432C"/>
    <w:rsid w:val="003F4BBD"/>
    <w:rsid w:val="003F4CED"/>
    <w:rsid w:val="003F519D"/>
    <w:rsid w:val="003F52F4"/>
    <w:rsid w:val="003F5424"/>
    <w:rsid w:val="003F57E6"/>
    <w:rsid w:val="003F5DCA"/>
    <w:rsid w:val="003F5DEA"/>
    <w:rsid w:val="003F6076"/>
    <w:rsid w:val="003F6199"/>
    <w:rsid w:val="003F6579"/>
    <w:rsid w:val="003F6B42"/>
    <w:rsid w:val="003F6B6A"/>
    <w:rsid w:val="003F6D4B"/>
    <w:rsid w:val="003F6E8B"/>
    <w:rsid w:val="003F6F0B"/>
    <w:rsid w:val="003F7182"/>
    <w:rsid w:val="003F7192"/>
    <w:rsid w:val="003F7297"/>
    <w:rsid w:val="003F7780"/>
    <w:rsid w:val="003F79A8"/>
    <w:rsid w:val="004003BC"/>
    <w:rsid w:val="004005B0"/>
    <w:rsid w:val="0040094D"/>
    <w:rsid w:val="00400ACA"/>
    <w:rsid w:val="0040112A"/>
    <w:rsid w:val="0040126B"/>
    <w:rsid w:val="0040130B"/>
    <w:rsid w:val="00401482"/>
    <w:rsid w:val="004017D1"/>
    <w:rsid w:val="00401900"/>
    <w:rsid w:val="00401B35"/>
    <w:rsid w:val="00401E77"/>
    <w:rsid w:val="00401F14"/>
    <w:rsid w:val="0040220E"/>
    <w:rsid w:val="0040244E"/>
    <w:rsid w:val="0040260D"/>
    <w:rsid w:val="0040276A"/>
    <w:rsid w:val="00402CB9"/>
    <w:rsid w:val="00402EDF"/>
    <w:rsid w:val="00402F37"/>
    <w:rsid w:val="004033BF"/>
    <w:rsid w:val="0040393B"/>
    <w:rsid w:val="00403C05"/>
    <w:rsid w:val="00403CE6"/>
    <w:rsid w:val="0040401E"/>
    <w:rsid w:val="00404331"/>
    <w:rsid w:val="004044F2"/>
    <w:rsid w:val="0040458B"/>
    <w:rsid w:val="0040464A"/>
    <w:rsid w:val="004046B5"/>
    <w:rsid w:val="0040481A"/>
    <w:rsid w:val="004048F1"/>
    <w:rsid w:val="00404B7C"/>
    <w:rsid w:val="00404BFD"/>
    <w:rsid w:val="00404C2B"/>
    <w:rsid w:val="00404C3E"/>
    <w:rsid w:val="00404D15"/>
    <w:rsid w:val="00405058"/>
    <w:rsid w:val="0040506B"/>
    <w:rsid w:val="00405110"/>
    <w:rsid w:val="00405429"/>
    <w:rsid w:val="004055A4"/>
    <w:rsid w:val="00405612"/>
    <w:rsid w:val="0040564D"/>
    <w:rsid w:val="00405E40"/>
    <w:rsid w:val="00405E78"/>
    <w:rsid w:val="00405FEE"/>
    <w:rsid w:val="0040607B"/>
    <w:rsid w:val="0040636E"/>
    <w:rsid w:val="0040647E"/>
    <w:rsid w:val="004067E0"/>
    <w:rsid w:val="00406B10"/>
    <w:rsid w:val="00406DF6"/>
    <w:rsid w:val="00406F97"/>
    <w:rsid w:val="0040726C"/>
    <w:rsid w:val="004073DC"/>
    <w:rsid w:val="00407437"/>
    <w:rsid w:val="00407C59"/>
    <w:rsid w:val="00407E2A"/>
    <w:rsid w:val="004102F5"/>
    <w:rsid w:val="00410AC3"/>
    <w:rsid w:val="00410C33"/>
    <w:rsid w:val="00410F01"/>
    <w:rsid w:val="0041113F"/>
    <w:rsid w:val="004112C2"/>
    <w:rsid w:val="004118B6"/>
    <w:rsid w:val="00411D0E"/>
    <w:rsid w:val="00411E52"/>
    <w:rsid w:val="00411F2D"/>
    <w:rsid w:val="004124F8"/>
    <w:rsid w:val="00412A6F"/>
    <w:rsid w:val="00412C35"/>
    <w:rsid w:val="00412D3C"/>
    <w:rsid w:val="004130C5"/>
    <w:rsid w:val="0041328A"/>
    <w:rsid w:val="00413786"/>
    <w:rsid w:val="00413859"/>
    <w:rsid w:val="00413BA1"/>
    <w:rsid w:val="00413E00"/>
    <w:rsid w:val="00413FD4"/>
    <w:rsid w:val="00413FE6"/>
    <w:rsid w:val="004140F6"/>
    <w:rsid w:val="004141E3"/>
    <w:rsid w:val="004142AA"/>
    <w:rsid w:val="004143F9"/>
    <w:rsid w:val="00414755"/>
    <w:rsid w:val="00414889"/>
    <w:rsid w:val="004148C3"/>
    <w:rsid w:val="0041498A"/>
    <w:rsid w:val="00414FDC"/>
    <w:rsid w:val="00415846"/>
    <w:rsid w:val="004159B6"/>
    <w:rsid w:val="00415A0D"/>
    <w:rsid w:val="00415C37"/>
    <w:rsid w:val="00415F27"/>
    <w:rsid w:val="00416479"/>
    <w:rsid w:val="0041658D"/>
    <w:rsid w:val="0041685C"/>
    <w:rsid w:val="00416AC3"/>
    <w:rsid w:val="00416FAE"/>
    <w:rsid w:val="0041718A"/>
    <w:rsid w:val="00417862"/>
    <w:rsid w:val="0041796E"/>
    <w:rsid w:val="00417DD2"/>
    <w:rsid w:val="00417E99"/>
    <w:rsid w:val="00420450"/>
    <w:rsid w:val="004204B0"/>
    <w:rsid w:val="0042050E"/>
    <w:rsid w:val="00420540"/>
    <w:rsid w:val="00420832"/>
    <w:rsid w:val="00420AB1"/>
    <w:rsid w:val="00420B7A"/>
    <w:rsid w:val="004210F3"/>
    <w:rsid w:val="004211AE"/>
    <w:rsid w:val="00421378"/>
    <w:rsid w:val="00421450"/>
    <w:rsid w:val="00421775"/>
    <w:rsid w:val="00421A86"/>
    <w:rsid w:val="00421DDE"/>
    <w:rsid w:val="00422352"/>
    <w:rsid w:val="00422A21"/>
    <w:rsid w:val="00422ADC"/>
    <w:rsid w:val="00422B82"/>
    <w:rsid w:val="00422F23"/>
    <w:rsid w:val="00423672"/>
    <w:rsid w:val="00423826"/>
    <w:rsid w:val="00423897"/>
    <w:rsid w:val="00423D40"/>
    <w:rsid w:val="00423ED8"/>
    <w:rsid w:val="00423F3A"/>
    <w:rsid w:val="00423FC6"/>
    <w:rsid w:val="004241E2"/>
    <w:rsid w:val="004242C5"/>
    <w:rsid w:val="00424338"/>
    <w:rsid w:val="004243A0"/>
    <w:rsid w:val="004246B0"/>
    <w:rsid w:val="004246C5"/>
    <w:rsid w:val="00424A25"/>
    <w:rsid w:val="00425029"/>
    <w:rsid w:val="00425411"/>
    <w:rsid w:val="00425BB2"/>
    <w:rsid w:val="00425D5D"/>
    <w:rsid w:val="00426090"/>
    <w:rsid w:val="00426523"/>
    <w:rsid w:val="00426528"/>
    <w:rsid w:val="004265B7"/>
    <w:rsid w:val="00426970"/>
    <w:rsid w:val="00426C29"/>
    <w:rsid w:val="00426CD0"/>
    <w:rsid w:val="00426CF2"/>
    <w:rsid w:val="00426D8D"/>
    <w:rsid w:val="00427123"/>
    <w:rsid w:val="004273AD"/>
    <w:rsid w:val="004276CF"/>
    <w:rsid w:val="00427AB6"/>
    <w:rsid w:val="00427E55"/>
    <w:rsid w:val="00427E5F"/>
    <w:rsid w:val="004302B0"/>
    <w:rsid w:val="00430643"/>
    <w:rsid w:val="00430AEB"/>
    <w:rsid w:val="00430B4A"/>
    <w:rsid w:val="00430F1E"/>
    <w:rsid w:val="00430F41"/>
    <w:rsid w:val="00430F69"/>
    <w:rsid w:val="00430F82"/>
    <w:rsid w:val="00430FD1"/>
    <w:rsid w:val="004313AA"/>
    <w:rsid w:val="0043141E"/>
    <w:rsid w:val="00431740"/>
    <w:rsid w:val="00431829"/>
    <w:rsid w:val="00431850"/>
    <w:rsid w:val="00431875"/>
    <w:rsid w:val="00431C15"/>
    <w:rsid w:val="00431C69"/>
    <w:rsid w:val="00431E5E"/>
    <w:rsid w:val="00432286"/>
    <w:rsid w:val="00432486"/>
    <w:rsid w:val="0043253A"/>
    <w:rsid w:val="004326AC"/>
    <w:rsid w:val="00432A1A"/>
    <w:rsid w:val="00432A92"/>
    <w:rsid w:val="00432AE7"/>
    <w:rsid w:val="00432CD2"/>
    <w:rsid w:val="00433284"/>
    <w:rsid w:val="004333DD"/>
    <w:rsid w:val="00433422"/>
    <w:rsid w:val="004334F7"/>
    <w:rsid w:val="0043350A"/>
    <w:rsid w:val="00433736"/>
    <w:rsid w:val="00433750"/>
    <w:rsid w:val="004337B8"/>
    <w:rsid w:val="00433909"/>
    <w:rsid w:val="00433AEF"/>
    <w:rsid w:val="004343F2"/>
    <w:rsid w:val="004343FE"/>
    <w:rsid w:val="004344D7"/>
    <w:rsid w:val="004347E5"/>
    <w:rsid w:val="00434A3E"/>
    <w:rsid w:val="0043525F"/>
    <w:rsid w:val="004353FA"/>
    <w:rsid w:val="00435866"/>
    <w:rsid w:val="004359A9"/>
    <w:rsid w:val="00435C35"/>
    <w:rsid w:val="00435D2F"/>
    <w:rsid w:val="0043643F"/>
    <w:rsid w:val="00436441"/>
    <w:rsid w:val="00436911"/>
    <w:rsid w:val="004369E6"/>
    <w:rsid w:val="00436A7F"/>
    <w:rsid w:val="00436B38"/>
    <w:rsid w:val="00436EB8"/>
    <w:rsid w:val="00437199"/>
    <w:rsid w:val="00437263"/>
    <w:rsid w:val="0043742D"/>
    <w:rsid w:val="0043793B"/>
    <w:rsid w:val="00437BB5"/>
    <w:rsid w:val="00437C90"/>
    <w:rsid w:val="00437E01"/>
    <w:rsid w:val="00440696"/>
    <w:rsid w:val="00440B1A"/>
    <w:rsid w:val="00440B77"/>
    <w:rsid w:val="00440C2E"/>
    <w:rsid w:val="00440F8B"/>
    <w:rsid w:val="004411FA"/>
    <w:rsid w:val="00441448"/>
    <w:rsid w:val="0044147A"/>
    <w:rsid w:val="00441962"/>
    <w:rsid w:val="00441CDE"/>
    <w:rsid w:val="00441D23"/>
    <w:rsid w:val="00441E63"/>
    <w:rsid w:val="00442061"/>
    <w:rsid w:val="004421C4"/>
    <w:rsid w:val="00442419"/>
    <w:rsid w:val="0044250A"/>
    <w:rsid w:val="004427F9"/>
    <w:rsid w:val="00442981"/>
    <w:rsid w:val="00442E6B"/>
    <w:rsid w:val="0044314E"/>
    <w:rsid w:val="004433A9"/>
    <w:rsid w:val="004438E0"/>
    <w:rsid w:val="00443953"/>
    <w:rsid w:val="00443A49"/>
    <w:rsid w:val="00443F9A"/>
    <w:rsid w:val="00444031"/>
    <w:rsid w:val="0044416B"/>
    <w:rsid w:val="00444213"/>
    <w:rsid w:val="004444C4"/>
    <w:rsid w:val="00444661"/>
    <w:rsid w:val="00444878"/>
    <w:rsid w:val="00444B96"/>
    <w:rsid w:val="00444BA7"/>
    <w:rsid w:val="00444CF6"/>
    <w:rsid w:val="00445108"/>
    <w:rsid w:val="00445E5D"/>
    <w:rsid w:val="00446100"/>
    <w:rsid w:val="0044615C"/>
    <w:rsid w:val="004462EE"/>
    <w:rsid w:val="00446551"/>
    <w:rsid w:val="004465C2"/>
    <w:rsid w:val="00446985"/>
    <w:rsid w:val="00446A46"/>
    <w:rsid w:val="00446A69"/>
    <w:rsid w:val="004471EF"/>
    <w:rsid w:val="004476CB"/>
    <w:rsid w:val="00447811"/>
    <w:rsid w:val="00447AB7"/>
    <w:rsid w:val="004504BA"/>
    <w:rsid w:val="004508CF"/>
    <w:rsid w:val="00450BCD"/>
    <w:rsid w:val="00450C70"/>
    <w:rsid w:val="00450F35"/>
    <w:rsid w:val="004515BF"/>
    <w:rsid w:val="004517C4"/>
    <w:rsid w:val="00451F86"/>
    <w:rsid w:val="004521D7"/>
    <w:rsid w:val="00452362"/>
    <w:rsid w:val="00452496"/>
    <w:rsid w:val="004524EC"/>
    <w:rsid w:val="00452852"/>
    <w:rsid w:val="0045297C"/>
    <w:rsid w:val="004529DE"/>
    <w:rsid w:val="00452AAF"/>
    <w:rsid w:val="0045326B"/>
    <w:rsid w:val="0045347F"/>
    <w:rsid w:val="00453761"/>
    <w:rsid w:val="0045389C"/>
    <w:rsid w:val="00453930"/>
    <w:rsid w:val="00453BAE"/>
    <w:rsid w:val="00453BB1"/>
    <w:rsid w:val="00453D59"/>
    <w:rsid w:val="00453FA7"/>
    <w:rsid w:val="0045442A"/>
    <w:rsid w:val="004546B5"/>
    <w:rsid w:val="004548C7"/>
    <w:rsid w:val="004548E9"/>
    <w:rsid w:val="00454945"/>
    <w:rsid w:val="00454A5C"/>
    <w:rsid w:val="00454A96"/>
    <w:rsid w:val="00454ABB"/>
    <w:rsid w:val="00454CCD"/>
    <w:rsid w:val="00454D1D"/>
    <w:rsid w:val="00455055"/>
    <w:rsid w:val="004553EB"/>
    <w:rsid w:val="0045580B"/>
    <w:rsid w:val="00455B97"/>
    <w:rsid w:val="00455F36"/>
    <w:rsid w:val="00456242"/>
    <w:rsid w:val="00456425"/>
    <w:rsid w:val="00456BBE"/>
    <w:rsid w:val="00456F66"/>
    <w:rsid w:val="00457154"/>
    <w:rsid w:val="00457202"/>
    <w:rsid w:val="0045728E"/>
    <w:rsid w:val="00457446"/>
    <w:rsid w:val="0045779A"/>
    <w:rsid w:val="004579A1"/>
    <w:rsid w:val="00460041"/>
    <w:rsid w:val="00460062"/>
    <w:rsid w:val="00460629"/>
    <w:rsid w:val="004606E3"/>
    <w:rsid w:val="004608F2"/>
    <w:rsid w:val="0046095F"/>
    <w:rsid w:val="00460B60"/>
    <w:rsid w:val="00460B6A"/>
    <w:rsid w:val="00460BCD"/>
    <w:rsid w:val="00460CDC"/>
    <w:rsid w:val="00460DDB"/>
    <w:rsid w:val="00460E23"/>
    <w:rsid w:val="00460EB1"/>
    <w:rsid w:val="00460EB9"/>
    <w:rsid w:val="004611DD"/>
    <w:rsid w:val="004612E5"/>
    <w:rsid w:val="00461516"/>
    <w:rsid w:val="00461695"/>
    <w:rsid w:val="0046195B"/>
    <w:rsid w:val="004619BB"/>
    <w:rsid w:val="00461EF0"/>
    <w:rsid w:val="00461F1E"/>
    <w:rsid w:val="0046252C"/>
    <w:rsid w:val="0046280B"/>
    <w:rsid w:val="00462CDF"/>
    <w:rsid w:val="00462F6F"/>
    <w:rsid w:val="004633C7"/>
    <w:rsid w:val="0046371A"/>
    <w:rsid w:val="00463B32"/>
    <w:rsid w:val="00463C4E"/>
    <w:rsid w:val="00463F4B"/>
    <w:rsid w:val="0046480D"/>
    <w:rsid w:val="004649D8"/>
    <w:rsid w:val="00464A4F"/>
    <w:rsid w:val="00464C12"/>
    <w:rsid w:val="00464E1A"/>
    <w:rsid w:val="0046572B"/>
    <w:rsid w:val="00465C40"/>
    <w:rsid w:val="00465D3F"/>
    <w:rsid w:val="00465E73"/>
    <w:rsid w:val="00465ECB"/>
    <w:rsid w:val="0046600B"/>
    <w:rsid w:val="0046621E"/>
    <w:rsid w:val="004663AE"/>
    <w:rsid w:val="00466713"/>
    <w:rsid w:val="00466AE8"/>
    <w:rsid w:val="00466E2D"/>
    <w:rsid w:val="00466E3D"/>
    <w:rsid w:val="00467320"/>
    <w:rsid w:val="00467B92"/>
    <w:rsid w:val="00467C34"/>
    <w:rsid w:val="00467F4B"/>
    <w:rsid w:val="0047044C"/>
    <w:rsid w:val="004705B1"/>
    <w:rsid w:val="00470997"/>
    <w:rsid w:val="00470AC4"/>
    <w:rsid w:val="00470B4C"/>
    <w:rsid w:val="00470C70"/>
    <w:rsid w:val="00470D86"/>
    <w:rsid w:val="00470F56"/>
    <w:rsid w:val="0047106E"/>
    <w:rsid w:val="0047116D"/>
    <w:rsid w:val="004714BA"/>
    <w:rsid w:val="004718CE"/>
    <w:rsid w:val="00471E1C"/>
    <w:rsid w:val="0047219B"/>
    <w:rsid w:val="00472259"/>
    <w:rsid w:val="00472401"/>
    <w:rsid w:val="00472754"/>
    <w:rsid w:val="00472A8E"/>
    <w:rsid w:val="00472CA9"/>
    <w:rsid w:val="00472D4D"/>
    <w:rsid w:val="00473128"/>
    <w:rsid w:val="0047326F"/>
    <w:rsid w:val="00473314"/>
    <w:rsid w:val="0047351C"/>
    <w:rsid w:val="00473717"/>
    <w:rsid w:val="00473AD5"/>
    <w:rsid w:val="00473EC0"/>
    <w:rsid w:val="00474065"/>
    <w:rsid w:val="004741D5"/>
    <w:rsid w:val="004743DD"/>
    <w:rsid w:val="00474C66"/>
    <w:rsid w:val="00474EF1"/>
    <w:rsid w:val="00475257"/>
    <w:rsid w:val="0047527F"/>
    <w:rsid w:val="004753BD"/>
    <w:rsid w:val="004753EB"/>
    <w:rsid w:val="00475505"/>
    <w:rsid w:val="00475801"/>
    <w:rsid w:val="0047590B"/>
    <w:rsid w:val="00476251"/>
    <w:rsid w:val="004763C4"/>
    <w:rsid w:val="004768C3"/>
    <w:rsid w:val="00476A2E"/>
    <w:rsid w:val="00476A53"/>
    <w:rsid w:val="00476CFD"/>
    <w:rsid w:val="0047720D"/>
    <w:rsid w:val="004772A5"/>
    <w:rsid w:val="004772F1"/>
    <w:rsid w:val="0047732A"/>
    <w:rsid w:val="00477384"/>
    <w:rsid w:val="00477988"/>
    <w:rsid w:val="00477D83"/>
    <w:rsid w:val="00477D8C"/>
    <w:rsid w:val="00477F01"/>
    <w:rsid w:val="004800C7"/>
    <w:rsid w:val="004803B3"/>
    <w:rsid w:val="004805B0"/>
    <w:rsid w:val="004808BE"/>
    <w:rsid w:val="00480F2A"/>
    <w:rsid w:val="004810E1"/>
    <w:rsid w:val="00481231"/>
    <w:rsid w:val="00481375"/>
    <w:rsid w:val="004814F9"/>
    <w:rsid w:val="00481549"/>
    <w:rsid w:val="004818C3"/>
    <w:rsid w:val="0048194E"/>
    <w:rsid w:val="00481CFC"/>
    <w:rsid w:val="0048262B"/>
    <w:rsid w:val="00482684"/>
    <w:rsid w:val="00482694"/>
    <w:rsid w:val="004830EE"/>
    <w:rsid w:val="004833C3"/>
    <w:rsid w:val="004834AC"/>
    <w:rsid w:val="004834D9"/>
    <w:rsid w:val="004835CF"/>
    <w:rsid w:val="0048398C"/>
    <w:rsid w:val="00483A22"/>
    <w:rsid w:val="00483B03"/>
    <w:rsid w:val="00483C39"/>
    <w:rsid w:val="004841D1"/>
    <w:rsid w:val="004843ED"/>
    <w:rsid w:val="004844A9"/>
    <w:rsid w:val="004844C6"/>
    <w:rsid w:val="0048478C"/>
    <w:rsid w:val="00484885"/>
    <w:rsid w:val="00484AD0"/>
    <w:rsid w:val="00484B4C"/>
    <w:rsid w:val="00484D37"/>
    <w:rsid w:val="00484F90"/>
    <w:rsid w:val="0048588F"/>
    <w:rsid w:val="00485E8C"/>
    <w:rsid w:val="0048613B"/>
    <w:rsid w:val="004863C0"/>
    <w:rsid w:val="004869C1"/>
    <w:rsid w:val="004869E7"/>
    <w:rsid w:val="00486CB7"/>
    <w:rsid w:val="00486D27"/>
    <w:rsid w:val="0048708E"/>
    <w:rsid w:val="004871DF"/>
    <w:rsid w:val="00487388"/>
    <w:rsid w:val="0048761C"/>
    <w:rsid w:val="00487820"/>
    <w:rsid w:val="00487CCB"/>
    <w:rsid w:val="0049031A"/>
    <w:rsid w:val="0049066E"/>
    <w:rsid w:val="004908B7"/>
    <w:rsid w:val="0049093D"/>
    <w:rsid w:val="00490A71"/>
    <w:rsid w:val="00490F3E"/>
    <w:rsid w:val="004912A1"/>
    <w:rsid w:val="00491328"/>
    <w:rsid w:val="004916D2"/>
    <w:rsid w:val="004919DD"/>
    <w:rsid w:val="00491ABB"/>
    <w:rsid w:val="00491C17"/>
    <w:rsid w:val="00491D93"/>
    <w:rsid w:val="0049202E"/>
    <w:rsid w:val="004923E6"/>
    <w:rsid w:val="0049267C"/>
    <w:rsid w:val="00493012"/>
    <w:rsid w:val="004935B4"/>
    <w:rsid w:val="004935EF"/>
    <w:rsid w:val="0049364A"/>
    <w:rsid w:val="0049395A"/>
    <w:rsid w:val="00493A7F"/>
    <w:rsid w:val="00493CE6"/>
    <w:rsid w:val="00493CF1"/>
    <w:rsid w:val="00493D96"/>
    <w:rsid w:val="004941DC"/>
    <w:rsid w:val="004943A5"/>
    <w:rsid w:val="0049480A"/>
    <w:rsid w:val="00494911"/>
    <w:rsid w:val="004949A3"/>
    <w:rsid w:val="00494B18"/>
    <w:rsid w:val="00494B7C"/>
    <w:rsid w:val="00494C56"/>
    <w:rsid w:val="00494CD8"/>
    <w:rsid w:val="00494DAB"/>
    <w:rsid w:val="00494DF1"/>
    <w:rsid w:val="00494E87"/>
    <w:rsid w:val="00494F7C"/>
    <w:rsid w:val="0049535D"/>
    <w:rsid w:val="00495913"/>
    <w:rsid w:val="00495C39"/>
    <w:rsid w:val="00495F18"/>
    <w:rsid w:val="0049617A"/>
    <w:rsid w:val="004962AF"/>
    <w:rsid w:val="004963B2"/>
    <w:rsid w:val="00496416"/>
    <w:rsid w:val="0049673F"/>
    <w:rsid w:val="00496A87"/>
    <w:rsid w:val="00496A90"/>
    <w:rsid w:val="00496F0A"/>
    <w:rsid w:val="00496F9D"/>
    <w:rsid w:val="004972EA"/>
    <w:rsid w:val="004974EC"/>
    <w:rsid w:val="00497733"/>
    <w:rsid w:val="00497D39"/>
    <w:rsid w:val="00497FE3"/>
    <w:rsid w:val="004A0104"/>
    <w:rsid w:val="004A030B"/>
    <w:rsid w:val="004A03E1"/>
    <w:rsid w:val="004A0569"/>
    <w:rsid w:val="004A0879"/>
    <w:rsid w:val="004A091F"/>
    <w:rsid w:val="004A0C6D"/>
    <w:rsid w:val="004A0C92"/>
    <w:rsid w:val="004A0F09"/>
    <w:rsid w:val="004A11CF"/>
    <w:rsid w:val="004A139E"/>
    <w:rsid w:val="004A1890"/>
    <w:rsid w:val="004A232C"/>
    <w:rsid w:val="004A23A2"/>
    <w:rsid w:val="004A2736"/>
    <w:rsid w:val="004A28B7"/>
    <w:rsid w:val="004A2924"/>
    <w:rsid w:val="004A2DF5"/>
    <w:rsid w:val="004A2FC2"/>
    <w:rsid w:val="004A2FD4"/>
    <w:rsid w:val="004A32C3"/>
    <w:rsid w:val="004A32D9"/>
    <w:rsid w:val="004A3635"/>
    <w:rsid w:val="004A3AF1"/>
    <w:rsid w:val="004A3CB0"/>
    <w:rsid w:val="004A3F76"/>
    <w:rsid w:val="004A40C3"/>
    <w:rsid w:val="004A4160"/>
    <w:rsid w:val="004A416D"/>
    <w:rsid w:val="004A4333"/>
    <w:rsid w:val="004A477F"/>
    <w:rsid w:val="004A4807"/>
    <w:rsid w:val="004A4BF3"/>
    <w:rsid w:val="004A4EF3"/>
    <w:rsid w:val="004A5746"/>
    <w:rsid w:val="004A5D2D"/>
    <w:rsid w:val="004A5D69"/>
    <w:rsid w:val="004A5D88"/>
    <w:rsid w:val="004A5DFA"/>
    <w:rsid w:val="004A6099"/>
    <w:rsid w:val="004A61E4"/>
    <w:rsid w:val="004A69F9"/>
    <w:rsid w:val="004A76CB"/>
    <w:rsid w:val="004A7863"/>
    <w:rsid w:val="004A795D"/>
    <w:rsid w:val="004A7992"/>
    <w:rsid w:val="004A7AF0"/>
    <w:rsid w:val="004A7C95"/>
    <w:rsid w:val="004A7E10"/>
    <w:rsid w:val="004A7E4A"/>
    <w:rsid w:val="004A7EE5"/>
    <w:rsid w:val="004A7F24"/>
    <w:rsid w:val="004AF5DC"/>
    <w:rsid w:val="004B010F"/>
    <w:rsid w:val="004B012C"/>
    <w:rsid w:val="004B052E"/>
    <w:rsid w:val="004B0719"/>
    <w:rsid w:val="004B0BC3"/>
    <w:rsid w:val="004B0CD5"/>
    <w:rsid w:val="004B0FD3"/>
    <w:rsid w:val="004B1386"/>
    <w:rsid w:val="004B1787"/>
    <w:rsid w:val="004B1CB9"/>
    <w:rsid w:val="004B238A"/>
    <w:rsid w:val="004B2767"/>
    <w:rsid w:val="004B2949"/>
    <w:rsid w:val="004B2AAA"/>
    <w:rsid w:val="004B2BE3"/>
    <w:rsid w:val="004B2F02"/>
    <w:rsid w:val="004B2F73"/>
    <w:rsid w:val="004B3253"/>
    <w:rsid w:val="004B3817"/>
    <w:rsid w:val="004B3A2E"/>
    <w:rsid w:val="004B3C00"/>
    <w:rsid w:val="004B3CEA"/>
    <w:rsid w:val="004B3CFE"/>
    <w:rsid w:val="004B3F88"/>
    <w:rsid w:val="004B41F8"/>
    <w:rsid w:val="004B4573"/>
    <w:rsid w:val="004B4D65"/>
    <w:rsid w:val="004B51A5"/>
    <w:rsid w:val="004B5394"/>
    <w:rsid w:val="004B57AF"/>
    <w:rsid w:val="004B5ACB"/>
    <w:rsid w:val="004B5CBB"/>
    <w:rsid w:val="004B6045"/>
    <w:rsid w:val="004B6088"/>
    <w:rsid w:val="004B61FF"/>
    <w:rsid w:val="004B7237"/>
    <w:rsid w:val="004B7417"/>
    <w:rsid w:val="004B76D3"/>
    <w:rsid w:val="004B7736"/>
    <w:rsid w:val="004B788E"/>
    <w:rsid w:val="004B7AED"/>
    <w:rsid w:val="004B7B3E"/>
    <w:rsid w:val="004B7D36"/>
    <w:rsid w:val="004B7D80"/>
    <w:rsid w:val="004C000E"/>
    <w:rsid w:val="004C0152"/>
    <w:rsid w:val="004C0224"/>
    <w:rsid w:val="004C05F7"/>
    <w:rsid w:val="004C06EB"/>
    <w:rsid w:val="004C0777"/>
    <w:rsid w:val="004C089B"/>
    <w:rsid w:val="004C0D6C"/>
    <w:rsid w:val="004C0DF5"/>
    <w:rsid w:val="004C1192"/>
    <w:rsid w:val="004C13C4"/>
    <w:rsid w:val="004C14E0"/>
    <w:rsid w:val="004C16C2"/>
    <w:rsid w:val="004C18A3"/>
    <w:rsid w:val="004C1924"/>
    <w:rsid w:val="004C1D0C"/>
    <w:rsid w:val="004C222B"/>
    <w:rsid w:val="004C2243"/>
    <w:rsid w:val="004C2301"/>
    <w:rsid w:val="004C2FF3"/>
    <w:rsid w:val="004C35CB"/>
    <w:rsid w:val="004C37B3"/>
    <w:rsid w:val="004C39C4"/>
    <w:rsid w:val="004C3A0C"/>
    <w:rsid w:val="004C3B63"/>
    <w:rsid w:val="004C3DE0"/>
    <w:rsid w:val="004C445C"/>
    <w:rsid w:val="004C4506"/>
    <w:rsid w:val="004C45D9"/>
    <w:rsid w:val="004C4AD2"/>
    <w:rsid w:val="004C4B9E"/>
    <w:rsid w:val="004C4F5E"/>
    <w:rsid w:val="004C501E"/>
    <w:rsid w:val="004C52F7"/>
    <w:rsid w:val="004C559B"/>
    <w:rsid w:val="004C56DD"/>
    <w:rsid w:val="004C5705"/>
    <w:rsid w:val="004C5E86"/>
    <w:rsid w:val="004C5F44"/>
    <w:rsid w:val="004C5F62"/>
    <w:rsid w:val="004C6227"/>
    <w:rsid w:val="004C6638"/>
    <w:rsid w:val="004C66CD"/>
    <w:rsid w:val="004C6826"/>
    <w:rsid w:val="004C6921"/>
    <w:rsid w:val="004C6990"/>
    <w:rsid w:val="004C6B48"/>
    <w:rsid w:val="004C700A"/>
    <w:rsid w:val="004C72B6"/>
    <w:rsid w:val="004C7418"/>
    <w:rsid w:val="004C79FD"/>
    <w:rsid w:val="004C7A7C"/>
    <w:rsid w:val="004C7C3C"/>
    <w:rsid w:val="004C7D7D"/>
    <w:rsid w:val="004D006F"/>
    <w:rsid w:val="004D00C5"/>
    <w:rsid w:val="004D03B6"/>
    <w:rsid w:val="004D0A32"/>
    <w:rsid w:val="004D0D80"/>
    <w:rsid w:val="004D0DBA"/>
    <w:rsid w:val="004D0ED6"/>
    <w:rsid w:val="004D1006"/>
    <w:rsid w:val="004D1040"/>
    <w:rsid w:val="004D14D1"/>
    <w:rsid w:val="004D1803"/>
    <w:rsid w:val="004D1A31"/>
    <w:rsid w:val="004D1CB8"/>
    <w:rsid w:val="004D1DC4"/>
    <w:rsid w:val="004D209A"/>
    <w:rsid w:val="004D21F6"/>
    <w:rsid w:val="004D23EA"/>
    <w:rsid w:val="004D29EB"/>
    <w:rsid w:val="004D2DD5"/>
    <w:rsid w:val="004D3249"/>
    <w:rsid w:val="004D33D6"/>
    <w:rsid w:val="004D35A2"/>
    <w:rsid w:val="004D363E"/>
    <w:rsid w:val="004D3708"/>
    <w:rsid w:val="004D39E8"/>
    <w:rsid w:val="004D3BC0"/>
    <w:rsid w:val="004D3D83"/>
    <w:rsid w:val="004D400E"/>
    <w:rsid w:val="004D41B3"/>
    <w:rsid w:val="004D4339"/>
    <w:rsid w:val="004D45DF"/>
    <w:rsid w:val="004D47B9"/>
    <w:rsid w:val="004D4971"/>
    <w:rsid w:val="004D49D8"/>
    <w:rsid w:val="004D4A8B"/>
    <w:rsid w:val="004D4BB5"/>
    <w:rsid w:val="004D5466"/>
    <w:rsid w:val="004D54C6"/>
    <w:rsid w:val="004D54D4"/>
    <w:rsid w:val="004D5508"/>
    <w:rsid w:val="004D5BD7"/>
    <w:rsid w:val="004D5D27"/>
    <w:rsid w:val="004D6183"/>
    <w:rsid w:val="004D6510"/>
    <w:rsid w:val="004D6ADB"/>
    <w:rsid w:val="004D6B57"/>
    <w:rsid w:val="004D6C8A"/>
    <w:rsid w:val="004D6D7F"/>
    <w:rsid w:val="004D6ED2"/>
    <w:rsid w:val="004D78D2"/>
    <w:rsid w:val="004D7D0C"/>
    <w:rsid w:val="004D7E74"/>
    <w:rsid w:val="004D7F30"/>
    <w:rsid w:val="004E0134"/>
    <w:rsid w:val="004E02E7"/>
    <w:rsid w:val="004E0678"/>
    <w:rsid w:val="004E06B5"/>
    <w:rsid w:val="004E0889"/>
    <w:rsid w:val="004E0967"/>
    <w:rsid w:val="004E0A91"/>
    <w:rsid w:val="004E0C0B"/>
    <w:rsid w:val="004E0F0F"/>
    <w:rsid w:val="004E10DC"/>
    <w:rsid w:val="004E187B"/>
    <w:rsid w:val="004E1B35"/>
    <w:rsid w:val="004E1F84"/>
    <w:rsid w:val="004E20A2"/>
    <w:rsid w:val="004E2125"/>
    <w:rsid w:val="004E259F"/>
    <w:rsid w:val="004E2B1E"/>
    <w:rsid w:val="004E2D22"/>
    <w:rsid w:val="004E2EE0"/>
    <w:rsid w:val="004E31B4"/>
    <w:rsid w:val="004E321C"/>
    <w:rsid w:val="004E33D2"/>
    <w:rsid w:val="004E346E"/>
    <w:rsid w:val="004E3620"/>
    <w:rsid w:val="004E3669"/>
    <w:rsid w:val="004E39E8"/>
    <w:rsid w:val="004E3B9B"/>
    <w:rsid w:val="004E3DD2"/>
    <w:rsid w:val="004E3E33"/>
    <w:rsid w:val="004E4022"/>
    <w:rsid w:val="004E4313"/>
    <w:rsid w:val="004E4565"/>
    <w:rsid w:val="004E47AC"/>
    <w:rsid w:val="004E47F1"/>
    <w:rsid w:val="004E4A81"/>
    <w:rsid w:val="004E4AF3"/>
    <w:rsid w:val="004E4D50"/>
    <w:rsid w:val="004E4F95"/>
    <w:rsid w:val="004E4FCB"/>
    <w:rsid w:val="004E5093"/>
    <w:rsid w:val="004E524E"/>
    <w:rsid w:val="004E58D7"/>
    <w:rsid w:val="004E5A30"/>
    <w:rsid w:val="004E5BE2"/>
    <w:rsid w:val="004E5C29"/>
    <w:rsid w:val="004E5C32"/>
    <w:rsid w:val="004E5DAC"/>
    <w:rsid w:val="004E5E3F"/>
    <w:rsid w:val="004E5F8F"/>
    <w:rsid w:val="004E5FC1"/>
    <w:rsid w:val="004E647B"/>
    <w:rsid w:val="004E6AB9"/>
    <w:rsid w:val="004E6C4C"/>
    <w:rsid w:val="004E6CFF"/>
    <w:rsid w:val="004E6D75"/>
    <w:rsid w:val="004E70B3"/>
    <w:rsid w:val="004E7223"/>
    <w:rsid w:val="004E747B"/>
    <w:rsid w:val="004E74BE"/>
    <w:rsid w:val="004E76DA"/>
    <w:rsid w:val="004E7AD4"/>
    <w:rsid w:val="004E7B6D"/>
    <w:rsid w:val="004E7CF7"/>
    <w:rsid w:val="004E7FEC"/>
    <w:rsid w:val="004F07FA"/>
    <w:rsid w:val="004F08D2"/>
    <w:rsid w:val="004F0B03"/>
    <w:rsid w:val="004F0D9A"/>
    <w:rsid w:val="004F1802"/>
    <w:rsid w:val="004F1ABD"/>
    <w:rsid w:val="004F2017"/>
    <w:rsid w:val="004F2248"/>
    <w:rsid w:val="004F224A"/>
    <w:rsid w:val="004F2608"/>
    <w:rsid w:val="004F26BD"/>
    <w:rsid w:val="004F286B"/>
    <w:rsid w:val="004F2B6A"/>
    <w:rsid w:val="004F2B99"/>
    <w:rsid w:val="004F2FFF"/>
    <w:rsid w:val="004F3688"/>
    <w:rsid w:val="004F3699"/>
    <w:rsid w:val="004F379A"/>
    <w:rsid w:val="004F3AAE"/>
    <w:rsid w:val="004F3EF5"/>
    <w:rsid w:val="004F4253"/>
    <w:rsid w:val="004F42D9"/>
    <w:rsid w:val="004F43D5"/>
    <w:rsid w:val="004F4774"/>
    <w:rsid w:val="004F4BDE"/>
    <w:rsid w:val="004F4C8B"/>
    <w:rsid w:val="004F4E2E"/>
    <w:rsid w:val="004F55CD"/>
    <w:rsid w:val="004F5610"/>
    <w:rsid w:val="004F564D"/>
    <w:rsid w:val="004F5881"/>
    <w:rsid w:val="004F5A44"/>
    <w:rsid w:val="004F5AC2"/>
    <w:rsid w:val="004F5B93"/>
    <w:rsid w:val="004F688E"/>
    <w:rsid w:val="004F696A"/>
    <w:rsid w:val="004F6CAE"/>
    <w:rsid w:val="004F6DAA"/>
    <w:rsid w:val="004F6EF3"/>
    <w:rsid w:val="004F70F5"/>
    <w:rsid w:val="004F72B4"/>
    <w:rsid w:val="004F758D"/>
    <w:rsid w:val="004F7CAC"/>
    <w:rsid w:val="004F7CB7"/>
    <w:rsid w:val="004F7E02"/>
    <w:rsid w:val="005003E9"/>
    <w:rsid w:val="0050062B"/>
    <w:rsid w:val="0050082C"/>
    <w:rsid w:val="00500B4E"/>
    <w:rsid w:val="00500E2C"/>
    <w:rsid w:val="00501349"/>
    <w:rsid w:val="005013D2"/>
    <w:rsid w:val="005016F7"/>
    <w:rsid w:val="0050175A"/>
    <w:rsid w:val="005017AC"/>
    <w:rsid w:val="00501916"/>
    <w:rsid w:val="00501ACA"/>
    <w:rsid w:val="00501BB2"/>
    <w:rsid w:val="00502214"/>
    <w:rsid w:val="00502229"/>
    <w:rsid w:val="0050245A"/>
    <w:rsid w:val="00502507"/>
    <w:rsid w:val="005026CD"/>
    <w:rsid w:val="00502848"/>
    <w:rsid w:val="00503212"/>
    <w:rsid w:val="005032D6"/>
    <w:rsid w:val="0050375E"/>
    <w:rsid w:val="00503973"/>
    <w:rsid w:val="00503A9A"/>
    <w:rsid w:val="00503DB4"/>
    <w:rsid w:val="00503E77"/>
    <w:rsid w:val="00504038"/>
    <w:rsid w:val="005040E6"/>
    <w:rsid w:val="00504159"/>
    <w:rsid w:val="0050438F"/>
    <w:rsid w:val="005046AF"/>
    <w:rsid w:val="005049B6"/>
    <w:rsid w:val="005049F7"/>
    <w:rsid w:val="00504BB9"/>
    <w:rsid w:val="00504BF6"/>
    <w:rsid w:val="00504C47"/>
    <w:rsid w:val="00504DA3"/>
    <w:rsid w:val="00504DAC"/>
    <w:rsid w:val="0050512F"/>
    <w:rsid w:val="00505462"/>
    <w:rsid w:val="00505494"/>
    <w:rsid w:val="0050558B"/>
    <w:rsid w:val="00505750"/>
    <w:rsid w:val="0050587D"/>
    <w:rsid w:val="005058AB"/>
    <w:rsid w:val="005059A8"/>
    <w:rsid w:val="00505DA0"/>
    <w:rsid w:val="005065F3"/>
    <w:rsid w:val="0050674D"/>
    <w:rsid w:val="005068FE"/>
    <w:rsid w:val="00506A55"/>
    <w:rsid w:val="00507126"/>
    <w:rsid w:val="00507353"/>
    <w:rsid w:val="0050764E"/>
    <w:rsid w:val="00507794"/>
    <w:rsid w:val="00507B77"/>
    <w:rsid w:val="00507FEA"/>
    <w:rsid w:val="0051014D"/>
    <w:rsid w:val="00510566"/>
    <w:rsid w:val="005105C8"/>
    <w:rsid w:val="005106DB"/>
    <w:rsid w:val="005107A8"/>
    <w:rsid w:val="00510B28"/>
    <w:rsid w:val="00510BC5"/>
    <w:rsid w:val="00511320"/>
    <w:rsid w:val="00511419"/>
    <w:rsid w:val="005115B9"/>
    <w:rsid w:val="005119C9"/>
    <w:rsid w:val="005122DA"/>
    <w:rsid w:val="005124A5"/>
    <w:rsid w:val="0051298E"/>
    <w:rsid w:val="00512C87"/>
    <w:rsid w:val="00512D55"/>
    <w:rsid w:val="00512E1F"/>
    <w:rsid w:val="00513692"/>
    <w:rsid w:val="005137A9"/>
    <w:rsid w:val="00513960"/>
    <w:rsid w:val="005139BA"/>
    <w:rsid w:val="005139D1"/>
    <w:rsid w:val="0051419B"/>
    <w:rsid w:val="005143F9"/>
    <w:rsid w:val="00514498"/>
    <w:rsid w:val="00514A5D"/>
    <w:rsid w:val="00514DDF"/>
    <w:rsid w:val="00514E56"/>
    <w:rsid w:val="00514EFC"/>
    <w:rsid w:val="005151AE"/>
    <w:rsid w:val="00515416"/>
    <w:rsid w:val="0051560B"/>
    <w:rsid w:val="00515716"/>
    <w:rsid w:val="005157F9"/>
    <w:rsid w:val="00515A92"/>
    <w:rsid w:val="00515D5D"/>
    <w:rsid w:val="00515EB3"/>
    <w:rsid w:val="0051607D"/>
    <w:rsid w:val="0051621A"/>
    <w:rsid w:val="005164BC"/>
    <w:rsid w:val="00516566"/>
    <w:rsid w:val="005165E0"/>
    <w:rsid w:val="005166E2"/>
    <w:rsid w:val="00516A9E"/>
    <w:rsid w:val="00516B56"/>
    <w:rsid w:val="00516E5A"/>
    <w:rsid w:val="00516FB8"/>
    <w:rsid w:val="0051706A"/>
    <w:rsid w:val="00517097"/>
    <w:rsid w:val="00517756"/>
    <w:rsid w:val="005178A8"/>
    <w:rsid w:val="00517925"/>
    <w:rsid w:val="00517B35"/>
    <w:rsid w:val="00517B9C"/>
    <w:rsid w:val="00517DF4"/>
    <w:rsid w:val="005206F0"/>
    <w:rsid w:val="00520919"/>
    <w:rsid w:val="00521107"/>
    <w:rsid w:val="0052146F"/>
    <w:rsid w:val="00521485"/>
    <w:rsid w:val="00521673"/>
    <w:rsid w:val="005218C3"/>
    <w:rsid w:val="00521C4D"/>
    <w:rsid w:val="005222C8"/>
    <w:rsid w:val="0052230F"/>
    <w:rsid w:val="00522352"/>
    <w:rsid w:val="00522433"/>
    <w:rsid w:val="005226B9"/>
    <w:rsid w:val="005227C2"/>
    <w:rsid w:val="00522AA1"/>
    <w:rsid w:val="0052300F"/>
    <w:rsid w:val="00523128"/>
    <w:rsid w:val="005239E0"/>
    <w:rsid w:val="00523B0F"/>
    <w:rsid w:val="00523C85"/>
    <w:rsid w:val="00523FE2"/>
    <w:rsid w:val="005242D8"/>
    <w:rsid w:val="00524386"/>
    <w:rsid w:val="00524601"/>
    <w:rsid w:val="005246A8"/>
    <w:rsid w:val="00525321"/>
    <w:rsid w:val="005253E3"/>
    <w:rsid w:val="0052552C"/>
    <w:rsid w:val="005258AA"/>
    <w:rsid w:val="005258D1"/>
    <w:rsid w:val="005258D3"/>
    <w:rsid w:val="00525C34"/>
    <w:rsid w:val="00525C83"/>
    <w:rsid w:val="00526032"/>
    <w:rsid w:val="00526059"/>
    <w:rsid w:val="00526698"/>
    <w:rsid w:val="005267BF"/>
    <w:rsid w:val="005267D4"/>
    <w:rsid w:val="00526882"/>
    <w:rsid w:val="00526883"/>
    <w:rsid w:val="00526A1B"/>
    <w:rsid w:val="00526A8D"/>
    <w:rsid w:val="00526B54"/>
    <w:rsid w:val="00526CA7"/>
    <w:rsid w:val="0052710E"/>
    <w:rsid w:val="0052716D"/>
    <w:rsid w:val="00527265"/>
    <w:rsid w:val="005274E3"/>
    <w:rsid w:val="00527570"/>
    <w:rsid w:val="0052758B"/>
    <w:rsid w:val="0052766F"/>
    <w:rsid w:val="0052796D"/>
    <w:rsid w:val="00527C75"/>
    <w:rsid w:val="00527CC0"/>
    <w:rsid w:val="00527CE2"/>
    <w:rsid w:val="00527D13"/>
    <w:rsid w:val="00527F25"/>
    <w:rsid w:val="0053034C"/>
    <w:rsid w:val="00530620"/>
    <w:rsid w:val="00530757"/>
    <w:rsid w:val="005307A3"/>
    <w:rsid w:val="00530BF3"/>
    <w:rsid w:val="005312A5"/>
    <w:rsid w:val="005314A3"/>
    <w:rsid w:val="005316BF"/>
    <w:rsid w:val="0053170A"/>
    <w:rsid w:val="00531770"/>
    <w:rsid w:val="00531857"/>
    <w:rsid w:val="005318FA"/>
    <w:rsid w:val="0053193D"/>
    <w:rsid w:val="00531C11"/>
    <w:rsid w:val="00531C38"/>
    <w:rsid w:val="0053207D"/>
    <w:rsid w:val="0053210F"/>
    <w:rsid w:val="0053211C"/>
    <w:rsid w:val="00532205"/>
    <w:rsid w:val="00532294"/>
    <w:rsid w:val="005323A9"/>
    <w:rsid w:val="005323D1"/>
    <w:rsid w:val="0053245B"/>
    <w:rsid w:val="005332C8"/>
    <w:rsid w:val="0053348E"/>
    <w:rsid w:val="0053350B"/>
    <w:rsid w:val="005336D0"/>
    <w:rsid w:val="0053382C"/>
    <w:rsid w:val="005339DD"/>
    <w:rsid w:val="00533A6A"/>
    <w:rsid w:val="00533C3C"/>
    <w:rsid w:val="00533D4A"/>
    <w:rsid w:val="00533E86"/>
    <w:rsid w:val="00533EDF"/>
    <w:rsid w:val="00533F63"/>
    <w:rsid w:val="005344B5"/>
    <w:rsid w:val="00534A5E"/>
    <w:rsid w:val="00534AEB"/>
    <w:rsid w:val="00534E60"/>
    <w:rsid w:val="0053504E"/>
    <w:rsid w:val="005350DF"/>
    <w:rsid w:val="005353E2"/>
    <w:rsid w:val="00535B39"/>
    <w:rsid w:val="00535C74"/>
    <w:rsid w:val="00535D62"/>
    <w:rsid w:val="00535DC4"/>
    <w:rsid w:val="00536078"/>
    <w:rsid w:val="005360AF"/>
    <w:rsid w:val="005360BC"/>
    <w:rsid w:val="005361AB"/>
    <w:rsid w:val="005365D7"/>
    <w:rsid w:val="00536810"/>
    <w:rsid w:val="00536A62"/>
    <w:rsid w:val="00537163"/>
    <w:rsid w:val="005373B9"/>
    <w:rsid w:val="0053748C"/>
    <w:rsid w:val="005379DC"/>
    <w:rsid w:val="00537B93"/>
    <w:rsid w:val="00537F5D"/>
    <w:rsid w:val="0054024B"/>
    <w:rsid w:val="0054026C"/>
    <w:rsid w:val="00540635"/>
    <w:rsid w:val="0054075C"/>
    <w:rsid w:val="00540BD1"/>
    <w:rsid w:val="00540DAC"/>
    <w:rsid w:val="0054115A"/>
    <w:rsid w:val="005413DE"/>
    <w:rsid w:val="00541581"/>
    <w:rsid w:val="005416CF"/>
    <w:rsid w:val="00541798"/>
    <w:rsid w:val="0054193A"/>
    <w:rsid w:val="00541CF7"/>
    <w:rsid w:val="00541D43"/>
    <w:rsid w:val="00542020"/>
    <w:rsid w:val="00542068"/>
    <w:rsid w:val="00542100"/>
    <w:rsid w:val="00542155"/>
    <w:rsid w:val="00542342"/>
    <w:rsid w:val="00542BD8"/>
    <w:rsid w:val="00542C19"/>
    <w:rsid w:val="00543020"/>
    <w:rsid w:val="00543818"/>
    <w:rsid w:val="00543943"/>
    <w:rsid w:val="0054398C"/>
    <w:rsid w:val="005439E5"/>
    <w:rsid w:val="00543AF9"/>
    <w:rsid w:val="00544012"/>
    <w:rsid w:val="00544051"/>
    <w:rsid w:val="0054422E"/>
    <w:rsid w:val="005447BA"/>
    <w:rsid w:val="00544C74"/>
    <w:rsid w:val="00544DE1"/>
    <w:rsid w:val="00544E7B"/>
    <w:rsid w:val="0054502A"/>
    <w:rsid w:val="00545079"/>
    <w:rsid w:val="005451C4"/>
    <w:rsid w:val="00545677"/>
    <w:rsid w:val="0054571C"/>
    <w:rsid w:val="00545978"/>
    <w:rsid w:val="00545AAC"/>
    <w:rsid w:val="00545AC7"/>
    <w:rsid w:val="00545B48"/>
    <w:rsid w:val="00545B6D"/>
    <w:rsid w:val="005460BD"/>
    <w:rsid w:val="00546168"/>
    <w:rsid w:val="005463CB"/>
    <w:rsid w:val="005464ED"/>
    <w:rsid w:val="00546701"/>
    <w:rsid w:val="00546C5C"/>
    <w:rsid w:val="00546EE9"/>
    <w:rsid w:val="0054736D"/>
    <w:rsid w:val="005478B9"/>
    <w:rsid w:val="00547CD2"/>
    <w:rsid w:val="00547F8F"/>
    <w:rsid w:val="00547FC0"/>
    <w:rsid w:val="005502F5"/>
    <w:rsid w:val="0055072B"/>
    <w:rsid w:val="00550980"/>
    <w:rsid w:val="00550B0F"/>
    <w:rsid w:val="00550B38"/>
    <w:rsid w:val="00550CBE"/>
    <w:rsid w:val="00550F46"/>
    <w:rsid w:val="00550FC9"/>
    <w:rsid w:val="00551536"/>
    <w:rsid w:val="0055159D"/>
    <w:rsid w:val="005518CE"/>
    <w:rsid w:val="00551C0B"/>
    <w:rsid w:val="00551D92"/>
    <w:rsid w:val="00551DCF"/>
    <w:rsid w:val="00551FDD"/>
    <w:rsid w:val="00552033"/>
    <w:rsid w:val="005523A7"/>
    <w:rsid w:val="00552407"/>
    <w:rsid w:val="00552554"/>
    <w:rsid w:val="005525E8"/>
    <w:rsid w:val="0055272F"/>
    <w:rsid w:val="005527B6"/>
    <w:rsid w:val="0055295A"/>
    <w:rsid w:val="00552BD3"/>
    <w:rsid w:val="00552DE3"/>
    <w:rsid w:val="0055323C"/>
    <w:rsid w:val="005532FE"/>
    <w:rsid w:val="005533BF"/>
    <w:rsid w:val="00553476"/>
    <w:rsid w:val="005535A0"/>
    <w:rsid w:val="00553676"/>
    <w:rsid w:val="005537B8"/>
    <w:rsid w:val="00554168"/>
    <w:rsid w:val="00554206"/>
    <w:rsid w:val="0055434C"/>
    <w:rsid w:val="005545CD"/>
    <w:rsid w:val="00554AC9"/>
    <w:rsid w:val="00554FE4"/>
    <w:rsid w:val="005550B6"/>
    <w:rsid w:val="00555145"/>
    <w:rsid w:val="005552D9"/>
    <w:rsid w:val="0055532F"/>
    <w:rsid w:val="005558A9"/>
    <w:rsid w:val="00555D70"/>
    <w:rsid w:val="00556442"/>
    <w:rsid w:val="00556505"/>
    <w:rsid w:val="005569FA"/>
    <w:rsid w:val="00556D91"/>
    <w:rsid w:val="00556DF5"/>
    <w:rsid w:val="00556F2F"/>
    <w:rsid w:val="00556F66"/>
    <w:rsid w:val="00556FFB"/>
    <w:rsid w:val="0055715E"/>
    <w:rsid w:val="00557205"/>
    <w:rsid w:val="005572DB"/>
    <w:rsid w:val="005573F4"/>
    <w:rsid w:val="00557550"/>
    <w:rsid w:val="005575E4"/>
    <w:rsid w:val="00557613"/>
    <w:rsid w:val="00557628"/>
    <w:rsid w:val="0055780A"/>
    <w:rsid w:val="0055794A"/>
    <w:rsid w:val="00560033"/>
    <w:rsid w:val="0056008A"/>
    <w:rsid w:val="00560953"/>
    <w:rsid w:val="00560A06"/>
    <w:rsid w:val="00560B4A"/>
    <w:rsid w:val="00560B6B"/>
    <w:rsid w:val="00560BC3"/>
    <w:rsid w:val="00560D73"/>
    <w:rsid w:val="00561014"/>
    <w:rsid w:val="0056144F"/>
    <w:rsid w:val="00561525"/>
    <w:rsid w:val="005615E5"/>
    <w:rsid w:val="005617DF"/>
    <w:rsid w:val="00561800"/>
    <w:rsid w:val="005618F9"/>
    <w:rsid w:val="00561A4B"/>
    <w:rsid w:val="00561AF5"/>
    <w:rsid w:val="00561D24"/>
    <w:rsid w:val="00561D46"/>
    <w:rsid w:val="00561DFC"/>
    <w:rsid w:val="00561E9B"/>
    <w:rsid w:val="00561F75"/>
    <w:rsid w:val="00562090"/>
    <w:rsid w:val="00562101"/>
    <w:rsid w:val="00562160"/>
    <w:rsid w:val="00562599"/>
    <w:rsid w:val="00562E51"/>
    <w:rsid w:val="005631FE"/>
    <w:rsid w:val="005632B0"/>
    <w:rsid w:val="005634D1"/>
    <w:rsid w:val="005636A8"/>
    <w:rsid w:val="005638B8"/>
    <w:rsid w:val="00563A68"/>
    <w:rsid w:val="00563F2D"/>
    <w:rsid w:val="00563FB2"/>
    <w:rsid w:val="00564289"/>
    <w:rsid w:val="0056429D"/>
    <w:rsid w:val="00564444"/>
    <w:rsid w:val="00564718"/>
    <w:rsid w:val="005647B0"/>
    <w:rsid w:val="00564D61"/>
    <w:rsid w:val="00564F8E"/>
    <w:rsid w:val="0056506B"/>
    <w:rsid w:val="005650A3"/>
    <w:rsid w:val="0056532C"/>
    <w:rsid w:val="00565638"/>
    <w:rsid w:val="0056565D"/>
    <w:rsid w:val="005657BD"/>
    <w:rsid w:val="00565A06"/>
    <w:rsid w:val="00565A27"/>
    <w:rsid w:val="00565C08"/>
    <w:rsid w:val="00565D66"/>
    <w:rsid w:val="00566157"/>
    <w:rsid w:val="0056632C"/>
    <w:rsid w:val="005663E2"/>
    <w:rsid w:val="0056668C"/>
    <w:rsid w:val="00566695"/>
    <w:rsid w:val="005666F9"/>
    <w:rsid w:val="00566926"/>
    <w:rsid w:val="00566B72"/>
    <w:rsid w:val="00566BB4"/>
    <w:rsid w:val="00566D18"/>
    <w:rsid w:val="0056725A"/>
    <w:rsid w:val="0056728F"/>
    <w:rsid w:val="0056732E"/>
    <w:rsid w:val="005674E2"/>
    <w:rsid w:val="0056752E"/>
    <w:rsid w:val="00567664"/>
    <w:rsid w:val="00567884"/>
    <w:rsid w:val="005678D5"/>
    <w:rsid w:val="00567955"/>
    <w:rsid w:val="00567B2E"/>
    <w:rsid w:val="00567D69"/>
    <w:rsid w:val="00570E72"/>
    <w:rsid w:val="00571106"/>
    <w:rsid w:val="005711D8"/>
    <w:rsid w:val="005712FF"/>
    <w:rsid w:val="005718B6"/>
    <w:rsid w:val="00571D72"/>
    <w:rsid w:val="00571E23"/>
    <w:rsid w:val="00572060"/>
    <w:rsid w:val="0057238B"/>
    <w:rsid w:val="0057251A"/>
    <w:rsid w:val="0057270A"/>
    <w:rsid w:val="00572921"/>
    <w:rsid w:val="00572A25"/>
    <w:rsid w:val="00572CC8"/>
    <w:rsid w:val="0057324A"/>
    <w:rsid w:val="005734EE"/>
    <w:rsid w:val="005738A6"/>
    <w:rsid w:val="005741D5"/>
    <w:rsid w:val="005741D8"/>
    <w:rsid w:val="00574954"/>
    <w:rsid w:val="00574B9B"/>
    <w:rsid w:val="00575488"/>
    <w:rsid w:val="0057558C"/>
    <w:rsid w:val="005756A2"/>
    <w:rsid w:val="00575758"/>
    <w:rsid w:val="00575A62"/>
    <w:rsid w:val="00575E06"/>
    <w:rsid w:val="005760F0"/>
    <w:rsid w:val="00576358"/>
    <w:rsid w:val="005765E1"/>
    <w:rsid w:val="00576ADE"/>
    <w:rsid w:val="00576D5F"/>
    <w:rsid w:val="00576F1C"/>
    <w:rsid w:val="005770BA"/>
    <w:rsid w:val="005773C9"/>
    <w:rsid w:val="00577616"/>
    <w:rsid w:val="005776FC"/>
    <w:rsid w:val="00577726"/>
    <w:rsid w:val="00577AB1"/>
    <w:rsid w:val="00577CFD"/>
    <w:rsid w:val="00577DEF"/>
    <w:rsid w:val="005803FF"/>
    <w:rsid w:val="00580545"/>
    <w:rsid w:val="00580943"/>
    <w:rsid w:val="00580991"/>
    <w:rsid w:val="00581228"/>
    <w:rsid w:val="0058149F"/>
    <w:rsid w:val="005816FD"/>
    <w:rsid w:val="00581764"/>
    <w:rsid w:val="00581915"/>
    <w:rsid w:val="00581A98"/>
    <w:rsid w:val="00581DB5"/>
    <w:rsid w:val="00581DBD"/>
    <w:rsid w:val="00581F6B"/>
    <w:rsid w:val="0058269C"/>
    <w:rsid w:val="0058279A"/>
    <w:rsid w:val="00582DAD"/>
    <w:rsid w:val="00583101"/>
    <w:rsid w:val="0058339D"/>
    <w:rsid w:val="0058342B"/>
    <w:rsid w:val="0058345D"/>
    <w:rsid w:val="00583617"/>
    <w:rsid w:val="00583B92"/>
    <w:rsid w:val="005844FC"/>
    <w:rsid w:val="0058481E"/>
    <w:rsid w:val="00584906"/>
    <w:rsid w:val="00584A1C"/>
    <w:rsid w:val="00584BA7"/>
    <w:rsid w:val="00584BBE"/>
    <w:rsid w:val="00584BEB"/>
    <w:rsid w:val="00584C8B"/>
    <w:rsid w:val="00584CCD"/>
    <w:rsid w:val="0058512E"/>
    <w:rsid w:val="00585250"/>
    <w:rsid w:val="005852C4"/>
    <w:rsid w:val="00585BEA"/>
    <w:rsid w:val="00585EF9"/>
    <w:rsid w:val="00585F94"/>
    <w:rsid w:val="00586950"/>
    <w:rsid w:val="00586AC5"/>
    <w:rsid w:val="00587172"/>
    <w:rsid w:val="00587190"/>
    <w:rsid w:val="00587204"/>
    <w:rsid w:val="0058789F"/>
    <w:rsid w:val="005879D4"/>
    <w:rsid w:val="00587BF0"/>
    <w:rsid w:val="00587C26"/>
    <w:rsid w:val="00587EE4"/>
    <w:rsid w:val="00587F35"/>
    <w:rsid w:val="00587F62"/>
    <w:rsid w:val="00590105"/>
    <w:rsid w:val="00590295"/>
    <w:rsid w:val="005906FC"/>
    <w:rsid w:val="00590A44"/>
    <w:rsid w:val="00590B7A"/>
    <w:rsid w:val="00590DE8"/>
    <w:rsid w:val="00590EA4"/>
    <w:rsid w:val="00590FD8"/>
    <w:rsid w:val="0059103D"/>
    <w:rsid w:val="005910DD"/>
    <w:rsid w:val="005912D0"/>
    <w:rsid w:val="00591841"/>
    <w:rsid w:val="0059193F"/>
    <w:rsid w:val="00591C68"/>
    <w:rsid w:val="00591ECD"/>
    <w:rsid w:val="00592AA3"/>
    <w:rsid w:val="00592FC3"/>
    <w:rsid w:val="005930B6"/>
    <w:rsid w:val="00593862"/>
    <w:rsid w:val="005939D0"/>
    <w:rsid w:val="00593E75"/>
    <w:rsid w:val="00593EAB"/>
    <w:rsid w:val="005945A9"/>
    <w:rsid w:val="00594E05"/>
    <w:rsid w:val="005950CC"/>
    <w:rsid w:val="005951A1"/>
    <w:rsid w:val="00595861"/>
    <w:rsid w:val="00595C69"/>
    <w:rsid w:val="00595CC2"/>
    <w:rsid w:val="00595DB4"/>
    <w:rsid w:val="00595FCF"/>
    <w:rsid w:val="00596630"/>
    <w:rsid w:val="00596777"/>
    <w:rsid w:val="00596999"/>
    <w:rsid w:val="00596A12"/>
    <w:rsid w:val="00596A20"/>
    <w:rsid w:val="00596BB4"/>
    <w:rsid w:val="00596ECE"/>
    <w:rsid w:val="0059701D"/>
    <w:rsid w:val="00597972"/>
    <w:rsid w:val="005979B2"/>
    <w:rsid w:val="00597D8E"/>
    <w:rsid w:val="00597F6F"/>
    <w:rsid w:val="00597FAB"/>
    <w:rsid w:val="005A0321"/>
    <w:rsid w:val="005A05E4"/>
    <w:rsid w:val="005A09CC"/>
    <w:rsid w:val="005A0CE7"/>
    <w:rsid w:val="005A0FAC"/>
    <w:rsid w:val="005A0FB0"/>
    <w:rsid w:val="005A1078"/>
    <w:rsid w:val="005A124A"/>
    <w:rsid w:val="005A14CA"/>
    <w:rsid w:val="005A172A"/>
    <w:rsid w:val="005A2420"/>
    <w:rsid w:val="005A2A25"/>
    <w:rsid w:val="005A2D2A"/>
    <w:rsid w:val="005A31A6"/>
    <w:rsid w:val="005A3281"/>
    <w:rsid w:val="005A340D"/>
    <w:rsid w:val="005A35B6"/>
    <w:rsid w:val="005A3666"/>
    <w:rsid w:val="005A39BA"/>
    <w:rsid w:val="005A3A64"/>
    <w:rsid w:val="005A3C27"/>
    <w:rsid w:val="005A4514"/>
    <w:rsid w:val="005A4785"/>
    <w:rsid w:val="005A4832"/>
    <w:rsid w:val="005A48CE"/>
    <w:rsid w:val="005A4C43"/>
    <w:rsid w:val="005A4FC5"/>
    <w:rsid w:val="005A5108"/>
    <w:rsid w:val="005A5134"/>
    <w:rsid w:val="005A536A"/>
    <w:rsid w:val="005A5504"/>
    <w:rsid w:val="005A55E3"/>
    <w:rsid w:val="005A5708"/>
    <w:rsid w:val="005A5894"/>
    <w:rsid w:val="005A58B3"/>
    <w:rsid w:val="005A6036"/>
    <w:rsid w:val="005A6974"/>
    <w:rsid w:val="005A6A07"/>
    <w:rsid w:val="005A6A63"/>
    <w:rsid w:val="005A728F"/>
    <w:rsid w:val="005A73EE"/>
    <w:rsid w:val="005A741C"/>
    <w:rsid w:val="005A7446"/>
    <w:rsid w:val="005A74A8"/>
    <w:rsid w:val="005A7A27"/>
    <w:rsid w:val="005A7AE4"/>
    <w:rsid w:val="005B00B8"/>
    <w:rsid w:val="005B0762"/>
    <w:rsid w:val="005B0A05"/>
    <w:rsid w:val="005B0F50"/>
    <w:rsid w:val="005B104C"/>
    <w:rsid w:val="005B1086"/>
    <w:rsid w:val="005B185F"/>
    <w:rsid w:val="005B186F"/>
    <w:rsid w:val="005B1B34"/>
    <w:rsid w:val="005B2634"/>
    <w:rsid w:val="005B2CC9"/>
    <w:rsid w:val="005B2DFA"/>
    <w:rsid w:val="005B30A8"/>
    <w:rsid w:val="005B3199"/>
    <w:rsid w:val="005B3285"/>
    <w:rsid w:val="005B3298"/>
    <w:rsid w:val="005B3694"/>
    <w:rsid w:val="005B38BC"/>
    <w:rsid w:val="005B39E8"/>
    <w:rsid w:val="005B3E93"/>
    <w:rsid w:val="005B3EAF"/>
    <w:rsid w:val="005B3F97"/>
    <w:rsid w:val="005B455D"/>
    <w:rsid w:val="005B482A"/>
    <w:rsid w:val="005B4AA4"/>
    <w:rsid w:val="005B4B57"/>
    <w:rsid w:val="005B4CE2"/>
    <w:rsid w:val="005B4DFC"/>
    <w:rsid w:val="005B4E92"/>
    <w:rsid w:val="005B53C5"/>
    <w:rsid w:val="005B54D3"/>
    <w:rsid w:val="005B59E8"/>
    <w:rsid w:val="005B5CFF"/>
    <w:rsid w:val="005B5DED"/>
    <w:rsid w:val="005B6040"/>
    <w:rsid w:val="005B61EA"/>
    <w:rsid w:val="005B62C9"/>
    <w:rsid w:val="005B6701"/>
    <w:rsid w:val="005B6767"/>
    <w:rsid w:val="005B6AD0"/>
    <w:rsid w:val="005B6E00"/>
    <w:rsid w:val="005B765B"/>
    <w:rsid w:val="005B7A3B"/>
    <w:rsid w:val="005C0B89"/>
    <w:rsid w:val="005C0CD6"/>
    <w:rsid w:val="005C10FB"/>
    <w:rsid w:val="005C1356"/>
    <w:rsid w:val="005C1481"/>
    <w:rsid w:val="005C15AB"/>
    <w:rsid w:val="005C1A36"/>
    <w:rsid w:val="005C1AB2"/>
    <w:rsid w:val="005C1EA5"/>
    <w:rsid w:val="005C2085"/>
    <w:rsid w:val="005C21CD"/>
    <w:rsid w:val="005C2200"/>
    <w:rsid w:val="005C23FC"/>
    <w:rsid w:val="005C255A"/>
    <w:rsid w:val="005C25F1"/>
    <w:rsid w:val="005C295B"/>
    <w:rsid w:val="005C2FE1"/>
    <w:rsid w:val="005C3072"/>
    <w:rsid w:val="005C323F"/>
    <w:rsid w:val="005C32DF"/>
    <w:rsid w:val="005C3622"/>
    <w:rsid w:val="005C36E8"/>
    <w:rsid w:val="005C37D5"/>
    <w:rsid w:val="005C385A"/>
    <w:rsid w:val="005C3A10"/>
    <w:rsid w:val="005C3E2D"/>
    <w:rsid w:val="005C407E"/>
    <w:rsid w:val="005C412B"/>
    <w:rsid w:val="005C4200"/>
    <w:rsid w:val="005C4447"/>
    <w:rsid w:val="005C4817"/>
    <w:rsid w:val="005C4CE1"/>
    <w:rsid w:val="005C5125"/>
    <w:rsid w:val="005C51E9"/>
    <w:rsid w:val="005C60BB"/>
    <w:rsid w:val="005C64BE"/>
    <w:rsid w:val="005C669B"/>
    <w:rsid w:val="005C6A66"/>
    <w:rsid w:val="005C6B89"/>
    <w:rsid w:val="005C6D4F"/>
    <w:rsid w:val="005C76F9"/>
    <w:rsid w:val="005C788B"/>
    <w:rsid w:val="005C793C"/>
    <w:rsid w:val="005C79C2"/>
    <w:rsid w:val="005C7C99"/>
    <w:rsid w:val="005C7C9E"/>
    <w:rsid w:val="005C7EC7"/>
    <w:rsid w:val="005C7FA5"/>
    <w:rsid w:val="005D0072"/>
    <w:rsid w:val="005D027A"/>
    <w:rsid w:val="005D02C9"/>
    <w:rsid w:val="005D03D8"/>
    <w:rsid w:val="005D041A"/>
    <w:rsid w:val="005D067F"/>
    <w:rsid w:val="005D0726"/>
    <w:rsid w:val="005D0861"/>
    <w:rsid w:val="005D08F3"/>
    <w:rsid w:val="005D0A2C"/>
    <w:rsid w:val="005D0B86"/>
    <w:rsid w:val="005D0BC0"/>
    <w:rsid w:val="005D0E33"/>
    <w:rsid w:val="005D12DE"/>
    <w:rsid w:val="005D12DF"/>
    <w:rsid w:val="005D19F8"/>
    <w:rsid w:val="005D1A8F"/>
    <w:rsid w:val="005D1C84"/>
    <w:rsid w:val="005D257C"/>
    <w:rsid w:val="005D26A8"/>
    <w:rsid w:val="005D27B6"/>
    <w:rsid w:val="005D27D6"/>
    <w:rsid w:val="005D2AC9"/>
    <w:rsid w:val="005D2D54"/>
    <w:rsid w:val="005D3A95"/>
    <w:rsid w:val="005D3C74"/>
    <w:rsid w:val="005D3CD7"/>
    <w:rsid w:val="005D3D0E"/>
    <w:rsid w:val="005D3D8E"/>
    <w:rsid w:val="005D4675"/>
    <w:rsid w:val="005D47EA"/>
    <w:rsid w:val="005D4DEC"/>
    <w:rsid w:val="005D506C"/>
    <w:rsid w:val="005D546F"/>
    <w:rsid w:val="005D54D4"/>
    <w:rsid w:val="005D5BA1"/>
    <w:rsid w:val="005D5F05"/>
    <w:rsid w:val="005D62D8"/>
    <w:rsid w:val="005D6462"/>
    <w:rsid w:val="005D697E"/>
    <w:rsid w:val="005D6DA9"/>
    <w:rsid w:val="005D6E98"/>
    <w:rsid w:val="005D6F09"/>
    <w:rsid w:val="005D6FA5"/>
    <w:rsid w:val="005D73AA"/>
    <w:rsid w:val="005D75A4"/>
    <w:rsid w:val="005D7636"/>
    <w:rsid w:val="005D7E24"/>
    <w:rsid w:val="005D7EF0"/>
    <w:rsid w:val="005D7EF8"/>
    <w:rsid w:val="005D7FAD"/>
    <w:rsid w:val="005DF0E5"/>
    <w:rsid w:val="005E030A"/>
    <w:rsid w:val="005E0700"/>
    <w:rsid w:val="005E0D30"/>
    <w:rsid w:val="005E0E1E"/>
    <w:rsid w:val="005E15A4"/>
    <w:rsid w:val="005E15E7"/>
    <w:rsid w:val="005E17ED"/>
    <w:rsid w:val="005E1FB8"/>
    <w:rsid w:val="005E21C3"/>
    <w:rsid w:val="005E220A"/>
    <w:rsid w:val="005E2481"/>
    <w:rsid w:val="005E2C21"/>
    <w:rsid w:val="005E2E5D"/>
    <w:rsid w:val="005E2FF5"/>
    <w:rsid w:val="005E314B"/>
    <w:rsid w:val="005E33F1"/>
    <w:rsid w:val="005E3556"/>
    <w:rsid w:val="005E39C4"/>
    <w:rsid w:val="005E3ACB"/>
    <w:rsid w:val="005E3D9C"/>
    <w:rsid w:val="005E3F44"/>
    <w:rsid w:val="005E4246"/>
    <w:rsid w:val="005E42AF"/>
    <w:rsid w:val="005E4410"/>
    <w:rsid w:val="005E44AC"/>
    <w:rsid w:val="005E4881"/>
    <w:rsid w:val="005E49B2"/>
    <w:rsid w:val="005E49CC"/>
    <w:rsid w:val="005E4BD8"/>
    <w:rsid w:val="005E4C00"/>
    <w:rsid w:val="005E4D50"/>
    <w:rsid w:val="005E4E98"/>
    <w:rsid w:val="005E5142"/>
    <w:rsid w:val="005E51E0"/>
    <w:rsid w:val="005E55A7"/>
    <w:rsid w:val="005E58EC"/>
    <w:rsid w:val="005E591B"/>
    <w:rsid w:val="005E5A0A"/>
    <w:rsid w:val="005E5B26"/>
    <w:rsid w:val="005E5C0B"/>
    <w:rsid w:val="005E61CF"/>
    <w:rsid w:val="005E6358"/>
    <w:rsid w:val="005E6D96"/>
    <w:rsid w:val="005E6EEE"/>
    <w:rsid w:val="005E735A"/>
    <w:rsid w:val="005E7439"/>
    <w:rsid w:val="005E77D8"/>
    <w:rsid w:val="005F02CD"/>
    <w:rsid w:val="005F03F1"/>
    <w:rsid w:val="005F0AE8"/>
    <w:rsid w:val="005F0B8A"/>
    <w:rsid w:val="005F0F30"/>
    <w:rsid w:val="005F15FB"/>
    <w:rsid w:val="005F1BB1"/>
    <w:rsid w:val="005F1EF5"/>
    <w:rsid w:val="005F1F5E"/>
    <w:rsid w:val="005F1FD6"/>
    <w:rsid w:val="005F2404"/>
    <w:rsid w:val="005F2515"/>
    <w:rsid w:val="005F2583"/>
    <w:rsid w:val="005F2A6B"/>
    <w:rsid w:val="005F2CBE"/>
    <w:rsid w:val="005F2ED8"/>
    <w:rsid w:val="005F3366"/>
    <w:rsid w:val="005F3411"/>
    <w:rsid w:val="005F354B"/>
    <w:rsid w:val="005F3844"/>
    <w:rsid w:val="005F3995"/>
    <w:rsid w:val="005F3A4E"/>
    <w:rsid w:val="005F3AD3"/>
    <w:rsid w:val="005F3B5F"/>
    <w:rsid w:val="005F3F12"/>
    <w:rsid w:val="005F3FE7"/>
    <w:rsid w:val="005F4004"/>
    <w:rsid w:val="005F40C1"/>
    <w:rsid w:val="005F42EF"/>
    <w:rsid w:val="005F4586"/>
    <w:rsid w:val="005F461F"/>
    <w:rsid w:val="005F4848"/>
    <w:rsid w:val="005F48CE"/>
    <w:rsid w:val="005F4A7F"/>
    <w:rsid w:val="005F52AE"/>
    <w:rsid w:val="005F53AD"/>
    <w:rsid w:val="005F559A"/>
    <w:rsid w:val="005F59B5"/>
    <w:rsid w:val="005F60E4"/>
    <w:rsid w:val="005F619C"/>
    <w:rsid w:val="005F61B2"/>
    <w:rsid w:val="005F6206"/>
    <w:rsid w:val="005F6278"/>
    <w:rsid w:val="005F6728"/>
    <w:rsid w:val="005F6BC7"/>
    <w:rsid w:val="005F6C59"/>
    <w:rsid w:val="005F6E84"/>
    <w:rsid w:val="005F6EFA"/>
    <w:rsid w:val="005F71A4"/>
    <w:rsid w:val="005F7646"/>
    <w:rsid w:val="005F7D1A"/>
    <w:rsid w:val="005F7D35"/>
    <w:rsid w:val="005F7E91"/>
    <w:rsid w:val="005F7E93"/>
    <w:rsid w:val="005F7FB0"/>
    <w:rsid w:val="005F7FDD"/>
    <w:rsid w:val="00600192"/>
    <w:rsid w:val="00600294"/>
    <w:rsid w:val="00600369"/>
    <w:rsid w:val="00600600"/>
    <w:rsid w:val="006008E0"/>
    <w:rsid w:val="00600A39"/>
    <w:rsid w:val="00600E62"/>
    <w:rsid w:val="00600EC1"/>
    <w:rsid w:val="006010D7"/>
    <w:rsid w:val="006012C5"/>
    <w:rsid w:val="00601449"/>
    <w:rsid w:val="00601B39"/>
    <w:rsid w:val="00601C81"/>
    <w:rsid w:val="00601D6C"/>
    <w:rsid w:val="00601D7F"/>
    <w:rsid w:val="00601DA5"/>
    <w:rsid w:val="006021C7"/>
    <w:rsid w:val="0060226A"/>
    <w:rsid w:val="00602329"/>
    <w:rsid w:val="006024D3"/>
    <w:rsid w:val="0060255E"/>
    <w:rsid w:val="006028B5"/>
    <w:rsid w:val="00602C90"/>
    <w:rsid w:val="0060308F"/>
    <w:rsid w:val="00603675"/>
    <w:rsid w:val="006038FA"/>
    <w:rsid w:val="0060393F"/>
    <w:rsid w:val="00603B6F"/>
    <w:rsid w:val="006042FF"/>
    <w:rsid w:val="00604596"/>
    <w:rsid w:val="00604AF8"/>
    <w:rsid w:val="00604B8B"/>
    <w:rsid w:val="00604EDD"/>
    <w:rsid w:val="006050AB"/>
    <w:rsid w:val="00605427"/>
    <w:rsid w:val="006059E0"/>
    <w:rsid w:val="00605D22"/>
    <w:rsid w:val="00605F0A"/>
    <w:rsid w:val="00605F56"/>
    <w:rsid w:val="00605F7D"/>
    <w:rsid w:val="00605FEC"/>
    <w:rsid w:val="00606145"/>
    <w:rsid w:val="00606200"/>
    <w:rsid w:val="006062D6"/>
    <w:rsid w:val="00606343"/>
    <w:rsid w:val="00606CEC"/>
    <w:rsid w:val="00606D7A"/>
    <w:rsid w:val="00606E27"/>
    <w:rsid w:val="00606EF9"/>
    <w:rsid w:val="00606F0E"/>
    <w:rsid w:val="0060706A"/>
    <w:rsid w:val="00607133"/>
    <w:rsid w:val="0060732F"/>
    <w:rsid w:val="00607381"/>
    <w:rsid w:val="00607758"/>
    <w:rsid w:val="00607AB9"/>
    <w:rsid w:val="00607C81"/>
    <w:rsid w:val="00607CE1"/>
    <w:rsid w:val="00607D42"/>
    <w:rsid w:val="00610050"/>
    <w:rsid w:val="006101A6"/>
    <w:rsid w:val="00610582"/>
    <w:rsid w:val="0061066C"/>
    <w:rsid w:val="00610674"/>
    <w:rsid w:val="00610700"/>
    <w:rsid w:val="00610D5E"/>
    <w:rsid w:val="00610FF8"/>
    <w:rsid w:val="00611044"/>
    <w:rsid w:val="006110E8"/>
    <w:rsid w:val="00611112"/>
    <w:rsid w:val="00611155"/>
    <w:rsid w:val="006111CC"/>
    <w:rsid w:val="006112E3"/>
    <w:rsid w:val="00611AC5"/>
    <w:rsid w:val="00611BEC"/>
    <w:rsid w:val="00611C3B"/>
    <w:rsid w:val="0061200C"/>
    <w:rsid w:val="00612518"/>
    <w:rsid w:val="0061256F"/>
    <w:rsid w:val="00612764"/>
    <w:rsid w:val="00612858"/>
    <w:rsid w:val="0061286D"/>
    <w:rsid w:val="00613168"/>
    <w:rsid w:val="00613467"/>
    <w:rsid w:val="00613512"/>
    <w:rsid w:val="0061372B"/>
    <w:rsid w:val="00613793"/>
    <w:rsid w:val="006137AF"/>
    <w:rsid w:val="006137FD"/>
    <w:rsid w:val="00613A52"/>
    <w:rsid w:val="00613F9B"/>
    <w:rsid w:val="0061418B"/>
    <w:rsid w:val="00614446"/>
    <w:rsid w:val="006144DF"/>
    <w:rsid w:val="00614AB4"/>
    <w:rsid w:val="00614BAE"/>
    <w:rsid w:val="00614CCE"/>
    <w:rsid w:val="00615000"/>
    <w:rsid w:val="00615175"/>
    <w:rsid w:val="00615186"/>
    <w:rsid w:val="0061548C"/>
    <w:rsid w:val="00615663"/>
    <w:rsid w:val="00615C3E"/>
    <w:rsid w:val="00615C70"/>
    <w:rsid w:val="00615F18"/>
    <w:rsid w:val="0061664B"/>
    <w:rsid w:val="00616709"/>
    <w:rsid w:val="006168EA"/>
    <w:rsid w:val="006169B4"/>
    <w:rsid w:val="00616A26"/>
    <w:rsid w:val="00616C56"/>
    <w:rsid w:val="00616CB9"/>
    <w:rsid w:val="00616D40"/>
    <w:rsid w:val="00616E4E"/>
    <w:rsid w:val="00616FF6"/>
    <w:rsid w:val="00617024"/>
    <w:rsid w:val="0061702F"/>
    <w:rsid w:val="00617052"/>
    <w:rsid w:val="006173D9"/>
    <w:rsid w:val="006177FA"/>
    <w:rsid w:val="00617983"/>
    <w:rsid w:val="00617A18"/>
    <w:rsid w:val="00617B1F"/>
    <w:rsid w:val="00617BF2"/>
    <w:rsid w:val="00617C3B"/>
    <w:rsid w:val="0062027A"/>
    <w:rsid w:val="006202C8"/>
    <w:rsid w:val="00620341"/>
    <w:rsid w:val="0062079B"/>
    <w:rsid w:val="006209F8"/>
    <w:rsid w:val="00620D68"/>
    <w:rsid w:val="006212CF"/>
    <w:rsid w:val="00621352"/>
    <w:rsid w:val="00621372"/>
    <w:rsid w:val="00621592"/>
    <w:rsid w:val="00621600"/>
    <w:rsid w:val="006217CF"/>
    <w:rsid w:val="00621870"/>
    <w:rsid w:val="00621BDF"/>
    <w:rsid w:val="00621FF6"/>
    <w:rsid w:val="006224E8"/>
    <w:rsid w:val="006226F0"/>
    <w:rsid w:val="00622A4F"/>
    <w:rsid w:val="00622CC4"/>
    <w:rsid w:val="00622CF2"/>
    <w:rsid w:val="00622DB3"/>
    <w:rsid w:val="00622F06"/>
    <w:rsid w:val="00623092"/>
    <w:rsid w:val="00623335"/>
    <w:rsid w:val="00623454"/>
    <w:rsid w:val="00623562"/>
    <w:rsid w:val="0062398E"/>
    <w:rsid w:val="00623B05"/>
    <w:rsid w:val="00623D90"/>
    <w:rsid w:val="00623DAC"/>
    <w:rsid w:val="00623EB8"/>
    <w:rsid w:val="00624197"/>
    <w:rsid w:val="00624315"/>
    <w:rsid w:val="006245AB"/>
    <w:rsid w:val="00624753"/>
    <w:rsid w:val="00624778"/>
    <w:rsid w:val="006248D7"/>
    <w:rsid w:val="006250B1"/>
    <w:rsid w:val="00625243"/>
    <w:rsid w:val="00625336"/>
    <w:rsid w:val="0062545B"/>
    <w:rsid w:val="0062552A"/>
    <w:rsid w:val="006255EE"/>
    <w:rsid w:val="006258B9"/>
    <w:rsid w:val="00625A3B"/>
    <w:rsid w:val="00625AE4"/>
    <w:rsid w:val="00625BA7"/>
    <w:rsid w:val="00625E21"/>
    <w:rsid w:val="00626147"/>
    <w:rsid w:val="006261E0"/>
    <w:rsid w:val="006267F0"/>
    <w:rsid w:val="006269DB"/>
    <w:rsid w:val="00626C3D"/>
    <w:rsid w:val="00627058"/>
    <w:rsid w:val="006271BC"/>
    <w:rsid w:val="0062726F"/>
    <w:rsid w:val="006273AA"/>
    <w:rsid w:val="0062751D"/>
    <w:rsid w:val="0062764F"/>
    <w:rsid w:val="0062788A"/>
    <w:rsid w:val="006279DD"/>
    <w:rsid w:val="00627CBD"/>
    <w:rsid w:val="0063021A"/>
    <w:rsid w:val="00630457"/>
    <w:rsid w:val="00630464"/>
    <w:rsid w:val="00630496"/>
    <w:rsid w:val="0063097D"/>
    <w:rsid w:val="00630A8A"/>
    <w:rsid w:val="00630C56"/>
    <w:rsid w:val="00631121"/>
    <w:rsid w:val="00631907"/>
    <w:rsid w:val="00631EB7"/>
    <w:rsid w:val="00631FD3"/>
    <w:rsid w:val="0063201F"/>
    <w:rsid w:val="006320CB"/>
    <w:rsid w:val="006325C1"/>
    <w:rsid w:val="00632D73"/>
    <w:rsid w:val="00632DF7"/>
    <w:rsid w:val="00632F41"/>
    <w:rsid w:val="006332BE"/>
    <w:rsid w:val="006333C5"/>
    <w:rsid w:val="00633B12"/>
    <w:rsid w:val="00634434"/>
    <w:rsid w:val="00634638"/>
    <w:rsid w:val="006346F3"/>
    <w:rsid w:val="00634771"/>
    <w:rsid w:val="006347C3"/>
    <w:rsid w:val="00634E32"/>
    <w:rsid w:val="00635133"/>
    <w:rsid w:val="0063517B"/>
    <w:rsid w:val="006352B3"/>
    <w:rsid w:val="00635494"/>
    <w:rsid w:val="00635496"/>
    <w:rsid w:val="0063554C"/>
    <w:rsid w:val="0063584D"/>
    <w:rsid w:val="00635953"/>
    <w:rsid w:val="00635C4D"/>
    <w:rsid w:val="00636023"/>
    <w:rsid w:val="00636375"/>
    <w:rsid w:val="00636473"/>
    <w:rsid w:val="00636491"/>
    <w:rsid w:val="00636503"/>
    <w:rsid w:val="006366D4"/>
    <w:rsid w:val="00636D93"/>
    <w:rsid w:val="006376AC"/>
    <w:rsid w:val="00637C5B"/>
    <w:rsid w:val="006402EB"/>
    <w:rsid w:val="006406E7"/>
    <w:rsid w:val="00640736"/>
    <w:rsid w:val="006408C3"/>
    <w:rsid w:val="00640DD6"/>
    <w:rsid w:val="00640E65"/>
    <w:rsid w:val="00640F57"/>
    <w:rsid w:val="00641014"/>
    <w:rsid w:val="006412B6"/>
    <w:rsid w:val="006413B7"/>
    <w:rsid w:val="006413C3"/>
    <w:rsid w:val="006414BB"/>
    <w:rsid w:val="00641699"/>
    <w:rsid w:val="00641706"/>
    <w:rsid w:val="00641D82"/>
    <w:rsid w:val="00641F9D"/>
    <w:rsid w:val="006424ED"/>
    <w:rsid w:val="00642556"/>
    <w:rsid w:val="00642672"/>
    <w:rsid w:val="006428AF"/>
    <w:rsid w:val="0064290C"/>
    <w:rsid w:val="0064291B"/>
    <w:rsid w:val="0064305B"/>
    <w:rsid w:val="00643130"/>
    <w:rsid w:val="0064344A"/>
    <w:rsid w:val="006436B7"/>
    <w:rsid w:val="00643AE9"/>
    <w:rsid w:val="00643BB6"/>
    <w:rsid w:val="00643C3F"/>
    <w:rsid w:val="00643FE2"/>
    <w:rsid w:val="006445C9"/>
    <w:rsid w:val="006448C0"/>
    <w:rsid w:val="0064494F"/>
    <w:rsid w:val="00644B1E"/>
    <w:rsid w:val="00644F73"/>
    <w:rsid w:val="0064503D"/>
    <w:rsid w:val="0064540B"/>
    <w:rsid w:val="006454BB"/>
    <w:rsid w:val="00645637"/>
    <w:rsid w:val="006456B6"/>
    <w:rsid w:val="00645AB3"/>
    <w:rsid w:val="00645EFF"/>
    <w:rsid w:val="0064607A"/>
    <w:rsid w:val="0064620D"/>
    <w:rsid w:val="00646997"/>
    <w:rsid w:val="00646BD7"/>
    <w:rsid w:val="00646D8F"/>
    <w:rsid w:val="00646E4B"/>
    <w:rsid w:val="0064719A"/>
    <w:rsid w:val="00647201"/>
    <w:rsid w:val="006472C4"/>
    <w:rsid w:val="006472D5"/>
    <w:rsid w:val="00647569"/>
    <w:rsid w:val="0064781E"/>
    <w:rsid w:val="006501D2"/>
    <w:rsid w:val="006502E9"/>
    <w:rsid w:val="006503AB"/>
    <w:rsid w:val="006506D2"/>
    <w:rsid w:val="00650AB4"/>
    <w:rsid w:val="0065116E"/>
    <w:rsid w:val="0065182F"/>
    <w:rsid w:val="006519DF"/>
    <w:rsid w:val="006519E6"/>
    <w:rsid w:val="0065226B"/>
    <w:rsid w:val="0065235B"/>
    <w:rsid w:val="006523F3"/>
    <w:rsid w:val="006524E9"/>
    <w:rsid w:val="006525FD"/>
    <w:rsid w:val="0065269D"/>
    <w:rsid w:val="006526B5"/>
    <w:rsid w:val="00652920"/>
    <w:rsid w:val="00652984"/>
    <w:rsid w:val="006529C1"/>
    <w:rsid w:val="00652BE6"/>
    <w:rsid w:val="006530BE"/>
    <w:rsid w:val="00653153"/>
    <w:rsid w:val="006536F5"/>
    <w:rsid w:val="00653874"/>
    <w:rsid w:val="00653D55"/>
    <w:rsid w:val="00653D5C"/>
    <w:rsid w:val="00653E62"/>
    <w:rsid w:val="00653E99"/>
    <w:rsid w:val="00653EAA"/>
    <w:rsid w:val="00654041"/>
    <w:rsid w:val="006541C6"/>
    <w:rsid w:val="0065442C"/>
    <w:rsid w:val="006545E6"/>
    <w:rsid w:val="00654C6A"/>
    <w:rsid w:val="00654FF1"/>
    <w:rsid w:val="00655158"/>
    <w:rsid w:val="00655270"/>
    <w:rsid w:val="00655701"/>
    <w:rsid w:val="006559D8"/>
    <w:rsid w:val="006559DD"/>
    <w:rsid w:val="00655C5D"/>
    <w:rsid w:val="00655F6C"/>
    <w:rsid w:val="0065632F"/>
    <w:rsid w:val="006568AF"/>
    <w:rsid w:val="006568CD"/>
    <w:rsid w:val="0065696C"/>
    <w:rsid w:val="00656A27"/>
    <w:rsid w:val="00656BEE"/>
    <w:rsid w:val="00656C84"/>
    <w:rsid w:val="00657270"/>
    <w:rsid w:val="006573EF"/>
    <w:rsid w:val="00657754"/>
    <w:rsid w:val="00657B0A"/>
    <w:rsid w:val="00657B39"/>
    <w:rsid w:val="00657BFC"/>
    <w:rsid w:val="00657C83"/>
    <w:rsid w:val="00657CC8"/>
    <w:rsid w:val="00660667"/>
    <w:rsid w:val="0066071B"/>
    <w:rsid w:val="00660D7B"/>
    <w:rsid w:val="0066168A"/>
    <w:rsid w:val="006618AA"/>
    <w:rsid w:val="00661EE0"/>
    <w:rsid w:val="006624BD"/>
    <w:rsid w:val="006624EE"/>
    <w:rsid w:val="0066253D"/>
    <w:rsid w:val="0066268D"/>
    <w:rsid w:val="00662DFF"/>
    <w:rsid w:val="00662E01"/>
    <w:rsid w:val="0066326D"/>
    <w:rsid w:val="006633B2"/>
    <w:rsid w:val="00663486"/>
    <w:rsid w:val="006635C2"/>
    <w:rsid w:val="0066396C"/>
    <w:rsid w:val="00663AF7"/>
    <w:rsid w:val="00663B28"/>
    <w:rsid w:val="00663BCE"/>
    <w:rsid w:val="00663E84"/>
    <w:rsid w:val="00664356"/>
    <w:rsid w:val="006643EE"/>
    <w:rsid w:val="00664585"/>
    <w:rsid w:val="006646CD"/>
    <w:rsid w:val="006646FD"/>
    <w:rsid w:val="006647AD"/>
    <w:rsid w:val="00664BBF"/>
    <w:rsid w:val="00664C4D"/>
    <w:rsid w:val="00664FF5"/>
    <w:rsid w:val="0066506F"/>
    <w:rsid w:val="006653BB"/>
    <w:rsid w:val="0066540E"/>
    <w:rsid w:val="00665605"/>
    <w:rsid w:val="0066574E"/>
    <w:rsid w:val="00665B15"/>
    <w:rsid w:val="00665FC6"/>
    <w:rsid w:val="00666189"/>
    <w:rsid w:val="0066624E"/>
    <w:rsid w:val="006662C3"/>
    <w:rsid w:val="00666425"/>
    <w:rsid w:val="00666610"/>
    <w:rsid w:val="006666ED"/>
    <w:rsid w:val="0066673C"/>
    <w:rsid w:val="006667ED"/>
    <w:rsid w:val="00666AA5"/>
    <w:rsid w:val="00666BA5"/>
    <w:rsid w:val="00666E6C"/>
    <w:rsid w:val="00667104"/>
    <w:rsid w:val="0066751B"/>
    <w:rsid w:val="00667695"/>
    <w:rsid w:val="006678EE"/>
    <w:rsid w:val="0066797A"/>
    <w:rsid w:val="00667B00"/>
    <w:rsid w:val="00667CBF"/>
    <w:rsid w:val="00667CCA"/>
    <w:rsid w:val="00667F93"/>
    <w:rsid w:val="0066C639"/>
    <w:rsid w:val="006704B6"/>
    <w:rsid w:val="00670923"/>
    <w:rsid w:val="0067097D"/>
    <w:rsid w:val="00670A1E"/>
    <w:rsid w:val="00670C86"/>
    <w:rsid w:val="00671230"/>
    <w:rsid w:val="006718A3"/>
    <w:rsid w:val="0067196F"/>
    <w:rsid w:val="00671CE0"/>
    <w:rsid w:val="00671D58"/>
    <w:rsid w:val="00672120"/>
    <w:rsid w:val="00672285"/>
    <w:rsid w:val="006722CC"/>
    <w:rsid w:val="006725CF"/>
    <w:rsid w:val="00672740"/>
    <w:rsid w:val="0067289A"/>
    <w:rsid w:val="0067297D"/>
    <w:rsid w:val="00672B29"/>
    <w:rsid w:val="00672D3F"/>
    <w:rsid w:val="0067303C"/>
    <w:rsid w:val="00673107"/>
    <w:rsid w:val="0067327D"/>
    <w:rsid w:val="006732F1"/>
    <w:rsid w:val="00673352"/>
    <w:rsid w:val="006736FF"/>
    <w:rsid w:val="00673843"/>
    <w:rsid w:val="006738E4"/>
    <w:rsid w:val="00673904"/>
    <w:rsid w:val="00674113"/>
    <w:rsid w:val="006746F9"/>
    <w:rsid w:val="006749C2"/>
    <w:rsid w:val="00674A2C"/>
    <w:rsid w:val="00674D43"/>
    <w:rsid w:val="00675311"/>
    <w:rsid w:val="00675963"/>
    <w:rsid w:val="00675D8B"/>
    <w:rsid w:val="00675E94"/>
    <w:rsid w:val="00675F47"/>
    <w:rsid w:val="006766E1"/>
    <w:rsid w:val="00676C05"/>
    <w:rsid w:val="00676E15"/>
    <w:rsid w:val="00676FA2"/>
    <w:rsid w:val="00676FCB"/>
    <w:rsid w:val="006770D5"/>
    <w:rsid w:val="00677984"/>
    <w:rsid w:val="00677A64"/>
    <w:rsid w:val="00677E8C"/>
    <w:rsid w:val="00680062"/>
    <w:rsid w:val="0068012F"/>
    <w:rsid w:val="00680373"/>
    <w:rsid w:val="00680489"/>
    <w:rsid w:val="006813CB"/>
    <w:rsid w:val="006813D4"/>
    <w:rsid w:val="0068184C"/>
    <w:rsid w:val="00681C5B"/>
    <w:rsid w:val="00681D5F"/>
    <w:rsid w:val="00682091"/>
    <w:rsid w:val="00682275"/>
    <w:rsid w:val="006824E1"/>
    <w:rsid w:val="0068299C"/>
    <w:rsid w:val="00682AC0"/>
    <w:rsid w:val="00683292"/>
    <w:rsid w:val="006834F7"/>
    <w:rsid w:val="0068368C"/>
    <w:rsid w:val="00683F83"/>
    <w:rsid w:val="00683F86"/>
    <w:rsid w:val="00684097"/>
    <w:rsid w:val="00684358"/>
    <w:rsid w:val="006843FA"/>
    <w:rsid w:val="0068446B"/>
    <w:rsid w:val="00684601"/>
    <w:rsid w:val="0068469E"/>
    <w:rsid w:val="006846CD"/>
    <w:rsid w:val="0068472A"/>
    <w:rsid w:val="006847FA"/>
    <w:rsid w:val="00684AC3"/>
    <w:rsid w:val="00684E89"/>
    <w:rsid w:val="00685062"/>
    <w:rsid w:val="006850B4"/>
    <w:rsid w:val="0068543B"/>
    <w:rsid w:val="006855B2"/>
    <w:rsid w:val="00685669"/>
    <w:rsid w:val="00685AD4"/>
    <w:rsid w:val="00685C9F"/>
    <w:rsid w:val="00686080"/>
    <w:rsid w:val="006860A8"/>
    <w:rsid w:val="00686208"/>
    <w:rsid w:val="00686393"/>
    <w:rsid w:val="0068650C"/>
    <w:rsid w:val="00686965"/>
    <w:rsid w:val="00686A2F"/>
    <w:rsid w:val="00686A71"/>
    <w:rsid w:val="006871A1"/>
    <w:rsid w:val="00687694"/>
    <w:rsid w:val="0068799E"/>
    <w:rsid w:val="006879FE"/>
    <w:rsid w:val="00687A10"/>
    <w:rsid w:val="00687FCE"/>
    <w:rsid w:val="006900E8"/>
    <w:rsid w:val="006901C3"/>
    <w:rsid w:val="0069072F"/>
    <w:rsid w:val="0069076A"/>
    <w:rsid w:val="006909CC"/>
    <w:rsid w:val="00690EB0"/>
    <w:rsid w:val="00690ED1"/>
    <w:rsid w:val="0069110B"/>
    <w:rsid w:val="00691229"/>
    <w:rsid w:val="0069123E"/>
    <w:rsid w:val="00691913"/>
    <w:rsid w:val="00691B11"/>
    <w:rsid w:val="00691B89"/>
    <w:rsid w:val="00691FC6"/>
    <w:rsid w:val="0069206C"/>
    <w:rsid w:val="006920EA"/>
    <w:rsid w:val="006923BD"/>
    <w:rsid w:val="006924B3"/>
    <w:rsid w:val="00692DCF"/>
    <w:rsid w:val="00693399"/>
    <w:rsid w:val="006933A1"/>
    <w:rsid w:val="00693819"/>
    <w:rsid w:val="0069386B"/>
    <w:rsid w:val="00693A43"/>
    <w:rsid w:val="00693A73"/>
    <w:rsid w:val="00694310"/>
    <w:rsid w:val="006943F7"/>
    <w:rsid w:val="00694434"/>
    <w:rsid w:val="0069459C"/>
    <w:rsid w:val="00694BB6"/>
    <w:rsid w:val="00695214"/>
    <w:rsid w:val="00695517"/>
    <w:rsid w:val="0069555A"/>
    <w:rsid w:val="006955A0"/>
    <w:rsid w:val="00695FEE"/>
    <w:rsid w:val="00695FF8"/>
    <w:rsid w:val="00696259"/>
    <w:rsid w:val="00696276"/>
    <w:rsid w:val="00696716"/>
    <w:rsid w:val="006967FE"/>
    <w:rsid w:val="00696E73"/>
    <w:rsid w:val="00696F95"/>
    <w:rsid w:val="006972F9"/>
    <w:rsid w:val="0069747C"/>
    <w:rsid w:val="0069748D"/>
    <w:rsid w:val="00697A5C"/>
    <w:rsid w:val="00697C0F"/>
    <w:rsid w:val="00697DC4"/>
    <w:rsid w:val="00697EDB"/>
    <w:rsid w:val="006A01F6"/>
    <w:rsid w:val="006A0B57"/>
    <w:rsid w:val="006A0D44"/>
    <w:rsid w:val="006A0DD1"/>
    <w:rsid w:val="006A0F66"/>
    <w:rsid w:val="006A102A"/>
    <w:rsid w:val="006A138B"/>
    <w:rsid w:val="006A1569"/>
    <w:rsid w:val="006A15B9"/>
    <w:rsid w:val="006A17AE"/>
    <w:rsid w:val="006A19EA"/>
    <w:rsid w:val="006A19F1"/>
    <w:rsid w:val="006A1C0B"/>
    <w:rsid w:val="006A239A"/>
    <w:rsid w:val="006A23E5"/>
    <w:rsid w:val="006A268A"/>
    <w:rsid w:val="006A2737"/>
    <w:rsid w:val="006A2D22"/>
    <w:rsid w:val="006A3073"/>
    <w:rsid w:val="006A335B"/>
    <w:rsid w:val="006A33B2"/>
    <w:rsid w:val="006A35A6"/>
    <w:rsid w:val="006A39C7"/>
    <w:rsid w:val="006A3CE0"/>
    <w:rsid w:val="006A3F10"/>
    <w:rsid w:val="006A4217"/>
    <w:rsid w:val="006A42E7"/>
    <w:rsid w:val="006A4344"/>
    <w:rsid w:val="006A43CD"/>
    <w:rsid w:val="006A46D1"/>
    <w:rsid w:val="006A4798"/>
    <w:rsid w:val="006A47D7"/>
    <w:rsid w:val="006A47DE"/>
    <w:rsid w:val="006A4A4F"/>
    <w:rsid w:val="006A4E5C"/>
    <w:rsid w:val="006A5014"/>
    <w:rsid w:val="006A52CA"/>
    <w:rsid w:val="006A54A7"/>
    <w:rsid w:val="006A5783"/>
    <w:rsid w:val="006A592C"/>
    <w:rsid w:val="006A5EC0"/>
    <w:rsid w:val="006A5F14"/>
    <w:rsid w:val="006A60D5"/>
    <w:rsid w:val="006A6627"/>
    <w:rsid w:val="006A6701"/>
    <w:rsid w:val="006A6711"/>
    <w:rsid w:val="006A7329"/>
    <w:rsid w:val="006A7346"/>
    <w:rsid w:val="006A7448"/>
    <w:rsid w:val="006A75F8"/>
    <w:rsid w:val="006A768D"/>
    <w:rsid w:val="006A7774"/>
    <w:rsid w:val="006A77A1"/>
    <w:rsid w:val="006A7991"/>
    <w:rsid w:val="006B00F7"/>
    <w:rsid w:val="006B0480"/>
    <w:rsid w:val="006B07BC"/>
    <w:rsid w:val="006B0A8C"/>
    <w:rsid w:val="006B0D76"/>
    <w:rsid w:val="006B1005"/>
    <w:rsid w:val="006B10BF"/>
    <w:rsid w:val="006B11D3"/>
    <w:rsid w:val="006B140A"/>
    <w:rsid w:val="006B1852"/>
    <w:rsid w:val="006B18F0"/>
    <w:rsid w:val="006B1940"/>
    <w:rsid w:val="006B1ABA"/>
    <w:rsid w:val="006B1B21"/>
    <w:rsid w:val="006B1BAD"/>
    <w:rsid w:val="006B1D84"/>
    <w:rsid w:val="006B1D94"/>
    <w:rsid w:val="006B1E22"/>
    <w:rsid w:val="006B1EC9"/>
    <w:rsid w:val="006B223E"/>
    <w:rsid w:val="006B29B5"/>
    <w:rsid w:val="006B2C91"/>
    <w:rsid w:val="006B2D18"/>
    <w:rsid w:val="006B32AD"/>
    <w:rsid w:val="006B3330"/>
    <w:rsid w:val="006B3520"/>
    <w:rsid w:val="006B3754"/>
    <w:rsid w:val="006B3873"/>
    <w:rsid w:val="006B39B4"/>
    <w:rsid w:val="006B3EA5"/>
    <w:rsid w:val="006B4153"/>
    <w:rsid w:val="006B4DAB"/>
    <w:rsid w:val="006B5362"/>
    <w:rsid w:val="006B53A7"/>
    <w:rsid w:val="006B556A"/>
    <w:rsid w:val="006B5610"/>
    <w:rsid w:val="006B58CF"/>
    <w:rsid w:val="006B58FF"/>
    <w:rsid w:val="006B5A55"/>
    <w:rsid w:val="006B5A64"/>
    <w:rsid w:val="006B5C20"/>
    <w:rsid w:val="006B5D29"/>
    <w:rsid w:val="006B5E23"/>
    <w:rsid w:val="006B6044"/>
    <w:rsid w:val="006B665A"/>
    <w:rsid w:val="006B66C3"/>
    <w:rsid w:val="006B67DB"/>
    <w:rsid w:val="006B6A41"/>
    <w:rsid w:val="006B6DE4"/>
    <w:rsid w:val="006B6F1E"/>
    <w:rsid w:val="006B7069"/>
    <w:rsid w:val="006B71CE"/>
    <w:rsid w:val="006B7447"/>
    <w:rsid w:val="006B747D"/>
    <w:rsid w:val="006B75B9"/>
    <w:rsid w:val="006B7AEF"/>
    <w:rsid w:val="006B7FCF"/>
    <w:rsid w:val="006C00F8"/>
    <w:rsid w:val="006C014A"/>
    <w:rsid w:val="006C0579"/>
    <w:rsid w:val="006C058F"/>
    <w:rsid w:val="006C0974"/>
    <w:rsid w:val="006C0C1B"/>
    <w:rsid w:val="006C1241"/>
    <w:rsid w:val="006C1324"/>
    <w:rsid w:val="006C172B"/>
    <w:rsid w:val="006C1B62"/>
    <w:rsid w:val="006C1CF6"/>
    <w:rsid w:val="006C1FE1"/>
    <w:rsid w:val="006C205B"/>
    <w:rsid w:val="006C23DA"/>
    <w:rsid w:val="006C2478"/>
    <w:rsid w:val="006C260D"/>
    <w:rsid w:val="006C2942"/>
    <w:rsid w:val="006C2B80"/>
    <w:rsid w:val="006C2BA7"/>
    <w:rsid w:val="006C2C1D"/>
    <w:rsid w:val="006C2CCE"/>
    <w:rsid w:val="006C3558"/>
    <w:rsid w:val="006C45F3"/>
    <w:rsid w:val="006C4906"/>
    <w:rsid w:val="006C49C8"/>
    <w:rsid w:val="006C4A91"/>
    <w:rsid w:val="006C4B5F"/>
    <w:rsid w:val="006C4BE2"/>
    <w:rsid w:val="006C4BE4"/>
    <w:rsid w:val="006C4F3C"/>
    <w:rsid w:val="006C504B"/>
    <w:rsid w:val="006C57D5"/>
    <w:rsid w:val="006C5C3E"/>
    <w:rsid w:val="006C6182"/>
    <w:rsid w:val="006C6387"/>
    <w:rsid w:val="006C6793"/>
    <w:rsid w:val="006C6AA6"/>
    <w:rsid w:val="006C6F40"/>
    <w:rsid w:val="006C721A"/>
    <w:rsid w:val="006C72EC"/>
    <w:rsid w:val="006C746F"/>
    <w:rsid w:val="006C7AB7"/>
    <w:rsid w:val="006D0193"/>
    <w:rsid w:val="006D01B3"/>
    <w:rsid w:val="006D024A"/>
    <w:rsid w:val="006D0255"/>
    <w:rsid w:val="006D0851"/>
    <w:rsid w:val="006D0BFA"/>
    <w:rsid w:val="006D0F04"/>
    <w:rsid w:val="006D11F9"/>
    <w:rsid w:val="006D1234"/>
    <w:rsid w:val="006D12AF"/>
    <w:rsid w:val="006D16D2"/>
    <w:rsid w:val="006D1B76"/>
    <w:rsid w:val="006D1D5A"/>
    <w:rsid w:val="006D1F02"/>
    <w:rsid w:val="006D2293"/>
    <w:rsid w:val="006D272A"/>
    <w:rsid w:val="006D279F"/>
    <w:rsid w:val="006D28B7"/>
    <w:rsid w:val="006D3271"/>
    <w:rsid w:val="006D32DF"/>
    <w:rsid w:val="006D33C5"/>
    <w:rsid w:val="006D343F"/>
    <w:rsid w:val="006D34FB"/>
    <w:rsid w:val="006D38BF"/>
    <w:rsid w:val="006D3955"/>
    <w:rsid w:val="006D3E90"/>
    <w:rsid w:val="006D3F3F"/>
    <w:rsid w:val="006D4618"/>
    <w:rsid w:val="006D4662"/>
    <w:rsid w:val="006D49E4"/>
    <w:rsid w:val="006D4E1F"/>
    <w:rsid w:val="006D4E22"/>
    <w:rsid w:val="006D4E9F"/>
    <w:rsid w:val="006D4F3C"/>
    <w:rsid w:val="006D4FC0"/>
    <w:rsid w:val="006D5028"/>
    <w:rsid w:val="006D515B"/>
    <w:rsid w:val="006D5280"/>
    <w:rsid w:val="006D54F2"/>
    <w:rsid w:val="006D594A"/>
    <w:rsid w:val="006D59DD"/>
    <w:rsid w:val="006D5A7F"/>
    <w:rsid w:val="006D5D03"/>
    <w:rsid w:val="006D5D2C"/>
    <w:rsid w:val="006D5E35"/>
    <w:rsid w:val="006D5F43"/>
    <w:rsid w:val="006D5F4E"/>
    <w:rsid w:val="006D6001"/>
    <w:rsid w:val="006D604C"/>
    <w:rsid w:val="006D6082"/>
    <w:rsid w:val="006D61FE"/>
    <w:rsid w:val="006D631F"/>
    <w:rsid w:val="006D6992"/>
    <w:rsid w:val="006D6C5E"/>
    <w:rsid w:val="006D731E"/>
    <w:rsid w:val="006D786E"/>
    <w:rsid w:val="006D7988"/>
    <w:rsid w:val="006D79D3"/>
    <w:rsid w:val="006D7D25"/>
    <w:rsid w:val="006D7F90"/>
    <w:rsid w:val="006DE06A"/>
    <w:rsid w:val="006E002F"/>
    <w:rsid w:val="006E0843"/>
    <w:rsid w:val="006E09E3"/>
    <w:rsid w:val="006E0AF9"/>
    <w:rsid w:val="006E0B19"/>
    <w:rsid w:val="006E0BAF"/>
    <w:rsid w:val="006E0BD5"/>
    <w:rsid w:val="006E11B6"/>
    <w:rsid w:val="006E11ED"/>
    <w:rsid w:val="006E150C"/>
    <w:rsid w:val="006E17A2"/>
    <w:rsid w:val="006E18BB"/>
    <w:rsid w:val="006E1AE0"/>
    <w:rsid w:val="006E1C92"/>
    <w:rsid w:val="006E2078"/>
    <w:rsid w:val="006E218A"/>
    <w:rsid w:val="006E2609"/>
    <w:rsid w:val="006E2683"/>
    <w:rsid w:val="006E2EDB"/>
    <w:rsid w:val="006E2FE2"/>
    <w:rsid w:val="006E3099"/>
    <w:rsid w:val="006E3759"/>
    <w:rsid w:val="006E39DC"/>
    <w:rsid w:val="006E3AC9"/>
    <w:rsid w:val="006E3EE6"/>
    <w:rsid w:val="006E4185"/>
    <w:rsid w:val="006E41B6"/>
    <w:rsid w:val="006E456B"/>
    <w:rsid w:val="006E4735"/>
    <w:rsid w:val="006E49EC"/>
    <w:rsid w:val="006E4B12"/>
    <w:rsid w:val="006E4C93"/>
    <w:rsid w:val="006E4E18"/>
    <w:rsid w:val="006E519A"/>
    <w:rsid w:val="006E536D"/>
    <w:rsid w:val="006E5B95"/>
    <w:rsid w:val="006E5C2D"/>
    <w:rsid w:val="006E5D8E"/>
    <w:rsid w:val="006E6052"/>
    <w:rsid w:val="006E66B1"/>
    <w:rsid w:val="006E6A5B"/>
    <w:rsid w:val="006E709C"/>
    <w:rsid w:val="006E70F9"/>
    <w:rsid w:val="006E7207"/>
    <w:rsid w:val="006E7302"/>
    <w:rsid w:val="006E77D4"/>
    <w:rsid w:val="006E79A0"/>
    <w:rsid w:val="006E7F2D"/>
    <w:rsid w:val="006F0C61"/>
    <w:rsid w:val="006F0D06"/>
    <w:rsid w:val="006F0E71"/>
    <w:rsid w:val="006F0F18"/>
    <w:rsid w:val="006F1394"/>
    <w:rsid w:val="006F139B"/>
    <w:rsid w:val="006F161E"/>
    <w:rsid w:val="006F17AF"/>
    <w:rsid w:val="006F1851"/>
    <w:rsid w:val="006F18D5"/>
    <w:rsid w:val="006F1BB3"/>
    <w:rsid w:val="006F1D9D"/>
    <w:rsid w:val="006F21CC"/>
    <w:rsid w:val="006F21F0"/>
    <w:rsid w:val="006F267C"/>
    <w:rsid w:val="006F2CC2"/>
    <w:rsid w:val="006F3214"/>
    <w:rsid w:val="006F33AD"/>
    <w:rsid w:val="006F3408"/>
    <w:rsid w:val="006F350A"/>
    <w:rsid w:val="006F3C94"/>
    <w:rsid w:val="006F491E"/>
    <w:rsid w:val="006F499E"/>
    <w:rsid w:val="006F4F3C"/>
    <w:rsid w:val="006F57A6"/>
    <w:rsid w:val="006F5883"/>
    <w:rsid w:val="006F5A8C"/>
    <w:rsid w:val="006F6B2F"/>
    <w:rsid w:val="006F6D27"/>
    <w:rsid w:val="006F7281"/>
    <w:rsid w:val="006F76DD"/>
    <w:rsid w:val="006F7A98"/>
    <w:rsid w:val="006F7B93"/>
    <w:rsid w:val="007006C4"/>
    <w:rsid w:val="00700B38"/>
    <w:rsid w:val="00700FE7"/>
    <w:rsid w:val="0070166E"/>
    <w:rsid w:val="00701980"/>
    <w:rsid w:val="00701FD7"/>
    <w:rsid w:val="007023F9"/>
    <w:rsid w:val="007026B4"/>
    <w:rsid w:val="007026CB"/>
    <w:rsid w:val="0070273F"/>
    <w:rsid w:val="00703418"/>
    <w:rsid w:val="00703436"/>
    <w:rsid w:val="00704188"/>
    <w:rsid w:val="007042C0"/>
    <w:rsid w:val="0070448F"/>
    <w:rsid w:val="0070459F"/>
    <w:rsid w:val="00704A08"/>
    <w:rsid w:val="007055EA"/>
    <w:rsid w:val="007059D2"/>
    <w:rsid w:val="00705A19"/>
    <w:rsid w:val="00706035"/>
    <w:rsid w:val="007060E5"/>
    <w:rsid w:val="00706198"/>
    <w:rsid w:val="007061AA"/>
    <w:rsid w:val="00706369"/>
    <w:rsid w:val="007063D3"/>
    <w:rsid w:val="00706444"/>
    <w:rsid w:val="00706496"/>
    <w:rsid w:val="007067B0"/>
    <w:rsid w:val="007069A5"/>
    <w:rsid w:val="007069C5"/>
    <w:rsid w:val="00706ECB"/>
    <w:rsid w:val="00706EE2"/>
    <w:rsid w:val="00707191"/>
    <w:rsid w:val="00707279"/>
    <w:rsid w:val="0070728E"/>
    <w:rsid w:val="00707818"/>
    <w:rsid w:val="00707DFC"/>
    <w:rsid w:val="00710359"/>
    <w:rsid w:val="00710485"/>
    <w:rsid w:val="00710788"/>
    <w:rsid w:val="00710978"/>
    <w:rsid w:val="007109D1"/>
    <w:rsid w:val="007109D8"/>
    <w:rsid w:val="00710D1B"/>
    <w:rsid w:val="00710E9C"/>
    <w:rsid w:val="00710FD9"/>
    <w:rsid w:val="00711185"/>
    <w:rsid w:val="007113B4"/>
    <w:rsid w:val="007114AA"/>
    <w:rsid w:val="007115E8"/>
    <w:rsid w:val="00711980"/>
    <w:rsid w:val="00711C82"/>
    <w:rsid w:val="00711EA6"/>
    <w:rsid w:val="0071217E"/>
    <w:rsid w:val="00712482"/>
    <w:rsid w:val="0071259E"/>
    <w:rsid w:val="00712810"/>
    <w:rsid w:val="00712997"/>
    <w:rsid w:val="007129BD"/>
    <w:rsid w:val="00712C73"/>
    <w:rsid w:val="00712FD2"/>
    <w:rsid w:val="007131DD"/>
    <w:rsid w:val="0071362E"/>
    <w:rsid w:val="00713899"/>
    <w:rsid w:val="00713E6E"/>
    <w:rsid w:val="007143D6"/>
    <w:rsid w:val="0071463C"/>
    <w:rsid w:val="0071475C"/>
    <w:rsid w:val="00714815"/>
    <w:rsid w:val="00714A66"/>
    <w:rsid w:val="00714C12"/>
    <w:rsid w:val="00714E0D"/>
    <w:rsid w:val="00714FB4"/>
    <w:rsid w:val="00715033"/>
    <w:rsid w:val="00715461"/>
    <w:rsid w:val="00715C0C"/>
    <w:rsid w:val="00715D52"/>
    <w:rsid w:val="00715D8A"/>
    <w:rsid w:val="00715F5D"/>
    <w:rsid w:val="00716069"/>
    <w:rsid w:val="007160EA"/>
    <w:rsid w:val="0071621F"/>
    <w:rsid w:val="007165AA"/>
    <w:rsid w:val="007166BD"/>
    <w:rsid w:val="00716816"/>
    <w:rsid w:val="00716953"/>
    <w:rsid w:val="00716C9F"/>
    <w:rsid w:val="00716FDF"/>
    <w:rsid w:val="0071781C"/>
    <w:rsid w:val="00717AAB"/>
    <w:rsid w:val="00717ADA"/>
    <w:rsid w:val="00717B7A"/>
    <w:rsid w:val="00717C6E"/>
    <w:rsid w:val="00717C8E"/>
    <w:rsid w:val="00717D1B"/>
    <w:rsid w:val="00717E06"/>
    <w:rsid w:val="0072057E"/>
    <w:rsid w:val="007207BA"/>
    <w:rsid w:val="0072085E"/>
    <w:rsid w:val="00720E59"/>
    <w:rsid w:val="00720EBB"/>
    <w:rsid w:val="00720F20"/>
    <w:rsid w:val="007213CF"/>
    <w:rsid w:val="007213E9"/>
    <w:rsid w:val="00721551"/>
    <w:rsid w:val="007215E2"/>
    <w:rsid w:val="00721678"/>
    <w:rsid w:val="007219CC"/>
    <w:rsid w:val="00721AC0"/>
    <w:rsid w:val="00721B32"/>
    <w:rsid w:val="00721D67"/>
    <w:rsid w:val="00721DE9"/>
    <w:rsid w:val="00722107"/>
    <w:rsid w:val="007223BB"/>
    <w:rsid w:val="00722446"/>
    <w:rsid w:val="0072251C"/>
    <w:rsid w:val="0072260A"/>
    <w:rsid w:val="00722687"/>
    <w:rsid w:val="0072289E"/>
    <w:rsid w:val="0072352F"/>
    <w:rsid w:val="0072368A"/>
    <w:rsid w:val="00723CE0"/>
    <w:rsid w:val="00723E03"/>
    <w:rsid w:val="00723E1E"/>
    <w:rsid w:val="00723FE0"/>
    <w:rsid w:val="0072400A"/>
    <w:rsid w:val="007247A4"/>
    <w:rsid w:val="00724A93"/>
    <w:rsid w:val="00724CDA"/>
    <w:rsid w:val="007251B6"/>
    <w:rsid w:val="00725276"/>
    <w:rsid w:val="0072551A"/>
    <w:rsid w:val="00725B65"/>
    <w:rsid w:val="00725BAF"/>
    <w:rsid w:val="00725CD1"/>
    <w:rsid w:val="007260F4"/>
    <w:rsid w:val="00726545"/>
    <w:rsid w:val="00726771"/>
    <w:rsid w:val="0072684C"/>
    <w:rsid w:val="0072685C"/>
    <w:rsid w:val="00726881"/>
    <w:rsid w:val="0072693C"/>
    <w:rsid w:val="00726CDB"/>
    <w:rsid w:val="00727381"/>
    <w:rsid w:val="00727A20"/>
    <w:rsid w:val="00727A66"/>
    <w:rsid w:val="00727C95"/>
    <w:rsid w:val="0073046D"/>
    <w:rsid w:val="007305B2"/>
    <w:rsid w:val="007308D1"/>
    <w:rsid w:val="00730D7F"/>
    <w:rsid w:val="00730E18"/>
    <w:rsid w:val="0073123D"/>
    <w:rsid w:val="00731423"/>
    <w:rsid w:val="00731460"/>
    <w:rsid w:val="00731781"/>
    <w:rsid w:val="007317AD"/>
    <w:rsid w:val="007317CA"/>
    <w:rsid w:val="00731A97"/>
    <w:rsid w:val="00731E59"/>
    <w:rsid w:val="007321E7"/>
    <w:rsid w:val="007322A8"/>
    <w:rsid w:val="0073269E"/>
    <w:rsid w:val="00732A02"/>
    <w:rsid w:val="00732D96"/>
    <w:rsid w:val="00732EB0"/>
    <w:rsid w:val="00732FFE"/>
    <w:rsid w:val="0073319C"/>
    <w:rsid w:val="007335A5"/>
    <w:rsid w:val="007335AB"/>
    <w:rsid w:val="0073396F"/>
    <w:rsid w:val="00733AC0"/>
    <w:rsid w:val="00733ED3"/>
    <w:rsid w:val="00734064"/>
    <w:rsid w:val="007340D8"/>
    <w:rsid w:val="007341D6"/>
    <w:rsid w:val="00734366"/>
    <w:rsid w:val="00734A7C"/>
    <w:rsid w:val="00734AF8"/>
    <w:rsid w:val="00735254"/>
    <w:rsid w:val="0073531E"/>
    <w:rsid w:val="00735640"/>
    <w:rsid w:val="00735846"/>
    <w:rsid w:val="00735981"/>
    <w:rsid w:val="007359E0"/>
    <w:rsid w:val="00735AF8"/>
    <w:rsid w:val="00735E85"/>
    <w:rsid w:val="0073604F"/>
    <w:rsid w:val="007360DD"/>
    <w:rsid w:val="007362C9"/>
    <w:rsid w:val="0073634D"/>
    <w:rsid w:val="00736451"/>
    <w:rsid w:val="0073679A"/>
    <w:rsid w:val="00736A6D"/>
    <w:rsid w:val="00736D4B"/>
    <w:rsid w:val="00736EAE"/>
    <w:rsid w:val="00736F3A"/>
    <w:rsid w:val="007372BF"/>
    <w:rsid w:val="007372C5"/>
    <w:rsid w:val="00737516"/>
    <w:rsid w:val="00737612"/>
    <w:rsid w:val="00737E64"/>
    <w:rsid w:val="00737FC7"/>
    <w:rsid w:val="007401C1"/>
    <w:rsid w:val="0074029C"/>
    <w:rsid w:val="0074030E"/>
    <w:rsid w:val="00740658"/>
    <w:rsid w:val="007406C2"/>
    <w:rsid w:val="007408F2"/>
    <w:rsid w:val="00740C86"/>
    <w:rsid w:val="00740FB3"/>
    <w:rsid w:val="00741622"/>
    <w:rsid w:val="007420BC"/>
    <w:rsid w:val="00742183"/>
    <w:rsid w:val="0074271F"/>
    <w:rsid w:val="007427DD"/>
    <w:rsid w:val="00742888"/>
    <w:rsid w:val="007428D2"/>
    <w:rsid w:val="00742937"/>
    <w:rsid w:val="00742E3C"/>
    <w:rsid w:val="00742E6F"/>
    <w:rsid w:val="007431E2"/>
    <w:rsid w:val="00743758"/>
    <w:rsid w:val="007438CB"/>
    <w:rsid w:val="007439A7"/>
    <w:rsid w:val="00743A41"/>
    <w:rsid w:val="00743B80"/>
    <w:rsid w:val="00743E9D"/>
    <w:rsid w:val="00743F3B"/>
    <w:rsid w:val="00744331"/>
    <w:rsid w:val="007448EE"/>
    <w:rsid w:val="00744CAF"/>
    <w:rsid w:val="00744D3C"/>
    <w:rsid w:val="00744F07"/>
    <w:rsid w:val="00744FAB"/>
    <w:rsid w:val="0074564A"/>
    <w:rsid w:val="0074577E"/>
    <w:rsid w:val="0074677A"/>
    <w:rsid w:val="00747380"/>
    <w:rsid w:val="007475CE"/>
    <w:rsid w:val="007477C8"/>
    <w:rsid w:val="00747936"/>
    <w:rsid w:val="00747944"/>
    <w:rsid w:val="00747A02"/>
    <w:rsid w:val="00747A12"/>
    <w:rsid w:val="00747B4B"/>
    <w:rsid w:val="00747C80"/>
    <w:rsid w:val="00747CE4"/>
    <w:rsid w:val="00747D5A"/>
    <w:rsid w:val="00750218"/>
    <w:rsid w:val="007503C5"/>
    <w:rsid w:val="00750420"/>
    <w:rsid w:val="00750704"/>
    <w:rsid w:val="0075082C"/>
    <w:rsid w:val="007509A6"/>
    <w:rsid w:val="00750B5A"/>
    <w:rsid w:val="00750EA8"/>
    <w:rsid w:val="00751633"/>
    <w:rsid w:val="00751757"/>
    <w:rsid w:val="007517A1"/>
    <w:rsid w:val="007518E5"/>
    <w:rsid w:val="00751BE6"/>
    <w:rsid w:val="00751C6B"/>
    <w:rsid w:val="00751D01"/>
    <w:rsid w:val="00751F15"/>
    <w:rsid w:val="00751F64"/>
    <w:rsid w:val="007520D3"/>
    <w:rsid w:val="00752243"/>
    <w:rsid w:val="0075242A"/>
    <w:rsid w:val="007528E9"/>
    <w:rsid w:val="007528F4"/>
    <w:rsid w:val="00752C90"/>
    <w:rsid w:val="0075313E"/>
    <w:rsid w:val="007533F4"/>
    <w:rsid w:val="007534BA"/>
    <w:rsid w:val="00753597"/>
    <w:rsid w:val="0075376E"/>
    <w:rsid w:val="00753820"/>
    <w:rsid w:val="007538F0"/>
    <w:rsid w:val="00753C2B"/>
    <w:rsid w:val="00753F2C"/>
    <w:rsid w:val="0075406C"/>
    <w:rsid w:val="0075412B"/>
    <w:rsid w:val="00754184"/>
    <w:rsid w:val="007541ED"/>
    <w:rsid w:val="007547CE"/>
    <w:rsid w:val="0075496D"/>
    <w:rsid w:val="00754CCF"/>
    <w:rsid w:val="00754E85"/>
    <w:rsid w:val="00754EA7"/>
    <w:rsid w:val="00754F63"/>
    <w:rsid w:val="007552F3"/>
    <w:rsid w:val="007553BE"/>
    <w:rsid w:val="007556C5"/>
    <w:rsid w:val="007558FA"/>
    <w:rsid w:val="007560BD"/>
    <w:rsid w:val="007564A5"/>
    <w:rsid w:val="00756580"/>
    <w:rsid w:val="00756AD4"/>
    <w:rsid w:val="00756D1A"/>
    <w:rsid w:val="00756E2F"/>
    <w:rsid w:val="00757310"/>
    <w:rsid w:val="00757547"/>
    <w:rsid w:val="007578BB"/>
    <w:rsid w:val="00757A05"/>
    <w:rsid w:val="00760135"/>
    <w:rsid w:val="00760152"/>
    <w:rsid w:val="00760494"/>
    <w:rsid w:val="00760531"/>
    <w:rsid w:val="00760DD9"/>
    <w:rsid w:val="00760DF7"/>
    <w:rsid w:val="00761365"/>
    <w:rsid w:val="007616F0"/>
    <w:rsid w:val="00761933"/>
    <w:rsid w:val="00761BC1"/>
    <w:rsid w:val="00762373"/>
    <w:rsid w:val="00762501"/>
    <w:rsid w:val="007626D0"/>
    <w:rsid w:val="00762B42"/>
    <w:rsid w:val="00762D82"/>
    <w:rsid w:val="00763268"/>
    <w:rsid w:val="00763548"/>
    <w:rsid w:val="0076400F"/>
    <w:rsid w:val="0076414C"/>
    <w:rsid w:val="0076446C"/>
    <w:rsid w:val="00764765"/>
    <w:rsid w:val="00764848"/>
    <w:rsid w:val="00764BFC"/>
    <w:rsid w:val="00764CAF"/>
    <w:rsid w:val="00764CD8"/>
    <w:rsid w:val="00765398"/>
    <w:rsid w:val="0076553C"/>
    <w:rsid w:val="007656CF"/>
    <w:rsid w:val="00765F7C"/>
    <w:rsid w:val="007667D3"/>
    <w:rsid w:val="00766883"/>
    <w:rsid w:val="0076690E"/>
    <w:rsid w:val="00766940"/>
    <w:rsid w:val="00766962"/>
    <w:rsid w:val="00766976"/>
    <w:rsid w:val="0076699D"/>
    <w:rsid w:val="007669BE"/>
    <w:rsid w:val="00766B0A"/>
    <w:rsid w:val="00766F78"/>
    <w:rsid w:val="0076722C"/>
    <w:rsid w:val="007672B5"/>
    <w:rsid w:val="007674D2"/>
    <w:rsid w:val="0076778F"/>
    <w:rsid w:val="00767AC9"/>
    <w:rsid w:val="00767B0D"/>
    <w:rsid w:val="0076B697"/>
    <w:rsid w:val="0077063D"/>
    <w:rsid w:val="00770704"/>
    <w:rsid w:val="00770966"/>
    <w:rsid w:val="00770A24"/>
    <w:rsid w:val="00770CFC"/>
    <w:rsid w:val="00770E7D"/>
    <w:rsid w:val="00771216"/>
    <w:rsid w:val="007714F6"/>
    <w:rsid w:val="00771616"/>
    <w:rsid w:val="00771C41"/>
    <w:rsid w:val="00772031"/>
    <w:rsid w:val="00772B64"/>
    <w:rsid w:val="00772C70"/>
    <w:rsid w:val="00772CDE"/>
    <w:rsid w:val="00772D45"/>
    <w:rsid w:val="00772EC4"/>
    <w:rsid w:val="00773221"/>
    <w:rsid w:val="00773304"/>
    <w:rsid w:val="00773B8D"/>
    <w:rsid w:val="00773C67"/>
    <w:rsid w:val="00773DCB"/>
    <w:rsid w:val="007742A4"/>
    <w:rsid w:val="007743E7"/>
    <w:rsid w:val="0077453F"/>
    <w:rsid w:val="007746D6"/>
    <w:rsid w:val="007749AF"/>
    <w:rsid w:val="00774D80"/>
    <w:rsid w:val="007750DB"/>
    <w:rsid w:val="0077548D"/>
    <w:rsid w:val="007755F4"/>
    <w:rsid w:val="00775760"/>
    <w:rsid w:val="007758E5"/>
    <w:rsid w:val="00775BD9"/>
    <w:rsid w:val="00776C20"/>
    <w:rsid w:val="00776D40"/>
    <w:rsid w:val="00777450"/>
    <w:rsid w:val="0077759C"/>
    <w:rsid w:val="0078030A"/>
    <w:rsid w:val="0078078A"/>
    <w:rsid w:val="0078079F"/>
    <w:rsid w:val="007808C6"/>
    <w:rsid w:val="00780B1D"/>
    <w:rsid w:val="0078176A"/>
    <w:rsid w:val="00781777"/>
    <w:rsid w:val="00781857"/>
    <w:rsid w:val="00781882"/>
    <w:rsid w:val="00781A22"/>
    <w:rsid w:val="00781BCF"/>
    <w:rsid w:val="00781DEF"/>
    <w:rsid w:val="00781E5E"/>
    <w:rsid w:val="00781EC7"/>
    <w:rsid w:val="00781F4B"/>
    <w:rsid w:val="0078218C"/>
    <w:rsid w:val="007822D4"/>
    <w:rsid w:val="00782384"/>
    <w:rsid w:val="00782B6B"/>
    <w:rsid w:val="00782C17"/>
    <w:rsid w:val="0078334E"/>
    <w:rsid w:val="00783A4F"/>
    <w:rsid w:val="00783D86"/>
    <w:rsid w:val="00783EC0"/>
    <w:rsid w:val="0078416C"/>
    <w:rsid w:val="0078419B"/>
    <w:rsid w:val="007842F9"/>
    <w:rsid w:val="007844CB"/>
    <w:rsid w:val="00784624"/>
    <w:rsid w:val="007847FA"/>
    <w:rsid w:val="00784D80"/>
    <w:rsid w:val="00784F8D"/>
    <w:rsid w:val="00785118"/>
    <w:rsid w:val="00785424"/>
    <w:rsid w:val="0078548A"/>
    <w:rsid w:val="007856DC"/>
    <w:rsid w:val="007859D4"/>
    <w:rsid w:val="00785E70"/>
    <w:rsid w:val="00785F80"/>
    <w:rsid w:val="00785FED"/>
    <w:rsid w:val="00786059"/>
    <w:rsid w:val="007861D8"/>
    <w:rsid w:val="00786243"/>
    <w:rsid w:val="00786AFA"/>
    <w:rsid w:val="0078721A"/>
    <w:rsid w:val="007872C2"/>
    <w:rsid w:val="00787332"/>
    <w:rsid w:val="0078766E"/>
    <w:rsid w:val="00787740"/>
    <w:rsid w:val="007878C3"/>
    <w:rsid w:val="00787941"/>
    <w:rsid w:val="00787978"/>
    <w:rsid w:val="00787A6F"/>
    <w:rsid w:val="00790274"/>
    <w:rsid w:val="00790281"/>
    <w:rsid w:val="007902F4"/>
    <w:rsid w:val="0079039F"/>
    <w:rsid w:val="007903CA"/>
    <w:rsid w:val="00790465"/>
    <w:rsid w:val="007908D9"/>
    <w:rsid w:val="0079090A"/>
    <w:rsid w:val="00790910"/>
    <w:rsid w:val="00790C20"/>
    <w:rsid w:val="00790DD3"/>
    <w:rsid w:val="00790E51"/>
    <w:rsid w:val="00790F02"/>
    <w:rsid w:val="00791124"/>
    <w:rsid w:val="007912F0"/>
    <w:rsid w:val="00791569"/>
    <w:rsid w:val="00791DE1"/>
    <w:rsid w:val="00791E06"/>
    <w:rsid w:val="0079203D"/>
    <w:rsid w:val="007920DF"/>
    <w:rsid w:val="0079251B"/>
    <w:rsid w:val="00792812"/>
    <w:rsid w:val="00792A40"/>
    <w:rsid w:val="00792E46"/>
    <w:rsid w:val="0079301A"/>
    <w:rsid w:val="007934EC"/>
    <w:rsid w:val="0079375E"/>
    <w:rsid w:val="00793961"/>
    <w:rsid w:val="00793F23"/>
    <w:rsid w:val="007947DE"/>
    <w:rsid w:val="00794BF1"/>
    <w:rsid w:val="00794D0B"/>
    <w:rsid w:val="00795041"/>
    <w:rsid w:val="0079515E"/>
    <w:rsid w:val="007951AC"/>
    <w:rsid w:val="00795215"/>
    <w:rsid w:val="00795607"/>
    <w:rsid w:val="0079572D"/>
    <w:rsid w:val="0079581F"/>
    <w:rsid w:val="007959B5"/>
    <w:rsid w:val="00795B18"/>
    <w:rsid w:val="00795BAC"/>
    <w:rsid w:val="00795F02"/>
    <w:rsid w:val="00796134"/>
    <w:rsid w:val="00796139"/>
    <w:rsid w:val="00796646"/>
    <w:rsid w:val="00796795"/>
    <w:rsid w:val="00796ACD"/>
    <w:rsid w:val="00796D0E"/>
    <w:rsid w:val="00796D55"/>
    <w:rsid w:val="00796D80"/>
    <w:rsid w:val="00796EA4"/>
    <w:rsid w:val="0079704A"/>
    <w:rsid w:val="007972C3"/>
    <w:rsid w:val="007974A0"/>
    <w:rsid w:val="00797AEC"/>
    <w:rsid w:val="00797BB2"/>
    <w:rsid w:val="00797D36"/>
    <w:rsid w:val="00797DB9"/>
    <w:rsid w:val="00797FE9"/>
    <w:rsid w:val="007A03CA"/>
    <w:rsid w:val="007A047A"/>
    <w:rsid w:val="007A0667"/>
    <w:rsid w:val="007A0693"/>
    <w:rsid w:val="007A075C"/>
    <w:rsid w:val="007A0C51"/>
    <w:rsid w:val="007A0C94"/>
    <w:rsid w:val="007A0E1F"/>
    <w:rsid w:val="007A15A6"/>
    <w:rsid w:val="007A15B8"/>
    <w:rsid w:val="007A16DA"/>
    <w:rsid w:val="007A1870"/>
    <w:rsid w:val="007A1AEB"/>
    <w:rsid w:val="007A225D"/>
    <w:rsid w:val="007A2264"/>
    <w:rsid w:val="007A2351"/>
    <w:rsid w:val="007A2499"/>
    <w:rsid w:val="007A2574"/>
    <w:rsid w:val="007A2575"/>
    <w:rsid w:val="007A259F"/>
    <w:rsid w:val="007A2604"/>
    <w:rsid w:val="007A2897"/>
    <w:rsid w:val="007A28C2"/>
    <w:rsid w:val="007A2961"/>
    <w:rsid w:val="007A2B15"/>
    <w:rsid w:val="007A30F5"/>
    <w:rsid w:val="007A31E2"/>
    <w:rsid w:val="007A321D"/>
    <w:rsid w:val="007A328A"/>
    <w:rsid w:val="007A3352"/>
    <w:rsid w:val="007A37EA"/>
    <w:rsid w:val="007A39A2"/>
    <w:rsid w:val="007A3A8C"/>
    <w:rsid w:val="007A3D96"/>
    <w:rsid w:val="007A3F3A"/>
    <w:rsid w:val="007A3F65"/>
    <w:rsid w:val="007A418D"/>
    <w:rsid w:val="007A4216"/>
    <w:rsid w:val="007A428D"/>
    <w:rsid w:val="007A446F"/>
    <w:rsid w:val="007A4500"/>
    <w:rsid w:val="007A4626"/>
    <w:rsid w:val="007A495A"/>
    <w:rsid w:val="007A49C8"/>
    <w:rsid w:val="007A4DBD"/>
    <w:rsid w:val="007A4EC3"/>
    <w:rsid w:val="007A512C"/>
    <w:rsid w:val="007A5372"/>
    <w:rsid w:val="007A55D8"/>
    <w:rsid w:val="007A5C99"/>
    <w:rsid w:val="007A5DFB"/>
    <w:rsid w:val="007A5FB6"/>
    <w:rsid w:val="007A609D"/>
    <w:rsid w:val="007A61CD"/>
    <w:rsid w:val="007A6254"/>
    <w:rsid w:val="007A640F"/>
    <w:rsid w:val="007A6511"/>
    <w:rsid w:val="007A6A2F"/>
    <w:rsid w:val="007A6A73"/>
    <w:rsid w:val="007A6BFF"/>
    <w:rsid w:val="007A6E1E"/>
    <w:rsid w:val="007A6F6F"/>
    <w:rsid w:val="007A6FD2"/>
    <w:rsid w:val="007A7451"/>
    <w:rsid w:val="007A749E"/>
    <w:rsid w:val="007A7B09"/>
    <w:rsid w:val="007A7B39"/>
    <w:rsid w:val="007A7FC0"/>
    <w:rsid w:val="007B0181"/>
    <w:rsid w:val="007B01C8"/>
    <w:rsid w:val="007B0418"/>
    <w:rsid w:val="007B08C3"/>
    <w:rsid w:val="007B0B94"/>
    <w:rsid w:val="007B0D31"/>
    <w:rsid w:val="007B0E0C"/>
    <w:rsid w:val="007B0F3E"/>
    <w:rsid w:val="007B1597"/>
    <w:rsid w:val="007B1720"/>
    <w:rsid w:val="007B184D"/>
    <w:rsid w:val="007B1858"/>
    <w:rsid w:val="007B1F48"/>
    <w:rsid w:val="007B20D7"/>
    <w:rsid w:val="007B2150"/>
    <w:rsid w:val="007B2223"/>
    <w:rsid w:val="007B23AF"/>
    <w:rsid w:val="007B26F5"/>
    <w:rsid w:val="007B2AF8"/>
    <w:rsid w:val="007B2D24"/>
    <w:rsid w:val="007B2F8F"/>
    <w:rsid w:val="007B2FEB"/>
    <w:rsid w:val="007B38FB"/>
    <w:rsid w:val="007B3AB2"/>
    <w:rsid w:val="007B3AE6"/>
    <w:rsid w:val="007B3E2C"/>
    <w:rsid w:val="007B3F85"/>
    <w:rsid w:val="007B3FFD"/>
    <w:rsid w:val="007B41C9"/>
    <w:rsid w:val="007B4337"/>
    <w:rsid w:val="007B4749"/>
    <w:rsid w:val="007B47B2"/>
    <w:rsid w:val="007B4B9E"/>
    <w:rsid w:val="007B50CA"/>
    <w:rsid w:val="007B51BA"/>
    <w:rsid w:val="007B520B"/>
    <w:rsid w:val="007B559F"/>
    <w:rsid w:val="007B55B4"/>
    <w:rsid w:val="007B560D"/>
    <w:rsid w:val="007B56E5"/>
    <w:rsid w:val="007B66C3"/>
    <w:rsid w:val="007B6D93"/>
    <w:rsid w:val="007B6FFE"/>
    <w:rsid w:val="007B74BA"/>
    <w:rsid w:val="007B763B"/>
    <w:rsid w:val="007B768E"/>
    <w:rsid w:val="007B784D"/>
    <w:rsid w:val="007C0006"/>
    <w:rsid w:val="007C0343"/>
    <w:rsid w:val="007C049B"/>
    <w:rsid w:val="007C075F"/>
    <w:rsid w:val="007C0780"/>
    <w:rsid w:val="007C0834"/>
    <w:rsid w:val="007C09E0"/>
    <w:rsid w:val="007C0B03"/>
    <w:rsid w:val="007C0B1A"/>
    <w:rsid w:val="007C0B33"/>
    <w:rsid w:val="007C0BC0"/>
    <w:rsid w:val="007C0D0E"/>
    <w:rsid w:val="007C14B9"/>
    <w:rsid w:val="007C1AB7"/>
    <w:rsid w:val="007C1CB4"/>
    <w:rsid w:val="007C1ED7"/>
    <w:rsid w:val="007C21C7"/>
    <w:rsid w:val="007C220B"/>
    <w:rsid w:val="007C258F"/>
    <w:rsid w:val="007C25CA"/>
    <w:rsid w:val="007C26E5"/>
    <w:rsid w:val="007C27BE"/>
    <w:rsid w:val="007C2D1B"/>
    <w:rsid w:val="007C3F44"/>
    <w:rsid w:val="007C4080"/>
    <w:rsid w:val="007C40F1"/>
    <w:rsid w:val="007C417D"/>
    <w:rsid w:val="007C4468"/>
    <w:rsid w:val="007C44AD"/>
    <w:rsid w:val="007C44C9"/>
    <w:rsid w:val="007C46B2"/>
    <w:rsid w:val="007C4944"/>
    <w:rsid w:val="007C4A05"/>
    <w:rsid w:val="007C4A48"/>
    <w:rsid w:val="007C50FE"/>
    <w:rsid w:val="007C5313"/>
    <w:rsid w:val="007C57CF"/>
    <w:rsid w:val="007C6393"/>
    <w:rsid w:val="007C6AAA"/>
    <w:rsid w:val="007C6B1D"/>
    <w:rsid w:val="007C6CAB"/>
    <w:rsid w:val="007C6CDF"/>
    <w:rsid w:val="007C6CF1"/>
    <w:rsid w:val="007C720A"/>
    <w:rsid w:val="007C7499"/>
    <w:rsid w:val="007C7588"/>
    <w:rsid w:val="007C7608"/>
    <w:rsid w:val="007C786D"/>
    <w:rsid w:val="007C79CC"/>
    <w:rsid w:val="007C7A9B"/>
    <w:rsid w:val="007C7DFB"/>
    <w:rsid w:val="007C7EB1"/>
    <w:rsid w:val="007D003D"/>
    <w:rsid w:val="007D0228"/>
    <w:rsid w:val="007D0311"/>
    <w:rsid w:val="007D04BE"/>
    <w:rsid w:val="007D06AC"/>
    <w:rsid w:val="007D06F6"/>
    <w:rsid w:val="007D083D"/>
    <w:rsid w:val="007D086E"/>
    <w:rsid w:val="007D0EB7"/>
    <w:rsid w:val="007D0F34"/>
    <w:rsid w:val="007D1092"/>
    <w:rsid w:val="007D118C"/>
    <w:rsid w:val="007D12C3"/>
    <w:rsid w:val="007D144E"/>
    <w:rsid w:val="007D146F"/>
    <w:rsid w:val="007D1545"/>
    <w:rsid w:val="007D159C"/>
    <w:rsid w:val="007D1795"/>
    <w:rsid w:val="007D1924"/>
    <w:rsid w:val="007D1B29"/>
    <w:rsid w:val="007D1DC2"/>
    <w:rsid w:val="007D1E44"/>
    <w:rsid w:val="007D2342"/>
    <w:rsid w:val="007D25DE"/>
    <w:rsid w:val="007D2621"/>
    <w:rsid w:val="007D278B"/>
    <w:rsid w:val="007D2A3E"/>
    <w:rsid w:val="007D2F0D"/>
    <w:rsid w:val="007D304D"/>
    <w:rsid w:val="007D313D"/>
    <w:rsid w:val="007D3B43"/>
    <w:rsid w:val="007D3BFB"/>
    <w:rsid w:val="007D3C2B"/>
    <w:rsid w:val="007D3D9F"/>
    <w:rsid w:val="007D3DB9"/>
    <w:rsid w:val="007D41D0"/>
    <w:rsid w:val="007D47D6"/>
    <w:rsid w:val="007D4827"/>
    <w:rsid w:val="007D49CE"/>
    <w:rsid w:val="007D4A85"/>
    <w:rsid w:val="007D4AAC"/>
    <w:rsid w:val="007D4FF4"/>
    <w:rsid w:val="007D56B6"/>
    <w:rsid w:val="007D5824"/>
    <w:rsid w:val="007D5908"/>
    <w:rsid w:val="007D59B3"/>
    <w:rsid w:val="007D5CA8"/>
    <w:rsid w:val="007D5FD4"/>
    <w:rsid w:val="007D65B9"/>
    <w:rsid w:val="007D6695"/>
    <w:rsid w:val="007D67F3"/>
    <w:rsid w:val="007D684A"/>
    <w:rsid w:val="007D6B50"/>
    <w:rsid w:val="007D6B9E"/>
    <w:rsid w:val="007D714A"/>
    <w:rsid w:val="007D7315"/>
    <w:rsid w:val="007D7ADB"/>
    <w:rsid w:val="007D7B62"/>
    <w:rsid w:val="007D7BE9"/>
    <w:rsid w:val="007D7DA3"/>
    <w:rsid w:val="007D7DF7"/>
    <w:rsid w:val="007D7E5E"/>
    <w:rsid w:val="007E009B"/>
    <w:rsid w:val="007E015A"/>
    <w:rsid w:val="007E0340"/>
    <w:rsid w:val="007E0353"/>
    <w:rsid w:val="007E055A"/>
    <w:rsid w:val="007E0953"/>
    <w:rsid w:val="007E0C92"/>
    <w:rsid w:val="007E0CAF"/>
    <w:rsid w:val="007E0D39"/>
    <w:rsid w:val="007E0ED3"/>
    <w:rsid w:val="007E10FD"/>
    <w:rsid w:val="007E184A"/>
    <w:rsid w:val="007E1B73"/>
    <w:rsid w:val="007E1CF0"/>
    <w:rsid w:val="007E1D24"/>
    <w:rsid w:val="007E24FE"/>
    <w:rsid w:val="007E278D"/>
    <w:rsid w:val="007E28AB"/>
    <w:rsid w:val="007E2953"/>
    <w:rsid w:val="007E2A64"/>
    <w:rsid w:val="007E2DE9"/>
    <w:rsid w:val="007E2F09"/>
    <w:rsid w:val="007E3543"/>
    <w:rsid w:val="007E3760"/>
    <w:rsid w:val="007E3916"/>
    <w:rsid w:val="007E3939"/>
    <w:rsid w:val="007E3C5A"/>
    <w:rsid w:val="007E3C82"/>
    <w:rsid w:val="007E4918"/>
    <w:rsid w:val="007E4A3E"/>
    <w:rsid w:val="007E4D2C"/>
    <w:rsid w:val="007E502E"/>
    <w:rsid w:val="007E5351"/>
    <w:rsid w:val="007E56A2"/>
    <w:rsid w:val="007E58EB"/>
    <w:rsid w:val="007E5B42"/>
    <w:rsid w:val="007E611F"/>
    <w:rsid w:val="007E61D5"/>
    <w:rsid w:val="007E62DF"/>
    <w:rsid w:val="007E6CD9"/>
    <w:rsid w:val="007E6CFF"/>
    <w:rsid w:val="007E6E4D"/>
    <w:rsid w:val="007E6F77"/>
    <w:rsid w:val="007E6FCD"/>
    <w:rsid w:val="007E7174"/>
    <w:rsid w:val="007E72C4"/>
    <w:rsid w:val="007E7458"/>
    <w:rsid w:val="007E75CE"/>
    <w:rsid w:val="007E774F"/>
    <w:rsid w:val="007E7BFB"/>
    <w:rsid w:val="007E7CC7"/>
    <w:rsid w:val="007E7D3A"/>
    <w:rsid w:val="007E7DA4"/>
    <w:rsid w:val="007F057A"/>
    <w:rsid w:val="007F08CA"/>
    <w:rsid w:val="007F0994"/>
    <w:rsid w:val="007F0CCA"/>
    <w:rsid w:val="007F0CE5"/>
    <w:rsid w:val="007F0D34"/>
    <w:rsid w:val="007F1951"/>
    <w:rsid w:val="007F2378"/>
    <w:rsid w:val="007F23E6"/>
    <w:rsid w:val="007F24F2"/>
    <w:rsid w:val="007F2711"/>
    <w:rsid w:val="007F27E0"/>
    <w:rsid w:val="007F2A66"/>
    <w:rsid w:val="007F2B03"/>
    <w:rsid w:val="007F2B74"/>
    <w:rsid w:val="007F2D46"/>
    <w:rsid w:val="007F2FA7"/>
    <w:rsid w:val="007F30DD"/>
    <w:rsid w:val="007F32BB"/>
    <w:rsid w:val="007F38EE"/>
    <w:rsid w:val="007F3B6E"/>
    <w:rsid w:val="007F3D01"/>
    <w:rsid w:val="007F4315"/>
    <w:rsid w:val="007F4A80"/>
    <w:rsid w:val="007F4AC3"/>
    <w:rsid w:val="007F4B9D"/>
    <w:rsid w:val="007F561E"/>
    <w:rsid w:val="007F58F3"/>
    <w:rsid w:val="007F5BDD"/>
    <w:rsid w:val="007F6047"/>
    <w:rsid w:val="007F6832"/>
    <w:rsid w:val="007F688A"/>
    <w:rsid w:val="007F6891"/>
    <w:rsid w:val="007F69FC"/>
    <w:rsid w:val="007F7158"/>
    <w:rsid w:val="007F74BC"/>
    <w:rsid w:val="007F7AC2"/>
    <w:rsid w:val="007F7BF6"/>
    <w:rsid w:val="007F7E04"/>
    <w:rsid w:val="007FE137"/>
    <w:rsid w:val="00800289"/>
    <w:rsid w:val="0080041A"/>
    <w:rsid w:val="00800562"/>
    <w:rsid w:val="00800937"/>
    <w:rsid w:val="00800B52"/>
    <w:rsid w:val="00800CD3"/>
    <w:rsid w:val="00800F37"/>
    <w:rsid w:val="00801112"/>
    <w:rsid w:val="00801269"/>
    <w:rsid w:val="00801359"/>
    <w:rsid w:val="00801628"/>
    <w:rsid w:val="00801BE6"/>
    <w:rsid w:val="00801FE9"/>
    <w:rsid w:val="008023F2"/>
    <w:rsid w:val="00802712"/>
    <w:rsid w:val="008028CF"/>
    <w:rsid w:val="00802B63"/>
    <w:rsid w:val="00802C33"/>
    <w:rsid w:val="00802E97"/>
    <w:rsid w:val="0080399A"/>
    <w:rsid w:val="00803AA1"/>
    <w:rsid w:val="008045E5"/>
    <w:rsid w:val="008049DD"/>
    <w:rsid w:val="00804AEE"/>
    <w:rsid w:val="00804CCA"/>
    <w:rsid w:val="00804CCC"/>
    <w:rsid w:val="00804ECF"/>
    <w:rsid w:val="0080524B"/>
    <w:rsid w:val="00805251"/>
    <w:rsid w:val="00805312"/>
    <w:rsid w:val="0080560B"/>
    <w:rsid w:val="00805913"/>
    <w:rsid w:val="00805DF1"/>
    <w:rsid w:val="008060B1"/>
    <w:rsid w:val="008061F2"/>
    <w:rsid w:val="0080626D"/>
    <w:rsid w:val="008063C0"/>
    <w:rsid w:val="00806434"/>
    <w:rsid w:val="00806A1F"/>
    <w:rsid w:val="00806AC1"/>
    <w:rsid w:val="00806EA8"/>
    <w:rsid w:val="00806EE4"/>
    <w:rsid w:val="008072CC"/>
    <w:rsid w:val="00807559"/>
    <w:rsid w:val="008075C6"/>
    <w:rsid w:val="0080782C"/>
    <w:rsid w:val="00807D21"/>
    <w:rsid w:val="00810250"/>
    <w:rsid w:val="00810266"/>
    <w:rsid w:val="008102CA"/>
    <w:rsid w:val="00810374"/>
    <w:rsid w:val="00810829"/>
    <w:rsid w:val="00810ADC"/>
    <w:rsid w:val="00810B03"/>
    <w:rsid w:val="00810B31"/>
    <w:rsid w:val="00810C9A"/>
    <w:rsid w:val="00810CD1"/>
    <w:rsid w:val="008110AD"/>
    <w:rsid w:val="00811160"/>
    <w:rsid w:val="008115C2"/>
    <w:rsid w:val="008117BF"/>
    <w:rsid w:val="00811CC0"/>
    <w:rsid w:val="00811F3B"/>
    <w:rsid w:val="00812300"/>
    <w:rsid w:val="008127AA"/>
    <w:rsid w:val="00812B60"/>
    <w:rsid w:val="00812C8E"/>
    <w:rsid w:val="00812CDC"/>
    <w:rsid w:val="00812DF3"/>
    <w:rsid w:val="00812DF7"/>
    <w:rsid w:val="00812FF0"/>
    <w:rsid w:val="00813146"/>
    <w:rsid w:val="00813288"/>
    <w:rsid w:val="008132C4"/>
    <w:rsid w:val="008132FF"/>
    <w:rsid w:val="008135D1"/>
    <w:rsid w:val="00813618"/>
    <w:rsid w:val="00813AEA"/>
    <w:rsid w:val="00813F12"/>
    <w:rsid w:val="008141FD"/>
    <w:rsid w:val="008145CA"/>
    <w:rsid w:val="00814C35"/>
    <w:rsid w:val="00814C66"/>
    <w:rsid w:val="00814EF7"/>
    <w:rsid w:val="0081564F"/>
    <w:rsid w:val="00815DA0"/>
    <w:rsid w:val="00815EE4"/>
    <w:rsid w:val="0081607E"/>
    <w:rsid w:val="00816186"/>
    <w:rsid w:val="00816353"/>
    <w:rsid w:val="00816408"/>
    <w:rsid w:val="00816708"/>
    <w:rsid w:val="008167D5"/>
    <w:rsid w:val="00816851"/>
    <w:rsid w:val="00816B32"/>
    <w:rsid w:val="00816D87"/>
    <w:rsid w:val="00816E01"/>
    <w:rsid w:val="00817145"/>
    <w:rsid w:val="0081720A"/>
    <w:rsid w:val="008173DC"/>
    <w:rsid w:val="00817447"/>
    <w:rsid w:val="008175B2"/>
    <w:rsid w:val="00817841"/>
    <w:rsid w:val="008203E0"/>
    <w:rsid w:val="00820523"/>
    <w:rsid w:val="0082089D"/>
    <w:rsid w:val="00820CE7"/>
    <w:rsid w:val="00820E42"/>
    <w:rsid w:val="00820FA0"/>
    <w:rsid w:val="00820FBC"/>
    <w:rsid w:val="0082120D"/>
    <w:rsid w:val="008213B7"/>
    <w:rsid w:val="0082146D"/>
    <w:rsid w:val="0082162A"/>
    <w:rsid w:val="0082166C"/>
    <w:rsid w:val="0082194C"/>
    <w:rsid w:val="00821A29"/>
    <w:rsid w:val="0082212E"/>
    <w:rsid w:val="00822163"/>
    <w:rsid w:val="008224E0"/>
    <w:rsid w:val="00822AE8"/>
    <w:rsid w:val="00823233"/>
    <w:rsid w:val="008236E1"/>
    <w:rsid w:val="00823A33"/>
    <w:rsid w:val="00823C70"/>
    <w:rsid w:val="00824426"/>
    <w:rsid w:val="00824701"/>
    <w:rsid w:val="00824798"/>
    <w:rsid w:val="00824B0E"/>
    <w:rsid w:val="00824C9D"/>
    <w:rsid w:val="00824FCB"/>
    <w:rsid w:val="008255C1"/>
    <w:rsid w:val="00825714"/>
    <w:rsid w:val="00825940"/>
    <w:rsid w:val="008260B8"/>
    <w:rsid w:val="0082625C"/>
    <w:rsid w:val="00826914"/>
    <w:rsid w:val="00826B2B"/>
    <w:rsid w:val="00826BD1"/>
    <w:rsid w:val="00827126"/>
    <w:rsid w:val="0082720D"/>
    <w:rsid w:val="00827285"/>
    <w:rsid w:val="00827871"/>
    <w:rsid w:val="00827E33"/>
    <w:rsid w:val="008303AC"/>
    <w:rsid w:val="00830447"/>
    <w:rsid w:val="0083050A"/>
    <w:rsid w:val="00830597"/>
    <w:rsid w:val="008305FD"/>
    <w:rsid w:val="0083094E"/>
    <w:rsid w:val="00830C9B"/>
    <w:rsid w:val="00830E52"/>
    <w:rsid w:val="0083127C"/>
    <w:rsid w:val="008312F6"/>
    <w:rsid w:val="00831405"/>
    <w:rsid w:val="008315B5"/>
    <w:rsid w:val="0083171A"/>
    <w:rsid w:val="00831808"/>
    <w:rsid w:val="008319C0"/>
    <w:rsid w:val="00831A94"/>
    <w:rsid w:val="00831C8E"/>
    <w:rsid w:val="00831D2A"/>
    <w:rsid w:val="00831D96"/>
    <w:rsid w:val="00831FA2"/>
    <w:rsid w:val="00831FCC"/>
    <w:rsid w:val="0083204D"/>
    <w:rsid w:val="0083233F"/>
    <w:rsid w:val="00832438"/>
    <w:rsid w:val="008324E3"/>
    <w:rsid w:val="00832578"/>
    <w:rsid w:val="00832634"/>
    <w:rsid w:val="008332E7"/>
    <w:rsid w:val="00833354"/>
    <w:rsid w:val="00833506"/>
    <w:rsid w:val="00833632"/>
    <w:rsid w:val="00833710"/>
    <w:rsid w:val="008339E3"/>
    <w:rsid w:val="00833B9F"/>
    <w:rsid w:val="00833E59"/>
    <w:rsid w:val="00833F3F"/>
    <w:rsid w:val="008340E2"/>
    <w:rsid w:val="0083474C"/>
    <w:rsid w:val="00834AB7"/>
    <w:rsid w:val="00834D2F"/>
    <w:rsid w:val="00834F9B"/>
    <w:rsid w:val="0083510A"/>
    <w:rsid w:val="008351AC"/>
    <w:rsid w:val="008351EB"/>
    <w:rsid w:val="00835338"/>
    <w:rsid w:val="008353DA"/>
    <w:rsid w:val="0083540C"/>
    <w:rsid w:val="008355A4"/>
    <w:rsid w:val="008357C9"/>
    <w:rsid w:val="0083592A"/>
    <w:rsid w:val="00835A69"/>
    <w:rsid w:val="00835D89"/>
    <w:rsid w:val="00836B29"/>
    <w:rsid w:val="00836E50"/>
    <w:rsid w:val="00836E8D"/>
    <w:rsid w:val="00836ED3"/>
    <w:rsid w:val="008370CF"/>
    <w:rsid w:val="0083770D"/>
    <w:rsid w:val="00837744"/>
    <w:rsid w:val="00837885"/>
    <w:rsid w:val="008378F0"/>
    <w:rsid w:val="00837938"/>
    <w:rsid w:val="00837B71"/>
    <w:rsid w:val="0084004C"/>
    <w:rsid w:val="00840127"/>
    <w:rsid w:val="00840798"/>
    <w:rsid w:val="00840804"/>
    <w:rsid w:val="0084086D"/>
    <w:rsid w:val="00840A37"/>
    <w:rsid w:val="00840CE5"/>
    <w:rsid w:val="00840F6F"/>
    <w:rsid w:val="00841042"/>
    <w:rsid w:val="0084122D"/>
    <w:rsid w:val="0084161C"/>
    <w:rsid w:val="008416A3"/>
    <w:rsid w:val="00841F48"/>
    <w:rsid w:val="008423D9"/>
    <w:rsid w:val="00842760"/>
    <w:rsid w:val="00842EBB"/>
    <w:rsid w:val="00842EC9"/>
    <w:rsid w:val="008435B3"/>
    <w:rsid w:val="008435B7"/>
    <w:rsid w:val="00843AAD"/>
    <w:rsid w:val="00843B1C"/>
    <w:rsid w:val="0084400D"/>
    <w:rsid w:val="00844076"/>
    <w:rsid w:val="0084429A"/>
    <w:rsid w:val="00844347"/>
    <w:rsid w:val="0084437F"/>
    <w:rsid w:val="008445B8"/>
    <w:rsid w:val="008446DA"/>
    <w:rsid w:val="00844935"/>
    <w:rsid w:val="00844C2E"/>
    <w:rsid w:val="00844E16"/>
    <w:rsid w:val="00844FC9"/>
    <w:rsid w:val="00844FF5"/>
    <w:rsid w:val="008450F3"/>
    <w:rsid w:val="008451B3"/>
    <w:rsid w:val="008454ED"/>
    <w:rsid w:val="00845547"/>
    <w:rsid w:val="008455D1"/>
    <w:rsid w:val="00845946"/>
    <w:rsid w:val="008461D3"/>
    <w:rsid w:val="00846A2B"/>
    <w:rsid w:val="00846ABD"/>
    <w:rsid w:val="00846B76"/>
    <w:rsid w:val="00847025"/>
    <w:rsid w:val="00847044"/>
    <w:rsid w:val="008475C7"/>
    <w:rsid w:val="008476A0"/>
    <w:rsid w:val="0084796B"/>
    <w:rsid w:val="008500F0"/>
    <w:rsid w:val="00850174"/>
    <w:rsid w:val="0085031A"/>
    <w:rsid w:val="0085041B"/>
    <w:rsid w:val="00850422"/>
    <w:rsid w:val="008505C8"/>
    <w:rsid w:val="0085064C"/>
    <w:rsid w:val="0085065F"/>
    <w:rsid w:val="008508A9"/>
    <w:rsid w:val="008509E0"/>
    <w:rsid w:val="00850AAE"/>
    <w:rsid w:val="00850DFB"/>
    <w:rsid w:val="00851314"/>
    <w:rsid w:val="00851C5E"/>
    <w:rsid w:val="008520CE"/>
    <w:rsid w:val="008520D2"/>
    <w:rsid w:val="00852945"/>
    <w:rsid w:val="00852B3F"/>
    <w:rsid w:val="00852D84"/>
    <w:rsid w:val="00852F38"/>
    <w:rsid w:val="00852FA9"/>
    <w:rsid w:val="0085311D"/>
    <w:rsid w:val="00853628"/>
    <w:rsid w:val="008537B6"/>
    <w:rsid w:val="00853A18"/>
    <w:rsid w:val="00853B0F"/>
    <w:rsid w:val="00853B79"/>
    <w:rsid w:val="00853FF3"/>
    <w:rsid w:val="00854157"/>
    <w:rsid w:val="0085427E"/>
    <w:rsid w:val="00854486"/>
    <w:rsid w:val="008545CF"/>
    <w:rsid w:val="008546A3"/>
    <w:rsid w:val="00854BD7"/>
    <w:rsid w:val="00854C64"/>
    <w:rsid w:val="00854EF0"/>
    <w:rsid w:val="008550D3"/>
    <w:rsid w:val="008551D9"/>
    <w:rsid w:val="008558DF"/>
    <w:rsid w:val="00856010"/>
    <w:rsid w:val="008560FD"/>
    <w:rsid w:val="00856261"/>
    <w:rsid w:val="00856617"/>
    <w:rsid w:val="00856C34"/>
    <w:rsid w:val="00856C9D"/>
    <w:rsid w:val="00856CAA"/>
    <w:rsid w:val="00856DEA"/>
    <w:rsid w:val="00856F0C"/>
    <w:rsid w:val="0085716D"/>
    <w:rsid w:val="0085718B"/>
    <w:rsid w:val="00857486"/>
    <w:rsid w:val="0085769C"/>
    <w:rsid w:val="00857806"/>
    <w:rsid w:val="00857862"/>
    <w:rsid w:val="00857B87"/>
    <w:rsid w:val="00857C3E"/>
    <w:rsid w:val="00857F41"/>
    <w:rsid w:val="0086004E"/>
    <w:rsid w:val="008601B8"/>
    <w:rsid w:val="008603BC"/>
    <w:rsid w:val="008606FC"/>
    <w:rsid w:val="00860773"/>
    <w:rsid w:val="008608BF"/>
    <w:rsid w:val="008609FB"/>
    <w:rsid w:val="00860D53"/>
    <w:rsid w:val="0086103B"/>
    <w:rsid w:val="008611F9"/>
    <w:rsid w:val="00861840"/>
    <w:rsid w:val="00861BAC"/>
    <w:rsid w:val="00861C69"/>
    <w:rsid w:val="00861DF0"/>
    <w:rsid w:val="00861F2F"/>
    <w:rsid w:val="008621C6"/>
    <w:rsid w:val="00862383"/>
    <w:rsid w:val="00862502"/>
    <w:rsid w:val="00862618"/>
    <w:rsid w:val="008626EB"/>
    <w:rsid w:val="0086270B"/>
    <w:rsid w:val="00862784"/>
    <w:rsid w:val="008628C9"/>
    <w:rsid w:val="008629AF"/>
    <w:rsid w:val="00862B69"/>
    <w:rsid w:val="00863119"/>
    <w:rsid w:val="008631B5"/>
    <w:rsid w:val="0086342D"/>
    <w:rsid w:val="00863A05"/>
    <w:rsid w:val="00863A88"/>
    <w:rsid w:val="00863C1B"/>
    <w:rsid w:val="00863C37"/>
    <w:rsid w:val="00863C45"/>
    <w:rsid w:val="00863D72"/>
    <w:rsid w:val="00863E95"/>
    <w:rsid w:val="00863EBE"/>
    <w:rsid w:val="008642D8"/>
    <w:rsid w:val="0086430E"/>
    <w:rsid w:val="0086474C"/>
    <w:rsid w:val="00864819"/>
    <w:rsid w:val="00864948"/>
    <w:rsid w:val="0086497D"/>
    <w:rsid w:val="00864B07"/>
    <w:rsid w:val="00864D25"/>
    <w:rsid w:val="00864DA3"/>
    <w:rsid w:val="00864E6B"/>
    <w:rsid w:val="0086522D"/>
    <w:rsid w:val="00865546"/>
    <w:rsid w:val="008658F8"/>
    <w:rsid w:val="008659A1"/>
    <w:rsid w:val="00865DBB"/>
    <w:rsid w:val="00865DC1"/>
    <w:rsid w:val="00866399"/>
    <w:rsid w:val="00866A1E"/>
    <w:rsid w:val="00867069"/>
    <w:rsid w:val="00867197"/>
    <w:rsid w:val="00867264"/>
    <w:rsid w:val="00867350"/>
    <w:rsid w:val="00867E67"/>
    <w:rsid w:val="00867FA9"/>
    <w:rsid w:val="00870059"/>
    <w:rsid w:val="00870112"/>
    <w:rsid w:val="008704D9"/>
    <w:rsid w:val="00870C8E"/>
    <w:rsid w:val="00870C9A"/>
    <w:rsid w:val="00871472"/>
    <w:rsid w:val="008714BA"/>
    <w:rsid w:val="008715F7"/>
    <w:rsid w:val="00871616"/>
    <w:rsid w:val="008718A2"/>
    <w:rsid w:val="00871C2B"/>
    <w:rsid w:val="00871DEE"/>
    <w:rsid w:val="008723D0"/>
    <w:rsid w:val="0087247A"/>
    <w:rsid w:val="008725D2"/>
    <w:rsid w:val="00872609"/>
    <w:rsid w:val="008726E6"/>
    <w:rsid w:val="00872882"/>
    <w:rsid w:val="00872B49"/>
    <w:rsid w:val="00872C38"/>
    <w:rsid w:val="00873078"/>
    <w:rsid w:val="0087308C"/>
    <w:rsid w:val="0087327A"/>
    <w:rsid w:val="00873488"/>
    <w:rsid w:val="0087365A"/>
    <w:rsid w:val="00873BF6"/>
    <w:rsid w:val="00873D42"/>
    <w:rsid w:val="00873E31"/>
    <w:rsid w:val="00873E6D"/>
    <w:rsid w:val="00873ED9"/>
    <w:rsid w:val="008743C7"/>
    <w:rsid w:val="00874602"/>
    <w:rsid w:val="008747CA"/>
    <w:rsid w:val="00874D50"/>
    <w:rsid w:val="008750F9"/>
    <w:rsid w:val="00875157"/>
    <w:rsid w:val="00875271"/>
    <w:rsid w:val="00875341"/>
    <w:rsid w:val="0087536F"/>
    <w:rsid w:val="0087542A"/>
    <w:rsid w:val="008754AF"/>
    <w:rsid w:val="0087595E"/>
    <w:rsid w:val="00875A4E"/>
    <w:rsid w:val="00875B67"/>
    <w:rsid w:val="008760F6"/>
    <w:rsid w:val="0087622F"/>
    <w:rsid w:val="00876270"/>
    <w:rsid w:val="00876A5F"/>
    <w:rsid w:val="00876FF4"/>
    <w:rsid w:val="00877384"/>
    <w:rsid w:val="008773CC"/>
    <w:rsid w:val="008777AA"/>
    <w:rsid w:val="008779EA"/>
    <w:rsid w:val="00877B49"/>
    <w:rsid w:val="00877E0E"/>
    <w:rsid w:val="00877F39"/>
    <w:rsid w:val="0087D14A"/>
    <w:rsid w:val="008800C1"/>
    <w:rsid w:val="0088071A"/>
    <w:rsid w:val="00880723"/>
    <w:rsid w:val="0088075A"/>
    <w:rsid w:val="00880A40"/>
    <w:rsid w:val="00880A56"/>
    <w:rsid w:val="00880E51"/>
    <w:rsid w:val="00880FBF"/>
    <w:rsid w:val="008810DB"/>
    <w:rsid w:val="00881937"/>
    <w:rsid w:val="00881A28"/>
    <w:rsid w:val="00881C81"/>
    <w:rsid w:val="00881CE5"/>
    <w:rsid w:val="00881F87"/>
    <w:rsid w:val="008820ED"/>
    <w:rsid w:val="008822A7"/>
    <w:rsid w:val="00882313"/>
    <w:rsid w:val="00882A22"/>
    <w:rsid w:val="00882B97"/>
    <w:rsid w:val="00882C06"/>
    <w:rsid w:val="00882CC7"/>
    <w:rsid w:val="00882EB0"/>
    <w:rsid w:val="00883339"/>
    <w:rsid w:val="00883411"/>
    <w:rsid w:val="008835CF"/>
    <w:rsid w:val="008836BE"/>
    <w:rsid w:val="008837E3"/>
    <w:rsid w:val="008838A8"/>
    <w:rsid w:val="00883AAA"/>
    <w:rsid w:val="00883CC3"/>
    <w:rsid w:val="00883F79"/>
    <w:rsid w:val="008841A4"/>
    <w:rsid w:val="008848A8"/>
    <w:rsid w:val="00884DDD"/>
    <w:rsid w:val="008854F7"/>
    <w:rsid w:val="00885532"/>
    <w:rsid w:val="00885A02"/>
    <w:rsid w:val="00885A79"/>
    <w:rsid w:val="00885B62"/>
    <w:rsid w:val="00885BEB"/>
    <w:rsid w:val="00885F91"/>
    <w:rsid w:val="00886014"/>
    <w:rsid w:val="00886133"/>
    <w:rsid w:val="00886379"/>
    <w:rsid w:val="008866E6"/>
    <w:rsid w:val="008869F4"/>
    <w:rsid w:val="00886E35"/>
    <w:rsid w:val="00887072"/>
    <w:rsid w:val="00887D35"/>
    <w:rsid w:val="00887DAD"/>
    <w:rsid w:val="008882FD"/>
    <w:rsid w:val="0089044D"/>
    <w:rsid w:val="0089074A"/>
    <w:rsid w:val="00890978"/>
    <w:rsid w:val="00890A36"/>
    <w:rsid w:val="00890D86"/>
    <w:rsid w:val="00890DCB"/>
    <w:rsid w:val="00890EAC"/>
    <w:rsid w:val="008911CB"/>
    <w:rsid w:val="008914F2"/>
    <w:rsid w:val="008917A0"/>
    <w:rsid w:val="00891879"/>
    <w:rsid w:val="00891ED6"/>
    <w:rsid w:val="00891F57"/>
    <w:rsid w:val="00891F63"/>
    <w:rsid w:val="00892097"/>
    <w:rsid w:val="00892193"/>
    <w:rsid w:val="008922C5"/>
    <w:rsid w:val="008927C5"/>
    <w:rsid w:val="00892ED3"/>
    <w:rsid w:val="0089304B"/>
    <w:rsid w:val="008931DD"/>
    <w:rsid w:val="008938D6"/>
    <w:rsid w:val="00893C8C"/>
    <w:rsid w:val="00893EEF"/>
    <w:rsid w:val="00893F46"/>
    <w:rsid w:val="00894622"/>
    <w:rsid w:val="008948A7"/>
    <w:rsid w:val="00894B44"/>
    <w:rsid w:val="00894C2F"/>
    <w:rsid w:val="00894F49"/>
    <w:rsid w:val="008950FA"/>
    <w:rsid w:val="00895132"/>
    <w:rsid w:val="0089556A"/>
    <w:rsid w:val="00895A57"/>
    <w:rsid w:val="00895A9B"/>
    <w:rsid w:val="00895BBD"/>
    <w:rsid w:val="00895CD6"/>
    <w:rsid w:val="00895DFB"/>
    <w:rsid w:val="00895F45"/>
    <w:rsid w:val="00895FD1"/>
    <w:rsid w:val="0089600D"/>
    <w:rsid w:val="00896360"/>
    <w:rsid w:val="0089665C"/>
    <w:rsid w:val="00896AA7"/>
    <w:rsid w:val="00896C51"/>
    <w:rsid w:val="00897062"/>
    <w:rsid w:val="008975A2"/>
    <w:rsid w:val="00897648"/>
    <w:rsid w:val="00897B51"/>
    <w:rsid w:val="00897E50"/>
    <w:rsid w:val="008A00AC"/>
    <w:rsid w:val="008A0638"/>
    <w:rsid w:val="008A0D33"/>
    <w:rsid w:val="008A0D64"/>
    <w:rsid w:val="008A0F41"/>
    <w:rsid w:val="008A10D9"/>
    <w:rsid w:val="008A11AA"/>
    <w:rsid w:val="008A12A4"/>
    <w:rsid w:val="008A12B3"/>
    <w:rsid w:val="008A14CB"/>
    <w:rsid w:val="008A14D4"/>
    <w:rsid w:val="008A15BF"/>
    <w:rsid w:val="008A15D5"/>
    <w:rsid w:val="008A16C7"/>
    <w:rsid w:val="008A184F"/>
    <w:rsid w:val="008A1BF7"/>
    <w:rsid w:val="008A1E4C"/>
    <w:rsid w:val="008A1E76"/>
    <w:rsid w:val="008A1FC5"/>
    <w:rsid w:val="008A2063"/>
    <w:rsid w:val="008A21C6"/>
    <w:rsid w:val="008A22DB"/>
    <w:rsid w:val="008A2BA3"/>
    <w:rsid w:val="008A2C72"/>
    <w:rsid w:val="008A2D65"/>
    <w:rsid w:val="008A2F92"/>
    <w:rsid w:val="008A3293"/>
    <w:rsid w:val="008A3424"/>
    <w:rsid w:val="008A3425"/>
    <w:rsid w:val="008A34BA"/>
    <w:rsid w:val="008A3569"/>
    <w:rsid w:val="008A3612"/>
    <w:rsid w:val="008A3ADD"/>
    <w:rsid w:val="008A3B04"/>
    <w:rsid w:val="008A3C67"/>
    <w:rsid w:val="008A3E5A"/>
    <w:rsid w:val="008A40BC"/>
    <w:rsid w:val="008A40DD"/>
    <w:rsid w:val="008A41CD"/>
    <w:rsid w:val="008A4356"/>
    <w:rsid w:val="008A4445"/>
    <w:rsid w:val="008A4802"/>
    <w:rsid w:val="008A4880"/>
    <w:rsid w:val="008A52B1"/>
    <w:rsid w:val="008A52B6"/>
    <w:rsid w:val="008A5351"/>
    <w:rsid w:val="008A5754"/>
    <w:rsid w:val="008A5AE5"/>
    <w:rsid w:val="008A5CF2"/>
    <w:rsid w:val="008A5E0E"/>
    <w:rsid w:val="008A60D1"/>
    <w:rsid w:val="008A6111"/>
    <w:rsid w:val="008A6354"/>
    <w:rsid w:val="008A66D3"/>
    <w:rsid w:val="008A6A6C"/>
    <w:rsid w:val="008A6D48"/>
    <w:rsid w:val="008A7CB4"/>
    <w:rsid w:val="008A7D2C"/>
    <w:rsid w:val="008A7E4F"/>
    <w:rsid w:val="008A7EE6"/>
    <w:rsid w:val="008B00BF"/>
    <w:rsid w:val="008B0427"/>
    <w:rsid w:val="008B04E1"/>
    <w:rsid w:val="008B06B3"/>
    <w:rsid w:val="008B0782"/>
    <w:rsid w:val="008B0909"/>
    <w:rsid w:val="008B0A0F"/>
    <w:rsid w:val="008B0C53"/>
    <w:rsid w:val="008B1911"/>
    <w:rsid w:val="008B1C2A"/>
    <w:rsid w:val="008B1D17"/>
    <w:rsid w:val="008B1E1F"/>
    <w:rsid w:val="008B1FB7"/>
    <w:rsid w:val="008B1FFD"/>
    <w:rsid w:val="008B2287"/>
    <w:rsid w:val="008B22CF"/>
    <w:rsid w:val="008B275B"/>
    <w:rsid w:val="008B2C31"/>
    <w:rsid w:val="008B2D0D"/>
    <w:rsid w:val="008B2E71"/>
    <w:rsid w:val="008B2E97"/>
    <w:rsid w:val="008B3746"/>
    <w:rsid w:val="008B3C7C"/>
    <w:rsid w:val="008B3C85"/>
    <w:rsid w:val="008B3E10"/>
    <w:rsid w:val="008B40FE"/>
    <w:rsid w:val="008B4179"/>
    <w:rsid w:val="008B48D2"/>
    <w:rsid w:val="008B4946"/>
    <w:rsid w:val="008B4BCC"/>
    <w:rsid w:val="008B4CFC"/>
    <w:rsid w:val="008B4E52"/>
    <w:rsid w:val="008B4EA4"/>
    <w:rsid w:val="008B5706"/>
    <w:rsid w:val="008B5B32"/>
    <w:rsid w:val="008B5D1F"/>
    <w:rsid w:val="008B5EC0"/>
    <w:rsid w:val="008B60B7"/>
    <w:rsid w:val="008B60BD"/>
    <w:rsid w:val="008B6222"/>
    <w:rsid w:val="008B6314"/>
    <w:rsid w:val="008B659C"/>
    <w:rsid w:val="008B693E"/>
    <w:rsid w:val="008B6AA1"/>
    <w:rsid w:val="008B6AA7"/>
    <w:rsid w:val="008B6BEC"/>
    <w:rsid w:val="008B6EA9"/>
    <w:rsid w:val="008B72BC"/>
    <w:rsid w:val="008B7AE4"/>
    <w:rsid w:val="008B7B3C"/>
    <w:rsid w:val="008C022A"/>
    <w:rsid w:val="008C0486"/>
    <w:rsid w:val="008C0935"/>
    <w:rsid w:val="008C0955"/>
    <w:rsid w:val="008C0A17"/>
    <w:rsid w:val="008C0C42"/>
    <w:rsid w:val="008C13C8"/>
    <w:rsid w:val="008C145A"/>
    <w:rsid w:val="008C201E"/>
    <w:rsid w:val="008C2105"/>
    <w:rsid w:val="008C214C"/>
    <w:rsid w:val="008C2626"/>
    <w:rsid w:val="008C28CD"/>
    <w:rsid w:val="008C2970"/>
    <w:rsid w:val="008C2989"/>
    <w:rsid w:val="008C2CB1"/>
    <w:rsid w:val="008C3173"/>
    <w:rsid w:val="008C340E"/>
    <w:rsid w:val="008C3447"/>
    <w:rsid w:val="008C34E0"/>
    <w:rsid w:val="008C3552"/>
    <w:rsid w:val="008C36CA"/>
    <w:rsid w:val="008C3943"/>
    <w:rsid w:val="008C3D0F"/>
    <w:rsid w:val="008C3E65"/>
    <w:rsid w:val="008C460D"/>
    <w:rsid w:val="008C470E"/>
    <w:rsid w:val="008C4838"/>
    <w:rsid w:val="008C4BED"/>
    <w:rsid w:val="008C4CED"/>
    <w:rsid w:val="008C4DC6"/>
    <w:rsid w:val="008C5453"/>
    <w:rsid w:val="008C582D"/>
    <w:rsid w:val="008C5FBF"/>
    <w:rsid w:val="008C6334"/>
    <w:rsid w:val="008C6339"/>
    <w:rsid w:val="008C6398"/>
    <w:rsid w:val="008C63B1"/>
    <w:rsid w:val="008C67E8"/>
    <w:rsid w:val="008C6884"/>
    <w:rsid w:val="008C69C5"/>
    <w:rsid w:val="008C6DB4"/>
    <w:rsid w:val="008C6DD1"/>
    <w:rsid w:val="008C7403"/>
    <w:rsid w:val="008C7B1C"/>
    <w:rsid w:val="008C7E30"/>
    <w:rsid w:val="008C7FB3"/>
    <w:rsid w:val="008D00A2"/>
    <w:rsid w:val="008D09DD"/>
    <w:rsid w:val="008D1239"/>
    <w:rsid w:val="008D14D5"/>
    <w:rsid w:val="008D15A3"/>
    <w:rsid w:val="008D16B1"/>
    <w:rsid w:val="008D16C0"/>
    <w:rsid w:val="008D1784"/>
    <w:rsid w:val="008D1830"/>
    <w:rsid w:val="008D199F"/>
    <w:rsid w:val="008D1A62"/>
    <w:rsid w:val="008D1B6C"/>
    <w:rsid w:val="008D1C7E"/>
    <w:rsid w:val="008D1E17"/>
    <w:rsid w:val="008D1EE4"/>
    <w:rsid w:val="008D1F3B"/>
    <w:rsid w:val="008D1FF0"/>
    <w:rsid w:val="008D22AF"/>
    <w:rsid w:val="008D2320"/>
    <w:rsid w:val="008D269A"/>
    <w:rsid w:val="008D2812"/>
    <w:rsid w:val="008D2A4F"/>
    <w:rsid w:val="008D2A60"/>
    <w:rsid w:val="008D2CCE"/>
    <w:rsid w:val="008D2D1A"/>
    <w:rsid w:val="008D2E0E"/>
    <w:rsid w:val="008D3069"/>
    <w:rsid w:val="008D3168"/>
    <w:rsid w:val="008D32E3"/>
    <w:rsid w:val="008D3412"/>
    <w:rsid w:val="008D36AF"/>
    <w:rsid w:val="008D36BA"/>
    <w:rsid w:val="008D3DCB"/>
    <w:rsid w:val="008D4234"/>
    <w:rsid w:val="008D4239"/>
    <w:rsid w:val="008D434D"/>
    <w:rsid w:val="008D445D"/>
    <w:rsid w:val="008D4460"/>
    <w:rsid w:val="008D475B"/>
    <w:rsid w:val="008D4845"/>
    <w:rsid w:val="008D4868"/>
    <w:rsid w:val="008D4BFB"/>
    <w:rsid w:val="008D4E08"/>
    <w:rsid w:val="008D4ED7"/>
    <w:rsid w:val="008D6450"/>
    <w:rsid w:val="008D6CB9"/>
    <w:rsid w:val="008D745D"/>
    <w:rsid w:val="008D7627"/>
    <w:rsid w:val="008D78FF"/>
    <w:rsid w:val="008D7914"/>
    <w:rsid w:val="008D7A52"/>
    <w:rsid w:val="008D7BF5"/>
    <w:rsid w:val="008D7EC8"/>
    <w:rsid w:val="008DE1CE"/>
    <w:rsid w:val="008E0199"/>
    <w:rsid w:val="008E0429"/>
    <w:rsid w:val="008E0A4A"/>
    <w:rsid w:val="008E0CB3"/>
    <w:rsid w:val="008E0F36"/>
    <w:rsid w:val="008E116D"/>
    <w:rsid w:val="008E1279"/>
    <w:rsid w:val="008E13E5"/>
    <w:rsid w:val="008E161D"/>
    <w:rsid w:val="008E1AF6"/>
    <w:rsid w:val="008E1CA9"/>
    <w:rsid w:val="008E1EEF"/>
    <w:rsid w:val="008E2543"/>
    <w:rsid w:val="008E27A9"/>
    <w:rsid w:val="008E2A40"/>
    <w:rsid w:val="008E30B1"/>
    <w:rsid w:val="008E3104"/>
    <w:rsid w:val="008E375C"/>
    <w:rsid w:val="008E3A5B"/>
    <w:rsid w:val="008E3B51"/>
    <w:rsid w:val="008E4205"/>
    <w:rsid w:val="008E420A"/>
    <w:rsid w:val="008E4BA0"/>
    <w:rsid w:val="008E4DAF"/>
    <w:rsid w:val="008E4E92"/>
    <w:rsid w:val="008E539A"/>
    <w:rsid w:val="008E55B5"/>
    <w:rsid w:val="008E6186"/>
    <w:rsid w:val="008E6349"/>
    <w:rsid w:val="008E673D"/>
    <w:rsid w:val="008E6A93"/>
    <w:rsid w:val="008E6B71"/>
    <w:rsid w:val="008E6D56"/>
    <w:rsid w:val="008E6FFA"/>
    <w:rsid w:val="008E702F"/>
    <w:rsid w:val="008E7763"/>
    <w:rsid w:val="008E782C"/>
    <w:rsid w:val="008E7A8C"/>
    <w:rsid w:val="008E7AA1"/>
    <w:rsid w:val="008E7BE6"/>
    <w:rsid w:val="008F07FC"/>
    <w:rsid w:val="008F0A92"/>
    <w:rsid w:val="008F0B12"/>
    <w:rsid w:val="008F0B30"/>
    <w:rsid w:val="008F0C2D"/>
    <w:rsid w:val="008F0DAD"/>
    <w:rsid w:val="008F135D"/>
    <w:rsid w:val="008F1444"/>
    <w:rsid w:val="008F1B13"/>
    <w:rsid w:val="008F1C3F"/>
    <w:rsid w:val="008F1D6C"/>
    <w:rsid w:val="008F1FF6"/>
    <w:rsid w:val="008F2088"/>
    <w:rsid w:val="008F21D4"/>
    <w:rsid w:val="008F2460"/>
    <w:rsid w:val="008F2F57"/>
    <w:rsid w:val="008F3008"/>
    <w:rsid w:val="008F34A6"/>
    <w:rsid w:val="008F34CD"/>
    <w:rsid w:val="008F3519"/>
    <w:rsid w:val="008F3969"/>
    <w:rsid w:val="008F3A11"/>
    <w:rsid w:val="008F4083"/>
    <w:rsid w:val="008F4354"/>
    <w:rsid w:val="008F47B7"/>
    <w:rsid w:val="008F48D9"/>
    <w:rsid w:val="008F4A6E"/>
    <w:rsid w:val="008F4A7E"/>
    <w:rsid w:val="008F4D06"/>
    <w:rsid w:val="008F5299"/>
    <w:rsid w:val="008F57B7"/>
    <w:rsid w:val="008F59FB"/>
    <w:rsid w:val="008F5E67"/>
    <w:rsid w:val="008F5E79"/>
    <w:rsid w:val="008F6121"/>
    <w:rsid w:val="008F6BD1"/>
    <w:rsid w:val="008F703E"/>
    <w:rsid w:val="008F783A"/>
    <w:rsid w:val="008F7CB0"/>
    <w:rsid w:val="008F7D40"/>
    <w:rsid w:val="008F7F28"/>
    <w:rsid w:val="00900174"/>
    <w:rsid w:val="009003BE"/>
    <w:rsid w:val="00900EAE"/>
    <w:rsid w:val="00900EE4"/>
    <w:rsid w:val="009011C8"/>
    <w:rsid w:val="00901450"/>
    <w:rsid w:val="00901681"/>
    <w:rsid w:val="009018BD"/>
    <w:rsid w:val="00901C26"/>
    <w:rsid w:val="00901C5D"/>
    <w:rsid w:val="00901DC3"/>
    <w:rsid w:val="00901E53"/>
    <w:rsid w:val="00901EB3"/>
    <w:rsid w:val="0090214C"/>
    <w:rsid w:val="009023B3"/>
    <w:rsid w:val="009023C8"/>
    <w:rsid w:val="009023E0"/>
    <w:rsid w:val="009023FD"/>
    <w:rsid w:val="00902428"/>
    <w:rsid w:val="009026DD"/>
    <w:rsid w:val="00903479"/>
    <w:rsid w:val="00903763"/>
    <w:rsid w:val="00903A53"/>
    <w:rsid w:val="00903F33"/>
    <w:rsid w:val="0090401A"/>
    <w:rsid w:val="0090455D"/>
    <w:rsid w:val="0090466A"/>
    <w:rsid w:val="0090489A"/>
    <w:rsid w:val="0090494D"/>
    <w:rsid w:val="00904A7F"/>
    <w:rsid w:val="00904B23"/>
    <w:rsid w:val="00904E8B"/>
    <w:rsid w:val="00904EFE"/>
    <w:rsid w:val="009052B1"/>
    <w:rsid w:val="00905573"/>
    <w:rsid w:val="009056A1"/>
    <w:rsid w:val="00905732"/>
    <w:rsid w:val="00905D12"/>
    <w:rsid w:val="00906008"/>
    <w:rsid w:val="009060CD"/>
    <w:rsid w:val="00906754"/>
    <w:rsid w:val="0090685E"/>
    <w:rsid w:val="00906C2F"/>
    <w:rsid w:val="00906F81"/>
    <w:rsid w:val="00907027"/>
    <w:rsid w:val="009070D0"/>
    <w:rsid w:val="009072DB"/>
    <w:rsid w:val="0090734D"/>
    <w:rsid w:val="009074CE"/>
    <w:rsid w:val="009076C6"/>
    <w:rsid w:val="009076E1"/>
    <w:rsid w:val="0090773A"/>
    <w:rsid w:val="0090786C"/>
    <w:rsid w:val="00907899"/>
    <w:rsid w:val="0091025F"/>
    <w:rsid w:val="0091054A"/>
    <w:rsid w:val="00910795"/>
    <w:rsid w:val="00910803"/>
    <w:rsid w:val="009109A6"/>
    <w:rsid w:val="00910C44"/>
    <w:rsid w:val="009111A6"/>
    <w:rsid w:val="00911573"/>
    <w:rsid w:val="00911975"/>
    <w:rsid w:val="009119B8"/>
    <w:rsid w:val="009119C5"/>
    <w:rsid w:val="009120EE"/>
    <w:rsid w:val="0091221C"/>
    <w:rsid w:val="0091238F"/>
    <w:rsid w:val="009124ED"/>
    <w:rsid w:val="0091286C"/>
    <w:rsid w:val="00912AB4"/>
    <w:rsid w:val="00912DAC"/>
    <w:rsid w:val="009134D7"/>
    <w:rsid w:val="00913818"/>
    <w:rsid w:val="00913BC8"/>
    <w:rsid w:val="00913C00"/>
    <w:rsid w:val="00913C46"/>
    <w:rsid w:val="00914565"/>
    <w:rsid w:val="00914648"/>
    <w:rsid w:val="009146CA"/>
    <w:rsid w:val="00914DA7"/>
    <w:rsid w:val="0091542D"/>
    <w:rsid w:val="00915548"/>
    <w:rsid w:val="009155BD"/>
    <w:rsid w:val="00915797"/>
    <w:rsid w:val="00915BE2"/>
    <w:rsid w:val="00915F53"/>
    <w:rsid w:val="00915F63"/>
    <w:rsid w:val="009160FC"/>
    <w:rsid w:val="0091630E"/>
    <w:rsid w:val="009163D1"/>
    <w:rsid w:val="009166EA"/>
    <w:rsid w:val="00916AFA"/>
    <w:rsid w:val="00916C77"/>
    <w:rsid w:val="009177E9"/>
    <w:rsid w:val="00917B79"/>
    <w:rsid w:val="00917C6D"/>
    <w:rsid w:val="00917CE7"/>
    <w:rsid w:val="00920088"/>
    <w:rsid w:val="0092011F"/>
    <w:rsid w:val="009201AB"/>
    <w:rsid w:val="009205AD"/>
    <w:rsid w:val="00920653"/>
    <w:rsid w:val="009206ED"/>
    <w:rsid w:val="00920722"/>
    <w:rsid w:val="009207AD"/>
    <w:rsid w:val="00920AD2"/>
    <w:rsid w:val="00920B61"/>
    <w:rsid w:val="00920EBB"/>
    <w:rsid w:val="009213A9"/>
    <w:rsid w:val="0092143C"/>
    <w:rsid w:val="009214AC"/>
    <w:rsid w:val="0092158F"/>
    <w:rsid w:val="0092164C"/>
    <w:rsid w:val="0092166B"/>
    <w:rsid w:val="00921961"/>
    <w:rsid w:val="00921EB5"/>
    <w:rsid w:val="009221AD"/>
    <w:rsid w:val="00922320"/>
    <w:rsid w:val="009225C5"/>
    <w:rsid w:val="00922691"/>
    <w:rsid w:val="009227CE"/>
    <w:rsid w:val="0092290D"/>
    <w:rsid w:val="00922A67"/>
    <w:rsid w:val="00922A8D"/>
    <w:rsid w:val="00922AAC"/>
    <w:rsid w:val="00922AD8"/>
    <w:rsid w:val="00923366"/>
    <w:rsid w:val="009234ED"/>
    <w:rsid w:val="00923749"/>
    <w:rsid w:val="00923915"/>
    <w:rsid w:val="009240B7"/>
    <w:rsid w:val="00924353"/>
    <w:rsid w:val="009243AA"/>
    <w:rsid w:val="00924474"/>
    <w:rsid w:val="009249A8"/>
    <w:rsid w:val="00924BC5"/>
    <w:rsid w:val="00924BDA"/>
    <w:rsid w:val="00924CA1"/>
    <w:rsid w:val="00924E52"/>
    <w:rsid w:val="0092571F"/>
    <w:rsid w:val="00925969"/>
    <w:rsid w:val="00925AD4"/>
    <w:rsid w:val="00925C8D"/>
    <w:rsid w:val="00925D65"/>
    <w:rsid w:val="0092600B"/>
    <w:rsid w:val="00926295"/>
    <w:rsid w:val="0092649F"/>
    <w:rsid w:val="009265C7"/>
    <w:rsid w:val="00926BE6"/>
    <w:rsid w:val="00926FB8"/>
    <w:rsid w:val="00927178"/>
    <w:rsid w:val="0092730D"/>
    <w:rsid w:val="00927F65"/>
    <w:rsid w:val="0093067E"/>
    <w:rsid w:val="00930D09"/>
    <w:rsid w:val="00930E14"/>
    <w:rsid w:val="00930E46"/>
    <w:rsid w:val="00930E71"/>
    <w:rsid w:val="009313F5"/>
    <w:rsid w:val="0093156C"/>
    <w:rsid w:val="00931B42"/>
    <w:rsid w:val="00931E2E"/>
    <w:rsid w:val="009320B3"/>
    <w:rsid w:val="009321DC"/>
    <w:rsid w:val="00932231"/>
    <w:rsid w:val="00932235"/>
    <w:rsid w:val="009328C9"/>
    <w:rsid w:val="00932B1B"/>
    <w:rsid w:val="00932C59"/>
    <w:rsid w:val="00932D96"/>
    <w:rsid w:val="009331CF"/>
    <w:rsid w:val="009334AC"/>
    <w:rsid w:val="00933DCB"/>
    <w:rsid w:val="00933EE9"/>
    <w:rsid w:val="00933F88"/>
    <w:rsid w:val="00934060"/>
    <w:rsid w:val="00934564"/>
    <w:rsid w:val="00934586"/>
    <w:rsid w:val="0093460A"/>
    <w:rsid w:val="00934A9B"/>
    <w:rsid w:val="00934CD0"/>
    <w:rsid w:val="009350A5"/>
    <w:rsid w:val="009350B6"/>
    <w:rsid w:val="009356DD"/>
    <w:rsid w:val="00935E03"/>
    <w:rsid w:val="009360D6"/>
    <w:rsid w:val="00936285"/>
    <w:rsid w:val="009363C6"/>
    <w:rsid w:val="009364DA"/>
    <w:rsid w:val="009369FC"/>
    <w:rsid w:val="00936A07"/>
    <w:rsid w:val="00936A56"/>
    <w:rsid w:val="00936AEE"/>
    <w:rsid w:val="00936BE2"/>
    <w:rsid w:val="00936C99"/>
    <w:rsid w:val="0093705F"/>
    <w:rsid w:val="00937303"/>
    <w:rsid w:val="00937398"/>
    <w:rsid w:val="009373A2"/>
    <w:rsid w:val="00937534"/>
    <w:rsid w:val="00937D0A"/>
    <w:rsid w:val="00937E53"/>
    <w:rsid w:val="009400A3"/>
    <w:rsid w:val="0094020F"/>
    <w:rsid w:val="0094031D"/>
    <w:rsid w:val="00940918"/>
    <w:rsid w:val="00940A20"/>
    <w:rsid w:val="00940F63"/>
    <w:rsid w:val="009411CB"/>
    <w:rsid w:val="00941270"/>
    <w:rsid w:val="0094146D"/>
    <w:rsid w:val="0094168E"/>
    <w:rsid w:val="009419E0"/>
    <w:rsid w:val="00941A22"/>
    <w:rsid w:val="00941B86"/>
    <w:rsid w:val="00941ED9"/>
    <w:rsid w:val="00942010"/>
    <w:rsid w:val="0094259E"/>
    <w:rsid w:val="00942700"/>
    <w:rsid w:val="00942922"/>
    <w:rsid w:val="009429B8"/>
    <w:rsid w:val="0094320A"/>
    <w:rsid w:val="0094359D"/>
    <w:rsid w:val="009435B1"/>
    <w:rsid w:val="0094361C"/>
    <w:rsid w:val="0094362B"/>
    <w:rsid w:val="009436AF"/>
    <w:rsid w:val="009438AA"/>
    <w:rsid w:val="00943982"/>
    <w:rsid w:val="00943B28"/>
    <w:rsid w:val="00943BA3"/>
    <w:rsid w:val="00943CA7"/>
    <w:rsid w:val="0094405A"/>
    <w:rsid w:val="00944553"/>
    <w:rsid w:val="00944656"/>
    <w:rsid w:val="00944739"/>
    <w:rsid w:val="009449A9"/>
    <w:rsid w:val="00944B63"/>
    <w:rsid w:val="00944F49"/>
    <w:rsid w:val="0094528C"/>
    <w:rsid w:val="0094582A"/>
    <w:rsid w:val="00945A89"/>
    <w:rsid w:val="00945D0B"/>
    <w:rsid w:val="009460B6"/>
    <w:rsid w:val="009461E3"/>
    <w:rsid w:val="00946470"/>
    <w:rsid w:val="009466E1"/>
    <w:rsid w:val="00946A04"/>
    <w:rsid w:val="00946DE4"/>
    <w:rsid w:val="00946F57"/>
    <w:rsid w:val="0094727C"/>
    <w:rsid w:val="00947284"/>
    <w:rsid w:val="00947806"/>
    <w:rsid w:val="00947981"/>
    <w:rsid w:val="00947D83"/>
    <w:rsid w:val="00947FA1"/>
    <w:rsid w:val="00950145"/>
    <w:rsid w:val="00950644"/>
    <w:rsid w:val="009507DF"/>
    <w:rsid w:val="00950C2A"/>
    <w:rsid w:val="00951033"/>
    <w:rsid w:val="0095167B"/>
    <w:rsid w:val="0095170D"/>
    <w:rsid w:val="0095197D"/>
    <w:rsid w:val="00951A72"/>
    <w:rsid w:val="00952529"/>
    <w:rsid w:val="009525A2"/>
    <w:rsid w:val="00952632"/>
    <w:rsid w:val="009526BE"/>
    <w:rsid w:val="009527CE"/>
    <w:rsid w:val="0095307F"/>
    <w:rsid w:val="009534AF"/>
    <w:rsid w:val="009538F5"/>
    <w:rsid w:val="0095398A"/>
    <w:rsid w:val="009539DE"/>
    <w:rsid w:val="009539E9"/>
    <w:rsid w:val="00953B8D"/>
    <w:rsid w:val="00953EDF"/>
    <w:rsid w:val="009541D5"/>
    <w:rsid w:val="009542A8"/>
    <w:rsid w:val="0095457F"/>
    <w:rsid w:val="00954744"/>
    <w:rsid w:val="009548FF"/>
    <w:rsid w:val="00954904"/>
    <w:rsid w:val="00954A21"/>
    <w:rsid w:val="00954FF0"/>
    <w:rsid w:val="00955186"/>
    <w:rsid w:val="0095544A"/>
    <w:rsid w:val="00955526"/>
    <w:rsid w:val="009559E3"/>
    <w:rsid w:val="0095645D"/>
    <w:rsid w:val="009565EA"/>
    <w:rsid w:val="0095672D"/>
    <w:rsid w:val="0095676E"/>
    <w:rsid w:val="00956876"/>
    <w:rsid w:val="009568B0"/>
    <w:rsid w:val="00956F68"/>
    <w:rsid w:val="0095707A"/>
    <w:rsid w:val="009570B7"/>
    <w:rsid w:val="0095765F"/>
    <w:rsid w:val="00957885"/>
    <w:rsid w:val="0095799E"/>
    <w:rsid w:val="009579AD"/>
    <w:rsid w:val="009579D3"/>
    <w:rsid w:val="00957F4B"/>
    <w:rsid w:val="00957F7A"/>
    <w:rsid w:val="00957FD5"/>
    <w:rsid w:val="00960441"/>
    <w:rsid w:val="009604BF"/>
    <w:rsid w:val="00960503"/>
    <w:rsid w:val="009608A5"/>
    <w:rsid w:val="00960B43"/>
    <w:rsid w:val="0096121B"/>
    <w:rsid w:val="00961593"/>
    <w:rsid w:val="0096184C"/>
    <w:rsid w:val="009618AB"/>
    <w:rsid w:val="00961A59"/>
    <w:rsid w:val="00961B70"/>
    <w:rsid w:val="00961DDB"/>
    <w:rsid w:val="00961FAC"/>
    <w:rsid w:val="00962302"/>
    <w:rsid w:val="009624F6"/>
    <w:rsid w:val="00962538"/>
    <w:rsid w:val="00962699"/>
    <w:rsid w:val="0096278E"/>
    <w:rsid w:val="00962DD6"/>
    <w:rsid w:val="00963398"/>
    <w:rsid w:val="009633C6"/>
    <w:rsid w:val="00963511"/>
    <w:rsid w:val="00963710"/>
    <w:rsid w:val="00963731"/>
    <w:rsid w:val="0096439B"/>
    <w:rsid w:val="009645AC"/>
    <w:rsid w:val="0096464F"/>
    <w:rsid w:val="0096486E"/>
    <w:rsid w:val="00964E0D"/>
    <w:rsid w:val="00964FE4"/>
    <w:rsid w:val="0096511C"/>
    <w:rsid w:val="00965269"/>
    <w:rsid w:val="009652FB"/>
    <w:rsid w:val="00965A15"/>
    <w:rsid w:val="00965A53"/>
    <w:rsid w:val="00965C2F"/>
    <w:rsid w:val="00966092"/>
    <w:rsid w:val="0096645E"/>
    <w:rsid w:val="009664BF"/>
    <w:rsid w:val="00966AF8"/>
    <w:rsid w:val="00966C09"/>
    <w:rsid w:val="00966CC4"/>
    <w:rsid w:val="00966DBB"/>
    <w:rsid w:val="00966F1B"/>
    <w:rsid w:val="00966FAE"/>
    <w:rsid w:val="00966FE7"/>
    <w:rsid w:val="00967B22"/>
    <w:rsid w:val="00967C8E"/>
    <w:rsid w:val="00967CE3"/>
    <w:rsid w:val="00967D1C"/>
    <w:rsid w:val="00967DFC"/>
    <w:rsid w:val="00967F8F"/>
    <w:rsid w:val="0097005B"/>
    <w:rsid w:val="00970072"/>
    <w:rsid w:val="00970534"/>
    <w:rsid w:val="009705A7"/>
    <w:rsid w:val="00970815"/>
    <w:rsid w:val="00970973"/>
    <w:rsid w:val="00970B43"/>
    <w:rsid w:val="00970D2E"/>
    <w:rsid w:val="00970F1F"/>
    <w:rsid w:val="00970F57"/>
    <w:rsid w:val="0097106A"/>
    <w:rsid w:val="00971114"/>
    <w:rsid w:val="009715AA"/>
    <w:rsid w:val="0097174F"/>
    <w:rsid w:val="009717F8"/>
    <w:rsid w:val="009719BF"/>
    <w:rsid w:val="009721D5"/>
    <w:rsid w:val="00972482"/>
    <w:rsid w:val="0097292B"/>
    <w:rsid w:val="00972A11"/>
    <w:rsid w:val="00972B62"/>
    <w:rsid w:val="00972BFC"/>
    <w:rsid w:val="00972C39"/>
    <w:rsid w:val="00972DB8"/>
    <w:rsid w:val="00972E25"/>
    <w:rsid w:val="00972FCE"/>
    <w:rsid w:val="009732E6"/>
    <w:rsid w:val="00973365"/>
    <w:rsid w:val="00973484"/>
    <w:rsid w:val="00973569"/>
    <w:rsid w:val="009738BF"/>
    <w:rsid w:val="00973E9B"/>
    <w:rsid w:val="00973F44"/>
    <w:rsid w:val="00973FBB"/>
    <w:rsid w:val="009740CD"/>
    <w:rsid w:val="00974104"/>
    <w:rsid w:val="00974151"/>
    <w:rsid w:val="0097465F"/>
    <w:rsid w:val="00974757"/>
    <w:rsid w:val="00974C26"/>
    <w:rsid w:val="00974E15"/>
    <w:rsid w:val="00975297"/>
    <w:rsid w:val="00975385"/>
    <w:rsid w:val="009753B6"/>
    <w:rsid w:val="0097585C"/>
    <w:rsid w:val="00975A54"/>
    <w:rsid w:val="00975A73"/>
    <w:rsid w:val="00975B37"/>
    <w:rsid w:val="00975CCE"/>
    <w:rsid w:val="00975F09"/>
    <w:rsid w:val="00975F54"/>
    <w:rsid w:val="0097605D"/>
    <w:rsid w:val="0097670E"/>
    <w:rsid w:val="009769F3"/>
    <w:rsid w:val="00976AB0"/>
    <w:rsid w:val="00976B36"/>
    <w:rsid w:val="00976BEC"/>
    <w:rsid w:val="009770E9"/>
    <w:rsid w:val="009771EA"/>
    <w:rsid w:val="009775C6"/>
    <w:rsid w:val="0097779C"/>
    <w:rsid w:val="0097784D"/>
    <w:rsid w:val="00977C67"/>
    <w:rsid w:val="00977CB4"/>
    <w:rsid w:val="00977D6D"/>
    <w:rsid w:val="00977E1A"/>
    <w:rsid w:val="00980069"/>
    <w:rsid w:val="009801B2"/>
    <w:rsid w:val="00980242"/>
    <w:rsid w:val="009802F7"/>
    <w:rsid w:val="00980F5A"/>
    <w:rsid w:val="00980F87"/>
    <w:rsid w:val="009810BB"/>
    <w:rsid w:val="00981427"/>
    <w:rsid w:val="0098142F"/>
    <w:rsid w:val="00981467"/>
    <w:rsid w:val="0098167D"/>
    <w:rsid w:val="00981F2F"/>
    <w:rsid w:val="00982C08"/>
    <w:rsid w:val="00983028"/>
    <w:rsid w:val="0098302B"/>
    <w:rsid w:val="00983343"/>
    <w:rsid w:val="009836E1"/>
    <w:rsid w:val="009838F0"/>
    <w:rsid w:val="009842A1"/>
    <w:rsid w:val="00984441"/>
    <w:rsid w:val="009844CF"/>
    <w:rsid w:val="00984A20"/>
    <w:rsid w:val="00984DD8"/>
    <w:rsid w:val="00984E96"/>
    <w:rsid w:val="009850A1"/>
    <w:rsid w:val="009852D8"/>
    <w:rsid w:val="009852FC"/>
    <w:rsid w:val="00985388"/>
    <w:rsid w:val="00985483"/>
    <w:rsid w:val="009855DA"/>
    <w:rsid w:val="0098594E"/>
    <w:rsid w:val="009859AE"/>
    <w:rsid w:val="00985A71"/>
    <w:rsid w:val="00986818"/>
    <w:rsid w:val="00986E23"/>
    <w:rsid w:val="00986E4D"/>
    <w:rsid w:val="00986EFB"/>
    <w:rsid w:val="009870FC"/>
    <w:rsid w:val="00987100"/>
    <w:rsid w:val="0098724D"/>
    <w:rsid w:val="0098767B"/>
    <w:rsid w:val="00987731"/>
    <w:rsid w:val="009879F3"/>
    <w:rsid w:val="00987DE2"/>
    <w:rsid w:val="00990257"/>
    <w:rsid w:val="009904BA"/>
    <w:rsid w:val="00990688"/>
    <w:rsid w:val="0099085F"/>
    <w:rsid w:val="0099087E"/>
    <w:rsid w:val="009908AE"/>
    <w:rsid w:val="00990D33"/>
    <w:rsid w:val="0099131A"/>
    <w:rsid w:val="0099135C"/>
    <w:rsid w:val="0099146A"/>
    <w:rsid w:val="009914E2"/>
    <w:rsid w:val="009918F6"/>
    <w:rsid w:val="00991A2C"/>
    <w:rsid w:val="00991F89"/>
    <w:rsid w:val="00992020"/>
    <w:rsid w:val="00992025"/>
    <w:rsid w:val="00992229"/>
    <w:rsid w:val="009923CA"/>
    <w:rsid w:val="00992551"/>
    <w:rsid w:val="009925DB"/>
    <w:rsid w:val="00992E66"/>
    <w:rsid w:val="00993004"/>
    <w:rsid w:val="00993080"/>
    <w:rsid w:val="00993114"/>
    <w:rsid w:val="009933A3"/>
    <w:rsid w:val="009933F7"/>
    <w:rsid w:val="009937BC"/>
    <w:rsid w:val="0099392A"/>
    <w:rsid w:val="00993983"/>
    <w:rsid w:val="00993A93"/>
    <w:rsid w:val="00993B72"/>
    <w:rsid w:val="00993CC9"/>
    <w:rsid w:val="009940A4"/>
    <w:rsid w:val="009941AD"/>
    <w:rsid w:val="0099456C"/>
    <w:rsid w:val="0099483C"/>
    <w:rsid w:val="009948D4"/>
    <w:rsid w:val="00994CA7"/>
    <w:rsid w:val="00994DD5"/>
    <w:rsid w:val="00995AD7"/>
    <w:rsid w:val="00995D0F"/>
    <w:rsid w:val="0099619A"/>
    <w:rsid w:val="0099639D"/>
    <w:rsid w:val="00996614"/>
    <w:rsid w:val="0099661F"/>
    <w:rsid w:val="009967C3"/>
    <w:rsid w:val="00996905"/>
    <w:rsid w:val="00996A52"/>
    <w:rsid w:val="00996C6A"/>
    <w:rsid w:val="00996E36"/>
    <w:rsid w:val="00996E81"/>
    <w:rsid w:val="00996EB5"/>
    <w:rsid w:val="00996F24"/>
    <w:rsid w:val="0099720D"/>
    <w:rsid w:val="009976DF"/>
    <w:rsid w:val="009977D2"/>
    <w:rsid w:val="009979C9"/>
    <w:rsid w:val="00997AC5"/>
    <w:rsid w:val="009A00BE"/>
    <w:rsid w:val="009A01E8"/>
    <w:rsid w:val="009A040B"/>
    <w:rsid w:val="009A075F"/>
    <w:rsid w:val="009A0A9A"/>
    <w:rsid w:val="009A0D27"/>
    <w:rsid w:val="009A0FC4"/>
    <w:rsid w:val="009A111F"/>
    <w:rsid w:val="009A1166"/>
    <w:rsid w:val="009A12B2"/>
    <w:rsid w:val="009A1740"/>
    <w:rsid w:val="009A17A8"/>
    <w:rsid w:val="009A1B5A"/>
    <w:rsid w:val="009A1F36"/>
    <w:rsid w:val="009A1F95"/>
    <w:rsid w:val="009A2132"/>
    <w:rsid w:val="009A21C2"/>
    <w:rsid w:val="009A233C"/>
    <w:rsid w:val="009A24C7"/>
    <w:rsid w:val="009A26A2"/>
    <w:rsid w:val="009A277C"/>
    <w:rsid w:val="009A2789"/>
    <w:rsid w:val="009A28E5"/>
    <w:rsid w:val="009A2C5E"/>
    <w:rsid w:val="009A2D26"/>
    <w:rsid w:val="009A2DC3"/>
    <w:rsid w:val="009A311E"/>
    <w:rsid w:val="009A3247"/>
    <w:rsid w:val="009A3488"/>
    <w:rsid w:val="009A348F"/>
    <w:rsid w:val="009A37D5"/>
    <w:rsid w:val="009A3982"/>
    <w:rsid w:val="009A3E7C"/>
    <w:rsid w:val="009A3F8D"/>
    <w:rsid w:val="009A412C"/>
    <w:rsid w:val="009A42A7"/>
    <w:rsid w:val="009A4305"/>
    <w:rsid w:val="009A459C"/>
    <w:rsid w:val="009A46E5"/>
    <w:rsid w:val="009A47B6"/>
    <w:rsid w:val="009A494A"/>
    <w:rsid w:val="009A4EC3"/>
    <w:rsid w:val="009A4F7A"/>
    <w:rsid w:val="009A50FA"/>
    <w:rsid w:val="009A51A3"/>
    <w:rsid w:val="009A52FD"/>
    <w:rsid w:val="009A57E1"/>
    <w:rsid w:val="009A580E"/>
    <w:rsid w:val="009A595D"/>
    <w:rsid w:val="009A5979"/>
    <w:rsid w:val="009A64A8"/>
    <w:rsid w:val="009A6513"/>
    <w:rsid w:val="009A6A4D"/>
    <w:rsid w:val="009A6E18"/>
    <w:rsid w:val="009A6F01"/>
    <w:rsid w:val="009A6F74"/>
    <w:rsid w:val="009A6FF9"/>
    <w:rsid w:val="009A72F3"/>
    <w:rsid w:val="009A73FC"/>
    <w:rsid w:val="009A76C2"/>
    <w:rsid w:val="009A7780"/>
    <w:rsid w:val="009A7787"/>
    <w:rsid w:val="009A783A"/>
    <w:rsid w:val="009A796D"/>
    <w:rsid w:val="009A7997"/>
    <w:rsid w:val="009A7D63"/>
    <w:rsid w:val="009B0253"/>
    <w:rsid w:val="009B041C"/>
    <w:rsid w:val="009B04A2"/>
    <w:rsid w:val="009B0768"/>
    <w:rsid w:val="009B078F"/>
    <w:rsid w:val="009B0889"/>
    <w:rsid w:val="009B08B7"/>
    <w:rsid w:val="009B128D"/>
    <w:rsid w:val="009B1299"/>
    <w:rsid w:val="009B1A35"/>
    <w:rsid w:val="009B1D08"/>
    <w:rsid w:val="009B1E82"/>
    <w:rsid w:val="009B2138"/>
    <w:rsid w:val="009B2334"/>
    <w:rsid w:val="009B27B7"/>
    <w:rsid w:val="009B2BFF"/>
    <w:rsid w:val="009B31F5"/>
    <w:rsid w:val="009B37D8"/>
    <w:rsid w:val="009B3944"/>
    <w:rsid w:val="009B3EE3"/>
    <w:rsid w:val="009B42F8"/>
    <w:rsid w:val="009B435B"/>
    <w:rsid w:val="009B43F6"/>
    <w:rsid w:val="009B43FB"/>
    <w:rsid w:val="009B45C6"/>
    <w:rsid w:val="009B46E6"/>
    <w:rsid w:val="009B477D"/>
    <w:rsid w:val="009B4A6C"/>
    <w:rsid w:val="009B4BEB"/>
    <w:rsid w:val="009B4DB3"/>
    <w:rsid w:val="009B4E90"/>
    <w:rsid w:val="009B4EFF"/>
    <w:rsid w:val="009B4F34"/>
    <w:rsid w:val="009B4FC3"/>
    <w:rsid w:val="009B51D6"/>
    <w:rsid w:val="009B52F7"/>
    <w:rsid w:val="009B548D"/>
    <w:rsid w:val="009B5591"/>
    <w:rsid w:val="009B56F6"/>
    <w:rsid w:val="009B5731"/>
    <w:rsid w:val="009B5741"/>
    <w:rsid w:val="009B57DD"/>
    <w:rsid w:val="009B599F"/>
    <w:rsid w:val="009B5AC4"/>
    <w:rsid w:val="009B62CD"/>
    <w:rsid w:val="009B634F"/>
    <w:rsid w:val="009B63C8"/>
    <w:rsid w:val="009B6480"/>
    <w:rsid w:val="009B65FF"/>
    <w:rsid w:val="009B706E"/>
    <w:rsid w:val="009B74B8"/>
    <w:rsid w:val="009B74BB"/>
    <w:rsid w:val="009B7586"/>
    <w:rsid w:val="009B7C06"/>
    <w:rsid w:val="009B7CAB"/>
    <w:rsid w:val="009C01F8"/>
    <w:rsid w:val="009C0972"/>
    <w:rsid w:val="009C0CC4"/>
    <w:rsid w:val="009C0EE1"/>
    <w:rsid w:val="009C0F03"/>
    <w:rsid w:val="009C1116"/>
    <w:rsid w:val="009C13CE"/>
    <w:rsid w:val="009C1659"/>
    <w:rsid w:val="009C17C0"/>
    <w:rsid w:val="009C1ABC"/>
    <w:rsid w:val="009C1F4C"/>
    <w:rsid w:val="009C1F7D"/>
    <w:rsid w:val="009C2069"/>
    <w:rsid w:val="009C221E"/>
    <w:rsid w:val="009C23CE"/>
    <w:rsid w:val="009C2789"/>
    <w:rsid w:val="009C27B0"/>
    <w:rsid w:val="009C27C6"/>
    <w:rsid w:val="009C293A"/>
    <w:rsid w:val="009C2D81"/>
    <w:rsid w:val="009C351B"/>
    <w:rsid w:val="009C373A"/>
    <w:rsid w:val="009C39DB"/>
    <w:rsid w:val="009C3D42"/>
    <w:rsid w:val="009C3F06"/>
    <w:rsid w:val="009C4545"/>
    <w:rsid w:val="009C491C"/>
    <w:rsid w:val="009C492A"/>
    <w:rsid w:val="009C49F5"/>
    <w:rsid w:val="009C4CD3"/>
    <w:rsid w:val="009C4D08"/>
    <w:rsid w:val="009C4F22"/>
    <w:rsid w:val="009C5092"/>
    <w:rsid w:val="009C5393"/>
    <w:rsid w:val="009C54CA"/>
    <w:rsid w:val="009C54F5"/>
    <w:rsid w:val="009C565F"/>
    <w:rsid w:val="009C5692"/>
    <w:rsid w:val="009C56B4"/>
    <w:rsid w:val="009C5A15"/>
    <w:rsid w:val="009C5A3F"/>
    <w:rsid w:val="009C5B68"/>
    <w:rsid w:val="009C617A"/>
    <w:rsid w:val="009C64A5"/>
    <w:rsid w:val="009C6759"/>
    <w:rsid w:val="009C6A51"/>
    <w:rsid w:val="009C6BFD"/>
    <w:rsid w:val="009C6C80"/>
    <w:rsid w:val="009C6EDC"/>
    <w:rsid w:val="009C7708"/>
    <w:rsid w:val="009C7A20"/>
    <w:rsid w:val="009C7B89"/>
    <w:rsid w:val="009C7BA7"/>
    <w:rsid w:val="009C7C39"/>
    <w:rsid w:val="009C7D46"/>
    <w:rsid w:val="009C7F79"/>
    <w:rsid w:val="009D0002"/>
    <w:rsid w:val="009D02CD"/>
    <w:rsid w:val="009D02FC"/>
    <w:rsid w:val="009D0368"/>
    <w:rsid w:val="009D05C0"/>
    <w:rsid w:val="009D09EA"/>
    <w:rsid w:val="009D0A06"/>
    <w:rsid w:val="009D0A54"/>
    <w:rsid w:val="009D0C3C"/>
    <w:rsid w:val="009D0EFD"/>
    <w:rsid w:val="009D10D8"/>
    <w:rsid w:val="009D166F"/>
    <w:rsid w:val="009D1697"/>
    <w:rsid w:val="009D17D5"/>
    <w:rsid w:val="009D1FF5"/>
    <w:rsid w:val="009D2165"/>
    <w:rsid w:val="009D2289"/>
    <w:rsid w:val="009D2770"/>
    <w:rsid w:val="009D29C5"/>
    <w:rsid w:val="009D2B7F"/>
    <w:rsid w:val="009D2BDF"/>
    <w:rsid w:val="009D2E06"/>
    <w:rsid w:val="009D3237"/>
    <w:rsid w:val="009D330A"/>
    <w:rsid w:val="009D35D9"/>
    <w:rsid w:val="009D360C"/>
    <w:rsid w:val="009D3628"/>
    <w:rsid w:val="009D376C"/>
    <w:rsid w:val="009D3A04"/>
    <w:rsid w:val="009D3BBA"/>
    <w:rsid w:val="009D3DB8"/>
    <w:rsid w:val="009D3F41"/>
    <w:rsid w:val="009D452B"/>
    <w:rsid w:val="009D471F"/>
    <w:rsid w:val="009D4C2A"/>
    <w:rsid w:val="009D4C57"/>
    <w:rsid w:val="009D4DBC"/>
    <w:rsid w:val="009D51A4"/>
    <w:rsid w:val="009D5570"/>
    <w:rsid w:val="009D5E02"/>
    <w:rsid w:val="009D6914"/>
    <w:rsid w:val="009D6CA5"/>
    <w:rsid w:val="009D6FCB"/>
    <w:rsid w:val="009D7087"/>
    <w:rsid w:val="009D7553"/>
    <w:rsid w:val="009D7738"/>
    <w:rsid w:val="009D785A"/>
    <w:rsid w:val="009D7B8D"/>
    <w:rsid w:val="009D7D56"/>
    <w:rsid w:val="009D7E63"/>
    <w:rsid w:val="009D7F6D"/>
    <w:rsid w:val="009E0283"/>
    <w:rsid w:val="009E0386"/>
    <w:rsid w:val="009E065D"/>
    <w:rsid w:val="009E08D4"/>
    <w:rsid w:val="009E0989"/>
    <w:rsid w:val="009E0F4A"/>
    <w:rsid w:val="009E1505"/>
    <w:rsid w:val="009E18C3"/>
    <w:rsid w:val="009E1A3C"/>
    <w:rsid w:val="009E1B4A"/>
    <w:rsid w:val="009E1C22"/>
    <w:rsid w:val="009E1D1A"/>
    <w:rsid w:val="009E1D29"/>
    <w:rsid w:val="009E1F0D"/>
    <w:rsid w:val="009E2187"/>
    <w:rsid w:val="009E231E"/>
    <w:rsid w:val="009E2481"/>
    <w:rsid w:val="009E2510"/>
    <w:rsid w:val="009E2636"/>
    <w:rsid w:val="009E27A8"/>
    <w:rsid w:val="009E2A8B"/>
    <w:rsid w:val="009E2DA8"/>
    <w:rsid w:val="009E2E66"/>
    <w:rsid w:val="009E3105"/>
    <w:rsid w:val="009E3606"/>
    <w:rsid w:val="009E37E4"/>
    <w:rsid w:val="009E394B"/>
    <w:rsid w:val="009E39D6"/>
    <w:rsid w:val="009E3AA2"/>
    <w:rsid w:val="009E3BEF"/>
    <w:rsid w:val="009E3C7E"/>
    <w:rsid w:val="009E3EC3"/>
    <w:rsid w:val="009E40A3"/>
    <w:rsid w:val="009E43E8"/>
    <w:rsid w:val="009E4487"/>
    <w:rsid w:val="009E4A1C"/>
    <w:rsid w:val="009E4C70"/>
    <w:rsid w:val="009E4DFC"/>
    <w:rsid w:val="009E52B2"/>
    <w:rsid w:val="009E558A"/>
    <w:rsid w:val="009E57B4"/>
    <w:rsid w:val="009E5962"/>
    <w:rsid w:val="009E5A80"/>
    <w:rsid w:val="009E5AFF"/>
    <w:rsid w:val="009E5B95"/>
    <w:rsid w:val="009E5D64"/>
    <w:rsid w:val="009E5F8B"/>
    <w:rsid w:val="009E6050"/>
    <w:rsid w:val="009E614C"/>
    <w:rsid w:val="009E61E9"/>
    <w:rsid w:val="009E6476"/>
    <w:rsid w:val="009E6E04"/>
    <w:rsid w:val="009E6EF1"/>
    <w:rsid w:val="009E6EF9"/>
    <w:rsid w:val="009E6F1B"/>
    <w:rsid w:val="009E7138"/>
    <w:rsid w:val="009E735F"/>
    <w:rsid w:val="009E7696"/>
    <w:rsid w:val="009E7746"/>
    <w:rsid w:val="009E79DA"/>
    <w:rsid w:val="009E7A04"/>
    <w:rsid w:val="009E7A84"/>
    <w:rsid w:val="009E7BDE"/>
    <w:rsid w:val="009F02C0"/>
    <w:rsid w:val="009F0319"/>
    <w:rsid w:val="009F0381"/>
    <w:rsid w:val="009F0492"/>
    <w:rsid w:val="009F0580"/>
    <w:rsid w:val="009F06A4"/>
    <w:rsid w:val="009F06B6"/>
    <w:rsid w:val="009F0A36"/>
    <w:rsid w:val="009F10C0"/>
    <w:rsid w:val="009F13DD"/>
    <w:rsid w:val="009F1763"/>
    <w:rsid w:val="009F17BA"/>
    <w:rsid w:val="009F18C1"/>
    <w:rsid w:val="009F193A"/>
    <w:rsid w:val="009F1AFC"/>
    <w:rsid w:val="009F1D3F"/>
    <w:rsid w:val="009F1DC5"/>
    <w:rsid w:val="009F1E93"/>
    <w:rsid w:val="009F1F1A"/>
    <w:rsid w:val="009F2252"/>
    <w:rsid w:val="009F2855"/>
    <w:rsid w:val="009F29A1"/>
    <w:rsid w:val="009F2F83"/>
    <w:rsid w:val="009F30E7"/>
    <w:rsid w:val="009F313D"/>
    <w:rsid w:val="009F3366"/>
    <w:rsid w:val="009F3522"/>
    <w:rsid w:val="009F3631"/>
    <w:rsid w:val="009F363C"/>
    <w:rsid w:val="009F3790"/>
    <w:rsid w:val="009F384D"/>
    <w:rsid w:val="009F3AF4"/>
    <w:rsid w:val="009F429E"/>
    <w:rsid w:val="009F4474"/>
    <w:rsid w:val="009F4539"/>
    <w:rsid w:val="009F476C"/>
    <w:rsid w:val="009F5187"/>
    <w:rsid w:val="009F51B1"/>
    <w:rsid w:val="009F539C"/>
    <w:rsid w:val="009F5829"/>
    <w:rsid w:val="009F586C"/>
    <w:rsid w:val="009F5905"/>
    <w:rsid w:val="009F5BB8"/>
    <w:rsid w:val="009F5D30"/>
    <w:rsid w:val="009F5D86"/>
    <w:rsid w:val="009F62CB"/>
    <w:rsid w:val="009F649A"/>
    <w:rsid w:val="009F69C2"/>
    <w:rsid w:val="009F69E4"/>
    <w:rsid w:val="009F6A33"/>
    <w:rsid w:val="009F6DF6"/>
    <w:rsid w:val="009F6F46"/>
    <w:rsid w:val="009F7252"/>
    <w:rsid w:val="009F7A90"/>
    <w:rsid w:val="009F7CEB"/>
    <w:rsid w:val="009F7D94"/>
    <w:rsid w:val="009F7ECA"/>
    <w:rsid w:val="00A0056D"/>
    <w:rsid w:val="00A00BF6"/>
    <w:rsid w:val="00A00C25"/>
    <w:rsid w:val="00A00CC6"/>
    <w:rsid w:val="00A01045"/>
    <w:rsid w:val="00A01057"/>
    <w:rsid w:val="00A011A8"/>
    <w:rsid w:val="00A01346"/>
    <w:rsid w:val="00A01B76"/>
    <w:rsid w:val="00A01DE2"/>
    <w:rsid w:val="00A02560"/>
    <w:rsid w:val="00A0270C"/>
    <w:rsid w:val="00A02878"/>
    <w:rsid w:val="00A02D42"/>
    <w:rsid w:val="00A02EC2"/>
    <w:rsid w:val="00A02F40"/>
    <w:rsid w:val="00A03256"/>
    <w:rsid w:val="00A03258"/>
    <w:rsid w:val="00A033C1"/>
    <w:rsid w:val="00A037EA"/>
    <w:rsid w:val="00A03A87"/>
    <w:rsid w:val="00A03BFD"/>
    <w:rsid w:val="00A03CA9"/>
    <w:rsid w:val="00A03E97"/>
    <w:rsid w:val="00A040FD"/>
    <w:rsid w:val="00A0426A"/>
    <w:rsid w:val="00A042EA"/>
    <w:rsid w:val="00A04C0D"/>
    <w:rsid w:val="00A04EE0"/>
    <w:rsid w:val="00A04F33"/>
    <w:rsid w:val="00A0509C"/>
    <w:rsid w:val="00A05282"/>
    <w:rsid w:val="00A052D0"/>
    <w:rsid w:val="00A0586E"/>
    <w:rsid w:val="00A05ECC"/>
    <w:rsid w:val="00A05F86"/>
    <w:rsid w:val="00A06097"/>
    <w:rsid w:val="00A063AD"/>
    <w:rsid w:val="00A064D9"/>
    <w:rsid w:val="00A06616"/>
    <w:rsid w:val="00A069D1"/>
    <w:rsid w:val="00A06B31"/>
    <w:rsid w:val="00A06BBB"/>
    <w:rsid w:val="00A06C7C"/>
    <w:rsid w:val="00A06F61"/>
    <w:rsid w:val="00A070CD"/>
    <w:rsid w:val="00A07273"/>
    <w:rsid w:val="00A07327"/>
    <w:rsid w:val="00A0760E"/>
    <w:rsid w:val="00A0770C"/>
    <w:rsid w:val="00A077BD"/>
    <w:rsid w:val="00A079A3"/>
    <w:rsid w:val="00A07ABF"/>
    <w:rsid w:val="00A07C09"/>
    <w:rsid w:val="00A07CFB"/>
    <w:rsid w:val="00A07ED6"/>
    <w:rsid w:val="00A1089A"/>
    <w:rsid w:val="00A10B9D"/>
    <w:rsid w:val="00A10FBF"/>
    <w:rsid w:val="00A112D6"/>
    <w:rsid w:val="00A117E9"/>
    <w:rsid w:val="00A1205A"/>
    <w:rsid w:val="00A122FE"/>
    <w:rsid w:val="00A12A44"/>
    <w:rsid w:val="00A12C67"/>
    <w:rsid w:val="00A13A51"/>
    <w:rsid w:val="00A13B4B"/>
    <w:rsid w:val="00A14074"/>
    <w:rsid w:val="00A14142"/>
    <w:rsid w:val="00A14209"/>
    <w:rsid w:val="00A143B0"/>
    <w:rsid w:val="00A15007"/>
    <w:rsid w:val="00A152B6"/>
    <w:rsid w:val="00A15367"/>
    <w:rsid w:val="00A15409"/>
    <w:rsid w:val="00A1563D"/>
    <w:rsid w:val="00A157AE"/>
    <w:rsid w:val="00A158B4"/>
    <w:rsid w:val="00A15937"/>
    <w:rsid w:val="00A15AD2"/>
    <w:rsid w:val="00A15D41"/>
    <w:rsid w:val="00A15F5F"/>
    <w:rsid w:val="00A161A4"/>
    <w:rsid w:val="00A1643F"/>
    <w:rsid w:val="00A164A5"/>
    <w:rsid w:val="00A16638"/>
    <w:rsid w:val="00A16AC6"/>
    <w:rsid w:val="00A171C5"/>
    <w:rsid w:val="00A17433"/>
    <w:rsid w:val="00A17490"/>
    <w:rsid w:val="00A178EA"/>
    <w:rsid w:val="00A179C8"/>
    <w:rsid w:val="00A17EB5"/>
    <w:rsid w:val="00A17FF1"/>
    <w:rsid w:val="00A2030B"/>
    <w:rsid w:val="00A20392"/>
    <w:rsid w:val="00A205AF"/>
    <w:rsid w:val="00A205F2"/>
    <w:rsid w:val="00A20624"/>
    <w:rsid w:val="00A2086D"/>
    <w:rsid w:val="00A20B1A"/>
    <w:rsid w:val="00A20E4A"/>
    <w:rsid w:val="00A2122A"/>
    <w:rsid w:val="00A212A5"/>
    <w:rsid w:val="00A213C2"/>
    <w:rsid w:val="00A21622"/>
    <w:rsid w:val="00A216F9"/>
    <w:rsid w:val="00A21A7E"/>
    <w:rsid w:val="00A21FD8"/>
    <w:rsid w:val="00A221BE"/>
    <w:rsid w:val="00A221E1"/>
    <w:rsid w:val="00A221FB"/>
    <w:rsid w:val="00A2222D"/>
    <w:rsid w:val="00A22290"/>
    <w:rsid w:val="00A228D4"/>
    <w:rsid w:val="00A2291E"/>
    <w:rsid w:val="00A22931"/>
    <w:rsid w:val="00A2299B"/>
    <w:rsid w:val="00A22A39"/>
    <w:rsid w:val="00A22CFA"/>
    <w:rsid w:val="00A22EB7"/>
    <w:rsid w:val="00A22F05"/>
    <w:rsid w:val="00A230DC"/>
    <w:rsid w:val="00A2315A"/>
    <w:rsid w:val="00A23406"/>
    <w:rsid w:val="00A23410"/>
    <w:rsid w:val="00A236CE"/>
    <w:rsid w:val="00A23939"/>
    <w:rsid w:val="00A23B44"/>
    <w:rsid w:val="00A2410B"/>
    <w:rsid w:val="00A24564"/>
    <w:rsid w:val="00A24A5E"/>
    <w:rsid w:val="00A24C42"/>
    <w:rsid w:val="00A24DD2"/>
    <w:rsid w:val="00A24DEB"/>
    <w:rsid w:val="00A25193"/>
    <w:rsid w:val="00A251B5"/>
    <w:rsid w:val="00A2594C"/>
    <w:rsid w:val="00A25D56"/>
    <w:rsid w:val="00A25D67"/>
    <w:rsid w:val="00A26032"/>
    <w:rsid w:val="00A26097"/>
    <w:rsid w:val="00A2666D"/>
    <w:rsid w:val="00A2672F"/>
    <w:rsid w:val="00A26816"/>
    <w:rsid w:val="00A26835"/>
    <w:rsid w:val="00A268C1"/>
    <w:rsid w:val="00A26E4A"/>
    <w:rsid w:val="00A26F33"/>
    <w:rsid w:val="00A2708A"/>
    <w:rsid w:val="00A27263"/>
    <w:rsid w:val="00A27400"/>
    <w:rsid w:val="00A27688"/>
    <w:rsid w:val="00A27C82"/>
    <w:rsid w:val="00A27DFB"/>
    <w:rsid w:val="00A30193"/>
    <w:rsid w:val="00A3037A"/>
    <w:rsid w:val="00A306B8"/>
    <w:rsid w:val="00A3099F"/>
    <w:rsid w:val="00A30E4A"/>
    <w:rsid w:val="00A30F25"/>
    <w:rsid w:val="00A31075"/>
    <w:rsid w:val="00A310D8"/>
    <w:rsid w:val="00A316A2"/>
    <w:rsid w:val="00A3179B"/>
    <w:rsid w:val="00A32236"/>
    <w:rsid w:val="00A328BF"/>
    <w:rsid w:val="00A32B1E"/>
    <w:rsid w:val="00A32B91"/>
    <w:rsid w:val="00A32DFD"/>
    <w:rsid w:val="00A32F86"/>
    <w:rsid w:val="00A333A7"/>
    <w:rsid w:val="00A33751"/>
    <w:rsid w:val="00A33A2B"/>
    <w:rsid w:val="00A34222"/>
    <w:rsid w:val="00A3427C"/>
    <w:rsid w:val="00A34436"/>
    <w:rsid w:val="00A34C3F"/>
    <w:rsid w:val="00A34DC2"/>
    <w:rsid w:val="00A34FED"/>
    <w:rsid w:val="00A3518B"/>
    <w:rsid w:val="00A35381"/>
    <w:rsid w:val="00A356BF"/>
    <w:rsid w:val="00A35D60"/>
    <w:rsid w:val="00A36388"/>
    <w:rsid w:val="00A363D8"/>
    <w:rsid w:val="00A3654C"/>
    <w:rsid w:val="00A365A2"/>
    <w:rsid w:val="00A3688D"/>
    <w:rsid w:val="00A36A33"/>
    <w:rsid w:val="00A36B75"/>
    <w:rsid w:val="00A36DEB"/>
    <w:rsid w:val="00A370F3"/>
    <w:rsid w:val="00A3742C"/>
    <w:rsid w:val="00A3750D"/>
    <w:rsid w:val="00A37679"/>
    <w:rsid w:val="00A37798"/>
    <w:rsid w:val="00A37D18"/>
    <w:rsid w:val="00A37FED"/>
    <w:rsid w:val="00A40408"/>
    <w:rsid w:val="00A4043C"/>
    <w:rsid w:val="00A4051C"/>
    <w:rsid w:val="00A40599"/>
    <w:rsid w:val="00A41338"/>
    <w:rsid w:val="00A4169E"/>
    <w:rsid w:val="00A416F0"/>
    <w:rsid w:val="00A41B41"/>
    <w:rsid w:val="00A41BB4"/>
    <w:rsid w:val="00A41C81"/>
    <w:rsid w:val="00A41E5D"/>
    <w:rsid w:val="00A41EAE"/>
    <w:rsid w:val="00A41F60"/>
    <w:rsid w:val="00A423E6"/>
    <w:rsid w:val="00A4261A"/>
    <w:rsid w:val="00A426F8"/>
    <w:rsid w:val="00A427F7"/>
    <w:rsid w:val="00A429EF"/>
    <w:rsid w:val="00A43377"/>
    <w:rsid w:val="00A4344B"/>
    <w:rsid w:val="00A43A66"/>
    <w:rsid w:val="00A43CE2"/>
    <w:rsid w:val="00A43FD1"/>
    <w:rsid w:val="00A442AC"/>
    <w:rsid w:val="00A44377"/>
    <w:rsid w:val="00A44A7C"/>
    <w:rsid w:val="00A44C89"/>
    <w:rsid w:val="00A44DC6"/>
    <w:rsid w:val="00A44E00"/>
    <w:rsid w:val="00A44F84"/>
    <w:rsid w:val="00A45200"/>
    <w:rsid w:val="00A45378"/>
    <w:rsid w:val="00A456A1"/>
    <w:rsid w:val="00A45952"/>
    <w:rsid w:val="00A459CA"/>
    <w:rsid w:val="00A45A51"/>
    <w:rsid w:val="00A45CAB"/>
    <w:rsid w:val="00A45D87"/>
    <w:rsid w:val="00A45EF1"/>
    <w:rsid w:val="00A45FA1"/>
    <w:rsid w:val="00A46136"/>
    <w:rsid w:val="00A464CB"/>
    <w:rsid w:val="00A46511"/>
    <w:rsid w:val="00A46868"/>
    <w:rsid w:val="00A46D7D"/>
    <w:rsid w:val="00A470C6"/>
    <w:rsid w:val="00A4731B"/>
    <w:rsid w:val="00A4770F"/>
    <w:rsid w:val="00A47B2B"/>
    <w:rsid w:val="00A47F16"/>
    <w:rsid w:val="00A47FF5"/>
    <w:rsid w:val="00A5043A"/>
    <w:rsid w:val="00A505A6"/>
    <w:rsid w:val="00A50F2F"/>
    <w:rsid w:val="00A5117F"/>
    <w:rsid w:val="00A512F4"/>
    <w:rsid w:val="00A517B3"/>
    <w:rsid w:val="00A51B1A"/>
    <w:rsid w:val="00A51EEB"/>
    <w:rsid w:val="00A51F58"/>
    <w:rsid w:val="00A521C1"/>
    <w:rsid w:val="00A52431"/>
    <w:rsid w:val="00A525D3"/>
    <w:rsid w:val="00A52A3F"/>
    <w:rsid w:val="00A52A42"/>
    <w:rsid w:val="00A52EDA"/>
    <w:rsid w:val="00A53243"/>
    <w:rsid w:val="00A535FB"/>
    <w:rsid w:val="00A53963"/>
    <w:rsid w:val="00A539FF"/>
    <w:rsid w:val="00A53D88"/>
    <w:rsid w:val="00A53FA8"/>
    <w:rsid w:val="00A54498"/>
    <w:rsid w:val="00A5453C"/>
    <w:rsid w:val="00A550AE"/>
    <w:rsid w:val="00A550BD"/>
    <w:rsid w:val="00A55E0E"/>
    <w:rsid w:val="00A561A2"/>
    <w:rsid w:val="00A561AE"/>
    <w:rsid w:val="00A56ADB"/>
    <w:rsid w:val="00A56B43"/>
    <w:rsid w:val="00A56D11"/>
    <w:rsid w:val="00A56E08"/>
    <w:rsid w:val="00A57154"/>
    <w:rsid w:val="00A5745B"/>
    <w:rsid w:val="00A576BA"/>
    <w:rsid w:val="00A57BE0"/>
    <w:rsid w:val="00A609AE"/>
    <w:rsid w:val="00A60D93"/>
    <w:rsid w:val="00A612AE"/>
    <w:rsid w:val="00A61469"/>
    <w:rsid w:val="00A6151B"/>
    <w:rsid w:val="00A618A7"/>
    <w:rsid w:val="00A61996"/>
    <w:rsid w:val="00A619D2"/>
    <w:rsid w:val="00A61B06"/>
    <w:rsid w:val="00A61E47"/>
    <w:rsid w:val="00A6238E"/>
    <w:rsid w:val="00A6262E"/>
    <w:rsid w:val="00A62655"/>
    <w:rsid w:val="00A62942"/>
    <w:rsid w:val="00A629D8"/>
    <w:rsid w:val="00A62ACF"/>
    <w:rsid w:val="00A62E60"/>
    <w:rsid w:val="00A62EF1"/>
    <w:rsid w:val="00A63630"/>
    <w:rsid w:val="00A6374D"/>
    <w:rsid w:val="00A63E78"/>
    <w:rsid w:val="00A64080"/>
    <w:rsid w:val="00A6458A"/>
    <w:rsid w:val="00A645E7"/>
    <w:rsid w:val="00A64D17"/>
    <w:rsid w:val="00A6517D"/>
    <w:rsid w:val="00A651A6"/>
    <w:rsid w:val="00A65211"/>
    <w:rsid w:val="00A65276"/>
    <w:rsid w:val="00A65291"/>
    <w:rsid w:val="00A657BE"/>
    <w:rsid w:val="00A65C1F"/>
    <w:rsid w:val="00A65C86"/>
    <w:rsid w:val="00A65D5E"/>
    <w:rsid w:val="00A663E0"/>
    <w:rsid w:val="00A664C0"/>
    <w:rsid w:val="00A666FA"/>
    <w:rsid w:val="00A6672F"/>
    <w:rsid w:val="00A66AA5"/>
    <w:rsid w:val="00A66B73"/>
    <w:rsid w:val="00A66D3C"/>
    <w:rsid w:val="00A66D68"/>
    <w:rsid w:val="00A67129"/>
    <w:rsid w:val="00A6727F"/>
    <w:rsid w:val="00A673E6"/>
    <w:rsid w:val="00A678E2"/>
    <w:rsid w:val="00A67B85"/>
    <w:rsid w:val="00A67BC1"/>
    <w:rsid w:val="00A67C6B"/>
    <w:rsid w:val="00A67CC2"/>
    <w:rsid w:val="00A70162"/>
    <w:rsid w:val="00A70667"/>
    <w:rsid w:val="00A70752"/>
    <w:rsid w:val="00A70A53"/>
    <w:rsid w:val="00A70AB5"/>
    <w:rsid w:val="00A70BA7"/>
    <w:rsid w:val="00A70C4D"/>
    <w:rsid w:val="00A7162B"/>
    <w:rsid w:val="00A71900"/>
    <w:rsid w:val="00A71AE0"/>
    <w:rsid w:val="00A71C6B"/>
    <w:rsid w:val="00A72249"/>
    <w:rsid w:val="00A722C3"/>
    <w:rsid w:val="00A7286F"/>
    <w:rsid w:val="00A72C05"/>
    <w:rsid w:val="00A72C89"/>
    <w:rsid w:val="00A73069"/>
    <w:rsid w:val="00A731F0"/>
    <w:rsid w:val="00A73230"/>
    <w:rsid w:val="00A737EC"/>
    <w:rsid w:val="00A739FD"/>
    <w:rsid w:val="00A73A9C"/>
    <w:rsid w:val="00A73DFE"/>
    <w:rsid w:val="00A73F2D"/>
    <w:rsid w:val="00A73FC6"/>
    <w:rsid w:val="00A74A38"/>
    <w:rsid w:val="00A74C2A"/>
    <w:rsid w:val="00A74CCE"/>
    <w:rsid w:val="00A74D34"/>
    <w:rsid w:val="00A74EBC"/>
    <w:rsid w:val="00A74F30"/>
    <w:rsid w:val="00A74FA0"/>
    <w:rsid w:val="00A7508B"/>
    <w:rsid w:val="00A75112"/>
    <w:rsid w:val="00A752E4"/>
    <w:rsid w:val="00A754A3"/>
    <w:rsid w:val="00A75A5F"/>
    <w:rsid w:val="00A75C0F"/>
    <w:rsid w:val="00A75C45"/>
    <w:rsid w:val="00A75DA1"/>
    <w:rsid w:val="00A75DD6"/>
    <w:rsid w:val="00A760BC"/>
    <w:rsid w:val="00A763FA"/>
    <w:rsid w:val="00A7662D"/>
    <w:rsid w:val="00A7674F"/>
    <w:rsid w:val="00A76A17"/>
    <w:rsid w:val="00A76B42"/>
    <w:rsid w:val="00A76B52"/>
    <w:rsid w:val="00A76B90"/>
    <w:rsid w:val="00A76DB1"/>
    <w:rsid w:val="00A76EA4"/>
    <w:rsid w:val="00A7739B"/>
    <w:rsid w:val="00A776F0"/>
    <w:rsid w:val="00A77816"/>
    <w:rsid w:val="00A77827"/>
    <w:rsid w:val="00A77A9B"/>
    <w:rsid w:val="00A77BDE"/>
    <w:rsid w:val="00A77CBB"/>
    <w:rsid w:val="00A77E40"/>
    <w:rsid w:val="00A77F64"/>
    <w:rsid w:val="00A8009B"/>
    <w:rsid w:val="00A80390"/>
    <w:rsid w:val="00A807FF"/>
    <w:rsid w:val="00A80AE8"/>
    <w:rsid w:val="00A80D4A"/>
    <w:rsid w:val="00A80DC3"/>
    <w:rsid w:val="00A80EB8"/>
    <w:rsid w:val="00A81BCB"/>
    <w:rsid w:val="00A81D90"/>
    <w:rsid w:val="00A81F82"/>
    <w:rsid w:val="00A81FFC"/>
    <w:rsid w:val="00A823FB"/>
    <w:rsid w:val="00A82428"/>
    <w:rsid w:val="00A82437"/>
    <w:rsid w:val="00A828A4"/>
    <w:rsid w:val="00A82C2E"/>
    <w:rsid w:val="00A8349C"/>
    <w:rsid w:val="00A83E4F"/>
    <w:rsid w:val="00A841B0"/>
    <w:rsid w:val="00A8427D"/>
    <w:rsid w:val="00A8484B"/>
    <w:rsid w:val="00A848C6"/>
    <w:rsid w:val="00A848FE"/>
    <w:rsid w:val="00A84995"/>
    <w:rsid w:val="00A84DB0"/>
    <w:rsid w:val="00A84EAA"/>
    <w:rsid w:val="00A84F3E"/>
    <w:rsid w:val="00A855FD"/>
    <w:rsid w:val="00A85618"/>
    <w:rsid w:val="00A8579D"/>
    <w:rsid w:val="00A85A2B"/>
    <w:rsid w:val="00A85C6F"/>
    <w:rsid w:val="00A85E0C"/>
    <w:rsid w:val="00A860E5"/>
    <w:rsid w:val="00A86148"/>
    <w:rsid w:val="00A86314"/>
    <w:rsid w:val="00A867DC"/>
    <w:rsid w:val="00A868BD"/>
    <w:rsid w:val="00A86DDC"/>
    <w:rsid w:val="00A870C0"/>
    <w:rsid w:val="00A879EA"/>
    <w:rsid w:val="00A87A06"/>
    <w:rsid w:val="00A87C2B"/>
    <w:rsid w:val="00A87CC8"/>
    <w:rsid w:val="00A900E6"/>
    <w:rsid w:val="00A90275"/>
    <w:rsid w:val="00A903E6"/>
    <w:rsid w:val="00A907DB"/>
    <w:rsid w:val="00A908F7"/>
    <w:rsid w:val="00A90B10"/>
    <w:rsid w:val="00A90C18"/>
    <w:rsid w:val="00A90E1D"/>
    <w:rsid w:val="00A90EE5"/>
    <w:rsid w:val="00A90F9C"/>
    <w:rsid w:val="00A91073"/>
    <w:rsid w:val="00A911EC"/>
    <w:rsid w:val="00A91383"/>
    <w:rsid w:val="00A9164A"/>
    <w:rsid w:val="00A9166B"/>
    <w:rsid w:val="00A91991"/>
    <w:rsid w:val="00A91A23"/>
    <w:rsid w:val="00A91C7D"/>
    <w:rsid w:val="00A91EF2"/>
    <w:rsid w:val="00A92111"/>
    <w:rsid w:val="00A9212C"/>
    <w:rsid w:val="00A923EA"/>
    <w:rsid w:val="00A92777"/>
    <w:rsid w:val="00A9291A"/>
    <w:rsid w:val="00A92D10"/>
    <w:rsid w:val="00A92F19"/>
    <w:rsid w:val="00A9318E"/>
    <w:rsid w:val="00A9345C"/>
    <w:rsid w:val="00A93543"/>
    <w:rsid w:val="00A93AAA"/>
    <w:rsid w:val="00A93B2E"/>
    <w:rsid w:val="00A93B95"/>
    <w:rsid w:val="00A93F16"/>
    <w:rsid w:val="00A93F6B"/>
    <w:rsid w:val="00A94527"/>
    <w:rsid w:val="00A945D2"/>
    <w:rsid w:val="00A94780"/>
    <w:rsid w:val="00A948EC"/>
    <w:rsid w:val="00A9493E"/>
    <w:rsid w:val="00A94A13"/>
    <w:rsid w:val="00A94BAC"/>
    <w:rsid w:val="00A94EC9"/>
    <w:rsid w:val="00A94EFC"/>
    <w:rsid w:val="00A9547E"/>
    <w:rsid w:val="00A95726"/>
    <w:rsid w:val="00A95958"/>
    <w:rsid w:val="00A95AA8"/>
    <w:rsid w:val="00A95C37"/>
    <w:rsid w:val="00A95CC8"/>
    <w:rsid w:val="00A95D56"/>
    <w:rsid w:val="00A95E60"/>
    <w:rsid w:val="00A95E61"/>
    <w:rsid w:val="00A95FC3"/>
    <w:rsid w:val="00A96344"/>
    <w:rsid w:val="00A963DD"/>
    <w:rsid w:val="00A9644D"/>
    <w:rsid w:val="00A968C8"/>
    <w:rsid w:val="00A96992"/>
    <w:rsid w:val="00A96C86"/>
    <w:rsid w:val="00A97D2D"/>
    <w:rsid w:val="00AA013E"/>
    <w:rsid w:val="00AA0758"/>
    <w:rsid w:val="00AA07C1"/>
    <w:rsid w:val="00AA099C"/>
    <w:rsid w:val="00AA0A1C"/>
    <w:rsid w:val="00AA0A54"/>
    <w:rsid w:val="00AA0B04"/>
    <w:rsid w:val="00AA0EEB"/>
    <w:rsid w:val="00AA0F59"/>
    <w:rsid w:val="00AA1044"/>
    <w:rsid w:val="00AA12DA"/>
    <w:rsid w:val="00AA161B"/>
    <w:rsid w:val="00AA1681"/>
    <w:rsid w:val="00AA1688"/>
    <w:rsid w:val="00AA1CEE"/>
    <w:rsid w:val="00AA1DD6"/>
    <w:rsid w:val="00AA1E9F"/>
    <w:rsid w:val="00AA2258"/>
    <w:rsid w:val="00AA277E"/>
    <w:rsid w:val="00AA29A2"/>
    <w:rsid w:val="00AA2FA1"/>
    <w:rsid w:val="00AA3736"/>
    <w:rsid w:val="00AA3738"/>
    <w:rsid w:val="00AA40F8"/>
    <w:rsid w:val="00AA424D"/>
    <w:rsid w:val="00AA435D"/>
    <w:rsid w:val="00AA4B79"/>
    <w:rsid w:val="00AA4CED"/>
    <w:rsid w:val="00AA4ECC"/>
    <w:rsid w:val="00AA4F65"/>
    <w:rsid w:val="00AA51C1"/>
    <w:rsid w:val="00AA520A"/>
    <w:rsid w:val="00AA6156"/>
    <w:rsid w:val="00AA617C"/>
    <w:rsid w:val="00AA68B6"/>
    <w:rsid w:val="00AA71F6"/>
    <w:rsid w:val="00AA73AC"/>
    <w:rsid w:val="00AA7758"/>
    <w:rsid w:val="00AA779E"/>
    <w:rsid w:val="00AA7ACC"/>
    <w:rsid w:val="00AA7B77"/>
    <w:rsid w:val="00AB0659"/>
    <w:rsid w:val="00AB074C"/>
    <w:rsid w:val="00AB0780"/>
    <w:rsid w:val="00AB07B8"/>
    <w:rsid w:val="00AB0E3F"/>
    <w:rsid w:val="00AB0FF1"/>
    <w:rsid w:val="00AB1537"/>
    <w:rsid w:val="00AB156D"/>
    <w:rsid w:val="00AB15F3"/>
    <w:rsid w:val="00AB160E"/>
    <w:rsid w:val="00AB1837"/>
    <w:rsid w:val="00AB187A"/>
    <w:rsid w:val="00AB2265"/>
    <w:rsid w:val="00AB2575"/>
    <w:rsid w:val="00AB2C1D"/>
    <w:rsid w:val="00AB2DC5"/>
    <w:rsid w:val="00AB34C5"/>
    <w:rsid w:val="00AB37D7"/>
    <w:rsid w:val="00AB3814"/>
    <w:rsid w:val="00AB3BDD"/>
    <w:rsid w:val="00AB3CE7"/>
    <w:rsid w:val="00AB42FB"/>
    <w:rsid w:val="00AB49CE"/>
    <w:rsid w:val="00AB4DF4"/>
    <w:rsid w:val="00AB514A"/>
    <w:rsid w:val="00AB55AC"/>
    <w:rsid w:val="00AB561F"/>
    <w:rsid w:val="00AB56B1"/>
    <w:rsid w:val="00AB57E9"/>
    <w:rsid w:val="00AB5891"/>
    <w:rsid w:val="00AB58A7"/>
    <w:rsid w:val="00AB5936"/>
    <w:rsid w:val="00AB6051"/>
    <w:rsid w:val="00AB610C"/>
    <w:rsid w:val="00AB629C"/>
    <w:rsid w:val="00AB6352"/>
    <w:rsid w:val="00AB67FA"/>
    <w:rsid w:val="00AB6ADF"/>
    <w:rsid w:val="00AB6EEF"/>
    <w:rsid w:val="00AB7007"/>
    <w:rsid w:val="00AB7279"/>
    <w:rsid w:val="00AB7973"/>
    <w:rsid w:val="00AB7EBD"/>
    <w:rsid w:val="00AB7FBB"/>
    <w:rsid w:val="00AB7FE6"/>
    <w:rsid w:val="00ABBA0B"/>
    <w:rsid w:val="00AC02C4"/>
    <w:rsid w:val="00AC035A"/>
    <w:rsid w:val="00AC062F"/>
    <w:rsid w:val="00AC099E"/>
    <w:rsid w:val="00AC0E1C"/>
    <w:rsid w:val="00AC14FD"/>
    <w:rsid w:val="00AC15D6"/>
    <w:rsid w:val="00AC1720"/>
    <w:rsid w:val="00AC1907"/>
    <w:rsid w:val="00AC1B83"/>
    <w:rsid w:val="00AC1D2B"/>
    <w:rsid w:val="00AC1D6B"/>
    <w:rsid w:val="00AC1D78"/>
    <w:rsid w:val="00AC1DB3"/>
    <w:rsid w:val="00AC1E12"/>
    <w:rsid w:val="00AC2490"/>
    <w:rsid w:val="00AC2974"/>
    <w:rsid w:val="00AC2A14"/>
    <w:rsid w:val="00AC2D2E"/>
    <w:rsid w:val="00AC2D5E"/>
    <w:rsid w:val="00AC2D95"/>
    <w:rsid w:val="00AC31F4"/>
    <w:rsid w:val="00AC35F9"/>
    <w:rsid w:val="00AC3908"/>
    <w:rsid w:val="00AC3A93"/>
    <w:rsid w:val="00AC3EB5"/>
    <w:rsid w:val="00AC40E8"/>
    <w:rsid w:val="00AC458A"/>
    <w:rsid w:val="00AC470E"/>
    <w:rsid w:val="00AC47E8"/>
    <w:rsid w:val="00AC4CE2"/>
    <w:rsid w:val="00AC4D24"/>
    <w:rsid w:val="00AC4DFB"/>
    <w:rsid w:val="00AC5045"/>
    <w:rsid w:val="00AC50E3"/>
    <w:rsid w:val="00AC512D"/>
    <w:rsid w:val="00AC5564"/>
    <w:rsid w:val="00AC55CA"/>
    <w:rsid w:val="00AC566C"/>
    <w:rsid w:val="00AC57D1"/>
    <w:rsid w:val="00AC59CF"/>
    <w:rsid w:val="00AC5C8E"/>
    <w:rsid w:val="00AC5DB0"/>
    <w:rsid w:val="00AC6156"/>
    <w:rsid w:val="00AC61ED"/>
    <w:rsid w:val="00AC6E3B"/>
    <w:rsid w:val="00AC6FB7"/>
    <w:rsid w:val="00AC7259"/>
    <w:rsid w:val="00AC7DAA"/>
    <w:rsid w:val="00AD01D0"/>
    <w:rsid w:val="00AD0455"/>
    <w:rsid w:val="00AD08B1"/>
    <w:rsid w:val="00AD0C33"/>
    <w:rsid w:val="00AD14C2"/>
    <w:rsid w:val="00AD153D"/>
    <w:rsid w:val="00AD1876"/>
    <w:rsid w:val="00AD1CC0"/>
    <w:rsid w:val="00AD22DC"/>
    <w:rsid w:val="00AD23C5"/>
    <w:rsid w:val="00AD2654"/>
    <w:rsid w:val="00AD265D"/>
    <w:rsid w:val="00AD269B"/>
    <w:rsid w:val="00AD2B86"/>
    <w:rsid w:val="00AD33AC"/>
    <w:rsid w:val="00AD351A"/>
    <w:rsid w:val="00AD35BC"/>
    <w:rsid w:val="00AD395B"/>
    <w:rsid w:val="00AD3BAE"/>
    <w:rsid w:val="00AD3D74"/>
    <w:rsid w:val="00AD41AB"/>
    <w:rsid w:val="00AD4244"/>
    <w:rsid w:val="00AD42C4"/>
    <w:rsid w:val="00AD4482"/>
    <w:rsid w:val="00AD4544"/>
    <w:rsid w:val="00AD4613"/>
    <w:rsid w:val="00AD473B"/>
    <w:rsid w:val="00AD47EA"/>
    <w:rsid w:val="00AD51C9"/>
    <w:rsid w:val="00AD542F"/>
    <w:rsid w:val="00AD5475"/>
    <w:rsid w:val="00AD591E"/>
    <w:rsid w:val="00AD5B30"/>
    <w:rsid w:val="00AD623F"/>
    <w:rsid w:val="00AD6310"/>
    <w:rsid w:val="00AD64CD"/>
    <w:rsid w:val="00AD64D1"/>
    <w:rsid w:val="00AD6A1C"/>
    <w:rsid w:val="00AD6D04"/>
    <w:rsid w:val="00AD71D5"/>
    <w:rsid w:val="00AD71F9"/>
    <w:rsid w:val="00AD7635"/>
    <w:rsid w:val="00AD79B4"/>
    <w:rsid w:val="00AD7FFD"/>
    <w:rsid w:val="00AE013F"/>
    <w:rsid w:val="00AE018C"/>
    <w:rsid w:val="00AE0555"/>
    <w:rsid w:val="00AE058F"/>
    <w:rsid w:val="00AE0658"/>
    <w:rsid w:val="00AE0A4C"/>
    <w:rsid w:val="00AE0C74"/>
    <w:rsid w:val="00AE0D4F"/>
    <w:rsid w:val="00AE0EB9"/>
    <w:rsid w:val="00AE10EB"/>
    <w:rsid w:val="00AE10F5"/>
    <w:rsid w:val="00AE11B4"/>
    <w:rsid w:val="00AE14A0"/>
    <w:rsid w:val="00AE17F0"/>
    <w:rsid w:val="00AE1E45"/>
    <w:rsid w:val="00AE2457"/>
    <w:rsid w:val="00AE2A68"/>
    <w:rsid w:val="00AE2CFC"/>
    <w:rsid w:val="00AE2EA3"/>
    <w:rsid w:val="00AE2EAB"/>
    <w:rsid w:val="00AE325C"/>
    <w:rsid w:val="00AE33B6"/>
    <w:rsid w:val="00AE3632"/>
    <w:rsid w:val="00AE36A0"/>
    <w:rsid w:val="00AE36AC"/>
    <w:rsid w:val="00AE3A5A"/>
    <w:rsid w:val="00AE441E"/>
    <w:rsid w:val="00AE4C03"/>
    <w:rsid w:val="00AE538E"/>
    <w:rsid w:val="00AE59D2"/>
    <w:rsid w:val="00AE5F81"/>
    <w:rsid w:val="00AE62DB"/>
    <w:rsid w:val="00AE6779"/>
    <w:rsid w:val="00AE6834"/>
    <w:rsid w:val="00AE69F6"/>
    <w:rsid w:val="00AE6AC0"/>
    <w:rsid w:val="00AE6DEC"/>
    <w:rsid w:val="00AE706A"/>
    <w:rsid w:val="00AE7168"/>
    <w:rsid w:val="00AE7452"/>
    <w:rsid w:val="00AE772D"/>
    <w:rsid w:val="00AE7CDC"/>
    <w:rsid w:val="00AE7E83"/>
    <w:rsid w:val="00AE7FF0"/>
    <w:rsid w:val="00AF0267"/>
    <w:rsid w:val="00AF04E2"/>
    <w:rsid w:val="00AF08AE"/>
    <w:rsid w:val="00AF09C7"/>
    <w:rsid w:val="00AF0A3F"/>
    <w:rsid w:val="00AF0DF9"/>
    <w:rsid w:val="00AF133D"/>
    <w:rsid w:val="00AF1A88"/>
    <w:rsid w:val="00AF1B37"/>
    <w:rsid w:val="00AF1F79"/>
    <w:rsid w:val="00AF274C"/>
    <w:rsid w:val="00AF2A70"/>
    <w:rsid w:val="00AF2B0E"/>
    <w:rsid w:val="00AF2ECA"/>
    <w:rsid w:val="00AF30FD"/>
    <w:rsid w:val="00AF3129"/>
    <w:rsid w:val="00AF3164"/>
    <w:rsid w:val="00AF3D26"/>
    <w:rsid w:val="00AF4099"/>
    <w:rsid w:val="00AF437C"/>
    <w:rsid w:val="00AF448D"/>
    <w:rsid w:val="00AF45BA"/>
    <w:rsid w:val="00AF4622"/>
    <w:rsid w:val="00AF4754"/>
    <w:rsid w:val="00AF4BE4"/>
    <w:rsid w:val="00AF4C09"/>
    <w:rsid w:val="00AF4C16"/>
    <w:rsid w:val="00AF4DD9"/>
    <w:rsid w:val="00AF4FFA"/>
    <w:rsid w:val="00AF50F9"/>
    <w:rsid w:val="00AF542A"/>
    <w:rsid w:val="00AF5645"/>
    <w:rsid w:val="00AF5C6C"/>
    <w:rsid w:val="00AF6599"/>
    <w:rsid w:val="00AF6669"/>
    <w:rsid w:val="00AF69DA"/>
    <w:rsid w:val="00AF6A6E"/>
    <w:rsid w:val="00AF6C5C"/>
    <w:rsid w:val="00AF6C9F"/>
    <w:rsid w:val="00AF6EF6"/>
    <w:rsid w:val="00AF6FC4"/>
    <w:rsid w:val="00AF6FDC"/>
    <w:rsid w:val="00AF70ED"/>
    <w:rsid w:val="00AF710F"/>
    <w:rsid w:val="00AF7178"/>
    <w:rsid w:val="00AF748A"/>
    <w:rsid w:val="00AF76A4"/>
    <w:rsid w:val="00AF78C8"/>
    <w:rsid w:val="00AF7B74"/>
    <w:rsid w:val="00AF7F9B"/>
    <w:rsid w:val="00AF7FDF"/>
    <w:rsid w:val="00B002A6"/>
    <w:rsid w:val="00B003CF"/>
    <w:rsid w:val="00B005B1"/>
    <w:rsid w:val="00B00717"/>
    <w:rsid w:val="00B0091D"/>
    <w:rsid w:val="00B00B21"/>
    <w:rsid w:val="00B00C1D"/>
    <w:rsid w:val="00B00DC9"/>
    <w:rsid w:val="00B00EDC"/>
    <w:rsid w:val="00B01048"/>
    <w:rsid w:val="00B011BF"/>
    <w:rsid w:val="00B011CD"/>
    <w:rsid w:val="00B013CE"/>
    <w:rsid w:val="00B01535"/>
    <w:rsid w:val="00B01ADC"/>
    <w:rsid w:val="00B01F04"/>
    <w:rsid w:val="00B0230D"/>
    <w:rsid w:val="00B02951"/>
    <w:rsid w:val="00B02AED"/>
    <w:rsid w:val="00B02B3D"/>
    <w:rsid w:val="00B02D78"/>
    <w:rsid w:val="00B02F61"/>
    <w:rsid w:val="00B03345"/>
    <w:rsid w:val="00B03716"/>
    <w:rsid w:val="00B03BEA"/>
    <w:rsid w:val="00B03F79"/>
    <w:rsid w:val="00B04001"/>
    <w:rsid w:val="00B045D9"/>
    <w:rsid w:val="00B04D5F"/>
    <w:rsid w:val="00B04E48"/>
    <w:rsid w:val="00B050D1"/>
    <w:rsid w:val="00B0529B"/>
    <w:rsid w:val="00B052AD"/>
    <w:rsid w:val="00B0549D"/>
    <w:rsid w:val="00B05A6C"/>
    <w:rsid w:val="00B05AEA"/>
    <w:rsid w:val="00B05CD6"/>
    <w:rsid w:val="00B05E21"/>
    <w:rsid w:val="00B05FD4"/>
    <w:rsid w:val="00B061CC"/>
    <w:rsid w:val="00B06D55"/>
    <w:rsid w:val="00B06ED3"/>
    <w:rsid w:val="00B07038"/>
    <w:rsid w:val="00B0732D"/>
    <w:rsid w:val="00B07451"/>
    <w:rsid w:val="00B07553"/>
    <w:rsid w:val="00B07A9C"/>
    <w:rsid w:val="00B07CB2"/>
    <w:rsid w:val="00B07D5B"/>
    <w:rsid w:val="00B100BC"/>
    <w:rsid w:val="00B102FC"/>
    <w:rsid w:val="00B10316"/>
    <w:rsid w:val="00B104FF"/>
    <w:rsid w:val="00B1053E"/>
    <w:rsid w:val="00B1070A"/>
    <w:rsid w:val="00B107C0"/>
    <w:rsid w:val="00B10A06"/>
    <w:rsid w:val="00B10D90"/>
    <w:rsid w:val="00B10E51"/>
    <w:rsid w:val="00B11090"/>
    <w:rsid w:val="00B110CF"/>
    <w:rsid w:val="00B11202"/>
    <w:rsid w:val="00B114A4"/>
    <w:rsid w:val="00B11594"/>
    <w:rsid w:val="00B1160B"/>
    <w:rsid w:val="00B11B55"/>
    <w:rsid w:val="00B11BB0"/>
    <w:rsid w:val="00B11C32"/>
    <w:rsid w:val="00B11D0D"/>
    <w:rsid w:val="00B11EA0"/>
    <w:rsid w:val="00B1241C"/>
    <w:rsid w:val="00B12572"/>
    <w:rsid w:val="00B12A84"/>
    <w:rsid w:val="00B12A92"/>
    <w:rsid w:val="00B12F0C"/>
    <w:rsid w:val="00B13065"/>
    <w:rsid w:val="00B13273"/>
    <w:rsid w:val="00B13338"/>
    <w:rsid w:val="00B13348"/>
    <w:rsid w:val="00B134D4"/>
    <w:rsid w:val="00B13684"/>
    <w:rsid w:val="00B139A3"/>
    <w:rsid w:val="00B13BEA"/>
    <w:rsid w:val="00B13EBA"/>
    <w:rsid w:val="00B143D9"/>
    <w:rsid w:val="00B14B19"/>
    <w:rsid w:val="00B14E51"/>
    <w:rsid w:val="00B150F2"/>
    <w:rsid w:val="00B15124"/>
    <w:rsid w:val="00B15285"/>
    <w:rsid w:val="00B1542E"/>
    <w:rsid w:val="00B154D9"/>
    <w:rsid w:val="00B15528"/>
    <w:rsid w:val="00B15D50"/>
    <w:rsid w:val="00B15E3F"/>
    <w:rsid w:val="00B15F39"/>
    <w:rsid w:val="00B160C0"/>
    <w:rsid w:val="00B16463"/>
    <w:rsid w:val="00B164BE"/>
    <w:rsid w:val="00B1668A"/>
    <w:rsid w:val="00B168F3"/>
    <w:rsid w:val="00B16AC0"/>
    <w:rsid w:val="00B16CC2"/>
    <w:rsid w:val="00B16DF7"/>
    <w:rsid w:val="00B17181"/>
    <w:rsid w:val="00B1740B"/>
    <w:rsid w:val="00B17424"/>
    <w:rsid w:val="00B1760C"/>
    <w:rsid w:val="00B17783"/>
    <w:rsid w:val="00B179E5"/>
    <w:rsid w:val="00B17A45"/>
    <w:rsid w:val="00B17A6A"/>
    <w:rsid w:val="00B17B19"/>
    <w:rsid w:val="00B17C43"/>
    <w:rsid w:val="00B17D7E"/>
    <w:rsid w:val="00B17FDB"/>
    <w:rsid w:val="00B2041C"/>
    <w:rsid w:val="00B205E8"/>
    <w:rsid w:val="00B20B2F"/>
    <w:rsid w:val="00B20C0C"/>
    <w:rsid w:val="00B20D68"/>
    <w:rsid w:val="00B2112F"/>
    <w:rsid w:val="00B211F8"/>
    <w:rsid w:val="00B2138A"/>
    <w:rsid w:val="00B2147A"/>
    <w:rsid w:val="00B216B0"/>
    <w:rsid w:val="00B21764"/>
    <w:rsid w:val="00B219E5"/>
    <w:rsid w:val="00B21ADF"/>
    <w:rsid w:val="00B21B9A"/>
    <w:rsid w:val="00B21BB1"/>
    <w:rsid w:val="00B21CAE"/>
    <w:rsid w:val="00B222EF"/>
    <w:rsid w:val="00B22469"/>
    <w:rsid w:val="00B225D0"/>
    <w:rsid w:val="00B22730"/>
    <w:rsid w:val="00B22868"/>
    <w:rsid w:val="00B228E0"/>
    <w:rsid w:val="00B22E28"/>
    <w:rsid w:val="00B234DA"/>
    <w:rsid w:val="00B235C9"/>
    <w:rsid w:val="00B235CF"/>
    <w:rsid w:val="00B23AF6"/>
    <w:rsid w:val="00B23B9B"/>
    <w:rsid w:val="00B24579"/>
    <w:rsid w:val="00B2462D"/>
    <w:rsid w:val="00B24833"/>
    <w:rsid w:val="00B24887"/>
    <w:rsid w:val="00B2490A"/>
    <w:rsid w:val="00B24A56"/>
    <w:rsid w:val="00B24A9F"/>
    <w:rsid w:val="00B24C10"/>
    <w:rsid w:val="00B24C4B"/>
    <w:rsid w:val="00B24E43"/>
    <w:rsid w:val="00B24E61"/>
    <w:rsid w:val="00B24F05"/>
    <w:rsid w:val="00B24F4D"/>
    <w:rsid w:val="00B25823"/>
    <w:rsid w:val="00B259DF"/>
    <w:rsid w:val="00B25A30"/>
    <w:rsid w:val="00B25A62"/>
    <w:rsid w:val="00B25D68"/>
    <w:rsid w:val="00B2630B"/>
    <w:rsid w:val="00B26698"/>
    <w:rsid w:val="00B267E2"/>
    <w:rsid w:val="00B26A30"/>
    <w:rsid w:val="00B26EC8"/>
    <w:rsid w:val="00B2777B"/>
    <w:rsid w:val="00B278B6"/>
    <w:rsid w:val="00B27DBA"/>
    <w:rsid w:val="00B27DF3"/>
    <w:rsid w:val="00B30120"/>
    <w:rsid w:val="00B3040A"/>
    <w:rsid w:val="00B30416"/>
    <w:rsid w:val="00B3042C"/>
    <w:rsid w:val="00B306EE"/>
    <w:rsid w:val="00B307FE"/>
    <w:rsid w:val="00B30D73"/>
    <w:rsid w:val="00B3115D"/>
    <w:rsid w:val="00B311C7"/>
    <w:rsid w:val="00B31448"/>
    <w:rsid w:val="00B31A15"/>
    <w:rsid w:val="00B31B0B"/>
    <w:rsid w:val="00B31CA8"/>
    <w:rsid w:val="00B31DB6"/>
    <w:rsid w:val="00B31FDB"/>
    <w:rsid w:val="00B3211C"/>
    <w:rsid w:val="00B32A4C"/>
    <w:rsid w:val="00B32D2E"/>
    <w:rsid w:val="00B32DC6"/>
    <w:rsid w:val="00B33035"/>
    <w:rsid w:val="00B333AF"/>
    <w:rsid w:val="00B3356F"/>
    <w:rsid w:val="00B33914"/>
    <w:rsid w:val="00B33EC1"/>
    <w:rsid w:val="00B33F3C"/>
    <w:rsid w:val="00B33FB5"/>
    <w:rsid w:val="00B33FF6"/>
    <w:rsid w:val="00B3453B"/>
    <w:rsid w:val="00B34899"/>
    <w:rsid w:val="00B34D19"/>
    <w:rsid w:val="00B3526C"/>
    <w:rsid w:val="00B357A9"/>
    <w:rsid w:val="00B35876"/>
    <w:rsid w:val="00B35961"/>
    <w:rsid w:val="00B35D2D"/>
    <w:rsid w:val="00B362D4"/>
    <w:rsid w:val="00B367E2"/>
    <w:rsid w:val="00B368B4"/>
    <w:rsid w:val="00B3691F"/>
    <w:rsid w:val="00B36D90"/>
    <w:rsid w:val="00B36FB9"/>
    <w:rsid w:val="00B370CA"/>
    <w:rsid w:val="00B37336"/>
    <w:rsid w:val="00B3754D"/>
    <w:rsid w:val="00B37AE7"/>
    <w:rsid w:val="00B37FB0"/>
    <w:rsid w:val="00B400B6"/>
    <w:rsid w:val="00B40231"/>
    <w:rsid w:val="00B40280"/>
    <w:rsid w:val="00B4065D"/>
    <w:rsid w:val="00B40682"/>
    <w:rsid w:val="00B40752"/>
    <w:rsid w:val="00B408A4"/>
    <w:rsid w:val="00B40920"/>
    <w:rsid w:val="00B411D2"/>
    <w:rsid w:val="00B41518"/>
    <w:rsid w:val="00B418C0"/>
    <w:rsid w:val="00B41D27"/>
    <w:rsid w:val="00B41E59"/>
    <w:rsid w:val="00B41FDE"/>
    <w:rsid w:val="00B42180"/>
    <w:rsid w:val="00B4220C"/>
    <w:rsid w:val="00B4232B"/>
    <w:rsid w:val="00B42449"/>
    <w:rsid w:val="00B42801"/>
    <w:rsid w:val="00B4285B"/>
    <w:rsid w:val="00B429DF"/>
    <w:rsid w:val="00B42A04"/>
    <w:rsid w:val="00B42BDE"/>
    <w:rsid w:val="00B42BDF"/>
    <w:rsid w:val="00B42FAF"/>
    <w:rsid w:val="00B43478"/>
    <w:rsid w:val="00B43546"/>
    <w:rsid w:val="00B43620"/>
    <w:rsid w:val="00B436B1"/>
    <w:rsid w:val="00B446C2"/>
    <w:rsid w:val="00B4483B"/>
    <w:rsid w:val="00B44867"/>
    <w:rsid w:val="00B4495C"/>
    <w:rsid w:val="00B4498D"/>
    <w:rsid w:val="00B44A0C"/>
    <w:rsid w:val="00B44C39"/>
    <w:rsid w:val="00B44EF3"/>
    <w:rsid w:val="00B45079"/>
    <w:rsid w:val="00B453FA"/>
    <w:rsid w:val="00B454EA"/>
    <w:rsid w:val="00B4551E"/>
    <w:rsid w:val="00B4560A"/>
    <w:rsid w:val="00B45E43"/>
    <w:rsid w:val="00B45F6F"/>
    <w:rsid w:val="00B45F72"/>
    <w:rsid w:val="00B463CF"/>
    <w:rsid w:val="00B4648C"/>
    <w:rsid w:val="00B46535"/>
    <w:rsid w:val="00B4656A"/>
    <w:rsid w:val="00B468EF"/>
    <w:rsid w:val="00B46AAE"/>
    <w:rsid w:val="00B46C4F"/>
    <w:rsid w:val="00B46FC7"/>
    <w:rsid w:val="00B470ED"/>
    <w:rsid w:val="00B472BF"/>
    <w:rsid w:val="00B4746A"/>
    <w:rsid w:val="00B4748B"/>
    <w:rsid w:val="00B474E1"/>
    <w:rsid w:val="00B4795E"/>
    <w:rsid w:val="00B47E7D"/>
    <w:rsid w:val="00B5005B"/>
    <w:rsid w:val="00B50129"/>
    <w:rsid w:val="00B5032C"/>
    <w:rsid w:val="00B50D82"/>
    <w:rsid w:val="00B50E2B"/>
    <w:rsid w:val="00B50EF3"/>
    <w:rsid w:val="00B50F96"/>
    <w:rsid w:val="00B510F7"/>
    <w:rsid w:val="00B5112B"/>
    <w:rsid w:val="00B51158"/>
    <w:rsid w:val="00B51230"/>
    <w:rsid w:val="00B51309"/>
    <w:rsid w:val="00B5139D"/>
    <w:rsid w:val="00B514BF"/>
    <w:rsid w:val="00B51928"/>
    <w:rsid w:val="00B52436"/>
    <w:rsid w:val="00B52BF7"/>
    <w:rsid w:val="00B530AF"/>
    <w:rsid w:val="00B53A59"/>
    <w:rsid w:val="00B53D08"/>
    <w:rsid w:val="00B53E09"/>
    <w:rsid w:val="00B54153"/>
    <w:rsid w:val="00B541B9"/>
    <w:rsid w:val="00B5466D"/>
    <w:rsid w:val="00B546A6"/>
    <w:rsid w:val="00B549CD"/>
    <w:rsid w:val="00B54E19"/>
    <w:rsid w:val="00B54ED5"/>
    <w:rsid w:val="00B552CA"/>
    <w:rsid w:val="00B55470"/>
    <w:rsid w:val="00B55487"/>
    <w:rsid w:val="00B5573D"/>
    <w:rsid w:val="00B5578D"/>
    <w:rsid w:val="00B55A92"/>
    <w:rsid w:val="00B55CAC"/>
    <w:rsid w:val="00B55D82"/>
    <w:rsid w:val="00B55FD6"/>
    <w:rsid w:val="00B56195"/>
    <w:rsid w:val="00B562DD"/>
    <w:rsid w:val="00B56764"/>
    <w:rsid w:val="00B56B42"/>
    <w:rsid w:val="00B56CB3"/>
    <w:rsid w:val="00B56CFB"/>
    <w:rsid w:val="00B56D6A"/>
    <w:rsid w:val="00B56DCC"/>
    <w:rsid w:val="00B5700F"/>
    <w:rsid w:val="00B57621"/>
    <w:rsid w:val="00B577FB"/>
    <w:rsid w:val="00B57816"/>
    <w:rsid w:val="00B57967"/>
    <w:rsid w:val="00B57A09"/>
    <w:rsid w:val="00B57AF3"/>
    <w:rsid w:val="00B57CC5"/>
    <w:rsid w:val="00B57D18"/>
    <w:rsid w:val="00B57D2E"/>
    <w:rsid w:val="00B57FF8"/>
    <w:rsid w:val="00B603C6"/>
    <w:rsid w:val="00B60695"/>
    <w:rsid w:val="00B60AFE"/>
    <w:rsid w:val="00B60C25"/>
    <w:rsid w:val="00B60F2E"/>
    <w:rsid w:val="00B61A29"/>
    <w:rsid w:val="00B61B35"/>
    <w:rsid w:val="00B6232F"/>
    <w:rsid w:val="00B62751"/>
    <w:rsid w:val="00B6287F"/>
    <w:rsid w:val="00B62A51"/>
    <w:rsid w:val="00B62A88"/>
    <w:rsid w:val="00B62DFE"/>
    <w:rsid w:val="00B62EC3"/>
    <w:rsid w:val="00B631AD"/>
    <w:rsid w:val="00B63460"/>
    <w:rsid w:val="00B639D0"/>
    <w:rsid w:val="00B6487A"/>
    <w:rsid w:val="00B65312"/>
    <w:rsid w:val="00B6540E"/>
    <w:rsid w:val="00B6577F"/>
    <w:rsid w:val="00B65EBD"/>
    <w:rsid w:val="00B65EC6"/>
    <w:rsid w:val="00B6615D"/>
    <w:rsid w:val="00B66302"/>
    <w:rsid w:val="00B6696E"/>
    <w:rsid w:val="00B66C04"/>
    <w:rsid w:val="00B66C37"/>
    <w:rsid w:val="00B66E2B"/>
    <w:rsid w:val="00B67119"/>
    <w:rsid w:val="00B6722B"/>
    <w:rsid w:val="00B67344"/>
    <w:rsid w:val="00B676E1"/>
    <w:rsid w:val="00B67CD8"/>
    <w:rsid w:val="00B67D1D"/>
    <w:rsid w:val="00B67E19"/>
    <w:rsid w:val="00B700BB"/>
    <w:rsid w:val="00B700D2"/>
    <w:rsid w:val="00B70522"/>
    <w:rsid w:val="00B7096F"/>
    <w:rsid w:val="00B70A1D"/>
    <w:rsid w:val="00B70F1B"/>
    <w:rsid w:val="00B71208"/>
    <w:rsid w:val="00B71675"/>
    <w:rsid w:val="00B717E2"/>
    <w:rsid w:val="00B71835"/>
    <w:rsid w:val="00B71AC2"/>
    <w:rsid w:val="00B71AC6"/>
    <w:rsid w:val="00B71B62"/>
    <w:rsid w:val="00B721CA"/>
    <w:rsid w:val="00B723C6"/>
    <w:rsid w:val="00B724CF"/>
    <w:rsid w:val="00B72743"/>
    <w:rsid w:val="00B727B7"/>
    <w:rsid w:val="00B7286C"/>
    <w:rsid w:val="00B72982"/>
    <w:rsid w:val="00B72AEF"/>
    <w:rsid w:val="00B72E0D"/>
    <w:rsid w:val="00B72FDE"/>
    <w:rsid w:val="00B73461"/>
    <w:rsid w:val="00B7347A"/>
    <w:rsid w:val="00B73597"/>
    <w:rsid w:val="00B737F8"/>
    <w:rsid w:val="00B73951"/>
    <w:rsid w:val="00B7396B"/>
    <w:rsid w:val="00B73D50"/>
    <w:rsid w:val="00B73E5D"/>
    <w:rsid w:val="00B749EB"/>
    <w:rsid w:val="00B74AA8"/>
    <w:rsid w:val="00B74C21"/>
    <w:rsid w:val="00B74CC7"/>
    <w:rsid w:val="00B74EF3"/>
    <w:rsid w:val="00B74FD3"/>
    <w:rsid w:val="00B75206"/>
    <w:rsid w:val="00B75263"/>
    <w:rsid w:val="00B75356"/>
    <w:rsid w:val="00B75530"/>
    <w:rsid w:val="00B7588E"/>
    <w:rsid w:val="00B75899"/>
    <w:rsid w:val="00B75BC0"/>
    <w:rsid w:val="00B75C97"/>
    <w:rsid w:val="00B75D1B"/>
    <w:rsid w:val="00B75E9B"/>
    <w:rsid w:val="00B7636B"/>
    <w:rsid w:val="00B76492"/>
    <w:rsid w:val="00B769A2"/>
    <w:rsid w:val="00B76AF5"/>
    <w:rsid w:val="00B76B37"/>
    <w:rsid w:val="00B76D02"/>
    <w:rsid w:val="00B77399"/>
    <w:rsid w:val="00B7761F"/>
    <w:rsid w:val="00B778FF"/>
    <w:rsid w:val="00B7796D"/>
    <w:rsid w:val="00B77A25"/>
    <w:rsid w:val="00B77D17"/>
    <w:rsid w:val="00B77FB8"/>
    <w:rsid w:val="00B8055D"/>
    <w:rsid w:val="00B805F4"/>
    <w:rsid w:val="00B808FD"/>
    <w:rsid w:val="00B80B83"/>
    <w:rsid w:val="00B80D71"/>
    <w:rsid w:val="00B80F97"/>
    <w:rsid w:val="00B8164E"/>
    <w:rsid w:val="00B81734"/>
    <w:rsid w:val="00B8179E"/>
    <w:rsid w:val="00B81DAE"/>
    <w:rsid w:val="00B820B3"/>
    <w:rsid w:val="00B82171"/>
    <w:rsid w:val="00B822E1"/>
    <w:rsid w:val="00B8233F"/>
    <w:rsid w:val="00B823CC"/>
    <w:rsid w:val="00B824C8"/>
    <w:rsid w:val="00B8254D"/>
    <w:rsid w:val="00B8285B"/>
    <w:rsid w:val="00B831F5"/>
    <w:rsid w:val="00B83300"/>
    <w:rsid w:val="00B83542"/>
    <w:rsid w:val="00B83AEE"/>
    <w:rsid w:val="00B83E50"/>
    <w:rsid w:val="00B83F49"/>
    <w:rsid w:val="00B83FFE"/>
    <w:rsid w:val="00B8441F"/>
    <w:rsid w:val="00B84C05"/>
    <w:rsid w:val="00B84C0B"/>
    <w:rsid w:val="00B84E46"/>
    <w:rsid w:val="00B84FA9"/>
    <w:rsid w:val="00B8501A"/>
    <w:rsid w:val="00B8520B"/>
    <w:rsid w:val="00B85298"/>
    <w:rsid w:val="00B85308"/>
    <w:rsid w:val="00B85332"/>
    <w:rsid w:val="00B8560C"/>
    <w:rsid w:val="00B856DD"/>
    <w:rsid w:val="00B85794"/>
    <w:rsid w:val="00B858CA"/>
    <w:rsid w:val="00B85E9A"/>
    <w:rsid w:val="00B85EC7"/>
    <w:rsid w:val="00B85F77"/>
    <w:rsid w:val="00B863A0"/>
    <w:rsid w:val="00B866A6"/>
    <w:rsid w:val="00B869A5"/>
    <w:rsid w:val="00B869C2"/>
    <w:rsid w:val="00B87088"/>
    <w:rsid w:val="00B870C8"/>
    <w:rsid w:val="00B87266"/>
    <w:rsid w:val="00B87399"/>
    <w:rsid w:val="00B874AD"/>
    <w:rsid w:val="00B879BD"/>
    <w:rsid w:val="00B87BC1"/>
    <w:rsid w:val="00B901A8"/>
    <w:rsid w:val="00B90339"/>
    <w:rsid w:val="00B903FC"/>
    <w:rsid w:val="00B90B5C"/>
    <w:rsid w:val="00B90BBE"/>
    <w:rsid w:val="00B90D41"/>
    <w:rsid w:val="00B9109F"/>
    <w:rsid w:val="00B9141E"/>
    <w:rsid w:val="00B91616"/>
    <w:rsid w:val="00B91714"/>
    <w:rsid w:val="00B9197E"/>
    <w:rsid w:val="00B91BBF"/>
    <w:rsid w:val="00B91D05"/>
    <w:rsid w:val="00B92403"/>
    <w:rsid w:val="00B92687"/>
    <w:rsid w:val="00B92694"/>
    <w:rsid w:val="00B92BFC"/>
    <w:rsid w:val="00B92C65"/>
    <w:rsid w:val="00B92CC3"/>
    <w:rsid w:val="00B92D94"/>
    <w:rsid w:val="00B9311A"/>
    <w:rsid w:val="00B9313C"/>
    <w:rsid w:val="00B932AB"/>
    <w:rsid w:val="00B9363A"/>
    <w:rsid w:val="00B9376A"/>
    <w:rsid w:val="00B93C6C"/>
    <w:rsid w:val="00B93CCD"/>
    <w:rsid w:val="00B93D0F"/>
    <w:rsid w:val="00B93EDA"/>
    <w:rsid w:val="00B93EE0"/>
    <w:rsid w:val="00B9404E"/>
    <w:rsid w:val="00B942ED"/>
    <w:rsid w:val="00B942F6"/>
    <w:rsid w:val="00B943E0"/>
    <w:rsid w:val="00B9442F"/>
    <w:rsid w:val="00B9461F"/>
    <w:rsid w:val="00B94718"/>
    <w:rsid w:val="00B94779"/>
    <w:rsid w:val="00B959D5"/>
    <w:rsid w:val="00B95BA4"/>
    <w:rsid w:val="00B95C3E"/>
    <w:rsid w:val="00B95CDE"/>
    <w:rsid w:val="00B95D21"/>
    <w:rsid w:val="00B95E23"/>
    <w:rsid w:val="00B9609F"/>
    <w:rsid w:val="00B96B64"/>
    <w:rsid w:val="00B96BCE"/>
    <w:rsid w:val="00B96CBC"/>
    <w:rsid w:val="00B96EC6"/>
    <w:rsid w:val="00B97443"/>
    <w:rsid w:val="00B97A8D"/>
    <w:rsid w:val="00B97E96"/>
    <w:rsid w:val="00B97F0C"/>
    <w:rsid w:val="00B9F3F4"/>
    <w:rsid w:val="00BA0027"/>
    <w:rsid w:val="00BA00C9"/>
    <w:rsid w:val="00BA0167"/>
    <w:rsid w:val="00BA01AB"/>
    <w:rsid w:val="00BA038F"/>
    <w:rsid w:val="00BA0411"/>
    <w:rsid w:val="00BA05A7"/>
    <w:rsid w:val="00BA08BC"/>
    <w:rsid w:val="00BA098A"/>
    <w:rsid w:val="00BA09A2"/>
    <w:rsid w:val="00BA0A60"/>
    <w:rsid w:val="00BA1087"/>
    <w:rsid w:val="00BA1178"/>
    <w:rsid w:val="00BA1379"/>
    <w:rsid w:val="00BA13F3"/>
    <w:rsid w:val="00BA15ED"/>
    <w:rsid w:val="00BA1A9E"/>
    <w:rsid w:val="00BA1AB9"/>
    <w:rsid w:val="00BA1DDD"/>
    <w:rsid w:val="00BA26B3"/>
    <w:rsid w:val="00BA2800"/>
    <w:rsid w:val="00BA29A8"/>
    <w:rsid w:val="00BA2CCD"/>
    <w:rsid w:val="00BA2E14"/>
    <w:rsid w:val="00BA2FC7"/>
    <w:rsid w:val="00BA3306"/>
    <w:rsid w:val="00BA3613"/>
    <w:rsid w:val="00BA3ADC"/>
    <w:rsid w:val="00BA3D65"/>
    <w:rsid w:val="00BA3D70"/>
    <w:rsid w:val="00BA3FD9"/>
    <w:rsid w:val="00BA47BC"/>
    <w:rsid w:val="00BA49D0"/>
    <w:rsid w:val="00BA5373"/>
    <w:rsid w:val="00BA53E2"/>
    <w:rsid w:val="00BA5403"/>
    <w:rsid w:val="00BA5700"/>
    <w:rsid w:val="00BA5724"/>
    <w:rsid w:val="00BA5BEB"/>
    <w:rsid w:val="00BA5E18"/>
    <w:rsid w:val="00BA5F70"/>
    <w:rsid w:val="00BA6674"/>
    <w:rsid w:val="00BA6B33"/>
    <w:rsid w:val="00BA6CB3"/>
    <w:rsid w:val="00BA6CF6"/>
    <w:rsid w:val="00BA6EA9"/>
    <w:rsid w:val="00BA7093"/>
    <w:rsid w:val="00BA7166"/>
    <w:rsid w:val="00BA7390"/>
    <w:rsid w:val="00BA73EE"/>
    <w:rsid w:val="00BA75CD"/>
    <w:rsid w:val="00BA78E1"/>
    <w:rsid w:val="00BA78F6"/>
    <w:rsid w:val="00BA7A02"/>
    <w:rsid w:val="00BB014B"/>
    <w:rsid w:val="00BB03D9"/>
    <w:rsid w:val="00BB0428"/>
    <w:rsid w:val="00BB04AE"/>
    <w:rsid w:val="00BB0AEB"/>
    <w:rsid w:val="00BB0BB3"/>
    <w:rsid w:val="00BB0DCC"/>
    <w:rsid w:val="00BB0DE4"/>
    <w:rsid w:val="00BB0E85"/>
    <w:rsid w:val="00BB1431"/>
    <w:rsid w:val="00BB1B62"/>
    <w:rsid w:val="00BB1DD1"/>
    <w:rsid w:val="00BB2230"/>
    <w:rsid w:val="00BB2329"/>
    <w:rsid w:val="00BB2CCB"/>
    <w:rsid w:val="00BB2CE5"/>
    <w:rsid w:val="00BB3110"/>
    <w:rsid w:val="00BB3128"/>
    <w:rsid w:val="00BB33C8"/>
    <w:rsid w:val="00BB35FD"/>
    <w:rsid w:val="00BB39D9"/>
    <w:rsid w:val="00BB3BB0"/>
    <w:rsid w:val="00BB3D44"/>
    <w:rsid w:val="00BB3E50"/>
    <w:rsid w:val="00BB3FA8"/>
    <w:rsid w:val="00BB42EF"/>
    <w:rsid w:val="00BB4366"/>
    <w:rsid w:val="00BB439A"/>
    <w:rsid w:val="00BB45D6"/>
    <w:rsid w:val="00BB47AB"/>
    <w:rsid w:val="00BB4C2B"/>
    <w:rsid w:val="00BB4D9E"/>
    <w:rsid w:val="00BB4E24"/>
    <w:rsid w:val="00BB529D"/>
    <w:rsid w:val="00BB54A6"/>
    <w:rsid w:val="00BB57AD"/>
    <w:rsid w:val="00BB5A1F"/>
    <w:rsid w:val="00BB5B64"/>
    <w:rsid w:val="00BB5FF9"/>
    <w:rsid w:val="00BB613E"/>
    <w:rsid w:val="00BB6236"/>
    <w:rsid w:val="00BB64A4"/>
    <w:rsid w:val="00BB651A"/>
    <w:rsid w:val="00BB6706"/>
    <w:rsid w:val="00BB671E"/>
    <w:rsid w:val="00BB6875"/>
    <w:rsid w:val="00BB6A32"/>
    <w:rsid w:val="00BB6CD0"/>
    <w:rsid w:val="00BB6E80"/>
    <w:rsid w:val="00BB7040"/>
    <w:rsid w:val="00BB7207"/>
    <w:rsid w:val="00BB736E"/>
    <w:rsid w:val="00BB73E9"/>
    <w:rsid w:val="00BB794C"/>
    <w:rsid w:val="00BB7DFB"/>
    <w:rsid w:val="00BB9D51"/>
    <w:rsid w:val="00BC1145"/>
    <w:rsid w:val="00BC12D7"/>
    <w:rsid w:val="00BC1538"/>
    <w:rsid w:val="00BC1568"/>
    <w:rsid w:val="00BC170B"/>
    <w:rsid w:val="00BC19B1"/>
    <w:rsid w:val="00BC1B4F"/>
    <w:rsid w:val="00BC1CAF"/>
    <w:rsid w:val="00BC1ECD"/>
    <w:rsid w:val="00BC20AB"/>
    <w:rsid w:val="00BC23F4"/>
    <w:rsid w:val="00BC244B"/>
    <w:rsid w:val="00BC2533"/>
    <w:rsid w:val="00BC264D"/>
    <w:rsid w:val="00BC2810"/>
    <w:rsid w:val="00BC2815"/>
    <w:rsid w:val="00BC2D58"/>
    <w:rsid w:val="00BC3791"/>
    <w:rsid w:val="00BC3BEB"/>
    <w:rsid w:val="00BC3F04"/>
    <w:rsid w:val="00BC4571"/>
    <w:rsid w:val="00BC46A6"/>
    <w:rsid w:val="00BC4FD2"/>
    <w:rsid w:val="00BC5023"/>
    <w:rsid w:val="00BC51B0"/>
    <w:rsid w:val="00BC55CB"/>
    <w:rsid w:val="00BC56C3"/>
    <w:rsid w:val="00BC58FD"/>
    <w:rsid w:val="00BC5965"/>
    <w:rsid w:val="00BC5BE1"/>
    <w:rsid w:val="00BC5CF7"/>
    <w:rsid w:val="00BC6067"/>
    <w:rsid w:val="00BC617D"/>
    <w:rsid w:val="00BC62DC"/>
    <w:rsid w:val="00BC63A3"/>
    <w:rsid w:val="00BC64CC"/>
    <w:rsid w:val="00BC6950"/>
    <w:rsid w:val="00BC6A47"/>
    <w:rsid w:val="00BC6BC9"/>
    <w:rsid w:val="00BC6ED2"/>
    <w:rsid w:val="00BC6F9D"/>
    <w:rsid w:val="00BC7472"/>
    <w:rsid w:val="00BC7985"/>
    <w:rsid w:val="00BC7D39"/>
    <w:rsid w:val="00BC7E4E"/>
    <w:rsid w:val="00BC7F1A"/>
    <w:rsid w:val="00BD00DF"/>
    <w:rsid w:val="00BD00EB"/>
    <w:rsid w:val="00BD03EC"/>
    <w:rsid w:val="00BD0412"/>
    <w:rsid w:val="00BD0515"/>
    <w:rsid w:val="00BD0D87"/>
    <w:rsid w:val="00BD0DD0"/>
    <w:rsid w:val="00BD0E26"/>
    <w:rsid w:val="00BD0EB8"/>
    <w:rsid w:val="00BD1124"/>
    <w:rsid w:val="00BD1188"/>
    <w:rsid w:val="00BD1540"/>
    <w:rsid w:val="00BD1557"/>
    <w:rsid w:val="00BD15A9"/>
    <w:rsid w:val="00BD1CC5"/>
    <w:rsid w:val="00BD23A9"/>
    <w:rsid w:val="00BD26CB"/>
    <w:rsid w:val="00BD26E4"/>
    <w:rsid w:val="00BD2ACC"/>
    <w:rsid w:val="00BD2B5A"/>
    <w:rsid w:val="00BD2EBA"/>
    <w:rsid w:val="00BD3001"/>
    <w:rsid w:val="00BD30BE"/>
    <w:rsid w:val="00BD30E7"/>
    <w:rsid w:val="00BD3942"/>
    <w:rsid w:val="00BD3B69"/>
    <w:rsid w:val="00BD3C6F"/>
    <w:rsid w:val="00BD3F23"/>
    <w:rsid w:val="00BD4001"/>
    <w:rsid w:val="00BD4378"/>
    <w:rsid w:val="00BD4DD9"/>
    <w:rsid w:val="00BD4E7E"/>
    <w:rsid w:val="00BD5229"/>
    <w:rsid w:val="00BD540F"/>
    <w:rsid w:val="00BD54A3"/>
    <w:rsid w:val="00BD54F9"/>
    <w:rsid w:val="00BD55A0"/>
    <w:rsid w:val="00BD55EE"/>
    <w:rsid w:val="00BD57E9"/>
    <w:rsid w:val="00BD590A"/>
    <w:rsid w:val="00BD5DAC"/>
    <w:rsid w:val="00BD5EE8"/>
    <w:rsid w:val="00BD67C2"/>
    <w:rsid w:val="00BD686D"/>
    <w:rsid w:val="00BD69BF"/>
    <w:rsid w:val="00BD6A77"/>
    <w:rsid w:val="00BD6B1E"/>
    <w:rsid w:val="00BD6B9D"/>
    <w:rsid w:val="00BD73ED"/>
    <w:rsid w:val="00BD779D"/>
    <w:rsid w:val="00BD79AD"/>
    <w:rsid w:val="00BD7C39"/>
    <w:rsid w:val="00BD7F76"/>
    <w:rsid w:val="00BE0686"/>
    <w:rsid w:val="00BE06F1"/>
    <w:rsid w:val="00BE07C5"/>
    <w:rsid w:val="00BE0977"/>
    <w:rsid w:val="00BE0BB9"/>
    <w:rsid w:val="00BE0CDD"/>
    <w:rsid w:val="00BE0DFF"/>
    <w:rsid w:val="00BE130B"/>
    <w:rsid w:val="00BE13C9"/>
    <w:rsid w:val="00BE164C"/>
    <w:rsid w:val="00BE1A86"/>
    <w:rsid w:val="00BE1E68"/>
    <w:rsid w:val="00BE1E95"/>
    <w:rsid w:val="00BE2014"/>
    <w:rsid w:val="00BE219F"/>
    <w:rsid w:val="00BE2499"/>
    <w:rsid w:val="00BE24F3"/>
    <w:rsid w:val="00BE2C25"/>
    <w:rsid w:val="00BE2EF7"/>
    <w:rsid w:val="00BE30D5"/>
    <w:rsid w:val="00BE35CF"/>
    <w:rsid w:val="00BE3682"/>
    <w:rsid w:val="00BE377D"/>
    <w:rsid w:val="00BE37E9"/>
    <w:rsid w:val="00BE385B"/>
    <w:rsid w:val="00BE3AFC"/>
    <w:rsid w:val="00BE3CAA"/>
    <w:rsid w:val="00BE3D49"/>
    <w:rsid w:val="00BE3E0B"/>
    <w:rsid w:val="00BE3E5F"/>
    <w:rsid w:val="00BE3F20"/>
    <w:rsid w:val="00BE3FD9"/>
    <w:rsid w:val="00BE45AB"/>
    <w:rsid w:val="00BE48A9"/>
    <w:rsid w:val="00BE4AD8"/>
    <w:rsid w:val="00BE4D6F"/>
    <w:rsid w:val="00BE4FE5"/>
    <w:rsid w:val="00BE52FC"/>
    <w:rsid w:val="00BE5665"/>
    <w:rsid w:val="00BE583A"/>
    <w:rsid w:val="00BE5C99"/>
    <w:rsid w:val="00BE5FFE"/>
    <w:rsid w:val="00BE6128"/>
    <w:rsid w:val="00BE6897"/>
    <w:rsid w:val="00BE6C6A"/>
    <w:rsid w:val="00BE6EB6"/>
    <w:rsid w:val="00BE70A8"/>
    <w:rsid w:val="00BE70D2"/>
    <w:rsid w:val="00BE7279"/>
    <w:rsid w:val="00BE7730"/>
    <w:rsid w:val="00BE77E2"/>
    <w:rsid w:val="00BE79FF"/>
    <w:rsid w:val="00BE7D17"/>
    <w:rsid w:val="00BED3D7"/>
    <w:rsid w:val="00BF0355"/>
    <w:rsid w:val="00BF0598"/>
    <w:rsid w:val="00BF10F5"/>
    <w:rsid w:val="00BF147B"/>
    <w:rsid w:val="00BF1681"/>
    <w:rsid w:val="00BF1C78"/>
    <w:rsid w:val="00BF201E"/>
    <w:rsid w:val="00BF21DC"/>
    <w:rsid w:val="00BF2506"/>
    <w:rsid w:val="00BF2589"/>
    <w:rsid w:val="00BF260E"/>
    <w:rsid w:val="00BF2617"/>
    <w:rsid w:val="00BF2876"/>
    <w:rsid w:val="00BF2A56"/>
    <w:rsid w:val="00BF2D48"/>
    <w:rsid w:val="00BF2DE6"/>
    <w:rsid w:val="00BF2FF5"/>
    <w:rsid w:val="00BF3101"/>
    <w:rsid w:val="00BF3218"/>
    <w:rsid w:val="00BF3231"/>
    <w:rsid w:val="00BF33E4"/>
    <w:rsid w:val="00BF34DA"/>
    <w:rsid w:val="00BF393B"/>
    <w:rsid w:val="00BF3A82"/>
    <w:rsid w:val="00BF4703"/>
    <w:rsid w:val="00BF4762"/>
    <w:rsid w:val="00BF49C2"/>
    <w:rsid w:val="00BF49C4"/>
    <w:rsid w:val="00BF4B42"/>
    <w:rsid w:val="00BF4CFA"/>
    <w:rsid w:val="00BF4D66"/>
    <w:rsid w:val="00BF4F33"/>
    <w:rsid w:val="00BF50D8"/>
    <w:rsid w:val="00BF5417"/>
    <w:rsid w:val="00BF5482"/>
    <w:rsid w:val="00BF55AC"/>
    <w:rsid w:val="00BF58B2"/>
    <w:rsid w:val="00BF597B"/>
    <w:rsid w:val="00BF5EED"/>
    <w:rsid w:val="00BF61C3"/>
    <w:rsid w:val="00BF63E6"/>
    <w:rsid w:val="00BF6628"/>
    <w:rsid w:val="00BF68AF"/>
    <w:rsid w:val="00BF68D4"/>
    <w:rsid w:val="00BF6E4A"/>
    <w:rsid w:val="00BF6F3A"/>
    <w:rsid w:val="00BF7295"/>
    <w:rsid w:val="00BF7562"/>
    <w:rsid w:val="00BF79F8"/>
    <w:rsid w:val="00BF7A17"/>
    <w:rsid w:val="00BF7D4E"/>
    <w:rsid w:val="00BF7E30"/>
    <w:rsid w:val="00C00187"/>
    <w:rsid w:val="00C001B4"/>
    <w:rsid w:val="00C007CA"/>
    <w:rsid w:val="00C00F83"/>
    <w:rsid w:val="00C010A2"/>
    <w:rsid w:val="00C010E0"/>
    <w:rsid w:val="00C0119D"/>
    <w:rsid w:val="00C012F5"/>
    <w:rsid w:val="00C013FC"/>
    <w:rsid w:val="00C016C6"/>
    <w:rsid w:val="00C01797"/>
    <w:rsid w:val="00C01990"/>
    <w:rsid w:val="00C019A4"/>
    <w:rsid w:val="00C01C8F"/>
    <w:rsid w:val="00C01E8D"/>
    <w:rsid w:val="00C020EA"/>
    <w:rsid w:val="00C0245D"/>
    <w:rsid w:val="00C025B2"/>
    <w:rsid w:val="00C02750"/>
    <w:rsid w:val="00C02E22"/>
    <w:rsid w:val="00C03197"/>
    <w:rsid w:val="00C031FA"/>
    <w:rsid w:val="00C033CA"/>
    <w:rsid w:val="00C03435"/>
    <w:rsid w:val="00C03B87"/>
    <w:rsid w:val="00C03DB1"/>
    <w:rsid w:val="00C0407A"/>
    <w:rsid w:val="00C0408D"/>
    <w:rsid w:val="00C0410C"/>
    <w:rsid w:val="00C04183"/>
    <w:rsid w:val="00C04367"/>
    <w:rsid w:val="00C0491E"/>
    <w:rsid w:val="00C04AF6"/>
    <w:rsid w:val="00C04D98"/>
    <w:rsid w:val="00C04FB9"/>
    <w:rsid w:val="00C053BC"/>
    <w:rsid w:val="00C054C2"/>
    <w:rsid w:val="00C05577"/>
    <w:rsid w:val="00C0568F"/>
    <w:rsid w:val="00C05876"/>
    <w:rsid w:val="00C05EB4"/>
    <w:rsid w:val="00C05F2E"/>
    <w:rsid w:val="00C05F9F"/>
    <w:rsid w:val="00C0636F"/>
    <w:rsid w:val="00C06459"/>
    <w:rsid w:val="00C0665B"/>
    <w:rsid w:val="00C06BE8"/>
    <w:rsid w:val="00C06E22"/>
    <w:rsid w:val="00C06E2A"/>
    <w:rsid w:val="00C07373"/>
    <w:rsid w:val="00C07417"/>
    <w:rsid w:val="00C07484"/>
    <w:rsid w:val="00C075AA"/>
    <w:rsid w:val="00C07BBA"/>
    <w:rsid w:val="00C07DE3"/>
    <w:rsid w:val="00C10325"/>
    <w:rsid w:val="00C10407"/>
    <w:rsid w:val="00C104CE"/>
    <w:rsid w:val="00C105A8"/>
    <w:rsid w:val="00C10B20"/>
    <w:rsid w:val="00C10B4E"/>
    <w:rsid w:val="00C10B79"/>
    <w:rsid w:val="00C1112B"/>
    <w:rsid w:val="00C1126D"/>
    <w:rsid w:val="00C11317"/>
    <w:rsid w:val="00C113A2"/>
    <w:rsid w:val="00C115F0"/>
    <w:rsid w:val="00C11A01"/>
    <w:rsid w:val="00C11E13"/>
    <w:rsid w:val="00C11EBB"/>
    <w:rsid w:val="00C11F25"/>
    <w:rsid w:val="00C12051"/>
    <w:rsid w:val="00C12271"/>
    <w:rsid w:val="00C123AE"/>
    <w:rsid w:val="00C12483"/>
    <w:rsid w:val="00C12DD1"/>
    <w:rsid w:val="00C12FD1"/>
    <w:rsid w:val="00C13441"/>
    <w:rsid w:val="00C13696"/>
    <w:rsid w:val="00C1377A"/>
    <w:rsid w:val="00C137DD"/>
    <w:rsid w:val="00C139C6"/>
    <w:rsid w:val="00C13C2D"/>
    <w:rsid w:val="00C13F9B"/>
    <w:rsid w:val="00C1461A"/>
    <w:rsid w:val="00C14710"/>
    <w:rsid w:val="00C14E4A"/>
    <w:rsid w:val="00C14E9E"/>
    <w:rsid w:val="00C154A3"/>
    <w:rsid w:val="00C15695"/>
    <w:rsid w:val="00C1578E"/>
    <w:rsid w:val="00C1597B"/>
    <w:rsid w:val="00C15B62"/>
    <w:rsid w:val="00C15EDC"/>
    <w:rsid w:val="00C16023"/>
    <w:rsid w:val="00C16096"/>
    <w:rsid w:val="00C16497"/>
    <w:rsid w:val="00C164A4"/>
    <w:rsid w:val="00C165D1"/>
    <w:rsid w:val="00C16ACC"/>
    <w:rsid w:val="00C17105"/>
    <w:rsid w:val="00C171E2"/>
    <w:rsid w:val="00C1720D"/>
    <w:rsid w:val="00C1738F"/>
    <w:rsid w:val="00C173DE"/>
    <w:rsid w:val="00C17521"/>
    <w:rsid w:val="00C1758A"/>
    <w:rsid w:val="00C17879"/>
    <w:rsid w:val="00C17C65"/>
    <w:rsid w:val="00C17E0A"/>
    <w:rsid w:val="00C2000D"/>
    <w:rsid w:val="00C20277"/>
    <w:rsid w:val="00C204DD"/>
    <w:rsid w:val="00C209F2"/>
    <w:rsid w:val="00C209FF"/>
    <w:rsid w:val="00C20B26"/>
    <w:rsid w:val="00C20C6B"/>
    <w:rsid w:val="00C20CF9"/>
    <w:rsid w:val="00C20E2C"/>
    <w:rsid w:val="00C211B1"/>
    <w:rsid w:val="00C21286"/>
    <w:rsid w:val="00C213AB"/>
    <w:rsid w:val="00C2162A"/>
    <w:rsid w:val="00C21A2F"/>
    <w:rsid w:val="00C21A30"/>
    <w:rsid w:val="00C21AD9"/>
    <w:rsid w:val="00C21EAB"/>
    <w:rsid w:val="00C22095"/>
    <w:rsid w:val="00C221BF"/>
    <w:rsid w:val="00C2251A"/>
    <w:rsid w:val="00C2279A"/>
    <w:rsid w:val="00C2288B"/>
    <w:rsid w:val="00C22F8F"/>
    <w:rsid w:val="00C23134"/>
    <w:rsid w:val="00C232E3"/>
    <w:rsid w:val="00C2371B"/>
    <w:rsid w:val="00C23AEF"/>
    <w:rsid w:val="00C23EB6"/>
    <w:rsid w:val="00C23FEA"/>
    <w:rsid w:val="00C240BC"/>
    <w:rsid w:val="00C24196"/>
    <w:rsid w:val="00C2442B"/>
    <w:rsid w:val="00C246CD"/>
    <w:rsid w:val="00C24796"/>
    <w:rsid w:val="00C24867"/>
    <w:rsid w:val="00C24A61"/>
    <w:rsid w:val="00C2517E"/>
    <w:rsid w:val="00C2527D"/>
    <w:rsid w:val="00C2576D"/>
    <w:rsid w:val="00C25988"/>
    <w:rsid w:val="00C25EBB"/>
    <w:rsid w:val="00C25F44"/>
    <w:rsid w:val="00C2613E"/>
    <w:rsid w:val="00C262DC"/>
    <w:rsid w:val="00C26313"/>
    <w:rsid w:val="00C266DB"/>
    <w:rsid w:val="00C268CF"/>
    <w:rsid w:val="00C268E4"/>
    <w:rsid w:val="00C27012"/>
    <w:rsid w:val="00C2726D"/>
    <w:rsid w:val="00C273DD"/>
    <w:rsid w:val="00C274DB"/>
    <w:rsid w:val="00C27709"/>
    <w:rsid w:val="00C27D4A"/>
    <w:rsid w:val="00C27DAF"/>
    <w:rsid w:val="00C27F34"/>
    <w:rsid w:val="00C300DC"/>
    <w:rsid w:val="00C3020D"/>
    <w:rsid w:val="00C30395"/>
    <w:rsid w:val="00C30442"/>
    <w:rsid w:val="00C30560"/>
    <w:rsid w:val="00C305C5"/>
    <w:rsid w:val="00C30673"/>
    <w:rsid w:val="00C306A0"/>
    <w:rsid w:val="00C30B50"/>
    <w:rsid w:val="00C30CB7"/>
    <w:rsid w:val="00C30D55"/>
    <w:rsid w:val="00C31559"/>
    <w:rsid w:val="00C317F3"/>
    <w:rsid w:val="00C32157"/>
    <w:rsid w:val="00C32516"/>
    <w:rsid w:val="00C326A9"/>
    <w:rsid w:val="00C32761"/>
    <w:rsid w:val="00C32EBD"/>
    <w:rsid w:val="00C3345D"/>
    <w:rsid w:val="00C3391C"/>
    <w:rsid w:val="00C339CC"/>
    <w:rsid w:val="00C341E1"/>
    <w:rsid w:val="00C342AE"/>
    <w:rsid w:val="00C348F1"/>
    <w:rsid w:val="00C349C2"/>
    <w:rsid w:val="00C34E1E"/>
    <w:rsid w:val="00C34E2D"/>
    <w:rsid w:val="00C34E2F"/>
    <w:rsid w:val="00C351EF"/>
    <w:rsid w:val="00C354F3"/>
    <w:rsid w:val="00C3571E"/>
    <w:rsid w:val="00C3594C"/>
    <w:rsid w:val="00C359CC"/>
    <w:rsid w:val="00C35CDF"/>
    <w:rsid w:val="00C35FB9"/>
    <w:rsid w:val="00C3602F"/>
    <w:rsid w:val="00C360E5"/>
    <w:rsid w:val="00C36181"/>
    <w:rsid w:val="00C361F4"/>
    <w:rsid w:val="00C36562"/>
    <w:rsid w:val="00C36BFA"/>
    <w:rsid w:val="00C37643"/>
    <w:rsid w:val="00C378E9"/>
    <w:rsid w:val="00C37E75"/>
    <w:rsid w:val="00C37F16"/>
    <w:rsid w:val="00C4023D"/>
    <w:rsid w:val="00C40389"/>
    <w:rsid w:val="00C40991"/>
    <w:rsid w:val="00C40C7A"/>
    <w:rsid w:val="00C415BA"/>
    <w:rsid w:val="00C415FB"/>
    <w:rsid w:val="00C41F4E"/>
    <w:rsid w:val="00C420E2"/>
    <w:rsid w:val="00C42123"/>
    <w:rsid w:val="00C4224C"/>
    <w:rsid w:val="00C42422"/>
    <w:rsid w:val="00C42667"/>
    <w:rsid w:val="00C429D8"/>
    <w:rsid w:val="00C42D60"/>
    <w:rsid w:val="00C42F41"/>
    <w:rsid w:val="00C433B4"/>
    <w:rsid w:val="00C436B5"/>
    <w:rsid w:val="00C43A8C"/>
    <w:rsid w:val="00C43CF6"/>
    <w:rsid w:val="00C43D01"/>
    <w:rsid w:val="00C44544"/>
    <w:rsid w:val="00C4454F"/>
    <w:rsid w:val="00C44C37"/>
    <w:rsid w:val="00C44CBE"/>
    <w:rsid w:val="00C44DC3"/>
    <w:rsid w:val="00C45234"/>
    <w:rsid w:val="00C456D7"/>
    <w:rsid w:val="00C45A0A"/>
    <w:rsid w:val="00C45C80"/>
    <w:rsid w:val="00C45F91"/>
    <w:rsid w:val="00C461BD"/>
    <w:rsid w:val="00C46228"/>
    <w:rsid w:val="00C4634D"/>
    <w:rsid w:val="00C46AE5"/>
    <w:rsid w:val="00C46B4F"/>
    <w:rsid w:val="00C47654"/>
    <w:rsid w:val="00C476FF"/>
    <w:rsid w:val="00C47C23"/>
    <w:rsid w:val="00C47CD0"/>
    <w:rsid w:val="00C47E64"/>
    <w:rsid w:val="00C47E70"/>
    <w:rsid w:val="00C47F82"/>
    <w:rsid w:val="00C50054"/>
    <w:rsid w:val="00C504BC"/>
    <w:rsid w:val="00C509F7"/>
    <w:rsid w:val="00C50B77"/>
    <w:rsid w:val="00C50C48"/>
    <w:rsid w:val="00C51076"/>
    <w:rsid w:val="00C5123A"/>
    <w:rsid w:val="00C51292"/>
    <w:rsid w:val="00C512B9"/>
    <w:rsid w:val="00C514A2"/>
    <w:rsid w:val="00C51AEE"/>
    <w:rsid w:val="00C51EB3"/>
    <w:rsid w:val="00C52263"/>
    <w:rsid w:val="00C5227E"/>
    <w:rsid w:val="00C525A5"/>
    <w:rsid w:val="00C525D8"/>
    <w:rsid w:val="00C525F2"/>
    <w:rsid w:val="00C5266F"/>
    <w:rsid w:val="00C52AD9"/>
    <w:rsid w:val="00C52BE0"/>
    <w:rsid w:val="00C52C15"/>
    <w:rsid w:val="00C52FD9"/>
    <w:rsid w:val="00C5307A"/>
    <w:rsid w:val="00C532BF"/>
    <w:rsid w:val="00C536C9"/>
    <w:rsid w:val="00C53AB0"/>
    <w:rsid w:val="00C53C99"/>
    <w:rsid w:val="00C5497F"/>
    <w:rsid w:val="00C5517B"/>
    <w:rsid w:val="00C552B4"/>
    <w:rsid w:val="00C55340"/>
    <w:rsid w:val="00C55949"/>
    <w:rsid w:val="00C55B8D"/>
    <w:rsid w:val="00C55BE1"/>
    <w:rsid w:val="00C56093"/>
    <w:rsid w:val="00C561C6"/>
    <w:rsid w:val="00C564C2"/>
    <w:rsid w:val="00C569E0"/>
    <w:rsid w:val="00C56B59"/>
    <w:rsid w:val="00C56CAF"/>
    <w:rsid w:val="00C56F70"/>
    <w:rsid w:val="00C5756A"/>
    <w:rsid w:val="00C57E4D"/>
    <w:rsid w:val="00C6018A"/>
    <w:rsid w:val="00C6019D"/>
    <w:rsid w:val="00C60545"/>
    <w:rsid w:val="00C6076F"/>
    <w:rsid w:val="00C60D47"/>
    <w:rsid w:val="00C60F85"/>
    <w:rsid w:val="00C610AA"/>
    <w:rsid w:val="00C61362"/>
    <w:rsid w:val="00C6198B"/>
    <w:rsid w:val="00C61B2A"/>
    <w:rsid w:val="00C61D89"/>
    <w:rsid w:val="00C61F2D"/>
    <w:rsid w:val="00C620D0"/>
    <w:rsid w:val="00C622A3"/>
    <w:rsid w:val="00C624F4"/>
    <w:rsid w:val="00C62638"/>
    <w:rsid w:val="00C626E2"/>
    <w:rsid w:val="00C628C8"/>
    <w:rsid w:val="00C62C40"/>
    <w:rsid w:val="00C6348F"/>
    <w:rsid w:val="00C635A3"/>
    <w:rsid w:val="00C63646"/>
    <w:rsid w:val="00C636DC"/>
    <w:rsid w:val="00C638A9"/>
    <w:rsid w:val="00C63921"/>
    <w:rsid w:val="00C64249"/>
    <w:rsid w:val="00C64281"/>
    <w:rsid w:val="00C6488F"/>
    <w:rsid w:val="00C64941"/>
    <w:rsid w:val="00C6499E"/>
    <w:rsid w:val="00C64BC0"/>
    <w:rsid w:val="00C64E3A"/>
    <w:rsid w:val="00C652C4"/>
    <w:rsid w:val="00C65436"/>
    <w:rsid w:val="00C65596"/>
    <w:rsid w:val="00C6593B"/>
    <w:rsid w:val="00C65CD0"/>
    <w:rsid w:val="00C65E0E"/>
    <w:rsid w:val="00C6609F"/>
    <w:rsid w:val="00C66533"/>
    <w:rsid w:val="00C668B0"/>
    <w:rsid w:val="00C66C7C"/>
    <w:rsid w:val="00C66CF1"/>
    <w:rsid w:val="00C672DB"/>
    <w:rsid w:val="00C673F8"/>
    <w:rsid w:val="00C67418"/>
    <w:rsid w:val="00C676EF"/>
    <w:rsid w:val="00C678C3"/>
    <w:rsid w:val="00C700A6"/>
    <w:rsid w:val="00C7010A"/>
    <w:rsid w:val="00C701C6"/>
    <w:rsid w:val="00C7025A"/>
    <w:rsid w:val="00C702C8"/>
    <w:rsid w:val="00C70365"/>
    <w:rsid w:val="00C70442"/>
    <w:rsid w:val="00C708AC"/>
    <w:rsid w:val="00C70B73"/>
    <w:rsid w:val="00C70BDA"/>
    <w:rsid w:val="00C70C0C"/>
    <w:rsid w:val="00C70E01"/>
    <w:rsid w:val="00C70E94"/>
    <w:rsid w:val="00C71196"/>
    <w:rsid w:val="00C7121C"/>
    <w:rsid w:val="00C71367"/>
    <w:rsid w:val="00C71581"/>
    <w:rsid w:val="00C717CB"/>
    <w:rsid w:val="00C71A5D"/>
    <w:rsid w:val="00C71DE0"/>
    <w:rsid w:val="00C721CC"/>
    <w:rsid w:val="00C723C7"/>
    <w:rsid w:val="00C726FF"/>
    <w:rsid w:val="00C727EE"/>
    <w:rsid w:val="00C727EF"/>
    <w:rsid w:val="00C72801"/>
    <w:rsid w:val="00C72AC3"/>
    <w:rsid w:val="00C72C31"/>
    <w:rsid w:val="00C72E77"/>
    <w:rsid w:val="00C73106"/>
    <w:rsid w:val="00C731AE"/>
    <w:rsid w:val="00C732E6"/>
    <w:rsid w:val="00C73340"/>
    <w:rsid w:val="00C73384"/>
    <w:rsid w:val="00C733C4"/>
    <w:rsid w:val="00C736E7"/>
    <w:rsid w:val="00C73DAF"/>
    <w:rsid w:val="00C73DF5"/>
    <w:rsid w:val="00C743EB"/>
    <w:rsid w:val="00C74514"/>
    <w:rsid w:val="00C7451F"/>
    <w:rsid w:val="00C7479C"/>
    <w:rsid w:val="00C7497C"/>
    <w:rsid w:val="00C7519E"/>
    <w:rsid w:val="00C75500"/>
    <w:rsid w:val="00C7564B"/>
    <w:rsid w:val="00C756A1"/>
    <w:rsid w:val="00C756E4"/>
    <w:rsid w:val="00C75848"/>
    <w:rsid w:val="00C759BA"/>
    <w:rsid w:val="00C762AB"/>
    <w:rsid w:val="00C76427"/>
    <w:rsid w:val="00C76DEF"/>
    <w:rsid w:val="00C76E2A"/>
    <w:rsid w:val="00C77011"/>
    <w:rsid w:val="00C7705D"/>
    <w:rsid w:val="00C77AE3"/>
    <w:rsid w:val="00C77BF4"/>
    <w:rsid w:val="00C77F08"/>
    <w:rsid w:val="00C80136"/>
    <w:rsid w:val="00C802B4"/>
    <w:rsid w:val="00C805AD"/>
    <w:rsid w:val="00C80936"/>
    <w:rsid w:val="00C80B89"/>
    <w:rsid w:val="00C80CB4"/>
    <w:rsid w:val="00C80E9C"/>
    <w:rsid w:val="00C80EA3"/>
    <w:rsid w:val="00C8101A"/>
    <w:rsid w:val="00C812B2"/>
    <w:rsid w:val="00C81606"/>
    <w:rsid w:val="00C8199F"/>
    <w:rsid w:val="00C81A12"/>
    <w:rsid w:val="00C81C33"/>
    <w:rsid w:val="00C81C5B"/>
    <w:rsid w:val="00C81C70"/>
    <w:rsid w:val="00C820E2"/>
    <w:rsid w:val="00C821B4"/>
    <w:rsid w:val="00C82261"/>
    <w:rsid w:val="00C824E4"/>
    <w:rsid w:val="00C8278F"/>
    <w:rsid w:val="00C8296F"/>
    <w:rsid w:val="00C8299D"/>
    <w:rsid w:val="00C82EC2"/>
    <w:rsid w:val="00C8309A"/>
    <w:rsid w:val="00C83182"/>
    <w:rsid w:val="00C831D2"/>
    <w:rsid w:val="00C835E6"/>
    <w:rsid w:val="00C8365C"/>
    <w:rsid w:val="00C8369D"/>
    <w:rsid w:val="00C836D7"/>
    <w:rsid w:val="00C837ED"/>
    <w:rsid w:val="00C838C9"/>
    <w:rsid w:val="00C83E34"/>
    <w:rsid w:val="00C8401D"/>
    <w:rsid w:val="00C844AB"/>
    <w:rsid w:val="00C844FB"/>
    <w:rsid w:val="00C846BE"/>
    <w:rsid w:val="00C846C4"/>
    <w:rsid w:val="00C848C1"/>
    <w:rsid w:val="00C84A86"/>
    <w:rsid w:val="00C84C02"/>
    <w:rsid w:val="00C84C1F"/>
    <w:rsid w:val="00C850A2"/>
    <w:rsid w:val="00C855A8"/>
    <w:rsid w:val="00C85754"/>
    <w:rsid w:val="00C85B65"/>
    <w:rsid w:val="00C85C41"/>
    <w:rsid w:val="00C85C9F"/>
    <w:rsid w:val="00C85E48"/>
    <w:rsid w:val="00C85EC1"/>
    <w:rsid w:val="00C8613C"/>
    <w:rsid w:val="00C86280"/>
    <w:rsid w:val="00C86464"/>
    <w:rsid w:val="00C8685C"/>
    <w:rsid w:val="00C86C81"/>
    <w:rsid w:val="00C86E21"/>
    <w:rsid w:val="00C87120"/>
    <w:rsid w:val="00C871CA"/>
    <w:rsid w:val="00C8780B"/>
    <w:rsid w:val="00C87949"/>
    <w:rsid w:val="00C87A09"/>
    <w:rsid w:val="00C87A20"/>
    <w:rsid w:val="00C87DE5"/>
    <w:rsid w:val="00C87E5B"/>
    <w:rsid w:val="00C87F5E"/>
    <w:rsid w:val="00C87FDD"/>
    <w:rsid w:val="00C90053"/>
    <w:rsid w:val="00C9006C"/>
    <w:rsid w:val="00C901CB"/>
    <w:rsid w:val="00C90257"/>
    <w:rsid w:val="00C902EC"/>
    <w:rsid w:val="00C905D6"/>
    <w:rsid w:val="00C907DD"/>
    <w:rsid w:val="00C9088E"/>
    <w:rsid w:val="00C9115B"/>
    <w:rsid w:val="00C91195"/>
    <w:rsid w:val="00C91523"/>
    <w:rsid w:val="00C9161F"/>
    <w:rsid w:val="00C918A6"/>
    <w:rsid w:val="00C91AE8"/>
    <w:rsid w:val="00C91D2C"/>
    <w:rsid w:val="00C91E83"/>
    <w:rsid w:val="00C920A1"/>
    <w:rsid w:val="00C921D3"/>
    <w:rsid w:val="00C9221A"/>
    <w:rsid w:val="00C925B9"/>
    <w:rsid w:val="00C92F7A"/>
    <w:rsid w:val="00C93160"/>
    <w:rsid w:val="00C93178"/>
    <w:rsid w:val="00C931DE"/>
    <w:rsid w:val="00C9331E"/>
    <w:rsid w:val="00C934DC"/>
    <w:rsid w:val="00C93787"/>
    <w:rsid w:val="00C93A91"/>
    <w:rsid w:val="00C93D1B"/>
    <w:rsid w:val="00C941AC"/>
    <w:rsid w:val="00C94349"/>
    <w:rsid w:val="00C943DC"/>
    <w:rsid w:val="00C94B11"/>
    <w:rsid w:val="00C950C4"/>
    <w:rsid w:val="00C9524A"/>
    <w:rsid w:val="00C95385"/>
    <w:rsid w:val="00C95AA5"/>
    <w:rsid w:val="00C9605A"/>
    <w:rsid w:val="00C96398"/>
    <w:rsid w:val="00C963DE"/>
    <w:rsid w:val="00C968E5"/>
    <w:rsid w:val="00C96A48"/>
    <w:rsid w:val="00C96B32"/>
    <w:rsid w:val="00C9711D"/>
    <w:rsid w:val="00C97258"/>
    <w:rsid w:val="00C972D0"/>
    <w:rsid w:val="00C97545"/>
    <w:rsid w:val="00C9756B"/>
    <w:rsid w:val="00C97637"/>
    <w:rsid w:val="00C97A12"/>
    <w:rsid w:val="00C97EAD"/>
    <w:rsid w:val="00CA007C"/>
    <w:rsid w:val="00CA01CA"/>
    <w:rsid w:val="00CA030D"/>
    <w:rsid w:val="00CA046E"/>
    <w:rsid w:val="00CA0486"/>
    <w:rsid w:val="00CA04C5"/>
    <w:rsid w:val="00CA06E7"/>
    <w:rsid w:val="00CA0707"/>
    <w:rsid w:val="00CA0794"/>
    <w:rsid w:val="00CA07AE"/>
    <w:rsid w:val="00CA0C26"/>
    <w:rsid w:val="00CA1048"/>
    <w:rsid w:val="00CA11F1"/>
    <w:rsid w:val="00CA1559"/>
    <w:rsid w:val="00CA16A4"/>
    <w:rsid w:val="00CA1810"/>
    <w:rsid w:val="00CA1EC9"/>
    <w:rsid w:val="00CA1F41"/>
    <w:rsid w:val="00CA20F8"/>
    <w:rsid w:val="00CA25DE"/>
    <w:rsid w:val="00CA2CFF"/>
    <w:rsid w:val="00CA3019"/>
    <w:rsid w:val="00CA31DF"/>
    <w:rsid w:val="00CA348C"/>
    <w:rsid w:val="00CA3888"/>
    <w:rsid w:val="00CA3994"/>
    <w:rsid w:val="00CA4189"/>
    <w:rsid w:val="00CA475A"/>
    <w:rsid w:val="00CA4BC3"/>
    <w:rsid w:val="00CA4F15"/>
    <w:rsid w:val="00CA5282"/>
    <w:rsid w:val="00CA58D8"/>
    <w:rsid w:val="00CA5CF4"/>
    <w:rsid w:val="00CA6212"/>
    <w:rsid w:val="00CA6279"/>
    <w:rsid w:val="00CA63CB"/>
    <w:rsid w:val="00CA6492"/>
    <w:rsid w:val="00CA68B6"/>
    <w:rsid w:val="00CA68BB"/>
    <w:rsid w:val="00CA69AC"/>
    <w:rsid w:val="00CA6D90"/>
    <w:rsid w:val="00CA71A1"/>
    <w:rsid w:val="00CA75B3"/>
    <w:rsid w:val="00CA76A7"/>
    <w:rsid w:val="00CA7767"/>
    <w:rsid w:val="00CA7884"/>
    <w:rsid w:val="00CA7AF0"/>
    <w:rsid w:val="00CB007F"/>
    <w:rsid w:val="00CB012F"/>
    <w:rsid w:val="00CB0135"/>
    <w:rsid w:val="00CB05B9"/>
    <w:rsid w:val="00CB0667"/>
    <w:rsid w:val="00CB07A8"/>
    <w:rsid w:val="00CB0813"/>
    <w:rsid w:val="00CB09E1"/>
    <w:rsid w:val="00CB1414"/>
    <w:rsid w:val="00CB1711"/>
    <w:rsid w:val="00CB17CD"/>
    <w:rsid w:val="00CB1889"/>
    <w:rsid w:val="00CB1ACC"/>
    <w:rsid w:val="00CB2072"/>
    <w:rsid w:val="00CB20FA"/>
    <w:rsid w:val="00CB226B"/>
    <w:rsid w:val="00CB22F5"/>
    <w:rsid w:val="00CB25EE"/>
    <w:rsid w:val="00CB2723"/>
    <w:rsid w:val="00CB2B7B"/>
    <w:rsid w:val="00CB3023"/>
    <w:rsid w:val="00CB31BE"/>
    <w:rsid w:val="00CB375D"/>
    <w:rsid w:val="00CB3A2C"/>
    <w:rsid w:val="00CB3BEB"/>
    <w:rsid w:val="00CB3E84"/>
    <w:rsid w:val="00CB40FA"/>
    <w:rsid w:val="00CB4174"/>
    <w:rsid w:val="00CB4379"/>
    <w:rsid w:val="00CB46C7"/>
    <w:rsid w:val="00CB4802"/>
    <w:rsid w:val="00CB4AA4"/>
    <w:rsid w:val="00CB4EBB"/>
    <w:rsid w:val="00CB5341"/>
    <w:rsid w:val="00CB5389"/>
    <w:rsid w:val="00CB5628"/>
    <w:rsid w:val="00CB5D89"/>
    <w:rsid w:val="00CB5DBA"/>
    <w:rsid w:val="00CB6002"/>
    <w:rsid w:val="00CB63DD"/>
    <w:rsid w:val="00CB658E"/>
    <w:rsid w:val="00CB6652"/>
    <w:rsid w:val="00CB6DFB"/>
    <w:rsid w:val="00CB6EA4"/>
    <w:rsid w:val="00CB6EDD"/>
    <w:rsid w:val="00CB7072"/>
    <w:rsid w:val="00CB7190"/>
    <w:rsid w:val="00CB71C7"/>
    <w:rsid w:val="00CB76F5"/>
    <w:rsid w:val="00CB787F"/>
    <w:rsid w:val="00CB7DBA"/>
    <w:rsid w:val="00CC040C"/>
    <w:rsid w:val="00CC04D9"/>
    <w:rsid w:val="00CC04E2"/>
    <w:rsid w:val="00CC04F7"/>
    <w:rsid w:val="00CC069A"/>
    <w:rsid w:val="00CC0B3B"/>
    <w:rsid w:val="00CC0D1D"/>
    <w:rsid w:val="00CC0F5D"/>
    <w:rsid w:val="00CC10E1"/>
    <w:rsid w:val="00CC121D"/>
    <w:rsid w:val="00CC187D"/>
    <w:rsid w:val="00CC1D24"/>
    <w:rsid w:val="00CC1FA2"/>
    <w:rsid w:val="00CC1FCD"/>
    <w:rsid w:val="00CC2036"/>
    <w:rsid w:val="00CC2359"/>
    <w:rsid w:val="00CC2779"/>
    <w:rsid w:val="00CC28DF"/>
    <w:rsid w:val="00CC29CF"/>
    <w:rsid w:val="00CC2CEE"/>
    <w:rsid w:val="00CC2D62"/>
    <w:rsid w:val="00CC2F2A"/>
    <w:rsid w:val="00CC33AD"/>
    <w:rsid w:val="00CC33BD"/>
    <w:rsid w:val="00CC3543"/>
    <w:rsid w:val="00CC36A2"/>
    <w:rsid w:val="00CC37EF"/>
    <w:rsid w:val="00CC3CF1"/>
    <w:rsid w:val="00CC3F44"/>
    <w:rsid w:val="00CC40C9"/>
    <w:rsid w:val="00CC436F"/>
    <w:rsid w:val="00CC48BA"/>
    <w:rsid w:val="00CC48BE"/>
    <w:rsid w:val="00CC4EF3"/>
    <w:rsid w:val="00CC512D"/>
    <w:rsid w:val="00CC583C"/>
    <w:rsid w:val="00CC5A07"/>
    <w:rsid w:val="00CC5A12"/>
    <w:rsid w:val="00CC5B2E"/>
    <w:rsid w:val="00CC5BB7"/>
    <w:rsid w:val="00CC5C34"/>
    <w:rsid w:val="00CC5DFB"/>
    <w:rsid w:val="00CC5F3F"/>
    <w:rsid w:val="00CC6904"/>
    <w:rsid w:val="00CC6A65"/>
    <w:rsid w:val="00CC6A83"/>
    <w:rsid w:val="00CC6D08"/>
    <w:rsid w:val="00CC6EEF"/>
    <w:rsid w:val="00CC7178"/>
    <w:rsid w:val="00CC72CD"/>
    <w:rsid w:val="00CC7807"/>
    <w:rsid w:val="00CC79A7"/>
    <w:rsid w:val="00CC7E12"/>
    <w:rsid w:val="00CC7F3D"/>
    <w:rsid w:val="00CC7FC5"/>
    <w:rsid w:val="00CD0164"/>
    <w:rsid w:val="00CD0180"/>
    <w:rsid w:val="00CD03CE"/>
    <w:rsid w:val="00CD0596"/>
    <w:rsid w:val="00CD06D4"/>
    <w:rsid w:val="00CD06D6"/>
    <w:rsid w:val="00CD0A69"/>
    <w:rsid w:val="00CD0BD9"/>
    <w:rsid w:val="00CD0EDB"/>
    <w:rsid w:val="00CD12E3"/>
    <w:rsid w:val="00CD168C"/>
    <w:rsid w:val="00CD22B4"/>
    <w:rsid w:val="00CD246E"/>
    <w:rsid w:val="00CD2725"/>
    <w:rsid w:val="00CD2933"/>
    <w:rsid w:val="00CD2BBC"/>
    <w:rsid w:val="00CD2C3E"/>
    <w:rsid w:val="00CD2EA4"/>
    <w:rsid w:val="00CD3054"/>
    <w:rsid w:val="00CD3493"/>
    <w:rsid w:val="00CD34E3"/>
    <w:rsid w:val="00CD35B5"/>
    <w:rsid w:val="00CD3934"/>
    <w:rsid w:val="00CD3E17"/>
    <w:rsid w:val="00CD3E98"/>
    <w:rsid w:val="00CD3FD8"/>
    <w:rsid w:val="00CD4728"/>
    <w:rsid w:val="00CD4806"/>
    <w:rsid w:val="00CD4AFF"/>
    <w:rsid w:val="00CD4EE8"/>
    <w:rsid w:val="00CD53B8"/>
    <w:rsid w:val="00CD59DA"/>
    <w:rsid w:val="00CD5BCF"/>
    <w:rsid w:val="00CD5BEE"/>
    <w:rsid w:val="00CD6327"/>
    <w:rsid w:val="00CD6522"/>
    <w:rsid w:val="00CD684C"/>
    <w:rsid w:val="00CD686D"/>
    <w:rsid w:val="00CD6B41"/>
    <w:rsid w:val="00CD6D39"/>
    <w:rsid w:val="00CD7183"/>
    <w:rsid w:val="00CD7305"/>
    <w:rsid w:val="00CD7445"/>
    <w:rsid w:val="00CD77A4"/>
    <w:rsid w:val="00CD78EA"/>
    <w:rsid w:val="00CD7A48"/>
    <w:rsid w:val="00CD7A84"/>
    <w:rsid w:val="00CD7A91"/>
    <w:rsid w:val="00CD7B1A"/>
    <w:rsid w:val="00CD7DCF"/>
    <w:rsid w:val="00CE03B7"/>
    <w:rsid w:val="00CE0570"/>
    <w:rsid w:val="00CE064F"/>
    <w:rsid w:val="00CE082D"/>
    <w:rsid w:val="00CE0E0A"/>
    <w:rsid w:val="00CE0ED8"/>
    <w:rsid w:val="00CE0F6C"/>
    <w:rsid w:val="00CE1100"/>
    <w:rsid w:val="00CE119E"/>
    <w:rsid w:val="00CE16E0"/>
    <w:rsid w:val="00CE1ABF"/>
    <w:rsid w:val="00CE1EA5"/>
    <w:rsid w:val="00CE20DF"/>
    <w:rsid w:val="00CE276B"/>
    <w:rsid w:val="00CE285B"/>
    <w:rsid w:val="00CE2B78"/>
    <w:rsid w:val="00CE2D0B"/>
    <w:rsid w:val="00CE2F11"/>
    <w:rsid w:val="00CE353B"/>
    <w:rsid w:val="00CE355E"/>
    <w:rsid w:val="00CE3657"/>
    <w:rsid w:val="00CE3675"/>
    <w:rsid w:val="00CE3902"/>
    <w:rsid w:val="00CE39C8"/>
    <w:rsid w:val="00CE3A02"/>
    <w:rsid w:val="00CE3B08"/>
    <w:rsid w:val="00CE3EB1"/>
    <w:rsid w:val="00CE43C1"/>
    <w:rsid w:val="00CE4404"/>
    <w:rsid w:val="00CE4479"/>
    <w:rsid w:val="00CE4734"/>
    <w:rsid w:val="00CE47CD"/>
    <w:rsid w:val="00CE4842"/>
    <w:rsid w:val="00CE4882"/>
    <w:rsid w:val="00CE4885"/>
    <w:rsid w:val="00CE5055"/>
    <w:rsid w:val="00CE50F3"/>
    <w:rsid w:val="00CE53F7"/>
    <w:rsid w:val="00CE5430"/>
    <w:rsid w:val="00CE562F"/>
    <w:rsid w:val="00CE57E9"/>
    <w:rsid w:val="00CE5848"/>
    <w:rsid w:val="00CE5DBD"/>
    <w:rsid w:val="00CE5DF2"/>
    <w:rsid w:val="00CE6854"/>
    <w:rsid w:val="00CE6B84"/>
    <w:rsid w:val="00CE6C3C"/>
    <w:rsid w:val="00CE6C9B"/>
    <w:rsid w:val="00CE702F"/>
    <w:rsid w:val="00CE74A3"/>
    <w:rsid w:val="00CE74D9"/>
    <w:rsid w:val="00CE78E6"/>
    <w:rsid w:val="00CE796E"/>
    <w:rsid w:val="00CE7A3F"/>
    <w:rsid w:val="00CE7B89"/>
    <w:rsid w:val="00CF0052"/>
    <w:rsid w:val="00CF0105"/>
    <w:rsid w:val="00CF01B7"/>
    <w:rsid w:val="00CF028E"/>
    <w:rsid w:val="00CF074A"/>
    <w:rsid w:val="00CF074D"/>
    <w:rsid w:val="00CF07C3"/>
    <w:rsid w:val="00CF159E"/>
    <w:rsid w:val="00CF16B6"/>
    <w:rsid w:val="00CF16E8"/>
    <w:rsid w:val="00CF18C3"/>
    <w:rsid w:val="00CF1F35"/>
    <w:rsid w:val="00CF2263"/>
    <w:rsid w:val="00CF259A"/>
    <w:rsid w:val="00CF282C"/>
    <w:rsid w:val="00CF2AF7"/>
    <w:rsid w:val="00CF2B76"/>
    <w:rsid w:val="00CF2BF4"/>
    <w:rsid w:val="00CF2DAA"/>
    <w:rsid w:val="00CF318C"/>
    <w:rsid w:val="00CF31AE"/>
    <w:rsid w:val="00CF3765"/>
    <w:rsid w:val="00CF37AD"/>
    <w:rsid w:val="00CF3903"/>
    <w:rsid w:val="00CF3C52"/>
    <w:rsid w:val="00CF4240"/>
    <w:rsid w:val="00CF437B"/>
    <w:rsid w:val="00CF463E"/>
    <w:rsid w:val="00CF4682"/>
    <w:rsid w:val="00CF4EC8"/>
    <w:rsid w:val="00CF4EF2"/>
    <w:rsid w:val="00CF4F99"/>
    <w:rsid w:val="00CF515F"/>
    <w:rsid w:val="00CF5245"/>
    <w:rsid w:val="00CF52BF"/>
    <w:rsid w:val="00CF56DC"/>
    <w:rsid w:val="00CF56FB"/>
    <w:rsid w:val="00CF5889"/>
    <w:rsid w:val="00CF5AAA"/>
    <w:rsid w:val="00CF5AB6"/>
    <w:rsid w:val="00CF5B00"/>
    <w:rsid w:val="00CF616C"/>
    <w:rsid w:val="00CF6209"/>
    <w:rsid w:val="00CF67E2"/>
    <w:rsid w:val="00CF6D42"/>
    <w:rsid w:val="00CF6DA6"/>
    <w:rsid w:val="00CF7252"/>
    <w:rsid w:val="00CF72EB"/>
    <w:rsid w:val="00CF7462"/>
    <w:rsid w:val="00CF7970"/>
    <w:rsid w:val="00CF7D54"/>
    <w:rsid w:val="00D000FE"/>
    <w:rsid w:val="00D003DE"/>
    <w:rsid w:val="00D0114B"/>
    <w:rsid w:val="00D01184"/>
    <w:rsid w:val="00D01438"/>
    <w:rsid w:val="00D01C1D"/>
    <w:rsid w:val="00D01C22"/>
    <w:rsid w:val="00D0210C"/>
    <w:rsid w:val="00D02292"/>
    <w:rsid w:val="00D0267F"/>
    <w:rsid w:val="00D026F7"/>
    <w:rsid w:val="00D02B5F"/>
    <w:rsid w:val="00D02EFA"/>
    <w:rsid w:val="00D02F9E"/>
    <w:rsid w:val="00D03164"/>
    <w:rsid w:val="00D034DD"/>
    <w:rsid w:val="00D0354C"/>
    <w:rsid w:val="00D03D02"/>
    <w:rsid w:val="00D03F74"/>
    <w:rsid w:val="00D0410F"/>
    <w:rsid w:val="00D04463"/>
    <w:rsid w:val="00D0447C"/>
    <w:rsid w:val="00D04952"/>
    <w:rsid w:val="00D04EA1"/>
    <w:rsid w:val="00D04F8D"/>
    <w:rsid w:val="00D0552C"/>
    <w:rsid w:val="00D05655"/>
    <w:rsid w:val="00D05736"/>
    <w:rsid w:val="00D05B08"/>
    <w:rsid w:val="00D05BB9"/>
    <w:rsid w:val="00D05C5C"/>
    <w:rsid w:val="00D05CC1"/>
    <w:rsid w:val="00D05EDA"/>
    <w:rsid w:val="00D0625B"/>
    <w:rsid w:val="00D062FE"/>
    <w:rsid w:val="00D06343"/>
    <w:rsid w:val="00D06491"/>
    <w:rsid w:val="00D06A0C"/>
    <w:rsid w:val="00D06A16"/>
    <w:rsid w:val="00D06E0A"/>
    <w:rsid w:val="00D06F08"/>
    <w:rsid w:val="00D06FAA"/>
    <w:rsid w:val="00D0713B"/>
    <w:rsid w:val="00D07437"/>
    <w:rsid w:val="00D07706"/>
    <w:rsid w:val="00D07736"/>
    <w:rsid w:val="00D0773A"/>
    <w:rsid w:val="00D07C28"/>
    <w:rsid w:val="00D07D7D"/>
    <w:rsid w:val="00D101D8"/>
    <w:rsid w:val="00D10524"/>
    <w:rsid w:val="00D1060A"/>
    <w:rsid w:val="00D1064D"/>
    <w:rsid w:val="00D1078F"/>
    <w:rsid w:val="00D1095B"/>
    <w:rsid w:val="00D10E4A"/>
    <w:rsid w:val="00D10E60"/>
    <w:rsid w:val="00D11033"/>
    <w:rsid w:val="00D111DF"/>
    <w:rsid w:val="00D1196E"/>
    <w:rsid w:val="00D11B4F"/>
    <w:rsid w:val="00D11D1E"/>
    <w:rsid w:val="00D11F8F"/>
    <w:rsid w:val="00D12251"/>
    <w:rsid w:val="00D12550"/>
    <w:rsid w:val="00D129EC"/>
    <w:rsid w:val="00D12B0F"/>
    <w:rsid w:val="00D12BC7"/>
    <w:rsid w:val="00D12C11"/>
    <w:rsid w:val="00D12CD2"/>
    <w:rsid w:val="00D1324B"/>
    <w:rsid w:val="00D13356"/>
    <w:rsid w:val="00D136A4"/>
    <w:rsid w:val="00D13D0D"/>
    <w:rsid w:val="00D13E33"/>
    <w:rsid w:val="00D13F1D"/>
    <w:rsid w:val="00D14095"/>
    <w:rsid w:val="00D140E0"/>
    <w:rsid w:val="00D14111"/>
    <w:rsid w:val="00D142A9"/>
    <w:rsid w:val="00D1433A"/>
    <w:rsid w:val="00D14577"/>
    <w:rsid w:val="00D145CA"/>
    <w:rsid w:val="00D145CE"/>
    <w:rsid w:val="00D14600"/>
    <w:rsid w:val="00D14BA1"/>
    <w:rsid w:val="00D14C34"/>
    <w:rsid w:val="00D14D23"/>
    <w:rsid w:val="00D1523A"/>
    <w:rsid w:val="00D155BC"/>
    <w:rsid w:val="00D1568C"/>
    <w:rsid w:val="00D15708"/>
    <w:rsid w:val="00D15755"/>
    <w:rsid w:val="00D157F4"/>
    <w:rsid w:val="00D1581A"/>
    <w:rsid w:val="00D158FE"/>
    <w:rsid w:val="00D15A80"/>
    <w:rsid w:val="00D15D8B"/>
    <w:rsid w:val="00D15E18"/>
    <w:rsid w:val="00D1638A"/>
    <w:rsid w:val="00D16670"/>
    <w:rsid w:val="00D1695D"/>
    <w:rsid w:val="00D16F19"/>
    <w:rsid w:val="00D170C7"/>
    <w:rsid w:val="00D17102"/>
    <w:rsid w:val="00D1759D"/>
    <w:rsid w:val="00D178DC"/>
    <w:rsid w:val="00D17984"/>
    <w:rsid w:val="00D17AE7"/>
    <w:rsid w:val="00D17FEB"/>
    <w:rsid w:val="00D20131"/>
    <w:rsid w:val="00D20199"/>
    <w:rsid w:val="00D20362"/>
    <w:rsid w:val="00D20527"/>
    <w:rsid w:val="00D20532"/>
    <w:rsid w:val="00D2056E"/>
    <w:rsid w:val="00D205FA"/>
    <w:rsid w:val="00D20A8B"/>
    <w:rsid w:val="00D20AF4"/>
    <w:rsid w:val="00D21054"/>
    <w:rsid w:val="00D211EE"/>
    <w:rsid w:val="00D216D1"/>
    <w:rsid w:val="00D21724"/>
    <w:rsid w:val="00D219E9"/>
    <w:rsid w:val="00D21ABE"/>
    <w:rsid w:val="00D21BC0"/>
    <w:rsid w:val="00D21E68"/>
    <w:rsid w:val="00D21F09"/>
    <w:rsid w:val="00D224F0"/>
    <w:rsid w:val="00D2272E"/>
    <w:rsid w:val="00D22BA6"/>
    <w:rsid w:val="00D22DB0"/>
    <w:rsid w:val="00D22F94"/>
    <w:rsid w:val="00D23207"/>
    <w:rsid w:val="00D237B1"/>
    <w:rsid w:val="00D23855"/>
    <w:rsid w:val="00D239C1"/>
    <w:rsid w:val="00D23ADA"/>
    <w:rsid w:val="00D23C19"/>
    <w:rsid w:val="00D242DA"/>
    <w:rsid w:val="00D242F1"/>
    <w:rsid w:val="00D2438C"/>
    <w:rsid w:val="00D244C2"/>
    <w:rsid w:val="00D244F7"/>
    <w:rsid w:val="00D248F9"/>
    <w:rsid w:val="00D2499B"/>
    <w:rsid w:val="00D24B55"/>
    <w:rsid w:val="00D24C8C"/>
    <w:rsid w:val="00D24D4B"/>
    <w:rsid w:val="00D24DAD"/>
    <w:rsid w:val="00D24F01"/>
    <w:rsid w:val="00D25191"/>
    <w:rsid w:val="00D2520D"/>
    <w:rsid w:val="00D25371"/>
    <w:rsid w:val="00D25916"/>
    <w:rsid w:val="00D25CEC"/>
    <w:rsid w:val="00D2628B"/>
    <w:rsid w:val="00D26726"/>
    <w:rsid w:val="00D26D97"/>
    <w:rsid w:val="00D271EE"/>
    <w:rsid w:val="00D27400"/>
    <w:rsid w:val="00D274CF"/>
    <w:rsid w:val="00D27551"/>
    <w:rsid w:val="00D27A81"/>
    <w:rsid w:val="00D27F3D"/>
    <w:rsid w:val="00D28BFF"/>
    <w:rsid w:val="00D301C2"/>
    <w:rsid w:val="00D30787"/>
    <w:rsid w:val="00D30863"/>
    <w:rsid w:val="00D30876"/>
    <w:rsid w:val="00D30AA5"/>
    <w:rsid w:val="00D30AF6"/>
    <w:rsid w:val="00D30CC3"/>
    <w:rsid w:val="00D31438"/>
    <w:rsid w:val="00D3167B"/>
    <w:rsid w:val="00D3174A"/>
    <w:rsid w:val="00D32536"/>
    <w:rsid w:val="00D3268F"/>
    <w:rsid w:val="00D326A4"/>
    <w:rsid w:val="00D3293E"/>
    <w:rsid w:val="00D329E6"/>
    <w:rsid w:val="00D32AC1"/>
    <w:rsid w:val="00D32E1C"/>
    <w:rsid w:val="00D32FAC"/>
    <w:rsid w:val="00D330BF"/>
    <w:rsid w:val="00D335B5"/>
    <w:rsid w:val="00D33771"/>
    <w:rsid w:val="00D33838"/>
    <w:rsid w:val="00D33927"/>
    <w:rsid w:val="00D33A34"/>
    <w:rsid w:val="00D33E71"/>
    <w:rsid w:val="00D33F2F"/>
    <w:rsid w:val="00D340C0"/>
    <w:rsid w:val="00D346E1"/>
    <w:rsid w:val="00D34BF0"/>
    <w:rsid w:val="00D34C99"/>
    <w:rsid w:val="00D355F0"/>
    <w:rsid w:val="00D35725"/>
    <w:rsid w:val="00D358BA"/>
    <w:rsid w:val="00D35AF1"/>
    <w:rsid w:val="00D35D59"/>
    <w:rsid w:val="00D35E61"/>
    <w:rsid w:val="00D36098"/>
    <w:rsid w:val="00D3677D"/>
    <w:rsid w:val="00D3696A"/>
    <w:rsid w:val="00D36B83"/>
    <w:rsid w:val="00D36CB8"/>
    <w:rsid w:val="00D37972"/>
    <w:rsid w:val="00D37AC7"/>
    <w:rsid w:val="00D37C3A"/>
    <w:rsid w:val="00D37C82"/>
    <w:rsid w:val="00D40241"/>
    <w:rsid w:val="00D403E2"/>
    <w:rsid w:val="00D4047C"/>
    <w:rsid w:val="00D40896"/>
    <w:rsid w:val="00D409B0"/>
    <w:rsid w:val="00D40BDB"/>
    <w:rsid w:val="00D40F2F"/>
    <w:rsid w:val="00D4119C"/>
    <w:rsid w:val="00D413E2"/>
    <w:rsid w:val="00D41534"/>
    <w:rsid w:val="00D4155F"/>
    <w:rsid w:val="00D4177A"/>
    <w:rsid w:val="00D418B2"/>
    <w:rsid w:val="00D41A18"/>
    <w:rsid w:val="00D41CE6"/>
    <w:rsid w:val="00D41E0F"/>
    <w:rsid w:val="00D41EB3"/>
    <w:rsid w:val="00D42051"/>
    <w:rsid w:val="00D42470"/>
    <w:rsid w:val="00D4297B"/>
    <w:rsid w:val="00D42AAE"/>
    <w:rsid w:val="00D42CE3"/>
    <w:rsid w:val="00D42E50"/>
    <w:rsid w:val="00D42F70"/>
    <w:rsid w:val="00D43B10"/>
    <w:rsid w:val="00D440C5"/>
    <w:rsid w:val="00D44248"/>
    <w:rsid w:val="00D44337"/>
    <w:rsid w:val="00D44D4A"/>
    <w:rsid w:val="00D44E7D"/>
    <w:rsid w:val="00D44F9D"/>
    <w:rsid w:val="00D45016"/>
    <w:rsid w:val="00D451FC"/>
    <w:rsid w:val="00D4532E"/>
    <w:rsid w:val="00D45426"/>
    <w:rsid w:val="00D45718"/>
    <w:rsid w:val="00D45CB0"/>
    <w:rsid w:val="00D46237"/>
    <w:rsid w:val="00D462FE"/>
    <w:rsid w:val="00D46459"/>
    <w:rsid w:val="00D469B1"/>
    <w:rsid w:val="00D46C63"/>
    <w:rsid w:val="00D47173"/>
    <w:rsid w:val="00D474D1"/>
    <w:rsid w:val="00D4771A"/>
    <w:rsid w:val="00D477D2"/>
    <w:rsid w:val="00D47AD8"/>
    <w:rsid w:val="00D47D06"/>
    <w:rsid w:val="00D50026"/>
    <w:rsid w:val="00D5035D"/>
    <w:rsid w:val="00D509D9"/>
    <w:rsid w:val="00D50D45"/>
    <w:rsid w:val="00D50F47"/>
    <w:rsid w:val="00D510CE"/>
    <w:rsid w:val="00D51418"/>
    <w:rsid w:val="00D51466"/>
    <w:rsid w:val="00D51888"/>
    <w:rsid w:val="00D518F8"/>
    <w:rsid w:val="00D51D5F"/>
    <w:rsid w:val="00D51F5C"/>
    <w:rsid w:val="00D5238F"/>
    <w:rsid w:val="00D52481"/>
    <w:rsid w:val="00D52889"/>
    <w:rsid w:val="00D528D6"/>
    <w:rsid w:val="00D52DE8"/>
    <w:rsid w:val="00D53129"/>
    <w:rsid w:val="00D5330D"/>
    <w:rsid w:val="00D534F0"/>
    <w:rsid w:val="00D539A3"/>
    <w:rsid w:val="00D539CB"/>
    <w:rsid w:val="00D53CBA"/>
    <w:rsid w:val="00D53D16"/>
    <w:rsid w:val="00D53DA4"/>
    <w:rsid w:val="00D53F67"/>
    <w:rsid w:val="00D53F99"/>
    <w:rsid w:val="00D5453B"/>
    <w:rsid w:val="00D5470C"/>
    <w:rsid w:val="00D54E41"/>
    <w:rsid w:val="00D54E56"/>
    <w:rsid w:val="00D54FAC"/>
    <w:rsid w:val="00D55324"/>
    <w:rsid w:val="00D554C3"/>
    <w:rsid w:val="00D555C2"/>
    <w:rsid w:val="00D5565F"/>
    <w:rsid w:val="00D559C9"/>
    <w:rsid w:val="00D55E0F"/>
    <w:rsid w:val="00D55EDD"/>
    <w:rsid w:val="00D55F70"/>
    <w:rsid w:val="00D563F3"/>
    <w:rsid w:val="00D57037"/>
    <w:rsid w:val="00D5729E"/>
    <w:rsid w:val="00D57427"/>
    <w:rsid w:val="00D574FE"/>
    <w:rsid w:val="00D579E0"/>
    <w:rsid w:val="00D579FE"/>
    <w:rsid w:val="00D57A41"/>
    <w:rsid w:val="00D57AA7"/>
    <w:rsid w:val="00D57C31"/>
    <w:rsid w:val="00D57EEF"/>
    <w:rsid w:val="00D57F6D"/>
    <w:rsid w:val="00D57FB8"/>
    <w:rsid w:val="00D6016B"/>
    <w:rsid w:val="00D601DF"/>
    <w:rsid w:val="00D6060D"/>
    <w:rsid w:val="00D60758"/>
    <w:rsid w:val="00D60F5B"/>
    <w:rsid w:val="00D60FB3"/>
    <w:rsid w:val="00D610CA"/>
    <w:rsid w:val="00D6130D"/>
    <w:rsid w:val="00D614F7"/>
    <w:rsid w:val="00D61530"/>
    <w:rsid w:val="00D61684"/>
    <w:rsid w:val="00D61CC0"/>
    <w:rsid w:val="00D61F15"/>
    <w:rsid w:val="00D621AA"/>
    <w:rsid w:val="00D6288D"/>
    <w:rsid w:val="00D62A1B"/>
    <w:rsid w:val="00D62AE5"/>
    <w:rsid w:val="00D62CCF"/>
    <w:rsid w:val="00D62F26"/>
    <w:rsid w:val="00D62F7A"/>
    <w:rsid w:val="00D63544"/>
    <w:rsid w:val="00D637F1"/>
    <w:rsid w:val="00D63879"/>
    <w:rsid w:val="00D638C4"/>
    <w:rsid w:val="00D63AA7"/>
    <w:rsid w:val="00D63C48"/>
    <w:rsid w:val="00D64289"/>
    <w:rsid w:val="00D645A2"/>
    <w:rsid w:val="00D645AB"/>
    <w:rsid w:val="00D64BF3"/>
    <w:rsid w:val="00D65178"/>
    <w:rsid w:val="00D65339"/>
    <w:rsid w:val="00D65422"/>
    <w:rsid w:val="00D65452"/>
    <w:rsid w:val="00D65F66"/>
    <w:rsid w:val="00D66072"/>
    <w:rsid w:val="00D6612E"/>
    <w:rsid w:val="00D663DC"/>
    <w:rsid w:val="00D6667B"/>
    <w:rsid w:val="00D66AF9"/>
    <w:rsid w:val="00D66B17"/>
    <w:rsid w:val="00D66F79"/>
    <w:rsid w:val="00D67164"/>
    <w:rsid w:val="00D67345"/>
    <w:rsid w:val="00D67396"/>
    <w:rsid w:val="00D673D7"/>
    <w:rsid w:val="00D67953"/>
    <w:rsid w:val="00D67D8F"/>
    <w:rsid w:val="00D700BE"/>
    <w:rsid w:val="00D70493"/>
    <w:rsid w:val="00D70497"/>
    <w:rsid w:val="00D704C3"/>
    <w:rsid w:val="00D70626"/>
    <w:rsid w:val="00D70A8D"/>
    <w:rsid w:val="00D70CCB"/>
    <w:rsid w:val="00D70CD1"/>
    <w:rsid w:val="00D70DD2"/>
    <w:rsid w:val="00D70DF9"/>
    <w:rsid w:val="00D71048"/>
    <w:rsid w:val="00D71194"/>
    <w:rsid w:val="00D7123A"/>
    <w:rsid w:val="00D71400"/>
    <w:rsid w:val="00D7174E"/>
    <w:rsid w:val="00D72169"/>
    <w:rsid w:val="00D72767"/>
    <w:rsid w:val="00D7280D"/>
    <w:rsid w:val="00D7296B"/>
    <w:rsid w:val="00D72A59"/>
    <w:rsid w:val="00D72D3F"/>
    <w:rsid w:val="00D72E82"/>
    <w:rsid w:val="00D7352F"/>
    <w:rsid w:val="00D73555"/>
    <w:rsid w:val="00D73832"/>
    <w:rsid w:val="00D738B3"/>
    <w:rsid w:val="00D738D5"/>
    <w:rsid w:val="00D73AAF"/>
    <w:rsid w:val="00D73BA9"/>
    <w:rsid w:val="00D73BD9"/>
    <w:rsid w:val="00D73D85"/>
    <w:rsid w:val="00D742B8"/>
    <w:rsid w:val="00D74A49"/>
    <w:rsid w:val="00D74C25"/>
    <w:rsid w:val="00D74CC7"/>
    <w:rsid w:val="00D74CDB"/>
    <w:rsid w:val="00D74D18"/>
    <w:rsid w:val="00D74E64"/>
    <w:rsid w:val="00D74F78"/>
    <w:rsid w:val="00D75259"/>
    <w:rsid w:val="00D75348"/>
    <w:rsid w:val="00D75575"/>
    <w:rsid w:val="00D756A8"/>
    <w:rsid w:val="00D759A3"/>
    <w:rsid w:val="00D75FE4"/>
    <w:rsid w:val="00D766C1"/>
    <w:rsid w:val="00D7675C"/>
    <w:rsid w:val="00D76E79"/>
    <w:rsid w:val="00D777D6"/>
    <w:rsid w:val="00D77B52"/>
    <w:rsid w:val="00D8001C"/>
    <w:rsid w:val="00D8011F"/>
    <w:rsid w:val="00D80812"/>
    <w:rsid w:val="00D81476"/>
    <w:rsid w:val="00D8164B"/>
    <w:rsid w:val="00D818F3"/>
    <w:rsid w:val="00D819E7"/>
    <w:rsid w:val="00D81E78"/>
    <w:rsid w:val="00D8208D"/>
    <w:rsid w:val="00D82184"/>
    <w:rsid w:val="00D821C4"/>
    <w:rsid w:val="00D823C8"/>
    <w:rsid w:val="00D8249C"/>
    <w:rsid w:val="00D825D1"/>
    <w:rsid w:val="00D828CA"/>
    <w:rsid w:val="00D82915"/>
    <w:rsid w:val="00D82ABD"/>
    <w:rsid w:val="00D82D12"/>
    <w:rsid w:val="00D82D23"/>
    <w:rsid w:val="00D82F00"/>
    <w:rsid w:val="00D830D3"/>
    <w:rsid w:val="00D8320A"/>
    <w:rsid w:val="00D83633"/>
    <w:rsid w:val="00D8366C"/>
    <w:rsid w:val="00D837E6"/>
    <w:rsid w:val="00D8398E"/>
    <w:rsid w:val="00D83CE3"/>
    <w:rsid w:val="00D83DE8"/>
    <w:rsid w:val="00D84332"/>
    <w:rsid w:val="00D8441F"/>
    <w:rsid w:val="00D844C3"/>
    <w:rsid w:val="00D84557"/>
    <w:rsid w:val="00D845E7"/>
    <w:rsid w:val="00D8477C"/>
    <w:rsid w:val="00D8479E"/>
    <w:rsid w:val="00D84B6C"/>
    <w:rsid w:val="00D84E54"/>
    <w:rsid w:val="00D85049"/>
    <w:rsid w:val="00D8506E"/>
    <w:rsid w:val="00D8586E"/>
    <w:rsid w:val="00D85BED"/>
    <w:rsid w:val="00D85E61"/>
    <w:rsid w:val="00D85E77"/>
    <w:rsid w:val="00D862CE"/>
    <w:rsid w:val="00D86393"/>
    <w:rsid w:val="00D8660E"/>
    <w:rsid w:val="00D86992"/>
    <w:rsid w:val="00D86B11"/>
    <w:rsid w:val="00D86E14"/>
    <w:rsid w:val="00D86F0F"/>
    <w:rsid w:val="00D87074"/>
    <w:rsid w:val="00D87507"/>
    <w:rsid w:val="00D877FD"/>
    <w:rsid w:val="00D87AA1"/>
    <w:rsid w:val="00D87DC0"/>
    <w:rsid w:val="00D87EC5"/>
    <w:rsid w:val="00D87FCD"/>
    <w:rsid w:val="00D90409"/>
    <w:rsid w:val="00D904AF"/>
    <w:rsid w:val="00D90824"/>
    <w:rsid w:val="00D90844"/>
    <w:rsid w:val="00D9090B"/>
    <w:rsid w:val="00D90B5D"/>
    <w:rsid w:val="00D90D1F"/>
    <w:rsid w:val="00D90FCD"/>
    <w:rsid w:val="00D910E6"/>
    <w:rsid w:val="00D91162"/>
    <w:rsid w:val="00D9118C"/>
    <w:rsid w:val="00D917B4"/>
    <w:rsid w:val="00D91800"/>
    <w:rsid w:val="00D91848"/>
    <w:rsid w:val="00D91969"/>
    <w:rsid w:val="00D919E6"/>
    <w:rsid w:val="00D91C77"/>
    <w:rsid w:val="00D91CAB"/>
    <w:rsid w:val="00D91CDF"/>
    <w:rsid w:val="00D91DBB"/>
    <w:rsid w:val="00D91F54"/>
    <w:rsid w:val="00D92077"/>
    <w:rsid w:val="00D924FD"/>
    <w:rsid w:val="00D92801"/>
    <w:rsid w:val="00D92853"/>
    <w:rsid w:val="00D928C5"/>
    <w:rsid w:val="00D9309E"/>
    <w:rsid w:val="00D937F7"/>
    <w:rsid w:val="00D93937"/>
    <w:rsid w:val="00D939C9"/>
    <w:rsid w:val="00D93A1F"/>
    <w:rsid w:val="00D93A45"/>
    <w:rsid w:val="00D93C81"/>
    <w:rsid w:val="00D93C8F"/>
    <w:rsid w:val="00D93D75"/>
    <w:rsid w:val="00D93F83"/>
    <w:rsid w:val="00D940A1"/>
    <w:rsid w:val="00D94923"/>
    <w:rsid w:val="00D94D33"/>
    <w:rsid w:val="00D94ECD"/>
    <w:rsid w:val="00D94F94"/>
    <w:rsid w:val="00D9512E"/>
    <w:rsid w:val="00D95394"/>
    <w:rsid w:val="00D9546A"/>
    <w:rsid w:val="00D95A56"/>
    <w:rsid w:val="00D95CAB"/>
    <w:rsid w:val="00D95D6D"/>
    <w:rsid w:val="00D96093"/>
    <w:rsid w:val="00D9628E"/>
    <w:rsid w:val="00D9670F"/>
    <w:rsid w:val="00D96B9C"/>
    <w:rsid w:val="00D96C41"/>
    <w:rsid w:val="00D96F14"/>
    <w:rsid w:val="00D970E7"/>
    <w:rsid w:val="00D970E8"/>
    <w:rsid w:val="00D9768D"/>
    <w:rsid w:val="00D97865"/>
    <w:rsid w:val="00D97BAB"/>
    <w:rsid w:val="00DA005B"/>
    <w:rsid w:val="00DA01E5"/>
    <w:rsid w:val="00DA032B"/>
    <w:rsid w:val="00DA0456"/>
    <w:rsid w:val="00DA05A4"/>
    <w:rsid w:val="00DA065E"/>
    <w:rsid w:val="00DA0D67"/>
    <w:rsid w:val="00DA1018"/>
    <w:rsid w:val="00DA1135"/>
    <w:rsid w:val="00DA1328"/>
    <w:rsid w:val="00DA150D"/>
    <w:rsid w:val="00DA159E"/>
    <w:rsid w:val="00DA1771"/>
    <w:rsid w:val="00DA1C30"/>
    <w:rsid w:val="00DA1DE8"/>
    <w:rsid w:val="00DA221F"/>
    <w:rsid w:val="00DA22FC"/>
    <w:rsid w:val="00DA240E"/>
    <w:rsid w:val="00DA27B2"/>
    <w:rsid w:val="00DA2853"/>
    <w:rsid w:val="00DA2A10"/>
    <w:rsid w:val="00DA2E58"/>
    <w:rsid w:val="00DA3465"/>
    <w:rsid w:val="00DA39A6"/>
    <w:rsid w:val="00DA408B"/>
    <w:rsid w:val="00DA4806"/>
    <w:rsid w:val="00DA4A80"/>
    <w:rsid w:val="00DA4ADB"/>
    <w:rsid w:val="00DA55BB"/>
    <w:rsid w:val="00DA57FD"/>
    <w:rsid w:val="00DA58DC"/>
    <w:rsid w:val="00DA59E8"/>
    <w:rsid w:val="00DA5AC9"/>
    <w:rsid w:val="00DA5C91"/>
    <w:rsid w:val="00DA68D2"/>
    <w:rsid w:val="00DA69A1"/>
    <w:rsid w:val="00DA6C21"/>
    <w:rsid w:val="00DA6DEE"/>
    <w:rsid w:val="00DA6EAE"/>
    <w:rsid w:val="00DA6F90"/>
    <w:rsid w:val="00DA702C"/>
    <w:rsid w:val="00DA709D"/>
    <w:rsid w:val="00DA73EE"/>
    <w:rsid w:val="00DA763A"/>
    <w:rsid w:val="00DA763C"/>
    <w:rsid w:val="00DA7785"/>
    <w:rsid w:val="00DA77A5"/>
    <w:rsid w:val="00DB0351"/>
    <w:rsid w:val="00DB0417"/>
    <w:rsid w:val="00DB078E"/>
    <w:rsid w:val="00DB0A1A"/>
    <w:rsid w:val="00DB146C"/>
    <w:rsid w:val="00DB1578"/>
    <w:rsid w:val="00DB19E2"/>
    <w:rsid w:val="00DB1A78"/>
    <w:rsid w:val="00DB21C1"/>
    <w:rsid w:val="00DB253F"/>
    <w:rsid w:val="00DB27FA"/>
    <w:rsid w:val="00DB2A3B"/>
    <w:rsid w:val="00DB3291"/>
    <w:rsid w:val="00DB330C"/>
    <w:rsid w:val="00DB34FA"/>
    <w:rsid w:val="00DB353D"/>
    <w:rsid w:val="00DB35F1"/>
    <w:rsid w:val="00DB3856"/>
    <w:rsid w:val="00DB38B2"/>
    <w:rsid w:val="00DB38F3"/>
    <w:rsid w:val="00DB3A5F"/>
    <w:rsid w:val="00DB3B57"/>
    <w:rsid w:val="00DB3DA2"/>
    <w:rsid w:val="00DB3DE1"/>
    <w:rsid w:val="00DB404C"/>
    <w:rsid w:val="00DB40C7"/>
    <w:rsid w:val="00DB40E1"/>
    <w:rsid w:val="00DB4371"/>
    <w:rsid w:val="00DB4750"/>
    <w:rsid w:val="00DB4780"/>
    <w:rsid w:val="00DB4A8A"/>
    <w:rsid w:val="00DB4C9B"/>
    <w:rsid w:val="00DB4CAC"/>
    <w:rsid w:val="00DB4FCD"/>
    <w:rsid w:val="00DB527E"/>
    <w:rsid w:val="00DB54CF"/>
    <w:rsid w:val="00DB5547"/>
    <w:rsid w:val="00DB5725"/>
    <w:rsid w:val="00DB5881"/>
    <w:rsid w:val="00DB59F5"/>
    <w:rsid w:val="00DB5B7E"/>
    <w:rsid w:val="00DB5CB3"/>
    <w:rsid w:val="00DB5E65"/>
    <w:rsid w:val="00DB5F71"/>
    <w:rsid w:val="00DB600D"/>
    <w:rsid w:val="00DB64BA"/>
    <w:rsid w:val="00DB6746"/>
    <w:rsid w:val="00DB69F5"/>
    <w:rsid w:val="00DB6DF5"/>
    <w:rsid w:val="00DB6E44"/>
    <w:rsid w:val="00DB7138"/>
    <w:rsid w:val="00DB71C5"/>
    <w:rsid w:val="00DB7216"/>
    <w:rsid w:val="00DB7415"/>
    <w:rsid w:val="00DB77E9"/>
    <w:rsid w:val="00DB7806"/>
    <w:rsid w:val="00DB794E"/>
    <w:rsid w:val="00DB7A51"/>
    <w:rsid w:val="00DB7AE7"/>
    <w:rsid w:val="00DB7BC8"/>
    <w:rsid w:val="00DB7EFA"/>
    <w:rsid w:val="00DB7F14"/>
    <w:rsid w:val="00DB7F65"/>
    <w:rsid w:val="00DBD6D3"/>
    <w:rsid w:val="00DC035D"/>
    <w:rsid w:val="00DC059C"/>
    <w:rsid w:val="00DC0632"/>
    <w:rsid w:val="00DC0824"/>
    <w:rsid w:val="00DC0973"/>
    <w:rsid w:val="00DC09BB"/>
    <w:rsid w:val="00DC0B87"/>
    <w:rsid w:val="00DC0DC0"/>
    <w:rsid w:val="00DC0FB0"/>
    <w:rsid w:val="00DC130D"/>
    <w:rsid w:val="00DC1743"/>
    <w:rsid w:val="00DC18E2"/>
    <w:rsid w:val="00DC1915"/>
    <w:rsid w:val="00DC1929"/>
    <w:rsid w:val="00DC1B95"/>
    <w:rsid w:val="00DC1F24"/>
    <w:rsid w:val="00DC2075"/>
    <w:rsid w:val="00DC20D2"/>
    <w:rsid w:val="00DC211F"/>
    <w:rsid w:val="00DC213B"/>
    <w:rsid w:val="00DC2433"/>
    <w:rsid w:val="00DC267E"/>
    <w:rsid w:val="00DC273B"/>
    <w:rsid w:val="00DC2C95"/>
    <w:rsid w:val="00DC2D3E"/>
    <w:rsid w:val="00DC2FB1"/>
    <w:rsid w:val="00DC38DB"/>
    <w:rsid w:val="00DC3E22"/>
    <w:rsid w:val="00DC406D"/>
    <w:rsid w:val="00DC409A"/>
    <w:rsid w:val="00DC4127"/>
    <w:rsid w:val="00DC45CE"/>
    <w:rsid w:val="00DC4B52"/>
    <w:rsid w:val="00DC4CC9"/>
    <w:rsid w:val="00DC54B5"/>
    <w:rsid w:val="00DC5776"/>
    <w:rsid w:val="00DC5ABF"/>
    <w:rsid w:val="00DC60E8"/>
    <w:rsid w:val="00DC6733"/>
    <w:rsid w:val="00DC6946"/>
    <w:rsid w:val="00DC6AB7"/>
    <w:rsid w:val="00DC6F32"/>
    <w:rsid w:val="00DC6FC8"/>
    <w:rsid w:val="00DC71EC"/>
    <w:rsid w:val="00DC7291"/>
    <w:rsid w:val="00DC74CE"/>
    <w:rsid w:val="00DC7746"/>
    <w:rsid w:val="00DC7CC1"/>
    <w:rsid w:val="00DD00D3"/>
    <w:rsid w:val="00DD01B2"/>
    <w:rsid w:val="00DD0338"/>
    <w:rsid w:val="00DD07CE"/>
    <w:rsid w:val="00DD0BBE"/>
    <w:rsid w:val="00DD0FBF"/>
    <w:rsid w:val="00DD10BA"/>
    <w:rsid w:val="00DD113E"/>
    <w:rsid w:val="00DD1709"/>
    <w:rsid w:val="00DD19AB"/>
    <w:rsid w:val="00DD1C38"/>
    <w:rsid w:val="00DD1D12"/>
    <w:rsid w:val="00DD1DD2"/>
    <w:rsid w:val="00DD212C"/>
    <w:rsid w:val="00DD22AD"/>
    <w:rsid w:val="00DD2357"/>
    <w:rsid w:val="00DD2365"/>
    <w:rsid w:val="00DD23C3"/>
    <w:rsid w:val="00DD2409"/>
    <w:rsid w:val="00DD2F6E"/>
    <w:rsid w:val="00DD3049"/>
    <w:rsid w:val="00DD30CC"/>
    <w:rsid w:val="00DD342A"/>
    <w:rsid w:val="00DD34A9"/>
    <w:rsid w:val="00DD373C"/>
    <w:rsid w:val="00DD3745"/>
    <w:rsid w:val="00DD4AB8"/>
    <w:rsid w:val="00DD4B3D"/>
    <w:rsid w:val="00DD4BC3"/>
    <w:rsid w:val="00DD5233"/>
    <w:rsid w:val="00DD5543"/>
    <w:rsid w:val="00DD5714"/>
    <w:rsid w:val="00DD598E"/>
    <w:rsid w:val="00DD5B05"/>
    <w:rsid w:val="00DD624A"/>
    <w:rsid w:val="00DD64BB"/>
    <w:rsid w:val="00DD689F"/>
    <w:rsid w:val="00DD6DA6"/>
    <w:rsid w:val="00DD726E"/>
    <w:rsid w:val="00DD77AF"/>
    <w:rsid w:val="00DD7812"/>
    <w:rsid w:val="00DD78B8"/>
    <w:rsid w:val="00DD79D9"/>
    <w:rsid w:val="00DD7A4D"/>
    <w:rsid w:val="00DD7A81"/>
    <w:rsid w:val="00DE0074"/>
    <w:rsid w:val="00DE009D"/>
    <w:rsid w:val="00DE059B"/>
    <w:rsid w:val="00DE0664"/>
    <w:rsid w:val="00DE07D5"/>
    <w:rsid w:val="00DE0821"/>
    <w:rsid w:val="00DE0F27"/>
    <w:rsid w:val="00DE16D7"/>
    <w:rsid w:val="00DE17A5"/>
    <w:rsid w:val="00DE1AD7"/>
    <w:rsid w:val="00DE1DB5"/>
    <w:rsid w:val="00DE1DD5"/>
    <w:rsid w:val="00DE1F04"/>
    <w:rsid w:val="00DE1F52"/>
    <w:rsid w:val="00DE1FBA"/>
    <w:rsid w:val="00DE253B"/>
    <w:rsid w:val="00DE2642"/>
    <w:rsid w:val="00DE26CA"/>
    <w:rsid w:val="00DE2D1D"/>
    <w:rsid w:val="00DE30E2"/>
    <w:rsid w:val="00DE3158"/>
    <w:rsid w:val="00DE31D5"/>
    <w:rsid w:val="00DE3374"/>
    <w:rsid w:val="00DE34B5"/>
    <w:rsid w:val="00DE35D4"/>
    <w:rsid w:val="00DE36FE"/>
    <w:rsid w:val="00DE3A9A"/>
    <w:rsid w:val="00DE3E52"/>
    <w:rsid w:val="00DE498B"/>
    <w:rsid w:val="00DE4AB7"/>
    <w:rsid w:val="00DE4C4F"/>
    <w:rsid w:val="00DE511D"/>
    <w:rsid w:val="00DE5615"/>
    <w:rsid w:val="00DE58B3"/>
    <w:rsid w:val="00DE5904"/>
    <w:rsid w:val="00DE5A11"/>
    <w:rsid w:val="00DE5B65"/>
    <w:rsid w:val="00DE5DB6"/>
    <w:rsid w:val="00DE5DC6"/>
    <w:rsid w:val="00DE5F7F"/>
    <w:rsid w:val="00DE5FCF"/>
    <w:rsid w:val="00DE6421"/>
    <w:rsid w:val="00DE6556"/>
    <w:rsid w:val="00DE65C1"/>
    <w:rsid w:val="00DE65D9"/>
    <w:rsid w:val="00DE66F7"/>
    <w:rsid w:val="00DE6AC4"/>
    <w:rsid w:val="00DE6C7A"/>
    <w:rsid w:val="00DE706B"/>
    <w:rsid w:val="00DE7483"/>
    <w:rsid w:val="00DE74A7"/>
    <w:rsid w:val="00DE769D"/>
    <w:rsid w:val="00DE76BD"/>
    <w:rsid w:val="00DE7A44"/>
    <w:rsid w:val="00DF03AC"/>
    <w:rsid w:val="00DF05E1"/>
    <w:rsid w:val="00DF0689"/>
    <w:rsid w:val="00DF07C2"/>
    <w:rsid w:val="00DF087D"/>
    <w:rsid w:val="00DF0AC2"/>
    <w:rsid w:val="00DF0F10"/>
    <w:rsid w:val="00DF0FB9"/>
    <w:rsid w:val="00DF1063"/>
    <w:rsid w:val="00DF1070"/>
    <w:rsid w:val="00DF128F"/>
    <w:rsid w:val="00DF141C"/>
    <w:rsid w:val="00DF16C0"/>
    <w:rsid w:val="00DF1A90"/>
    <w:rsid w:val="00DF227F"/>
    <w:rsid w:val="00DF22A3"/>
    <w:rsid w:val="00DF22D1"/>
    <w:rsid w:val="00DF267C"/>
    <w:rsid w:val="00DF2763"/>
    <w:rsid w:val="00DF27D4"/>
    <w:rsid w:val="00DF2BBC"/>
    <w:rsid w:val="00DF2BE5"/>
    <w:rsid w:val="00DF2D1A"/>
    <w:rsid w:val="00DF2D46"/>
    <w:rsid w:val="00DF2EAE"/>
    <w:rsid w:val="00DF2FEC"/>
    <w:rsid w:val="00DF32DF"/>
    <w:rsid w:val="00DF33A7"/>
    <w:rsid w:val="00DF36EB"/>
    <w:rsid w:val="00DF3725"/>
    <w:rsid w:val="00DF37D4"/>
    <w:rsid w:val="00DF38DD"/>
    <w:rsid w:val="00DF3A42"/>
    <w:rsid w:val="00DF3B71"/>
    <w:rsid w:val="00DF3EEA"/>
    <w:rsid w:val="00DF402A"/>
    <w:rsid w:val="00DF4B7D"/>
    <w:rsid w:val="00DF518B"/>
    <w:rsid w:val="00DF51EF"/>
    <w:rsid w:val="00DF52B5"/>
    <w:rsid w:val="00DF548B"/>
    <w:rsid w:val="00DF5724"/>
    <w:rsid w:val="00DF5CA0"/>
    <w:rsid w:val="00DF60B2"/>
    <w:rsid w:val="00DF6237"/>
    <w:rsid w:val="00DF6614"/>
    <w:rsid w:val="00DF6A9D"/>
    <w:rsid w:val="00DF6BB8"/>
    <w:rsid w:val="00DF70CC"/>
    <w:rsid w:val="00DF7A83"/>
    <w:rsid w:val="00DF7D96"/>
    <w:rsid w:val="00DF7DC0"/>
    <w:rsid w:val="00E0066D"/>
    <w:rsid w:val="00E0066E"/>
    <w:rsid w:val="00E00697"/>
    <w:rsid w:val="00E00704"/>
    <w:rsid w:val="00E00A9E"/>
    <w:rsid w:val="00E013F7"/>
    <w:rsid w:val="00E01465"/>
    <w:rsid w:val="00E015DD"/>
    <w:rsid w:val="00E01ACB"/>
    <w:rsid w:val="00E01B40"/>
    <w:rsid w:val="00E01D22"/>
    <w:rsid w:val="00E01D6B"/>
    <w:rsid w:val="00E01E1F"/>
    <w:rsid w:val="00E01EE6"/>
    <w:rsid w:val="00E02069"/>
    <w:rsid w:val="00E020B0"/>
    <w:rsid w:val="00E0210F"/>
    <w:rsid w:val="00E0215F"/>
    <w:rsid w:val="00E0224B"/>
    <w:rsid w:val="00E02E74"/>
    <w:rsid w:val="00E02E8A"/>
    <w:rsid w:val="00E02EB7"/>
    <w:rsid w:val="00E03406"/>
    <w:rsid w:val="00E03483"/>
    <w:rsid w:val="00E03584"/>
    <w:rsid w:val="00E036AB"/>
    <w:rsid w:val="00E03969"/>
    <w:rsid w:val="00E03BA1"/>
    <w:rsid w:val="00E03DD5"/>
    <w:rsid w:val="00E040A0"/>
    <w:rsid w:val="00E041E4"/>
    <w:rsid w:val="00E0427B"/>
    <w:rsid w:val="00E04334"/>
    <w:rsid w:val="00E043E7"/>
    <w:rsid w:val="00E04497"/>
    <w:rsid w:val="00E04D3B"/>
    <w:rsid w:val="00E054B9"/>
    <w:rsid w:val="00E0579B"/>
    <w:rsid w:val="00E0586F"/>
    <w:rsid w:val="00E05F28"/>
    <w:rsid w:val="00E05FBC"/>
    <w:rsid w:val="00E060A8"/>
    <w:rsid w:val="00E06272"/>
    <w:rsid w:val="00E0652F"/>
    <w:rsid w:val="00E06592"/>
    <w:rsid w:val="00E065A3"/>
    <w:rsid w:val="00E06C54"/>
    <w:rsid w:val="00E070A3"/>
    <w:rsid w:val="00E072AA"/>
    <w:rsid w:val="00E0764C"/>
    <w:rsid w:val="00E0778B"/>
    <w:rsid w:val="00E10028"/>
    <w:rsid w:val="00E1003A"/>
    <w:rsid w:val="00E100E3"/>
    <w:rsid w:val="00E10538"/>
    <w:rsid w:val="00E10718"/>
    <w:rsid w:val="00E109C9"/>
    <w:rsid w:val="00E10B29"/>
    <w:rsid w:val="00E10B7D"/>
    <w:rsid w:val="00E113E0"/>
    <w:rsid w:val="00E114AD"/>
    <w:rsid w:val="00E1173F"/>
    <w:rsid w:val="00E119BF"/>
    <w:rsid w:val="00E11C1E"/>
    <w:rsid w:val="00E1207F"/>
    <w:rsid w:val="00E12234"/>
    <w:rsid w:val="00E12751"/>
    <w:rsid w:val="00E12907"/>
    <w:rsid w:val="00E12944"/>
    <w:rsid w:val="00E12B17"/>
    <w:rsid w:val="00E12EC0"/>
    <w:rsid w:val="00E12EF1"/>
    <w:rsid w:val="00E12F4E"/>
    <w:rsid w:val="00E13660"/>
    <w:rsid w:val="00E13A7E"/>
    <w:rsid w:val="00E13BFB"/>
    <w:rsid w:val="00E13C1F"/>
    <w:rsid w:val="00E13D45"/>
    <w:rsid w:val="00E13EAD"/>
    <w:rsid w:val="00E1438F"/>
    <w:rsid w:val="00E14730"/>
    <w:rsid w:val="00E147EC"/>
    <w:rsid w:val="00E14A90"/>
    <w:rsid w:val="00E1533C"/>
    <w:rsid w:val="00E154BD"/>
    <w:rsid w:val="00E15525"/>
    <w:rsid w:val="00E155D8"/>
    <w:rsid w:val="00E15703"/>
    <w:rsid w:val="00E15D02"/>
    <w:rsid w:val="00E15D98"/>
    <w:rsid w:val="00E16007"/>
    <w:rsid w:val="00E1606F"/>
    <w:rsid w:val="00E16245"/>
    <w:rsid w:val="00E1631C"/>
    <w:rsid w:val="00E16405"/>
    <w:rsid w:val="00E16598"/>
    <w:rsid w:val="00E166B5"/>
    <w:rsid w:val="00E166BE"/>
    <w:rsid w:val="00E16AF2"/>
    <w:rsid w:val="00E16CF7"/>
    <w:rsid w:val="00E1715E"/>
    <w:rsid w:val="00E1742A"/>
    <w:rsid w:val="00E17967"/>
    <w:rsid w:val="00E17ADC"/>
    <w:rsid w:val="00E20111"/>
    <w:rsid w:val="00E2060E"/>
    <w:rsid w:val="00E20705"/>
    <w:rsid w:val="00E2117A"/>
    <w:rsid w:val="00E2149B"/>
    <w:rsid w:val="00E21B8B"/>
    <w:rsid w:val="00E21DF0"/>
    <w:rsid w:val="00E21FC5"/>
    <w:rsid w:val="00E220A9"/>
    <w:rsid w:val="00E221B2"/>
    <w:rsid w:val="00E2222E"/>
    <w:rsid w:val="00E22423"/>
    <w:rsid w:val="00E22491"/>
    <w:rsid w:val="00E225D2"/>
    <w:rsid w:val="00E22605"/>
    <w:rsid w:val="00E2267B"/>
    <w:rsid w:val="00E227EA"/>
    <w:rsid w:val="00E228EA"/>
    <w:rsid w:val="00E22A12"/>
    <w:rsid w:val="00E22B04"/>
    <w:rsid w:val="00E232EC"/>
    <w:rsid w:val="00E23426"/>
    <w:rsid w:val="00E23660"/>
    <w:rsid w:val="00E236BF"/>
    <w:rsid w:val="00E236E3"/>
    <w:rsid w:val="00E2381E"/>
    <w:rsid w:val="00E23A28"/>
    <w:rsid w:val="00E24805"/>
    <w:rsid w:val="00E24A1E"/>
    <w:rsid w:val="00E24C81"/>
    <w:rsid w:val="00E25397"/>
    <w:rsid w:val="00E255CB"/>
    <w:rsid w:val="00E25AF3"/>
    <w:rsid w:val="00E264A6"/>
    <w:rsid w:val="00E26521"/>
    <w:rsid w:val="00E267BA"/>
    <w:rsid w:val="00E267CA"/>
    <w:rsid w:val="00E26A62"/>
    <w:rsid w:val="00E270B6"/>
    <w:rsid w:val="00E272A7"/>
    <w:rsid w:val="00E27575"/>
    <w:rsid w:val="00E2761D"/>
    <w:rsid w:val="00E2778E"/>
    <w:rsid w:val="00E27A86"/>
    <w:rsid w:val="00E27C0E"/>
    <w:rsid w:val="00E27CD8"/>
    <w:rsid w:val="00E27FD3"/>
    <w:rsid w:val="00E30112"/>
    <w:rsid w:val="00E30224"/>
    <w:rsid w:val="00E30425"/>
    <w:rsid w:val="00E30A5D"/>
    <w:rsid w:val="00E30C2F"/>
    <w:rsid w:val="00E3103C"/>
    <w:rsid w:val="00E31326"/>
    <w:rsid w:val="00E313E1"/>
    <w:rsid w:val="00E31592"/>
    <w:rsid w:val="00E31831"/>
    <w:rsid w:val="00E31884"/>
    <w:rsid w:val="00E31939"/>
    <w:rsid w:val="00E319FB"/>
    <w:rsid w:val="00E31A1E"/>
    <w:rsid w:val="00E31B9C"/>
    <w:rsid w:val="00E32128"/>
    <w:rsid w:val="00E32406"/>
    <w:rsid w:val="00E3249A"/>
    <w:rsid w:val="00E327D5"/>
    <w:rsid w:val="00E32825"/>
    <w:rsid w:val="00E32A86"/>
    <w:rsid w:val="00E32AF7"/>
    <w:rsid w:val="00E32C18"/>
    <w:rsid w:val="00E33049"/>
    <w:rsid w:val="00E33526"/>
    <w:rsid w:val="00E33599"/>
    <w:rsid w:val="00E336CC"/>
    <w:rsid w:val="00E33925"/>
    <w:rsid w:val="00E3396B"/>
    <w:rsid w:val="00E3398F"/>
    <w:rsid w:val="00E33C68"/>
    <w:rsid w:val="00E34031"/>
    <w:rsid w:val="00E34078"/>
    <w:rsid w:val="00E341F9"/>
    <w:rsid w:val="00E34484"/>
    <w:rsid w:val="00E34989"/>
    <w:rsid w:val="00E349EE"/>
    <w:rsid w:val="00E34AC3"/>
    <w:rsid w:val="00E34CE0"/>
    <w:rsid w:val="00E350D0"/>
    <w:rsid w:val="00E35496"/>
    <w:rsid w:val="00E355E7"/>
    <w:rsid w:val="00E35ACA"/>
    <w:rsid w:val="00E35C55"/>
    <w:rsid w:val="00E35CD5"/>
    <w:rsid w:val="00E35F96"/>
    <w:rsid w:val="00E36373"/>
    <w:rsid w:val="00E363BC"/>
    <w:rsid w:val="00E3654E"/>
    <w:rsid w:val="00E36C08"/>
    <w:rsid w:val="00E36D00"/>
    <w:rsid w:val="00E36DD2"/>
    <w:rsid w:val="00E36E34"/>
    <w:rsid w:val="00E36F4A"/>
    <w:rsid w:val="00E37037"/>
    <w:rsid w:val="00E37424"/>
    <w:rsid w:val="00E3751B"/>
    <w:rsid w:val="00E37611"/>
    <w:rsid w:val="00E3765B"/>
    <w:rsid w:val="00E37727"/>
    <w:rsid w:val="00E3792C"/>
    <w:rsid w:val="00E3798F"/>
    <w:rsid w:val="00E37A6A"/>
    <w:rsid w:val="00E37AB3"/>
    <w:rsid w:val="00E37D7E"/>
    <w:rsid w:val="00E4002D"/>
    <w:rsid w:val="00E404B6"/>
    <w:rsid w:val="00E40541"/>
    <w:rsid w:val="00E40698"/>
    <w:rsid w:val="00E408BC"/>
    <w:rsid w:val="00E408EE"/>
    <w:rsid w:val="00E409BE"/>
    <w:rsid w:val="00E41774"/>
    <w:rsid w:val="00E41777"/>
    <w:rsid w:val="00E41923"/>
    <w:rsid w:val="00E41A8D"/>
    <w:rsid w:val="00E41BDE"/>
    <w:rsid w:val="00E41E8B"/>
    <w:rsid w:val="00E4259E"/>
    <w:rsid w:val="00E42FEC"/>
    <w:rsid w:val="00E42FEF"/>
    <w:rsid w:val="00E432DD"/>
    <w:rsid w:val="00E434BF"/>
    <w:rsid w:val="00E43565"/>
    <w:rsid w:val="00E43833"/>
    <w:rsid w:val="00E43C43"/>
    <w:rsid w:val="00E44341"/>
    <w:rsid w:val="00E449E8"/>
    <w:rsid w:val="00E449EF"/>
    <w:rsid w:val="00E44C0B"/>
    <w:rsid w:val="00E44EFB"/>
    <w:rsid w:val="00E4506A"/>
    <w:rsid w:val="00E45180"/>
    <w:rsid w:val="00E45305"/>
    <w:rsid w:val="00E4568F"/>
    <w:rsid w:val="00E45C1C"/>
    <w:rsid w:val="00E45E41"/>
    <w:rsid w:val="00E45E7E"/>
    <w:rsid w:val="00E46349"/>
    <w:rsid w:val="00E46A59"/>
    <w:rsid w:val="00E46AC9"/>
    <w:rsid w:val="00E4733B"/>
    <w:rsid w:val="00E47344"/>
    <w:rsid w:val="00E4738C"/>
    <w:rsid w:val="00E47436"/>
    <w:rsid w:val="00E474C8"/>
    <w:rsid w:val="00E479BA"/>
    <w:rsid w:val="00E47BEE"/>
    <w:rsid w:val="00E47D59"/>
    <w:rsid w:val="00E47DA8"/>
    <w:rsid w:val="00E47ED3"/>
    <w:rsid w:val="00E47EF4"/>
    <w:rsid w:val="00E4D2CA"/>
    <w:rsid w:val="00E500E0"/>
    <w:rsid w:val="00E501A3"/>
    <w:rsid w:val="00E5039F"/>
    <w:rsid w:val="00E505C4"/>
    <w:rsid w:val="00E50FE9"/>
    <w:rsid w:val="00E511C8"/>
    <w:rsid w:val="00E5139C"/>
    <w:rsid w:val="00E516A9"/>
    <w:rsid w:val="00E517B4"/>
    <w:rsid w:val="00E51E7F"/>
    <w:rsid w:val="00E51F12"/>
    <w:rsid w:val="00E520FE"/>
    <w:rsid w:val="00E52201"/>
    <w:rsid w:val="00E523AA"/>
    <w:rsid w:val="00E527B2"/>
    <w:rsid w:val="00E527E2"/>
    <w:rsid w:val="00E52883"/>
    <w:rsid w:val="00E52B09"/>
    <w:rsid w:val="00E52B1A"/>
    <w:rsid w:val="00E52BB3"/>
    <w:rsid w:val="00E52CAA"/>
    <w:rsid w:val="00E5311D"/>
    <w:rsid w:val="00E53407"/>
    <w:rsid w:val="00E53DB6"/>
    <w:rsid w:val="00E53DEE"/>
    <w:rsid w:val="00E53E47"/>
    <w:rsid w:val="00E5422D"/>
    <w:rsid w:val="00E54316"/>
    <w:rsid w:val="00E54ACA"/>
    <w:rsid w:val="00E54C87"/>
    <w:rsid w:val="00E54FB3"/>
    <w:rsid w:val="00E554A4"/>
    <w:rsid w:val="00E55904"/>
    <w:rsid w:val="00E55916"/>
    <w:rsid w:val="00E55947"/>
    <w:rsid w:val="00E5595F"/>
    <w:rsid w:val="00E55ABE"/>
    <w:rsid w:val="00E55DEE"/>
    <w:rsid w:val="00E55E02"/>
    <w:rsid w:val="00E55E72"/>
    <w:rsid w:val="00E5609E"/>
    <w:rsid w:val="00E56364"/>
    <w:rsid w:val="00E569BD"/>
    <w:rsid w:val="00E57092"/>
    <w:rsid w:val="00E57521"/>
    <w:rsid w:val="00E57650"/>
    <w:rsid w:val="00E57B64"/>
    <w:rsid w:val="00E57DCC"/>
    <w:rsid w:val="00E60005"/>
    <w:rsid w:val="00E600DA"/>
    <w:rsid w:val="00E60156"/>
    <w:rsid w:val="00E602A4"/>
    <w:rsid w:val="00E6034E"/>
    <w:rsid w:val="00E60616"/>
    <w:rsid w:val="00E60ABB"/>
    <w:rsid w:val="00E60CB2"/>
    <w:rsid w:val="00E6157A"/>
    <w:rsid w:val="00E617F5"/>
    <w:rsid w:val="00E618B3"/>
    <w:rsid w:val="00E61C17"/>
    <w:rsid w:val="00E61D92"/>
    <w:rsid w:val="00E6229A"/>
    <w:rsid w:val="00E6234A"/>
    <w:rsid w:val="00E628DC"/>
    <w:rsid w:val="00E62A8D"/>
    <w:rsid w:val="00E62BD2"/>
    <w:rsid w:val="00E63064"/>
    <w:rsid w:val="00E631AA"/>
    <w:rsid w:val="00E6346D"/>
    <w:rsid w:val="00E635B2"/>
    <w:rsid w:val="00E636E1"/>
    <w:rsid w:val="00E639F5"/>
    <w:rsid w:val="00E63C3E"/>
    <w:rsid w:val="00E63DD1"/>
    <w:rsid w:val="00E63E67"/>
    <w:rsid w:val="00E64002"/>
    <w:rsid w:val="00E64084"/>
    <w:rsid w:val="00E640F8"/>
    <w:rsid w:val="00E642D1"/>
    <w:rsid w:val="00E64488"/>
    <w:rsid w:val="00E6448C"/>
    <w:rsid w:val="00E64551"/>
    <w:rsid w:val="00E64630"/>
    <w:rsid w:val="00E649CB"/>
    <w:rsid w:val="00E64AF9"/>
    <w:rsid w:val="00E64B49"/>
    <w:rsid w:val="00E64D04"/>
    <w:rsid w:val="00E64D47"/>
    <w:rsid w:val="00E65152"/>
    <w:rsid w:val="00E652FC"/>
    <w:rsid w:val="00E65430"/>
    <w:rsid w:val="00E6544B"/>
    <w:rsid w:val="00E6566C"/>
    <w:rsid w:val="00E656F2"/>
    <w:rsid w:val="00E6606A"/>
    <w:rsid w:val="00E66614"/>
    <w:rsid w:val="00E666F9"/>
    <w:rsid w:val="00E667DF"/>
    <w:rsid w:val="00E66924"/>
    <w:rsid w:val="00E66A20"/>
    <w:rsid w:val="00E66BE4"/>
    <w:rsid w:val="00E66BE5"/>
    <w:rsid w:val="00E679C1"/>
    <w:rsid w:val="00E67A0A"/>
    <w:rsid w:val="00E67D1B"/>
    <w:rsid w:val="00E67DAC"/>
    <w:rsid w:val="00E6DD75"/>
    <w:rsid w:val="00E70800"/>
    <w:rsid w:val="00E709A7"/>
    <w:rsid w:val="00E709AC"/>
    <w:rsid w:val="00E70D66"/>
    <w:rsid w:val="00E70EEE"/>
    <w:rsid w:val="00E70FAF"/>
    <w:rsid w:val="00E71051"/>
    <w:rsid w:val="00E714F0"/>
    <w:rsid w:val="00E71590"/>
    <w:rsid w:val="00E7176C"/>
    <w:rsid w:val="00E71CEB"/>
    <w:rsid w:val="00E71D52"/>
    <w:rsid w:val="00E72093"/>
    <w:rsid w:val="00E727E3"/>
    <w:rsid w:val="00E72B18"/>
    <w:rsid w:val="00E72E15"/>
    <w:rsid w:val="00E72E39"/>
    <w:rsid w:val="00E73032"/>
    <w:rsid w:val="00E73225"/>
    <w:rsid w:val="00E7334A"/>
    <w:rsid w:val="00E73851"/>
    <w:rsid w:val="00E7398B"/>
    <w:rsid w:val="00E74154"/>
    <w:rsid w:val="00E74808"/>
    <w:rsid w:val="00E74844"/>
    <w:rsid w:val="00E7486A"/>
    <w:rsid w:val="00E75343"/>
    <w:rsid w:val="00E754BF"/>
    <w:rsid w:val="00E75596"/>
    <w:rsid w:val="00E7559F"/>
    <w:rsid w:val="00E755FF"/>
    <w:rsid w:val="00E7570A"/>
    <w:rsid w:val="00E75D61"/>
    <w:rsid w:val="00E75FD6"/>
    <w:rsid w:val="00E76029"/>
    <w:rsid w:val="00E761F0"/>
    <w:rsid w:val="00E76486"/>
    <w:rsid w:val="00E767E1"/>
    <w:rsid w:val="00E7681A"/>
    <w:rsid w:val="00E76A74"/>
    <w:rsid w:val="00E76C38"/>
    <w:rsid w:val="00E76D2F"/>
    <w:rsid w:val="00E76D7A"/>
    <w:rsid w:val="00E76DF8"/>
    <w:rsid w:val="00E76F9A"/>
    <w:rsid w:val="00E777C5"/>
    <w:rsid w:val="00E80035"/>
    <w:rsid w:val="00E80064"/>
    <w:rsid w:val="00E804C7"/>
    <w:rsid w:val="00E80A54"/>
    <w:rsid w:val="00E80AC6"/>
    <w:rsid w:val="00E80D6C"/>
    <w:rsid w:val="00E80DA5"/>
    <w:rsid w:val="00E80DE3"/>
    <w:rsid w:val="00E80F5F"/>
    <w:rsid w:val="00E819C0"/>
    <w:rsid w:val="00E819FB"/>
    <w:rsid w:val="00E82136"/>
    <w:rsid w:val="00E82140"/>
    <w:rsid w:val="00E8269B"/>
    <w:rsid w:val="00E82962"/>
    <w:rsid w:val="00E82B5B"/>
    <w:rsid w:val="00E82C5F"/>
    <w:rsid w:val="00E82D8A"/>
    <w:rsid w:val="00E82EFF"/>
    <w:rsid w:val="00E831D3"/>
    <w:rsid w:val="00E834C9"/>
    <w:rsid w:val="00E835EA"/>
    <w:rsid w:val="00E83E61"/>
    <w:rsid w:val="00E8466B"/>
    <w:rsid w:val="00E84985"/>
    <w:rsid w:val="00E849B9"/>
    <w:rsid w:val="00E84A53"/>
    <w:rsid w:val="00E84C05"/>
    <w:rsid w:val="00E85288"/>
    <w:rsid w:val="00E8534A"/>
    <w:rsid w:val="00E85660"/>
    <w:rsid w:val="00E85860"/>
    <w:rsid w:val="00E85D30"/>
    <w:rsid w:val="00E85EA2"/>
    <w:rsid w:val="00E85F13"/>
    <w:rsid w:val="00E85FBF"/>
    <w:rsid w:val="00E864BF"/>
    <w:rsid w:val="00E8659B"/>
    <w:rsid w:val="00E865A0"/>
    <w:rsid w:val="00E86736"/>
    <w:rsid w:val="00E86E7E"/>
    <w:rsid w:val="00E86F99"/>
    <w:rsid w:val="00E87053"/>
    <w:rsid w:val="00E8707B"/>
    <w:rsid w:val="00E872DB"/>
    <w:rsid w:val="00E87B1A"/>
    <w:rsid w:val="00E87C07"/>
    <w:rsid w:val="00E87CD6"/>
    <w:rsid w:val="00E904A8"/>
    <w:rsid w:val="00E907CF"/>
    <w:rsid w:val="00E90C22"/>
    <w:rsid w:val="00E90CDE"/>
    <w:rsid w:val="00E90DA4"/>
    <w:rsid w:val="00E90F4C"/>
    <w:rsid w:val="00E91142"/>
    <w:rsid w:val="00E913A6"/>
    <w:rsid w:val="00E9144B"/>
    <w:rsid w:val="00E91AA7"/>
    <w:rsid w:val="00E91B65"/>
    <w:rsid w:val="00E91BED"/>
    <w:rsid w:val="00E91F43"/>
    <w:rsid w:val="00E9205F"/>
    <w:rsid w:val="00E920C0"/>
    <w:rsid w:val="00E92776"/>
    <w:rsid w:val="00E92B30"/>
    <w:rsid w:val="00E92EBC"/>
    <w:rsid w:val="00E930FA"/>
    <w:rsid w:val="00E93202"/>
    <w:rsid w:val="00E93480"/>
    <w:rsid w:val="00E93525"/>
    <w:rsid w:val="00E93AED"/>
    <w:rsid w:val="00E942B1"/>
    <w:rsid w:val="00E9438C"/>
    <w:rsid w:val="00E943B5"/>
    <w:rsid w:val="00E94454"/>
    <w:rsid w:val="00E94751"/>
    <w:rsid w:val="00E948BD"/>
    <w:rsid w:val="00E948D4"/>
    <w:rsid w:val="00E94AED"/>
    <w:rsid w:val="00E94B09"/>
    <w:rsid w:val="00E94C19"/>
    <w:rsid w:val="00E94C2F"/>
    <w:rsid w:val="00E94C7E"/>
    <w:rsid w:val="00E95373"/>
    <w:rsid w:val="00E955FF"/>
    <w:rsid w:val="00E95608"/>
    <w:rsid w:val="00E959E2"/>
    <w:rsid w:val="00E95FB0"/>
    <w:rsid w:val="00E96056"/>
    <w:rsid w:val="00E966F9"/>
    <w:rsid w:val="00E96756"/>
    <w:rsid w:val="00E96C07"/>
    <w:rsid w:val="00E96CBB"/>
    <w:rsid w:val="00E96FFC"/>
    <w:rsid w:val="00E970F9"/>
    <w:rsid w:val="00E97237"/>
    <w:rsid w:val="00E97599"/>
    <w:rsid w:val="00E976DF"/>
    <w:rsid w:val="00E97805"/>
    <w:rsid w:val="00E97871"/>
    <w:rsid w:val="00E97BDB"/>
    <w:rsid w:val="00E9CE2B"/>
    <w:rsid w:val="00EA017A"/>
    <w:rsid w:val="00EA0326"/>
    <w:rsid w:val="00EA03CE"/>
    <w:rsid w:val="00EA0575"/>
    <w:rsid w:val="00EA07EC"/>
    <w:rsid w:val="00EA084D"/>
    <w:rsid w:val="00EA094A"/>
    <w:rsid w:val="00EA0BB4"/>
    <w:rsid w:val="00EA0CBD"/>
    <w:rsid w:val="00EA0D94"/>
    <w:rsid w:val="00EA0E54"/>
    <w:rsid w:val="00EA111F"/>
    <w:rsid w:val="00EA1417"/>
    <w:rsid w:val="00EA1490"/>
    <w:rsid w:val="00EA15BA"/>
    <w:rsid w:val="00EA16C6"/>
    <w:rsid w:val="00EA170C"/>
    <w:rsid w:val="00EA1B29"/>
    <w:rsid w:val="00EA1C19"/>
    <w:rsid w:val="00EA1D3E"/>
    <w:rsid w:val="00EA1E1A"/>
    <w:rsid w:val="00EA2348"/>
    <w:rsid w:val="00EA2690"/>
    <w:rsid w:val="00EA2B07"/>
    <w:rsid w:val="00EA2CDA"/>
    <w:rsid w:val="00EA3235"/>
    <w:rsid w:val="00EA3252"/>
    <w:rsid w:val="00EA334C"/>
    <w:rsid w:val="00EA3365"/>
    <w:rsid w:val="00EA344A"/>
    <w:rsid w:val="00EA38F8"/>
    <w:rsid w:val="00EA3C35"/>
    <w:rsid w:val="00EA403F"/>
    <w:rsid w:val="00EA4B76"/>
    <w:rsid w:val="00EA4CAB"/>
    <w:rsid w:val="00EA4F79"/>
    <w:rsid w:val="00EA5552"/>
    <w:rsid w:val="00EA5782"/>
    <w:rsid w:val="00EA62E4"/>
    <w:rsid w:val="00EA655D"/>
    <w:rsid w:val="00EA6562"/>
    <w:rsid w:val="00EA658C"/>
    <w:rsid w:val="00EA667B"/>
    <w:rsid w:val="00EA66E6"/>
    <w:rsid w:val="00EA68D1"/>
    <w:rsid w:val="00EA69CE"/>
    <w:rsid w:val="00EA701D"/>
    <w:rsid w:val="00EA7B5A"/>
    <w:rsid w:val="00EA7C49"/>
    <w:rsid w:val="00EA7E94"/>
    <w:rsid w:val="00EA7FD7"/>
    <w:rsid w:val="00EB0073"/>
    <w:rsid w:val="00EB00BF"/>
    <w:rsid w:val="00EB0102"/>
    <w:rsid w:val="00EB0338"/>
    <w:rsid w:val="00EB03A6"/>
    <w:rsid w:val="00EB03BB"/>
    <w:rsid w:val="00EB062B"/>
    <w:rsid w:val="00EB0A2F"/>
    <w:rsid w:val="00EB0A55"/>
    <w:rsid w:val="00EB0BA7"/>
    <w:rsid w:val="00EB1122"/>
    <w:rsid w:val="00EB117D"/>
    <w:rsid w:val="00EB13DD"/>
    <w:rsid w:val="00EB150F"/>
    <w:rsid w:val="00EB155E"/>
    <w:rsid w:val="00EB1912"/>
    <w:rsid w:val="00EB22A4"/>
    <w:rsid w:val="00EB23A1"/>
    <w:rsid w:val="00EB252D"/>
    <w:rsid w:val="00EB2885"/>
    <w:rsid w:val="00EB295A"/>
    <w:rsid w:val="00EB2B0D"/>
    <w:rsid w:val="00EB2DD9"/>
    <w:rsid w:val="00EB303D"/>
    <w:rsid w:val="00EB360C"/>
    <w:rsid w:val="00EB365A"/>
    <w:rsid w:val="00EB3A8A"/>
    <w:rsid w:val="00EB3BEF"/>
    <w:rsid w:val="00EB3FF6"/>
    <w:rsid w:val="00EB418F"/>
    <w:rsid w:val="00EB426B"/>
    <w:rsid w:val="00EB4764"/>
    <w:rsid w:val="00EB478E"/>
    <w:rsid w:val="00EB47B0"/>
    <w:rsid w:val="00EB4AE2"/>
    <w:rsid w:val="00EB4B54"/>
    <w:rsid w:val="00EB4DE0"/>
    <w:rsid w:val="00EB4E02"/>
    <w:rsid w:val="00EB4F2F"/>
    <w:rsid w:val="00EB4F9F"/>
    <w:rsid w:val="00EB5242"/>
    <w:rsid w:val="00EB5418"/>
    <w:rsid w:val="00EB544B"/>
    <w:rsid w:val="00EB5AE8"/>
    <w:rsid w:val="00EB5C7D"/>
    <w:rsid w:val="00EB5E6D"/>
    <w:rsid w:val="00EB5FF8"/>
    <w:rsid w:val="00EB6A59"/>
    <w:rsid w:val="00EB6C8B"/>
    <w:rsid w:val="00EB6D14"/>
    <w:rsid w:val="00EB7004"/>
    <w:rsid w:val="00EB750A"/>
    <w:rsid w:val="00EB7546"/>
    <w:rsid w:val="00EB758E"/>
    <w:rsid w:val="00EB767F"/>
    <w:rsid w:val="00EB7719"/>
    <w:rsid w:val="00EB7B46"/>
    <w:rsid w:val="00EB7E28"/>
    <w:rsid w:val="00EC07D5"/>
    <w:rsid w:val="00EC0A8B"/>
    <w:rsid w:val="00EC0B16"/>
    <w:rsid w:val="00EC0E2F"/>
    <w:rsid w:val="00EC0E3C"/>
    <w:rsid w:val="00EC0F9A"/>
    <w:rsid w:val="00EC0FD9"/>
    <w:rsid w:val="00EC1A36"/>
    <w:rsid w:val="00EC20D6"/>
    <w:rsid w:val="00EC2384"/>
    <w:rsid w:val="00EC2503"/>
    <w:rsid w:val="00EC2915"/>
    <w:rsid w:val="00EC2925"/>
    <w:rsid w:val="00EC2C6B"/>
    <w:rsid w:val="00EC2C85"/>
    <w:rsid w:val="00EC300D"/>
    <w:rsid w:val="00EC3050"/>
    <w:rsid w:val="00EC32A5"/>
    <w:rsid w:val="00EC32E7"/>
    <w:rsid w:val="00EC3953"/>
    <w:rsid w:val="00EC3A64"/>
    <w:rsid w:val="00EC444F"/>
    <w:rsid w:val="00EC4758"/>
    <w:rsid w:val="00EC48CA"/>
    <w:rsid w:val="00EC4FE4"/>
    <w:rsid w:val="00EC51C8"/>
    <w:rsid w:val="00EC57D3"/>
    <w:rsid w:val="00EC5B42"/>
    <w:rsid w:val="00EC5EB6"/>
    <w:rsid w:val="00EC640F"/>
    <w:rsid w:val="00EC6724"/>
    <w:rsid w:val="00EC6738"/>
    <w:rsid w:val="00EC6741"/>
    <w:rsid w:val="00EC6AA1"/>
    <w:rsid w:val="00EC6BFB"/>
    <w:rsid w:val="00EC700C"/>
    <w:rsid w:val="00EC70A0"/>
    <w:rsid w:val="00EC74C1"/>
    <w:rsid w:val="00EC757D"/>
    <w:rsid w:val="00EC7805"/>
    <w:rsid w:val="00EC79CD"/>
    <w:rsid w:val="00EC7CB0"/>
    <w:rsid w:val="00EC7E4A"/>
    <w:rsid w:val="00EC7E7E"/>
    <w:rsid w:val="00ED0330"/>
    <w:rsid w:val="00ED0639"/>
    <w:rsid w:val="00ED0B99"/>
    <w:rsid w:val="00ED0E08"/>
    <w:rsid w:val="00ED0EF9"/>
    <w:rsid w:val="00ED0F5F"/>
    <w:rsid w:val="00ED0FF3"/>
    <w:rsid w:val="00ED11A3"/>
    <w:rsid w:val="00ED13F4"/>
    <w:rsid w:val="00ED17A3"/>
    <w:rsid w:val="00ED1C76"/>
    <w:rsid w:val="00ED2099"/>
    <w:rsid w:val="00ED29A2"/>
    <w:rsid w:val="00ED310E"/>
    <w:rsid w:val="00ED3599"/>
    <w:rsid w:val="00ED38C1"/>
    <w:rsid w:val="00ED3965"/>
    <w:rsid w:val="00ED3A2B"/>
    <w:rsid w:val="00ED407B"/>
    <w:rsid w:val="00ED4AA9"/>
    <w:rsid w:val="00ED4D64"/>
    <w:rsid w:val="00ED4FE5"/>
    <w:rsid w:val="00ED5042"/>
    <w:rsid w:val="00ED50F3"/>
    <w:rsid w:val="00ED5204"/>
    <w:rsid w:val="00ED53A9"/>
    <w:rsid w:val="00ED53E4"/>
    <w:rsid w:val="00ED56E4"/>
    <w:rsid w:val="00ED5B37"/>
    <w:rsid w:val="00ED5BB3"/>
    <w:rsid w:val="00ED630B"/>
    <w:rsid w:val="00ED6483"/>
    <w:rsid w:val="00ED6619"/>
    <w:rsid w:val="00ED70E6"/>
    <w:rsid w:val="00ED7187"/>
    <w:rsid w:val="00ED7361"/>
    <w:rsid w:val="00ED7509"/>
    <w:rsid w:val="00ED7997"/>
    <w:rsid w:val="00ED7E78"/>
    <w:rsid w:val="00ED9096"/>
    <w:rsid w:val="00EDAB03"/>
    <w:rsid w:val="00EE0145"/>
    <w:rsid w:val="00EE0CB0"/>
    <w:rsid w:val="00EE162D"/>
    <w:rsid w:val="00EE1B6E"/>
    <w:rsid w:val="00EE1BEE"/>
    <w:rsid w:val="00EE1C18"/>
    <w:rsid w:val="00EE1E07"/>
    <w:rsid w:val="00EE20E5"/>
    <w:rsid w:val="00EE244E"/>
    <w:rsid w:val="00EE26DB"/>
    <w:rsid w:val="00EE27F1"/>
    <w:rsid w:val="00EE2852"/>
    <w:rsid w:val="00EE2A9B"/>
    <w:rsid w:val="00EE2CF6"/>
    <w:rsid w:val="00EE316C"/>
    <w:rsid w:val="00EE3211"/>
    <w:rsid w:val="00EE33D3"/>
    <w:rsid w:val="00EE3457"/>
    <w:rsid w:val="00EE39B1"/>
    <w:rsid w:val="00EE3E75"/>
    <w:rsid w:val="00EE4001"/>
    <w:rsid w:val="00EE4230"/>
    <w:rsid w:val="00EE42EC"/>
    <w:rsid w:val="00EE431C"/>
    <w:rsid w:val="00EE4775"/>
    <w:rsid w:val="00EE479E"/>
    <w:rsid w:val="00EE4D40"/>
    <w:rsid w:val="00EE5014"/>
    <w:rsid w:val="00EE5098"/>
    <w:rsid w:val="00EE5116"/>
    <w:rsid w:val="00EE5808"/>
    <w:rsid w:val="00EE5B8E"/>
    <w:rsid w:val="00EE5DF9"/>
    <w:rsid w:val="00EE5E4F"/>
    <w:rsid w:val="00EE5EFF"/>
    <w:rsid w:val="00EE6121"/>
    <w:rsid w:val="00EE61B7"/>
    <w:rsid w:val="00EE62BF"/>
    <w:rsid w:val="00EE63EA"/>
    <w:rsid w:val="00EE64C1"/>
    <w:rsid w:val="00EE65F2"/>
    <w:rsid w:val="00EE67D1"/>
    <w:rsid w:val="00EE6A7D"/>
    <w:rsid w:val="00EE6C6A"/>
    <w:rsid w:val="00EE6D27"/>
    <w:rsid w:val="00EE7208"/>
    <w:rsid w:val="00EE7382"/>
    <w:rsid w:val="00EE74F1"/>
    <w:rsid w:val="00EE76A5"/>
    <w:rsid w:val="00EE76BC"/>
    <w:rsid w:val="00EE77BC"/>
    <w:rsid w:val="00EE7A9E"/>
    <w:rsid w:val="00EE7E12"/>
    <w:rsid w:val="00EE7E54"/>
    <w:rsid w:val="00EE7FAC"/>
    <w:rsid w:val="00EE7FEB"/>
    <w:rsid w:val="00EF030A"/>
    <w:rsid w:val="00EF055C"/>
    <w:rsid w:val="00EF1044"/>
    <w:rsid w:val="00EF10C2"/>
    <w:rsid w:val="00EF11C7"/>
    <w:rsid w:val="00EF13DB"/>
    <w:rsid w:val="00EF1632"/>
    <w:rsid w:val="00EF1642"/>
    <w:rsid w:val="00EF1A3D"/>
    <w:rsid w:val="00EF1DC9"/>
    <w:rsid w:val="00EF224E"/>
    <w:rsid w:val="00EF2BAD"/>
    <w:rsid w:val="00EF2C02"/>
    <w:rsid w:val="00EF3039"/>
    <w:rsid w:val="00EF3278"/>
    <w:rsid w:val="00EF32AD"/>
    <w:rsid w:val="00EF3801"/>
    <w:rsid w:val="00EF3B2F"/>
    <w:rsid w:val="00EF3E8B"/>
    <w:rsid w:val="00EF4178"/>
    <w:rsid w:val="00EF41F3"/>
    <w:rsid w:val="00EF48B5"/>
    <w:rsid w:val="00EF4DA0"/>
    <w:rsid w:val="00EF509F"/>
    <w:rsid w:val="00EF50A7"/>
    <w:rsid w:val="00EF50DA"/>
    <w:rsid w:val="00EF52E6"/>
    <w:rsid w:val="00EF537A"/>
    <w:rsid w:val="00EF5446"/>
    <w:rsid w:val="00EF5464"/>
    <w:rsid w:val="00EF547E"/>
    <w:rsid w:val="00EF5C0C"/>
    <w:rsid w:val="00EF5C21"/>
    <w:rsid w:val="00EF61DA"/>
    <w:rsid w:val="00EF63F1"/>
    <w:rsid w:val="00EF6B37"/>
    <w:rsid w:val="00EF6D00"/>
    <w:rsid w:val="00EF6D0A"/>
    <w:rsid w:val="00EF6D9A"/>
    <w:rsid w:val="00EF6DD1"/>
    <w:rsid w:val="00EF70E7"/>
    <w:rsid w:val="00EF75B0"/>
    <w:rsid w:val="00EF7BB3"/>
    <w:rsid w:val="00F000C9"/>
    <w:rsid w:val="00F0024E"/>
    <w:rsid w:val="00F00678"/>
    <w:rsid w:val="00F00DEB"/>
    <w:rsid w:val="00F01134"/>
    <w:rsid w:val="00F0138F"/>
    <w:rsid w:val="00F0152D"/>
    <w:rsid w:val="00F01723"/>
    <w:rsid w:val="00F01A45"/>
    <w:rsid w:val="00F01C5E"/>
    <w:rsid w:val="00F01CB0"/>
    <w:rsid w:val="00F01CE4"/>
    <w:rsid w:val="00F01DE4"/>
    <w:rsid w:val="00F02AAF"/>
    <w:rsid w:val="00F02ECA"/>
    <w:rsid w:val="00F030CF"/>
    <w:rsid w:val="00F03196"/>
    <w:rsid w:val="00F03502"/>
    <w:rsid w:val="00F036BB"/>
    <w:rsid w:val="00F03ADE"/>
    <w:rsid w:val="00F03AF7"/>
    <w:rsid w:val="00F040CF"/>
    <w:rsid w:val="00F04490"/>
    <w:rsid w:val="00F044FB"/>
    <w:rsid w:val="00F04618"/>
    <w:rsid w:val="00F0478D"/>
    <w:rsid w:val="00F049EC"/>
    <w:rsid w:val="00F04A83"/>
    <w:rsid w:val="00F04BBA"/>
    <w:rsid w:val="00F04F1F"/>
    <w:rsid w:val="00F05234"/>
    <w:rsid w:val="00F052DF"/>
    <w:rsid w:val="00F0542E"/>
    <w:rsid w:val="00F05788"/>
    <w:rsid w:val="00F05C44"/>
    <w:rsid w:val="00F05D5B"/>
    <w:rsid w:val="00F061E8"/>
    <w:rsid w:val="00F06200"/>
    <w:rsid w:val="00F0624D"/>
    <w:rsid w:val="00F06316"/>
    <w:rsid w:val="00F063AF"/>
    <w:rsid w:val="00F0645B"/>
    <w:rsid w:val="00F0664A"/>
    <w:rsid w:val="00F06787"/>
    <w:rsid w:val="00F067F0"/>
    <w:rsid w:val="00F069E9"/>
    <w:rsid w:val="00F06AF8"/>
    <w:rsid w:val="00F06CA4"/>
    <w:rsid w:val="00F06D4E"/>
    <w:rsid w:val="00F06F49"/>
    <w:rsid w:val="00F07354"/>
    <w:rsid w:val="00F07390"/>
    <w:rsid w:val="00F07734"/>
    <w:rsid w:val="00F077C2"/>
    <w:rsid w:val="00F07937"/>
    <w:rsid w:val="00F07A63"/>
    <w:rsid w:val="00F07C4B"/>
    <w:rsid w:val="00F07E2B"/>
    <w:rsid w:val="00F101C5"/>
    <w:rsid w:val="00F10383"/>
    <w:rsid w:val="00F10B53"/>
    <w:rsid w:val="00F10E89"/>
    <w:rsid w:val="00F10EAA"/>
    <w:rsid w:val="00F10FEB"/>
    <w:rsid w:val="00F1131A"/>
    <w:rsid w:val="00F11501"/>
    <w:rsid w:val="00F11929"/>
    <w:rsid w:val="00F11B21"/>
    <w:rsid w:val="00F11B71"/>
    <w:rsid w:val="00F1217F"/>
    <w:rsid w:val="00F12215"/>
    <w:rsid w:val="00F12698"/>
    <w:rsid w:val="00F129AC"/>
    <w:rsid w:val="00F12CA2"/>
    <w:rsid w:val="00F12DB6"/>
    <w:rsid w:val="00F12ED0"/>
    <w:rsid w:val="00F1305A"/>
    <w:rsid w:val="00F13258"/>
    <w:rsid w:val="00F13332"/>
    <w:rsid w:val="00F13380"/>
    <w:rsid w:val="00F1381A"/>
    <w:rsid w:val="00F13B1B"/>
    <w:rsid w:val="00F13B2B"/>
    <w:rsid w:val="00F13CAC"/>
    <w:rsid w:val="00F13CFE"/>
    <w:rsid w:val="00F13FE1"/>
    <w:rsid w:val="00F141BE"/>
    <w:rsid w:val="00F14298"/>
    <w:rsid w:val="00F145A6"/>
    <w:rsid w:val="00F14649"/>
    <w:rsid w:val="00F14C10"/>
    <w:rsid w:val="00F14C37"/>
    <w:rsid w:val="00F14CA0"/>
    <w:rsid w:val="00F1526E"/>
    <w:rsid w:val="00F1546C"/>
    <w:rsid w:val="00F15A89"/>
    <w:rsid w:val="00F15B1D"/>
    <w:rsid w:val="00F15B86"/>
    <w:rsid w:val="00F15D62"/>
    <w:rsid w:val="00F15E0C"/>
    <w:rsid w:val="00F161E9"/>
    <w:rsid w:val="00F1664C"/>
    <w:rsid w:val="00F167AB"/>
    <w:rsid w:val="00F16853"/>
    <w:rsid w:val="00F168A0"/>
    <w:rsid w:val="00F16DA6"/>
    <w:rsid w:val="00F16EC3"/>
    <w:rsid w:val="00F1722C"/>
    <w:rsid w:val="00F17306"/>
    <w:rsid w:val="00F17463"/>
    <w:rsid w:val="00F1759B"/>
    <w:rsid w:val="00F1759F"/>
    <w:rsid w:val="00F17A3F"/>
    <w:rsid w:val="00F17DD2"/>
    <w:rsid w:val="00F17EF6"/>
    <w:rsid w:val="00F20158"/>
    <w:rsid w:val="00F2072E"/>
    <w:rsid w:val="00F20DBF"/>
    <w:rsid w:val="00F215EE"/>
    <w:rsid w:val="00F2188C"/>
    <w:rsid w:val="00F21D9A"/>
    <w:rsid w:val="00F22045"/>
    <w:rsid w:val="00F222BD"/>
    <w:rsid w:val="00F2234D"/>
    <w:rsid w:val="00F22534"/>
    <w:rsid w:val="00F225BB"/>
    <w:rsid w:val="00F226A1"/>
    <w:rsid w:val="00F22870"/>
    <w:rsid w:val="00F22B1F"/>
    <w:rsid w:val="00F22C87"/>
    <w:rsid w:val="00F22E61"/>
    <w:rsid w:val="00F22E82"/>
    <w:rsid w:val="00F232A6"/>
    <w:rsid w:val="00F23396"/>
    <w:rsid w:val="00F23666"/>
    <w:rsid w:val="00F23C8C"/>
    <w:rsid w:val="00F23CD5"/>
    <w:rsid w:val="00F23FFB"/>
    <w:rsid w:val="00F24198"/>
    <w:rsid w:val="00F2419B"/>
    <w:rsid w:val="00F2452C"/>
    <w:rsid w:val="00F248EA"/>
    <w:rsid w:val="00F24E73"/>
    <w:rsid w:val="00F24E9D"/>
    <w:rsid w:val="00F25DA7"/>
    <w:rsid w:val="00F26024"/>
    <w:rsid w:val="00F261CA"/>
    <w:rsid w:val="00F26233"/>
    <w:rsid w:val="00F263BD"/>
    <w:rsid w:val="00F2661F"/>
    <w:rsid w:val="00F26741"/>
    <w:rsid w:val="00F268DA"/>
    <w:rsid w:val="00F26A7D"/>
    <w:rsid w:val="00F26B4B"/>
    <w:rsid w:val="00F26C88"/>
    <w:rsid w:val="00F26D54"/>
    <w:rsid w:val="00F26DFE"/>
    <w:rsid w:val="00F2706C"/>
    <w:rsid w:val="00F2709E"/>
    <w:rsid w:val="00F27128"/>
    <w:rsid w:val="00F2721A"/>
    <w:rsid w:val="00F272BE"/>
    <w:rsid w:val="00F276E9"/>
    <w:rsid w:val="00F30020"/>
    <w:rsid w:val="00F300D2"/>
    <w:rsid w:val="00F3034C"/>
    <w:rsid w:val="00F30372"/>
    <w:rsid w:val="00F30673"/>
    <w:rsid w:val="00F3094A"/>
    <w:rsid w:val="00F30A9D"/>
    <w:rsid w:val="00F30D25"/>
    <w:rsid w:val="00F312CC"/>
    <w:rsid w:val="00F31408"/>
    <w:rsid w:val="00F3164B"/>
    <w:rsid w:val="00F317B7"/>
    <w:rsid w:val="00F317E3"/>
    <w:rsid w:val="00F31BD2"/>
    <w:rsid w:val="00F31F29"/>
    <w:rsid w:val="00F31FEB"/>
    <w:rsid w:val="00F321CB"/>
    <w:rsid w:val="00F324CB"/>
    <w:rsid w:val="00F3270C"/>
    <w:rsid w:val="00F3272C"/>
    <w:rsid w:val="00F32F35"/>
    <w:rsid w:val="00F33288"/>
    <w:rsid w:val="00F334A0"/>
    <w:rsid w:val="00F3381D"/>
    <w:rsid w:val="00F338E3"/>
    <w:rsid w:val="00F33B41"/>
    <w:rsid w:val="00F33FA5"/>
    <w:rsid w:val="00F3428D"/>
    <w:rsid w:val="00F34449"/>
    <w:rsid w:val="00F34533"/>
    <w:rsid w:val="00F345C2"/>
    <w:rsid w:val="00F34785"/>
    <w:rsid w:val="00F349D9"/>
    <w:rsid w:val="00F34A3C"/>
    <w:rsid w:val="00F34AC8"/>
    <w:rsid w:val="00F34CDF"/>
    <w:rsid w:val="00F34D22"/>
    <w:rsid w:val="00F34D71"/>
    <w:rsid w:val="00F34DF3"/>
    <w:rsid w:val="00F34FBC"/>
    <w:rsid w:val="00F352AD"/>
    <w:rsid w:val="00F3531E"/>
    <w:rsid w:val="00F35395"/>
    <w:rsid w:val="00F35464"/>
    <w:rsid w:val="00F355BE"/>
    <w:rsid w:val="00F355E6"/>
    <w:rsid w:val="00F3569B"/>
    <w:rsid w:val="00F35A08"/>
    <w:rsid w:val="00F35D56"/>
    <w:rsid w:val="00F35D5A"/>
    <w:rsid w:val="00F35E23"/>
    <w:rsid w:val="00F35E6E"/>
    <w:rsid w:val="00F360D4"/>
    <w:rsid w:val="00F362FC"/>
    <w:rsid w:val="00F36331"/>
    <w:rsid w:val="00F36594"/>
    <w:rsid w:val="00F36754"/>
    <w:rsid w:val="00F367F7"/>
    <w:rsid w:val="00F3699E"/>
    <w:rsid w:val="00F36BEC"/>
    <w:rsid w:val="00F370FF"/>
    <w:rsid w:val="00F372B6"/>
    <w:rsid w:val="00F37315"/>
    <w:rsid w:val="00F37497"/>
    <w:rsid w:val="00F37864"/>
    <w:rsid w:val="00F37935"/>
    <w:rsid w:val="00F37A01"/>
    <w:rsid w:val="00F37B33"/>
    <w:rsid w:val="00F37BF4"/>
    <w:rsid w:val="00F37D76"/>
    <w:rsid w:val="00F37EDE"/>
    <w:rsid w:val="00F37F85"/>
    <w:rsid w:val="00F40262"/>
    <w:rsid w:val="00F40307"/>
    <w:rsid w:val="00F40369"/>
    <w:rsid w:val="00F4053B"/>
    <w:rsid w:val="00F40BA0"/>
    <w:rsid w:val="00F40E27"/>
    <w:rsid w:val="00F40FFE"/>
    <w:rsid w:val="00F41162"/>
    <w:rsid w:val="00F4151E"/>
    <w:rsid w:val="00F4181F"/>
    <w:rsid w:val="00F41D32"/>
    <w:rsid w:val="00F42095"/>
    <w:rsid w:val="00F4215F"/>
    <w:rsid w:val="00F422EA"/>
    <w:rsid w:val="00F4233B"/>
    <w:rsid w:val="00F425D3"/>
    <w:rsid w:val="00F425FB"/>
    <w:rsid w:val="00F42B82"/>
    <w:rsid w:val="00F42EDA"/>
    <w:rsid w:val="00F4304B"/>
    <w:rsid w:val="00F43084"/>
    <w:rsid w:val="00F431D5"/>
    <w:rsid w:val="00F432FC"/>
    <w:rsid w:val="00F435A0"/>
    <w:rsid w:val="00F4373F"/>
    <w:rsid w:val="00F43BE0"/>
    <w:rsid w:val="00F43DD2"/>
    <w:rsid w:val="00F43E15"/>
    <w:rsid w:val="00F44015"/>
    <w:rsid w:val="00F440D4"/>
    <w:rsid w:val="00F44179"/>
    <w:rsid w:val="00F44352"/>
    <w:rsid w:val="00F4437D"/>
    <w:rsid w:val="00F4445A"/>
    <w:rsid w:val="00F4446A"/>
    <w:rsid w:val="00F44618"/>
    <w:rsid w:val="00F4467B"/>
    <w:rsid w:val="00F44DA3"/>
    <w:rsid w:val="00F44E17"/>
    <w:rsid w:val="00F44EDC"/>
    <w:rsid w:val="00F45361"/>
    <w:rsid w:val="00F455D2"/>
    <w:rsid w:val="00F45603"/>
    <w:rsid w:val="00F46127"/>
    <w:rsid w:val="00F4641E"/>
    <w:rsid w:val="00F46530"/>
    <w:rsid w:val="00F4691D"/>
    <w:rsid w:val="00F4699F"/>
    <w:rsid w:val="00F46FB3"/>
    <w:rsid w:val="00F46FCD"/>
    <w:rsid w:val="00F47154"/>
    <w:rsid w:val="00F4744A"/>
    <w:rsid w:val="00F474AB"/>
    <w:rsid w:val="00F47CBF"/>
    <w:rsid w:val="00F47DF2"/>
    <w:rsid w:val="00F47FE5"/>
    <w:rsid w:val="00F50049"/>
    <w:rsid w:val="00F5021A"/>
    <w:rsid w:val="00F50568"/>
    <w:rsid w:val="00F5076D"/>
    <w:rsid w:val="00F509E6"/>
    <w:rsid w:val="00F50BCD"/>
    <w:rsid w:val="00F50E64"/>
    <w:rsid w:val="00F50E8E"/>
    <w:rsid w:val="00F512F7"/>
    <w:rsid w:val="00F517C7"/>
    <w:rsid w:val="00F519AE"/>
    <w:rsid w:val="00F519E9"/>
    <w:rsid w:val="00F51A44"/>
    <w:rsid w:val="00F51B90"/>
    <w:rsid w:val="00F51E49"/>
    <w:rsid w:val="00F51EBC"/>
    <w:rsid w:val="00F51EFB"/>
    <w:rsid w:val="00F51FB0"/>
    <w:rsid w:val="00F520C0"/>
    <w:rsid w:val="00F521E6"/>
    <w:rsid w:val="00F52322"/>
    <w:rsid w:val="00F525B4"/>
    <w:rsid w:val="00F5276E"/>
    <w:rsid w:val="00F52A40"/>
    <w:rsid w:val="00F52AE6"/>
    <w:rsid w:val="00F52C18"/>
    <w:rsid w:val="00F52DBE"/>
    <w:rsid w:val="00F52E90"/>
    <w:rsid w:val="00F52FAD"/>
    <w:rsid w:val="00F530BF"/>
    <w:rsid w:val="00F5350B"/>
    <w:rsid w:val="00F53D6E"/>
    <w:rsid w:val="00F53FE5"/>
    <w:rsid w:val="00F54179"/>
    <w:rsid w:val="00F546F6"/>
    <w:rsid w:val="00F54820"/>
    <w:rsid w:val="00F54C85"/>
    <w:rsid w:val="00F551DF"/>
    <w:rsid w:val="00F55203"/>
    <w:rsid w:val="00F55316"/>
    <w:rsid w:val="00F554B4"/>
    <w:rsid w:val="00F555FD"/>
    <w:rsid w:val="00F55653"/>
    <w:rsid w:val="00F55698"/>
    <w:rsid w:val="00F5576D"/>
    <w:rsid w:val="00F55A78"/>
    <w:rsid w:val="00F560B9"/>
    <w:rsid w:val="00F561F3"/>
    <w:rsid w:val="00F56314"/>
    <w:rsid w:val="00F56462"/>
    <w:rsid w:val="00F56489"/>
    <w:rsid w:val="00F565B4"/>
    <w:rsid w:val="00F56E55"/>
    <w:rsid w:val="00F56EEF"/>
    <w:rsid w:val="00F573E3"/>
    <w:rsid w:val="00F57585"/>
    <w:rsid w:val="00F577A3"/>
    <w:rsid w:val="00F57940"/>
    <w:rsid w:val="00F57AB0"/>
    <w:rsid w:val="00F57B08"/>
    <w:rsid w:val="00F60018"/>
    <w:rsid w:val="00F600C5"/>
    <w:rsid w:val="00F605D5"/>
    <w:rsid w:val="00F6073B"/>
    <w:rsid w:val="00F60C86"/>
    <w:rsid w:val="00F60FF2"/>
    <w:rsid w:val="00F61126"/>
    <w:rsid w:val="00F61237"/>
    <w:rsid w:val="00F6165C"/>
    <w:rsid w:val="00F6177B"/>
    <w:rsid w:val="00F618FE"/>
    <w:rsid w:val="00F619EC"/>
    <w:rsid w:val="00F61D52"/>
    <w:rsid w:val="00F61E38"/>
    <w:rsid w:val="00F61FAF"/>
    <w:rsid w:val="00F620AD"/>
    <w:rsid w:val="00F62445"/>
    <w:rsid w:val="00F62525"/>
    <w:rsid w:val="00F625F2"/>
    <w:rsid w:val="00F627CE"/>
    <w:rsid w:val="00F62B15"/>
    <w:rsid w:val="00F630C9"/>
    <w:rsid w:val="00F63166"/>
    <w:rsid w:val="00F63BCA"/>
    <w:rsid w:val="00F63F03"/>
    <w:rsid w:val="00F63F86"/>
    <w:rsid w:val="00F64249"/>
    <w:rsid w:val="00F6438E"/>
    <w:rsid w:val="00F6461E"/>
    <w:rsid w:val="00F64C19"/>
    <w:rsid w:val="00F64DD5"/>
    <w:rsid w:val="00F64E49"/>
    <w:rsid w:val="00F650BF"/>
    <w:rsid w:val="00F65B2F"/>
    <w:rsid w:val="00F65B90"/>
    <w:rsid w:val="00F65C9E"/>
    <w:rsid w:val="00F663F9"/>
    <w:rsid w:val="00F6654E"/>
    <w:rsid w:val="00F66581"/>
    <w:rsid w:val="00F66709"/>
    <w:rsid w:val="00F66ECC"/>
    <w:rsid w:val="00F671C3"/>
    <w:rsid w:val="00F67298"/>
    <w:rsid w:val="00F677E4"/>
    <w:rsid w:val="00F67949"/>
    <w:rsid w:val="00F679DD"/>
    <w:rsid w:val="00F70352"/>
    <w:rsid w:val="00F703C8"/>
    <w:rsid w:val="00F70494"/>
    <w:rsid w:val="00F706EC"/>
    <w:rsid w:val="00F70777"/>
    <w:rsid w:val="00F70B35"/>
    <w:rsid w:val="00F70EF3"/>
    <w:rsid w:val="00F7107D"/>
    <w:rsid w:val="00F7132A"/>
    <w:rsid w:val="00F71347"/>
    <w:rsid w:val="00F71532"/>
    <w:rsid w:val="00F71591"/>
    <w:rsid w:val="00F718F5"/>
    <w:rsid w:val="00F71A89"/>
    <w:rsid w:val="00F71C59"/>
    <w:rsid w:val="00F71C72"/>
    <w:rsid w:val="00F71E2A"/>
    <w:rsid w:val="00F71EF1"/>
    <w:rsid w:val="00F72149"/>
    <w:rsid w:val="00F72414"/>
    <w:rsid w:val="00F72540"/>
    <w:rsid w:val="00F72808"/>
    <w:rsid w:val="00F72A60"/>
    <w:rsid w:val="00F72B42"/>
    <w:rsid w:val="00F72B44"/>
    <w:rsid w:val="00F72BB2"/>
    <w:rsid w:val="00F72BF2"/>
    <w:rsid w:val="00F730C9"/>
    <w:rsid w:val="00F733F3"/>
    <w:rsid w:val="00F737A8"/>
    <w:rsid w:val="00F7382D"/>
    <w:rsid w:val="00F7398C"/>
    <w:rsid w:val="00F73A39"/>
    <w:rsid w:val="00F73A7E"/>
    <w:rsid w:val="00F73AE9"/>
    <w:rsid w:val="00F73B0D"/>
    <w:rsid w:val="00F73C0E"/>
    <w:rsid w:val="00F73E47"/>
    <w:rsid w:val="00F73E81"/>
    <w:rsid w:val="00F74344"/>
    <w:rsid w:val="00F74551"/>
    <w:rsid w:val="00F74A11"/>
    <w:rsid w:val="00F74FFE"/>
    <w:rsid w:val="00F750C2"/>
    <w:rsid w:val="00F753F9"/>
    <w:rsid w:val="00F7579B"/>
    <w:rsid w:val="00F758FF"/>
    <w:rsid w:val="00F75A16"/>
    <w:rsid w:val="00F75A8F"/>
    <w:rsid w:val="00F75D3A"/>
    <w:rsid w:val="00F75F87"/>
    <w:rsid w:val="00F76128"/>
    <w:rsid w:val="00F764E6"/>
    <w:rsid w:val="00F76D77"/>
    <w:rsid w:val="00F76ECF"/>
    <w:rsid w:val="00F76F30"/>
    <w:rsid w:val="00F77175"/>
    <w:rsid w:val="00F77321"/>
    <w:rsid w:val="00F773B2"/>
    <w:rsid w:val="00F773FB"/>
    <w:rsid w:val="00F776E0"/>
    <w:rsid w:val="00F7781F"/>
    <w:rsid w:val="00F779C8"/>
    <w:rsid w:val="00F77AAB"/>
    <w:rsid w:val="00F77C93"/>
    <w:rsid w:val="00F80139"/>
    <w:rsid w:val="00F80267"/>
    <w:rsid w:val="00F8059A"/>
    <w:rsid w:val="00F80D18"/>
    <w:rsid w:val="00F80FA8"/>
    <w:rsid w:val="00F810FF"/>
    <w:rsid w:val="00F81687"/>
    <w:rsid w:val="00F8179B"/>
    <w:rsid w:val="00F81DFC"/>
    <w:rsid w:val="00F820E0"/>
    <w:rsid w:val="00F8223F"/>
    <w:rsid w:val="00F825B5"/>
    <w:rsid w:val="00F82760"/>
    <w:rsid w:val="00F82AC7"/>
    <w:rsid w:val="00F82B12"/>
    <w:rsid w:val="00F82D0D"/>
    <w:rsid w:val="00F82EA5"/>
    <w:rsid w:val="00F8321F"/>
    <w:rsid w:val="00F834DA"/>
    <w:rsid w:val="00F8380E"/>
    <w:rsid w:val="00F839C7"/>
    <w:rsid w:val="00F83ACE"/>
    <w:rsid w:val="00F841CA"/>
    <w:rsid w:val="00F8427E"/>
    <w:rsid w:val="00F8436C"/>
    <w:rsid w:val="00F84AEA"/>
    <w:rsid w:val="00F84C28"/>
    <w:rsid w:val="00F854DB"/>
    <w:rsid w:val="00F857A5"/>
    <w:rsid w:val="00F85A9A"/>
    <w:rsid w:val="00F85DD9"/>
    <w:rsid w:val="00F85ED9"/>
    <w:rsid w:val="00F8619A"/>
    <w:rsid w:val="00F8635A"/>
    <w:rsid w:val="00F86568"/>
    <w:rsid w:val="00F866FB"/>
    <w:rsid w:val="00F8687C"/>
    <w:rsid w:val="00F86C9C"/>
    <w:rsid w:val="00F86F6C"/>
    <w:rsid w:val="00F87121"/>
    <w:rsid w:val="00F87382"/>
    <w:rsid w:val="00F876BA"/>
    <w:rsid w:val="00F8786F"/>
    <w:rsid w:val="00F8795E"/>
    <w:rsid w:val="00F87C2F"/>
    <w:rsid w:val="00F87C31"/>
    <w:rsid w:val="00F90098"/>
    <w:rsid w:val="00F900E8"/>
    <w:rsid w:val="00F902B7"/>
    <w:rsid w:val="00F904E0"/>
    <w:rsid w:val="00F90569"/>
    <w:rsid w:val="00F9065D"/>
    <w:rsid w:val="00F90880"/>
    <w:rsid w:val="00F90CC2"/>
    <w:rsid w:val="00F90FAE"/>
    <w:rsid w:val="00F9109B"/>
    <w:rsid w:val="00F9124A"/>
    <w:rsid w:val="00F91688"/>
    <w:rsid w:val="00F917B4"/>
    <w:rsid w:val="00F91923"/>
    <w:rsid w:val="00F91FB5"/>
    <w:rsid w:val="00F9212E"/>
    <w:rsid w:val="00F92178"/>
    <w:rsid w:val="00F9271E"/>
    <w:rsid w:val="00F9284C"/>
    <w:rsid w:val="00F92B15"/>
    <w:rsid w:val="00F9322C"/>
    <w:rsid w:val="00F935BB"/>
    <w:rsid w:val="00F9375D"/>
    <w:rsid w:val="00F93A2B"/>
    <w:rsid w:val="00F93A68"/>
    <w:rsid w:val="00F93BF3"/>
    <w:rsid w:val="00F93C08"/>
    <w:rsid w:val="00F93EC0"/>
    <w:rsid w:val="00F942C6"/>
    <w:rsid w:val="00F9445F"/>
    <w:rsid w:val="00F94485"/>
    <w:rsid w:val="00F94515"/>
    <w:rsid w:val="00F9454B"/>
    <w:rsid w:val="00F94706"/>
    <w:rsid w:val="00F94A73"/>
    <w:rsid w:val="00F94B89"/>
    <w:rsid w:val="00F94BA6"/>
    <w:rsid w:val="00F94BD0"/>
    <w:rsid w:val="00F94CBD"/>
    <w:rsid w:val="00F94D75"/>
    <w:rsid w:val="00F94EC8"/>
    <w:rsid w:val="00F94F17"/>
    <w:rsid w:val="00F9547D"/>
    <w:rsid w:val="00F9554D"/>
    <w:rsid w:val="00F957B3"/>
    <w:rsid w:val="00F95881"/>
    <w:rsid w:val="00F958A7"/>
    <w:rsid w:val="00F959A6"/>
    <w:rsid w:val="00F959B0"/>
    <w:rsid w:val="00F95F0A"/>
    <w:rsid w:val="00F964EF"/>
    <w:rsid w:val="00F969ED"/>
    <w:rsid w:val="00F96A59"/>
    <w:rsid w:val="00F96D1D"/>
    <w:rsid w:val="00F96E21"/>
    <w:rsid w:val="00F9714B"/>
    <w:rsid w:val="00F9717B"/>
    <w:rsid w:val="00F9760E"/>
    <w:rsid w:val="00F977B7"/>
    <w:rsid w:val="00F9786F"/>
    <w:rsid w:val="00F97E2F"/>
    <w:rsid w:val="00F97E60"/>
    <w:rsid w:val="00F97EE3"/>
    <w:rsid w:val="00FA0329"/>
    <w:rsid w:val="00FA0372"/>
    <w:rsid w:val="00FA0A37"/>
    <w:rsid w:val="00FA0A82"/>
    <w:rsid w:val="00FA0B0E"/>
    <w:rsid w:val="00FA1A77"/>
    <w:rsid w:val="00FA1B3F"/>
    <w:rsid w:val="00FA1E3D"/>
    <w:rsid w:val="00FA201A"/>
    <w:rsid w:val="00FA2B2B"/>
    <w:rsid w:val="00FA32C0"/>
    <w:rsid w:val="00FA3425"/>
    <w:rsid w:val="00FA3674"/>
    <w:rsid w:val="00FA3738"/>
    <w:rsid w:val="00FA39F2"/>
    <w:rsid w:val="00FA41B6"/>
    <w:rsid w:val="00FA4F26"/>
    <w:rsid w:val="00FA4F73"/>
    <w:rsid w:val="00FA53FF"/>
    <w:rsid w:val="00FA5476"/>
    <w:rsid w:val="00FA54FC"/>
    <w:rsid w:val="00FA5504"/>
    <w:rsid w:val="00FA5637"/>
    <w:rsid w:val="00FA58F5"/>
    <w:rsid w:val="00FA5C84"/>
    <w:rsid w:val="00FA610B"/>
    <w:rsid w:val="00FA6B1D"/>
    <w:rsid w:val="00FA6B7E"/>
    <w:rsid w:val="00FA6D0D"/>
    <w:rsid w:val="00FA7098"/>
    <w:rsid w:val="00FA7560"/>
    <w:rsid w:val="00FA75FE"/>
    <w:rsid w:val="00FA7819"/>
    <w:rsid w:val="00FA7A24"/>
    <w:rsid w:val="00FA7B53"/>
    <w:rsid w:val="00FA7DB9"/>
    <w:rsid w:val="00FB0043"/>
    <w:rsid w:val="00FB02B3"/>
    <w:rsid w:val="00FB040E"/>
    <w:rsid w:val="00FB0C67"/>
    <w:rsid w:val="00FB1372"/>
    <w:rsid w:val="00FB16A5"/>
    <w:rsid w:val="00FB16C0"/>
    <w:rsid w:val="00FB1D66"/>
    <w:rsid w:val="00FB1E8B"/>
    <w:rsid w:val="00FB30BA"/>
    <w:rsid w:val="00FB3164"/>
    <w:rsid w:val="00FB3347"/>
    <w:rsid w:val="00FB3A85"/>
    <w:rsid w:val="00FB3B2F"/>
    <w:rsid w:val="00FB43D7"/>
    <w:rsid w:val="00FB467C"/>
    <w:rsid w:val="00FB495B"/>
    <w:rsid w:val="00FB4D96"/>
    <w:rsid w:val="00FB4F6B"/>
    <w:rsid w:val="00FB5550"/>
    <w:rsid w:val="00FB56C6"/>
    <w:rsid w:val="00FB57DB"/>
    <w:rsid w:val="00FB57FA"/>
    <w:rsid w:val="00FB5976"/>
    <w:rsid w:val="00FB59F2"/>
    <w:rsid w:val="00FB5B34"/>
    <w:rsid w:val="00FB5C57"/>
    <w:rsid w:val="00FB5DE1"/>
    <w:rsid w:val="00FB609D"/>
    <w:rsid w:val="00FB60FC"/>
    <w:rsid w:val="00FB6502"/>
    <w:rsid w:val="00FB6669"/>
    <w:rsid w:val="00FB6879"/>
    <w:rsid w:val="00FB6CA0"/>
    <w:rsid w:val="00FB6F56"/>
    <w:rsid w:val="00FB725C"/>
    <w:rsid w:val="00FB76BC"/>
    <w:rsid w:val="00FB771D"/>
    <w:rsid w:val="00FB77E7"/>
    <w:rsid w:val="00FB7864"/>
    <w:rsid w:val="00FB789E"/>
    <w:rsid w:val="00FB78AE"/>
    <w:rsid w:val="00FB7C27"/>
    <w:rsid w:val="00FB7E95"/>
    <w:rsid w:val="00FB7FC4"/>
    <w:rsid w:val="00FC04B3"/>
    <w:rsid w:val="00FC05CC"/>
    <w:rsid w:val="00FC06E3"/>
    <w:rsid w:val="00FC0955"/>
    <w:rsid w:val="00FC0A3E"/>
    <w:rsid w:val="00FC0BC1"/>
    <w:rsid w:val="00FC0C53"/>
    <w:rsid w:val="00FC0D58"/>
    <w:rsid w:val="00FC0E23"/>
    <w:rsid w:val="00FC125E"/>
    <w:rsid w:val="00FC1E8F"/>
    <w:rsid w:val="00FC20D1"/>
    <w:rsid w:val="00FC2106"/>
    <w:rsid w:val="00FC22A1"/>
    <w:rsid w:val="00FC22AB"/>
    <w:rsid w:val="00FC272E"/>
    <w:rsid w:val="00FC294A"/>
    <w:rsid w:val="00FC29BC"/>
    <w:rsid w:val="00FC30F3"/>
    <w:rsid w:val="00FC313A"/>
    <w:rsid w:val="00FC3180"/>
    <w:rsid w:val="00FC329C"/>
    <w:rsid w:val="00FC36CF"/>
    <w:rsid w:val="00FC3799"/>
    <w:rsid w:val="00FC37AA"/>
    <w:rsid w:val="00FC399B"/>
    <w:rsid w:val="00FC3A15"/>
    <w:rsid w:val="00FC3ADA"/>
    <w:rsid w:val="00FC3DAB"/>
    <w:rsid w:val="00FC3E81"/>
    <w:rsid w:val="00FC4592"/>
    <w:rsid w:val="00FC46BD"/>
    <w:rsid w:val="00FC48D7"/>
    <w:rsid w:val="00FC4932"/>
    <w:rsid w:val="00FC4C0E"/>
    <w:rsid w:val="00FC4D8E"/>
    <w:rsid w:val="00FC4DBD"/>
    <w:rsid w:val="00FC5127"/>
    <w:rsid w:val="00FC5195"/>
    <w:rsid w:val="00FC591C"/>
    <w:rsid w:val="00FC594B"/>
    <w:rsid w:val="00FC5A2A"/>
    <w:rsid w:val="00FC6180"/>
    <w:rsid w:val="00FC6286"/>
    <w:rsid w:val="00FC6323"/>
    <w:rsid w:val="00FC64B6"/>
    <w:rsid w:val="00FC65B5"/>
    <w:rsid w:val="00FC6A06"/>
    <w:rsid w:val="00FC6AED"/>
    <w:rsid w:val="00FC79DF"/>
    <w:rsid w:val="00FC7DDB"/>
    <w:rsid w:val="00FC7EF4"/>
    <w:rsid w:val="00FC7F21"/>
    <w:rsid w:val="00FD0082"/>
    <w:rsid w:val="00FD039E"/>
    <w:rsid w:val="00FD0547"/>
    <w:rsid w:val="00FD0556"/>
    <w:rsid w:val="00FD0672"/>
    <w:rsid w:val="00FD079D"/>
    <w:rsid w:val="00FD07C6"/>
    <w:rsid w:val="00FD08ED"/>
    <w:rsid w:val="00FD0BC1"/>
    <w:rsid w:val="00FD0CAA"/>
    <w:rsid w:val="00FD0CD8"/>
    <w:rsid w:val="00FD0CF3"/>
    <w:rsid w:val="00FD0DA5"/>
    <w:rsid w:val="00FD0DD1"/>
    <w:rsid w:val="00FD0E8E"/>
    <w:rsid w:val="00FD0EE2"/>
    <w:rsid w:val="00FD1088"/>
    <w:rsid w:val="00FD10C1"/>
    <w:rsid w:val="00FD1296"/>
    <w:rsid w:val="00FD17D1"/>
    <w:rsid w:val="00FD1930"/>
    <w:rsid w:val="00FD1A52"/>
    <w:rsid w:val="00FD1D6F"/>
    <w:rsid w:val="00FD1ED1"/>
    <w:rsid w:val="00FD2018"/>
    <w:rsid w:val="00FD2114"/>
    <w:rsid w:val="00FD2394"/>
    <w:rsid w:val="00FD2606"/>
    <w:rsid w:val="00FD2617"/>
    <w:rsid w:val="00FD2821"/>
    <w:rsid w:val="00FD28C4"/>
    <w:rsid w:val="00FD28ED"/>
    <w:rsid w:val="00FD2992"/>
    <w:rsid w:val="00FD2AD4"/>
    <w:rsid w:val="00FD2E62"/>
    <w:rsid w:val="00FD351A"/>
    <w:rsid w:val="00FD37DD"/>
    <w:rsid w:val="00FD3B6F"/>
    <w:rsid w:val="00FD4211"/>
    <w:rsid w:val="00FD44DE"/>
    <w:rsid w:val="00FD4B80"/>
    <w:rsid w:val="00FD4F71"/>
    <w:rsid w:val="00FD5033"/>
    <w:rsid w:val="00FD549F"/>
    <w:rsid w:val="00FD5726"/>
    <w:rsid w:val="00FD5F12"/>
    <w:rsid w:val="00FD5FAA"/>
    <w:rsid w:val="00FD6286"/>
    <w:rsid w:val="00FD635A"/>
    <w:rsid w:val="00FD6499"/>
    <w:rsid w:val="00FD6806"/>
    <w:rsid w:val="00FD6988"/>
    <w:rsid w:val="00FD6E00"/>
    <w:rsid w:val="00FD706D"/>
    <w:rsid w:val="00FD7199"/>
    <w:rsid w:val="00FD7224"/>
    <w:rsid w:val="00FD73BD"/>
    <w:rsid w:val="00FD7449"/>
    <w:rsid w:val="00FD7841"/>
    <w:rsid w:val="00FD787D"/>
    <w:rsid w:val="00FD794C"/>
    <w:rsid w:val="00FD79C0"/>
    <w:rsid w:val="00FD7C79"/>
    <w:rsid w:val="00FE0005"/>
    <w:rsid w:val="00FE0209"/>
    <w:rsid w:val="00FE0E29"/>
    <w:rsid w:val="00FE104B"/>
    <w:rsid w:val="00FE10D1"/>
    <w:rsid w:val="00FE1710"/>
    <w:rsid w:val="00FE191F"/>
    <w:rsid w:val="00FE1985"/>
    <w:rsid w:val="00FE1A51"/>
    <w:rsid w:val="00FE1B08"/>
    <w:rsid w:val="00FE1F26"/>
    <w:rsid w:val="00FE2042"/>
    <w:rsid w:val="00FE20BA"/>
    <w:rsid w:val="00FE2431"/>
    <w:rsid w:val="00FE2634"/>
    <w:rsid w:val="00FE2A24"/>
    <w:rsid w:val="00FE2B66"/>
    <w:rsid w:val="00FE2BAE"/>
    <w:rsid w:val="00FE2F21"/>
    <w:rsid w:val="00FE2F3C"/>
    <w:rsid w:val="00FE3000"/>
    <w:rsid w:val="00FE315E"/>
    <w:rsid w:val="00FE3357"/>
    <w:rsid w:val="00FE3359"/>
    <w:rsid w:val="00FE359A"/>
    <w:rsid w:val="00FE3695"/>
    <w:rsid w:val="00FE36EE"/>
    <w:rsid w:val="00FE3826"/>
    <w:rsid w:val="00FE3BEE"/>
    <w:rsid w:val="00FE4048"/>
    <w:rsid w:val="00FE4291"/>
    <w:rsid w:val="00FE440A"/>
    <w:rsid w:val="00FE47AC"/>
    <w:rsid w:val="00FE48CA"/>
    <w:rsid w:val="00FE4C58"/>
    <w:rsid w:val="00FE4D71"/>
    <w:rsid w:val="00FE4DF3"/>
    <w:rsid w:val="00FE5090"/>
    <w:rsid w:val="00FE50EF"/>
    <w:rsid w:val="00FE5399"/>
    <w:rsid w:val="00FE54F1"/>
    <w:rsid w:val="00FE55A0"/>
    <w:rsid w:val="00FE55AD"/>
    <w:rsid w:val="00FE57DA"/>
    <w:rsid w:val="00FE57FD"/>
    <w:rsid w:val="00FE5925"/>
    <w:rsid w:val="00FE5B12"/>
    <w:rsid w:val="00FE5D4A"/>
    <w:rsid w:val="00FE5F20"/>
    <w:rsid w:val="00FE5F8F"/>
    <w:rsid w:val="00FE63D8"/>
    <w:rsid w:val="00FE645B"/>
    <w:rsid w:val="00FE6746"/>
    <w:rsid w:val="00FE6B21"/>
    <w:rsid w:val="00FE6D0E"/>
    <w:rsid w:val="00FE7DF1"/>
    <w:rsid w:val="00FE7EE9"/>
    <w:rsid w:val="00FE7FDC"/>
    <w:rsid w:val="00FF035D"/>
    <w:rsid w:val="00FF0B31"/>
    <w:rsid w:val="00FF0F9C"/>
    <w:rsid w:val="00FF1219"/>
    <w:rsid w:val="00FF1540"/>
    <w:rsid w:val="00FF16FC"/>
    <w:rsid w:val="00FF1CA9"/>
    <w:rsid w:val="00FF2293"/>
    <w:rsid w:val="00FF22A8"/>
    <w:rsid w:val="00FF2486"/>
    <w:rsid w:val="00FF24FA"/>
    <w:rsid w:val="00FF2550"/>
    <w:rsid w:val="00FF26F0"/>
    <w:rsid w:val="00FF27C5"/>
    <w:rsid w:val="00FF27D4"/>
    <w:rsid w:val="00FF27DF"/>
    <w:rsid w:val="00FF2846"/>
    <w:rsid w:val="00FF2A3F"/>
    <w:rsid w:val="00FF2AC2"/>
    <w:rsid w:val="00FF2D71"/>
    <w:rsid w:val="00FF3164"/>
    <w:rsid w:val="00FF321A"/>
    <w:rsid w:val="00FF351A"/>
    <w:rsid w:val="00FF3592"/>
    <w:rsid w:val="00FF3614"/>
    <w:rsid w:val="00FF3E2C"/>
    <w:rsid w:val="00FF3FEA"/>
    <w:rsid w:val="00FF449C"/>
    <w:rsid w:val="00FF49A9"/>
    <w:rsid w:val="00FF4AC4"/>
    <w:rsid w:val="00FF4FE9"/>
    <w:rsid w:val="00FF5176"/>
    <w:rsid w:val="00FF521E"/>
    <w:rsid w:val="00FF5299"/>
    <w:rsid w:val="00FF52B8"/>
    <w:rsid w:val="00FF540A"/>
    <w:rsid w:val="00FF54B9"/>
    <w:rsid w:val="00FF610D"/>
    <w:rsid w:val="00FF61F2"/>
    <w:rsid w:val="00FF6944"/>
    <w:rsid w:val="00FF69F4"/>
    <w:rsid w:val="00FF6AA8"/>
    <w:rsid w:val="00FF6F8B"/>
    <w:rsid w:val="00FF7177"/>
    <w:rsid w:val="00FF71CC"/>
    <w:rsid w:val="00FF71FD"/>
    <w:rsid w:val="00FF77BB"/>
    <w:rsid w:val="00FF7824"/>
    <w:rsid w:val="00FF7B79"/>
    <w:rsid w:val="0105447D"/>
    <w:rsid w:val="0106895F"/>
    <w:rsid w:val="010F76B7"/>
    <w:rsid w:val="01126824"/>
    <w:rsid w:val="0114737C"/>
    <w:rsid w:val="011DC53F"/>
    <w:rsid w:val="011F64ED"/>
    <w:rsid w:val="01284812"/>
    <w:rsid w:val="012A0B1F"/>
    <w:rsid w:val="0139FC42"/>
    <w:rsid w:val="0145AA90"/>
    <w:rsid w:val="0147AE93"/>
    <w:rsid w:val="014A6074"/>
    <w:rsid w:val="014C830D"/>
    <w:rsid w:val="014E27E9"/>
    <w:rsid w:val="0150E52C"/>
    <w:rsid w:val="01546E2D"/>
    <w:rsid w:val="01551A4A"/>
    <w:rsid w:val="01626B49"/>
    <w:rsid w:val="01649808"/>
    <w:rsid w:val="016CB8DB"/>
    <w:rsid w:val="016D4810"/>
    <w:rsid w:val="01716569"/>
    <w:rsid w:val="0178A252"/>
    <w:rsid w:val="0194C982"/>
    <w:rsid w:val="019B2BC9"/>
    <w:rsid w:val="01A3E4EC"/>
    <w:rsid w:val="01A7ACC0"/>
    <w:rsid w:val="01A98302"/>
    <w:rsid w:val="01AB8B84"/>
    <w:rsid w:val="01B01AF7"/>
    <w:rsid w:val="01C2C4A6"/>
    <w:rsid w:val="01C67A06"/>
    <w:rsid w:val="01C773D4"/>
    <w:rsid w:val="01CF6A81"/>
    <w:rsid w:val="01D5362B"/>
    <w:rsid w:val="01D629CF"/>
    <w:rsid w:val="01DA7631"/>
    <w:rsid w:val="01DA9E36"/>
    <w:rsid w:val="01E0DE45"/>
    <w:rsid w:val="01EA9514"/>
    <w:rsid w:val="01EAE690"/>
    <w:rsid w:val="01EB579A"/>
    <w:rsid w:val="02017801"/>
    <w:rsid w:val="0201FB36"/>
    <w:rsid w:val="02072826"/>
    <w:rsid w:val="020B1337"/>
    <w:rsid w:val="020DF5BC"/>
    <w:rsid w:val="02219DA7"/>
    <w:rsid w:val="0229C476"/>
    <w:rsid w:val="022EC185"/>
    <w:rsid w:val="0234D0E3"/>
    <w:rsid w:val="0238EAEF"/>
    <w:rsid w:val="02397D66"/>
    <w:rsid w:val="023B821B"/>
    <w:rsid w:val="023EE79E"/>
    <w:rsid w:val="023FCFCC"/>
    <w:rsid w:val="024B21CD"/>
    <w:rsid w:val="024D2418"/>
    <w:rsid w:val="0251E52D"/>
    <w:rsid w:val="02658698"/>
    <w:rsid w:val="026ADAC5"/>
    <w:rsid w:val="0270E3DD"/>
    <w:rsid w:val="0276F146"/>
    <w:rsid w:val="027F5AFD"/>
    <w:rsid w:val="027FA9B8"/>
    <w:rsid w:val="028A87C4"/>
    <w:rsid w:val="029A2C75"/>
    <w:rsid w:val="029E359C"/>
    <w:rsid w:val="029FC4A3"/>
    <w:rsid w:val="02A52968"/>
    <w:rsid w:val="02A5E174"/>
    <w:rsid w:val="02B975BD"/>
    <w:rsid w:val="02BDB5C4"/>
    <w:rsid w:val="02C608BE"/>
    <w:rsid w:val="02CBF3F3"/>
    <w:rsid w:val="02D28C7B"/>
    <w:rsid w:val="02DA19A2"/>
    <w:rsid w:val="02DA6A1D"/>
    <w:rsid w:val="02E3DB9F"/>
    <w:rsid w:val="02E90BCD"/>
    <w:rsid w:val="02E9D757"/>
    <w:rsid w:val="02ED779D"/>
    <w:rsid w:val="02F181D4"/>
    <w:rsid w:val="02F1838C"/>
    <w:rsid w:val="02FD8FAC"/>
    <w:rsid w:val="02FE0458"/>
    <w:rsid w:val="03003F56"/>
    <w:rsid w:val="03103965"/>
    <w:rsid w:val="03131E39"/>
    <w:rsid w:val="0319B667"/>
    <w:rsid w:val="031B0BA6"/>
    <w:rsid w:val="031FC9DA"/>
    <w:rsid w:val="031FE7FC"/>
    <w:rsid w:val="0320FEFF"/>
    <w:rsid w:val="03229518"/>
    <w:rsid w:val="032A48A3"/>
    <w:rsid w:val="032CCF2A"/>
    <w:rsid w:val="032FAC8A"/>
    <w:rsid w:val="03331549"/>
    <w:rsid w:val="03340210"/>
    <w:rsid w:val="03398C9F"/>
    <w:rsid w:val="033C513F"/>
    <w:rsid w:val="03481F7E"/>
    <w:rsid w:val="034D1CD9"/>
    <w:rsid w:val="03566D43"/>
    <w:rsid w:val="036E99D0"/>
    <w:rsid w:val="0378CCEC"/>
    <w:rsid w:val="037BBFC8"/>
    <w:rsid w:val="037F6E59"/>
    <w:rsid w:val="038AC208"/>
    <w:rsid w:val="038DAC0C"/>
    <w:rsid w:val="0391931F"/>
    <w:rsid w:val="03963A41"/>
    <w:rsid w:val="039834CE"/>
    <w:rsid w:val="03A09163"/>
    <w:rsid w:val="03A1F224"/>
    <w:rsid w:val="03A200D6"/>
    <w:rsid w:val="03A2BB94"/>
    <w:rsid w:val="03AB4A60"/>
    <w:rsid w:val="03AF9C51"/>
    <w:rsid w:val="03B088A8"/>
    <w:rsid w:val="03B38ED8"/>
    <w:rsid w:val="03B42ED4"/>
    <w:rsid w:val="03BD5E90"/>
    <w:rsid w:val="03C5A1F3"/>
    <w:rsid w:val="03C9CC58"/>
    <w:rsid w:val="03D2BA2A"/>
    <w:rsid w:val="03D53446"/>
    <w:rsid w:val="03D5FBEC"/>
    <w:rsid w:val="03DC5BCE"/>
    <w:rsid w:val="03E99C86"/>
    <w:rsid w:val="03ED713B"/>
    <w:rsid w:val="03ED84C0"/>
    <w:rsid w:val="03F026E4"/>
    <w:rsid w:val="03F089D8"/>
    <w:rsid w:val="03F503C9"/>
    <w:rsid w:val="03FC93A2"/>
    <w:rsid w:val="0410A567"/>
    <w:rsid w:val="041F5BFF"/>
    <w:rsid w:val="0422C8A1"/>
    <w:rsid w:val="042A27CF"/>
    <w:rsid w:val="04334E80"/>
    <w:rsid w:val="0433C3F0"/>
    <w:rsid w:val="043A374E"/>
    <w:rsid w:val="043EAA66"/>
    <w:rsid w:val="0442AC00"/>
    <w:rsid w:val="044EA043"/>
    <w:rsid w:val="044EB11E"/>
    <w:rsid w:val="04612A35"/>
    <w:rsid w:val="046CE5A9"/>
    <w:rsid w:val="046EDCFE"/>
    <w:rsid w:val="047E7496"/>
    <w:rsid w:val="0486DF60"/>
    <w:rsid w:val="04887AA4"/>
    <w:rsid w:val="0488C892"/>
    <w:rsid w:val="0490DA21"/>
    <w:rsid w:val="04954DD2"/>
    <w:rsid w:val="049E3E5E"/>
    <w:rsid w:val="04B3AA8D"/>
    <w:rsid w:val="04B5992E"/>
    <w:rsid w:val="04BD07AA"/>
    <w:rsid w:val="04C214C4"/>
    <w:rsid w:val="04C86007"/>
    <w:rsid w:val="04CEE844"/>
    <w:rsid w:val="04D661B8"/>
    <w:rsid w:val="04DA8A5A"/>
    <w:rsid w:val="04EA96BE"/>
    <w:rsid w:val="04F7C94D"/>
    <w:rsid w:val="04F85F05"/>
    <w:rsid w:val="04FA3F2C"/>
    <w:rsid w:val="04FD5B28"/>
    <w:rsid w:val="04FECF40"/>
    <w:rsid w:val="05044F2B"/>
    <w:rsid w:val="050A6647"/>
    <w:rsid w:val="05190E91"/>
    <w:rsid w:val="05207F3B"/>
    <w:rsid w:val="052229D6"/>
    <w:rsid w:val="052D5A3F"/>
    <w:rsid w:val="053779E4"/>
    <w:rsid w:val="0537CC91"/>
    <w:rsid w:val="05383DA3"/>
    <w:rsid w:val="0539B430"/>
    <w:rsid w:val="053E00BC"/>
    <w:rsid w:val="0543FBF6"/>
    <w:rsid w:val="05472B27"/>
    <w:rsid w:val="054DEEA8"/>
    <w:rsid w:val="05529A84"/>
    <w:rsid w:val="055438B7"/>
    <w:rsid w:val="055A2719"/>
    <w:rsid w:val="055EB6BE"/>
    <w:rsid w:val="055FC29E"/>
    <w:rsid w:val="055FE747"/>
    <w:rsid w:val="0561B02B"/>
    <w:rsid w:val="05641E4F"/>
    <w:rsid w:val="0566CC30"/>
    <w:rsid w:val="0567E7C6"/>
    <w:rsid w:val="056AFA13"/>
    <w:rsid w:val="056DDC0B"/>
    <w:rsid w:val="056E2B74"/>
    <w:rsid w:val="056EC63E"/>
    <w:rsid w:val="0570E908"/>
    <w:rsid w:val="057C21E7"/>
    <w:rsid w:val="057DDC0D"/>
    <w:rsid w:val="057DE48A"/>
    <w:rsid w:val="0593395C"/>
    <w:rsid w:val="0594CF54"/>
    <w:rsid w:val="0595A630"/>
    <w:rsid w:val="059A9F3A"/>
    <w:rsid w:val="059F7CF3"/>
    <w:rsid w:val="05A0E2E1"/>
    <w:rsid w:val="05B62590"/>
    <w:rsid w:val="05BE31BD"/>
    <w:rsid w:val="05D74EA7"/>
    <w:rsid w:val="05E8F8B4"/>
    <w:rsid w:val="05FABFF9"/>
    <w:rsid w:val="05FB68E5"/>
    <w:rsid w:val="060069FD"/>
    <w:rsid w:val="06045EC8"/>
    <w:rsid w:val="06086250"/>
    <w:rsid w:val="060A8212"/>
    <w:rsid w:val="060AA834"/>
    <w:rsid w:val="060AAF8D"/>
    <w:rsid w:val="0614D213"/>
    <w:rsid w:val="061729C3"/>
    <w:rsid w:val="061765EA"/>
    <w:rsid w:val="0623D600"/>
    <w:rsid w:val="062D44E1"/>
    <w:rsid w:val="0639087B"/>
    <w:rsid w:val="063FA4BE"/>
    <w:rsid w:val="064B9E49"/>
    <w:rsid w:val="06565C6C"/>
    <w:rsid w:val="065D0B96"/>
    <w:rsid w:val="06657E42"/>
    <w:rsid w:val="066EF653"/>
    <w:rsid w:val="067123F2"/>
    <w:rsid w:val="067ECD55"/>
    <w:rsid w:val="068905E9"/>
    <w:rsid w:val="06902B67"/>
    <w:rsid w:val="069C45CF"/>
    <w:rsid w:val="069EE90C"/>
    <w:rsid w:val="06A10BDB"/>
    <w:rsid w:val="06A5F010"/>
    <w:rsid w:val="06A6DEF0"/>
    <w:rsid w:val="06AD3AD0"/>
    <w:rsid w:val="06AF2B43"/>
    <w:rsid w:val="06B0A69D"/>
    <w:rsid w:val="06BC62B9"/>
    <w:rsid w:val="06C72E67"/>
    <w:rsid w:val="06DCFAD3"/>
    <w:rsid w:val="06DDCF3C"/>
    <w:rsid w:val="06DE13C8"/>
    <w:rsid w:val="06EAD755"/>
    <w:rsid w:val="06FBFBA0"/>
    <w:rsid w:val="06FD9ABB"/>
    <w:rsid w:val="07068C07"/>
    <w:rsid w:val="07075E0D"/>
    <w:rsid w:val="0709EA10"/>
    <w:rsid w:val="070AA80C"/>
    <w:rsid w:val="070D1CFC"/>
    <w:rsid w:val="070E9C27"/>
    <w:rsid w:val="070EEDCF"/>
    <w:rsid w:val="070F792F"/>
    <w:rsid w:val="07180AD2"/>
    <w:rsid w:val="071B93D0"/>
    <w:rsid w:val="071EA8C7"/>
    <w:rsid w:val="0726DF5C"/>
    <w:rsid w:val="07394B43"/>
    <w:rsid w:val="0739C7D0"/>
    <w:rsid w:val="073BB44B"/>
    <w:rsid w:val="074CFC4E"/>
    <w:rsid w:val="075A85E0"/>
    <w:rsid w:val="075D0699"/>
    <w:rsid w:val="075D4FD7"/>
    <w:rsid w:val="07668574"/>
    <w:rsid w:val="0766F2D8"/>
    <w:rsid w:val="076A5B07"/>
    <w:rsid w:val="076E50B2"/>
    <w:rsid w:val="0773F897"/>
    <w:rsid w:val="07781EB9"/>
    <w:rsid w:val="077CC781"/>
    <w:rsid w:val="0788B92D"/>
    <w:rsid w:val="078D4AD5"/>
    <w:rsid w:val="0794E46E"/>
    <w:rsid w:val="07992540"/>
    <w:rsid w:val="07A0551A"/>
    <w:rsid w:val="07A15019"/>
    <w:rsid w:val="07A3BEE3"/>
    <w:rsid w:val="07A43928"/>
    <w:rsid w:val="07A8D05A"/>
    <w:rsid w:val="07A986DE"/>
    <w:rsid w:val="07AE3D97"/>
    <w:rsid w:val="07B9C0D9"/>
    <w:rsid w:val="07BD31AF"/>
    <w:rsid w:val="07BF5FE4"/>
    <w:rsid w:val="07C3FA13"/>
    <w:rsid w:val="07CA57EA"/>
    <w:rsid w:val="07CF1E5B"/>
    <w:rsid w:val="07D6A46C"/>
    <w:rsid w:val="07D9C896"/>
    <w:rsid w:val="07DA4E7F"/>
    <w:rsid w:val="07E2D6B8"/>
    <w:rsid w:val="07E374E3"/>
    <w:rsid w:val="07E7AABB"/>
    <w:rsid w:val="07E9B9DB"/>
    <w:rsid w:val="07EBD4DD"/>
    <w:rsid w:val="08033DD5"/>
    <w:rsid w:val="080523D3"/>
    <w:rsid w:val="0807D5D7"/>
    <w:rsid w:val="080BB3C6"/>
    <w:rsid w:val="082099D1"/>
    <w:rsid w:val="08209F78"/>
    <w:rsid w:val="082DD61E"/>
    <w:rsid w:val="082EC6E4"/>
    <w:rsid w:val="083220EA"/>
    <w:rsid w:val="08390FB9"/>
    <w:rsid w:val="0839E982"/>
    <w:rsid w:val="083DAE4A"/>
    <w:rsid w:val="083E930E"/>
    <w:rsid w:val="083F4579"/>
    <w:rsid w:val="08433C14"/>
    <w:rsid w:val="0847E6E9"/>
    <w:rsid w:val="0850FBF9"/>
    <w:rsid w:val="08565A70"/>
    <w:rsid w:val="08651510"/>
    <w:rsid w:val="08713B98"/>
    <w:rsid w:val="08721FBA"/>
    <w:rsid w:val="08739654"/>
    <w:rsid w:val="0877B940"/>
    <w:rsid w:val="0887F2C0"/>
    <w:rsid w:val="088CC774"/>
    <w:rsid w:val="088FB2CB"/>
    <w:rsid w:val="08948253"/>
    <w:rsid w:val="0896FB22"/>
    <w:rsid w:val="089C3173"/>
    <w:rsid w:val="08A17D7C"/>
    <w:rsid w:val="08A36777"/>
    <w:rsid w:val="08A978C0"/>
    <w:rsid w:val="08B5C22B"/>
    <w:rsid w:val="08BEA39D"/>
    <w:rsid w:val="08BEEB2D"/>
    <w:rsid w:val="08D2B11B"/>
    <w:rsid w:val="08D2BA3D"/>
    <w:rsid w:val="08D9BC11"/>
    <w:rsid w:val="08F54E14"/>
    <w:rsid w:val="08F560FD"/>
    <w:rsid w:val="08FADC93"/>
    <w:rsid w:val="08FCD9A0"/>
    <w:rsid w:val="0903CE64"/>
    <w:rsid w:val="090B549D"/>
    <w:rsid w:val="090CB4E3"/>
    <w:rsid w:val="091D9589"/>
    <w:rsid w:val="091EBEC7"/>
    <w:rsid w:val="09283400"/>
    <w:rsid w:val="0929460F"/>
    <w:rsid w:val="092DC482"/>
    <w:rsid w:val="09312CCE"/>
    <w:rsid w:val="09374EE5"/>
    <w:rsid w:val="093A7E62"/>
    <w:rsid w:val="093DD5DC"/>
    <w:rsid w:val="094F6CA0"/>
    <w:rsid w:val="0950D5FD"/>
    <w:rsid w:val="0955F933"/>
    <w:rsid w:val="095F3EA5"/>
    <w:rsid w:val="0965D140"/>
    <w:rsid w:val="096B5A56"/>
    <w:rsid w:val="096D2A0E"/>
    <w:rsid w:val="097E6F65"/>
    <w:rsid w:val="0981C4B2"/>
    <w:rsid w:val="099F8A81"/>
    <w:rsid w:val="09A642F0"/>
    <w:rsid w:val="09A8AE6A"/>
    <w:rsid w:val="09B14BF4"/>
    <w:rsid w:val="09BEA73B"/>
    <w:rsid w:val="09C06D7A"/>
    <w:rsid w:val="09C0C6A4"/>
    <w:rsid w:val="09C1114D"/>
    <w:rsid w:val="09C62CE7"/>
    <w:rsid w:val="09C97C28"/>
    <w:rsid w:val="09D066D7"/>
    <w:rsid w:val="09D2230C"/>
    <w:rsid w:val="09E2DDD8"/>
    <w:rsid w:val="09E9B636"/>
    <w:rsid w:val="09EA3474"/>
    <w:rsid w:val="09EEEFAA"/>
    <w:rsid w:val="09FF7BE3"/>
    <w:rsid w:val="0A0821B5"/>
    <w:rsid w:val="0A0A9BC2"/>
    <w:rsid w:val="0A0C516C"/>
    <w:rsid w:val="0A0C6F66"/>
    <w:rsid w:val="0A120748"/>
    <w:rsid w:val="0A18DB38"/>
    <w:rsid w:val="0A1D8862"/>
    <w:rsid w:val="0A2A362D"/>
    <w:rsid w:val="0A2C6EB3"/>
    <w:rsid w:val="0A300470"/>
    <w:rsid w:val="0A32B757"/>
    <w:rsid w:val="0A4016CB"/>
    <w:rsid w:val="0A44BB3B"/>
    <w:rsid w:val="0A4D1542"/>
    <w:rsid w:val="0A5065A3"/>
    <w:rsid w:val="0A53763B"/>
    <w:rsid w:val="0A56BDCD"/>
    <w:rsid w:val="0A6604ED"/>
    <w:rsid w:val="0A69AAC7"/>
    <w:rsid w:val="0A6F9B7B"/>
    <w:rsid w:val="0A7334FD"/>
    <w:rsid w:val="0A7438BB"/>
    <w:rsid w:val="0A7BAC39"/>
    <w:rsid w:val="0A7DD754"/>
    <w:rsid w:val="0A7E2C80"/>
    <w:rsid w:val="0A7F88AA"/>
    <w:rsid w:val="0A88CD9E"/>
    <w:rsid w:val="0A89BA0E"/>
    <w:rsid w:val="0A8DACB2"/>
    <w:rsid w:val="0A8ED8C1"/>
    <w:rsid w:val="0A8FCE75"/>
    <w:rsid w:val="0A8FDE47"/>
    <w:rsid w:val="0A9EE200"/>
    <w:rsid w:val="0AA1EFE4"/>
    <w:rsid w:val="0AA339AD"/>
    <w:rsid w:val="0AA3E09D"/>
    <w:rsid w:val="0AA612EA"/>
    <w:rsid w:val="0AC1FEE8"/>
    <w:rsid w:val="0AC4F31E"/>
    <w:rsid w:val="0ACBCE5E"/>
    <w:rsid w:val="0AD2F2CF"/>
    <w:rsid w:val="0AD2F994"/>
    <w:rsid w:val="0AD3CB75"/>
    <w:rsid w:val="0AECCF88"/>
    <w:rsid w:val="0AEDF02B"/>
    <w:rsid w:val="0AF17CF2"/>
    <w:rsid w:val="0AF8E688"/>
    <w:rsid w:val="0B06DA62"/>
    <w:rsid w:val="0B0BFD97"/>
    <w:rsid w:val="0B1300A7"/>
    <w:rsid w:val="0B1B5F60"/>
    <w:rsid w:val="0B1BA22D"/>
    <w:rsid w:val="0B378DEC"/>
    <w:rsid w:val="0B37E658"/>
    <w:rsid w:val="0B3852F4"/>
    <w:rsid w:val="0B3A6DF9"/>
    <w:rsid w:val="0B43EB15"/>
    <w:rsid w:val="0B444ACE"/>
    <w:rsid w:val="0B45DB13"/>
    <w:rsid w:val="0B480DAD"/>
    <w:rsid w:val="0B497912"/>
    <w:rsid w:val="0B4A9F1A"/>
    <w:rsid w:val="0B519D02"/>
    <w:rsid w:val="0B55D3B4"/>
    <w:rsid w:val="0B61CEE8"/>
    <w:rsid w:val="0B6232A3"/>
    <w:rsid w:val="0B636212"/>
    <w:rsid w:val="0B63F8A7"/>
    <w:rsid w:val="0B6DB7FB"/>
    <w:rsid w:val="0B7002D8"/>
    <w:rsid w:val="0B741147"/>
    <w:rsid w:val="0B76579D"/>
    <w:rsid w:val="0B7F3713"/>
    <w:rsid w:val="0B9FFC6A"/>
    <w:rsid w:val="0BA080E9"/>
    <w:rsid w:val="0BA3CA0A"/>
    <w:rsid w:val="0BA51D6E"/>
    <w:rsid w:val="0BB22317"/>
    <w:rsid w:val="0BB53F42"/>
    <w:rsid w:val="0BC067FD"/>
    <w:rsid w:val="0BC3A5FE"/>
    <w:rsid w:val="0BCC60DF"/>
    <w:rsid w:val="0BD21906"/>
    <w:rsid w:val="0BDB1855"/>
    <w:rsid w:val="0BE12F50"/>
    <w:rsid w:val="0BE255D2"/>
    <w:rsid w:val="0BE40BED"/>
    <w:rsid w:val="0BE5FA4C"/>
    <w:rsid w:val="0BEED3CF"/>
    <w:rsid w:val="0BEFF3D6"/>
    <w:rsid w:val="0BF4F179"/>
    <w:rsid w:val="0BF698BE"/>
    <w:rsid w:val="0BFE3D67"/>
    <w:rsid w:val="0BFE85BE"/>
    <w:rsid w:val="0C004472"/>
    <w:rsid w:val="0C00A8DD"/>
    <w:rsid w:val="0C00E597"/>
    <w:rsid w:val="0C0646D0"/>
    <w:rsid w:val="0C12760B"/>
    <w:rsid w:val="0C146959"/>
    <w:rsid w:val="0C1A6576"/>
    <w:rsid w:val="0C1E2095"/>
    <w:rsid w:val="0C21F9E4"/>
    <w:rsid w:val="0C2F1FEE"/>
    <w:rsid w:val="0C31C713"/>
    <w:rsid w:val="0C360529"/>
    <w:rsid w:val="0C3B157F"/>
    <w:rsid w:val="0C3B5F48"/>
    <w:rsid w:val="0C3D057E"/>
    <w:rsid w:val="0C40DC3A"/>
    <w:rsid w:val="0C4328FC"/>
    <w:rsid w:val="0C471151"/>
    <w:rsid w:val="0C4A2463"/>
    <w:rsid w:val="0C53A7D5"/>
    <w:rsid w:val="0C562607"/>
    <w:rsid w:val="0C56FE59"/>
    <w:rsid w:val="0C593CD9"/>
    <w:rsid w:val="0C5F393C"/>
    <w:rsid w:val="0C611C61"/>
    <w:rsid w:val="0C6A8CD2"/>
    <w:rsid w:val="0C7CC22D"/>
    <w:rsid w:val="0C7D8985"/>
    <w:rsid w:val="0C7DE03C"/>
    <w:rsid w:val="0C96ACDD"/>
    <w:rsid w:val="0C97CCAC"/>
    <w:rsid w:val="0C9BF136"/>
    <w:rsid w:val="0C9CC7E7"/>
    <w:rsid w:val="0CA2CE22"/>
    <w:rsid w:val="0CA82E6B"/>
    <w:rsid w:val="0CAA4E30"/>
    <w:rsid w:val="0CAAE8F0"/>
    <w:rsid w:val="0CB06792"/>
    <w:rsid w:val="0CB1E4D2"/>
    <w:rsid w:val="0CB2C703"/>
    <w:rsid w:val="0CB39759"/>
    <w:rsid w:val="0CBF5433"/>
    <w:rsid w:val="0CC34F68"/>
    <w:rsid w:val="0CC5F935"/>
    <w:rsid w:val="0CC7221D"/>
    <w:rsid w:val="0CC8833D"/>
    <w:rsid w:val="0CCB6D86"/>
    <w:rsid w:val="0CCC6AAC"/>
    <w:rsid w:val="0CCE953B"/>
    <w:rsid w:val="0CD14917"/>
    <w:rsid w:val="0CD4AB3A"/>
    <w:rsid w:val="0CD4D3D8"/>
    <w:rsid w:val="0CDABC06"/>
    <w:rsid w:val="0CDD50EE"/>
    <w:rsid w:val="0CDE8E76"/>
    <w:rsid w:val="0CE75957"/>
    <w:rsid w:val="0CE80044"/>
    <w:rsid w:val="0CEB7379"/>
    <w:rsid w:val="0CECC7B4"/>
    <w:rsid w:val="0CEE8999"/>
    <w:rsid w:val="0CF9B9AF"/>
    <w:rsid w:val="0D07D0AF"/>
    <w:rsid w:val="0D07FADB"/>
    <w:rsid w:val="0D095A44"/>
    <w:rsid w:val="0D09B738"/>
    <w:rsid w:val="0D14830F"/>
    <w:rsid w:val="0D17B486"/>
    <w:rsid w:val="0D1C0400"/>
    <w:rsid w:val="0D276A78"/>
    <w:rsid w:val="0D2875D4"/>
    <w:rsid w:val="0D38DCD8"/>
    <w:rsid w:val="0D49EBBD"/>
    <w:rsid w:val="0D5801EC"/>
    <w:rsid w:val="0D59192E"/>
    <w:rsid w:val="0D5A64AB"/>
    <w:rsid w:val="0D5D288D"/>
    <w:rsid w:val="0D60C2AF"/>
    <w:rsid w:val="0D61640C"/>
    <w:rsid w:val="0D648B59"/>
    <w:rsid w:val="0D6F7E13"/>
    <w:rsid w:val="0D72049C"/>
    <w:rsid w:val="0D756E8A"/>
    <w:rsid w:val="0D79B322"/>
    <w:rsid w:val="0D7F3038"/>
    <w:rsid w:val="0D992424"/>
    <w:rsid w:val="0DA0E612"/>
    <w:rsid w:val="0DA0F180"/>
    <w:rsid w:val="0DA1C39C"/>
    <w:rsid w:val="0DA64B2E"/>
    <w:rsid w:val="0DA8335F"/>
    <w:rsid w:val="0DADB0A5"/>
    <w:rsid w:val="0DAE9602"/>
    <w:rsid w:val="0DBAA854"/>
    <w:rsid w:val="0DBDD575"/>
    <w:rsid w:val="0DBEB1ED"/>
    <w:rsid w:val="0DBEFFFA"/>
    <w:rsid w:val="0DC7F734"/>
    <w:rsid w:val="0DD17997"/>
    <w:rsid w:val="0DD353B3"/>
    <w:rsid w:val="0DD5E09F"/>
    <w:rsid w:val="0DD8C42C"/>
    <w:rsid w:val="0DDF0F4F"/>
    <w:rsid w:val="0DE5B3D5"/>
    <w:rsid w:val="0DE65D1C"/>
    <w:rsid w:val="0DE6A27B"/>
    <w:rsid w:val="0DE99129"/>
    <w:rsid w:val="0DF29A72"/>
    <w:rsid w:val="0DF90B37"/>
    <w:rsid w:val="0DFA0914"/>
    <w:rsid w:val="0E003CDF"/>
    <w:rsid w:val="0E01966F"/>
    <w:rsid w:val="0E0A8BF1"/>
    <w:rsid w:val="0E0E8EC4"/>
    <w:rsid w:val="0E0EDFA4"/>
    <w:rsid w:val="0E0EF097"/>
    <w:rsid w:val="0E0F9B98"/>
    <w:rsid w:val="0E16E709"/>
    <w:rsid w:val="0E1B6E02"/>
    <w:rsid w:val="0E24D7E7"/>
    <w:rsid w:val="0E2865CB"/>
    <w:rsid w:val="0E2B8780"/>
    <w:rsid w:val="0E2D4751"/>
    <w:rsid w:val="0E2E1BAA"/>
    <w:rsid w:val="0E36DEC9"/>
    <w:rsid w:val="0E371C84"/>
    <w:rsid w:val="0E37A947"/>
    <w:rsid w:val="0E451627"/>
    <w:rsid w:val="0E460418"/>
    <w:rsid w:val="0E479FB9"/>
    <w:rsid w:val="0E598C84"/>
    <w:rsid w:val="0E6110B5"/>
    <w:rsid w:val="0E63AD1C"/>
    <w:rsid w:val="0E675D80"/>
    <w:rsid w:val="0E6AF7BF"/>
    <w:rsid w:val="0E6D7993"/>
    <w:rsid w:val="0E7656CB"/>
    <w:rsid w:val="0E77AD73"/>
    <w:rsid w:val="0E800910"/>
    <w:rsid w:val="0E8A45AE"/>
    <w:rsid w:val="0E932746"/>
    <w:rsid w:val="0E9AEE65"/>
    <w:rsid w:val="0EA7B88A"/>
    <w:rsid w:val="0EA8656E"/>
    <w:rsid w:val="0EB56224"/>
    <w:rsid w:val="0EBA8EDC"/>
    <w:rsid w:val="0EBDEF2D"/>
    <w:rsid w:val="0EC5288B"/>
    <w:rsid w:val="0ED43826"/>
    <w:rsid w:val="0ED72614"/>
    <w:rsid w:val="0EDAD37F"/>
    <w:rsid w:val="0EDADFAC"/>
    <w:rsid w:val="0EDFFA0D"/>
    <w:rsid w:val="0EE9DD0F"/>
    <w:rsid w:val="0EFA2806"/>
    <w:rsid w:val="0EFB7EE2"/>
    <w:rsid w:val="0F0354E3"/>
    <w:rsid w:val="0F0BB154"/>
    <w:rsid w:val="0F0E514D"/>
    <w:rsid w:val="0F11A057"/>
    <w:rsid w:val="0F172CAC"/>
    <w:rsid w:val="0F1FF238"/>
    <w:rsid w:val="0F222F9F"/>
    <w:rsid w:val="0F2F5BB2"/>
    <w:rsid w:val="0F2F6C67"/>
    <w:rsid w:val="0F2FCA75"/>
    <w:rsid w:val="0F3224BC"/>
    <w:rsid w:val="0F33478D"/>
    <w:rsid w:val="0F436F82"/>
    <w:rsid w:val="0F4C32D0"/>
    <w:rsid w:val="0F5D79FF"/>
    <w:rsid w:val="0F5D9588"/>
    <w:rsid w:val="0F62E008"/>
    <w:rsid w:val="0F69D31D"/>
    <w:rsid w:val="0F6E93F8"/>
    <w:rsid w:val="0F6F7BB2"/>
    <w:rsid w:val="0F762D14"/>
    <w:rsid w:val="0F796827"/>
    <w:rsid w:val="0F8193A5"/>
    <w:rsid w:val="0F83A363"/>
    <w:rsid w:val="0F84E0C7"/>
    <w:rsid w:val="0F89336E"/>
    <w:rsid w:val="0F8A4472"/>
    <w:rsid w:val="0F9B8A18"/>
    <w:rsid w:val="0FA71A72"/>
    <w:rsid w:val="0FADD833"/>
    <w:rsid w:val="0FAE0652"/>
    <w:rsid w:val="0FB8F135"/>
    <w:rsid w:val="0FBC00BE"/>
    <w:rsid w:val="0FC06CF8"/>
    <w:rsid w:val="0FCE189D"/>
    <w:rsid w:val="0FD20A97"/>
    <w:rsid w:val="0FD32B4D"/>
    <w:rsid w:val="0FDD60A8"/>
    <w:rsid w:val="0FE0D786"/>
    <w:rsid w:val="0FE98011"/>
    <w:rsid w:val="0FF2E1B8"/>
    <w:rsid w:val="0FFA2ECF"/>
    <w:rsid w:val="0FFA905D"/>
    <w:rsid w:val="0FFEE323"/>
    <w:rsid w:val="10076638"/>
    <w:rsid w:val="10077AF1"/>
    <w:rsid w:val="10092565"/>
    <w:rsid w:val="100A4801"/>
    <w:rsid w:val="1012FA2A"/>
    <w:rsid w:val="101EAB4A"/>
    <w:rsid w:val="102FFEBD"/>
    <w:rsid w:val="1034E497"/>
    <w:rsid w:val="103A357D"/>
    <w:rsid w:val="104DFDF0"/>
    <w:rsid w:val="105167DA"/>
    <w:rsid w:val="10543A43"/>
    <w:rsid w:val="105B8019"/>
    <w:rsid w:val="106659DB"/>
    <w:rsid w:val="106C8692"/>
    <w:rsid w:val="107ADBA9"/>
    <w:rsid w:val="1089EE2E"/>
    <w:rsid w:val="108AA0B0"/>
    <w:rsid w:val="108C0343"/>
    <w:rsid w:val="1092A725"/>
    <w:rsid w:val="109C0A79"/>
    <w:rsid w:val="109C2FF8"/>
    <w:rsid w:val="10A1F3BF"/>
    <w:rsid w:val="10B05311"/>
    <w:rsid w:val="10BE95BF"/>
    <w:rsid w:val="10C8F52C"/>
    <w:rsid w:val="10DB3291"/>
    <w:rsid w:val="10DBB69F"/>
    <w:rsid w:val="10EBF340"/>
    <w:rsid w:val="10F7D7A6"/>
    <w:rsid w:val="10F9A758"/>
    <w:rsid w:val="1102F606"/>
    <w:rsid w:val="1115C4AC"/>
    <w:rsid w:val="11191354"/>
    <w:rsid w:val="11372427"/>
    <w:rsid w:val="113E6A54"/>
    <w:rsid w:val="113FF5CA"/>
    <w:rsid w:val="113FFFB7"/>
    <w:rsid w:val="1144330B"/>
    <w:rsid w:val="11483C94"/>
    <w:rsid w:val="1157E622"/>
    <w:rsid w:val="11584511"/>
    <w:rsid w:val="115F802D"/>
    <w:rsid w:val="11623988"/>
    <w:rsid w:val="1164EA28"/>
    <w:rsid w:val="1168C809"/>
    <w:rsid w:val="1168F724"/>
    <w:rsid w:val="116DC945"/>
    <w:rsid w:val="1170ED85"/>
    <w:rsid w:val="1172410A"/>
    <w:rsid w:val="1175664C"/>
    <w:rsid w:val="1179F7B1"/>
    <w:rsid w:val="117CD628"/>
    <w:rsid w:val="117E3EB5"/>
    <w:rsid w:val="118941E7"/>
    <w:rsid w:val="118F2322"/>
    <w:rsid w:val="11A07590"/>
    <w:rsid w:val="11A16C6A"/>
    <w:rsid w:val="11AC216D"/>
    <w:rsid w:val="11AF47AF"/>
    <w:rsid w:val="11AFAF89"/>
    <w:rsid w:val="11B2AC7A"/>
    <w:rsid w:val="11B41148"/>
    <w:rsid w:val="11B69AEA"/>
    <w:rsid w:val="11C031AA"/>
    <w:rsid w:val="11C1299E"/>
    <w:rsid w:val="11C251DB"/>
    <w:rsid w:val="11C2DA6B"/>
    <w:rsid w:val="11C2E662"/>
    <w:rsid w:val="11CC4CD7"/>
    <w:rsid w:val="11DA290B"/>
    <w:rsid w:val="11E23B5E"/>
    <w:rsid w:val="11E60470"/>
    <w:rsid w:val="11E75497"/>
    <w:rsid w:val="11EF0949"/>
    <w:rsid w:val="11F1494A"/>
    <w:rsid w:val="11F41313"/>
    <w:rsid w:val="11FB09C4"/>
    <w:rsid w:val="120BDCB0"/>
    <w:rsid w:val="12156D8D"/>
    <w:rsid w:val="122A64BB"/>
    <w:rsid w:val="122AC933"/>
    <w:rsid w:val="122CAD48"/>
    <w:rsid w:val="123230AF"/>
    <w:rsid w:val="12369EC9"/>
    <w:rsid w:val="1247DD52"/>
    <w:rsid w:val="124E63B5"/>
    <w:rsid w:val="124EA883"/>
    <w:rsid w:val="12518F94"/>
    <w:rsid w:val="125DFB9E"/>
    <w:rsid w:val="126828C1"/>
    <w:rsid w:val="1279A101"/>
    <w:rsid w:val="128428AC"/>
    <w:rsid w:val="128BE02B"/>
    <w:rsid w:val="129684A4"/>
    <w:rsid w:val="12B437E7"/>
    <w:rsid w:val="12B7B555"/>
    <w:rsid w:val="12B84EB8"/>
    <w:rsid w:val="12C343E6"/>
    <w:rsid w:val="12C41E3D"/>
    <w:rsid w:val="12C6CF28"/>
    <w:rsid w:val="12C9F305"/>
    <w:rsid w:val="12D58381"/>
    <w:rsid w:val="12D628D5"/>
    <w:rsid w:val="12D95115"/>
    <w:rsid w:val="12E6C3F0"/>
    <w:rsid w:val="12F16F37"/>
    <w:rsid w:val="12F9053F"/>
    <w:rsid w:val="12FA8DAC"/>
    <w:rsid w:val="12FAD912"/>
    <w:rsid w:val="1301C247"/>
    <w:rsid w:val="1302C2BE"/>
    <w:rsid w:val="1303345E"/>
    <w:rsid w:val="1305F17B"/>
    <w:rsid w:val="1307B06D"/>
    <w:rsid w:val="130822BD"/>
    <w:rsid w:val="130B60E5"/>
    <w:rsid w:val="130F3B6A"/>
    <w:rsid w:val="131358D3"/>
    <w:rsid w:val="1314817C"/>
    <w:rsid w:val="1314BE94"/>
    <w:rsid w:val="13173629"/>
    <w:rsid w:val="1317E425"/>
    <w:rsid w:val="13186CF1"/>
    <w:rsid w:val="131D38D0"/>
    <w:rsid w:val="13223414"/>
    <w:rsid w:val="13267023"/>
    <w:rsid w:val="132D59E3"/>
    <w:rsid w:val="13358BB5"/>
    <w:rsid w:val="13427F23"/>
    <w:rsid w:val="13541CC9"/>
    <w:rsid w:val="135428BD"/>
    <w:rsid w:val="13583EC3"/>
    <w:rsid w:val="1358868F"/>
    <w:rsid w:val="1359449D"/>
    <w:rsid w:val="135A4A21"/>
    <w:rsid w:val="135CE7FC"/>
    <w:rsid w:val="1360009B"/>
    <w:rsid w:val="1361988F"/>
    <w:rsid w:val="1363F351"/>
    <w:rsid w:val="13697FAE"/>
    <w:rsid w:val="1371A247"/>
    <w:rsid w:val="1372032D"/>
    <w:rsid w:val="137B49CC"/>
    <w:rsid w:val="13866A8D"/>
    <w:rsid w:val="138EE4A8"/>
    <w:rsid w:val="1394E85E"/>
    <w:rsid w:val="139E0C6C"/>
    <w:rsid w:val="139E70C4"/>
    <w:rsid w:val="139F287A"/>
    <w:rsid w:val="13A22EE0"/>
    <w:rsid w:val="13A587B9"/>
    <w:rsid w:val="13AA7346"/>
    <w:rsid w:val="13B12BAA"/>
    <w:rsid w:val="13B3B42A"/>
    <w:rsid w:val="13C2FEDD"/>
    <w:rsid w:val="13C9447A"/>
    <w:rsid w:val="13D05CC3"/>
    <w:rsid w:val="13D326C3"/>
    <w:rsid w:val="13DAF149"/>
    <w:rsid w:val="13DE8DF7"/>
    <w:rsid w:val="13E7848B"/>
    <w:rsid w:val="13F4875D"/>
    <w:rsid w:val="13FE6E5B"/>
    <w:rsid w:val="1401DDAA"/>
    <w:rsid w:val="1405741A"/>
    <w:rsid w:val="140ECCE3"/>
    <w:rsid w:val="1411F589"/>
    <w:rsid w:val="141A21F5"/>
    <w:rsid w:val="141F2C78"/>
    <w:rsid w:val="142A7D41"/>
    <w:rsid w:val="1441D0A7"/>
    <w:rsid w:val="14479173"/>
    <w:rsid w:val="144C69D2"/>
    <w:rsid w:val="14581341"/>
    <w:rsid w:val="145A81DF"/>
    <w:rsid w:val="14608EBE"/>
    <w:rsid w:val="1462CB94"/>
    <w:rsid w:val="1478BCB8"/>
    <w:rsid w:val="147D46B7"/>
    <w:rsid w:val="147FE439"/>
    <w:rsid w:val="14808A10"/>
    <w:rsid w:val="14864341"/>
    <w:rsid w:val="14866803"/>
    <w:rsid w:val="1486DA5B"/>
    <w:rsid w:val="148AA042"/>
    <w:rsid w:val="148E4C62"/>
    <w:rsid w:val="149A23D1"/>
    <w:rsid w:val="14A1C459"/>
    <w:rsid w:val="14A32E86"/>
    <w:rsid w:val="14A5BF1B"/>
    <w:rsid w:val="14A6BAC0"/>
    <w:rsid w:val="14A6F932"/>
    <w:rsid w:val="14ACAD47"/>
    <w:rsid w:val="14BB3F78"/>
    <w:rsid w:val="14BC6834"/>
    <w:rsid w:val="14C62200"/>
    <w:rsid w:val="14C9EAB4"/>
    <w:rsid w:val="14CCC265"/>
    <w:rsid w:val="14D30E93"/>
    <w:rsid w:val="14D3B552"/>
    <w:rsid w:val="14D58017"/>
    <w:rsid w:val="14EA4654"/>
    <w:rsid w:val="14ED72BB"/>
    <w:rsid w:val="14EEBDF6"/>
    <w:rsid w:val="14F49B7A"/>
    <w:rsid w:val="14FD4945"/>
    <w:rsid w:val="14FFA422"/>
    <w:rsid w:val="150009F0"/>
    <w:rsid w:val="15044172"/>
    <w:rsid w:val="15045361"/>
    <w:rsid w:val="150AE0FE"/>
    <w:rsid w:val="151333B6"/>
    <w:rsid w:val="15163C80"/>
    <w:rsid w:val="151980E5"/>
    <w:rsid w:val="151A70C5"/>
    <w:rsid w:val="151BCFE4"/>
    <w:rsid w:val="151EE253"/>
    <w:rsid w:val="151FD8A2"/>
    <w:rsid w:val="1520147D"/>
    <w:rsid w:val="15248B78"/>
    <w:rsid w:val="1531E3B5"/>
    <w:rsid w:val="1534A052"/>
    <w:rsid w:val="153B9D98"/>
    <w:rsid w:val="153BAF90"/>
    <w:rsid w:val="153ED49F"/>
    <w:rsid w:val="153F3EAF"/>
    <w:rsid w:val="154C1B9B"/>
    <w:rsid w:val="154C9550"/>
    <w:rsid w:val="154F25B7"/>
    <w:rsid w:val="15524FE5"/>
    <w:rsid w:val="155B9A3A"/>
    <w:rsid w:val="155BEA1C"/>
    <w:rsid w:val="1574ADDF"/>
    <w:rsid w:val="15771164"/>
    <w:rsid w:val="157E7DA2"/>
    <w:rsid w:val="1585E4B9"/>
    <w:rsid w:val="158B691C"/>
    <w:rsid w:val="158DD73C"/>
    <w:rsid w:val="158F31E3"/>
    <w:rsid w:val="159E945F"/>
    <w:rsid w:val="159FFE34"/>
    <w:rsid w:val="15A4A66B"/>
    <w:rsid w:val="15AEB7F1"/>
    <w:rsid w:val="15B423F6"/>
    <w:rsid w:val="15BD463B"/>
    <w:rsid w:val="15C2C2C0"/>
    <w:rsid w:val="15C6D14F"/>
    <w:rsid w:val="15C9F80B"/>
    <w:rsid w:val="15CF2AF5"/>
    <w:rsid w:val="15D14BF7"/>
    <w:rsid w:val="15D25A93"/>
    <w:rsid w:val="15D95AA3"/>
    <w:rsid w:val="15DB38BE"/>
    <w:rsid w:val="15E5A9A6"/>
    <w:rsid w:val="15E9BB2E"/>
    <w:rsid w:val="15F2D254"/>
    <w:rsid w:val="15F4A48C"/>
    <w:rsid w:val="15F67668"/>
    <w:rsid w:val="15F8BCF7"/>
    <w:rsid w:val="15FF4C33"/>
    <w:rsid w:val="160D647A"/>
    <w:rsid w:val="160D79E2"/>
    <w:rsid w:val="16164715"/>
    <w:rsid w:val="16197FE1"/>
    <w:rsid w:val="162379C2"/>
    <w:rsid w:val="16290FBD"/>
    <w:rsid w:val="16350CCC"/>
    <w:rsid w:val="163C9760"/>
    <w:rsid w:val="16457A1C"/>
    <w:rsid w:val="1648C4A6"/>
    <w:rsid w:val="164D64C8"/>
    <w:rsid w:val="164FB6DE"/>
    <w:rsid w:val="16528703"/>
    <w:rsid w:val="165C0D03"/>
    <w:rsid w:val="165CBB09"/>
    <w:rsid w:val="165CEA99"/>
    <w:rsid w:val="1665A894"/>
    <w:rsid w:val="16674A1A"/>
    <w:rsid w:val="166B4C11"/>
    <w:rsid w:val="1671B54A"/>
    <w:rsid w:val="1671DADD"/>
    <w:rsid w:val="16774812"/>
    <w:rsid w:val="167E66FD"/>
    <w:rsid w:val="1683B8EA"/>
    <w:rsid w:val="16861743"/>
    <w:rsid w:val="168882C5"/>
    <w:rsid w:val="168CCF16"/>
    <w:rsid w:val="16979A4E"/>
    <w:rsid w:val="169BE1B2"/>
    <w:rsid w:val="169CBED6"/>
    <w:rsid w:val="16A3BCE8"/>
    <w:rsid w:val="16AABB5D"/>
    <w:rsid w:val="16ABE1E3"/>
    <w:rsid w:val="16AC92F1"/>
    <w:rsid w:val="16AF0391"/>
    <w:rsid w:val="16AFB0B8"/>
    <w:rsid w:val="16B0FE7A"/>
    <w:rsid w:val="16B768DA"/>
    <w:rsid w:val="16C55BB1"/>
    <w:rsid w:val="16C5F061"/>
    <w:rsid w:val="16CF55CE"/>
    <w:rsid w:val="16D8DBB3"/>
    <w:rsid w:val="16DFCC71"/>
    <w:rsid w:val="16E834AA"/>
    <w:rsid w:val="16F003AE"/>
    <w:rsid w:val="16F47143"/>
    <w:rsid w:val="16F567CF"/>
    <w:rsid w:val="17032BED"/>
    <w:rsid w:val="17075122"/>
    <w:rsid w:val="170AF205"/>
    <w:rsid w:val="171248AB"/>
    <w:rsid w:val="171C65C2"/>
    <w:rsid w:val="17284719"/>
    <w:rsid w:val="1728E90A"/>
    <w:rsid w:val="172D3447"/>
    <w:rsid w:val="173698E6"/>
    <w:rsid w:val="173880CF"/>
    <w:rsid w:val="1759B93F"/>
    <w:rsid w:val="175D0BB9"/>
    <w:rsid w:val="1762A14D"/>
    <w:rsid w:val="17679470"/>
    <w:rsid w:val="1769C98C"/>
    <w:rsid w:val="1773F782"/>
    <w:rsid w:val="177D19AC"/>
    <w:rsid w:val="17837D38"/>
    <w:rsid w:val="178D7CB8"/>
    <w:rsid w:val="17900724"/>
    <w:rsid w:val="179137C0"/>
    <w:rsid w:val="17A06350"/>
    <w:rsid w:val="17A13AC5"/>
    <w:rsid w:val="17A683D8"/>
    <w:rsid w:val="17B0622C"/>
    <w:rsid w:val="17C1369C"/>
    <w:rsid w:val="17C1A203"/>
    <w:rsid w:val="17C29C2F"/>
    <w:rsid w:val="17C32AC7"/>
    <w:rsid w:val="17D95036"/>
    <w:rsid w:val="17EE4D44"/>
    <w:rsid w:val="17EFDB5F"/>
    <w:rsid w:val="17F06BAA"/>
    <w:rsid w:val="17F26B48"/>
    <w:rsid w:val="17F4DEEF"/>
    <w:rsid w:val="18002371"/>
    <w:rsid w:val="18079A4C"/>
    <w:rsid w:val="181CF4BC"/>
    <w:rsid w:val="1821542E"/>
    <w:rsid w:val="1825A715"/>
    <w:rsid w:val="1828DD77"/>
    <w:rsid w:val="182BEF71"/>
    <w:rsid w:val="182EB83B"/>
    <w:rsid w:val="183551BA"/>
    <w:rsid w:val="18376FBE"/>
    <w:rsid w:val="183EEB26"/>
    <w:rsid w:val="1840AD65"/>
    <w:rsid w:val="184DD3FB"/>
    <w:rsid w:val="18568DA6"/>
    <w:rsid w:val="18580E30"/>
    <w:rsid w:val="185A0102"/>
    <w:rsid w:val="185EC790"/>
    <w:rsid w:val="1869039C"/>
    <w:rsid w:val="186A6F67"/>
    <w:rsid w:val="18776467"/>
    <w:rsid w:val="187A5782"/>
    <w:rsid w:val="1887347A"/>
    <w:rsid w:val="18930E7D"/>
    <w:rsid w:val="18981CAA"/>
    <w:rsid w:val="189AEC40"/>
    <w:rsid w:val="189FBFC9"/>
    <w:rsid w:val="18A02AE4"/>
    <w:rsid w:val="18A6EAC6"/>
    <w:rsid w:val="18A7173C"/>
    <w:rsid w:val="18A9FDFD"/>
    <w:rsid w:val="18AB9CD8"/>
    <w:rsid w:val="18AD8428"/>
    <w:rsid w:val="18AF4DF2"/>
    <w:rsid w:val="18BC074A"/>
    <w:rsid w:val="18C4EC21"/>
    <w:rsid w:val="18C65AE7"/>
    <w:rsid w:val="18C7AFC9"/>
    <w:rsid w:val="18C9AC93"/>
    <w:rsid w:val="18CDC288"/>
    <w:rsid w:val="18D8034B"/>
    <w:rsid w:val="18DA14B1"/>
    <w:rsid w:val="18DB8545"/>
    <w:rsid w:val="18DEB32F"/>
    <w:rsid w:val="18EB58E5"/>
    <w:rsid w:val="18FE7AE6"/>
    <w:rsid w:val="19071344"/>
    <w:rsid w:val="19114501"/>
    <w:rsid w:val="191A7524"/>
    <w:rsid w:val="19241726"/>
    <w:rsid w:val="1928D18F"/>
    <w:rsid w:val="192ABD13"/>
    <w:rsid w:val="192B647B"/>
    <w:rsid w:val="1935B910"/>
    <w:rsid w:val="193F1689"/>
    <w:rsid w:val="19444A62"/>
    <w:rsid w:val="19557017"/>
    <w:rsid w:val="1956A9F5"/>
    <w:rsid w:val="19576E1E"/>
    <w:rsid w:val="1958E261"/>
    <w:rsid w:val="195A2EE7"/>
    <w:rsid w:val="195BC691"/>
    <w:rsid w:val="195D5F2C"/>
    <w:rsid w:val="196715CB"/>
    <w:rsid w:val="196C99E0"/>
    <w:rsid w:val="1975FEFB"/>
    <w:rsid w:val="1977315A"/>
    <w:rsid w:val="197AD734"/>
    <w:rsid w:val="19904532"/>
    <w:rsid w:val="1990CBB4"/>
    <w:rsid w:val="199D4D5C"/>
    <w:rsid w:val="199FD6DE"/>
    <w:rsid w:val="19AEA2E3"/>
    <w:rsid w:val="19AF34DB"/>
    <w:rsid w:val="19AFFB32"/>
    <w:rsid w:val="19B0757A"/>
    <w:rsid w:val="19C302B5"/>
    <w:rsid w:val="19C89AE0"/>
    <w:rsid w:val="19CB6695"/>
    <w:rsid w:val="19CD9088"/>
    <w:rsid w:val="19EBD0F3"/>
    <w:rsid w:val="19EF9ABC"/>
    <w:rsid w:val="19F11661"/>
    <w:rsid w:val="19F56EEF"/>
    <w:rsid w:val="19F885FA"/>
    <w:rsid w:val="19FA2E9D"/>
    <w:rsid w:val="1A00284E"/>
    <w:rsid w:val="1A17FBA5"/>
    <w:rsid w:val="1A1D1A4B"/>
    <w:rsid w:val="1A23EC88"/>
    <w:rsid w:val="1A28ACEC"/>
    <w:rsid w:val="1A29F9B3"/>
    <w:rsid w:val="1A33C932"/>
    <w:rsid w:val="1A3606E1"/>
    <w:rsid w:val="1A3934EF"/>
    <w:rsid w:val="1A51D661"/>
    <w:rsid w:val="1A5C2014"/>
    <w:rsid w:val="1A624659"/>
    <w:rsid w:val="1A636099"/>
    <w:rsid w:val="1A6906C2"/>
    <w:rsid w:val="1A6BE55C"/>
    <w:rsid w:val="1A6C7E8E"/>
    <w:rsid w:val="1A6E810A"/>
    <w:rsid w:val="1A707FFE"/>
    <w:rsid w:val="1A7135B9"/>
    <w:rsid w:val="1A768614"/>
    <w:rsid w:val="1A78015B"/>
    <w:rsid w:val="1A807497"/>
    <w:rsid w:val="1A842F19"/>
    <w:rsid w:val="1A9791A1"/>
    <w:rsid w:val="1AAC0F22"/>
    <w:rsid w:val="1AB06294"/>
    <w:rsid w:val="1ABE3B4D"/>
    <w:rsid w:val="1AC150B3"/>
    <w:rsid w:val="1AC2F1B2"/>
    <w:rsid w:val="1AC33240"/>
    <w:rsid w:val="1ACE725F"/>
    <w:rsid w:val="1AD678EC"/>
    <w:rsid w:val="1ADB25AE"/>
    <w:rsid w:val="1AE2CA97"/>
    <w:rsid w:val="1AE3B77D"/>
    <w:rsid w:val="1AF451AB"/>
    <w:rsid w:val="1AFDB737"/>
    <w:rsid w:val="1AFDFBAA"/>
    <w:rsid w:val="1B113BFD"/>
    <w:rsid w:val="1B1A61EB"/>
    <w:rsid w:val="1B1EB592"/>
    <w:rsid w:val="1B210CCD"/>
    <w:rsid w:val="1B2252BB"/>
    <w:rsid w:val="1B24E242"/>
    <w:rsid w:val="1B28AC55"/>
    <w:rsid w:val="1B2ABA5B"/>
    <w:rsid w:val="1B318483"/>
    <w:rsid w:val="1B381EE1"/>
    <w:rsid w:val="1B38D3BC"/>
    <w:rsid w:val="1B3C6E01"/>
    <w:rsid w:val="1B3CC134"/>
    <w:rsid w:val="1B435B30"/>
    <w:rsid w:val="1B4405BA"/>
    <w:rsid w:val="1B4BBA40"/>
    <w:rsid w:val="1B50AA5C"/>
    <w:rsid w:val="1B580BC3"/>
    <w:rsid w:val="1B591C3D"/>
    <w:rsid w:val="1B65B198"/>
    <w:rsid w:val="1B70B13F"/>
    <w:rsid w:val="1B7706A8"/>
    <w:rsid w:val="1B770876"/>
    <w:rsid w:val="1B7B02DA"/>
    <w:rsid w:val="1B7D8123"/>
    <w:rsid w:val="1B852678"/>
    <w:rsid w:val="1B8F9877"/>
    <w:rsid w:val="1B93DBC7"/>
    <w:rsid w:val="1BA29EAD"/>
    <w:rsid w:val="1BAB50C0"/>
    <w:rsid w:val="1BABFCB0"/>
    <w:rsid w:val="1BAD0A0C"/>
    <w:rsid w:val="1BB2D904"/>
    <w:rsid w:val="1BB558B2"/>
    <w:rsid w:val="1BBCBEB3"/>
    <w:rsid w:val="1BC31668"/>
    <w:rsid w:val="1BC80BEB"/>
    <w:rsid w:val="1BD5AC4B"/>
    <w:rsid w:val="1BD91915"/>
    <w:rsid w:val="1BF864F5"/>
    <w:rsid w:val="1BFA762A"/>
    <w:rsid w:val="1BFFEF2E"/>
    <w:rsid w:val="1C0325E7"/>
    <w:rsid w:val="1C04B127"/>
    <w:rsid w:val="1C07CEB3"/>
    <w:rsid w:val="1C0E3361"/>
    <w:rsid w:val="1C16CED4"/>
    <w:rsid w:val="1C1A6093"/>
    <w:rsid w:val="1C2AE12B"/>
    <w:rsid w:val="1C2E2D1B"/>
    <w:rsid w:val="1C3229F1"/>
    <w:rsid w:val="1C332EBD"/>
    <w:rsid w:val="1C387934"/>
    <w:rsid w:val="1C3AEF1D"/>
    <w:rsid w:val="1C4391F0"/>
    <w:rsid w:val="1C4CA9B1"/>
    <w:rsid w:val="1C4D3C83"/>
    <w:rsid w:val="1C51813E"/>
    <w:rsid w:val="1C5FC48B"/>
    <w:rsid w:val="1C664B31"/>
    <w:rsid w:val="1C721EFC"/>
    <w:rsid w:val="1C7AE1BF"/>
    <w:rsid w:val="1C7BC96C"/>
    <w:rsid w:val="1C7F12F8"/>
    <w:rsid w:val="1C93290C"/>
    <w:rsid w:val="1CA5B6C3"/>
    <w:rsid w:val="1CB4227C"/>
    <w:rsid w:val="1CBB575A"/>
    <w:rsid w:val="1CBE612A"/>
    <w:rsid w:val="1CBF140E"/>
    <w:rsid w:val="1CC38F59"/>
    <w:rsid w:val="1CCAC6BC"/>
    <w:rsid w:val="1CD8D515"/>
    <w:rsid w:val="1CDA8BB7"/>
    <w:rsid w:val="1CDB028F"/>
    <w:rsid w:val="1CE0FF7A"/>
    <w:rsid w:val="1CE2289F"/>
    <w:rsid w:val="1CE53FBF"/>
    <w:rsid w:val="1CE783CB"/>
    <w:rsid w:val="1CEA981D"/>
    <w:rsid w:val="1CFF478E"/>
    <w:rsid w:val="1D0480AC"/>
    <w:rsid w:val="1D09C142"/>
    <w:rsid w:val="1D0C02B5"/>
    <w:rsid w:val="1D0DCABD"/>
    <w:rsid w:val="1D130E80"/>
    <w:rsid w:val="1D234AED"/>
    <w:rsid w:val="1D26777E"/>
    <w:rsid w:val="1D320F68"/>
    <w:rsid w:val="1D349A08"/>
    <w:rsid w:val="1D35F648"/>
    <w:rsid w:val="1D37B1E5"/>
    <w:rsid w:val="1D40971E"/>
    <w:rsid w:val="1D44AEFF"/>
    <w:rsid w:val="1D49ADD9"/>
    <w:rsid w:val="1D510312"/>
    <w:rsid w:val="1D603B5C"/>
    <w:rsid w:val="1D63DA5E"/>
    <w:rsid w:val="1D67A1F5"/>
    <w:rsid w:val="1D73A45F"/>
    <w:rsid w:val="1D7AE9E8"/>
    <w:rsid w:val="1D7EEE45"/>
    <w:rsid w:val="1D852427"/>
    <w:rsid w:val="1D872321"/>
    <w:rsid w:val="1D8F6232"/>
    <w:rsid w:val="1D8FBD7A"/>
    <w:rsid w:val="1D9AA342"/>
    <w:rsid w:val="1DA0C503"/>
    <w:rsid w:val="1DA22AC8"/>
    <w:rsid w:val="1DA7C21B"/>
    <w:rsid w:val="1DAAFBDF"/>
    <w:rsid w:val="1DAC1F41"/>
    <w:rsid w:val="1DB1B74B"/>
    <w:rsid w:val="1DB6DD64"/>
    <w:rsid w:val="1DB8CE77"/>
    <w:rsid w:val="1DC1B792"/>
    <w:rsid w:val="1DC1E702"/>
    <w:rsid w:val="1DCE5A60"/>
    <w:rsid w:val="1DD28132"/>
    <w:rsid w:val="1DD760B0"/>
    <w:rsid w:val="1DDDB4E6"/>
    <w:rsid w:val="1DE31D52"/>
    <w:rsid w:val="1DE7DC75"/>
    <w:rsid w:val="1DEED861"/>
    <w:rsid w:val="1DFB349D"/>
    <w:rsid w:val="1E00014B"/>
    <w:rsid w:val="1E09D6F1"/>
    <w:rsid w:val="1E110767"/>
    <w:rsid w:val="1E143F51"/>
    <w:rsid w:val="1E15934B"/>
    <w:rsid w:val="1E2805AD"/>
    <w:rsid w:val="1E2D2BCD"/>
    <w:rsid w:val="1E306B77"/>
    <w:rsid w:val="1E32BFBE"/>
    <w:rsid w:val="1E3863BE"/>
    <w:rsid w:val="1E3B11D1"/>
    <w:rsid w:val="1E3BCC13"/>
    <w:rsid w:val="1E3C8F54"/>
    <w:rsid w:val="1E408848"/>
    <w:rsid w:val="1E4284D3"/>
    <w:rsid w:val="1E499918"/>
    <w:rsid w:val="1E66093C"/>
    <w:rsid w:val="1E6BF0ED"/>
    <w:rsid w:val="1E7225AA"/>
    <w:rsid w:val="1E722D67"/>
    <w:rsid w:val="1E83FDD7"/>
    <w:rsid w:val="1E937274"/>
    <w:rsid w:val="1EA49168"/>
    <w:rsid w:val="1EA70736"/>
    <w:rsid w:val="1EA72D32"/>
    <w:rsid w:val="1EA92A85"/>
    <w:rsid w:val="1EB0C74F"/>
    <w:rsid w:val="1EB631A3"/>
    <w:rsid w:val="1EBA4BFF"/>
    <w:rsid w:val="1EC40536"/>
    <w:rsid w:val="1ECA3810"/>
    <w:rsid w:val="1ECCB0E3"/>
    <w:rsid w:val="1ED0AC38"/>
    <w:rsid w:val="1ED3CEB3"/>
    <w:rsid w:val="1ED86B4E"/>
    <w:rsid w:val="1EDCDD92"/>
    <w:rsid w:val="1EDD667E"/>
    <w:rsid w:val="1EDFA72A"/>
    <w:rsid w:val="1EECB304"/>
    <w:rsid w:val="1EEF4573"/>
    <w:rsid w:val="1EF76DA9"/>
    <w:rsid w:val="1EFEA623"/>
    <w:rsid w:val="1F00DAA0"/>
    <w:rsid w:val="1F00E22F"/>
    <w:rsid w:val="1F13A8BC"/>
    <w:rsid w:val="1F1A5D98"/>
    <w:rsid w:val="1F1F4C13"/>
    <w:rsid w:val="1F2D08AC"/>
    <w:rsid w:val="1F319969"/>
    <w:rsid w:val="1F370F39"/>
    <w:rsid w:val="1F3BA26B"/>
    <w:rsid w:val="1F3D1975"/>
    <w:rsid w:val="1F46BD8B"/>
    <w:rsid w:val="1F51EF8B"/>
    <w:rsid w:val="1F5FE0E6"/>
    <w:rsid w:val="1F654C33"/>
    <w:rsid w:val="1F6DBD8E"/>
    <w:rsid w:val="1F78771E"/>
    <w:rsid w:val="1F788CAA"/>
    <w:rsid w:val="1F7A6D14"/>
    <w:rsid w:val="1F8091B2"/>
    <w:rsid w:val="1F81826A"/>
    <w:rsid w:val="1F82DC75"/>
    <w:rsid w:val="1F834CF0"/>
    <w:rsid w:val="1F85A987"/>
    <w:rsid w:val="1F89FEB6"/>
    <w:rsid w:val="1F8B2376"/>
    <w:rsid w:val="1F8C9AD9"/>
    <w:rsid w:val="1F910FEA"/>
    <w:rsid w:val="1F97FA57"/>
    <w:rsid w:val="1F982EF3"/>
    <w:rsid w:val="1F9ADB71"/>
    <w:rsid w:val="1F9CE5DA"/>
    <w:rsid w:val="1FA7A924"/>
    <w:rsid w:val="1FB0030B"/>
    <w:rsid w:val="1FB03146"/>
    <w:rsid w:val="1FB40D13"/>
    <w:rsid w:val="1FB54BBD"/>
    <w:rsid w:val="1FC362B4"/>
    <w:rsid w:val="1FC3DB21"/>
    <w:rsid w:val="1FCCD06D"/>
    <w:rsid w:val="1FCF4EA6"/>
    <w:rsid w:val="1FD1A299"/>
    <w:rsid w:val="1FD42EC4"/>
    <w:rsid w:val="1FE00229"/>
    <w:rsid w:val="1FE02E18"/>
    <w:rsid w:val="1FE26BB7"/>
    <w:rsid w:val="1FE926B7"/>
    <w:rsid w:val="1FECE454"/>
    <w:rsid w:val="1FF4E060"/>
    <w:rsid w:val="1FF55559"/>
    <w:rsid w:val="1FFAA58D"/>
    <w:rsid w:val="1FFAAADB"/>
    <w:rsid w:val="20059C0D"/>
    <w:rsid w:val="200965F7"/>
    <w:rsid w:val="200C1AEB"/>
    <w:rsid w:val="200E3EEC"/>
    <w:rsid w:val="2016A6E8"/>
    <w:rsid w:val="201DDDDC"/>
    <w:rsid w:val="2029274F"/>
    <w:rsid w:val="2030FC50"/>
    <w:rsid w:val="20332B1F"/>
    <w:rsid w:val="20369FE3"/>
    <w:rsid w:val="203EB279"/>
    <w:rsid w:val="204A194D"/>
    <w:rsid w:val="204BB9BB"/>
    <w:rsid w:val="20504557"/>
    <w:rsid w:val="2052EC64"/>
    <w:rsid w:val="205612C8"/>
    <w:rsid w:val="205B1592"/>
    <w:rsid w:val="206023E5"/>
    <w:rsid w:val="206D43B9"/>
    <w:rsid w:val="2077AB3F"/>
    <w:rsid w:val="20791DBF"/>
    <w:rsid w:val="207C69BD"/>
    <w:rsid w:val="20877BC8"/>
    <w:rsid w:val="208B80E8"/>
    <w:rsid w:val="2095C9A6"/>
    <w:rsid w:val="20983B8C"/>
    <w:rsid w:val="209DCD29"/>
    <w:rsid w:val="20A405F9"/>
    <w:rsid w:val="20A44A67"/>
    <w:rsid w:val="20A73E7A"/>
    <w:rsid w:val="20AA7EAB"/>
    <w:rsid w:val="20B8B25A"/>
    <w:rsid w:val="20B927B4"/>
    <w:rsid w:val="20CDD41F"/>
    <w:rsid w:val="20CE7F1F"/>
    <w:rsid w:val="20D1287A"/>
    <w:rsid w:val="20D8EAD3"/>
    <w:rsid w:val="20DAEE93"/>
    <w:rsid w:val="20DC339F"/>
    <w:rsid w:val="20E26666"/>
    <w:rsid w:val="20EBD972"/>
    <w:rsid w:val="20F0179F"/>
    <w:rsid w:val="20F5E8A7"/>
    <w:rsid w:val="210214C6"/>
    <w:rsid w:val="2118CC3A"/>
    <w:rsid w:val="211BCDFC"/>
    <w:rsid w:val="2127CDC2"/>
    <w:rsid w:val="21289831"/>
    <w:rsid w:val="2134B053"/>
    <w:rsid w:val="2138BACC"/>
    <w:rsid w:val="214524A9"/>
    <w:rsid w:val="2156EBB4"/>
    <w:rsid w:val="21570CEC"/>
    <w:rsid w:val="2166F694"/>
    <w:rsid w:val="216D2C70"/>
    <w:rsid w:val="216DB181"/>
    <w:rsid w:val="2180AAD6"/>
    <w:rsid w:val="218BD933"/>
    <w:rsid w:val="21955E75"/>
    <w:rsid w:val="219980F8"/>
    <w:rsid w:val="21A99032"/>
    <w:rsid w:val="21B0C7B4"/>
    <w:rsid w:val="21C48188"/>
    <w:rsid w:val="21C6B048"/>
    <w:rsid w:val="21C7E452"/>
    <w:rsid w:val="21CD816F"/>
    <w:rsid w:val="21CEA28E"/>
    <w:rsid w:val="21D119E5"/>
    <w:rsid w:val="21D473E7"/>
    <w:rsid w:val="21D5E23E"/>
    <w:rsid w:val="21DAFB76"/>
    <w:rsid w:val="21DF91EE"/>
    <w:rsid w:val="21F599AE"/>
    <w:rsid w:val="21FD5E9A"/>
    <w:rsid w:val="21FFAAB8"/>
    <w:rsid w:val="22080A8B"/>
    <w:rsid w:val="220E51C3"/>
    <w:rsid w:val="2216DD15"/>
    <w:rsid w:val="22188976"/>
    <w:rsid w:val="221A12E9"/>
    <w:rsid w:val="221B8133"/>
    <w:rsid w:val="221CE116"/>
    <w:rsid w:val="2223E80A"/>
    <w:rsid w:val="22262313"/>
    <w:rsid w:val="22295B7F"/>
    <w:rsid w:val="22311005"/>
    <w:rsid w:val="223389EB"/>
    <w:rsid w:val="2234B275"/>
    <w:rsid w:val="22355D5D"/>
    <w:rsid w:val="224977D6"/>
    <w:rsid w:val="224A3F0C"/>
    <w:rsid w:val="224F077A"/>
    <w:rsid w:val="2252D753"/>
    <w:rsid w:val="225A1BA3"/>
    <w:rsid w:val="225AD83A"/>
    <w:rsid w:val="225C65C6"/>
    <w:rsid w:val="22645B3F"/>
    <w:rsid w:val="226B3CAE"/>
    <w:rsid w:val="2275026A"/>
    <w:rsid w:val="22774B44"/>
    <w:rsid w:val="22776517"/>
    <w:rsid w:val="227A3426"/>
    <w:rsid w:val="2286E409"/>
    <w:rsid w:val="229677A1"/>
    <w:rsid w:val="2298B6E8"/>
    <w:rsid w:val="2299DEC3"/>
    <w:rsid w:val="229CE082"/>
    <w:rsid w:val="229E7509"/>
    <w:rsid w:val="22A2828C"/>
    <w:rsid w:val="22A8A011"/>
    <w:rsid w:val="22B6A2C3"/>
    <w:rsid w:val="22B888FF"/>
    <w:rsid w:val="22B93BE1"/>
    <w:rsid w:val="22BC1A17"/>
    <w:rsid w:val="22C6182D"/>
    <w:rsid w:val="22E6CCBB"/>
    <w:rsid w:val="22E9C082"/>
    <w:rsid w:val="22ED43AF"/>
    <w:rsid w:val="22ED5C11"/>
    <w:rsid w:val="22F567DE"/>
    <w:rsid w:val="22FBB3AA"/>
    <w:rsid w:val="22FFC7CF"/>
    <w:rsid w:val="230398E5"/>
    <w:rsid w:val="23043B9B"/>
    <w:rsid w:val="230749B8"/>
    <w:rsid w:val="2314A43F"/>
    <w:rsid w:val="23181539"/>
    <w:rsid w:val="2320493A"/>
    <w:rsid w:val="232D7D79"/>
    <w:rsid w:val="2336749F"/>
    <w:rsid w:val="2336978A"/>
    <w:rsid w:val="23408762"/>
    <w:rsid w:val="234173F7"/>
    <w:rsid w:val="234BAF34"/>
    <w:rsid w:val="234D9127"/>
    <w:rsid w:val="234F55CA"/>
    <w:rsid w:val="2350D454"/>
    <w:rsid w:val="23534B98"/>
    <w:rsid w:val="23592985"/>
    <w:rsid w:val="235BDAB3"/>
    <w:rsid w:val="235E7B8B"/>
    <w:rsid w:val="235F4FE4"/>
    <w:rsid w:val="236B1E36"/>
    <w:rsid w:val="236CFD06"/>
    <w:rsid w:val="236F314D"/>
    <w:rsid w:val="236FD531"/>
    <w:rsid w:val="238071BE"/>
    <w:rsid w:val="238154B9"/>
    <w:rsid w:val="23827098"/>
    <w:rsid w:val="238AB1E3"/>
    <w:rsid w:val="2391C598"/>
    <w:rsid w:val="239675C2"/>
    <w:rsid w:val="23A8F336"/>
    <w:rsid w:val="23AA4CF0"/>
    <w:rsid w:val="23ADB260"/>
    <w:rsid w:val="23B8793C"/>
    <w:rsid w:val="23BC07DC"/>
    <w:rsid w:val="23BE40FB"/>
    <w:rsid w:val="23C347D8"/>
    <w:rsid w:val="23C5AC96"/>
    <w:rsid w:val="23CA7C3F"/>
    <w:rsid w:val="23CC2A31"/>
    <w:rsid w:val="23DA43D7"/>
    <w:rsid w:val="23DAFCC3"/>
    <w:rsid w:val="23DBF980"/>
    <w:rsid w:val="23DDD375"/>
    <w:rsid w:val="23DF191A"/>
    <w:rsid w:val="23F805BA"/>
    <w:rsid w:val="23FA6AB6"/>
    <w:rsid w:val="23FE5210"/>
    <w:rsid w:val="24042DD5"/>
    <w:rsid w:val="240875D5"/>
    <w:rsid w:val="240877AB"/>
    <w:rsid w:val="240F1A4B"/>
    <w:rsid w:val="24100BBF"/>
    <w:rsid w:val="24135014"/>
    <w:rsid w:val="241932A5"/>
    <w:rsid w:val="24338F1C"/>
    <w:rsid w:val="243F64A3"/>
    <w:rsid w:val="24410131"/>
    <w:rsid w:val="2446501C"/>
    <w:rsid w:val="245A12F4"/>
    <w:rsid w:val="245C7935"/>
    <w:rsid w:val="245F250B"/>
    <w:rsid w:val="247135C8"/>
    <w:rsid w:val="247371B9"/>
    <w:rsid w:val="2476B23E"/>
    <w:rsid w:val="247F1B12"/>
    <w:rsid w:val="247F7341"/>
    <w:rsid w:val="24815D1D"/>
    <w:rsid w:val="248EC1EC"/>
    <w:rsid w:val="2496DD7D"/>
    <w:rsid w:val="24986AFC"/>
    <w:rsid w:val="2498CF67"/>
    <w:rsid w:val="24A3E050"/>
    <w:rsid w:val="24A6647E"/>
    <w:rsid w:val="24A72408"/>
    <w:rsid w:val="24B9E606"/>
    <w:rsid w:val="24C0873E"/>
    <w:rsid w:val="24C35E16"/>
    <w:rsid w:val="24C7EEB4"/>
    <w:rsid w:val="24C8B93F"/>
    <w:rsid w:val="24C9268D"/>
    <w:rsid w:val="24D2D2CB"/>
    <w:rsid w:val="24D7EEB2"/>
    <w:rsid w:val="24DF8157"/>
    <w:rsid w:val="24E33A0D"/>
    <w:rsid w:val="24E44A00"/>
    <w:rsid w:val="24EAA94E"/>
    <w:rsid w:val="24F58DBE"/>
    <w:rsid w:val="24F7CDB4"/>
    <w:rsid w:val="24FEB191"/>
    <w:rsid w:val="2501C706"/>
    <w:rsid w:val="25026865"/>
    <w:rsid w:val="250687BC"/>
    <w:rsid w:val="250A2D67"/>
    <w:rsid w:val="250B0E1E"/>
    <w:rsid w:val="250F88DD"/>
    <w:rsid w:val="2511EB0B"/>
    <w:rsid w:val="25126298"/>
    <w:rsid w:val="25132C57"/>
    <w:rsid w:val="251A5FFC"/>
    <w:rsid w:val="251DA609"/>
    <w:rsid w:val="251F0093"/>
    <w:rsid w:val="25270127"/>
    <w:rsid w:val="2527332B"/>
    <w:rsid w:val="253340E5"/>
    <w:rsid w:val="2537A51A"/>
    <w:rsid w:val="253EE84B"/>
    <w:rsid w:val="2547A312"/>
    <w:rsid w:val="2547ED2B"/>
    <w:rsid w:val="255A5540"/>
    <w:rsid w:val="255C68FD"/>
    <w:rsid w:val="255F96CB"/>
    <w:rsid w:val="256A9852"/>
    <w:rsid w:val="25728B59"/>
    <w:rsid w:val="2582D45C"/>
    <w:rsid w:val="2585D223"/>
    <w:rsid w:val="25871873"/>
    <w:rsid w:val="259561BE"/>
    <w:rsid w:val="25A80C3A"/>
    <w:rsid w:val="25B0BFB5"/>
    <w:rsid w:val="25B67346"/>
    <w:rsid w:val="25BED42F"/>
    <w:rsid w:val="25C47651"/>
    <w:rsid w:val="25CBD64B"/>
    <w:rsid w:val="25D1553A"/>
    <w:rsid w:val="25D5D1EE"/>
    <w:rsid w:val="25DCD1F7"/>
    <w:rsid w:val="25E25E07"/>
    <w:rsid w:val="25F6A953"/>
    <w:rsid w:val="260EF976"/>
    <w:rsid w:val="2619BCDD"/>
    <w:rsid w:val="261A0ACF"/>
    <w:rsid w:val="261F2320"/>
    <w:rsid w:val="2621A6C0"/>
    <w:rsid w:val="2621F14A"/>
    <w:rsid w:val="2624D363"/>
    <w:rsid w:val="26262D24"/>
    <w:rsid w:val="262C0F8E"/>
    <w:rsid w:val="263436CA"/>
    <w:rsid w:val="2639358B"/>
    <w:rsid w:val="263AB659"/>
    <w:rsid w:val="263D8D64"/>
    <w:rsid w:val="264552AD"/>
    <w:rsid w:val="26563D0E"/>
    <w:rsid w:val="26581316"/>
    <w:rsid w:val="265B5536"/>
    <w:rsid w:val="2662DC59"/>
    <w:rsid w:val="266A6948"/>
    <w:rsid w:val="267E66C2"/>
    <w:rsid w:val="268F95F8"/>
    <w:rsid w:val="269144E6"/>
    <w:rsid w:val="26B1826F"/>
    <w:rsid w:val="26B1D9BC"/>
    <w:rsid w:val="26B3ADED"/>
    <w:rsid w:val="26B73516"/>
    <w:rsid w:val="26BC54F6"/>
    <w:rsid w:val="26BE99EB"/>
    <w:rsid w:val="26BFAA14"/>
    <w:rsid w:val="26C72EF5"/>
    <w:rsid w:val="26D3E73C"/>
    <w:rsid w:val="26DEB82E"/>
    <w:rsid w:val="26E44FD6"/>
    <w:rsid w:val="26F659E6"/>
    <w:rsid w:val="26FC4B54"/>
    <w:rsid w:val="27030E89"/>
    <w:rsid w:val="2704CD71"/>
    <w:rsid w:val="27077C9E"/>
    <w:rsid w:val="27211451"/>
    <w:rsid w:val="27329B4A"/>
    <w:rsid w:val="2732E43C"/>
    <w:rsid w:val="2734B991"/>
    <w:rsid w:val="2734FE4A"/>
    <w:rsid w:val="27355960"/>
    <w:rsid w:val="273AC5D6"/>
    <w:rsid w:val="273C74C2"/>
    <w:rsid w:val="2745999D"/>
    <w:rsid w:val="27466D43"/>
    <w:rsid w:val="27478559"/>
    <w:rsid w:val="27485A94"/>
    <w:rsid w:val="2749E41C"/>
    <w:rsid w:val="274D79C1"/>
    <w:rsid w:val="275C97BD"/>
    <w:rsid w:val="275EC50F"/>
    <w:rsid w:val="275FDCA8"/>
    <w:rsid w:val="277A28F5"/>
    <w:rsid w:val="277BCC04"/>
    <w:rsid w:val="277CE0A3"/>
    <w:rsid w:val="277CEAFE"/>
    <w:rsid w:val="278C6985"/>
    <w:rsid w:val="278DC72A"/>
    <w:rsid w:val="278F440E"/>
    <w:rsid w:val="2797F593"/>
    <w:rsid w:val="2799E593"/>
    <w:rsid w:val="279E547B"/>
    <w:rsid w:val="27A03190"/>
    <w:rsid w:val="27ADD88D"/>
    <w:rsid w:val="27B0D01C"/>
    <w:rsid w:val="27B3C8BE"/>
    <w:rsid w:val="27BEA8DA"/>
    <w:rsid w:val="27CCA661"/>
    <w:rsid w:val="27D564A1"/>
    <w:rsid w:val="27D59EAE"/>
    <w:rsid w:val="27D66E01"/>
    <w:rsid w:val="27E32243"/>
    <w:rsid w:val="27E37BC1"/>
    <w:rsid w:val="27E38C83"/>
    <w:rsid w:val="27E3E132"/>
    <w:rsid w:val="27E7A66D"/>
    <w:rsid w:val="27EDE17B"/>
    <w:rsid w:val="27F64B7D"/>
    <w:rsid w:val="2805EA58"/>
    <w:rsid w:val="28118C3C"/>
    <w:rsid w:val="2816373A"/>
    <w:rsid w:val="28223509"/>
    <w:rsid w:val="2825A119"/>
    <w:rsid w:val="2827E175"/>
    <w:rsid w:val="28450788"/>
    <w:rsid w:val="28584B64"/>
    <w:rsid w:val="28601B0D"/>
    <w:rsid w:val="28694E90"/>
    <w:rsid w:val="286E3F49"/>
    <w:rsid w:val="286F4333"/>
    <w:rsid w:val="286F7849"/>
    <w:rsid w:val="2870187C"/>
    <w:rsid w:val="28755430"/>
    <w:rsid w:val="288FA884"/>
    <w:rsid w:val="28915824"/>
    <w:rsid w:val="2892721A"/>
    <w:rsid w:val="2898D04D"/>
    <w:rsid w:val="289E72A8"/>
    <w:rsid w:val="28BEB95B"/>
    <w:rsid w:val="28BFF051"/>
    <w:rsid w:val="28C2CD87"/>
    <w:rsid w:val="28C748B0"/>
    <w:rsid w:val="28D8F0FF"/>
    <w:rsid w:val="28E215C0"/>
    <w:rsid w:val="28F4B7AC"/>
    <w:rsid w:val="28F515B9"/>
    <w:rsid w:val="29067C90"/>
    <w:rsid w:val="291A27AA"/>
    <w:rsid w:val="291EF6B3"/>
    <w:rsid w:val="29203C7A"/>
    <w:rsid w:val="292229F5"/>
    <w:rsid w:val="292282A3"/>
    <w:rsid w:val="29236EA4"/>
    <w:rsid w:val="292B081F"/>
    <w:rsid w:val="292C030E"/>
    <w:rsid w:val="292CC148"/>
    <w:rsid w:val="292E7687"/>
    <w:rsid w:val="293B1F7A"/>
    <w:rsid w:val="294810F4"/>
    <w:rsid w:val="295D7E73"/>
    <w:rsid w:val="29752B49"/>
    <w:rsid w:val="2975F611"/>
    <w:rsid w:val="29777471"/>
    <w:rsid w:val="2979E60C"/>
    <w:rsid w:val="298DAC24"/>
    <w:rsid w:val="298EBAA0"/>
    <w:rsid w:val="29922EA1"/>
    <w:rsid w:val="29A0D2A1"/>
    <w:rsid w:val="29B4862F"/>
    <w:rsid w:val="29BEFC06"/>
    <w:rsid w:val="29BFFDB7"/>
    <w:rsid w:val="29C47582"/>
    <w:rsid w:val="29C578A7"/>
    <w:rsid w:val="29D2C0FD"/>
    <w:rsid w:val="29D62C8E"/>
    <w:rsid w:val="29D8229C"/>
    <w:rsid w:val="29D9623B"/>
    <w:rsid w:val="29DD116D"/>
    <w:rsid w:val="29F0E1F6"/>
    <w:rsid w:val="29F1F98A"/>
    <w:rsid w:val="29F66829"/>
    <w:rsid w:val="2A04679C"/>
    <w:rsid w:val="2A069273"/>
    <w:rsid w:val="2A18DAAB"/>
    <w:rsid w:val="2A1FD539"/>
    <w:rsid w:val="2A2813CE"/>
    <w:rsid w:val="2A2A34D1"/>
    <w:rsid w:val="2A2A9063"/>
    <w:rsid w:val="2A313505"/>
    <w:rsid w:val="2A31DA48"/>
    <w:rsid w:val="2A39FA46"/>
    <w:rsid w:val="2A3D61BE"/>
    <w:rsid w:val="2A3F9822"/>
    <w:rsid w:val="2A40E3E3"/>
    <w:rsid w:val="2A4644AB"/>
    <w:rsid w:val="2A5601AE"/>
    <w:rsid w:val="2A5A9E1C"/>
    <w:rsid w:val="2A5AB8FA"/>
    <w:rsid w:val="2A5F353D"/>
    <w:rsid w:val="2A5F7C35"/>
    <w:rsid w:val="2A640A8B"/>
    <w:rsid w:val="2A751B8F"/>
    <w:rsid w:val="2A7A0F7F"/>
    <w:rsid w:val="2A7C98C7"/>
    <w:rsid w:val="2A829892"/>
    <w:rsid w:val="2A87E38F"/>
    <w:rsid w:val="2A88D42F"/>
    <w:rsid w:val="2A8A5412"/>
    <w:rsid w:val="2A974A43"/>
    <w:rsid w:val="2A9797DD"/>
    <w:rsid w:val="2A9C3E6F"/>
    <w:rsid w:val="2A9E5D4F"/>
    <w:rsid w:val="2AA440D9"/>
    <w:rsid w:val="2AA72A5C"/>
    <w:rsid w:val="2AAB4F81"/>
    <w:rsid w:val="2AB1289A"/>
    <w:rsid w:val="2AC3079E"/>
    <w:rsid w:val="2AC5C131"/>
    <w:rsid w:val="2AC8F1CA"/>
    <w:rsid w:val="2ACE31DD"/>
    <w:rsid w:val="2AD077FC"/>
    <w:rsid w:val="2ADCEA2C"/>
    <w:rsid w:val="2AE60F86"/>
    <w:rsid w:val="2AEE3E06"/>
    <w:rsid w:val="2AF2288D"/>
    <w:rsid w:val="2AF54FB3"/>
    <w:rsid w:val="2B034B97"/>
    <w:rsid w:val="2B16112B"/>
    <w:rsid w:val="2B28EEDF"/>
    <w:rsid w:val="2B2C37D9"/>
    <w:rsid w:val="2B2F92F4"/>
    <w:rsid w:val="2B32125B"/>
    <w:rsid w:val="2B4A2FCB"/>
    <w:rsid w:val="2B515D73"/>
    <w:rsid w:val="2B54700D"/>
    <w:rsid w:val="2B55F9FD"/>
    <w:rsid w:val="2B5FA043"/>
    <w:rsid w:val="2B614FBB"/>
    <w:rsid w:val="2B6ECA05"/>
    <w:rsid w:val="2B736D46"/>
    <w:rsid w:val="2B77D879"/>
    <w:rsid w:val="2B819CCA"/>
    <w:rsid w:val="2B84A22E"/>
    <w:rsid w:val="2B853C35"/>
    <w:rsid w:val="2B856D10"/>
    <w:rsid w:val="2B85875D"/>
    <w:rsid w:val="2B8C6B18"/>
    <w:rsid w:val="2B9053E0"/>
    <w:rsid w:val="2B972167"/>
    <w:rsid w:val="2B97DB1B"/>
    <w:rsid w:val="2B9A3849"/>
    <w:rsid w:val="2B9EBD02"/>
    <w:rsid w:val="2BA8EDB1"/>
    <w:rsid w:val="2BAF5417"/>
    <w:rsid w:val="2BB521B7"/>
    <w:rsid w:val="2BC3BCEE"/>
    <w:rsid w:val="2BCB6BB2"/>
    <w:rsid w:val="2BCD8A96"/>
    <w:rsid w:val="2BD2B355"/>
    <w:rsid w:val="2BE14E5D"/>
    <w:rsid w:val="2BE755FB"/>
    <w:rsid w:val="2BEEFAD2"/>
    <w:rsid w:val="2BEF134A"/>
    <w:rsid w:val="2BF55228"/>
    <w:rsid w:val="2BF5BD33"/>
    <w:rsid w:val="2BFB09CB"/>
    <w:rsid w:val="2BFCEA93"/>
    <w:rsid w:val="2C02BB48"/>
    <w:rsid w:val="2C05A7DA"/>
    <w:rsid w:val="2C071CAF"/>
    <w:rsid w:val="2C1362BE"/>
    <w:rsid w:val="2C16C1AD"/>
    <w:rsid w:val="2C2668A1"/>
    <w:rsid w:val="2C270CFF"/>
    <w:rsid w:val="2C2E0B0C"/>
    <w:rsid w:val="2C2EE031"/>
    <w:rsid w:val="2C415B8D"/>
    <w:rsid w:val="2C4180D4"/>
    <w:rsid w:val="2C489862"/>
    <w:rsid w:val="2C4C9782"/>
    <w:rsid w:val="2C706FAB"/>
    <w:rsid w:val="2C715107"/>
    <w:rsid w:val="2C7A6341"/>
    <w:rsid w:val="2C8F768D"/>
    <w:rsid w:val="2C9CACCE"/>
    <w:rsid w:val="2CBA37FA"/>
    <w:rsid w:val="2CBD5347"/>
    <w:rsid w:val="2CD2155F"/>
    <w:rsid w:val="2CEA65DF"/>
    <w:rsid w:val="2CEC3F71"/>
    <w:rsid w:val="2CF68B83"/>
    <w:rsid w:val="2CF6B58C"/>
    <w:rsid w:val="2D0136C7"/>
    <w:rsid w:val="2D130EF3"/>
    <w:rsid w:val="2D1EC276"/>
    <w:rsid w:val="2D241E9A"/>
    <w:rsid w:val="2D552105"/>
    <w:rsid w:val="2D558E02"/>
    <w:rsid w:val="2D5ADA0D"/>
    <w:rsid w:val="2D5D978F"/>
    <w:rsid w:val="2D5EE827"/>
    <w:rsid w:val="2D620128"/>
    <w:rsid w:val="2D663147"/>
    <w:rsid w:val="2D66DF4C"/>
    <w:rsid w:val="2D6713CA"/>
    <w:rsid w:val="2D67E0E1"/>
    <w:rsid w:val="2D6858F2"/>
    <w:rsid w:val="2D745C86"/>
    <w:rsid w:val="2D78F192"/>
    <w:rsid w:val="2D7A0614"/>
    <w:rsid w:val="2D7B0B00"/>
    <w:rsid w:val="2D82B410"/>
    <w:rsid w:val="2D8AD887"/>
    <w:rsid w:val="2D92E74F"/>
    <w:rsid w:val="2D95DE6A"/>
    <w:rsid w:val="2D987309"/>
    <w:rsid w:val="2DA0C1ED"/>
    <w:rsid w:val="2DAF9837"/>
    <w:rsid w:val="2DB7AADB"/>
    <w:rsid w:val="2DBF355C"/>
    <w:rsid w:val="2DC10275"/>
    <w:rsid w:val="2DC5ABB4"/>
    <w:rsid w:val="2DCBEF18"/>
    <w:rsid w:val="2DD30668"/>
    <w:rsid w:val="2DD47145"/>
    <w:rsid w:val="2DD94E5C"/>
    <w:rsid w:val="2DDCA998"/>
    <w:rsid w:val="2DE5F0A2"/>
    <w:rsid w:val="2DEA718F"/>
    <w:rsid w:val="2DECDB55"/>
    <w:rsid w:val="2DEFA822"/>
    <w:rsid w:val="2DF0381F"/>
    <w:rsid w:val="2DF2D91E"/>
    <w:rsid w:val="2DF3B311"/>
    <w:rsid w:val="2DF451C3"/>
    <w:rsid w:val="2DF7D835"/>
    <w:rsid w:val="2E00A12B"/>
    <w:rsid w:val="2E0DE2DD"/>
    <w:rsid w:val="2E0F1300"/>
    <w:rsid w:val="2E1786D1"/>
    <w:rsid w:val="2E1F0CCA"/>
    <w:rsid w:val="2E2404B6"/>
    <w:rsid w:val="2E277EDF"/>
    <w:rsid w:val="2E30174C"/>
    <w:rsid w:val="2E318408"/>
    <w:rsid w:val="2E31FA81"/>
    <w:rsid w:val="2E35A7D1"/>
    <w:rsid w:val="2E36ADC7"/>
    <w:rsid w:val="2E3A0E24"/>
    <w:rsid w:val="2E3B3BF3"/>
    <w:rsid w:val="2E52D52F"/>
    <w:rsid w:val="2E5847D2"/>
    <w:rsid w:val="2E5ADF7A"/>
    <w:rsid w:val="2E612DCE"/>
    <w:rsid w:val="2E741402"/>
    <w:rsid w:val="2E745C16"/>
    <w:rsid w:val="2E79703D"/>
    <w:rsid w:val="2E798687"/>
    <w:rsid w:val="2E7D3610"/>
    <w:rsid w:val="2E7D93CD"/>
    <w:rsid w:val="2E861C46"/>
    <w:rsid w:val="2E93AA49"/>
    <w:rsid w:val="2E94042F"/>
    <w:rsid w:val="2E980622"/>
    <w:rsid w:val="2E9A1159"/>
    <w:rsid w:val="2E9CFC5F"/>
    <w:rsid w:val="2EACF3B5"/>
    <w:rsid w:val="2EAFCE51"/>
    <w:rsid w:val="2EB2E045"/>
    <w:rsid w:val="2EC11590"/>
    <w:rsid w:val="2EC3561C"/>
    <w:rsid w:val="2EC6785C"/>
    <w:rsid w:val="2EC86951"/>
    <w:rsid w:val="2ECD3797"/>
    <w:rsid w:val="2ED1642E"/>
    <w:rsid w:val="2ED554FD"/>
    <w:rsid w:val="2ED742EF"/>
    <w:rsid w:val="2EE74BBA"/>
    <w:rsid w:val="2EF38493"/>
    <w:rsid w:val="2EF66E38"/>
    <w:rsid w:val="2EF9197D"/>
    <w:rsid w:val="2F027020"/>
    <w:rsid w:val="2F0F0FF5"/>
    <w:rsid w:val="2F160A12"/>
    <w:rsid w:val="2F162EEC"/>
    <w:rsid w:val="2F1C5208"/>
    <w:rsid w:val="2F2162EE"/>
    <w:rsid w:val="2F285CF8"/>
    <w:rsid w:val="2F2CAFB9"/>
    <w:rsid w:val="2F2D74FB"/>
    <w:rsid w:val="2F2E8836"/>
    <w:rsid w:val="2F319D79"/>
    <w:rsid w:val="2F358BDC"/>
    <w:rsid w:val="2F3A6DF5"/>
    <w:rsid w:val="2F452C17"/>
    <w:rsid w:val="2F4861E8"/>
    <w:rsid w:val="2F5F394C"/>
    <w:rsid w:val="2F5FBF6B"/>
    <w:rsid w:val="2F6313CC"/>
    <w:rsid w:val="2F707450"/>
    <w:rsid w:val="2F76F704"/>
    <w:rsid w:val="2F7BBB40"/>
    <w:rsid w:val="2F84CA5B"/>
    <w:rsid w:val="2F8F8A0C"/>
    <w:rsid w:val="2F974DDB"/>
    <w:rsid w:val="2F9AD02C"/>
    <w:rsid w:val="2FA4532B"/>
    <w:rsid w:val="2FA83FBB"/>
    <w:rsid w:val="2FB7C765"/>
    <w:rsid w:val="2FBCC79E"/>
    <w:rsid w:val="2FBD6FFE"/>
    <w:rsid w:val="2FD16909"/>
    <w:rsid w:val="2FD592D6"/>
    <w:rsid w:val="2FD884AA"/>
    <w:rsid w:val="2FD9D0DE"/>
    <w:rsid w:val="2FDA9C74"/>
    <w:rsid w:val="2FDF564A"/>
    <w:rsid w:val="2FDFFFFA"/>
    <w:rsid w:val="2FE7BF60"/>
    <w:rsid w:val="2FE9A2C9"/>
    <w:rsid w:val="2FEDE607"/>
    <w:rsid w:val="2FEDFD71"/>
    <w:rsid w:val="300536F8"/>
    <w:rsid w:val="3006E15A"/>
    <w:rsid w:val="3009A303"/>
    <w:rsid w:val="300CE71E"/>
    <w:rsid w:val="300CEA62"/>
    <w:rsid w:val="30112D59"/>
    <w:rsid w:val="30140C09"/>
    <w:rsid w:val="3017712D"/>
    <w:rsid w:val="301B0A48"/>
    <w:rsid w:val="3020BC1B"/>
    <w:rsid w:val="3020E70E"/>
    <w:rsid w:val="30249005"/>
    <w:rsid w:val="302CB181"/>
    <w:rsid w:val="302FE9AF"/>
    <w:rsid w:val="3033AC8B"/>
    <w:rsid w:val="30354914"/>
    <w:rsid w:val="3037EBD7"/>
    <w:rsid w:val="3039CB85"/>
    <w:rsid w:val="303E845A"/>
    <w:rsid w:val="3044440C"/>
    <w:rsid w:val="30463C44"/>
    <w:rsid w:val="3049C507"/>
    <w:rsid w:val="304BDF63"/>
    <w:rsid w:val="304D49AC"/>
    <w:rsid w:val="30539D1C"/>
    <w:rsid w:val="305734A8"/>
    <w:rsid w:val="305DFA51"/>
    <w:rsid w:val="305E2895"/>
    <w:rsid w:val="305EAB2A"/>
    <w:rsid w:val="305EC155"/>
    <w:rsid w:val="305EF39D"/>
    <w:rsid w:val="306C5794"/>
    <w:rsid w:val="307CB73B"/>
    <w:rsid w:val="307F5750"/>
    <w:rsid w:val="3083565E"/>
    <w:rsid w:val="308F27D7"/>
    <w:rsid w:val="3096FC03"/>
    <w:rsid w:val="309D0377"/>
    <w:rsid w:val="309D9D61"/>
    <w:rsid w:val="309E06A5"/>
    <w:rsid w:val="30AF2697"/>
    <w:rsid w:val="30B0F958"/>
    <w:rsid w:val="30C8FDA1"/>
    <w:rsid w:val="30C95CAC"/>
    <w:rsid w:val="30CBE295"/>
    <w:rsid w:val="30D4C858"/>
    <w:rsid w:val="30DD8CC0"/>
    <w:rsid w:val="30DFBA7D"/>
    <w:rsid w:val="30E5406B"/>
    <w:rsid w:val="30EB04EE"/>
    <w:rsid w:val="30F071FD"/>
    <w:rsid w:val="3100F1A8"/>
    <w:rsid w:val="31010B6B"/>
    <w:rsid w:val="310AD8C7"/>
    <w:rsid w:val="310E7F73"/>
    <w:rsid w:val="311630B5"/>
    <w:rsid w:val="3129BEFD"/>
    <w:rsid w:val="3139925C"/>
    <w:rsid w:val="313C0469"/>
    <w:rsid w:val="31404E7B"/>
    <w:rsid w:val="31428348"/>
    <w:rsid w:val="314636AF"/>
    <w:rsid w:val="314CBC83"/>
    <w:rsid w:val="314E62D5"/>
    <w:rsid w:val="31508D50"/>
    <w:rsid w:val="315569A3"/>
    <w:rsid w:val="31587A66"/>
    <w:rsid w:val="315DA59B"/>
    <w:rsid w:val="3168A449"/>
    <w:rsid w:val="31694FBB"/>
    <w:rsid w:val="316A5643"/>
    <w:rsid w:val="316B45B4"/>
    <w:rsid w:val="31760FB7"/>
    <w:rsid w:val="3176952D"/>
    <w:rsid w:val="317750FB"/>
    <w:rsid w:val="3182254A"/>
    <w:rsid w:val="318BB06A"/>
    <w:rsid w:val="318EE796"/>
    <w:rsid w:val="319247E1"/>
    <w:rsid w:val="31975ECB"/>
    <w:rsid w:val="3199723E"/>
    <w:rsid w:val="319D8D91"/>
    <w:rsid w:val="319F989F"/>
    <w:rsid w:val="31ADB329"/>
    <w:rsid w:val="31B1E59B"/>
    <w:rsid w:val="31BE1470"/>
    <w:rsid w:val="31C872FC"/>
    <w:rsid w:val="31C91756"/>
    <w:rsid w:val="31CCBD53"/>
    <w:rsid w:val="31CED573"/>
    <w:rsid w:val="31D1E02B"/>
    <w:rsid w:val="31D3C79C"/>
    <w:rsid w:val="31D7F6F9"/>
    <w:rsid w:val="31E3144B"/>
    <w:rsid w:val="31E6A2D9"/>
    <w:rsid w:val="31E88D22"/>
    <w:rsid w:val="31E97056"/>
    <w:rsid w:val="31F1E051"/>
    <w:rsid w:val="31FA13B9"/>
    <w:rsid w:val="3204F43A"/>
    <w:rsid w:val="32082FBC"/>
    <w:rsid w:val="32122616"/>
    <w:rsid w:val="321A69DC"/>
    <w:rsid w:val="321B1F1B"/>
    <w:rsid w:val="32236A4E"/>
    <w:rsid w:val="322705D8"/>
    <w:rsid w:val="32324413"/>
    <w:rsid w:val="323DA396"/>
    <w:rsid w:val="3240AC51"/>
    <w:rsid w:val="32411401"/>
    <w:rsid w:val="324254CF"/>
    <w:rsid w:val="3247BF5E"/>
    <w:rsid w:val="324BE185"/>
    <w:rsid w:val="324D181E"/>
    <w:rsid w:val="325F3C59"/>
    <w:rsid w:val="325FD41C"/>
    <w:rsid w:val="3267E8CA"/>
    <w:rsid w:val="326A02FC"/>
    <w:rsid w:val="326EAB6A"/>
    <w:rsid w:val="32778606"/>
    <w:rsid w:val="3277BEE4"/>
    <w:rsid w:val="3277CDAC"/>
    <w:rsid w:val="32780280"/>
    <w:rsid w:val="32819D5B"/>
    <w:rsid w:val="32848368"/>
    <w:rsid w:val="3284E196"/>
    <w:rsid w:val="328ABFB6"/>
    <w:rsid w:val="32933DCE"/>
    <w:rsid w:val="32A0B170"/>
    <w:rsid w:val="32A3B1D5"/>
    <w:rsid w:val="32B7672A"/>
    <w:rsid w:val="32B90367"/>
    <w:rsid w:val="32BA4F6F"/>
    <w:rsid w:val="32BC63FE"/>
    <w:rsid w:val="32C26ACD"/>
    <w:rsid w:val="32C5FF83"/>
    <w:rsid w:val="32C8E227"/>
    <w:rsid w:val="32DE2E95"/>
    <w:rsid w:val="32E24821"/>
    <w:rsid w:val="32E6EE06"/>
    <w:rsid w:val="32E75FC0"/>
    <w:rsid w:val="32EDBADE"/>
    <w:rsid w:val="32F193FF"/>
    <w:rsid w:val="32F1DCB4"/>
    <w:rsid w:val="32F83768"/>
    <w:rsid w:val="32F8E904"/>
    <w:rsid w:val="32FDE980"/>
    <w:rsid w:val="3303B0C7"/>
    <w:rsid w:val="3304C883"/>
    <w:rsid w:val="33081A48"/>
    <w:rsid w:val="330F3431"/>
    <w:rsid w:val="3314ABA9"/>
    <w:rsid w:val="33198E7E"/>
    <w:rsid w:val="331C284B"/>
    <w:rsid w:val="3321765E"/>
    <w:rsid w:val="33228B3E"/>
    <w:rsid w:val="3323D87B"/>
    <w:rsid w:val="333499D5"/>
    <w:rsid w:val="3339C433"/>
    <w:rsid w:val="333E994B"/>
    <w:rsid w:val="33403F1A"/>
    <w:rsid w:val="336818F0"/>
    <w:rsid w:val="337821A3"/>
    <w:rsid w:val="33784B1B"/>
    <w:rsid w:val="337BC1B3"/>
    <w:rsid w:val="33804506"/>
    <w:rsid w:val="3382A99C"/>
    <w:rsid w:val="33865B74"/>
    <w:rsid w:val="339720A0"/>
    <w:rsid w:val="3399684F"/>
    <w:rsid w:val="339A89B4"/>
    <w:rsid w:val="33A1E3DA"/>
    <w:rsid w:val="33A2AC15"/>
    <w:rsid w:val="33AFE37E"/>
    <w:rsid w:val="33B58231"/>
    <w:rsid w:val="33B60DCD"/>
    <w:rsid w:val="33B7FE4A"/>
    <w:rsid w:val="33BC8D33"/>
    <w:rsid w:val="33C02836"/>
    <w:rsid w:val="33C868E3"/>
    <w:rsid w:val="33D12925"/>
    <w:rsid w:val="33D46FE0"/>
    <w:rsid w:val="33DA16DA"/>
    <w:rsid w:val="33E4590F"/>
    <w:rsid w:val="33EA81A3"/>
    <w:rsid w:val="33EAE91F"/>
    <w:rsid w:val="33F0AFD2"/>
    <w:rsid w:val="33F8FD4F"/>
    <w:rsid w:val="33FF5505"/>
    <w:rsid w:val="34019E70"/>
    <w:rsid w:val="34085D5B"/>
    <w:rsid w:val="340C67B9"/>
    <w:rsid w:val="340F4A9E"/>
    <w:rsid w:val="341200E8"/>
    <w:rsid w:val="34129DDA"/>
    <w:rsid w:val="3422C321"/>
    <w:rsid w:val="34279564"/>
    <w:rsid w:val="34281C4C"/>
    <w:rsid w:val="34388F77"/>
    <w:rsid w:val="343A880E"/>
    <w:rsid w:val="343D8851"/>
    <w:rsid w:val="343F995E"/>
    <w:rsid w:val="3447A2C1"/>
    <w:rsid w:val="344BF90D"/>
    <w:rsid w:val="344DA47D"/>
    <w:rsid w:val="344E8590"/>
    <w:rsid w:val="34513997"/>
    <w:rsid w:val="3454E973"/>
    <w:rsid w:val="34563E25"/>
    <w:rsid w:val="34674AC9"/>
    <w:rsid w:val="3469583E"/>
    <w:rsid w:val="34754ED9"/>
    <w:rsid w:val="347BD46D"/>
    <w:rsid w:val="348970C4"/>
    <w:rsid w:val="34902A01"/>
    <w:rsid w:val="34930968"/>
    <w:rsid w:val="34ADBFF1"/>
    <w:rsid w:val="34AF3F18"/>
    <w:rsid w:val="34B45652"/>
    <w:rsid w:val="34CA1848"/>
    <w:rsid w:val="34CFD739"/>
    <w:rsid w:val="34D00624"/>
    <w:rsid w:val="34D191AD"/>
    <w:rsid w:val="34D3D773"/>
    <w:rsid w:val="34D48C43"/>
    <w:rsid w:val="34D9F39D"/>
    <w:rsid w:val="34DA1DA2"/>
    <w:rsid w:val="34DA8D27"/>
    <w:rsid w:val="34DFBFC1"/>
    <w:rsid w:val="34E4DBAE"/>
    <w:rsid w:val="34E594BC"/>
    <w:rsid w:val="34EBA324"/>
    <w:rsid w:val="34F90C5B"/>
    <w:rsid w:val="3505D4BB"/>
    <w:rsid w:val="350B46EA"/>
    <w:rsid w:val="350F9714"/>
    <w:rsid w:val="3512BE10"/>
    <w:rsid w:val="3513C4A4"/>
    <w:rsid w:val="351BF9CE"/>
    <w:rsid w:val="35225C38"/>
    <w:rsid w:val="3526FD6C"/>
    <w:rsid w:val="35282ABA"/>
    <w:rsid w:val="352CEDE0"/>
    <w:rsid w:val="352D0905"/>
    <w:rsid w:val="352F7F81"/>
    <w:rsid w:val="35315C7C"/>
    <w:rsid w:val="3532CCAF"/>
    <w:rsid w:val="3532DCDC"/>
    <w:rsid w:val="353369DB"/>
    <w:rsid w:val="3536603B"/>
    <w:rsid w:val="35388C88"/>
    <w:rsid w:val="3539E814"/>
    <w:rsid w:val="353A159E"/>
    <w:rsid w:val="3547F8F8"/>
    <w:rsid w:val="35480C25"/>
    <w:rsid w:val="3549C2F8"/>
    <w:rsid w:val="355003B1"/>
    <w:rsid w:val="35501D1A"/>
    <w:rsid w:val="3554C392"/>
    <w:rsid w:val="355A4F8D"/>
    <w:rsid w:val="3562C2CF"/>
    <w:rsid w:val="3564F978"/>
    <w:rsid w:val="3566234D"/>
    <w:rsid w:val="356979F8"/>
    <w:rsid w:val="3573172F"/>
    <w:rsid w:val="357A8A26"/>
    <w:rsid w:val="3582BC52"/>
    <w:rsid w:val="358FFBA3"/>
    <w:rsid w:val="35902707"/>
    <w:rsid w:val="359406C7"/>
    <w:rsid w:val="3597344F"/>
    <w:rsid w:val="3597BDE8"/>
    <w:rsid w:val="359D42EF"/>
    <w:rsid w:val="359F9FC0"/>
    <w:rsid w:val="35A94513"/>
    <w:rsid w:val="35A97C09"/>
    <w:rsid w:val="35B837D9"/>
    <w:rsid w:val="35BDCCBD"/>
    <w:rsid w:val="35CF0467"/>
    <w:rsid w:val="35D03565"/>
    <w:rsid w:val="35D75AEB"/>
    <w:rsid w:val="35DF160C"/>
    <w:rsid w:val="35E12A7F"/>
    <w:rsid w:val="35E38A94"/>
    <w:rsid w:val="35E5FA00"/>
    <w:rsid w:val="35EFA3F4"/>
    <w:rsid w:val="35EFFB59"/>
    <w:rsid w:val="35F42639"/>
    <w:rsid w:val="35F857CD"/>
    <w:rsid w:val="35F88BBC"/>
    <w:rsid w:val="35FE522B"/>
    <w:rsid w:val="360D7372"/>
    <w:rsid w:val="361120B7"/>
    <w:rsid w:val="36118C95"/>
    <w:rsid w:val="361488C8"/>
    <w:rsid w:val="3615455C"/>
    <w:rsid w:val="36174E0D"/>
    <w:rsid w:val="3626B802"/>
    <w:rsid w:val="363540E7"/>
    <w:rsid w:val="36363A5F"/>
    <w:rsid w:val="3656CA66"/>
    <w:rsid w:val="365CE5AA"/>
    <w:rsid w:val="3660F48F"/>
    <w:rsid w:val="3665D3F9"/>
    <w:rsid w:val="366867E3"/>
    <w:rsid w:val="3668F14A"/>
    <w:rsid w:val="36792646"/>
    <w:rsid w:val="367F9763"/>
    <w:rsid w:val="36803755"/>
    <w:rsid w:val="369006B4"/>
    <w:rsid w:val="3698A9E9"/>
    <w:rsid w:val="369AB938"/>
    <w:rsid w:val="36A1DEB1"/>
    <w:rsid w:val="36A6B4E1"/>
    <w:rsid w:val="36A7DF43"/>
    <w:rsid w:val="36BC37A6"/>
    <w:rsid w:val="36BEC773"/>
    <w:rsid w:val="36C0E192"/>
    <w:rsid w:val="36C1C621"/>
    <w:rsid w:val="36C4E9DA"/>
    <w:rsid w:val="36CA055E"/>
    <w:rsid w:val="36D7454D"/>
    <w:rsid w:val="36DD63AD"/>
    <w:rsid w:val="36E0B37E"/>
    <w:rsid w:val="36FC7159"/>
    <w:rsid w:val="3700F191"/>
    <w:rsid w:val="3707C758"/>
    <w:rsid w:val="37133212"/>
    <w:rsid w:val="37171770"/>
    <w:rsid w:val="37175BC3"/>
    <w:rsid w:val="371A47B7"/>
    <w:rsid w:val="371E8F76"/>
    <w:rsid w:val="37214BB7"/>
    <w:rsid w:val="3723B3D8"/>
    <w:rsid w:val="3725310A"/>
    <w:rsid w:val="37261DFB"/>
    <w:rsid w:val="3728E97F"/>
    <w:rsid w:val="372A3DE8"/>
    <w:rsid w:val="372DE101"/>
    <w:rsid w:val="3730BD2C"/>
    <w:rsid w:val="3731DB91"/>
    <w:rsid w:val="37323E79"/>
    <w:rsid w:val="3736770F"/>
    <w:rsid w:val="37377462"/>
    <w:rsid w:val="3737CD59"/>
    <w:rsid w:val="37391EB2"/>
    <w:rsid w:val="373AA99E"/>
    <w:rsid w:val="374CA528"/>
    <w:rsid w:val="374F667B"/>
    <w:rsid w:val="3752A21D"/>
    <w:rsid w:val="3755EE30"/>
    <w:rsid w:val="37572DCD"/>
    <w:rsid w:val="375FCBF7"/>
    <w:rsid w:val="3763AC6D"/>
    <w:rsid w:val="37676F75"/>
    <w:rsid w:val="377EEC6F"/>
    <w:rsid w:val="37970D20"/>
    <w:rsid w:val="3797D17D"/>
    <w:rsid w:val="379A2B44"/>
    <w:rsid w:val="37A3A5C5"/>
    <w:rsid w:val="37A4AC1F"/>
    <w:rsid w:val="37A531DE"/>
    <w:rsid w:val="37A6C432"/>
    <w:rsid w:val="37A8A9EB"/>
    <w:rsid w:val="37B0DFDA"/>
    <w:rsid w:val="37B46543"/>
    <w:rsid w:val="37BFFDC6"/>
    <w:rsid w:val="37C055E7"/>
    <w:rsid w:val="37C106A7"/>
    <w:rsid w:val="37C4D6BD"/>
    <w:rsid w:val="37C708D2"/>
    <w:rsid w:val="37C8FA47"/>
    <w:rsid w:val="37CEE4A5"/>
    <w:rsid w:val="37D09B99"/>
    <w:rsid w:val="37D2C8CC"/>
    <w:rsid w:val="37D50A02"/>
    <w:rsid w:val="37D59836"/>
    <w:rsid w:val="37D5D76F"/>
    <w:rsid w:val="37D861F9"/>
    <w:rsid w:val="37DB1416"/>
    <w:rsid w:val="37DC352C"/>
    <w:rsid w:val="37EA1E12"/>
    <w:rsid w:val="37F27987"/>
    <w:rsid w:val="37FC71BB"/>
    <w:rsid w:val="38053C9E"/>
    <w:rsid w:val="381644B2"/>
    <w:rsid w:val="381C2426"/>
    <w:rsid w:val="381F6A7B"/>
    <w:rsid w:val="38207003"/>
    <w:rsid w:val="3829C31A"/>
    <w:rsid w:val="382DFB33"/>
    <w:rsid w:val="38323E3E"/>
    <w:rsid w:val="383BB1F2"/>
    <w:rsid w:val="384DE4A6"/>
    <w:rsid w:val="3854AB53"/>
    <w:rsid w:val="385BC0A3"/>
    <w:rsid w:val="3860C420"/>
    <w:rsid w:val="386CD7E7"/>
    <w:rsid w:val="386F1C04"/>
    <w:rsid w:val="387210D2"/>
    <w:rsid w:val="38745EDF"/>
    <w:rsid w:val="38756B30"/>
    <w:rsid w:val="387C5B4B"/>
    <w:rsid w:val="387FDF7D"/>
    <w:rsid w:val="38893ACE"/>
    <w:rsid w:val="388D70DC"/>
    <w:rsid w:val="3895B143"/>
    <w:rsid w:val="38968A64"/>
    <w:rsid w:val="389CE3D0"/>
    <w:rsid w:val="389E6616"/>
    <w:rsid w:val="38A41C8C"/>
    <w:rsid w:val="38A49A4D"/>
    <w:rsid w:val="38A8D03B"/>
    <w:rsid w:val="38ACDCE3"/>
    <w:rsid w:val="38B8C053"/>
    <w:rsid w:val="38C3E3B7"/>
    <w:rsid w:val="38CF231E"/>
    <w:rsid w:val="38D394FD"/>
    <w:rsid w:val="38D4B3B5"/>
    <w:rsid w:val="38DA2D88"/>
    <w:rsid w:val="38E42ED7"/>
    <w:rsid w:val="38EB7C8D"/>
    <w:rsid w:val="38ECCB64"/>
    <w:rsid w:val="38EEA171"/>
    <w:rsid w:val="38F959E1"/>
    <w:rsid w:val="38FCD78C"/>
    <w:rsid w:val="3912D7FF"/>
    <w:rsid w:val="391748DC"/>
    <w:rsid w:val="391917BC"/>
    <w:rsid w:val="391E2D1F"/>
    <w:rsid w:val="3921A5B1"/>
    <w:rsid w:val="3922B139"/>
    <w:rsid w:val="3927067B"/>
    <w:rsid w:val="392A45AF"/>
    <w:rsid w:val="392BA5F2"/>
    <w:rsid w:val="392DC213"/>
    <w:rsid w:val="3930161C"/>
    <w:rsid w:val="3937C635"/>
    <w:rsid w:val="393966CD"/>
    <w:rsid w:val="393C65C8"/>
    <w:rsid w:val="393D0F0E"/>
    <w:rsid w:val="394301F0"/>
    <w:rsid w:val="394B7C91"/>
    <w:rsid w:val="394B9670"/>
    <w:rsid w:val="394CEB0A"/>
    <w:rsid w:val="394DFA87"/>
    <w:rsid w:val="3954FDB1"/>
    <w:rsid w:val="396789B7"/>
    <w:rsid w:val="3971F754"/>
    <w:rsid w:val="3975BD38"/>
    <w:rsid w:val="3976C665"/>
    <w:rsid w:val="397B493D"/>
    <w:rsid w:val="397C9D74"/>
    <w:rsid w:val="39822BE0"/>
    <w:rsid w:val="398546AF"/>
    <w:rsid w:val="398617F6"/>
    <w:rsid w:val="39866B67"/>
    <w:rsid w:val="39877E38"/>
    <w:rsid w:val="3992F3EE"/>
    <w:rsid w:val="3999CAA9"/>
    <w:rsid w:val="399ADEB6"/>
    <w:rsid w:val="39B39CE5"/>
    <w:rsid w:val="39BA066D"/>
    <w:rsid w:val="39BE7C21"/>
    <w:rsid w:val="39BFB584"/>
    <w:rsid w:val="39C07707"/>
    <w:rsid w:val="39CC70E0"/>
    <w:rsid w:val="39D3F449"/>
    <w:rsid w:val="39D44B84"/>
    <w:rsid w:val="39D47BFC"/>
    <w:rsid w:val="39E4CED3"/>
    <w:rsid w:val="39E54E82"/>
    <w:rsid w:val="39EC0B4B"/>
    <w:rsid w:val="39EFF13D"/>
    <w:rsid w:val="39F0C099"/>
    <w:rsid w:val="39F50E94"/>
    <w:rsid w:val="3A039C1E"/>
    <w:rsid w:val="3A04F53C"/>
    <w:rsid w:val="3A10813E"/>
    <w:rsid w:val="3A1402EA"/>
    <w:rsid w:val="3A1AA264"/>
    <w:rsid w:val="3A201C63"/>
    <w:rsid w:val="3A23D440"/>
    <w:rsid w:val="3A2632E6"/>
    <w:rsid w:val="3A274F8E"/>
    <w:rsid w:val="3A2BCB04"/>
    <w:rsid w:val="3A2E6CBC"/>
    <w:rsid w:val="3A302FD7"/>
    <w:rsid w:val="3A40C495"/>
    <w:rsid w:val="3A40F316"/>
    <w:rsid w:val="3A414341"/>
    <w:rsid w:val="3A4CDCD8"/>
    <w:rsid w:val="3A656893"/>
    <w:rsid w:val="3A68535A"/>
    <w:rsid w:val="3A6E064F"/>
    <w:rsid w:val="3A7668EF"/>
    <w:rsid w:val="3A7ACA5D"/>
    <w:rsid w:val="3A7BD3CD"/>
    <w:rsid w:val="3A7C1585"/>
    <w:rsid w:val="3A80340F"/>
    <w:rsid w:val="3A83E8D0"/>
    <w:rsid w:val="3A86C7C0"/>
    <w:rsid w:val="3A8FEC28"/>
    <w:rsid w:val="3A9418C9"/>
    <w:rsid w:val="3A9900B5"/>
    <w:rsid w:val="3A9A833A"/>
    <w:rsid w:val="3A9B6C25"/>
    <w:rsid w:val="3AA8AE02"/>
    <w:rsid w:val="3AADBE1A"/>
    <w:rsid w:val="3AB0C08D"/>
    <w:rsid w:val="3AB4ADC0"/>
    <w:rsid w:val="3AC1C7CE"/>
    <w:rsid w:val="3AC273C6"/>
    <w:rsid w:val="3AC77E2C"/>
    <w:rsid w:val="3ACA61EC"/>
    <w:rsid w:val="3ACC5307"/>
    <w:rsid w:val="3ACE6115"/>
    <w:rsid w:val="3AD71029"/>
    <w:rsid w:val="3AEB9EA9"/>
    <w:rsid w:val="3AED9407"/>
    <w:rsid w:val="3AEE193C"/>
    <w:rsid w:val="3AF3328A"/>
    <w:rsid w:val="3AF5E0B5"/>
    <w:rsid w:val="3AFBFB2B"/>
    <w:rsid w:val="3AFD3B03"/>
    <w:rsid w:val="3B01BE83"/>
    <w:rsid w:val="3B04C7EF"/>
    <w:rsid w:val="3B095E7F"/>
    <w:rsid w:val="3B1984B9"/>
    <w:rsid w:val="3B1E3FC1"/>
    <w:rsid w:val="3B22DE55"/>
    <w:rsid w:val="3B2FB87D"/>
    <w:rsid w:val="3B346B4D"/>
    <w:rsid w:val="3B436850"/>
    <w:rsid w:val="3B4F424A"/>
    <w:rsid w:val="3B54CD04"/>
    <w:rsid w:val="3B55FB52"/>
    <w:rsid w:val="3B5B7C40"/>
    <w:rsid w:val="3B5F5C2C"/>
    <w:rsid w:val="3B602FC2"/>
    <w:rsid w:val="3B67552C"/>
    <w:rsid w:val="3B708103"/>
    <w:rsid w:val="3B812E00"/>
    <w:rsid w:val="3B86341C"/>
    <w:rsid w:val="3B87BDE5"/>
    <w:rsid w:val="3B92C798"/>
    <w:rsid w:val="3B931E40"/>
    <w:rsid w:val="3BA5633E"/>
    <w:rsid w:val="3BA7750E"/>
    <w:rsid w:val="3BBC0ECE"/>
    <w:rsid w:val="3BBC61F8"/>
    <w:rsid w:val="3BC04602"/>
    <w:rsid w:val="3BC07C29"/>
    <w:rsid w:val="3BC2E8DE"/>
    <w:rsid w:val="3BDFB20D"/>
    <w:rsid w:val="3BEDCA7A"/>
    <w:rsid w:val="3BEE14FF"/>
    <w:rsid w:val="3BEF11BC"/>
    <w:rsid w:val="3BF64A5A"/>
    <w:rsid w:val="3BF74FF9"/>
    <w:rsid w:val="3BFC7639"/>
    <w:rsid w:val="3C05435C"/>
    <w:rsid w:val="3C1065A6"/>
    <w:rsid w:val="3C11D467"/>
    <w:rsid w:val="3C1F286D"/>
    <w:rsid w:val="3C214039"/>
    <w:rsid w:val="3C257B72"/>
    <w:rsid w:val="3C26B93E"/>
    <w:rsid w:val="3C2AD218"/>
    <w:rsid w:val="3C2ADD23"/>
    <w:rsid w:val="3C44684C"/>
    <w:rsid w:val="3C484DDA"/>
    <w:rsid w:val="3C4E6019"/>
    <w:rsid w:val="3C5531B1"/>
    <w:rsid w:val="3C65133C"/>
    <w:rsid w:val="3C76EB74"/>
    <w:rsid w:val="3C81850F"/>
    <w:rsid w:val="3C8686D3"/>
    <w:rsid w:val="3C8CF225"/>
    <w:rsid w:val="3C8EEF83"/>
    <w:rsid w:val="3C909BFE"/>
    <w:rsid w:val="3C953FDD"/>
    <w:rsid w:val="3C9558FD"/>
    <w:rsid w:val="3CA2F5FB"/>
    <w:rsid w:val="3CA8FB5D"/>
    <w:rsid w:val="3CAC1566"/>
    <w:rsid w:val="3CB538BF"/>
    <w:rsid w:val="3CB5C9D4"/>
    <w:rsid w:val="3CC0DEE8"/>
    <w:rsid w:val="3CC14CC7"/>
    <w:rsid w:val="3CCD2BA7"/>
    <w:rsid w:val="3CCF652D"/>
    <w:rsid w:val="3CD000AC"/>
    <w:rsid w:val="3CD6D98B"/>
    <w:rsid w:val="3CDBA6B0"/>
    <w:rsid w:val="3CE809D0"/>
    <w:rsid w:val="3CFA4D46"/>
    <w:rsid w:val="3D0B1281"/>
    <w:rsid w:val="3D1AA151"/>
    <w:rsid w:val="3D1AA3FD"/>
    <w:rsid w:val="3D248350"/>
    <w:rsid w:val="3D29B4B1"/>
    <w:rsid w:val="3D3C0B17"/>
    <w:rsid w:val="3D42C7A9"/>
    <w:rsid w:val="3D46668B"/>
    <w:rsid w:val="3D5097C6"/>
    <w:rsid w:val="3D59E255"/>
    <w:rsid w:val="3D5CB646"/>
    <w:rsid w:val="3D617EDD"/>
    <w:rsid w:val="3D62BD8F"/>
    <w:rsid w:val="3D6B11FA"/>
    <w:rsid w:val="3D7663A7"/>
    <w:rsid w:val="3D78D017"/>
    <w:rsid w:val="3D811021"/>
    <w:rsid w:val="3D828F17"/>
    <w:rsid w:val="3D855467"/>
    <w:rsid w:val="3D897289"/>
    <w:rsid w:val="3D985866"/>
    <w:rsid w:val="3D98D1FB"/>
    <w:rsid w:val="3DA5F77D"/>
    <w:rsid w:val="3DA98485"/>
    <w:rsid w:val="3DAD9DF3"/>
    <w:rsid w:val="3DADDF82"/>
    <w:rsid w:val="3DB4DE8B"/>
    <w:rsid w:val="3DC247D2"/>
    <w:rsid w:val="3DC39026"/>
    <w:rsid w:val="3DCA9A0B"/>
    <w:rsid w:val="3DCD3211"/>
    <w:rsid w:val="3DD35194"/>
    <w:rsid w:val="3DD58006"/>
    <w:rsid w:val="3DD7C037"/>
    <w:rsid w:val="3DD80ABD"/>
    <w:rsid w:val="3DDF548D"/>
    <w:rsid w:val="3DE16D30"/>
    <w:rsid w:val="3DE33A1D"/>
    <w:rsid w:val="3DE77018"/>
    <w:rsid w:val="3DEA4A1F"/>
    <w:rsid w:val="3DF31B95"/>
    <w:rsid w:val="3DF47178"/>
    <w:rsid w:val="3DF870B4"/>
    <w:rsid w:val="3DFE58B3"/>
    <w:rsid w:val="3DFF61A6"/>
    <w:rsid w:val="3E040821"/>
    <w:rsid w:val="3E0420E9"/>
    <w:rsid w:val="3E062E44"/>
    <w:rsid w:val="3E0CB291"/>
    <w:rsid w:val="3E10FCBB"/>
    <w:rsid w:val="3E115AFD"/>
    <w:rsid w:val="3E173EBF"/>
    <w:rsid w:val="3E18BA85"/>
    <w:rsid w:val="3E1A5A13"/>
    <w:rsid w:val="3E1B24F4"/>
    <w:rsid w:val="3E1CF5B2"/>
    <w:rsid w:val="3E25EA44"/>
    <w:rsid w:val="3E28525A"/>
    <w:rsid w:val="3E29E387"/>
    <w:rsid w:val="3E2A7681"/>
    <w:rsid w:val="3E2D4EE3"/>
    <w:rsid w:val="3E2FC245"/>
    <w:rsid w:val="3E34C285"/>
    <w:rsid w:val="3E3D9C5D"/>
    <w:rsid w:val="3E44C398"/>
    <w:rsid w:val="3E49AA6B"/>
    <w:rsid w:val="3E4AB480"/>
    <w:rsid w:val="3E4C00A8"/>
    <w:rsid w:val="3E4CDADA"/>
    <w:rsid w:val="3E50A61C"/>
    <w:rsid w:val="3E542947"/>
    <w:rsid w:val="3E583D00"/>
    <w:rsid w:val="3E58457C"/>
    <w:rsid w:val="3E5B0052"/>
    <w:rsid w:val="3E5DAEBD"/>
    <w:rsid w:val="3E651C38"/>
    <w:rsid w:val="3E673DB3"/>
    <w:rsid w:val="3E696A85"/>
    <w:rsid w:val="3E746D29"/>
    <w:rsid w:val="3E7AC3B7"/>
    <w:rsid w:val="3E7B9ADC"/>
    <w:rsid w:val="3E82D09E"/>
    <w:rsid w:val="3E83AF23"/>
    <w:rsid w:val="3E896C34"/>
    <w:rsid w:val="3E89D2BF"/>
    <w:rsid w:val="3E8CD503"/>
    <w:rsid w:val="3E9337AE"/>
    <w:rsid w:val="3E9CAD93"/>
    <w:rsid w:val="3EAADA38"/>
    <w:rsid w:val="3EABCDC0"/>
    <w:rsid w:val="3EAEDE1B"/>
    <w:rsid w:val="3EB22B58"/>
    <w:rsid w:val="3EB4FA14"/>
    <w:rsid w:val="3EBCDD5C"/>
    <w:rsid w:val="3EC302DF"/>
    <w:rsid w:val="3ECA2900"/>
    <w:rsid w:val="3ECBA3A7"/>
    <w:rsid w:val="3ECE9A94"/>
    <w:rsid w:val="3ECEDE9A"/>
    <w:rsid w:val="3ECFCFEB"/>
    <w:rsid w:val="3EEA7802"/>
    <w:rsid w:val="3EEE9E1C"/>
    <w:rsid w:val="3EF7F93B"/>
    <w:rsid w:val="3EFBA503"/>
    <w:rsid w:val="3EFD7CA7"/>
    <w:rsid w:val="3F010A97"/>
    <w:rsid w:val="3F04B6AF"/>
    <w:rsid w:val="3F07C967"/>
    <w:rsid w:val="3F0C4AD6"/>
    <w:rsid w:val="3F0FDA96"/>
    <w:rsid w:val="3F13752D"/>
    <w:rsid w:val="3F13F22A"/>
    <w:rsid w:val="3F15EF12"/>
    <w:rsid w:val="3F1638B7"/>
    <w:rsid w:val="3F244FB5"/>
    <w:rsid w:val="3F2815B5"/>
    <w:rsid w:val="3F285F3F"/>
    <w:rsid w:val="3F31EA3C"/>
    <w:rsid w:val="3F3F5B9A"/>
    <w:rsid w:val="3F4132E9"/>
    <w:rsid w:val="3F41E9C3"/>
    <w:rsid w:val="3F4DD39B"/>
    <w:rsid w:val="3F6577BB"/>
    <w:rsid w:val="3F665629"/>
    <w:rsid w:val="3F67A2FA"/>
    <w:rsid w:val="3F6D7D29"/>
    <w:rsid w:val="3F6E0E17"/>
    <w:rsid w:val="3F832D13"/>
    <w:rsid w:val="3F954D0E"/>
    <w:rsid w:val="3F9B1E25"/>
    <w:rsid w:val="3F9BA4CE"/>
    <w:rsid w:val="3F9E84EF"/>
    <w:rsid w:val="3FA182D4"/>
    <w:rsid w:val="3FAF524A"/>
    <w:rsid w:val="3FAF65A5"/>
    <w:rsid w:val="3FB044AA"/>
    <w:rsid w:val="3FB852D8"/>
    <w:rsid w:val="3FB8B17A"/>
    <w:rsid w:val="3FBA184E"/>
    <w:rsid w:val="3FBB405A"/>
    <w:rsid w:val="3FBC5F3E"/>
    <w:rsid w:val="3FBF586F"/>
    <w:rsid w:val="3FC13861"/>
    <w:rsid w:val="3FC4A666"/>
    <w:rsid w:val="3FC61DC7"/>
    <w:rsid w:val="3FCCA5DB"/>
    <w:rsid w:val="3FCD20EF"/>
    <w:rsid w:val="3FCF30D7"/>
    <w:rsid w:val="3FD1AA48"/>
    <w:rsid w:val="3FD74B6F"/>
    <w:rsid w:val="3FE2A8BA"/>
    <w:rsid w:val="3FE528A5"/>
    <w:rsid w:val="3FE7230C"/>
    <w:rsid w:val="3FE79822"/>
    <w:rsid w:val="3FFC0F81"/>
    <w:rsid w:val="3FFFD5D8"/>
    <w:rsid w:val="40087CB9"/>
    <w:rsid w:val="400FA61C"/>
    <w:rsid w:val="4017544C"/>
    <w:rsid w:val="401D3C6F"/>
    <w:rsid w:val="4026029B"/>
    <w:rsid w:val="402757B9"/>
    <w:rsid w:val="402A108A"/>
    <w:rsid w:val="402F0C83"/>
    <w:rsid w:val="4032055A"/>
    <w:rsid w:val="4035691C"/>
    <w:rsid w:val="4043F26C"/>
    <w:rsid w:val="404405A5"/>
    <w:rsid w:val="4045D639"/>
    <w:rsid w:val="405E58BF"/>
    <w:rsid w:val="4060997E"/>
    <w:rsid w:val="4060D8FF"/>
    <w:rsid w:val="406580F6"/>
    <w:rsid w:val="406ABE60"/>
    <w:rsid w:val="406C2629"/>
    <w:rsid w:val="407AF4BF"/>
    <w:rsid w:val="407C89FD"/>
    <w:rsid w:val="4085194A"/>
    <w:rsid w:val="40920723"/>
    <w:rsid w:val="409A2D18"/>
    <w:rsid w:val="40ABABFB"/>
    <w:rsid w:val="40B0B994"/>
    <w:rsid w:val="40B527F6"/>
    <w:rsid w:val="40B6BCF7"/>
    <w:rsid w:val="40DA83A7"/>
    <w:rsid w:val="40E167F1"/>
    <w:rsid w:val="40FA93DA"/>
    <w:rsid w:val="40FB987C"/>
    <w:rsid w:val="4109A2B4"/>
    <w:rsid w:val="410A5135"/>
    <w:rsid w:val="4112310E"/>
    <w:rsid w:val="41140255"/>
    <w:rsid w:val="41151263"/>
    <w:rsid w:val="411DB81A"/>
    <w:rsid w:val="41343D3D"/>
    <w:rsid w:val="413E5E77"/>
    <w:rsid w:val="4146410E"/>
    <w:rsid w:val="414ADB28"/>
    <w:rsid w:val="415A50A3"/>
    <w:rsid w:val="4162F0E0"/>
    <w:rsid w:val="41713A80"/>
    <w:rsid w:val="4175D8A0"/>
    <w:rsid w:val="4180AC1D"/>
    <w:rsid w:val="41983ACF"/>
    <w:rsid w:val="419BB107"/>
    <w:rsid w:val="419C6AE4"/>
    <w:rsid w:val="41AB2189"/>
    <w:rsid w:val="41AB3CF3"/>
    <w:rsid w:val="41AE99F2"/>
    <w:rsid w:val="41AFB58D"/>
    <w:rsid w:val="41CF96C3"/>
    <w:rsid w:val="41D73191"/>
    <w:rsid w:val="41DDFDEE"/>
    <w:rsid w:val="41E6B3B5"/>
    <w:rsid w:val="41F63DEE"/>
    <w:rsid w:val="41F9B922"/>
    <w:rsid w:val="41FE2713"/>
    <w:rsid w:val="420715A0"/>
    <w:rsid w:val="42093184"/>
    <w:rsid w:val="4209BE77"/>
    <w:rsid w:val="420B007E"/>
    <w:rsid w:val="420C7851"/>
    <w:rsid w:val="4210555F"/>
    <w:rsid w:val="421123C2"/>
    <w:rsid w:val="4221826F"/>
    <w:rsid w:val="4221DAF1"/>
    <w:rsid w:val="422358FE"/>
    <w:rsid w:val="42261EA9"/>
    <w:rsid w:val="42373CF0"/>
    <w:rsid w:val="42397FD5"/>
    <w:rsid w:val="423D1DEA"/>
    <w:rsid w:val="423F0445"/>
    <w:rsid w:val="423FB451"/>
    <w:rsid w:val="4244F3E5"/>
    <w:rsid w:val="4246998B"/>
    <w:rsid w:val="4247E3A3"/>
    <w:rsid w:val="4249FC89"/>
    <w:rsid w:val="424BCD34"/>
    <w:rsid w:val="425645F9"/>
    <w:rsid w:val="42605CF8"/>
    <w:rsid w:val="4268F783"/>
    <w:rsid w:val="426C4B59"/>
    <w:rsid w:val="4270B250"/>
    <w:rsid w:val="4274AD32"/>
    <w:rsid w:val="427F7619"/>
    <w:rsid w:val="42802375"/>
    <w:rsid w:val="428090F3"/>
    <w:rsid w:val="428B66EA"/>
    <w:rsid w:val="428CAE3E"/>
    <w:rsid w:val="42A10B76"/>
    <w:rsid w:val="42A1AFF6"/>
    <w:rsid w:val="42A6AFEF"/>
    <w:rsid w:val="42A9EBAC"/>
    <w:rsid w:val="42B90B53"/>
    <w:rsid w:val="42C466E3"/>
    <w:rsid w:val="42CA708F"/>
    <w:rsid w:val="42CA8012"/>
    <w:rsid w:val="42CBCA27"/>
    <w:rsid w:val="42DFFE4A"/>
    <w:rsid w:val="42E5BBBC"/>
    <w:rsid w:val="42E93056"/>
    <w:rsid w:val="42E9F3F8"/>
    <w:rsid w:val="42F8DC8E"/>
    <w:rsid w:val="42FAF32E"/>
    <w:rsid w:val="430611C0"/>
    <w:rsid w:val="43069549"/>
    <w:rsid w:val="430B14D7"/>
    <w:rsid w:val="4312A7C6"/>
    <w:rsid w:val="431591CC"/>
    <w:rsid w:val="431A8AE8"/>
    <w:rsid w:val="43216B19"/>
    <w:rsid w:val="4323A004"/>
    <w:rsid w:val="432AE029"/>
    <w:rsid w:val="43305CF6"/>
    <w:rsid w:val="4339EC09"/>
    <w:rsid w:val="433D5D5A"/>
    <w:rsid w:val="433E72D7"/>
    <w:rsid w:val="4343D7F9"/>
    <w:rsid w:val="4348CFDA"/>
    <w:rsid w:val="434961BC"/>
    <w:rsid w:val="434B0A92"/>
    <w:rsid w:val="43537203"/>
    <w:rsid w:val="43558B38"/>
    <w:rsid w:val="435DCC6C"/>
    <w:rsid w:val="43605538"/>
    <w:rsid w:val="4360ADD2"/>
    <w:rsid w:val="4362E569"/>
    <w:rsid w:val="4367AC88"/>
    <w:rsid w:val="43691AD1"/>
    <w:rsid w:val="436CEF38"/>
    <w:rsid w:val="436DBB9B"/>
    <w:rsid w:val="437CA246"/>
    <w:rsid w:val="438058BB"/>
    <w:rsid w:val="4380A96B"/>
    <w:rsid w:val="4382DBFD"/>
    <w:rsid w:val="438ACB87"/>
    <w:rsid w:val="43940773"/>
    <w:rsid w:val="43966539"/>
    <w:rsid w:val="4397BA2C"/>
    <w:rsid w:val="4399FEA0"/>
    <w:rsid w:val="43A5B63D"/>
    <w:rsid w:val="43A8DB73"/>
    <w:rsid w:val="43AC0084"/>
    <w:rsid w:val="43B58F8A"/>
    <w:rsid w:val="43BA12A6"/>
    <w:rsid w:val="43BDD4C4"/>
    <w:rsid w:val="43BFE5F4"/>
    <w:rsid w:val="43BFE8D8"/>
    <w:rsid w:val="43C50AB2"/>
    <w:rsid w:val="43D45336"/>
    <w:rsid w:val="43DBE22C"/>
    <w:rsid w:val="43DC42C6"/>
    <w:rsid w:val="43E147A6"/>
    <w:rsid w:val="43E56ACF"/>
    <w:rsid w:val="43E8BA72"/>
    <w:rsid w:val="43E92252"/>
    <w:rsid w:val="43EDCC38"/>
    <w:rsid w:val="43F84381"/>
    <w:rsid w:val="43FC1610"/>
    <w:rsid w:val="43FDF072"/>
    <w:rsid w:val="4405083A"/>
    <w:rsid w:val="4405DB79"/>
    <w:rsid w:val="4416AB9E"/>
    <w:rsid w:val="441EF6DB"/>
    <w:rsid w:val="441F6AF4"/>
    <w:rsid w:val="4424BC98"/>
    <w:rsid w:val="4425CA6D"/>
    <w:rsid w:val="44284E9D"/>
    <w:rsid w:val="44287FE4"/>
    <w:rsid w:val="442B1791"/>
    <w:rsid w:val="44337240"/>
    <w:rsid w:val="443768E4"/>
    <w:rsid w:val="443D1F83"/>
    <w:rsid w:val="44479C69"/>
    <w:rsid w:val="44506DDD"/>
    <w:rsid w:val="4455E495"/>
    <w:rsid w:val="445B4216"/>
    <w:rsid w:val="445D708A"/>
    <w:rsid w:val="4472305E"/>
    <w:rsid w:val="447DDC02"/>
    <w:rsid w:val="447DE63A"/>
    <w:rsid w:val="4489B508"/>
    <w:rsid w:val="449ABCA7"/>
    <w:rsid w:val="449B336F"/>
    <w:rsid w:val="44B58113"/>
    <w:rsid w:val="44B5F9C6"/>
    <w:rsid w:val="44B6A7BA"/>
    <w:rsid w:val="44B8A84C"/>
    <w:rsid w:val="44BB17E0"/>
    <w:rsid w:val="44C0B0C3"/>
    <w:rsid w:val="44C30479"/>
    <w:rsid w:val="44C4689A"/>
    <w:rsid w:val="44D19907"/>
    <w:rsid w:val="44D1B22A"/>
    <w:rsid w:val="44D29167"/>
    <w:rsid w:val="44D7AD06"/>
    <w:rsid w:val="44DC06C9"/>
    <w:rsid w:val="44DFE733"/>
    <w:rsid w:val="44F7DFB2"/>
    <w:rsid w:val="44F81A32"/>
    <w:rsid w:val="44FA15F4"/>
    <w:rsid w:val="45084D97"/>
    <w:rsid w:val="450AD9FE"/>
    <w:rsid w:val="450B841C"/>
    <w:rsid w:val="450C63B6"/>
    <w:rsid w:val="450D1657"/>
    <w:rsid w:val="4518B75C"/>
    <w:rsid w:val="451A105E"/>
    <w:rsid w:val="452E1FD3"/>
    <w:rsid w:val="45303AE1"/>
    <w:rsid w:val="4530CC25"/>
    <w:rsid w:val="45352488"/>
    <w:rsid w:val="4545FE8E"/>
    <w:rsid w:val="4550EF09"/>
    <w:rsid w:val="45516E0C"/>
    <w:rsid w:val="45557DA4"/>
    <w:rsid w:val="4562A6AE"/>
    <w:rsid w:val="45654D00"/>
    <w:rsid w:val="4569FDEA"/>
    <w:rsid w:val="45730D17"/>
    <w:rsid w:val="457DA860"/>
    <w:rsid w:val="457FBC47"/>
    <w:rsid w:val="45852CC2"/>
    <w:rsid w:val="45880731"/>
    <w:rsid w:val="458CEF53"/>
    <w:rsid w:val="459038EE"/>
    <w:rsid w:val="4593EA59"/>
    <w:rsid w:val="45997FBF"/>
    <w:rsid w:val="45A12FA4"/>
    <w:rsid w:val="45A1D2BF"/>
    <w:rsid w:val="45B173F9"/>
    <w:rsid w:val="45B363DF"/>
    <w:rsid w:val="45BFFC4A"/>
    <w:rsid w:val="45C10513"/>
    <w:rsid w:val="45C1A4F7"/>
    <w:rsid w:val="45CA51F7"/>
    <w:rsid w:val="45CB10DC"/>
    <w:rsid w:val="45CDEBB5"/>
    <w:rsid w:val="45D44B2C"/>
    <w:rsid w:val="45D6D279"/>
    <w:rsid w:val="45D7C117"/>
    <w:rsid w:val="45DADC56"/>
    <w:rsid w:val="45DC3FF1"/>
    <w:rsid w:val="45E51641"/>
    <w:rsid w:val="45E6BFEB"/>
    <w:rsid w:val="45E6DFFF"/>
    <w:rsid w:val="45E85092"/>
    <w:rsid w:val="45F1243E"/>
    <w:rsid w:val="45F6C1CB"/>
    <w:rsid w:val="45F9FDD7"/>
    <w:rsid w:val="45FBD05A"/>
    <w:rsid w:val="460156F2"/>
    <w:rsid w:val="4602A72E"/>
    <w:rsid w:val="46078545"/>
    <w:rsid w:val="4614B859"/>
    <w:rsid w:val="46165B4A"/>
    <w:rsid w:val="461749FA"/>
    <w:rsid w:val="461A3A6B"/>
    <w:rsid w:val="461D86B3"/>
    <w:rsid w:val="461DA114"/>
    <w:rsid w:val="46220A5D"/>
    <w:rsid w:val="462CA5C1"/>
    <w:rsid w:val="463028AF"/>
    <w:rsid w:val="4638EDBA"/>
    <w:rsid w:val="4639EF26"/>
    <w:rsid w:val="4640B956"/>
    <w:rsid w:val="46458015"/>
    <w:rsid w:val="464C0D71"/>
    <w:rsid w:val="464D2A61"/>
    <w:rsid w:val="464F73EB"/>
    <w:rsid w:val="465581D0"/>
    <w:rsid w:val="4661E762"/>
    <w:rsid w:val="4665A53B"/>
    <w:rsid w:val="4675DABD"/>
    <w:rsid w:val="467F281C"/>
    <w:rsid w:val="46965064"/>
    <w:rsid w:val="46A3B904"/>
    <w:rsid w:val="46A51489"/>
    <w:rsid w:val="46A656BA"/>
    <w:rsid w:val="46B80AB8"/>
    <w:rsid w:val="46B826AA"/>
    <w:rsid w:val="46B8B268"/>
    <w:rsid w:val="46C620DC"/>
    <w:rsid w:val="46C78F33"/>
    <w:rsid w:val="46CD3680"/>
    <w:rsid w:val="46D26DD7"/>
    <w:rsid w:val="46D34BD3"/>
    <w:rsid w:val="46D55989"/>
    <w:rsid w:val="46DE1991"/>
    <w:rsid w:val="46E3A143"/>
    <w:rsid w:val="46F4FA72"/>
    <w:rsid w:val="46F5DAB3"/>
    <w:rsid w:val="46FDB571"/>
    <w:rsid w:val="470013E5"/>
    <w:rsid w:val="4701E6A2"/>
    <w:rsid w:val="470798D4"/>
    <w:rsid w:val="470C3317"/>
    <w:rsid w:val="47108C34"/>
    <w:rsid w:val="4716ADFC"/>
    <w:rsid w:val="471851B3"/>
    <w:rsid w:val="47199F0B"/>
    <w:rsid w:val="471EA155"/>
    <w:rsid w:val="471F8FFB"/>
    <w:rsid w:val="472614A1"/>
    <w:rsid w:val="472A56F7"/>
    <w:rsid w:val="4733D01E"/>
    <w:rsid w:val="474C8B80"/>
    <w:rsid w:val="474E8EED"/>
    <w:rsid w:val="474F6E21"/>
    <w:rsid w:val="47500D3F"/>
    <w:rsid w:val="47538BBC"/>
    <w:rsid w:val="475CEC27"/>
    <w:rsid w:val="475D9E7D"/>
    <w:rsid w:val="4762A9B7"/>
    <w:rsid w:val="4768B21A"/>
    <w:rsid w:val="4772C87B"/>
    <w:rsid w:val="477F497B"/>
    <w:rsid w:val="478608CF"/>
    <w:rsid w:val="47988A08"/>
    <w:rsid w:val="479BCE88"/>
    <w:rsid w:val="47A088A2"/>
    <w:rsid w:val="47B10804"/>
    <w:rsid w:val="47B1F20C"/>
    <w:rsid w:val="47B5604B"/>
    <w:rsid w:val="47B86904"/>
    <w:rsid w:val="47D0D560"/>
    <w:rsid w:val="47DC1096"/>
    <w:rsid w:val="47DCB8E6"/>
    <w:rsid w:val="47DE1509"/>
    <w:rsid w:val="47E67789"/>
    <w:rsid w:val="47F33C33"/>
    <w:rsid w:val="47FAB5FC"/>
    <w:rsid w:val="47FB8D84"/>
    <w:rsid w:val="47FC4339"/>
    <w:rsid w:val="4807BA1F"/>
    <w:rsid w:val="48115AA8"/>
    <w:rsid w:val="48167988"/>
    <w:rsid w:val="4819A4F4"/>
    <w:rsid w:val="481D9454"/>
    <w:rsid w:val="481FD715"/>
    <w:rsid w:val="4827142B"/>
    <w:rsid w:val="482D8C89"/>
    <w:rsid w:val="483395DB"/>
    <w:rsid w:val="4836E0AE"/>
    <w:rsid w:val="4837472A"/>
    <w:rsid w:val="483D959A"/>
    <w:rsid w:val="48436BFF"/>
    <w:rsid w:val="48447AC7"/>
    <w:rsid w:val="48465A7C"/>
    <w:rsid w:val="48496357"/>
    <w:rsid w:val="484CD89F"/>
    <w:rsid w:val="484FE98B"/>
    <w:rsid w:val="485BB447"/>
    <w:rsid w:val="485D0CF4"/>
    <w:rsid w:val="486A48E2"/>
    <w:rsid w:val="4876E312"/>
    <w:rsid w:val="487D93E5"/>
    <w:rsid w:val="4882F483"/>
    <w:rsid w:val="4883820A"/>
    <w:rsid w:val="4884D526"/>
    <w:rsid w:val="4893DA24"/>
    <w:rsid w:val="4895883B"/>
    <w:rsid w:val="48B2D495"/>
    <w:rsid w:val="48B6A9B3"/>
    <w:rsid w:val="48B81DF7"/>
    <w:rsid w:val="48B979F2"/>
    <w:rsid w:val="48BA540D"/>
    <w:rsid w:val="48BAF036"/>
    <w:rsid w:val="48C80C13"/>
    <w:rsid w:val="48C9B48A"/>
    <w:rsid w:val="48CAA608"/>
    <w:rsid w:val="48D2355C"/>
    <w:rsid w:val="48D8FC7E"/>
    <w:rsid w:val="48E20DD4"/>
    <w:rsid w:val="48EAD2C6"/>
    <w:rsid w:val="48ED821B"/>
    <w:rsid w:val="48F15553"/>
    <w:rsid w:val="48F17CA4"/>
    <w:rsid w:val="48F1A565"/>
    <w:rsid w:val="48F8448A"/>
    <w:rsid w:val="4901D66F"/>
    <w:rsid w:val="4908EF1D"/>
    <w:rsid w:val="490C8EA1"/>
    <w:rsid w:val="490DA453"/>
    <w:rsid w:val="490DD630"/>
    <w:rsid w:val="491041BD"/>
    <w:rsid w:val="491A1A5F"/>
    <w:rsid w:val="492A6107"/>
    <w:rsid w:val="4937D1A1"/>
    <w:rsid w:val="493817F1"/>
    <w:rsid w:val="49385CEF"/>
    <w:rsid w:val="493B000D"/>
    <w:rsid w:val="49429AE6"/>
    <w:rsid w:val="4954AFC6"/>
    <w:rsid w:val="495999B1"/>
    <w:rsid w:val="49600999"/>
    <w:rsid w:val="49733E81"/>
    <w:rsid w:val="49762483"/>
    <w:rsid w:val="49785B8E"/>
    <w:rsid w:val="498961C7"/>
    <w:rsid w:val="498C696A"/>
    <w:rsid w:val="499C8560"/>
    <w:rsid w:val="49AE5520"/>
    <w:rsid w:val="49BE9C10"/>
    <w:rsid w:val="49BF14B5"/>
    <w:rsid w:val="49C185D2"/>
    <w:rsid w:val="49C643F3"/>
    <w:rsid w:val="49CA7E60"/>
    <w:rsid w:val="49D89E9E"/>
    <w:rsid w:val="49DCC912"/>
    <w:rsid w:val="49DF56F4"/>
    <w:rsid w:val="49F6A2ED"/>
    <w:rsid w:val="4A06486B"/>
    <w:rsid w:val="4A0A75EC"/>
    <w:rsid w:val="4A25F731"/>
    <w:rsid w:val="4A272F36"/>
    <w:rsid w:val="4A319289"/>
    <w:rsid w:val="4A3284D4"/>
    <w:rsid w:val="4A5103EC"/>
    <w:rsid w:val="4A574545"/>
    <w:rsid w:val="4A629077"/>
    <w:rsid w:val="4A6834F6"/>
    <w:rsid w:val="4A68BBE3"/>
    <w:rsid w:val="4A7DA319"/>
    <w:rsid w:val="4A7EE92A"/>
    <w:rsid w:val="4A8D12BC"/>
    <w:rsid w:val="4A94FD23"/>
    <w:rsid w:val="4A95EF11"/>
    <w:rsid w:val="4A9E2A56"/>
    <w:rsid w:val="4A9EB370"/>
    <w:rsid w:val="4A9F2F4F"/>
    <w:rsid w:val="4AA49C84"/>
    <w:rsid w:val="4AAA8F34"/>
    <w:rsid w:val="4AAF9E6B"/>
    <w:rsid w:val="4AB817C3"/>
    <w:rsid w:val="4AB8379B"/>
    <w:rsid w:val="4ABCFF23"/>
    <w:rsid w:val="4ABD85F7"/>
    <w:rsid w:val="4ABED4F7"/>
    <w:rsid w:val="4AC533D7"/>
    <w:rsid w:val="4AC6FB73"/>
    <w:rsid w:val="4AC962AE"/>
    <w:rsid w:val="4AD0F9D4"/>
    <w:rsid w:val="4AD64C5B"/>
    <w:rsid w:val="4ADE7746"/>
    <w:rsid w:val="4AED4B05"/>
    <w:rsid w:val="4AF3CB85"/>
    <w:rsid w:val="4AF4634B"/>
    <w:rsid w:val="4AF69AC1"/>
    <w:rsid w:val="4AF6C05C"/>
    <w:rsid w:val="4AF92C34"/>
    <w:rsid w:val="4AFFF4D3"/>
    <w:rsid w:val="4B0941DB"/>
    <w:rsid w:val="4B09CB7C"/>
    <w:rsid w:val="4B0FC45B"/>
    <w:rsid w:val="4B12EBC8"/>
    <w:rsid w:val="4B17784D"/>
    <w:rsid w:val="4B216261"/>
    <w:rsid w:val="4B223E8E"/>
    <w:rsid w:val="4B2AD0CE"/>
    <w:rsid w:val="4B3C4BC3"/>
    <w:rsid w:val="4B424846"/>
    <w:rsid w:val="4B42B5B6"/>
    <w:rsid w:val="4B4444BE"/>
    <w:rsid w:val="4B479268"/>
    <w:rsid w:val="4B4E41C1"/>
    <w:rsid w:val="4B62FD45"/>
    <w:rsid w:val="4B63818F"/>
    <w:rsid w:val="4B641334"/>
    <w:rsid w:val="4B65D347"/>
    <w:rsid w:val="4B73D7F6"/>
    <w:rsid w:val="4B764D59"/>
    <w:rsid w:val="4B83226E"/>
    <w:rsid w:val="4B86495F"/>
    <w:rsid w:val="4B88CF60"/>
    <w:rsid w:val="4B956173"/>
    <w:rsid w:val="4B9B8C6D"/>
    <w:rsid w:val="4BA3C176"/>
    <w:rsid w:val="4BB959DE"/>
    <w:rsid w:val="4BC4ADF9"/>
    <w:rsid w:val="4BC9362E"/>
    <w:rsid w:val="4BCEC6D4"/>
    <w:rsid w:val="4BD172ED"/>
    <w:rsid w:val="4BD5E477"/>
    <w:rsid w:val="4BD64185"/>
    <w:rsid w:val="4BD72EE3"/>
    <w:rsid w:val="4BD764EB"/>
    <w:rsid w:val="4BDD27D0"/>
    <w:rsid w:val="4BDE5BE5"/>
    <w:rsid w:val="4BE1CC50"/>
    <w:rsid w:val="4BE4FB76"/>
    <w:rsid w:val="4BE7DDB4"/>
    <w:rsid w:val="4BEFA1E7"/>
    <w:rsid w:val="4BF4650F"/>
    <w:rsid w:val="4BF71283"/>
    <w:rsid w:val="4C0B53DD"/>
    <w:rsid w:val="4C1321F4"/>
    <w:rsid w:val="4C164A18"/>
    <w:rsid w:val="4C218A5D"/>
    <w:rsid w:val="4C254EC6"/>
    <w:rsid w:val="4C29AD13"/>
    <w:rsid w:val="4C336917"/>
    <w:rsid w:val="4C3E88BF"/>
    <w:rsid w:val="4C3F9BFC"/>
    <w:rsid w:val="4C4187A8"/>
    <w:rsid w:val="4C41BF03"/>
    <w:rsid w:val="4C47C940"/>
    <w:rsid w:val="4C4D4AF7"/>
    <w:rsid w:val="4C5E8687"/>
    <w:rsid w:val="4C6C3D92"/>
    <w:rsid w:val="4C70A75C"/>
    <w:rsid w:val="4C7C0414"/>
    <w:rsid w:val="4C819412"/>
    <w:rsid w:val="4C81D202"/>
    <w:rsid w:val="4C92C29C"/>
    <w:rsid w:val="4C968F6A"/>
    <w:rsid w:val="4CA41B28"/>
    <w:rsid w:val="4CB714FB"/>
    <w:rsid w:val="4CC1FBBA"/>
    <w:rsid w:val="4CC50E41"/>
    <w:rsid w:val="4CD1BED3"/>
    <w:rsid w:val="4CD6113A"/>
    <w:rsid w:val="4CDD6E43"/>
    <w:rsid w:val="4CDE8A9E"/>
    <w:rsid w:val="4CE150FC"/>
    <w:rsid w:val="4CE1CA08"/>
    <w:rsid w:val="4CE51F99"/>
    <w:rsid w:val="4CE8342C"/>
    <w:rsid w:val="4CECAB14"/>
    <w:rsid w:val="4CF8E6A6"/>
    <w:rsid w:val="4CF8F30D"/>
    <w:rsid w:val="4CFBEAEC"/>
    <w:rsid w:val="4D036022"/>
    <w:rsid w:val="4D0390D8"/>
    <w:rsid w:val="4D0451E6"/>
    <w:rsid w:val="4D0AFBC3"/>
    <w:rsid w:val="4D1225FE"/>
    <w:rsid w:val="4D186B67"/>
    <w:rsid w:val="4D1FDE65"/>
    <w:rsid w:val="4D2CD5CE"/>
    <w:rsid w:val="4D2D6242"/>
    <w:rsid w:val="4D30F248"/>
    <w:rsid w:val="4D39A996"/>
    <w:rsid w:val="4D40D2BB"/>
    <w:rsid w:val="4D41F3B2"/>
    <w:rsid w:val="4D555249"/>
    <w:rsid w:val="4D56629A"/>
    <w:rsid w:val="4D583544"/>
    <w:rsid w:val="4D59B563"/>
    <w:rsid w:val="4D660F96"/>
    <w:rsid w:val="4D7DE2BF"/>
    <w:rsid w:val="4D8404FD"/>
    <w:rsid w:val="4D8DB8BA"/>
    <w:rsid w:val="4D8EA40E"/>
    <w:rsid w:val="4D93D2E1"/>
    <w:rsid w:val="4D982D5C"/>
    <w:rsid w:val="4DA11A7E"/>
    <w:rsid w:val="4DA89D58"/>
    <w:rsid w:val="4DABD04C"/>
    <w:rsid w:val="4DB7987D"/>
    <w:rsid w:val="4DB8E7DE"/>
    <w:rsid w:val="4DBF76C3"/>
    <w:rsid w:val="4DC5B4DC"/>
    <w:rsid w:val="4DC9C8AB"/>
    <w:rsid w:val="4DD4263B"/>
    <w:rsid w:val="4DE15B7D"/>
    <w:rsid w:val="4DF7359E"/>
    <w:rsid w:val="4DF7BB13"/>
    <w:rsid w:val="4DFEAA16"/>
    <w:rsid w:val="4E027EBE"/>
    <w:rsid w:val="4E036C07"/>
    <w:rsid w:val="4E04F8D0"/>
    <w:rsid w:val="4E0BFF50"/>
    <w:rsid w:val="4E0F47FE"/>
    <w:rsid w:val="4E102E7F"/>
    <w:rsid w:val="4E11FDE1"/>
    <w:rsid w:val="4E2369BF"/>
    <w:rsid w:val="4E282749"/>
    <w:rsid w:val="4E298295"/>
    <w:rsid w:val="4E2FBDB6"/>
    <w:rsid w:val="4E30CC8F"/>
    <w:rsid w:val="4E35AB88"/>
    <w:rsid w:val="4E3BE546"/>
    <w:rsid w:val="4E400098"/>
    <w:rsid w:val="4E43754D"/>
    <w:rsid w:val="4E43C438"/>
    <w:rsid w:val="4E47244D"/>
    <w:rsid w:val="4E557A93"/>
    <w:rsid w:val="4E58BB23"/>
    <w:rsid w:val="4E5DF01A"/>
    <w:rsid w:val="4E624DE9"/>
    <w:rsid w:val="4E6B8F1C"/>
    <w:rsid w:val="4E6E5EE8"/>
    <w:rsid w:val="4E76DB3E"/>
    <w:rsid w:val="4E7BF558"/>
    <w:rsid w:val="4E83EDE5"/>
    <w:rsid w:val="4E85454F"/>
    <w:rsid w:val="4E8BA7DC"/>
    <w:rsid w:val="4E935207"/>
    <w:rsid w:val="4E9A2138"/>
    <w:rsid w:val="4E9E845B"/>
    <w:rsid w:val="4EA2BA60"/>
    <w:rsid w:val="4EB743B0"/>
    <w:rsid w:val="4EBA14E9"/>
    <w:rsid w:val="4EBB6706"/>
    <w:rsid w:val="4EC00443"/>
    <w:rsid w:val="4EC886E0"/>
    <w:rsid w:val="4ECC17B4"/>
    <w:rsid w:val="4EDA7BD0"/>
    <w:rsid w:val="4EDD2833"/>
    <w:rsid w:val="4EDE398A"/>
    <w:rsid w:val="4EE6D05D"/>
    <w:rsid w:val="4EEFD5AF"/>
    <w:rsid w:val="4EF629BD"/>
    <w:rsid w:val="4EF7D5B6"/>
    <w:rsid w:val="4EFC12C8"/>
    <w:rsid w:val="4F018FFB"/>
    <w:rsid w:val="4F03328E"/>
    <w:rsid w:val="4F071BE7"/>
    <w:rsid w:val="4F09A486"/>
    <w:rsid w:val="4F0A6C0B"/>
    <w:rsid w:val="4F122BEC"/>
    <w:rsid w:val="4F23F7F8"/>
    <w:rsid w:val="4F247B0C"/>
    <w:rsid w:val="4F30447A"/>
    <w:rsid w:val="4F361A13"/>
    <w:rsid w:val="4F38295E"/>
    <w:rsid w:val="4F444F40"/>
    <w:rsid w:val="4F4645CE"/>
    <w:rsid w:val="4F4E03D1"/>
    <w:rsid w:val="4F4FBE54"/>
    <w:rsid w:val="4F51175C"/>
    <w:rsid w:val="4F56165E"/>
    <w:rsid w:val="4F62D00F"/>
    <w:rsid w:val="4F6F8859"/>
    <w:rsid w:val="4F7CEB87"/>
    <w:rsid w:val="4F8EE840"/>
    <w:rsid w:val="4F94209C"/>
    <w:rsid w:val="4FA5F3DF"/>
    <w:rsid w:val="4FA81045"/>
    <w:rsid w:val="4FC7B219"/>
    <w:rsid w:val="4FD23917"/>
    <w:rsid w:val="4FD61735"/>
    <w:rsid w:val="4FD9FE32"/>
    <w:rsid w:val="4FDA2237"/>
    <w:rsid w:val="4FDABF54"/>
    <w:rsid w:val="4FDBD4A9"/>
    <w:rsid w:val="4FDD6DFE"/>
    <w:rsid w:val="4FE5848E"/>
    <w:rsid w:val="4FEAFD58"/>
    <w:rsid w:val="4FEE37D9"/>
    <w:rsid w:val="4FF1A792"/>
    <w:rsid w:val="4FF1EE0A"/>
    <w:rsid w:val="4FF2FE88"/>
    <w:rsid w:val="4FF7DE3D"/>
    <w:rsid w:val="4FF90C28"/>
    <w:rsid w:val="500E7A84"/>
    <w:rsid w:val="50135C4C"/>
    <w:rsid w:val="5018619C"/>
    <w:rsid w:val="501B9035"/>
    <w:rsid w:val="502406AD"/>
    <w:rsid w:val="503E0226"/>
    <w:rsid w:val="504D4389"/>
    <w:rsid w:val="5052121D"/>
    <w:rsid w:val="5053FA42"/>
    <w:rsid w:val="50576F5C"/>
    <w:rsid w:val="5059C2AD"/>
    <w:rsid w:val="5059E4DB"/>
    <w:rsid w:val="50654567"/>
    <w:rsid w:val="506EDA09"/>
    <w:rsid w:val="5070D375"/>
    <w:rsid w:val="50771172"/>
    <w:rsid w:val="507743E9"/>
    <w:rsid w:val="50827B29"/>
    <w:rsid w:val="5085497F"/>
    <w:rsid w:val="5088CC48"/>
    <w:rsid w:val="509D0B29"/>
    <w:rsid w:val="509D8720"/>
    <w:rsid w:val="50A3A4AA"/>
    <w:rsid w:val="50AB8F3B"/>
    <w:rsid w:val="50ACC10B"/>
    <w:rsid w:val="50B6B8E8"/>
    <w:rsid w:val="50C0F413"/>
    <w:rsid w:val="50C2D1D7"/>
    <w:rsid w:val="50C3BB26"/>
    <w:rsid w:val="50C82EED"/>
    <w:rsid w:val="50CDBC4C"/>
    <w:rsid w:val="50CDD2C0"/>
    <w:rsid w:val="50DA5DEE"/>
    <w:rsid w:val="50DD63E3"/>
    <w:rsid w:val="50E90EB3"/>
    <w:rsid w:val="50EB5025"/>
    <w:rsid w:val="50F0C4BD"/>
    <w:rsid w:val="5108A9F2"/>
    <w:rsid w:val="51141368"/>
    <w:rsid w:val="5115D92F"/>
    <w:rsid w:val="5122FC57"/>
    <w:rsid w:val="51275DA2"/>
    <w:rsid w:val="51352DCA"/>
    <w:rsid w:val="51357CAE"/>
    <w:rsid w:val="513873CC"/>
    <w:rsid w:val="51405704"/>
    <w:rsid w:val="51436430"/>
    <w:rsid w:val="51486090"/>
    <w:rsid w:val="514A029B"/>
    <w:rsid w:val="51514FAC"/>
    <w:rsid w:val="5157EF83"/>
    <w:rsid w:val="5157F099"/>
    <w:rsid w:val="51696039"/>
    <w:rsid w:val="516E4D02"/>
    <w:rsid w:val="517907D7"/>
    <w:rsid w:val="517DB14C"/>
    <w:rsid w:val="5189EF76"/>
    <w:rsid w:val="518AA97F"/>
    <w:rsid w:val="518E0075"/>
    <w:rsid w:val="51A42B8E"/>
    <w:rsid w:val="51A8CC3A"/>
    <w:rsid w:val="51AB7F98"/>
    <w:rsid w:val="51AF5CDD"/>
    <w:rsid w:val="51B4AE37"/>
    <w:rsid w:val="51B5662E"/>
    <w:rsid w:val="51B78532"/>
    <w:rsid w:val="51C2BE2B"/>
    <w:rsid w:val="51C886DE"/>
    <w:rsid w:val="51CA6A19"/>
    <w:rsid w:val="51CFDB08"/>
    <w:rsid w:val="51D7D2DD"/>
    <w:rsid w:val="51DB8E21"/>
    <w:rsid w:val="51DBDE11"/>
    <w:rsid w:val="51DE83ED"/>
    <w:rsid w:val="51E21623"/>
    <w:rsid w:val="51E638DB"/>
    <w:rsid w:val="51F7584B"/>
    <w:rsid w:val="51F83992"/>
    <w:rsid w:val="51F905A4"/>
    <w:rsid w:val="51FDA150"/>
    <w:rsid w:val="51FDDE78"/>
    <w:rsid w:val="51FEE1D4"/>
    <w:rsid w:val="520E7079"/>
    <w:rsid w:val="521304BA"/>
    <w:rsid w:val="5215EE89"/>
    <w:rsid w:val="52198ED2"/>
    <w:rsid w:val="521A409D"/>
    <w:rsid w:val="521FE198"/>
    <w:rsid w:val="522718A1"/>
    <w:rsid w:val="52273637"/>
    <w:rsid w:val="5228F670"/>
    <w:rsid w:val="523573F0"/>
    <w:rsid w:val="5236D157"/>
    <w:rsid w:val="5241B5A4"/>
    <w:rsid w:val="5242DC52"/>
    <w:rsid w:val="52456006"/>
    <w:rsid w:val="524B15C6"/>
    <w:rsid w:val="52647260"/>
    <w:rsid w:val="52660F5E"/>
    <w:rsid w:val="5273C44A"/>
    <w:rsid w:val="52781B6A"/>
    <w:rsid w:val="5286E48B"/>
    <w:rsid w:val="5289BE5A"/>
    <w:rsid w:val="528AA10A"/>
    <w:rsid w:val="528AC14F"/>
    <w:rsid w:val="528C89E1"/>
    <w:rsid w:val="52A3CF41"/>
    <w:rsid w:val="52B06396"/>
    <w:rsid w:val="52BD6E8F"/>
    <w:rsid w:val="52CE53F7"/>
    <w:rsid w:val="52D4380F"/>
    <w:rsid w:val="52DC87FA"/>
    <w:rsid w:val="52DCBAC7"/>
    <w:rsid w:val="52DE25AF"/>
    <w:rsid w:val="52DEB99C"/>
    <w:rsid w:val="52DF38A1"/>
    <w:rsid w:val="52E368D6"/>
    <w:rsid w:val="52E6B0F6"/>
    <w:rsid w:val="52F38499"/>
    <w:rsid w:val="530779D0"/>
    <w:rsid w:val="530CF0CB"/>
    <w:rsid w:val="5318B79E"/>
    <w:rsid w:val="532416D3"/>
    <w:rsid w:val="532F31B6"/>
    <w:rsid w:val="5331919A"/>
    <w:rsid w:val="53394583"/>
    <w:rsid w:val="53405A56"/>
    <w:rsid w:val="534852B2"/>
    <w:rsid w:val="534BF3E1"/>
    <w:rsid w:val="534ECC67"/>
    <w:rsid w:val="534F4645"/>
    <w:rsid w:val="534FCF0B"/>
    <w:rsid w:val="5354AEFD"/>
    <w:rsid w:val="53562DA5"/>
    <w:rsid w:val="5359DFED"/>
    <w:rsid w:val="535A7716"/>
    <w:rsid w:val="535C245E"/>
    <w:rsid w:val="535C60EB"/>
    <w:rsid w:val="53622DA8"/>
    <w:rsid w:val="5365CC69"/>
    <w:rsid w:val="5366749C"/>
    <w:rsid w:val="536EB463"/>
    <w:rsid w:val="536FEE13"/>
    <w:rsid w:val="53758FBC"/>
    <w:rsid w:val="5377EAA5"/>
    <w:rsid w:val="537F1E30"/>
    <w:rsid w:val="53880FE5"/>
    <w:rsid w:val="538AA8AF"/>
    <w:rsid w:val="538B1AE8"/>
    <w:rsid w:val="5392DEDA"/>
    <w:rsid w:val="5394EF21"/>
    <w:rsid w:val="539A3330"/>
    <w:rsid w:val="539B24BE"/>
    <w:rsid w:val="53A12C3D"/>
    <w:rsid w:val="53A50A2D"/>
    <w:rsid w:val="53AA0985"/>
    <w:rsid w:val="53AF6F4D"/>
    <w:rsid w:val="53B0619A"/>
    <w:rsid w:val="53B0F814"/>
    <w:rsid w:val="53B1B961"/>
    <w:rsid w:val="53B6A0BA"/>
    <w:rsid w:val="53BD4964"/>
    <w:rsid w:val="53BF0182"/>
    <w:rsid w:val="53C1EDED"/>
    <w:rsid w:val="53CAE858"/>
    <w:rsid w:val="53CCFE3C"/>
    <w:rsid w:val="53CDC81F"/>
    <w:rsid w:val="53CEE9D5"/>
    <w:rsid w:val="53D6607A"/>
    <w:rsid w:val="53D6E576"/>
    <w:rsid w:val="53DDD4E5"/>
    <w:rsid w:val="53E0C6A4"/>
    <w:rsid w:val="53E40C5C"/>
    <w:rsid w:val="53E6BB68"/>
    <w:rsid w:val="53E6FA1B"/>
    <w:rsid w:val="53E9A64A"/>
    <w:rsid w:val="53EA6671"/>
    <w:rsid w:val="53ED1177"/>
    <w:rsid w:val="53F128A1"/>
    <w:rsid w:val="53F3D909"/>
    <w:rsid w:val="53FB71D1"/>
    <w:rsid w:val="53FEBE06"/>
    <w:rsid w:val="5400F1F0"/>
    <w:rsid w:val="5402C9BD"/>
    <w:rsid w:val="541142A3"/>
    <w:rsid w:val="542237BF"/>
    <w:rsid w:val="5430ED14"/>
    <w:rsid w:val="5434047B"/>
    <w:rsid w:val="54343D84"/>
    <w:rsid w:val="543C4F79"/>
    <w:rsid w:val="543F14C1"/>
    <w:rsid w:val="5440B380"/>
    <w:rsid w:val="5444293F"/>
    <w:rsid w:val="544968F6"/>
    <w:rsid w:val="544BE4A5"/>
    <w:rsid w:val="545452CC"/>
    <w:rsid w:val="545B9DBB"/>
    <w:rsid w:val="545F1F70"/>
    <w:rsid w:val="546C08EB"/>
    <w:rsid w:val="5475C35A"/>
    <w:rsid w:val="54795C32"/>
    <w:rsid w:val="547BA7F7"/>
    <w:rsid w:val="54834A9C"/>
    <w:rsid w:val="5483D2EA"/>
    <w:rsid w:val="54858006"/>
    <w:rsid w:val="548612A7"/>
    <w:rsid w:val="54881696"/>
    <w:rsid w:val="548C5CDA"/>
    <w:rsid w:val="54903846"/>
    <w:rsid w:val="549BD910"/>
    <w:rsid w:val="54A7E46F"/>
    <w:rsid w:val="54A9EAA1"/>
    <w:rsid w:val="54BEA0D3"/>
    <w:rsid w:val="54C115DB"/>
    <w:rsid w:val="54C2B1A1"/>
    <w:rsid w:val="54D754C3"/>
    <w:rsid w:val="54DF6917"/>
    <w:rsid w:val="54DF8E9D"/>
    <w:rsid w:val="54E1FB7E"/>
    <w:rsid w:val="54E558EB"/>
    <w:rsid w:val="54EB61B9"/>
    <w:rsid w:val="54EBEA07"/>
    <w:rsid w:val="54F030D4"/>
    <w:rsid w:val="54F5D4E2"/>
    <w:rsid w:val="54F984B5"/>
    <w:rsid w:val="55102585"/>
    <w:rsid w:val="551690BA"/>
    <w:rsid w:val="5516A35F"/>
    <w:rsid w:val="551D427E"/>
    <w:rsid w:val="551DD7B5"/>
    <w:rsid w:val="552254B3"/>
    <w:rsid w:val="5524884F"/>
    <w:rsid w:val="553A03FA"/>
    <w:rsid w:val="5543EE77"/>
    <w:rsid w:val="55503B6E"/>
    <w:rsid w:val="555131D1"/>
    <w:rsid w:val="55579FA5"/>
    <w:rsid w:val="5558A665"/>
    <w:rsid w:val="55591361"/>
    <w:rsid w:val="555A8143"/>
    <w:rsid w:val="55630358"/>
    <w:rsid w:val="5563078E"/>
    <w:rsid w:val="55691E2A"/>
    <w:rsid w:val="556DED26"/>
    <w:rsid w:val="55741A10"/>
    <w:rsid w:val="5588EB72"/>
    <w:rsid w:val="558A1109"/>
    <w:rsid w:val="5590E77A"/>
    <w:rsid w:val="559E8515"/>
    <w:rsid w:val="55A017D1"/>
    <w:rsid w:val="55B3A9F3"/>
    <w:rsid w:val="55B40A37"/>
    <w:rsid w:val="55C3081B"/>
    <w:rsid w:val="55CC2725"/>
    <w:rsid w:val="55D1101F"/>
    <w:rsid w:val="55D775A6"/>
    <w:rsid w:val="55DF8AED"/>
    <w:rsid w:val="55F5F6CC"/>
    <w:rsid w:val="55F8D1D2"/>
    <w:rsid w:val="55F99457"/>
    <w:rsid w:val="55FB38A4"/>
    <w:rsid w:val="55FC2BC0"/>
    <w:rsid w:val="5602D88F"/>
    <w:rsid w:val="560F33BB"/>
    <w:rsid w:val="5610E58C"/>
    <w:rsid w:val="5610ECA2"/>
    <w:rsid w:val="5614221C"/>
    <w:rsid w:val="56187032"/>
    <w:rsid w:val="561DCC6F"/>
    <w:rsid w:val="56257FC5"/>
    <w:rsid w:val="56263DD0"/>
    <w:rsid w:val="5626904E"/>
    <w:rsid w:val="5629132A"/>
    <w:rsid w:val="5629D625"/>
    <w:rsid w:val="562F6C42"/>
    <w:rsid w:val="5634B4D6"/>
    <w:rsid w:val="563A710D"/>
    <w:rsid w:val="563DCA62"/>
    <w:rsid w:val="56406370"/>
    <w:rsid w:val="564F4562"/>
    <w:rsid w:val="56532E4C"/>
    <w:rsid w:val="565FCBF1"/>
    <w:rsid w:val="56625C2A"/>
    <w:rsid w:val="566486B5"/>
    <w:rsid w:val="566A9CA6"/>
    <w:rsid w:val="566BA451"/>
    <w:rsid w:val="566C1C60"/>
    <w:rsid w:val="5672E614"/>
    <w:rsid w:val="56810056"/>
    <w:rsid w:val="56824C59"/>
    <w:rsid w:val="5682DB27"/>
    <w:rsid w:val="56853C4A"/>
    <w:rsid w:val="5685977F"/>
    <w:rsid w:val="5688AE5D"/>
    <w:rsid w:val="568BED05"/>
    <w:rsid w:val="5690D9F7"/>
    <w:rsid w:val="56996827"/>
    <w:rsid w:val="569BCE7A"/>
    <w:rsid w:val="56A2C835"/>
    <w:rsid w:val="56A421E4"/>
    <w:rsid w:val="56A6013E"/>
    <w:rsid w:val="56B2925D"/>
    <w:rsid w:val="56B4F44A"/>
    <w:rsid w:val="56C54112"/>
    <w:rsid w:val="56C99CB0"/>
    <w:rsid w:val="56CB0C6D"/>
    <w:rsid w:val="56D0A931"/>
    <w:rsid w:val="56D1559F"/>
    <w:rsid w:val="56D41A02"/>
    <w:rsid w:val="56DDBB26"/>
    <w:rsid w:val="56E49E90"/>
    <w:rsid w:val="56E6B8A8"/>
    <w:rsid w:val="56E7C942"/>
    <w:rsid w:val="56E9EEBC"/>
    <w:rsid w:val="56F11FB1"/>
    <w:rsid w:val="56F4203F"/>
    <w:rsid w:val="56F989BD"/>
    <w:rsid w:val="5709C2B0"/>
    <w:rsid w:val="5728B545"/>
    <w:rsid w:val="573C6034"/>
    <w:rsid w:val="57464DB1"/>
    <w:rsid w:val="57464E06"/>
    <w:rsid w:val="574AB3C5"/>
    <w:rsid w:val="574D351D"/>
    <w:rsid w:val="57544801"/>
    <w:rsid w:val="575683B7"/>
    <w:rsid w:val="576565C0"/>
    <w:rsid w:val="5766D08A"/>
    <w:rsid w:val="5766DE6D"/>
    <w:rsid w:val="5778BD1F"/>
    <w:rsid w:val="577AAE11"/>
    <w:rsid w:val="577AC844"/>
    <w:rsid w:val="577D44DC"/>
    <w:rsid w:val="57820E4F"/>
    <w:rsid w:val="5785CBEF"/>
    <w:rsid w:val="579DCA7E"/>
    <w:rsid w:val="57A2283A"/>
    <w:rsid w:val="57AC16E3"/>
    <w:rsid w:val="57B2EAE9"/>
    <w:rsid w:val="57B4A371"/>
    <w:rsid w:val="57B5EFCA"/>
    <w:rsid w:val="57B88415"/>
    <w:rsid w:val="57BD634D"/>
    <w:rsid w:val="57C1F1AB"/>
    <w:rsid w:val="57C6DF68"/>
    <w:rsid w:val="57EAAB5B"/>
    <w:rsid w:val="57F01781"/>
    <w:rsid w:val="57F191B4"/>
    <w:rsid w:val="57F38803"/>
    <w:rsid w:val="5800A47D"/>
    <w:rsid w:val="58019CF2"/>
    <w:rsid w:val="580D0E7C"/>
    <w:rsid w:val="5815DBF8"/>
    <w:rsid w:val="5816C160"/>
    <w:rsid w:val="5817F645"/>
    <w:rsid w:val="5818AE63"/>
    <w:rsid w:val="5819E413"/>
    <w:rsid w:val="5819E6B9"/>
    <w:rsid w:val="58248096"/>
    <w:rsid w:val="582631D6"/>
    <w:rsid w:val="5827ECD6"/>
    <w:rsid w:val="5829C6B7"/>
    <w:rsid w:val="583691ED"/>
    <w:rsid w:val="58369648"/>
    <w:rsid w:val="5837C435"/>
    <w:rsid w:val="583CBA15"/>
    <w:rsid w:val="583F8ED0"/>
    <w:rsid w:val="58557CE0"/>
    <w:rsid w:val="5857ADB9"/>
    <w:rsid w:val="585D66D7"/>
    <w:rsid w:val="586252EF"/>
    <w:rsid w:val="5866BE15"/>
    <w:rsid w:val="586A462E"/>
    <w:rsid w:val="586D0A32"/>
    <w:rsid w:val="58777AF1"/>
    <w:rsid w:val="587C3C6A"/>
    <w:rsid w:val="58838D23"/>
    <w:rsid w:val="58889D22"/>
    <w:rsid w:val="588E1C7D"/>
    <w:rsid w:val="58906804"/>
    <w:rsid w:val="5893BEA9"/>
    <w:rsid w:val="5898C31B"/>
    <w:rsid w:val="589D2251"/>
    <w:rsid w:val="589EAC4D"/>
    <w:rsid w:val="58B008AC"/>
    <w:rsid w:val="58C06914"/>
    <w:rsid w:val="58D38F35"/>
    <w:rsid w:val="58D7259D"/>
    <w:rsid w:val="58EA6A46"/>
    <w:rsid w:val="58EA9F93"/>
    <w:rsid w:val="58EF89FF"/>
    <w:rsid w:val="58FA1F6D"/>
    <w:rsid w:val="58FCE044"/>
    <w:rsid w:val="5908858D"/>
    <w:rsid w:val="590D0E65"/>
    <w:rsid w:val="590F6145"/>
    <w:rsid w:val="5910DE77"/>
    <w:rsid w:val="591577EF"/>
    <w:rsid w:val="5915A19B"/>
    <w:rsid w:val="5925C491"/>
    <w:rsid w:val="59274644"/>
    <w:rsid w:val="592D5727"/>
    <w:rsid w:val="592F5514"/>
    <w:rsid w:val="593CE14B"/>
    <w:rsid w:val="593EBCD5"/>
    <w:rsid w:val="5943DD59"/>
    <w:rsid w:val="5946BCE0"/>
    <w:rsid w:val="5947B132"/>
    <w:rsid w:val="594B77A7"/>
    <w:rsid w:val="59512E42"/>
    <w:rsid w:val="59536050"/>
    <w:rsid w:val="596201DC"/>
    <w:rsid w:val="5964AD6F"/>
    <w:rsid w:val="5967C7C6"/>
    <w:rsid w:val="597434EF"/>
    <w:rsid w:val="597526A0"/>
    <w:rsid w:val="59771D33"/>
    <w:rsid w:val="597C2E7E"/>
    <w:rsid w:val="597E1780"/>
    <w:rsid w:val="59826709"/>
    <w:rsid w:val="5984D185"/>
    <w:rsid w:val="59886CBB"/>
    <w:rsid w:val="598B78E7"/>
    <w:rsid w:val="599B23A9"/>
    <w:rsid w:val="59A30083"/>
    <w:rsid w:val="59A6029F"/>
    <w:rsid w:val="59A68CDB"/>
    <w:rsid w:val="59B171A4"/>
    <w:rsid w:val="59B20DBF"/>
    <w:rsid w:val="59B50395"/>
    <w:rsid w:val="59B6C2C4"/>
    <w:rsid w:val="59B72590"/>
    <w:rsid w:val="59B74D27"/>
    <w:rsid w:val="59C8EE95"/>
    <w:rsid w:val="59CADB06"/>
    <w:rsid w:val="59CD9D0B"/>
    <w:rsid w:val="59CFBA3A"/>
    <w:rsid w:val="59D2A7C8"/>
    <w:rsid w:val="59D425B0"/>
    <w:rsid w:val="59DF98F5"/>
    <w:rsid w:val="59EF01E0"/>
    <w:rsid w:val="59F0F580"/>
    <w:rsid w:val="59F5698A"/>
    <w:rsid w:val="59FEF2E1"/>
    <w:rsid w:val="5A0AF5B9"/>
    <w:rsid w:val="5A10B550"/>
    <w:rsid w:val="5A113129"/>
    <w:rsid w:val="5A195DE9"/>
    <w:rsid w:val="5A1EB6D4"/>
    <w:rsid w:val="5A204A41"/>
    <w:rsid w:val="5A28EF88"/>
    <w:rsid w:val="5A2BF4B1"/>
    <w:rsid w:val="5A2D22AB"/>
    <w:rsid w:val="5A314EC8"/>
    <w:rsid w:val="5A377E74"/>
    <w:rsid w:val="5A37DA6E"/>
    <w:rsid w:val="5A39B200"/>
    <w:rsid w:val="5A3E7DAD"/>
    <w:rsid w:val="5A412BFD"/>
    <w:rsid w:val="5A424B74"/>
    <w:rsid w:val="5A43B77E"/>
    <w:rsid w:val="5A45FD47"/>
    <w:rsid w:val="5A462310"/>
    <w:rsid w:val="5A489AE8"/>
    <w:rsid w:val="5A5CA996"/>
    <w:rsid w:val="5A5DAA54"/>
    <w:rsid w:val="5A65E62D"/>
    <w:rsid w:val="5A692E21"/>
    <w:rsid w:val="5A79AF5A"/>
    <w:rsid w:val="5A7F0757"/>
    <w:rsid w:val="5A86604B"/>
    <w:rsid w:val="5AA9C768"/>
    <w:rsid w:val="5AAA73CC"/>
    <w:rsid w:val="5AAD854B"/>
    <w:rsid w:val="5AB4BD61"/>
    <w:rsid w:val="5AB8D4ED"/>
    <w:rsid w:val="5ABC304F"/>
    <w:rsid w:val="5AC25139"/>
    <w:rsid w:val="5AC2A701"/>
    <w:rsid w:val="5AC8BBE0"/>
    <w:rsid w:val="5AD793D2"/>
    <w:rsid w:val="5ADF57CB"/>
    <w:rsid w:val="5AF0200B"/>
    <w:rsid w:val="5AF041F3"/>
    <w:rsid w:val="5AF1620E"/>
    <w:rsid w:val="5AF6493E"/>
    <w:rsid w:val="5AF6C2C0"/>
    <w:rsid w:val="5B0625FD"/>
    <w:rsid w:val="5B0AFEF7"/>
    <w:rsid w:val="5B0EC4BD"/>
    <w:rsid w:val="5B11E436"/>
    <w:rsid w:val="5B17C02C"/>
    <w:rsid w:val="5B19A557"/>
    <w:rsid w:val="5B22B140"/>
    <w:rsid w:val="5B284431"/>
    <w:rsid w:val="5B28D26B"/>
    <w:rsid w:val="5B2C5647"/>
    <w:rsid w:val="5B35BCF4"/>
    <w:rsid w:val="5B3AC7D0"/>
    <w:rsid w:val="5B3CE632"/>
    <w:rsid w:val="5B401A24"/>
    <w:rsid w:val="5B421D28"/>
    <w:rsid w:val="5B44314D"/>
    <w:rsid w:val="5B4A3AAE"/>
    <w:rsid w:val="5B4FD38E"/>
    <w:rsid w:val="5B53FB10"/>
    <w:rsid w:val="5B5433AC"/>
    <w:rsid w:val="5B594753"/>
    <w:rsid w:val="5B5D1462"/>
    <w:rsid w:val="5B5D757A"/>
    <w:rsid w:val="5B60C2C5"/>
    <w:rsid w:val="5B61D8DE"/>
    <w:rsid w:val="5B648AE3"/>
    <w:rsid w:val="5B6492CA"/>
    <w:rsid w:val="5B74F127"/>
    <w:rsid w:val="5B76337C"/>
    <w:rsid w:val="5B771434"/>
    <w:rsid w:val="5B784960"/>
    <w:rsid w:val="5B78BAB4"/>
    <w:rsid w:val="5B7B02E0"/>
    <w:rsid w:val="5B7B7872"/>
    <w:rsid w:val="5B7C11F8"/>
    <w:rsid w:val="5B829720"/>
    <w:rsid w:val="5B8AE4F7"/>
    <w:rsid w:val="5B959A91"/>
    <w:rsid w:val="5BA29CE0"/>
    <w:rsid w:val="5BA2FFD8"/>
    <w:rsid w:val="5BAC1C08"/>
    <w:rsid w:val="5BB21612"/>
    <w:rsid w:val="5BB54DC1"/>
    <w:rsid w:val="5BC062D8"/>
    <w:rsid w:val="5BC43C53"/>
    <w:rsid w:val="5BC90FBD"/>
    <w:rsid w:val="5BD0566A"/>
    <w:rsid w:val="5BD065B4"/>
    <w:rsid w:val="5BD089C0"/>
    <w:rsid w:val="5BE18769"/>
    <w:rsid w:val="5BE3FA42"/>
    <w:rsid w:val="5BEBA912"/>
    <w:rsid w:val="5BEECE92"/>
    <w:rsid w:val="5BF0E4A6"/>
    <w:rsid w:val="5C10DA77"/>
    <w:rsid w:val="5C1B9CA4"/>
    <w:rsid w:val="5C240E5A"/>
    <w:rsid w:val="5C297E20"/>
    <w:rsid w:val="5C2A636B"/>
    <w:rsid w:val="5C2ACD4B"/>
    <w:rsid w:val="5C38173A"/>
    <w:rsid w:val="5C3D7583"/>
    <w:rsid w:val="5C408780"/>
    <w:rsid w:val="5C4322B3"/>
    <w:rsid w:val="5C4EF765"/>
    <w:rsid w:val="5C4F088A"/>
    <w:rsid w:val="5C534A2F"/>
    <w:rsid w:val="5C552C35"/>
    <w:rsid w:val="5C5DCF21"/>
    <w:rsid w:val="5C5E0DE8"/>
    <w:rsid w:val="5C5FCF6B"/>
    <w:rsid w:val="5C645C98"/>
    <w:rsid w:val="5C6589AC"/>
    <w:rsid w:val="5C66B11F"/>
    <w:rsid w:val="5C6CB567"/>
    <w:rsid w:val="5C717BE3"/>
    <w:rsid w:val="5C767FC3"/>
    <w:rsid w:val="5C76F20C"/>
    <w:rsid w:val="5C7E14AF"/>
    <w:rsid w:val="5C801E22"/>
    <w:rsid w:val="5C87A1B0"/>
    <w:rsid w:val="5C8E14D6"/>
    <w:rsid w:val="5C95442B"/>
    <w:rsid w:val="5C972ABB"/>
    <w:rsid w:val="5C9FCE94"/>
    <w:rsid w:val="5CA44F4E"/>
    <w:rsid w:val="5CA49354"/>
    <w:rsid w:val="5CA6181B"/>
    <w:rsid w:val="5CA84749"/>
    <w:rsid w:val="5CAD772E"/>
    <w:rsid w:val="5CBB0FFF"/>
    <w:rsid w:val="5CBE7CA0"/>
    <w:rsid w:val="5CC515DC"/>
    <w:rsid w:val="5CCC999A"/>
    <w:rsid w:val="5CD22494"/>
    <w:rsid w:val="5CD671BE"/>
    <w:rsid w:val="5CD6DD61"/>
    <w:rsid w:val="5CDB3037"/>
    <w:rsid w:val="5CF4BCE2"/>
    <w:rsid w:val="5CF6C878"/>
    <w:rsid w:val="5CF874F4"/>
    <w:rsid w:val="5CFD3B03"/>
    <w:rsid w:val="5D025466"/>
    <w:rsid w:val="5D161B9E"/>
    <w:rsid w:val="5D1B5CA2"/>
    <w:rsid w:val="5D1CE7FC"/>
    <w:rsid w:val="5D21D750"/>
    <w:rsid w:val="5D24A0CC"/>
    <w:rsid w:val="5D2552D4"/>
    <w:rsid w:val="5D280403"/>
    <w:rsid w:val="5D2DAFEC"/>
    <w:rsid w:val="5D3C5214"/>
    <w:rsid w:val="5D41E8EF"/>
    <w:rsid w:val="5D4D3947"/>
    <w:rsid w:val="5D51B07E"/>
    <w:rsid w:val="5D54156F"/>
    <w:rsid w:val="5D5B1967"/>
    <w:rsid w:val="5D61432E"/>
    <w:rsid w:val="5D64A7E7"/>
    <w:rsid w:val="5D6D047D"/>
    <w:rsid w:val="5D7D78B8"/>
    <w:rsid w:val="5D81FB3C"/>
    <w:rsid w:val="5D8432BA"/>
    <w:rsid w:val="5D8C0EB5"/>
    <w:rsid w:val="5D98AACE"/>
    <w:rsid w:val="5D9B255E"/>
    <w:rsid w:val="5D9F4B72"/>
    <w:rsid w:val="5DA8330D"/>
    <w:rsid w:val="5DAD29CB"/>
    <w:rsid w:val="5DB05614"/>
    <w:rsid w:val="5DBD33E4"/>
    <w:rsid w:val="5DC450A0"/>
    <w:rsid w:val="5DD3C076"/>
    <w:rsid w:val="5DD5BEFE"/>
    <w:rsid w:val="5DDBEFA9"/>
    <w:rsid w:val="5DE89DBA"/>
    <w:rsid w:val="5DEA351B"/>
    <w:rsid w:val="5DEFF329"/>
    <w:rsid w:val="5DF8B3C1"/>
    <w:rsid w:val="5DFF765B"/>
    <w:rsid w:val="5E0359E9"/>
    <w:rsid w:val="5E046E90"/>
    <w:rsid w:val="5E0AF2DB"/>
    <w:rsid w:val="5E117093"/>
    <w:rsid w:val="5E1450E2"/>
    <w:rsid w:val="5E1690A3"/>
    <w:rsid w:val="5E19067B"/>
    <w:rsid w:val="5E223F28"/>
    <w:rsid w:val="5E22DD8F"/>
    <w:rsid w:val="5E247E18"/>
    <w:rsid w:val="5E285A8E"/>
    <w:rsid w:val="5E2B4313"/>
    <w:rsid w:val="5E2F5FC3"/>
    <w:rsid w:val="5E346557"/>
    <w:rsid w:val="5E353A94"/>
    <w:rsid w:val="5E409729"/>
    <w:rsid w:val="5E4762CA"/>
    <w:rsid w:val="5E4B4CC6"/>
    <w:rsid w:val="5E58A490"/>
    <w:rsid w:val="5E6E1343"/>
    <w:rsid w:val="5E74BB21"/>
    <w:rsid w:val="5E783850"/>
    <w:rsid w:val="5E78F77E"/>
    <w:rsid w:val="5E7FE7D2"/>
    <w:rsid w:val="5E841BD6"/>
    <w:rsid w:val="5E86E9D5"/>
    <w:rsid w:val="5E86F008"/>
    <w:rsid w:val="5E87E172"/>
    <w:rsid w:val="5E8B2557"/>
    <w:rsid w:val="5E8E01EB"/>
    <w:rsid w:val="5E960D7A"/>
    <w:rsid w:val="5EA085A8"/>
    <w:rsid w:val="5EA280FF"/>
    <w:rsid w:val="5EA3A7E8"/>
    <w:rsid w:val="5EA4C9CF"/>
    <w:rsid w:val="5EB2383A"/>
    <w:rsid w:val="5EC7D944"/>
    <w:rsid w:val="5ECBAB6C"/>
    <w:rsid w:val="5EDA6C8E"/>
    <w:rsid w:val="5EDB23E5"/>
    <w:rsid w:val="5EDBBB84"/>
    <w:rsid w:val="5EDDAB74"/>
    <w:rsid w:val="5EDDBA59"/>
    <w:rsid w:val="5EDEB647"/>
    <w:rsid w:val="5EEBCC1B"/>
    <w:rsid w:val="5EEE16BB"/>
    <w:rsid w:val="5EF20D76"/>
    <w:rsid w:val="5EFD68C9"/>
    <w:rsid w:val="5F008344"/>
    <w:rsid w:val="5F0B7E49"/>
    <w:rsid w:val="5F113F1C"/>
    <w:rsid w:val="5F123737"/>
    <w:rsid w:val="5F3B5D6C"/>
    <w:rsid w:val="5F41EB19"/>
    <w:rsid w:val="5F457796"/>
    <w:rsid w:val="5F479540"/>
    <w:rsid w:val="5F4AB463"/>
    <w:rsid w:val="5F4CB735"/>
    <w:rsid w:val="5F4D402F"/>
    <w:rsid w:val="5F4D7F9A"/>
    <w:rsid w:val="5F59DE55"/>
    <w:rsid w:val="5F60C57E"/>
    <w:rsid w:val="5F65E522"/>
    <w:rsid w:val="5F69930F"/>
    <w:rsid w:val="5F6BE5F6"/>
    <w:rsid w:val="5F6C0C27"/>
    <w:rsid w:val="5F736CA8"/>
    <w:rsid w:val="5F745AAA"/>
    <w:rsid w:val="5F75FB0D"/>
    <w:rsid w:val="5F773328"/>
    <w:rsid w:val="5F78E0C3"/>
    <w:rsid w:val="5F796772"/>
    <w:rsid w:val="5F7B1B09"/>
    <w:rsid w:val="5F7C72A2"/>
    <w:rsid w:val="5F829617"/>
    <w:rsid w:val="5F897940"/>
    <w:rsid w:val="5F90C3BB"/>
    <w:rsid w:val="5F91ED84"/>
    <w:rsid w:val="5F99B98D"/>
    <w:rsid w:val="5F9ADA24"/>
    <w:rsid w:val="5FAB0091"/>
    <w:rsid w:val="5FB5A052"/>
    <w:rsid w:val="5FBB5FB0"/>
    <w:rsid w:val="5FC0C3C6"/>
    <w:rsid w:val="5FC33144"/>
    <w:rsid w:val="5FCEDBCA"/>
    <w:rsid w:val="5FD1CEF9"/>
    <w:rsid w:val="5FD5DA04"/>
    <w:rsid w:val="5FD8121D"/>
    <w:rsid w:val="5FDE4DFF"/>
    <w:rsid w:val="5FDF916F"/>
    <w:rsid w:val="5FE0D3B7"/>
    <w:rsid w:val="5FE39133"/>
    <w:rsid w:val="5FE9E50C"/>
    <w:rsid w:val="5FED6DD4"/>
    <w:rsid w:val="5FF498EF"/>
    <w:rsid w:val="5FFA6993"/>
    <w:rsid w:val="5FFC4CE8"/>
    <w:rsid w:val="60087502"/>
    <w:rsid w:val="600B990D"/>
    <w:rsid w:val="601DCA67"/>
    <w:rsid w:val="602009E5"/>
    <w:rsid w:val="60242B7B"/>
    <w:rsid w:val="602BF8FD"/>
    <w:rsid w:val="6030CAB1"/>
    <w:rsid w:val="603B03D1"/>
    <w:rsid w:val="603C64ED"/>
    <w:rsid w:val="603F6033"/>
    <w:rsid w:val="60429579"/>
    <w:rsid w:val="604D6DD2"/>
    <w:rsid w:val="60571B57"/>
    <w:rsid w:val="6057E5AB"/>
    <w:rsid w:val="6060A34E"/>
    <w:rsid w:val="6069CFF8"/>
    <w:rsid w:val="606D58D7"/>
    <w:rsid w:val="606EEBB5"/>
    <w:rsid w:val="6071CFD7"/>
    <w:rsid w:val="60732454"/>
    <w:rsid w:val="60737B32"/>
    <w:rsid w:val="607CE3EE"/>
    <w:rsid w:val="6080C70B"/>
    <w:rsid w:val="60882653"/>
    <w:rsid w:val="608D5CA0"/>
    <w:rsid w:val="609529C4"/>
    <w:rsid w:val="60956D6F"/>
    <w:rsid w:val="6095E756"/>
    <w:rsid w:val="609D2321"/>
    <w:rsid w:val="609F4BF7"/>
    <w:rsid w:val="60A3C6CC"/>
    <w:rsid w:val="60B1E570"/>
    <w:rsid w:val="60B23847"/>
    <w:rsid w:val="60B48D44"/>
    <w:rsid w:val="60B75C8C"/>
    <w:rsid w:val="60BE1333"/>
    <w:rsid w:val="60C7960A"/>
    <w:rsid w:val="60CB7932"/>
    <w:rsid w:val="60CBF288"/>
    <w:rsid w:val="60D66F75"/>
    <w:rsid w:val="60DAF239"/>
    <w:rsid w:val="60DBB0F0"/>
    <w:rsid w:val="60E4EDEE"/>
    <w:rsid w:val="60ED1DCA"/>
    <w:rsid w:val="60F2E851"/>
    <w:rsid w:val="60FBF58C"/>
    <w:rsid w:val="60FF92C0"/>
    <w:rsid w:val="610085A2"/>
    <w:rsid w:val="61036D81"/>
    <w:rsid w:val="61077B38"/>
    <w:rsid w:val="611296E7"/>
    <w:rsid w:val="61130BB8"/>
    <w:rsid w:val="611C976E"/>
    <w:rsid w:val="6120B911"/>
    <w:rsid w:val="61229DDB"/>
    <w:rsid w:val="61295F79"/>
    <w:rsid w:val="612CB06B"/>
    <w:rsid w:val="612F92A5"/>
    <w:rsid w:val="61306720"/>
    <w:rsid w:val="61463425"/>
    <w:rsid w:val="6149648B"/>
    <w:rsid w:val="614E04D4"/>
    <w:rsid w:val="615AB961"/>
    <w:rsid w:val="615EF9D8"/>
    <w:rsid w:val="616BB42E"/>
    <w:rsid w:val="616F1B47"/>
    <w:rsid w:val="61876E7D"/>
    <w:rsid w:val="618E3CFD"/>
    <w:rsid w:val="61916441"/>
    <w:rsid w:val="6196FC27"/>
    <w:rsid w:val="619C6AAF"/>
    <w:rsid w:val="61A7460D"/>
    <w:rsid w:val="61AAB501"/>
    <w:rsid w:val="61AC22C5"/>
    <w:rsid w:val="61B45A01"/>
    <w:rsid w:val="61BB1FAC"/>
    <w:rsid w:val="61BC594E"/>
    <w:rsid w:val="61BD07DC"/>
    <w:rsid w:val="61BD316E"/>
    <w:rsid w:val="61C56BA7"/>
    <w:rsid w:val="61D14565"/>
    <w:rsid w:val="61D742F1"/>
    <w:rsid w:val="61DDD355"/>
    <w:rsid w:val="61DF6897"/>
    <w:rsid w:val="61E07468"/>
    <w:rsid w:val="61ECC674"/>
    <w:rsid w:val="61F36A9B"/>
    <w:rsid w:val="61F52CD8"/>
    <w:rsid w:val="61FB1D9C"/>
    <w:rsid w:val="61FF5EDB"/>
    <w:rsid w:val="621009A4"/>
    <w:rsid w:val="621E151D"/>
    <w:rsid w:val="62225582"/>
    <w:rsid w:val="6228DE5B"/>
    <w:rsid w:val="62297CE9"/>
    <w:rsid w:val="622E7B1A"/>
    <w:rsid w:val="6233695A"/>
    <w:rsid w:val="6241B6DD"/>
    <w:rsid w:val="624FBB29"/>
    <w:rsid w:val="62510D7B"/>
    <w:rsid w:val="625764AC"/>
    <w:rsid w:val="625AF68B"/>
    <w:rsid w:val="626EBBCD"/>
    <w:rsid w:val="626F7BB8"/>
    <w:rsid w:val="62723C71"/>
    <w:rsid w:val="6279B532"/>
    <w:rsid w:val="627C3963"/>
    <w:rsid w:val="6286C9FC"/>
    <w:rsid w:val="62884E19"/>
    <w:rsid w:val="6292FBCB"/>
    <w:rsid w:val="629350DC"/>
    <w:rsid w:val="629629FD"/>
    <w:rsid w:val="62967036"/>
    <w:rsid w:val="62AF16EE"/>
    <w:rsid w:val="62AF47AE"/>
    <w:rsid w:val="62B4B229"/>
    <w:rsid w:val="62B684FC"/>
    <w:rsid w:val="62B89395"/>
    <w:rsid w:val="62C7046F"/>
    <w:rsid w:val="62C810A4"/>
    <w:rsid w:val="62C83B5D"/>
    <w:rsid w:val="62CCFFDA"/>
    <w:rsid w:val="62D1F435"/>
    <w:rsid w:val="62D6017C"/>
    <w:rsid w:val="62D6D1B4"/>
    <w:rsid w:val="62F19793"/>
    <w:rsid w:val="62F58025"/>
    <w:rsid w:val="62F8AACB"/>
    <w:rsid w:val="62FBE5F0"/>
    <w:rsid w:val="6301E643"/>
    <w:rsid w:val="63086454"/>
    <w:rsid w:val="630CD026"/>
    <w:rsid w:val="630E0BB5"/>
    <w:rsid w:val="632A0A83"/>
    <w:rsid w:val="632F235D"/>
    <w:rsid w:val="6334D74E"/>
    <w:rsid w:val="633C2C13"/>
    <w:rsid w:val="633F5872"/>
    <w:rsid w:val="63581DD1"/>
    <w:rsid w:val="635E5044"/>
    <w:rsid w:val="63640F1E"/>
    <w:rsid w:val="63656EEA"/>
    <w:rsid w:val="6365A2C0"/>
    <w:rsid w:val="6375AD95"/>
    <w:rsid w:val="6376CA81"/>
    <w:rsid w:val="6376DF41"/>
    <w:rsid w:val="637C0312"/>
    <w:rsid w:val="637E0906"/>
    <w:rsid w:val="637EC442"/>
    <w:rsid w:val="638257B6"/>
    <w:rsid w:val="638ECA20"/>
    <w:rsid w:val="63969814"/>
    <w:rsid w:val="63981DC8"/>
    <w:rsid w:val="63A579C0"/>
    <w:rsid w:val="63A73089"/>
    <w:rsid w:val="63B40806"/>
    <w:rsid w:val="63BA03A8"/>
    <w:rsid w:val="63BC7492"/>
    <w:rsid w:val="63C1E9B1"/>
    <w:rsid w:val="63CD56A9"/>
    <w:rsid w:val="63D19AA1"/>
    <w:rsid w:val="63DAEA48"/>
    <w:rsid w:val="63DC3A2C"/>
    <w:rsid w:val="6404B7E5"/>
    <w:rsid w:val="64187BC3"/>
    <w:rsid w:val="642D12C5"/>
    <w:rsid w:val="6433DD0C"/>
    <w:rsid w:val="64395AA0"/>
    <w:rsid w:val="64443B00"/>
    <w:rsid w:val="644AFE3D"/>
    <w:rsid w:val="6457C254"/>
    <w:rsid w:val="645AE76A"/>
    <w:rsid w:val="645C7ACB"/>
    <w:rsid w:val="645C9A04"/>
    <w:rsid w:val="645CA506"/>
    <w:rsid w:val="64610F93"/>
    <w:rsid w:val="6469CE53"/>
    <w:rsid w:val="6479B8C7"/>
    <w:rsid w:val="647CE8C3"/>
    <w:rsid w:val="6496CF48"/>
    <w:rsid w:val="6498860E"/>
    <w:rsid w:val="6498A3D9"/>
    <w:rsid w:val="649FC7E7"/>
    <w:rsid w:val="64A2A0A7"/>
    <w:rsid w:val="64A89E38"/>
    <w:rsid w:val="64AB9CE4"/>
    <w:rsid w:val="64B4B6B2"/>
    <w:rsid w:val="64C0B2AA"/>
    <w:rsid w:val="64C15794"/>
    <w:rsid w:val="64C37BC3"/>
    <w:rsid w:val="64C3B9E1"/>
    <w:rsid w:val="64CACD74"/>
    <w:rsid w:val="64D0587F"/>
    <w:rsid w:val="64D1EE8A"/>
    <w:rsid w:val="64D5228B"/>
    <w:rsid w:val="64D5AF56"/>
    <w:rsid w:val="64D67435"/>
    <w:rsid w:val="64EBD4E5"/>
    <w:rsid w:val="64EDA80E"/>
    <w:rsid w:val="64F84103"/>
    <w:rsid w:val="64FA8DB1"/>
    <w:rsid w:val="6505E53A"/>
    <w:rsid w:val="6514A93D"/>
    <w:rsid w:val="6525A659"/>
    <w:rsid w:val="6527BDE8"/>
    <w:rsid w:val="65364703"/>
    <w:rsid w:val="654216EC"/>
    <w:rsid w:val="6543E7B7"/>
    <w:rsid w:val="6545FC22"/>
    <w:rsid w:val="65493FBF"/>
    <w:rsid w:val="654FE9BE"/>
    <w:rsid w:val="6552BE71"/>
    <w:rsid w:val="6561DB1F"/>
    <w:rsid w:val="65655529"/>
    <w:rsid w:val="65655E3F"/>
    <w:rsid w:val="656A6A2F"/>
    <w:rsid w:val="656FE6DB"/>
    <w:rsid w:val="6593D4F8"/>
    <w:rsid w:val="6596652B"/>
    <w:rsid w:val="6598A447"/>
    <w:rsid w:val="659A0180"/>
    <w:rsid w:val="659A06EB"/>
    <w:rsid w:val="65A24F5E"/>
    <w:rsid w:val="65A33B2C"/>
    <w:rsid w:val="65A3C05D"/>
    <w:rsid w:val="65AB1A69"/>
    <w:rsid w:val="65AED908"/>
    <w:rsid w:val="65B06827"/>
    <w:rsid w:val="65B2A3D9"/>
    <w:rsid w:val="65B5D8E3"/>
    <w:rsid w:val="65BE8738"/>
    <w:rsid w:val="65C9611E"/>
    <w:rsid w:val="65C9DB18"/>
    <w:rsid w:val="65D8C6EE"/>
    <w:rsid w:val="65E16790"/>
    <w:rsid w:val="65E62AFE"/>
    <w:rsid w:val="65E7D14E"/>
    <w:rsid w:val="660389CE"/>
    <w:rsid w:val="6609274B"/>
    <w:rsid w:val="660BCB69"/>
    <w:rsid w:val="660CFECF"/>
    <w:rsid w:val="660EBF8C"/>
    <w:rsid w:val="6610F362"/>
    <w:rsid w:val="66215DBF"/>
    <w:rsid w:val="662400A4"/>
    <w:rsid w:val="66288616"/>
    <w:rsid w:val="662ACECD"/>
    <w:rsid w:val="6638ABFE"/>
    <w:rsid w:val="6641B69D"/>
    <w:rsid w:val="66441B56"/>
    <w:rsid w:val="664E415B"/>
    <w:rsid w:val="6652669E"/>
    <w:rsid w:val="66566214"/>
    <w:rsid w:val="66585783"/>
    <w:rsid w:val="66672A98"/>
    <w:rsid w:val="666A379E"/>
    <w:rsid w:val="666B631B"/>
    <w:rsid w:val="66727755"/>
    <w:rsid w:val="66745ABC"/>
    <w:rsid w:val="66776FF6"/>
    <w:rsid w:val="667DF50D"/>
    <w:rsid w:val="668A4471"/>
    <w:rsid w:val="6691B3E7"/>
    <w:rsid w:val="669B16BE"/>
    <w:rsid w:val="66A54D5E"/>
    <w:rsid w:val="66A8EE2A"/>
    <w:rsid w:val="66AD27F2"/>
    <w:rsid w:val="66B2C934"/>
    <w:rsid w:val="66BC232F"/>
    <w:rsid w:val="66C1B14F"/>
    <w:rsid w:val="66C43A1C"/>
    <w:rsid w:val="66CAFDB6"/>
    <w:rsid w:val="66D3A953"/>
    <w:rsid w:val="66D3B83E"/>
    <w:rsid w:val="66DA997B"/>
    <w:rsid w:val="66F4A45C"/>
    <w:rsid w:val="66F4A651"/>
    <w:rsid w:val="66F95A05"/>
    <w:rsid w:val="66FB293E"/>
    <w:rsid w:val="67029CF5"/>
    <w:rsid w:val="670927F3"/>
    <w:rsid w:val="67093586"/>
    <w:rsid w:val="6709B908"/>
    <w:rsid w:val="670BC9B0"/>
    <w:rsid w:val="670F1994"/>
    <w:rsid w:val="670F2360"/>
    <w:rsid w:val="671051C4"/>
    <w:rsid w:val="67108420"/>
    <w:rsid w:val="671EECC2"/>
    <w:rsid w:val="67263869"/>
    <w:rsid w:val="672CA35E"/>
    <w:rsid w:val="672D7BDB"/>
    <w:rsid w:val="673AA8E7"/>
    <w:rsid w:val="6741A6AB"/>
    <w:rsid w:val="674C36DA"/>
    <w:rsid w:val="675313E1"/>
    <w:rsid w:val="6756B3F4"/>
    <w:rsid w:val="675AA8E2"/>
    <w:rsid w:val="675CB151"/>
    <w:rsid w:val="675D153B"/>
    <w:rsid w:val="67689FB8"/>
    <w:rsid w:val="6769D4BB"/>
    <w:rsid w:val="677DF14C"/>
    <w:rsid w:val="678CFD82"/>
    <w:rsid w:val="678D59B3"/>
    <w:rsid w:val="678E0D9B"/>
    <w:rsid w:val="6792CB58"/>
    <w:rsid w:val="67962B96"/>
    <w:rsid w:val="6798EC1A"/>
    <w:rsid w:val="679D20A7"/>
    <w:rsid w:val="679E1696"/>
    <w:rsid w:val="679FC4B0"/>
    <w:rsid w:val="67A142EC"/>
    <w:rsid w:val="67A2433A"/>
    <w:rsid w:val="67B7EE0E"/>
    <w:rsid w:val="67BA1C74"/>
    <w:rsid w:val="67D2A65B"/>
    <w:rsid w:val="67DA23CC"/>
    <w:rsid w:val="67DA881B"/>
    <w:rsid w:val="67E507BE"/>
    <w:rsid w:val="67E71DC5"/>
    <w:rsid w:val="67EBD07C"/>
    <w:rsid w:val="67F0F58B"/>
    <w:rsid w:val="67F195FF"/>
    <w:rsid w:val="67F33BF8"/>
    <w:rsid w:val="67F94092"/>
    <w:rsid w:val="67FD2C93"/>
    <w:rsid w:val="68065FEC"/>
    <w:rsid w:val="68090FDD"/>
    <w:rsid w:val="681074E4"/>
    <w:rsid w:val="681548B1"/>
    <w:rsid w:val="681E2829"/>
    <w:rsid w:val="68255FA2"/>
    <w:rsid w:val="68298718"/>
    <w:rsid w:val="682B067E"/>
    <w:rsid w:val="683044FA"/>
    <w:rsid w:val="68409A24"/>
    <w:rsid w:val="684351AB"/>
    <w:rsid w:val="684C9CF8"/>
    <w:rsid w:val="684DBD8E"/>
    <w:rsid w:val="684EBD14"/>
    <w:rsid w:val="68560B40"/>
    <w:rsid w:val="685B0B41"/>
    <w:rsid w:val="685E60DA"/>
    <w:rsid w:val="68639036"/>
    <w:rsid w:val="68658542"/>
    <w:rsid w:val="6867B7AD"/>
    <w:rsid w:val="686B4777"/>
    <w:rsid w:val="68744A07"/>
    <w:rsid w:val="68763E67"/>
    <w:rsid w:val="68768A82"/>
    <w:rsid w:val="68771631"/>
    <w:rsid w:val="687CD63E"/>
    <w:rsid w:val="689155DA"/>
    <w:rsid w:val="6893462F"/>
    <w:rsid w:val="689DACCE"/>
    <w:rsid w:val="689DC4CB"/>
    <w:rsid w:val="68A7BF49"/>
    <w:rsid w:val="68A821C2"/>
    <w:rsid w:val="68A977E0"/>
    <w:rsid w:val="68AFB992"/>
    <w:rsid w:val="68B24909"/>
    <w:rsid w:val="68B4781B"/>
    <w:rsid w:val="68B63437"/>
    <w:rsid w:val="68CC6B15"/>
    <w:rsid w:val="68CE2269"/>
    <w:rsid w:val="68D683A8"/>
    <w:rsid w:val="68D98B09"/>
    <w:rsid w:val="68E6E032"/>
    <w:rsid w:val="68ECC548"/>
    <w:rsid w:val="691A1490"/>
    <w:rsid w:val="691B4824"/>
    <w:rsid w:val="692700C5"/>
    <w:rsid w:val="6933569F"/>
    <w:rsid w:val="693E887A"/>
    <w:rsid w:val="694767E9"/>
    <w:rsid w:val="694E5429"/>
    <w:rsid w:val="694FF5E4"/>
    <w:rsid w:val="6956C3F8"/>
    <w:rsid w:val="69586397"/>
    <w:rsid w:val="695A239B"/>
    <w:rsid w:val="696E9F24"/>
    <w:rsid w:val="69718685"/>
    <w:rsid w:val="6972CF6E"/>
    <w:rsid w:val="697DE198"/>
    <w:rsid w:val="69802C70"/>
    <w:rsid w:val="698216EE"/>
    <w:rsid w:val="6982752C"/>
    <w:rsid w:val="6986325E"/>
    <w:rsid w:val="69924745"/>
    <w:rsid w:val="6999B1E8"/>
    <w:rsid w:val="699AA895"/>
    <w:rsid w:val="69A4B522"/>
    <w:rsid w:val="69A50DB2"/>
    <w:rsid w:val="69A625D7"/>
    <w:rsid w:val="69A99E24"/>
    <w:rsid w:val="69B1BE6D"/>
    <w:rsid w:val="69B2D093"/>
    <w:rsid w:val="69B3D4C9"/>
    <w:rsid w:val="69B605EA"/>
    <w:rsid w:val="69BAB189"/>
    <w:rsid w:val="69C07C51"/>
    <w:rsid w:val="69C5ABA8"/>
    <w:rsid w:val="69CAB778"/>
    <w:rsid w:val="69D44021"/>
    <w:rsid w:val="69D4B71D"/>
    <w:rsid w:val="69DCC6C7"/>
    <w:rsid w:val="69F1FF4E"/>
    <w:rsid w:val="69F45C29"/>
    <w:rsid w:val="6A051A32"/>
    <w:rsid w:val="6A05302C"/>
    <w:rsid w:val="6A0C329F"/>
    <w:rsid w:val="6A108061"/>
    <w:rsid w:val="6A131231"/>
    <w:rsid w:val="6A1AF331"/>
    <w:rsid w:val="6A1DD995"/>
    <w:rsid w:val="6A20518F"/>
    <w:rsid w:val="6A26B83E"/>
    <w:rsid w:val="6A2B793C"/>
    <w:rsid w:val="6A2DDDDA"/>
    <w:rsid w:val="6A2F74C2"/>
    <w:rsid w:val="6A369058"/>
    <w:rsid w:val="6A3B21F3"/>
    <w:rsid w:val="6A3F7C22"/>
    <w:rsid w:val="6A4A9694"/>
    <w:rsid w:val="6A588729"/>
    <w:rsid w:val="6A5E3649"/>
    <w:rsid w:val="6A6FABA0"/>
    <w:rsid w:val="6A6FAD1A"/>
    <w:rsid w:val="6A72EBCA"/>
    <w:rsid w:val="6A77639E"/>
    <w:rsid w:val="6A7B9E2B"/>
    <w:rsid w:val="6A9650BE"/>
    <w:rsid w:val="6A9A3F42"/>
    <w:rsid w:val="6A9AADA1"/>
    <w:rsid w:val="6AB39415"/>
    <w:rsid w:val="6AB8116E"/>
    <w:rsid w:val="6AB92F43"/>
    <w:rsid w:val="6ABEA245"/>
    <w:rsid w:val="6AC4FC07"/>
    <w:rsid w:val="6AC7DE82"/>
    <w:rsid w:val="6ACD18CE"/>
    <w:rsid w:val="6ACE689D"/>
    <w:rsid w:val="6AD5CA43"/>
    <w:rsid w:val="6AD679E4"/>
    <w:rsid w:val="6AE9561E"/>
    <w:rsid w:val="6AEE04D4"/>
    <w:rsid w:val="6AF1726F"/>
    <w:rsid w:val="6AF65332"/>
    <w:rsid w:val="6AFD8C51"/>
    <w:rsid w:val="6B0425D3"/>
    <w:rsid w:val="6B10B609"/>
    <w:rsid w:val="6B166EB9"/>
    <w:rsid w:val="6B18DFA8"/>
    <w:rsid w:val="6B193768"/>
    <w:rsid w:val="6B1DE335"/>
    <w:rsid w:val="6B1E5EC6"/>
    <w:rsid w:val="6B266C56"/>
    <w:rsid w:val="6B2797F4"/>
    <w:rsid w:val="6B2A1101"/>
    <w:rsid w:val="6B2BDBBA"/>
    <w:rsid w:val="6B355DB0"/>
    <w:rsid w:val="6B3B0D12"/>
    <w:rsid w:val="6B43CA4E"/>
    <w:rsid w:val="6B51D0F1"/>
    <w:rsid w:val="6B52BCFB"/>
    <w:rsid w:val="6B5C2777"/>
    <w:rsid w:val="6B5E06F4"/>
    <w:rsid w:val="6B635E0E"/>
    <w:rsid w:val="6B675AF7"/>
    <w:rsid w:val="6B6D2DA9"/>
    <w:rsid w:val="6B7599AD"/>
    <w:rsid w:val="6B7D4D65"/>
    <w:rsid w:val="6B818D48"/>
    <w:rsid w:val="6B88968D"/>
    <w:rsid w:val="6B8964DA"/>
    <w:rsid w:val="6B8BDAD7"/>
    <w:rsid w:val="6B8E4259"/>
    <w:rsid w:val="6B9FE48A"/>
    <w:rsid w:val="6BA0E2C1"/>
    <w:rsid w:val="6BAC5093"/>
    <w:rsid w:val="6BB1BF14"/>
    <w:rsid w:val="6BB5F9B0"/>
    <w:rsid w:val="6BDE356F"/>
    <w:rsid w:val="6BE1A7B4"/>
    <w:rsid w:val="6BE90CD3"/>
    <w:rsid w:val="6BEE486D"/>
    <w:rsid w:val="6BF10CF1"/>
    <w:rsid w:val="6C005EFA"/>
    <w:rsid w:val="6C0844E6"/>
    <w:rsid w:val="6C0B1571"/>
    <w:rsid w:val="6C1A5F32"/>
    <w:rsid w:val="6C1FBCE3"/>
    <w:rsid w:val="6C21EBFD"/>
    <w:rsid w:val="6C27C8A2"/>
    <w:rsid w:val="6C350EEE"/>
    <w:rsid w:val="6C3CA978"/>
    <w:rsid w:val="6C3EEAC2"/>
    <w:rsid w:val="6C4F32DB"/>
    <w:rsid w:val="6C52F0DD"/>
    <w:rsid w:val="6C56D81D"/>
    <w:rsid w:val="6C5C73DB"/>
    <w:rsid w:val="6C61085B"/>
    <w:rsid w:val="6C6D33C4"/>
    <w:rsid w:val="6C6D6B96"/>
    <w:rsid w:val="6C732F94"/>
    <w:rsid w:val="6C78F9A0"/>
    <w:rsid w:val="6C7BC5AD"/>
    <w:rsid w:val="6C80101A"/>
    <w:rsid w:val="6C81EEC7"/>
    <w:rsid w:val="6C881C3E"/>
    <w:rsid w:val="6C882A15"/>
    <w:rsid w:val="6CB6DA62"/>
    <w:rsid w:val="6CB84EC0"/>
    <w:rsid w:val="6CBADEA7"/>
    <w:rsid w:val="6CC2B5C1"/>
    <w:rsid w:val="6CC2C81F"/>
    <w:rsid w:val="6CC8E7A7"/>
    <w:rsid w:val="6CCD63F8"/>
    <w:rsid w:val="6CCFC190"/>
    <w:rsid w:val="6CD80E46"/>
    <w:rsid w:val="6CDBD492"/>
    <w:rsid w:val="6CDBEA5C"/>
    <w:rsid w:val="6CDED93F"/>
    <w:rsid w:val="6CE1406B"/>
    <w:rsid w:val="6CF23CE7"/>
    <w:rsid w:val="6CF67545"/>
    <w:rsid w:val="6D017687"/>
    <w:rsid w:val="6D061546"/>
    <w:rsid w:val="6D0866B0"/>
    <w:rsid w:val="6D128833"/>
    <w:rsid w:val="6D147586"/>
    <w:rsid w:val="6D1C9324"/>
    <w:rsid w:val="6D1CEA89"/>
    <w:rsid w:val="6D1EFE4D"/>
    <w:rsid w:val="6D20D56B"/>
    <w:rsid w:val="6D2957A9"/>
    <w:rsid w:val="6D296E70"/>
    <w:rsid w:val="6D2ED06A"/>
    <w:rsid w:val="6D38B2A4"/>
    <w:rsid w:val="6D4016BE"/>
    <w:rsid w:val="6D497A5D"/>
    <w:rsid w:val="6D584AF9"/>
    <w:rsid w:val="6D6656FC"/>
    <w:rsid w:val="6D6EDCAF"/>
    <w:rsid w:val="6D95C153"/>
    <w:rsid w:val="6D9B006F"/>
    <w:rsid w:val="6D9CE40A"/>
    <w:rsid w:val="6DA3389C"/>
    <w:rsid w:val="6DA3A254"/>
    <w:rsid w:val="6DA44D33"/>
    <w:rsid w:val="6DAB4455"/>
    <w:rsid w:val="6DAE8B6E"/>
    <w:rsid w:val="6DAF0B05"/>
    <w:rsid w:val="6DAFC266"/>
    <w:rsid w:val="6DB169AF"/>
    <w:rsid w:val="6DB5F636"/>
    <w:rsid w:val="6DB96658"/>
    <w:rsid w:val="6DBEAE5C"/>
    <w:rsid w:val="6DC443BD"/>
    <w:rsid w:val="6DC5B1E8"/>
    <w:rsid w:val="6DCF10DD"/>
    <w:rsid w:val="6DD129E3"/>
    <w:rsid w:val="6DD881F4"/>
    <w:rsid w:val="6DE7CE44"/>
    <w:rsid w:val="6DEE8F17"/>
    <w:rsid w:val="6DF50328"/>
    <w:rsid w:val="6DF7372F"/>
    <w:rsid w:val="6DFC1FF3"/>
    <w:rsid w:val="6DFE0D46"/>
    <w:rsid w:val="6E0089BB"/>
    <w:rsid w:val="6E03CFEB"/>
    <w:rsid w:val="6E06E778"/>
    <w:rsid w:val="6E0A79BA"/>
    <w:rsid w:val="6E0CE64A"/>
    <w:rsid w:val="6E1CCE77"/>
    <w:rsid w:val="6E1D2134"/>
    <w:rsid w:val="6E1EB58E"/>
    <w:rsid w:val="6E26F75C"/>
    <w:rsid w:val="6E2A8B01"/>
    <w:rsid w:val="6E2BD482"/>
    <w:rsid w:val="6E2D8CF0"/>
    <w:rsid w:val="6E4B9A0B"/>
    <w:rsid w:val="6E4D633F"/>
    <w:rsid w:val="6E507ED6"/>
    <w:rsid w:val="6E552170"/>
    <w:rsid w:val="6E5F7AE5"/>
    <w:rsid w:val="6E6677B7"/>
    <w:rsid w:val="6E6EF1FC"/>
    <w:rsid w:val="6E70D222"/>
    <w:rsid w:val="6E720477"/>
    <w:rsid w:val="6E759919"/>
    <w:rsid w:val="6E761C30"/>
    <w:rsid w:val="6E7C70CE"/>
    <w:rsid w:val="6E7F835B"/>
    <w:rsid w:val="6E82A6E6"/>
    <w:rsid w:val="6E896E4B"/>
    <w:rsid w:val="6E8AD7AA"/>
    <w:rsid w:val="6E8DDE6F"/>
    <w:rsid w:val="6E8F352B"/>
    <w:rsid w:val="6EAFBF62"/>
    <w:rsid w:val="6EB3F392"/>
    <w:rsid w:val="6EBA5101"/>
    <w:rsid w:val="6EBC34BD"/>
    <w:rsid w:val="6EDAE485"/>
    <w:rsid w:val="6EDC66A1"/>
    <w:rsid w:val="6EDD4269"/>
    <w:rsid w:val="6EEF2398"/>
    <w:rsid w:val="6EF3B63E"/>
    <w:rsid w:val="6EF953F6"/>
    <w:rsid w:val="6F003B13"/>
    <w:rsid w:val="6F03BDA0"/>
    <w:rsid w:val="6F08562C"/>
    <w:rsid w:val="6F0A9847"/>
    <w:rsid w:val="6F0B4779"/>
    <w:rsid w:val="6F0BF91A"/>
    <w:rsid w:val="6F0E0D8C"/>
    <w:rsid w:val="6F1626F6"/>
    <w:rsid w:val="6F194700"/>
    <w:rsid w:val="6F1EB01A"/>
    <w:rsid w:val="6F30F94C"/>
    <w:rsid w:val="6F35EC35"/>
    <w:rsid w:val="6F3C81F6"/>
    <w:rsid w:val="6F44BE1E"/>
    <w:rsid w:val="6F45C767"/>
    <w:rsid w:val="6F480C92"/>
    <w:rsid w:val="6F4EBEAD"/>
    <w:rsid w:val="6F5A8B7A"/>
    <w:rsid w:val="6F66D2BC"/>
    <w:rsid w:val="6F6C99E6"/>
    <w:rsid w:val="6F77F421"/>
    <w:rsid w:val="6F7A6C8F"/>
    <w:rsid w:val="6F7EF4A2"/>
    <w:rsid w:val="6F81A19B"/>
    <w:rsid w:val="6F879317"/>
    <w:rsid w:val="6F896E21"/>
    <w:rsid w:val="6F969933"/>
    <w:rsid w:val="6F9AEFC7"/>
    <w:rsid w:val="6F9B85B2"/>
    <w:rsid w:val="6F9EDC27"/>
    <w:rsid w:val="6F9FAAEE"/>
    <w:rsid w:val="6FA28F1D"/>
    <w:rsid w:val="6FAC4CB0"/>
    <w:rsid w:val="6FB1B545"/>
    <w:rsid w:val="6FB21698"/>
    <w:rsid w:val="6FB27215"/>
    <w:rsid w:val="6FB54DF0"/>
    <w:rsid w:val="6FB5A744"/>
    <w:rsid w:val="6FB5D679"/>
    <w:rsid w:val="6FBBA156"/>
    <w:rsid w:val="6FC64570"/>
    <w:rsid w:val="6FC9675C"/>
    <w:rsid w:val="6FD5F457"/>
    <w:rsid w:val="6FD5FC2D"/>
    <w:rsid w:val="6FE5EE7C"/>
    <w:rsid w:val="6FEFE597"/>
    <w:rsid w:val="6FF8641B"/>
    <w:rsid w:val="6FFFD32C"/>
    <w:rsid w:val="70014738"/>
    <w:rsid w:val="700394F6"/>
    <w:rsid w:val="7003A777"/>
    <w:rsid w:val="700E2BA9"/>
    <w:rsid w:val="701F9367"/>
    <w:rsid w:val="702187C1"/>
    <w:rsid w:val="702535DF"/>
    <w:rsid w:val="702BE839"/>
    <w:rsid w:val="7037C4C5"/>
    <w:rsid w:val="70423E2F"/>
    <w:rsid w:val="70444CF2"/>
    <w:rsid w:val="704AC268"/>
    <w:rsid w:val="704B76D1"/>
    <w:rsid w:val="704C830D"/>
    <w:rsid w:val="7056A5EB"/>
    <w:rsid w:val="705B2405"/>
    <w:rsid w:val="7066929D"/>
    <w:rsid w:val="7066CEAA"/>
    <w:rsid w:val="706A5979"/>
    <w:rsid w:val="706F719E"/>
    <w:rsid w:val="7071DA59"/>
    <w:rsid w:val="70767068"/>
    <w:rsid w:val="70799C4E"/>
    <w:rsid w:val="707EF535"/>
    <w:rsid w:val="70838735"/>
    <w:rsid w:val="7086A612"/>
    <w:rsid w:val="70894BEF"/>
    <w:rsid w:val="70962C86"/>
    <w:rsid w:val="709A580E"/>
    <w:rsid w:val="709B1B12"/>
    <w:rsid w:val="70A3EA6A"/>
    <w:rsid w:val="70AB10CC"/>
    <w:rsid w:val="70B0F5B7"/>
    <w:rsid w:val="70C8F232"/>
    <w:rsid w:val="70CE9BF5"/>
    <w:rsid w:val="70CEF36F"/>
    <w:rsid w:val="70D5016C"/>
    <w:rsid w:val="70DA3C11"/>
    <w:rsid w:val="70DB936B"/>
    <w:rsid w:val="70DC1017"/>
    <w:rsid w:val="70DED575"/>
    <w:rsid w:val="70E554B2"/>
    <w:rsid w:val="70E9D50D"/>
    <w:rsid w:val="70EE276E"/>
    <w:rsid w:val="70F7AE2F"/>
    <w:rsid w:val="70FBB7EA"/>
    <w:rsid w:val="70FDEDE2"/>
    <w:rsid w:val="71124378"/>
    <w:rsid w:val="7115683A"/>
    <w:rsid w:val="7118434B"/>
    <w:rsid w:val="711AFF6C"/>
    <w:rsid w:val="711C30BD"/>
    <w:rsid w:val="712512CF"/>
    <w:rsid w:val="713337FE"/>
    <w:rsid w:val="7135A0E0"/>
    <w:rsid w:val="7136B0B4"/>
    <w:rsid w:val="713ED02A"/>
    <w:rsid w:val="714DDE4E"/>
    <w:rsid w:val="714FC74E"/>
    <w:rsid w:val="7150A743"/>
    <w:rsid w:val="715780B8"/>
    <w:rsid w:val="715F356B"/>
    <w:rsid w:val="715F75A5"/>
    <w:rsid w:val="717053AF"/>
    <w:rsid w:val="717C73AF"/>
    <w:rsid w:val="717DD0A7"/>
    <w:rsid w:val="717ECA7B"/>
    <w:rsid w:val="718B1844"/>
    <w:rsid w:val="7198B052"/>
    <w:rsid w:val="71A02186"/>
    <w:rsid w:val="71ACA316"/>
    <w:rsid w:val="71ACD956"/>
    <w:rsid w:val="71AE9146"/>
    <w:rsid w:val="71B0F5BF"/>
    <w:rsid w:val="71B3F412"/>
    <w:rsid w:val="71B96C34"/>
    <w:rsid w:val="71BD7B2C"/>
    <w:rsid w:val="71CA324B"/>
    <w:rsid w:val="71CADD57"/>
    <w:rsid w:val="71CB8699"/>
    <w:rsid w:val="71D43B3B"/>
    <w:rsid w:val="71D60668"/>
    <w:rsid w:val="71D9D592"/>
    <w:rsid w:val="71DA5DCE"/>
    <w:rsid w:val="71DCFE79"/>
    <w:rsid w:val="71EA2F29"/>
    <w:rsid w:val="71EF603C"/>
    <w:rsid w:val="71F1EE56"/>
    <w:rsid w:val="71F86EE6"/>
    <w:rsid w:val="71FA2A55"/>
    <w:rsid w:val="7200DAC3"/>
    <w:rsid w:val="72036F60"/>
    <w:rsid w:val="720A4943"/>
    <w:rsid w:val="720A9298"/>
    <w:rsid w:val="720F5274"/>
    <w:rsid w:val="7212BEAC"/>
    <w:rsid w:val="721FF41B"/>
    <w:rsid w:val="72273207"/>
    <w:rsid w:val="72276023"/>
    <w:rsid w:val="7229E072"/>
    <w:rsid w:val="722A5824"/>
    <w:rsid w:val="722B0B2D"/>
    <w:rsid w:val="7248412B"/>
    <w:rsid w:val="724C8A9C"/>
    <w:rsid w:val="724DC02A"/>
    <w:rsid w:val="7256DE92"/>
    <w:rsid w:val="7256F585"/>
    <w:rsid w:val="7257B51D"/>
    <w:rsid w:val="7257E7BD"/>
    <w:rsid w:val="725AEAD0"/>
    <w:rsid w:val="725B4093"/>
    <w:rsid w:val="725BAA56"/>
    <w:rsid w:val="725D07A4"/>
    <w:rsid w:val="725F71C9"/>
    <w:rsid w:val="7262BC3A"/>
    <w:rsid w:val="7267ED26"/>
    <w:rsid w:val="726A3480"/>
    <w:rsid w:val="726BCDA0"/>
    <w:rsid w:val="726DD2BF"/>
    <w:rsid w:val="726E821F"/>
    <w:rsid w:val="72784E17"/>
    <w:rsid w:val="727A558E"/>
    <w:rsid w:val="728D6D1F"/>
    <w:rsid w:val="7297E18B"/>
    <w:rsid w:val="7298B859"/>
    <w:rsid w:val="7298F1A3"/>
    <w:rsid w:val="72997B37"/>
    <w:rsid w:val="72A5E1D1"/>
    <w:rsid w:val="72A98D9B"/>
    <w:rsid w:val="72AF883A"/>
    <w:rsid w:val="72C61AB8"/>
    <w:rsid w:val="72D02AC7"/>
    <w:rsid w:val="72D111F9"/>
    <w:rsid w:val="72D3F835"/>
    <w:rsid w:val="72DD578A"/>
    <w:rsid w:val="72E0AF69"/>
    <w:rsid w:val="72E238B1"/>
    <w:rsid w:val="72EA4EFE"/>
    <w:rsid w:val="72EC15F5"/>
    <w:rsid w:val="72EEF061"/>
    <w:rsid w:val="72F418E1"/>
    <w:rsid w:val="73091F01"/>
    <w:rsid w:val="730E8C3D"/>
    <w:rsid w:val="730EDE19"/>
    <w:rsid w:val="7310D031"/>
    <w:rsid w:val="7317B403"/>
    <w:rsid w:val="731B4204"/>
    <w:rsid w:val="73274DC1"/>
    <w:rsid w:val="732B6A2A"/>
    <w:rsid w:val="7339F21C"/>
    <w:rsid w:val="73409873"/>
    <w:rsid w:val="734115A7"/>
    <w:rsid w:val="7346D6AA"/>
    <w:rsid w:val="7349179B"/>
    <w:rsid w:val="734CC4BA"/>
    <w:rsid w:val="734DD319"/>
    <w:rsid w:val="73532089"/>
    <w:rsid w:val="73534227"/>
    <w:rsid w:val="735614FD"/>
    <w:rsid w:val="7356EBD8"/>
    <w:rsid w:val="735D1C7E"/>
    <w:rsid w:val="735FF169"/>
    <w:rsid w:val="736720C7"/>
    <w:rsid w:val="736DBB84"/>
    <w:rsid w:val="73715D08"/>
    <w:rsid w:val="737483C7"/>
    <w:rsid w:val="7377BC30"/>
    <w:rsid w:val="73866C02"/>
    <w:rsid w:val="738C0F68"/>
    <w:rsid w:val="738E546B"/>
    <w:rsid w:val="7397579E"/>
    <w:rsid w:val="7398F58F"/>
    <w:rsid w:val="739AF545"/>
    <w:rsid w:val="73A057FC"/>
    <w:rsid w:val="73A7D467"/>
    <w:rsid w:val="73A7E87F"/>
    <w:rsid w:val="73B220BC"/>
    <w:rsid w:val="73B71ED1"/>
    <w:rsid w:val="73BD4FAE"/>
    <w:rsid w:val="73BFE745"/>
    <w:rsid w:val="73C2356E"/>
    <w:rsid w:val="73CAE885"/>
    <w:rsid w:val="73D28FCD"/>
    <w:rsid w:val="73D34E4A"/>
    <w:rsid w:val="73D9180E"/>
    <w:rsid w:val="73DF2180"/>
    <w:rsid w:val="73E12380"/>
    <w:rsid w:val="73E63E9E"/>
    <w:rsid w:val="73EBE1C8"/>
    <w:rsid w:val="73ECA07A"/>
    <w:rsid w:val="73F86100"/>
    <w:rsid w:val="74060A24"/>
    <w:rsid w:val="74186929"/>
    <w:rsid w:val="741CC541"/>
    <w:rsid w:val="74213A96"/>
    <w:rsid w:val="7423FC96"/>
    <w:rsid w:val="7424249D"/>
    <w:rsid w:val="74268B7D"/>
    <w:rsid w:val="742B1507"/>
    <w:rsid w:val="742D417A"/>
    <w:rsid w:val="742FC8B7"/>
    <w:rsid w:val="7432F681"/>
    <w:rsid w:val="74416F13"/>
    <w:rsid w:val="7441ED59"/>
    <w:rsid w:val="74443F55"/>
    <w:rsid w:val="74460A21"/>
    <w:rsid w:val="74467BBA"/>
    <w:rsid w:val="744708A5"/>
    <w:rsid w:val="744A9F12"/>
    <w:rsid w:val="74533932"/>
    <w:rsid w:val="746065A3"/>
    <w:rsid w:val="74607D28"/>
    <w:rsid w:val="7460CBE6"/>
    <w:rsid w:val="7475EA9B"/>
    <w:rsid w:val="747ECBE0"/>
    <w:rsid w:val="74877A7E"/>
    <w:rsid w:val="748B1B05"/>
    <w:rsid w:val="748E6717"/>
    <w:rsid w:val="74905C66"/>
    <w:rsid w:val="74913B10"/>
    <w:rsid w:val="7492BE60"/>
    <w:rsid w:val="7493F0E9"/>
    <w:rsid w:val="74995D4E"/>
    <w:rsid w:val="749B6B25"/>
    <w:rsid w:val="74B27AB3"/>
    <w:rsid w:val="74B4946A"/>
    <w:rsid w:val="74B81D38"/>
    <w:rsid w:val="74C99748"/>
    <w:rsid w:val="74D09D8F"/>
    <w:rsid w:val="74D33937"/>
    <w:rsid w:val="74DEFE22"/>
    <w:rsid w:val="74E46423"/>
    <w:rsid w:val="74EC7592"/>
    <w:rsid w:val="74F30BD3"/>
    <w:rsid w:val="74F485BA"/>
    <w:rsid w:val="74F61F33"/>
    <w:rsid w:val="74F87BDE"/>
    <w:rsid w:val="74FAACF3"/>
    <w:rsid w:val="750307AF"/>
    <w:rsid w:val="75058B37"/>
    <w:rsid w:val="750B0887"/>
    <w:rsid w:val="751829C1"/>
    <w:rsid w:val="7518422E"/>
    <w:rsid w:val="751BE576"/>
    <w:rsid w:val="75215614"/>
    <w:rsid w:val="7522B682"/>
    <w:rsid w:val="7525A704"/>
    <w:rsid w:val="75260725"/>
    <w:rsid w:val="7526931A"/>
    <w:rsid w:val="7528FD52"/>
    <w:rsid w:val="75295230"/>
    <w:rsid w:val="7547F611"/>
    <w:rsid w:val="754A217C"/>
    <w:rsid w:val="754B3616"/>
    <w:rsid w:val="754B8512"/>
    <w:rsid w:val="754DE420"/>
    <w:rsid w:val="754E58C9"/>
    <w:rsid w:val="754E9C28"/>
    <w:rsid w:val="7553348B"/>
    <w:rsid w:val="755D1330"/>
    <w:rsid w:val="755E13C6"/>
    <w:rsid w:val="755ED299"/>
    <w:rsid w:val="756126FA"/>
    <w:rsid w:val="75660EEE"/>
    <w:rsid w:val="7567D4A3"/>
    <w:rsid w:val="756ABBE2"/>
    <w:rsid w:val="7573F83D"/>
    <w:rsid w:val="7581E53D"/>
    <w:rsid w:val="758AF39F"/>
    <w:rsid w:val="759040C2"/>
    <w:rsid w:val="75934389"/>
    <w:rsid w:val="7594A047"/>
    <w:rsid w:val="75990456"/>
    <w:rsid w:val="7599D676"/>
    <w:rsid w:val="75A52C7A"/>
    <w:rsid w:val="75B272BE"/>
    <w:rsid w:val="75BEAC1C"/>
    <w:rsid w:val="75BEDE25"/>
    <w:rsid w:val="75C66BC7"/>
    <w:rsid w:val="75C8E9EC"/>
    <w:rsid w:val="75D219AC"/>
    <w:rsid w:val="75D35FC4"/>
    <w:rsid w:val="75D548D0"/>
    <w:rsid w:val="75D773CA"/>
    <w:rsid w:val="75DA27E7"/>
    <w:rsid w:val="75DF6670"/>
    <w:rsid w:val="75E3D855"/>
    <w:rsid w:val="75E45F7C"/>
    <w:rsid w:val="76080C90"/>
    <w:rsid w:val="7616F773"/>
    <w:rsid w:val="7624E454"/>
    <w:rsid w:val="763E88CE"/>
    <w:rsid w:val="764029BA"/>
    <w:rsid w:val="76404851"/>
    <w:rsid w:val="7649797D"/>
    <w:rsid w:val="764FC02B"/>
    <w:rsid w:val="7650F815"/>
    <w:rsid w:val="76555A09"/>
    <w:rsid w:val="76560BD6"/>
    <w:rsid w:val="765F8B2C"/>
    <w:rsid w:val="766137F2"/>
    <w:rsid w:val="76623BBE"/>
    <w:rsid w:val="7662DCF4"/>
    <w:rsid w:val="766468B2"/>
    <w:rsid w:val="766810F9"/>
    <w:rsid w:val="766943CB"/>
    <w:rsid w:val="766AAAB2"/>
    <w:rsid w:val="766B4C21"/>
    <w:rsid w:val="7678A65F"/>
    <w:rsid w:val="7679D3CD"/>
    <w:rsid w:val="768101B8"/>
    <w:rsid w:val="7681A79F"/>
    <w:rsid w:val="7683BBAF"/>
    <w:rsid w:val="7687BB8C"/>
    <w:rsid w:val="768C2541"/>
    <w:rsid w:val="768D88D1"/>
    <w:rsid w:val="7692B5C6"/>
    <w:rsid w:val="7692BECF"/>
    <w:rsid w:val="769331C9"/>
    <w:rsid w:val="769992F3"/>
    <w:rsid w:val="769A0A62"/>
    <w:rsid w:val="769CBBC0"/>
    <w:rsid w:val="76A19A04"/>
    <w:rsid w:val="76AD98F1"/>
    <w:rsid w:val="76BBBC51"/>
    <w:rsid w:val="76BDBEC9"/>
    <w:rsid w:val="76BF9685"/>
    <w:rsid w:val="76C23193"/>
    <w:rsid w:val="76C269AB"/>
    <w:rsid w:val="76C894E3"/>
    <w:rsid w:val="76C8EA19"/>
    <w:rsid w:val="76CA8EC9"/>
    <w:rsid w:val="76CAC45D"/>
    <w:rsid w:val="76D1AE08"/>
    <w:rsid w:val="76D837D7"/>
    <w:rsid w:val="76D9A24B"/>
    <w:rsid w:val="76E15ECE"/>
    <w:rsid w:val="76E66B7D"/>
    <w:rsid w:val="76E785CF"/>
    <w:rsid w:val="76ECB199"/>
    <w:rsid w:val="76F25D84"/>
    <w:rsid w:val="76F572CB"/>
    <w:rsid w:val="76FB6A28"/>
    <w:rsid w:val="76FC0E5B"/>
    <w:rsid w:val="7705D19E"/>
    <w:rsid w:val="77069A7D"/>
    <w:rsid w:val="77157AD8"/>
    <w:rsid w:val="7715CA11"/>
    <w:rsid w:val="771C7F3B"/>
    <w:rsid w:val="771D7A40"/>
    <w:rsid w:val="772E0EF9"/>
    <w:rsid w:val="772EB39F"/>
    <w:rsid w:val="77309D13"/>
    <w:rsid w:val="7731D536"/>
    <w:rsid w:val="7734DB82"/>
    <w:rsid w:val="77351D14"/>
    <w:rsid w:val="77352476"/>
    <w:rsid w:val="773F5990"/>
    <w:rsid w:val="7743E2C3"/>
    <w:rsid w:val="77441142"/>
    <w:rsid w:val="77521E9E"/>
    <w:rsid w:val="7753A446"/>
    <w:rsid w:val="775F5467"/>
    <w:rsid w:val="775FDCE0"/>
    <w:rsid w:val="77638788"/>
    <w:rsid w:val="77723428"/>
    <w:rsid w:val="777684CF"/>
    <w:rsid w:val="77779469"/>
    <w:rsid w:val="7789A1FD"/>
    <w:rsid w:val="77923C12"/>
    <w:rsid w:val="779B5703"/>
    <w:rsid w:val="779CCCC5"/>
    <w:rsid w:val="779DA0AC"/>
    <w:rsid w:val="779F04EC"/>
    <w:rsid w:val="779F5460"/>
    <w:rsid w:val="77A06E08"/>
    <w:rsid w:val="77A3CD51"/>
    <w:rsid w:val="77A5059B"/>
    <w:rsid w:val="77B01998"/>
    <w:rsid w:val="77B6AB7F"/>
    <w:rsid w:val="77C479D6"/>
    <w:rsid w:val="77CBAD74"/>
    <w:rsid w:val="77CE2994"/>
    <w:rsid w:val="77CECDAB"/>
    <w:rsid w:val="77D5E783"/>
    <w:rsid w:val="77E09AB0"/>
    <w:rsid w:val="77E1D4C5"/>
    <w:rsid w:val="77E2DCBB"/>
    <w:rsid w:val="77EA2679"/>
    <w:rsid w:val="77EC46BC"/>
    <w:rsid w:val="77EC71A8"/>
    <w:rsid w:val="77EFE3BF"/>
    <w:rsid w:val="77F1FEC4"/>
    <w:rsid w:val="77F8977E"/>
    <w:rsid w:val="780CA315"/>
    <w:rsid w:val="780D5574"/>
    <w:rsid w:val="781398B7"/>
    <w:rsid w:val="782344AC"/>
    <w:rsid w:val="78286495"/>
    <w:rsid w:val="782A3E1C"/>
    <w:rsid w:val="782C6FCD"/>
    <w:rsid w:val="782EDB47"/>
    <w:rsid w:val="7830179E"/>
    <w:rsid w:val="78348697"/>
    <w:rsid w:val="783F2484"/>
    <w:rsid w:val="78403AEE"/>
    <w:rsid w:val="78440ABC"/>
    <w:rsid w:val="7857C561"/>
    <w:rsid w:val="785FC613"/>
    <w:rsid w:val="78713E9C"/>
    <w:rsid w:val="7873B3CC"/>
    <w:rsid w:val="787CDD58"/>
    <w:rsid w:val="787DAC69"/>
    <w:rsid w:val="7888DC52"/>
    <w:rsid w:val="788964ED"/>
    <w:rsid w:val="78939F05"/>
    <w:rsid w:val="7899BF16"/>
    <w:rsid w:val="789C63DA"/>
    <w:rsid w:val="78A21573"/>
    <w:rsid w:val="78A45C8A"/>
    <w:rsid w:val="78A7349F"/>
    <w:rsid w:val="78AB1667"/>
    <w:rsid w:val="78BA9272"/>
    <w:rsid w:val="78C8CE7E"/>
    <w:rsid w:val="78D14BA7"/>
    <w:rsid w:val="78D50E8B"/>
    <w:rsid w:val="78D6B0A0"/>
    <w:rsid w:val="78DA8318"/>
    <w:rsid w:val="78DC8963"/>
    <w:rsid w:val="78DF351C"/>
    <w:rsid w:val="78ECE0FE"/>
    <w:rsid w:val="78EE4696"/>
    <w:rsid w:val="78EEB3CC"/>
    <w:rsid w:val="78F81951"/>
    <w:rsid w:val="78FE4FF2"/>
    <w:rsid w:val="78FF36F3"/>
    <w:rsid w:val="7902DF21"/>
    <w:rsid w:val="790315E4"/>
    <w:rsid w:val="79057B68"/>
    <w:rsid w:val="7905A65F"/>
    <w:rsid w:val="79061D11"/>
    <w:rsid w:val="79064AD9"/>
    <w:rsid w:val="79079908"/>
    <w:rsid w:val="79085637"/>
    <w:rsid w:val="790F57D7"/>
    <w:rsid w:val="7916D307"/>
    <w:rsid w:val="791779FD"/>
    <w:rsid w:val="79197FC8"/>
    <w:rsid w:val="791F9687"/>
    <w:rsid w:val="79207574"/>
    <w:rsid w:val="792BD632"/>
    <w:rsid w:val="79346F5F"/>
    <w:rsid w:val="79449214"/>
    <w:rsid w:val="794703C0"/>
    <w:rsid w:val="794A6138"/>
    <w:rsid w:val="79534A16"/>
    <w:rsid w:val="795797EA"/>
    <w:rsid w:val="7958B853"/>
    <w:rsid w:val="795AE646"/>
    <w:rsid w:val="795C411F"/>
    <w:rsid w:val="795F07F2"/>
    <w:rsid w:val="796863A9"/>
    <w:rsid w:val="796BC159"/>
    <w:rsid w:val="796F7159"/>
    <w:rsid w:val="7977E92D"/>
    <w:rsid w:val="797DCBE2"/>
    <w:rsid w:val="797DDDA4"/>
    <w:rsid w:val="7982D4B2"/>
    <w:rsid w:val="7983C971"/>
    <w:rsid w:val="798F3923"/>
    <w:rsid w:val="7992BCD1"/>
    <w:rsid w:val="799385B2"/>
    <w:rsid w:val="799564EA"/>
    <w:rsid w:val="799BA9FA"/>
    <w:rsid w:val="799E7ADC"/>
    <w:rsid w:val="799F396F"/>
    <w:rsid w:val="79A35413"/>
    <w:rsid w:val="79A9AA64"/>
    <w:rsid w:val="79B7009D"/>
    <w:rsid w:val="79BF1EBE"/>
    <w:rsid w:val="79C04CC0"/>
    <w:rsid w:val="79C1A0E3"/>
    <w:rsid w:val="79C37217"/>
    <w:rsid w:val="79C5A6CA"/>
    <w:rsid w:val="79CD1392"/>
    <w:rsid w:val="79D17291"/>
    <w:rsid w:val="79D9A791"/>
    <w:rsid w:val="79DBBC91"/>
    <w:rsid w:val="79DF609C"/>
    <w:rsid w:val="79ED4DA5"/>
    <w:rsid w:val="79F91354"/>
    <w:rsid w:val="79F9B2D4"/>
    <w:rsid w:val="79FD7805"/>
    <w:rsid w:val="7A0B4ACB"/>
    <w:rsid w:val="7A123BFE"/>
    <w:rsid w:val="7A1498BE"/>
    <w:rsid w:val="7A192C20"/>
    <w:rsid w:val="7A1A47A9"/>
    <w:rsid w:val="7A4A194C"/>
    <w:rsid w:val="7A4D662C"/>
    <w:rsid w:val="7A4F46E3"/>
    <w:rsid w:val="7A5270FE"/>
    <w:rsid w:val="7A59875E"/>
    <w:rsid w:val="7A5C5D59"/>
    <w:rsid w:val="7A5F5F8B"/>
    <w:rsid w:val="7A662877"/>
    <w:rsid w:val="7A67039F"/>
    <w:rsid w:val="7A692051"/>
    <w:rsid w:val="7A6C8E08"/>
    <w:rsid w:val="7A710A82"/>
    <w:rsid w:val="7A788435"/>
    <w:rsid w:val="7A84C0DF"/>
    <w:rsid w:val="7A8E8544"/>
    <w:rsid w:val="7AA16D76"/>
    <w:rsid w:val="7AA9B00C"/>
    <w:rsid w:val="7AAC97E1"/>
    <w:rsid w:val="7AB65C1A"/>
    <w:rsid w:val="7AB6D538"/>
    <w:rsid w:val="7AB975F2"/>
    <w:rsid w:val="7AC202CE"/>
    <w:rsid w:val="7AC3A97C"/>
    <w:rsid w:val="7AC63031"/>
    <w:rsid w:val="7ACF9208"/>
    <w:rsid w:val="7ADD13C4"/>
    <w:rsid w:val="7AE1BE1A"/>
    <w:rsid w:val="7AE749A8"/>
    <w:rsid w:val="7AF06C5F"/>
    <w:rsid w:val="7AFF60F4"/>
    <w:rsid w:val="7B03E164"/>
    <w:rsid w:val="7B09051C"/>
    <w:rsid w:val="7B09DFD6"/>
    <w:rsid w:val="7B0B41F1"/>
    <w:rsid w:val="7B0D3165"/>
    <w:rsid w:val="7B109EB3"/>
    <w:rsid w:val="7B11A219"/>
    <w:rsid w:val="7B24BC77"/>
    <w:rsid w:val="7B285A1D"/>
    <w:rsid w:val="7B2B5E28"/>
    <w:rsid w:val="7B32681B"/>
    <w:rsid w:val="7B33F3BB"/>
    <w:rsid w:val="7B37AE34"/>
    <w:rsid w:val="7B415D6D"/>
    <w:rsid w:val="7B41C190"/>
    <w:rsid w:val="7B45EEAC"/>
    <w:rsid w:val="7B46C94B"/>
    <w:rsid w:val="7B493612"/>
    <w:rsid w:val="7B76D308"/>
    <w:rsid w:val="7B7C156C"/>
    <w:rsid w:val="7B82D44B"/>
    <w:rsid w:val="7B8402DE"/>
    <w:rsid w:val="7B86BDB7"/>
    <w:rsid w:val="7B87B9BF"/>
    <w:rsid w:val="7B89E5FD"/>
    <w:rsid w:val="7B97A38C"/>
    <w:rsid w:val="7B9816F5"/>
    <w:rsid w:val="7BA3E0AE"/>
    <w:rsid w:val="7BA63525"/>
    <w:rsid w:val="7BA6A8FB"/>
    <w:rsid w:val="7BA9522B"/>
    <w:rsid w:val="7BABC304"/>
    <w:rsid w:val="7BAFE4A4"/>
    <w:rsid w:val="7BB85758"/>
    <w:rsid w:val="7BBAB198"/>
    <w:rsid w:val="7BBB4AF5"/>
    <w:rsid w:val="7BC3C10A"/>
    <w:rsid w:val="7BD4A81B"/>
    <w:rsid w:val="7BD72968"/>
    <w:rsid w:val="7BDC5CD4"/>
    <w:rsid w:val="7BDFD0B3"/>
    <w:rsid w:val="7BDFF30C"/>
    <w:rsid w:val="7BE46518"/>
    <w:rsid w:val="7BE739E8"/>
    <w:rsid w:val="7BE788F3"/>
    <w:rsid w:val="7BEF0AE5"/>
    <w:rsid w:val="7BEFF11A"/>
    <w:rsid w:val="7BF2343D"/>
    <w:rsid w:val="7BF42513"/>
    <w:rsid w:val="7BFCE9BF"/>
    <w:rsid w:val="7C047CEC"/>
    <w:rsid w:val="7C05A199"/>
    <w:rsid w:val="7C12C0F0"/>
    <w:rsid w:val="7C17911F"/>
    <w:rsid w:val="7C1BD232"/>
    <w:rsid w:val="7C1DE8AC"/>
    <w:rsid w:val="7C1FABDE"/>
    <w:rsid w:val="7C21444B"/>
    <w:rsid w:val="7C2A95EF"/>
    <w:rsid w:val="7C35362D"/>
    <w:rsid w:val="7C36A5D3"/>
    <w:rsid w:val="7C4F6FDF"/>
    <w:rsid w:val="7C5625C9"/>
    <w:rsid w:val="7C575404"/>
    <w:rsid w:val="7C690634"/>
    <w:rsid w:val="7C6DABED"/>
    <w:rsid w:val="7C7D622D"/>
    <w:rsid w:val="7C7E824D"/>
    <w:rsid w:val="7C86FE3B"/>
    <w:rsid w:val="7C8B62A0"/>
    <w:rsid w:val="7C8C66F6"/>
    <w:rsid w:val="7C94A15F"/>
    <w:rsid w:val="7C9DF549"/>
    <w:rsid w:val="7CA03339"/>
    <w:rsid w:val="7CA217B7"/>
    <w:rsid w:val="7CB15A89"/>
    <w:rsid w:val="7CB37B74"/>
    <w:rsid w:val="7CBB386E"/>
    <w:rsid w:val="7CC6A70B"/>
    <w:rsid w:val="7CCA809A"/>
    <w:rsid w:val="7CCD4F9A"/>
    <w:rsid w:val="7CCDE51C"/>
    <w:rsid w:val="7CDDF0B6"/>
    <w:rsid w:val="7CEB51CC"/>
    <w:rsid w:val="7CF05BD6"/>
    <w:rsid w:val="7CF97398"/>
    <w:rsid w:val="7CFA31C9"/>
    <w:rsid w:val="7CFE5233"/>
    <w:rsid w:val="7D06A7ED"/>
    <w:rsid w:val="7D07DC2C"/>
    <w:rsid w:val="7D0D0609"/>
    <w:rsid w:val="7D144051"/>
    <w:rsid w:val="7D18BA94"/>
    <w:rsid w:val="7D1B177F"/>
    <w:rsid w:val="7D2F8491"/>
    <w:rsid w:val="7D3B5436"/>
    <w:rsid w:val="7D3FA806"/>
    <w:rsid w:val="7D51CBC8"/>
    <w:rsid w:val="7D55E78B"/>
    <w:rsid w:val="7D626C4F"/>
    <w:rsid w:val="7D6860FE"/>
    <w:rsid w:val="7D750DA4"/>
    <w:rsid w:val="7D88F834"/>
    <w:rsid w:val="7D8D3C32"/>
    <w:rsid w:val="7D90D719"/>
    <w:rsid w:val="7D9D5E53"/>
    <w:rsid w:val="7D9D69C7"/>
    <w:rsid w:val="7DB79718"/>
    <w:rsid w:val="7DBC5C3C"/>
    <w:rsid w:val="7DBDF2D8"/>
    <w:rsid w:val="7DC04D4B"/>
    <w:rsid w:val="7DC18EA2"/>
    <w:rsid w:val="7DCD4F6A"/>
    <w:rsid w:val="7DCDED15"/>
    <w:rsid w:val="7DD8AFF4"/>
    <w:rsid w:val="7DE4449B"/>
    <w:rsid w:val="7DE986F0"/>
    <w:rsid w:val="7DF24672"/>
    <w:rsid w:val="7DF4930C"/>
    <w:rsid w:val="7DF5FCD3"/>
    <w:rsid w:val="7DF91194"/>
    <w:rsid w:val="7E00C934"/>
    <w:rsid w:val="7E0362F3"/>
    <w:rsid w:val="7E04DE8D"/>
    <w:rsid w:val="7E0C4A21"/>
    <w:rsid w:val="7E0D5CFD"/>
    <w:rsid w:val="7E256FA3"/>
    <w:rsid w:val="7E27750E"/>
    <w:rsid w:val="7E38992D"/>
    <w:rsid w:val="7E3F16D9"/>
    <w:rsid w:val="7E431A57"/>
    <w:rsid w:val="7E434A6B"/>
    <w:rsid w:val="7E571841"/>
    <w:rsid w:val="7E59B783"/>
    <w:rsid w:val="7E60B396"/>
    <w:rsid w:val="7E610565"/>
    <w:rsid w:val="7E732327"/>
    <w:rsid w:val="7E74F7AE"/>
    <w:rsid w:val="7E7E07B2"/>
    <w:rsid w:val="7E8092DD"/>
    <w:rsid w:val="7E8286E2"/>
    <w:rsid w:val="7E8CF391"/>
    <w:rsid w:val="7E926892"/>
    <w:rsid w:val="7E96D42B"/>
    <w:rsid w:val="7E9A7EFB"/>
    <w:rsid w:val="7EA4CD2E"/>
    <w:rsid w:val="7EA8563B"/>
    <w:rsid w:val="7EAE6599"/>
    <w:rsid w:val="7EB2FDBD"/>
    <w:rsid w:val="7EBD7103"/>
    <w:rsid w:val="7EC6AF55"/>
    <w:rsid w:val="7ED2EB34"/>
    <w:rsid w:val="7ED35143"/>
    <w:rsid w:val="7EEBC8C2"/>
    <w:rsid w:val="7EF9B381"/>
    <w:rsid w:val="7F05C5FB"/>
    <w:rsid w:val="7F158B75"/>
    <w:rsid w:val="7F1DF8EC"/>
    <w:rsid w:val="7F22BB9F"/>
    <w:rsid w:val="7F239D92"/>
    <w:rsid w:val="7F3E80CD"/>
    <w:rsid w:val="7F48EC40"/>
    <w:rsid w:val="7F4AFDB9"/>
    <w:rsid w:val="7F4B4693"/>
    <w:rsid w:val="7F4B473D"/>
    <w:rsid w:val="7F5516CD"/>
    <w:rsid w:val="7F57D87A"/>
    <w:rsid w:val="7F60270E"/>
    <w:rsid w:val="7F63A413"/>
    <w:rsid w:val="7F694C48"/>
    <w:rsid w:val="7F6D9835"/>
    <w:rsid w:val="7F7BA2BA"/>
    <w:rsid w:val="7F7EE854"/>
    <w:rsid w:val="7F8264DD"/>
    <w:rsid w:val="7F88C24F"/>
    <w:rsid w:val="7F8A1FB9"/>
    <w:rsid w:val="7F8B1C87"/>
    <w:rsid w:val="7F959435"/>
    <w:rsid w:val="7F9E8A01"/>
    <w:rsid w:val="7FA11231"/>
    <w:rsid w:val="7FA6DD10"/>
    <w:rsid w:val="7FACDAC0"/>
    <w:rsid w:val="7FB0B7AE"/>
    <w:rsid w:val="7FB0C6D0"/>
    <w:rsid w:val="7FBA0495"/>
    <w:rsid w:val="7FC0A8E6"/>
    <w:rsid w:val="7FC152D3"/>
    <w:rsid w:val="7FC33796"/>
    <w:rsid w:val="7FCA1269"/>
    <w:rsid w:val="7FCB7B8C"/>
    <w:rsid w:val="7FD004F5"/>
    <w:rsid w:val="7FD72BBE"/>
    <w:rsid w:val="7FE11978"/>
    <w:rsid w:val="7FEA9A62"/>
    <w:rsid w:val="7FEE97D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F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5"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qFormat="1"/>
    <w:lsdException w:name="List Number 4" w:semiHidden="1"/>
    <w:lsdException w:name="List Number 5" w:semiHidden="1"/>
    <w:lsdException w:name="Title" w:semiHidden="1" w:uiPriority="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8F"/>
    <w:pPr>
      <w:spacing w:before="120" w:after="120" w:line="240" w:lineRule="auto"/>
      <w:jc w:val="both"/>
    </w:pPr>
    <w:rPr>
      <w:sz w:val="24"/>
    </w:rPr>
  </w:style>
  <w:style w:type="paragraph" w:styleId="Heading1">
    <w:name w:val="heading 1"/>
    <w:next w:val="MSACESParagraph"/>
    <w:link w:val="Heading1Char"/>
    <w:uiPriority w:val="2"/>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4"/>
      </w:numPr>
      <w:spacing w:before="36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4"/>
      </w:numPr>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rsid w:val="003B095E"/>
    <w:pPr>
      <w:numPr>
        <w:ilvl w:val="0"/>
        <w:numId w:val="0"/>
      </w:numPr>
      <w:outlineLvl w:val="4"/>
    </w:pPr>
  </w:style>
  <w:style w:type="paragraph" w:styleId="Heading6">
    <w:name w:val="heading 6"/>
    <w:aliases w:val="Heading 3 - Body"/>
    <w:basedOn w:val="Heading3"/>
    <w:next w:val="Normal"/>
    <w:link w:val="Heading6Char"/>
    <w:uiPriority w:val="12"/>
    <w:rsid w:val="00624315"/>
    <w:pPr>
      <w:outlineLvl w:val="5"/>
    </w:pPr>
    <w:rPr>
      <w:sz w:val="24"/>
    </w:rPr>
  </w:style>
  <w:style w:type="paragraph" w:styleId="Heading7">
    <w:name w:val="heading 7"/>
    <w:basedOn w:val="Heading1"/>
    <w:next w:val="Normal"/>
    <w:link w:val="Heading7Char"/>
    <w:uiPriority w:val="12"/>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Normal: Bullets,Table Legend,Bullet1,Bullet 1,Bullet List,Section 5,List Table,BULL"/>
    <w:basedOn w:val="Normal"/>
    <w:link w:val="ListParagraphChar"/>
    <w:uiPriority w:val="34"/>
    <w:qFormat/>
    <w:rsid w:val="004908B7"/>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481549"/>
    <w:rPr>
      <w:rFonts w:eastAsiaTheme="majorEastAsia" w:cstheme="majorBidi"/>
      <w:b/>
      <w:sz w:val="24"/>
      <w:szCs w:val="28"/>
    </w:rPr>
  </w:style>
  <w:style w:type="character" w:customStyle="1" w:styleId="Heading7Char">
    <w:name w:val="Heading 7 Char"/>
    <w:basedOn w:val="DefaultParagraphFont"/>
    <w:link w:val="Heading7"/>
    <w:uiPriority w:val="12"/>
    <w:rsid w:val="00481549"/>
    <w:rPr>
      <w:rFonts w:eastAsiaTheme="majorEastAsia" w:cstheme="majorBidi"/>
      <w:b/>
      <w:i/>
      <w:sz w:val="24"/>
      <w:szCs w:val="24"/>
    </w:rPr>
  </w:style>
  <w:style w:type="character" w:customStyle="1" w:styleId="Heading8Char">
    <w:name w:val="Heading 8 Char"/>
    <w:basedOn w:val="DefaultParagraphFont"/>
    <w:link w:val="Heading8"/>
    <w:uiPriority w:val="7"/>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HealthConsult,HTAtableplain,PBAC table,Dossier table,Summary Table,PHE Table Grid,Lash Style Table,Section 3- footnotes"/>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next w:val="Normal"/>
    <w:link w:val="CaptionChar"/>
    <w:autoRedefine/>
    <w:uiPriority w:val="99"/>
    <w:qFormat/>
    <w:rsid w:val="00042ACA"/>
    <w:pPr>
      <w:keepNext/>
      <w:tabs>
        <w:tab w:val="left" w:pos="1418"/>
      </w:tabs>
      <w:spacing w:after="0"/>
      <w:contextualSpacing/>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aliases w:val="Hyperlink - H39"/>
    <w:basedOn w:val="DefaultParagraphFont"/>
    <w:uiPriority w:val="99"/>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rsid w:val="004E6CFF"/>
    <w:rPr>
      <w:b/>
      <w:bCs/>
      <w:sz w:val="20"/>
      <w:szCs w:val="20"/>
    </w:rPr>
  </w:style>
  <w:style w:type="character" w:customStyle="1" w:styleId="CommentSubjectChar">
    <w:name w:val="Comment Subject Char"/>
    <w:basedOn w:val="DefaultParagraphFont"/>
    <w:link w:val="CommentSubject"/>
    <w:uiPriority w:val="99"/>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uiPriority w:val="99"/>
    <w:rsid w:val="00042ACA"/>
    <w:rPr>
      <w:rFonts w:ascii="Arial Narrow" w:hAnsi="Arial Narrow"/>
      <w:b/>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qFormat/>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qFormat/>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pPr>
    <w:rPr>
      <w:rFonts w:ascii="Arial" w:eastAsia="Times New Roman" w:hAnsi="Arial" w:cs="Arial"/>
      <w:b/>
      <w:bCs/>
      <w:snapToGrid w:val="0"/>
      <w:sz w:val="2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qFormat/>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qFormat/>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Normal: Bullets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0"/>
        <w:numId w:val="0"/>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rPr>
      <w:i w:val="0"/>
      <w:smallCaps/>
      <w:sz w:val="32"/>
    </w:rPr>
  </w:style>
  <w:style w:type="paragraph" w:customStyle="1" w:styleId="PBACESHeading3">
    <w:name w:val="PBAC ES Heading 3"/>
    <w:basedOn w:val="PBACESHeading2"/>
    <w:link w:val="PBACESHeading3Char"/>
    <w:uiPriority w:val="1"/>
    <w:qFormat/>
    <w:rsid w:val="00396339"/>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numId w:val="8"/>
      </w:numPr>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042ACA"/>
    <w:pPr>
      <w:numPr>
        <w:ilvl w:val="0"/>
        <w:numId w:val="0"/>
      </w:numPr>
      <w:spacing w:before="120"/>
    </w:pPr>
  </w:style>
  <w:style w:type="character" w:customStyle="1" w:styleId="OutlineHeading2Char">
    <w:name w:val="Outline Heading 2 Char"/>
    <w:basedOn w:val="Heading2Char"/>
    <w:link w:val="OutlineHeading2"/>
    <w:uiPriority w:val="3"/>
    <w:rsid w:val="00042ACA"/>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2C71"/>
    <w:pPr>
      <w:numPr>
        <w:numId w:val="34"/>
      </w:numPr>
      <w:spacing w:before="160" w:after="240"/>
      <w:ind w:hanging="72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0"/>
        <w:numId w:val="0"/>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1"/>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5"/>
      </w:numPr>
    </w:pPr>
  </w:style>
  <w:style w:type="paragraph" w:customStyle="1" w:styleId="MainBodyBulletPoint">
    <w:name w:val="MainBody Bullet Point"/>
    <w:basedOn w:val="InstructionBulletpoint"/>
    <w:link w:val="MainBodyBulletPointChar"/>
    <w:uiPriority w:val="1"/>
    <w:qFormat/>
    <w:rsid w:val="002532B4"/>
    <w:pPr>
      <w:numPr>
        <w:numId w:val="6"/>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9"/>
      </w:numPr>
    </w:pPr>
  </w:style>
  <w:style w:type="numbering" w:customStyle="1" w:styleId="Style2">
    <w:name w:val="Style2"/>
    <w:uiPriority w:val="99"/>
    <w:rsid w:val="002A391F"/>
    <w:pPr>
      <w:numPr>
        <w:numId w:val="10"/>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1"/>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basedOn w:val="Normal"/>
    <w:link w:val="CommentTextChar"/>
    <w:unhideWhenUsed/>
    <w:qFormat/>
    <w:rsid w:val="001952BB"/>
    <w:rPr>
      <w:sz w:val="20"/>
      <w:szCs w:val="20"/>
    </w:rPr>
  </w:style>
  <w:style w:type="character" w:customStyle="1" w:styleId="CommentTextChar">
    <w:name w:val="Comment Text Char"/>
    <w:basedOn w:val="DefaultParagraphFont"/>
    <w:link w:val="CommentText"/>
    <w:qFormat/>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qFormat/>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qFormat/>
    <w:rsid w:val="008A41CD"/>
    <w:pPr>
      <w:spacing w:before="360"/>
    </w:pPr>
  </w:style>
  <w:style w:type="paragraph" w:customStyle="1" w:styleId="Instructionaltext-bullet">
    <w:name w:val="Instructional text - bullet"/>
    <w:basedOn w:val="Instructionaltext0"/>
    <w:rsid w:val="00FD07C6"/>
    <w:pPr>
      <w:numPr>
        <w:numId w:val="12"/>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4"/>
      </w:numPr>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numId w:val="15"/>
      </w:numPr>
      <w:spacing w:before="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spacing w:before="0"/>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unhideWhenUsed/>
    <w:rsid w:val="009E2636"/>
  </w:style>
  <w:style w:type="character" w:customStyle="1" w:styleId="BodyTextChar">
    <w:name w:val="Body Text Char"/>
    <w:basedOn w:val="DefaultParagraphFont"/>
    <w:link w:val="BodyText"/>
    <w:uiPriority w:val="4"/>
    <w:rsid w:val="009E2636"/>
    <w:rPr>
      <w:sz w:val="24"/>
    </w:rPr>
  </w:style>
  <w:style w:type="paragraph" w:customStyle="1" w:styleId="4-SubsectionHeading">
    <w:name w:val="4-Subsection Heading"/>
    <w:basedOn w:val="Heading2"/>
    <w:next w:val="3-BodyText"/>
    <w:link w:val="4-SubsectionHeadingChar"/>
    <w:qFormat/>
    <w:rsid w:val="00C15EDC"/>
    <w:pPr>
      <w:keepLines w:val="0"/>
      <w:numPr>
        <w:ilvl w:val="0"/>
        <w:numId w:val="0"/>
      </w:numPr>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character" w:styleId="UnresolvedMention">
    <w:name w:val="Unresolved Mention"/>
    <w:basedOn w:val="DefaultParagraphFont"/>
    <w:uiPriority w:val="99"/>
    <w:unhideWhenUsed/>
    <w:rsid w:val="007C5313"/>
    <w:rPr>
      <w:color w:val="605E5C"/>
      <w:shd w:val="clear" w:color="auto" w:fill="E1DFDD"/>
    </w:rPr>
  </w:style>
  <w:style w:type="paragraph" w:customStyle="1" w:styleId="ExecSumBodyText">
    <w:name w:val="Exec Sum Body Text"/>
    <w:basedOn w:val="Normal"/>
    <w:link w:val="ExecSumBodyTextChar"/>
    <w:uiPriority w:val="99"/>
    <w:rsid w:val="000E0CF4"/>
    <w:pPr>
      <w:spacing w:before="0"/>
      <w:ind w:left="720" w:hanging="720"/>
    </w:pPr>
    <w:rPr>
      <w:rFonts w:eastAsia="Times New Roman" w:cs="Arial"/>
      <w:snapToGrid w:val="0"/>
      <w:szCs w:val="24"/>
      <w:lang w:eastAsia="en-AU"/>
    </w:rPr>
  </w:style>
  <w:style w:type="character" w:customStyle="1" w:styleId="ExecSumBodyTextChar">
    <w:name w:val="Exec Sum Body Text Char"/>
    <w:basedOn w:val="DefaultParagraphFont"/>
    <w:link w:val="ExecSumBodyText"/>
    <w:uiPriority w:val="99"/>
    <w:rsid w:val="000E0CF4"/>
    <w:rPr>
      <w:rFonts w:eastAsia="Times New Roman" w:cs="Arial"/>
      <w:snapToGrid w:val="0"/>
      <w:sz w:val="24"/>
      <w:szCs w:val="24"/>
      <w:lang w:eastAsia="en-AU"/>
    </w:rPr>
  </w:style>
  <w:style w:type="paragraph" w:customStyle="1" w:styleId="FooterTableFigure">
    <w:name w:val="Footer Table/Figure"/>
    <w:basedOn w:val="Normal"/>
    <w:link w:val="FooterTableFigureChar"/>
    <w:qFormat/>
    <w:rsid w:val="00C905D6"/>
    <w:pPr>
      <w:spacing w:before="0"/>
      <w:contextualSpacing/>
      <w:jc w:val="left"/>
    </w:pPr>
    <w:rPr>
      <w:rFonts w:ascii="Arial Narrow" w:eastAsia="Times New Roman" w:hAnsi="Arial Narrow" w:cs="Times New Roman"/>
      <w:snapToGrid w:val="0"/>
      <w:sz w:val="18"/>
      <w:lang w:eastAsia="en-GB"/>
    </w:rPr>
  </w:style>
  <w:style w:type="character" w:customStyle="1" w:styleId="FooterTableFigureChar">
    <w:name w:val="Footer Table/Figure Char"/>
    <w:link w:val="FooterTableFigure"/>
    <w:rsid w:val="00C905D6"/>
    <w:rPr>
      <w:rFonts w:ascii="Arial Narrow" w:eastAsia="Times New Roman" w:hAnsi="Arial Narrow" w:cs="Times New Roman"/>
      <w:snapToGrid w:val="0"/>
      <w:sz w:val="18"/>
      <w:lang w:eastAsia="en-GB"/>
    </w:rPr>
  </w:style>
  <w:style w:type="paragraph" w:styleId="Bibliography">
    <w:name w:val="Bibliography"/>
    <w:basedOn w:val="Normal"/>
    <w:next w:val="Normal"/>
    <w:uiPriority w:val="37"/>
    <w:unhideWhenUsed/>
    <w:rsid w:val="00C905D6"/>
  </w:style>
  <w:style w:type="table" w:customStyle="1" w:styleId="PBACTableStyle1">
    <w:name w:val="PBAC Table Style1"/>
    <w:basedOn w:val="TableGrid1"/>
    <w:uiPriority w:val="99"/>
    <w:rsid w:val="00C905D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character" w:customStyle="1" w:styleId="SmallItalics">
    <w:name w:val="Small Italics"/>
    <w:basedOn w:val="DefaultParagraphFont"/>
    <w:uiPriority w:val="4"/>
    <w:qFormat/>
    <w:rsid w:val="00C905D6"/>
    <w:rPr>
      <w:rFonts w:ascii="Calibri" w:hAnsi="Calibri"/>
      <w:i/>
      <w:sz w:val="20"/>
    </w:rPr>
  </w:style>
  <w:style w:type="paragraph" w:customStyle="1" w:styleId="TableText1">
    <w:name w:val="TableText"/>
    <w:basedOn w:val="Normal"/>
    <w:link w:val="TableTextChar1"/>
    <w:uiPriority w:val="1"/>
    <w:qFormat/>
    <w:rsid w:val="00C905D6"/>
    <w:pPr>
      <w:keepNext/>
      <w:spacing w:before="60" w:after="60"/>
      <w:jc w:val="left"/>
    </w:pPr>
    <w:rPr>
      <w:rFonts w:ascii="Times New Roman" w:eastAsia="Times New Roman" w:hAnsi="Times New Roman" w:cs="Times New Roman"/>
      <w:color w:val="000000" w:themeColor="text1"/>
      <w:sz w:val="21"/>
      <w:szCs w:val="21"/>
      <w:lang w:eastAsia="en-AU"/>
    </w:rPr>
  </w:style>
  <w:style w:type="character" w:customStyle="1" w:styleId="TableTextChar1">
    <w:name w:val="TableText Char"/>
    <w:basedOn w:val="DefaultParagraphFont"/>
    <w:link w:val="TableText1"/>
    <w:uiPriority w:val="1"/>
    <w:rsid w:val="00C905D6"/>
    <w:rPr>
      <w:rFonts w:ascii="Times New Roman" w:eastAsia="Times New Roman" w:hAnsi="Times New Roman" w:cs="Times New Roman"/>
      <w:color w:val="000000" w:themeColor="text1"/>
      <w:sz w:val="21"/>
      <w:szCs w:val="21"/>
      <w:lang w:eastAsia="en-AU"/>
    </w:rPr>
  </w:style>
  <w:style w:type="character" w:customStyle="1" w:styleId="normaltextrun">
    <w:name w:val="normaltextrun"/>
    <w:basedOn w:val="DefaultParagraphFont"/>
    <w:rsid w:val="00C905D6"/>
  </w:style>
  <w:style w:type="character" w:customStyle="1" w:styleId="Small">
    <w:name w:val="Small"/>
    <w:basedOn w:val="DefaultParagraphFont"/>
    <w:uiPriority w:val="4"/>
    <w:qFormat/>
    <w:rsid w:val="00C905D6"/>
    <w:rPr>
      <w:rFonts w:ascii="Calibri" w:hAnsi="Calibri"/>
      <w:sz w:val="20"/>
    </w:rPr>
  </w:style>
  <w:style w:type="paragraph" w:customStyle="1" w:styleId="TableLeft">
    <w:name w:val="Table Left"/>
    <w:basedOn w:val="Normal"/>
    <w:link w:val="TableLeftChar"/>
    <w:uiPriority w:val="99"/>
    <w:qFormat/>
    <w:rsid w:val="00C905D6"/>
    <w:pPr>
      <w:spacing w:before="0" w:after="0"/>
    </w:pPr>
    <w:rPr>
      <w:rFonts w:ascii="Calibri" w:eastAsiaTheme="majorEastAsia" w:hAnsi="Calibri" w:cstheme="majorBidi"/>
      <w:sz w:val="18"/>
      <w:szCs w:val="18"/>
      <w:lang w:bidi="en-US"/>
    </w:rPr>
  </w:style>
  <w:style w:type="character" w:customStyle="1" w:styleId="TableLeftChar">
    <w:name w:val="Table Left Char"/>
    <w:basedOn w:val="DefaultParagraphFont"/>
    <w:link w:val="TableLeft"/>
    <w:uiPriority w:val="99"/>
    <w:locked/>
    <w:rsid w:val="00C905D6"/>
    <w:rPr>
      <w:rFonts w:ascii="Calibri" w:eastAsiaTheme="majorEastAsia" w:hAnsi="Calibri" w:cstheme="majorBidi"/>
      <w:sz w:val="18"/>
      <w:szCs w:val="18"/>
      <w:lang w:bidi="en-US"/>
    </w:rPr>
  </w:style>
  <w:style w:type="table" w:customStyle="1" w:styleId="PBACTableStyle11">
    <w:name w:val="PBAC Table Style11"/>
    <w:basedOn w:val="TableGrid1"/>
    <w:uiPriority w:val="99"/>
    <w:rsid w:val="00C905D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
    <w:name w:val="PBAC Table Style2"/>
    <w:basedOn w:val="TableGrid1"/>
    <w:uiPriority w:val="99"/>
    <w:rsid w:val="00C905D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character" w:styleId="Mention">
    <w:name w:val="Mention"/>
    <w:basedOn w:val="DefaultParagraphFont"/>
    <w:uiPriority w:val="99"/>
    <w:unhideWhenUsed/>
    <w:rsid w:val="00C905D6"/>
    <w:rPr>
      <w:color w:val="2B579A"/>
      <w:shd w:val="clear" w:color="auto" w:fill="E1DFDD"/>
    </w:rPr>
  </w:style>
  <w:style w:type="character" w:customStyle="1" w:styleId="CaptionFootnoteChar">
    <w:name w:val="Caption Footnote Char"/>
    <w:basedOn w:val="DefaultParagraphFont"/>
    <w:link w:val="CaptionFootnote"/>
    <w:rsid w:val="00C905D6"/>
    <w:rPr>
      <w:rFonts w:eastAsia="Times New Roman" w:cs="Times New Roman"/>
      <w:kern w:val="28"/>
      <w:sz w:val="16"/>
      <w:szCs w:val="24"/>
      <w:lang w:val="fr-CH" w:eastAsia="en-GB"/>
    </w:rPr>
  </w:style>
  <w:style w:type="paragraph" w:customStyle="1" w:styleId="CaptionFootnote">
    <w:name w:val="Caption Footnote"/>
    <w:basedOn w:val="Normal"/>
    <w:link w:val="CaptionFootnoteChar"/>
    <w:uiPriority w:val="1"/>
    <w:qFormat/>
    <w:rsid w:val="00C905D6"/>
    <w:pPr>
      <w:spacing w:before="0" w:after="0"/>
      <w:jc w:val="left"/>
    </w:pPr>
    <w:rPr>
      <w:rFonts w:eastAsia="Times New Roman" w:cs="Times New Roman"/>
      <w:kern w:val="28"/>
      <w:sz w:val="16"/>
      <w:szCs w:val="24"/>
      <w:lang w:val="fr-CH" w:eastAsia="en-GB"/>
    </w:rPr>
  </w:style>
  <w:style w:type="table" w:customStyle="1" w:styleId="PBACTableStyle3">
    <w:name w:val="PBAC Table Style3"/>
    <w:basedOn w:val="TableGrid1"/>
    <w:uiPriority w:val="99"/>
    <w:rsid w:val="00C905D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1">
    <w:name w:val="PBAC Table Style21"/>
    <w:basedOn w:val="TableGrid1"/>
    <w:uiPriority w:val="99"/>
    <w:rsid w:val="009E18C3"/>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0">
    <w:name w:val="Table Grid1"/>
    <w:basedOn w:val="TableNormal"/>
    <w:next w:val="TableGrid"/>
    <w:uiPriority w:val="59"/>
    <w:rsid w:val="00910C44"/>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shaded">
    <w:name w:val="HTA Table shaded"/>
    <w:basedOn w:val="TableNormal"/>
    <w:rsid w:val="00D16670"/>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ootnotesAbbreviations">
    <w:name w:val="Table Footnotes/Abbreviations"/>
    <w:basedOn w:val="BodyText"/>
    <w:link w:val="TableFootnotesAbbreviationsChar"/>
    <w:qFormat/>
    <w:rsid w:val="00D16670"/>
    <w:pPr>
      <w:spacing w:before="60" w:after="0"/>
    </w:pPr>
    <w:rPr>
      <w:rFonts w:ascii="Arial" w:eastAsia="Times New Roman" w:hAnsi="Arial" w:cs="Times New Roman"/>
      <w:sz w:val="18"/>
      <w:szCs w:val="20"/>
      <w:lang w:val="en-GB"/>
    </w:rPr>
  </w:style>
  <w:style w:type="character" w:customStyle="1" w:styleId="TableFootnotesAbbreviationsChar">
    <w:name w:val="Table Footnotes/Abbreviations Char"/>
    <w:basedOn w:val="BodyTextChar"/>
    <w:link w:val="TableFootnotesAbbreviations"/>
    <w:rsid w:val="00D16670"/>
    <w:rPr>
      <w:rFonts w:ascii="Arial" w:eastAsia="Times New Roman" w:hAnsi="Arial" w:cs="Times New Roman"/>
      <w:sz w:val="18"/>
      <w:szCs w:val="20"/>
      <w:lang w:val="en-GB"/>
    </w:rPr>
  </w:style>
  <w:style w:type="numbering" w:customStyle="1" w:styleId="Style21">
    <w:name w:val="Style21"/>
    <w:uiPriority w:val="99"/>
    <w:rsid w:val="00BF3A82"/>
    <w:pPr>
      <w:numPr>
        <w:numId w:val="20"/>
      </w:numPr>
    </w:pPr>
  </w:style>
  <w:style w:type="table" w:customStyle="1" w:styleId="Submissionstandard">
    <w:name w:val="Submission standard"/>
    <w:basedOn w:val="TableNormal"/>
    <w:uiPriority w:val="99"/>
    <w:qFormat/>
    <w:rsid w:val="00601D6C"/>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Mincho" w:hAnsi="Yu Mincho"/>
        <w:b/>
        <w:sz w:val="20"/>
      </w:rPr>
      <w:tblPr/>
      <w:tcPr>
        <w:shd w:val="clear" w:color="auto" w:fill="BFBFBF" w:themeFill="background1" w:themeFillShade="BF"/>
      </w:tcPr>
    </w:tblStylePr>
  </w:style>
  <w:style w:type="table" w:customStyle="1" w:styleId="Evidera-2019">
    <w:name w:val="Evidera - 2019"/>
    <w:basedOn w:val="TableNormal"/>
    <w:uiPriority w:val="99"/>
    <w:qFormat/>
    <w:rsid w:val="00170854"/>
    <w:pPr>
      <w:spacing w:before="40" w:after="40" w:line="240" w:lineRule="auto"/>
    </w:pPr>
    <w:rPr>
      <w:rFonts w:ascii="Calibri Light" w:hAnsi="Calibri Light"/>
      <w:sz w:val="18"/>
      <w:lang w:val="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rPr>
      <w:cantSplit/>
    </w:trPr>
    <w:tcPr>
      <w:shd w:val="clear" w:color="auto" w:fill="auto"/>
    </w:tcPr>
    <w:tblStylePr w:type="firstRow">
      <w:pPr>
        <w:jc w:val="left"/>
      </w:pPr>
      <w:rPr>
        <w:rFonts w:ascii="Calibri Light" w:hAnsi="Calibri Light"/>
        <w:b w:val="0"/>
        <w:color w:val="70AD47" w:themeColor="accent6"/>
        <w:sz w:val="18"/>
      </w:rPr>
      <w:tblPr/>
      <w:trPr>
        <w:cantSplit w:val="0"/>
        <w:tblHeader/>
      </w:trPr>
      <w:tcPr>
        <w:shd w:val="clear" w:color="auto" w:fill="27AAE1"/>
      </w:tcPr>
    </w:tblStylePr>
    <w:tblStylePr w:type="firstCol">
      <w:pPr>
        <w:jc w:val="left"/>
      </w:pPr>
    </w:tblStylePr>
    <w:tblStylePr w:type="band1Horz">
      <w:pPr>
        <w:jc w:val="left"/>
      </w:pPr>
    </w:tblStylePr>
    <w:tblStylePr w:type="band2Horz">
      <w:pPr>
        <w:jc w:val="left"/>
      </w:pPr>
    </w:tblStylePr>
    <w:tblStylePr w:type="nwCell">
      <w:pPr>
        <w:jc w:val="left"/>
      </w:pPr>
      <w:rPr>
        <w:rFonts w:ascii="Calibri Light" w:hAnsi="Calibri Light"/>
        <w:color w:val="70AD47" w:themeColor="accent6"/>
        <w:sz w:val="18"/>
      </w:rPr>
      <w:tblPr/>
      <w:tcPr>
        <w:vAlign w:val="center"/>
      </w:tcPr>
    </w:tblStylePr>
  </w:style>
  <w:style w:type="character" w:customStyle="1" w:styleId="SmallBold">
    <w:name w:val="Small Bold"/>
    <w:basedOn w:val="Small"/>
    <w:uiPriority w:val="4"/>
    <w:qFormat/>
    <w:rsid w:val="0065235B"/>
    <w:rPr>
      <w:rFonts w:ascii="Calibri" w:hAnsi="Calibri"/>
      <w:b/>
      <w:sz w:val="20"/>
      <w:lang w:val="en-AU"/>
    </w:rPr>
  </w:style>
  <w:style w:type="numbering" w:customStyle="1" w:styleId="Style211">
    <w:name w:val="Style211"/>
    <w:uiPriority w:val="99"/>
    <w:rsid w:val="0065235B"/>
  </w:style>
  <w:style w:type="numbering" w:customStyle="1" w:styleId="Headings1">
    <w:name w:val="Headings1"/>
    <w:uiPriority w:val="99"/>
    <w:rsid w:val="0065235B"/>
  </w:style>
  <w:style w:type="paragraph" w:styleId="ListBullet">
    <w:name w:val="List Bullet"/>
    <w:basedOn w:val="Normal"/>
    <w:uiPriority w:val="15"/>
    <w:qFormat/>
    <w:rsid w:val="0065235B"/>
    <w:pPr>
      <w:numPr>
        <w:numId w:val="23"/>
      </w:numPr>
      <w:spacing w:before="0"/>
      <w:contextualSpacing/>
    </w:pPr>
    <w:rPr>
      <w:rFonts w:ascii="Arial" w:eastAsia="Times New Roman" w:hAnsi="Arial" w:cs="Times New Roman"/>
      <w:sz w:val="22"/>
    </w:rPr>
  </w:style>
  <w:style w:type="table" w:customStyle="1" w:styleId="TableGrid14">
    <w:name w:val="Table Grid14"/>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2">
    <w:name w:val="PBAC Table Style12"/>
    <w:basedOn w:val="TableGrid1"/>
    <w:uiPriority w:val="99"/>
    <w:rsid w:val="0065235B"/>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25">
    <w:name w:val="Table Grid25"/>
    <w:basedOn w:val="TableNormal"/>
    <w:next w:val="TableGrid"/>
    <w:uiPriority w:val="39"/>
    <w:rsid w:val="0065235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uiPriority w:val="99"/>
    <w:unhideWhenUsed/>
    <w:qFormat/>
    <w:rsid w:val="0065235B"/>
    <w:pPr>
      <w:spacing w:before="0" w:after="200" w:line="276" w:lineRule="auto"/>
      <w:ind w:left="720" w:hanging="360"/>
      <w:contextualSpacing/>
    </w:pPr>
    <w:rPr>
      <w:rFonts w:ascii="Calibri" w:eastAsiaTheme="majorEastAsia" w:hAnsi="Calibri" w:cstheme="majorBidi"/>
      <w:sz w:val="22"/>
      <w:lang w:bidi="en-US"/>
    </w:rPr>
  </w:style>
  <w:style w:type="table" w:customStyle="1" w:styleId="TableGrid28">
    <w:name w:val="Table Grid28"/>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22">
    <w:name w:val="PBAC Table Style22"/>
    <w:basedOn w:val="TableGrid1"/>
    <w:uiPriority w:val="99"/>
    <w:rsid w:val="0065235B"/>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Submissionstandard1">
    <w:name w:val="Submission standard1"/>
    <w:basedOn w:val="TableNormal"/>
    <w:uiPriority w:val="99"/>
    <w:qFormat/>
    <w:rsid w:val="0065235B"/>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Mincho" w:hAnsi="Yu Mincho"/>
        <w:b/>
        <w:sz w:val="20"/>
      </w:rPr>
      <w:tblPr/>
      <w:tcPr>
        <w:shd w:val="clear" w:color="auto" w:fill="BFBFBF" w:themeFill="background1" w:themeFillShade="BF"/>
      </w:tcPr>
    </w:tblStylePr>
  </w:style>
  <w:style w:type="table" w:customStyle="1" w:styleId="TableGrid9">
    <w:name w:val="Table Grid9"/>
    <w:basedOn w:val="TableNormal"/>
    <w:next w:val="TableGrid"/>
    <w:uiPriority w:val="39"/>
    <w:rsid w:val="0065235B"/>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31">
    <w:name w:val="PBAC Table Style31"/>
    <w:basedOn w:val="TableGrid1"/>
    <w:uiPriority w:val="99"/>
    <w:rsid w:val="0065235B"/>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Submissionstandard2">
    <w:name w:val="Submission standard2"/>
    <w:basedOn w:val="TableNormal"/>
    <w:uiPriority w:val="99"/>
    <w:qFormat/>
    <w:rsid w:val="0065235B"/>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Mincho" w:hAnsi="Yu Mincho"/>
        <w:b/>
        <w:sz w:val="20"/>
      </w:rPr>
      <w:tblPr/>
      <w:tcPr>
        <w:shd w:val="clear" w:color="auto" w:fill="BFBFBF" w:themeFill="background1" w:themeFillShade="BF"/>
      </w:tcPr>
    </w:tblStylePr>
  </w:style>
  <w:style w:type="numbering" w:customStyle="1" w:styleId="NoList1">
    <w:name w:val="No List1"/>
    <w:next w:val="NoList"/>
    <w:uiPriority w:val="99"/>
    <w:semiHidden/>
    <w:unhideWhenUsed/>
    <w:rsid w:val="0065235B"/>
  </w:style>
  <w:style w:type="paragraph" w:customStyle="1" w:styleId="1-MainHeading">
    <w:name w:val="1-Main Heading"/>
    <w:link w:val="1-MainHeadingChar"/>
    <w:qFormat/>
    <w:rsid w:val="0065235B"/>
    <w:pPr>
      <w:keepNext/>
      <w:spacing w:before="120" w:line="240" w:lineRule="auto"/>
      <w:ind w:left="720" w:hanging="720"/>
      <w:outlineLvl w:val="0"/>
    </w:pPr>
    <w:rPr>
      <w:rFonts w:eastAsia="Times New Roman" w:cs="Times New Roman"/>
      <w:b/>
      <w:spacing w:val="5"/>
      <w:kern w:val="28"/>
      <w:sz w:val="36"/>
      <w:szCs w:val="36"/>
      <w:lang w:eastAsia="en-AU"/>
    </w:rPr>
  </w:style>
  <w:style w:type="character" w:customStyle="1" w:styleId="1-MainHeadingChar">
    <w:name w:val="1-Main Heading Char"/>
    <w:basedOn w:val="DefaultParagraphFont"/>
    <w:link w:val="1-MainHeading"/>
    <w:rsid w:val="0065235B"/>
    <w:rPr>
      <w:rFonts w:eastAsia="Times New Roman" w:cs="Times New Roman"/>
      <w:b/>
      <w:spacing w:val="5"/>
      <w:kern w:val="28"/>
      <w:sz w:val="36"/>
      <w:szCs w:val="36"/>
      <w:lang w:eastAsia="en-AU"/>
    </w:rPr>
  </w:style>
  <w:style w:type="paragraph" w:customStyle="1" w:styleId="5-SubsectionSubheading">
    <w:name w:val="5-Subsection Subheading"/>
    <w:basedOn w:val="Heading3"/>
    <w:next w:val="3-BodyText"/>
    <w:link w:val="5-SubsectionSubheadingChar"/>
    <w:qFormat/>
    <w:rsid w:val="0065235B"/>
    <w:pPr>
      <w:numPr>
        <w:ilvl w:val="0"/>
        <w:numId w:val="0"/>
      </w:numPr>
      <w:spacing w:before="160"/>
    </w:pPr>
    <w:rPr>
      <w:color w:val="000000"/>
      <w:sz w:val="24"/>
      <w:szCs w:val="24"/>
      <w:lang w:eastAsia="en-AU"/>
    </w:rPr>
  </w:style>
  <w:style w:type="character" w:customStyle="1" w:styleId="5-SubsectionSubheadingChar">
    <w:name w:val="5-Subsection Subheading Char"/>
    <w:basedOn w:val="DefaultParagraphFont"/>
    <w:link w:val="5-SubsectionSubheading"/>
    <w:rsid w:val="0065235B"/>
    <w:rPr>
      <w:rFonts w:eastAsiaTheme="majorEastAsia" w:cstheme="majorBidi"/>
      <w:b/>
      <w:color w:val="000000"/>
      <w:sz w:val="24"/>
      <w:szCs w:val="24"/>
      <w:lang w:eastAsia="en-AU"/>
    </w:rPr>
  </w:style>
  <w:style w:type="paragraph" w:styleId="BodyTextIndent">
    <w:name w:val="Body Text Indent"/>
    <w:basedOn w:val="Normal"/>
    <w:link w:val="BodyTextIndentChar"/>
    <w:rsid w:val="0065235B"/>
    <w:pPr>
      <w:spacing w:before="0"/>
      <w:ind w:left="283"/>
    </w:pPr>
    <w:rPr>
      <w:rFonts w:ascii="Calibri" w:eastAsia="Times New Roman" w:hAnsi="Calibri" w:cs="Arial"/>
      <w:szCs w:val="24"/>
      <w:lang w:eastAsia="en-AU"/>
    </w:rPr>
  </w:style>
  <w:style w:type="character" w:customStyle="1" w:styleId="BodyTextIndentChar">
    <w:name w:val="Body Text Indent Char"/>
    <w:basedOn w:val="DefaultParagraphFont"/>
    <w:link w:val="BodyTextIndent"/>
    <w:rsid w:val="0065235B"/>
    <w:rPr>
      <w:rFonts w:ascii="Calibri" w:eastAsia="Times New Roman" w:hAnsi="Calibri" w:cs="Arial"/>
      <w:sz w:val="24"/>
      <w:szCs w:val="24"/>
      <w:lang w:eastAsia="en-AU"/>
    </w:rPr>
  </w:style>
  <w:style w:type="paragraph" w:customStyle="1" w:styleId="bullet0">
    <w:name w:val="bullet"/>
    <w:basedOn w:val="ListParagraph"/>
    <w:link w:val="bulletChar"/>
    <w:rsid w:val="0065235B"/>
    <w:pPr>
      <w:numPr>
        <w:numId w:val="25"/>
      </w:numPr>
      <w:spacing w:before="0"/>
    </w:pPr>
    <w:rPr>
      <w:rFonts w:ascii="Calibri" w:eastAsia="Times New Roman" w:hAnsi="Calibri"/>
      <w:i/>
      <w:color w:val="auto"/>
      <w:sz w:val="22"/>
    </w:rPr>
  </w:style>
  <w:style w:type="character" w:customStyle="1" w:styleId="bulletChar">
    <w:name w:val="bullet Char"/>
    <w:basedOn w:val="DefaultParagraphFont"/>
    <w:link w:val="bullet0"/>
    <w:rsid w:val="0065235B"/>
    <w:rPr>
      <w:rFonts w:ascii="Calibri" w:eastAsia="Times New Roman" w:hAnsi="Calibri"/>
      <w:i/>
    </w:rPr>
  </w:style>
  <w:style w:type="paragraph" w:customStyle="1" w:styleId="Char1CharCharChar">
    <w:name w:val="Char1 Char Char Char"/>
    <w:basedOn w:val="Normal"/>
    <w:rsid w:val="0065235B"/>
    <w:pPr>
      <w:spacing w:before="0" w:line="240" w:lineRule="exact"/>
      <w:jc w:val="left"/>
    </w:pPr>
    <w:rPr>
      <w:rFonts w:ascii="Verdana" w:eastAsia="MS Mincho" w:hAnsi="Verdana" w:cs="Verdana"/>
      <w:snapToGrid w:val="0"/>
      <w:sz w:val="20"/>
      <w:szCs w:val="24"/>
      <w:lang w:val="en-US" w:eastAsia="en-AU"/>
    </w:rPr>
  </w:style>
  <w:style w:type="character" w:customStyle="1" w:styleId="contentcontrolboundarysink">
    <w:name w:val="contentcontrolboundarysink"/>
    <w:basedOn w:val="DefaultParagraphFont"/>
    <w:rsid w:val="0065235B"/>
  </w:style>
  <w:style w:type="paragraph" w:customStyle="1" w:styleId="Corpsdetextemarge">
    <w:name w:val="Corps de texte marge"/>
    <w:basedOn w:val="BodyText"/>
    <w:uiPriority w:val="99"/>
    <w:rsid w:val="0065235B"/>
    <w:pPr>
      <w:spacing w:before="0" w:after="0"/>
    </w:pPr>
    <w:rPr>
      <w:rFonts w:ascii="Times" w:eastAsia="Times New Roman" w:hAnsi="Times" w:cs="Times New Roman"/>
      <w:snapToGrid w:val="0"/>
      <w:szCs w:val="24"/>
      <w:lang w:val="en-US" w:eastAsia="en-AU"/>
    </w:rPr>
  </w:style>
  <w:style w:type="paragraph" w:customStyle="1" w:styleId="Default">
    <w:name w:val="Default"/>
    <w:rsid w:val="0065235B"/>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eop">
    <w:name w:val="eop"/>
    <w:basedOn w:val="DefaultParagraphFont"/>
    <w:rsid w:val="0065235B"/>
  </w:style>
  <w:style w:type="paragraph" w:customStyle="1" w:styleId="GeneralHeading">
    <w:name w:val="General Heading"/>
    <w:qFormat/>
    <w:rsid w:val="0065235B"/>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PageFooter">
    <w:name w:val="Page Footer"/>
    <w:basedOn w:val="Normal"/>
    <w:link w:val="PageFooterChar"/>
    <w:qFormat/>
    <w:rsid w:val="0065235B"/>
    <w:pPr>
      <w:keepNext/>
      <w:tabs>
        <w:tab w:val="center" w:pos="4153"/>
        <w:tab w:val="center" w:pos="4513"/>
        <w:tab w:val="right" w:pos="8306"/>
        <w:tab w:val="right" w:pos="9026"/>
      </w:tabs>
      <w:spacing w:before="0" w:after="0"/>
      <w:jc w:val="center"/>
    </w:pPr>
    <w:rPr>
      <w:rFonts w:ascii="Calibri" w:eastAsia="Times New Roman" w:hAnsi="Calibri" w:cs="Arial"/>
      <w:b/>
      <w:szCs w:val="24"/>
      <w:lang w:eastAsia="en-AU"/>
    </w:rPr>
  </w:style>
  <w:style w:type="character" w:customStyle="1" w:styleId="PageFooterChar">
    <w:name w:val="Page Footer Char"/>
    <w:basedOn w:val="DefaultParagraphFont"/>
    <w:link w:val="PageFooter"/>
    <w:rsid w:val="0065235B"/>
    <w:rPr>
      <w:rFonts w:ascii="Calibri" w:eastAsia="Times New Roman" w:hAnsi="Calibri" w:cs="Arial"/>
      <w:b/>
      <w:sz w:val="24"/>
      <w:szCs w:val="24"/>
      <w:lang w:eastAsia="en-AU"/>
    </w:rPr>
  </w:style>
  <w:style w:type="character" w:styleId="PageNumber">
    <w:name w:val="page number"/>
    <w:basedOn w:val="DefaultParagraphFont"/>
    <w:semiHidden/>
    <w:unhideWhenUsed/>
    <w:rsid w:val="0065235B"/>
  </w:style>
  <w:style w:type="paragraph" w:customStyle="1" w:styleId="paragraph">
    <w:name w:val="paragraph"/>
    <w:basedOn w:val="Normal"/>
    <w:rsid w:val="0065235B"/>
    <w:pPr>
      <w:spacing w:before="100" w:beforeAutospacing="1" w:after="100" w:afterAutospacing="1"/>
      <w:jc w:val="left"/>
    </w:pPr>
    <w:rPr>
      <w:rFonts w:ascii="Times New Roman" w:eastAsia="Times New Roman" w:hAnsi="Times New Roman" w:cs="Times New Roman"/>
      <w:szCs w:val="24"/>
      <w:lang w:eastAsia="en-AU"/>
    </w:rPr>
  </w:style>
  <w:style w:type="paragraph" w:customStyle="1" w:styleId="PBACHeading1">
    <w:name w:val="PBAC Heading 1"/>
    <w:qFormat/>
    <w:rsid w:val="0065235B"/>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65235B"/>
    <w:pPr>
      <w:spacing w:after="0" w:line="240" w:lineRule="auto"/>
    </w:pPr>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itle">
    <w:name w:val="Subtitle"/>
    <w:basedOn w:val="Normal"/>
    <w:link w:val="SubtitleChar"/>
    <w:rsid w:val="0065235B"/>
    <w:pPr>
      <w:spacing w:before="0" w:after="0"/>
    </w:pPr>
    <w:rPr>
      <w:rFonts w:ascii="Times New Roman" w:eastAsia="Times New Roman" w:hAnsi="Times New Roman" w:cs="Times New Roman"/>
      <w:snapToGrid w:val="0"/>
      <w:sz w:val="20"/>
      <w:szCs w:val="24"/>
      <w:lang w:eastAsia="en-AU"/>
    </w:rPr>
  </w:style>
  <w:style w:type="character" w:customStyle="1" w:styleId="SubtitleChar">
    <w:name w:val="Subtitle Char"/>
    <w:basedOn w:val="DefaultParagraphFont"/>
    <w:link w:val="Subtitle"/>
    <w:rsid w:val="0065235B"/>
    <w:rPr>
      <w:rFonts w:ascii="Times New Roman" w:eastAsia="Times New Roman" w:hAnsi="Times New Roman" w:cs="Times New Roman"/>
      <w:snapToGrid w:val="0"/>
      <w:sz w:val="20"/>
      <w:szCs w:val="24"/>
      <w:lang w:eastAsia="en-AU"/>
    </w:rPr>
  </w:style>
  <w:style w:type="character" w:customStyle="1" w:styleId="SubtitleChar1">
    <w:name w:val="Subtitle Char1"/>
    <w:basedOn w:val="DefaultParagraphFont"/>
    <w:rsid w:val="0065235B"/>
    <w:rPr>
      <w:rFonts w:ascii="Aptos Display" w:eastAsia="Times New Roman" w:hAnsi="Aptos Display" w:cs="Times New Roman"/>
      <w:i/>
      <w:iCs/>
      <w:snapToGrid w:val="0"/>
      <w:color w:val="156082"/>
      <w:spacing w:val="15"/>
      <w:sz w:val="24"/>
      <w:szCs w:val="24"/>
      <w:lang w:eastAsia="en-US"/>
    </w:rPr>
  </w:style>
  <w:style w:type="table" w:customStyle="1" w:styleId="ASDTable2">
    <w:name w:val="ASD Table2"/>
    <w:basedOn w:val="TableNormal"/>
    <w:next w:val="TableGrid"/>
    <w:uiPriority w:val="39"/>
    <w:rsid w:val="0065235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uiPriority w:val="3"/>
    <w:rsid w:val="0065235B"/>
    <w:pPr>
      <w:spacing w:before="0" w:after="0"/>
    </w:pPr>
    <w:rPr>
      <w:rFonts w:ascii="Calibri" w:eastAsia="Times New Roman" w:hAnsi="Calibri" w:cs="Arial"/>
      <w:b/>
      <w:sz w:val="20"/>
      <w:szCs w:val="24"/>
      <w:lang w:eastAsia="en-AU"/>
    </w:rPr>
  </w:style>
  <w:style w:type="paragraph" w:customStyle="1" w:styleId="TableName">
    <w:name w:val="TableName"/>
    <w:basedOn w:val="Normal"/>
    <w:rsid w:val="0065235B"/>
    <w:pPr>
      <w:keepNext/>
      <w:ind w:left="1800" w:hanging="1080"/>
      <w:jc w:val="left"/>
    </w:pPr>
    <w:rPr>
      <w:rFonts w:ascii="Arial Narrow" w:eastAsia="Times New Roman" w:hAnsi="Arial Narrow" w:cs="Arial Narrow"/>
      <w:b/>
      <w:bCs/>
      <w:snapToGrid w:val="0"/>
      <w:szCs w:val="24"/>
      <w:lang w:eastAsia="en-AU"/>
    </w:rPr>
  </w:style>
  <w:style w:type="paragraph" w:customStyle="1" w:styleId="TableNotes18">
    <w:name w:val="TableNotes+18"/>
    <w:basedOn w:val="Normal"/>
    <w:rsid w:val="0065235B"/>
    <w:pPr>
      <w:keepLines/>
      <w:spacing w:before="0" w:after="360"/>
      <w:ind w:left="720"/>
      <w:jc w:val="left"/>
    </w:pPr>
    <w:rPr>
      <w:rFonts w:ascii="Arial Narrow" w:eastAsia="Times New Roman" w:hAnsi="Arial Narrow" w:cs="Arial Narrow"/>
      <w:snapToGrid w:val="0"/>
      <w:sz w:val="18"/>
      <w:szCs w:val="18"/>
      <w:lang w:eastAsia="en-AU"/>
    </w:rPr>
  </w:style>
  <w:style w:type="paragraph" w:customStyle="1" w:styleId="TableNotes0">
    <w:name w:val="TableNotes+0"/>
    <w:basedOn w:val="TableNotes18"/>
    <w:rsid w:val="0065235B"/>
    <w:pPr>
      <w:keepNext/>
      <w:spacing w:after="0"/>
    </w:pPr>
  </w:style>
  <w:style w:type="paragraph" w:styleId="Title">
    <w:name w:val="Title"/>
    <w:basedOn w:val="Normal"/>
    <w:next w:val="Normal"/>
    <w:link w:val="TitleChar"/>
    <w:rsid w:val="0065235B"/>
    <w:pPr>
      <w:spacing w:before="240" w:after="60"/>
      <w:jc w:val="center"/>
      <w:outlineLvl w:val="0"/>
    </w:pPr>
    <w:rPr>
      <w:rFonts w:ascii="Cambria" w:eastAsia="Times New Roman" w:hAnsi="Cambria" w:cs="Arial"/>
      <w:b/>
      <w:bCs/>
      <w:kern w:val="28"/>
      <w:sz w:val="32"/>
      <w:szCs w:val="32"/>
      <w:lang w:eastAsia="en-AU"/>
    </w:rPr>
  </w:style>
  <w:style w:type="character" w:customStyle="1" w:styleId="TitleChar">
    <w:name w:val="Title Char"/>
    <w:basedOn w:val="DefaultParagraphFont"/>
    <w:link w:val="Title"/>
    <w:rsid w:val="0065235B"/>
    <w:rPr>
      <w:rFonts w:ascii="Cambria" w:eastAsia="Times New Roman" w:hAnsi="Cambria" w:cs="Arial"/>
      <w:b/>
      <w:bCs/>
      <w:kern w:val="28"/>
      <w:sz w:val="32"/>
      <w:szCs w:val="32"/>
      <w:lang w:eastAsia="en-AU"/>
    </w:rPr>
  </w:style>
  <w:style w:type="paragraph" w:customStyle="1" w:styleId="V50Tablename">
    <w:name w:val="V5.0 Table name"/>
    <w:basedOn w:val="Normal"/>
    <w:link w:val="V50TablenameChar"/>
    <w:rsid w:val="0065235B"/>
    <w:pPr>
      <w:keepNext/>
      <w:spacing w:before="0" w:after="0"/>
      <w:jc w:val="left"/>
    </w:pPr>
    <w:rPr>
      <w:b/>
      <w:snapToGrid w:val="0"/>
      <w:sz w:val="20"/>
      <w:szCs w:val="24"/>
      <w:lang w:val="en-US" w:eastAsia="en-AU"/>
    </w:rPr>
  </w:style>
  <w:style w:type="character" w:customStyle="1" w:styleId="V50TablenameChar">
    <w:name w:val="V5.0 Table name Char"/>
    <w:basedOn w:val="DefaultParagraphFont"/>
    <w:link w:val="V50Tablename"/>
    <w:rsid w:val="0065235B"/>
    <w:rPr>
      <w:b/>
      <w:snapToGrid w:val="0"/>
      <w:sz w:val="20"/>
      <w:szCs w:val="24"/>
      <w:lang w:val="en-US" w:eastAsia="en-AU"/>
    </w:rPr>
  </w:style>
  <w:style w:type="paragraph" w:customStyle="1" w:styleId="Quote1">
    <w:name w:val="Quote1"/>
    <w:basedOn w:val="Normal"/>
    <w:next w:val="Normal"/>
    <w:uiPriority w:val="29"/>
    <w:qFormat/>
    <w:rsid w:val="0065235B"/>
    <w:pPr>
      <w:spacing w:before="160"/>
      <w:jc w:val="center"/>
    </w:pPr>
    <w:rPr>
      <w:rFonts w:ascii="Calibri" w:eastAsia="Times New Roman" w:hAnsi="Calibri" w:cs="Arial"/>
      <w:i/>
      <w:iCs/>
      <w:color w:val="404040"/>
      <w:szCs w:val="24"/>
      <w:lang w:eastAsia="en-AU"/>
    </w:rPr>
  </w:style>
  <w:style w:type="character" w:customStyle="1" w:styleId="QuoteChar">
    <w:name w:val="Quote Char"/>
    <w:basedOn w:val="DefaultParagraphFont"/>
    <w:link w:val="Quote"/>
    <w:uiPriority w:val="29"/>
    <w:rsid w:val="0065235B"/>
    <w:rPr>
      <w:rFonts w:ascii="Calibri" w:hAnsi="Calibri" w:cs="Arial"/>
      <w:i/>
      <w:iCs/>
      <w:color w:val="404040"/>
      <w:sz w:val="24"/>
      <w:szCs w:val="24"/>
      <w:lang w:eastAsia="en-AU"/>
    </w:rPr>
  </w:style>
  <w:style w:type="character" w:customStyle="1" w:styleId="IntenseEmphasis1">
    <w:name w:val="Intense Emphasis1"/>
    <w:basedOn w:val="DefaultParagraphFont"/>
    <w:uiPriority w:val="21"/>
    <w:qFormat/>
    <w:rsid w:val="0065235B"/>
    <w:rPr>
      <w:i/>
      <w:iCs/>
      <w:color w:val="0F4761"/>
    </w:rPr>
  </w:style>
  <w:style w:type="paragraph" w:customStyle="1" w:styleId="IntenseQuote1">
    <w:name w:val="Intense Quote1"/>
    <w:basedOn w:val="Normal"/>
    <w:next w:val="Normal"/>
    <w:uiPriority w:val="30"/>
    <w:qFormat/>
    <w:rsid w:val="0065235B"/>
    <w:pPr>
      <w:pBdr>
        <w:top w:val="single" w:sz="4" w:space="10" w:color="0F4761"/>
        <w:bottom w:val="single" w:sz="4" w:space="10" w:color="0F4761"/>
      </w:pBdr>
      <w:spacing w:before="360" w:after="360"/>
      <w:ind w:left="864" w:right="864"/>
      <w:jc w:val="center"/>
    </w:pPr>
    <w:rPr>
      <w:rFonts w:ascii="Calibri" w:eastAsia="Times New Roman" w:hAnsi="Calibri" w:cs="Arial"/>
      <w:i/>
      <w:iCs/>
      <w:color w:val="0F4761"/>
      <w:szCs w:val="24"/>
      <w:lang w:eastAsia="en-AU"/>
    </w:rPr>
  </w:style>
  <w:style w:type="character" w:customStyle="1" w:styleId="IntenseQuoteChar">
    <w:name w:val="Intense Quote Char"/>
    <w:basedOn w:val="DefaultParagraphFont"/>
    <w:link w:val="IntenseQuote"/>
    <w:uiPriority w:val="30"/>
    <w:rsid w:val="0065235B"/>
    <w:rPr>
      <w:rFonts w:ascii="Calibri" w:hAnsi="Calibri" w:cs="Arial"/>
      <w:i/>
      <w:iCs/>
      <w:color w:val="0F4761"/>
      <w:sz w:val="24"/>
      <w:szCs w:val="24"/>
      <w:lang w:eastAsia="en-AU"/>
    </w:rPr>
  </w:style>
  <w:style w:type="character" w:customStyle="1" w:styleId="IntenseReference1">
    <w:name w:val="Intense Reference1"/>
    <w:basedOn w:val="DefaultParagraphFont"/>
    <w:uiPriority w:val="32"/>
    <w:qFormat/>
    <w:rsid w:val="0065235B"/>
    <w:rPr>
      <w:b/>
      <w:bCs/>
      <w:smallCaps/>
      <w:color w:val="0F4761"/>
      <w:spacing w:val="5"/>
    </w:rPr>
  </w:style>
  <w:style w:type="numbering" w:customStyle="1" w:styleId="NoList11">
    <w:name w:val="No List11"/>
    <w:next w:val="NoList"/>
    <w:uiPriority w:val="99"/>
    <w:semiHidden/>
    <w:unhideWhenUsed/>
    <w:rsid w:val="0065235B"/>
  </w:style>
  <w:style w:type="table" w:customStyle="1" w:styleId="Section3-footnotes1">
    <w:name w:val="Section 3- footnotes1"/>
    <w:basedOn w:val="TableNormal"/>
    <w:next w:val="TableGrid"/>
    <w:uiPriority w:val="59"/>
    <w:rsid w:val="0065235B"/>
    <w:pPr>
      <w:spacing w:after="0" w:line="240" w:lineRule="auto"/>
    </w:pPr>
    <w:rPr>
      <w:rFonts w:eastAsia="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Style4">
    <w:name w:val="PBAC Table Style4"/>
    <w:basedOn w:val="TableGrid1"/>
    <w:uiPriority w:val="99"/>
    <w:rsid w:val="0065235B"/>
    <w:pPr>
      <w:widowControl w:val="0"/>
      <w:spacing w:after="0"/>
      <w:contextualSpacing/>
      <w:jc w:val="center"/>
    </w:pPr>
    <w:rPr>
      <w:rFonts w:ascii="Arial Narrow" w:eastAsia="Calibri" w:hAnsi="Arial Narrow"/>
      <w:color w:val="000000"/>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11">
    <w:name w:val="List Table 1 Light11"/>
    <w:basedOn w:val="TableNormal"/>
    <w:next w:val="ListTable1Light"/>
    <w:uiPriority w:val="46"/>
    <w:rsid w:val="0065235B"/>
    <w:pPr>
      <w:spacing w:after="0" w:line="240" w:lineRule="auto"/>
    </w:pPr>
    <w:rPr>
      <w:rFonts w:eastAsia="Calibri"/>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Accent611">
    <w:name w:val="List Table 7 Colorful - Accent 611"/>
    <w:basedOn w:val="TableNormal"/>
    <w:next w:val="ListTable7ColourfulAccent6"/>
    <w:uiPriority w:val="52"/>
    <w:rsid w:val="0065235B"/>
    <w:pPr>
      <w:spacing w:after="0" w:line="240" w:lineRule="auto"/>
    </w:pPr>
    <w:rPr>
      <w:rFonts w:eastAsia="Calibri"/>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
    <w:name w:val="Table Grid 11"/>
    <w:basedOn w:val="TableNormal"/>
    <w:next w:val="TableGrid1"/>
    <w:uiPriority w:val="99"/>
    <w:semiHidden/>
    <w:unhideWhenUsed/>
    <w:rsid w:val="0065235B"/>
    <w:pPr>
      <w:spacing w:before="120" w:line="240" w:lineRule="auto"/>
      <w:jc w:val="both"/>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MSACESBulletpoints1">
    <w:name w:val="MSAC ES Bullet points1"/>
    <w:uiPriority w:val="99"/>
    <w:rsid w:val="0065235B"/>
    <w:pPr>
      <w:numPr>
        <w:numId w:val="22"/>
      </w:numPr>
    </w:pPr>
  </w:style>
  <w:style w:type="numbering" w:customStyle="1" w:styleId="Style11">
    <w:name w:val="Style11"/>
    <w:uiPriority w:val="99"/>
    <w:rsid w:val="0065235B"/>
  </w:style>
  <w:style w:type="numbering" w:customStyle="1" w:styleId="Style22">
    <w:name w:val="Style22"/>
    <w:uiPriority w:val="99"/>
    <w:rsid w:val="0065235B"/>
    <w:pPr>
      <w:numPr>
        <w:numId w:val="21"/>
      </w:numPr>
    </w:pPr>
  </w:style>
  <w:style w:type="numbering" w:customStyle="1" w:styleId="Style31">
    <w:name w:val="Style31"/>
    <w:uiPriority w:val="99"/>
    <w:rsid w:val="0065235B"/>
    <w:pPr>
      <w:numPr>
        <w:numId w:val="32"/>
      </w:numPr>
    </w:pPr>
  </w:style>
  <w:style w:type="paragraph" w:customStyle="1" w:styleId="CrossRef">
    <w:name w:val="CrossRef"/>
    <w:basedOn w:val="BodyText"/>
    <w:link w:val="CrossRefChar"/>
    <w:qFormat/>
    <w:rsid w:val="0065235B"/>
    <w:pPr>
      <w:spacing w:before="180" w:after="60" w:line="264" w:lineRule="auto"/>
    </w:pPr>
    <w:rPr>
      <w:rFonts w:ascii="Arial" w:eastAsia="Calibri" w:hAnsi="Arial" w:cs="Arial"/>
      <w:color w:val="0000FF"/>
      <w:szCs w:val="24"/>
      <w:u w:val="single"/>
      <w:lang w:val="en-GB" w:eastAsia="en-AU"/>
    </w:rPr>
  </w:style>
  <w:style w:type="character" w:customStyle="1" w:styleId="CrossRefChar">
    <w:name w:val="CrossRef Char"/>
    <w:basedOn w:val="BodyTextChar"/>
    <w:link w:val="CrossRef"/>
    <w:rsid w:val="0065235B"/>
    <w:rPr>
      <w:rFonts w:ascii="Arial" w:eastAsia="Calibri" w:hAnsi="Arial" w:cs="Arial"/>
      <w:color w:val="0000FF"/>
      <w:sz w:val="24"/>
      <w:szCs w:val="24"/>
      <w:u w:val="single"/>
      <w:lang w:val="en-GB" w:eastAsia="en-AU"/>
    </w:rPr>
  </w:style>
  <w:style w:type="paragraph" w:customStyle="1" w:styleId="TableCentre">
    <w:name w:val="Table Centre"/>
    <w:basedOn w:val="Normal"/>
    <w:uiPriority w:val="1"/>
    <w:qFormat/>
    <w:rsid w:val="0065235B"/>
    <w:pPr>
      <w:spacing w:before="0" w:after="0"/>
      <w:jc w:val="center"/>
    </w:pPr>
    <w:rPr>
      <w:rFonts w:ascii="Calibri" w:eastAsia="SimSun" w:hAnsi="Calibri" w:cs="Times New Roman"/>
      <w:sz w:val="18"/>
      <w:szCs w:val="18"/>
      <w:lang w:bidi="en-US"/>
    </w:rPr>
  </w:style>
  <w:style w:type="paragraph" w:customStyle="1" w:styleId="FigureFootnotes">
    <w:name w:val="Figure Footnotes"/>
    <w:next w:val="Normal"/>
    <w:qFormat/>
    <w:rsid w:val="0065235B"/>
    <w:pPr>
      <w:keepLines/>
      <w:spacing w:after="0" w:line="240" w:lineRule="auto"/>
    </w:pPr>
    <w:rPr>
      <w:rFonts w:ascii="Calibri" w:eastAsia="Times New Roman" w:hAnsi="Calibri" w:cs="Calibri"/>
      <w:sz w:val="18"/>
      <w:szCs w:val="24"/>
      <w:lang w:val="en-US"/>
    </w:rPr>
  </w:style>
  <w:style w:type="table" w:customStyle="1" w:styleId="TableGrid110">
    <w:name w:val="Table Grid11"/>
    <w:basedOn w:val="TableNormal"/>
    <w:next w:val="TableGrid"/>
    <w:uiPriority w:val="59"/>
    <w:rsid w:val="0065235B"/>
    <w:pPr>
      <w:spacing w:after="0" w:line="240" w:lineRule="auto"/>
    </w:pPr>
    <w:rPr>
      <w:rFonts w:ascii="Times New Roman" w:eastAsia="Batang"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TATableshaded1">
    <w:name w:val="HTA Table shaded1"/>
    <w:basedOn w:val="TableNormal"/>
    <w:rsid w:val="0065235B"/>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Style2111">
    <w:name w:val="Style2111"/>
    <w:uiPriority w:val="99"/>
    <w:rsid w:val="0065235B"/>
    <w:pPr>
      <w:numPr>
        <w:numId w:val="24"/>
      </w:numPr>
    </w:pPr>
  </w:style>
  <w:style w:type="table" w:customStyle="1" w:styleId="Submissionstandard3">
    <w:name w:val="Submission standard3"/>
    <w:basedOn w:val="TableNormal"/>
    <w:uiPriority w:val="99"/>
    <w:qFormat/>
    <w:rsid w:val="0065235B"/>
    <w:pPr>
      <w:spacing w:after="0" w:line="240" w:lineRule="auto"/>
    </w:pPr>
    <w:rPr>
      <w:rFonts w:ascii="Arial Narrow" w:eastAsia="SimSun"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Yu Mincho" w:hAnsi="Yu Mincho"/>
        <w:b/>
        <w:sz w:val="20"/>
      </w:rPr>
      <w:tblPr/>
      <w:tcPr>
        <w:shd w:val="clear" w:color="auto" w:fill="BFBFBF"/>
      </w:tcPr>
    </w:tblStylePr>
  </w:style>
  <w:style w:type="paragraph" w:customStyle="1" w:styleId="TableParagraph">
    <w:name w:val="Table Paragraph"/>
    <w:basedOn w:val="Normal"/>
    <w:uiPriority w:val="1"/>
    <w:qFormat/>
    <w:rsid w:val="0065235B"/>
    <w:pPr>
      <w:widowControl w:val="0"/>
      <w:spacing w:before="0" w:after="0"/>
      <w:ind w:left="431"/>
      <w:jc w:val="left"/>
    </w:pPr>
    <w:rPr>
      <w:rFonts w:ascii="Calibri" w:eastAsia="Calibri" w:hAnsi="Calibri" w:cs="Calibri"/>
      <w:sz w:val="22"/>
      <w:lang w:val="en-US"/>
    </w:rPr>
  </w:style>
  <w:style w:type="paragraph" w:customStyle="1" w:styleId="ListNumber31">
    <w:name w:val="List Number 31"/>
    <w:basedOn w:val="Normal"/>
    <w:next w:val="ListNumber3"/>
    <w:uiPriority w:val="99"/>
    <w:unhideWhenUsed/>
    <w:qFormat/>
    <w:rsid w:val="0065235B"/>
    <w:pPr>
      <w:tabs>
        <w:tab w:val="num" w:pos="360"/>
      </w:tabs>
      <w:spacing w:before="0" w:after="200" w:line="276" w:lineRule="auto"/>
      <w:contextualSpacing/>
    </w:pPr>
    <w:rPr>
      <w:rFonts w:ascii="Calibri" w:eastAsia="SimSun" w:hAnsi="Calibri" w:cs="Times New Roman"/>
      <w:sz w:val="22"/>
      <w:lang w:bidi="en-US"/>
    </w:rPr>
  </w:style>
  <w:style w:type="table" w:customStyle="1" w:styleId="Submissionstandard11">
    <w:name w:val="Submission standard11"/>
    <w:basedOn w:val="TableNormal"/>
    <w:uiPriority w:val="99"/>
    <w:qFormat/>
    <w:rsid w:val="0065235B"/>
    <w:pPr>
      <w:spacing w:after="0" w:line="240" w:lineRule="auto"/>
    </w:pPr>
    <w:rPr>
      <w:rFonts w:ascii="Arial Narrow" w:eastAsia="SimSun"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Yu Mincho" w:hAnsi="Yu Mincho"/>
        <w:b/>
        <w:sz w:val="20"/>
      </w:rPr>
      <w:tblPr/>
      <w:tcPr>
        <w:shd w:val="clear" w:color="auto" w:fill="BFBFBF"/>
      </w:tcPr>
    </w:tblStylePr>
  </w:style>
  <w:style w:type="paragraph" w:customStyle="1" w:styleId="MSACS2Heading1">
    <w:name w:val="MSAC S2 Heading 1"/>
    <w:next w:val="Normal"/>
    <w:uiPriority w:val="1"/>
    <w:qFormat/>
    <w:rsid w:val="0065235B"/>
    <w:pPr>
      <w:spacing w:after="200" w:line="276" w:lineRule="auto"/>
      <w:ind w:left="1077" w:hanging="1077"/>
      <w:outlineLvl w:val="1"/>
    </w:pPr>
    <w:rPr>
      <w:rFonts w:ascii="Calibri" w:eastAsia="SimSun" w:hAnsi="Calibri" w:cs="Times New Roman"/>
      <w:b/>
      <w:spacing w:val="5"/>
      <w:sz w:val="32"/>
      <w:szCs w:val="36"/>
      <w:lang w:bidi="en-US"/>
    </w:rPr>
  </w:style>
  <w:style w:type="paragraph" w:customStyle="1" w:styleId="MSACS2Heading2">
    <w:name w:val="MSAC S2 Heading 2"/>
    <w:basedOn w:val="MSACS2Heading1"/>
    <w:next w:val="Normal"/>
    <w:uiPriority w:val="1"/>
    <w:qFormat/>
    <w:rsid w:val="0065235B"/>
    <w:pPr>
      <w:pageBreakBefore/>
      <w:ind w:left="720" w:hanging="720"/>
      <w:outlineLvl w:val="2"/>
    </w:pPr>
    <w:rPr>
      <w:sz w:val="28"/>
    </w:rPr>
  </w:style>
  <w:style w:type="paragraph" w:customStyle="1" w:styleId="MSACS2Heading3">
    <w:name w:val="MSAC S2 Heading 3"/>
    <w:basedOn w:val="MSACS2Heading2"/>
    <w:next w:val="Normal"/>
    <w:uiPriority w:val="1"/>
    <w:qFormat/>
    <w:rsid w:val="0065235B"/>
    <w:pPr>
      <w:pageBreakBefore w:val="0"/>
      <w:outlineLvl w:val="3"/>
    </w:pPr>
    <w:rPr>
      <w:sz w:val="26"/>
      <w:szCs w:val="26"/>
    </w:rPr>
  </w:style>
  <w:style w:type="paragraph" w:customStyle="1" w:styleId="MSACS2Heading4">
    <w:name w:val="MSAC S2 Heading 4"/>
    <w:basedOn w:val="MSACS2Heading3"/>
    <w:next w:val="Normal"/>
    <w:link w:val="MSACS2Heading4Char"/>
    <w:uiPriority w:val="1"/>
    <w:qFormat/>
    <w:rsid w:val="0065235B"/>
    <w:pPr>
      <w:ind w:left="1080" w:hanging="1080"/>
      <w:outlineLvl w:val="4"/>
    </w:pPr>
    <w:rPr>
      <w:sz w:val="24"/>
      <w:szCs w:val="24"/>
    </w:rPr>
  </w:style>
  <w:style w:type="paragraph" w:customStyle="1" w:styleId="MSACS2Heading5">
    <w:name w:val="MSAC S2 Heading 5"/>
    <w:basedOn w:val="MSACS2Heading4"/>
    <w:next w:val="Normal"/>
    <w:link w:val="MSACS2Heading5Char"/>
    <w:uiPriority w:val="1"/>
    <w:qFormat/>
    <w:rsid w:val="0065235B"/>
    <w:pPr>
      <w:ind w:left="3600" w:hanging="360"/>
      <w:outlineLvl w:val="5"/>
    </w:pPr>
    <w:rPr>
      <w:sz w:val="22"/>
    </w:rPr>
  </w:style>
  <w:style w:type="paragraph" w:customStyle="1" w:styleId="MSACS2Heading6">
    <w:name w:val="MSAC S2 Heading 6"/>
    <w:basedOn w:val="MSACS2Heading5"/>
    <w:next w:val="Normal"/>
    <w:link w:val="MSACS2Heading6Char"/>
    <w:uiPriority w:val="1"/>
    <w:qFormat/>
    <w:rsid w:val="0065235B"/>
    <w:pPr>
      <w:ind w:left="4320"/>
      <w:outlineLvl w:val="6"/>
    </w:pPr>
    <w:rPr>
      <w:b w:val="0"/>
      <w:bCs/>
      <w:i/>
      <w:iCs/>
    </w:rPr>
  </w:style>
  <w:style w:type="paragraph" w:customStyle="1" w:styleId="MSACS2Heading7">
    <w:name w:val="MSAC S2 Heading 7"/>
    <w:basedOn w:val="MSACS2Heading6"/>
    <w:uiPriority w:val="1"/>
    <w:qFormat/>
    <w:rsid w:val="0065235B"/>
    <w:pPr>
      <w:ind w:left="5040"/>
    </w:pPr>
  </w:style>
  <w:style w:type="paragraph" w:customStyle="1" w:styleId="MSACS2Heading8">
    <w:name w:val="MSAC S2 Heading 8"/>
    <w:basedOn w:val="MSACS2Heading7"/>
    <w:next w:val="Normal"/>
    <w:uiPriority w:val="1"/>
    <w:qFormat/>
    <w:rsid w:val="0065235B"/>
    <w:pPr>
      <w:ind w:left="5760"/>
      <w:outlineLvl w:val="8"/>
    </w:pPr>
  </w:style>
  <w:style w:type="character" w:customStyle="1" w:styleId="MSACS2Heading5Char">
    <w:name w:val="MSAC S2 Heading 5 Char"/>
    <w:basedOn w:val="DefaultParagraphFont"/>
    <w:link w:val="MSACS2Heading5"/>
    <w:uiPriority w:val="1"/>
    <w:rsid w:val="0065235B"/>
    <w:rPr>
      <w:rFonts w:ascii="Calibri" w:eastAsia="SimSun" w:hAnsi="Calibri" w:cs="Times New Roman"/>
      <w:b/>
      <w:spacing w:val="5"/>
      <w:szCs w:val="24"/>
      <w:lang w:bidi="en-US"/>
    </w:rPr>
  </w:style>
  <w:style w:type="paragraph" w:customStyle="1" w:styleId="ListAlphabeticalLevel1">
    <w:name w:val="List Alphabetical Level 1"/>
    <w:basedOn w:val="Normal"/>
    <w:uiPriority w:val="1"/>
    <w:rsid w:val="0065235B"/>
    <w:pPr>
      <w:spacing w:after="0"/>
      <w:ind w:left="717" w:hanging="360"/>
      <w:jc w:val="left"/>
    </w:pPr>
    <w:rPr>
      <w:rFonts w:ascii="Times New Roman" w:eastAsia="MS Mincho" w:hAnsi="Times New Roman" w:cs="Times New Roman"/>
      <w:color w:val="000000"/>
      <w:szCs w:val="24"/>
      <w:lang w:val="en-US"/>
    </w:rPr>
  </w:style>
  <w:style w:type="table" w:customStyle="1" w:styleId="Evidera-20191">
    <w:name w:val="Evidera - 20191"/>
    <w:basedOn w:val="TableNormal"/>
    <w:uiPriority w:val="99"/>
    <w:qFormat/>
    <w:rsid w:val="0065235B"/>
    <w:pPr>
      <w:spacing w:before="40" w:after="40" w:line="240" w:lineRule="auto"/>
    </w:pPr>
    <w:rPr>
      <w:rFonts w:ascii="Calibri Light" w:eastAsia="Calibri" w:hAnsi="Calibri Light"/>
      <w:sz w:val="18"/>
      <w:lang w:val="en-US"/>
    </w:rPr>
    <w:tblPr>
      <w:tblStyleRowBandSize w:val="1"/>
      <w:tblBorders>
        <w:top w:val="single" w:sz="12" w:space="0" w:color="FFFFFF"/>
        <w:left w:val="single" w:sz="12" w:space="0" w:color="FFFFFF"/>
        <w:bottom w:val="single" w:sz="12" w:space="0" w:color="FFFFFF"/>
        <w:right w:val="single" w:sz="12" w:space="0" w:color="FFFFFF"/>
        <w:insideH w:val="single" w:sz="4" w:space="0" w:color="FFFFFF"/>
        <w:insideV w:val="single" w:sz="4" w:space="0" w:color="FFFFFF"/>
      </w:tblBorders>
    </w:tblPr>
    <w:trPr>
      <w:cantSplit/>
    </w:trPr>
    <w:tcPr>
      <w:shd w:val="clear" w:color="auto" w:fill="auto"/>
    </w:tcPr>
    <w:tblStylePr w:type="firstRow">
      <w:pPr>
        <w:jc w:val="left"/>
      </w:pPr>
      <w:rPr>
        <w:rFonts w:ascii="Calibri Light" w:hAnsi="Calibri Light"/>
        <w:b w:val="0"/>
        <w:color w:val="70AD47"/>
        <w:sz w:val="18"/>
      </w:rPr>
      <w:tblPr/>
      <w:trPr>
        <w:cantSplit w:val="0"/>
        <w:tblHeader/>
      </w:trPr>
      <w:tcPr>
        <w:shd w:val="clear" w:color="auto" w:fill="27AAE1"/>
      </w:tcPr>
    </w:tblStylePr>
    <w:tblStylePr w:type="firstCol">
      <w:pPr>
        <w:jc w:val="left"/>
      </w:pPr>
    </w:tblStylePr>
    <w:tblStylePr w:type="band1Horz">
      <w:pPr>
        <w:jc w:val="left"/>
      </w:pPr>
    </w:tblStylePr>
    <w:tblStylePr w:type="band2Horz">
      <w:pPr>
        <w:jc w:val="left"/>
      </w:pPr>
    </w:tblStylePr>
    <w:tblStylePr w:type="nwCell">
      <w:pPr>
        <w:jc w:val="left"/>
      </w:pPr>
      <w:rPr>
        <w:rFonts w:ascii="Calibri Light" w:hAnsi="Calibri Light"/>
        <w:color w:val="70AD47"/>
        <w:sz w:val="18"/>
      </w:rPr>
      <w:tblPr/>
      <w:tcPr>
        <w:vAlign w:val="center"/>
      </w:tcPr>
    </w:tblStylePr>
  </w:style>
  <w:style w:type="character" w:customStyle="1" w:styleId="MSACS2Heading6Char">
    <w:name w:val="MSAC S2 Heading 6 Char"/>
    <w:basedOn w:val="DefaultParagraphFont"/>
    <w:link w:val="MSACS2Heading6"/>
    <w:uiPriority w:val="1"/>
    <w:rsid w:val="0065235B"/>
    <w:rPr>
      <w:rFonts w:ascii="Calibri" w:eastAsia="SimSun" w:hAnsi="Calibri" w:cs="Times New Roman"/>
      <w:bCs/>
      <w:i/>
      <w:iCs/>
      <w:spacing w:val="5"/>
      <w:szCs w:val="24"/>
      <w:lang w:bidi="en-US"/>
    </w:rPr>
  </w:style>
  <w:style w:type="table" w:customStyle="1" w:styleId="TableGrid111">
    <w:name w:val="Table Grid111"/>
    <w:basedOn w:val="TableNormal"/>
    <w:next w:val="TableGrid"/>
    <w:uiPriority w:val="59"/>
    <w:rsid w:val="0065235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5235B"/>
    <w:rPr>
      <w:rFonts w:ascii="Segoe UI" w:hAnsi="Segoe UI" w:cs="Segoe UI" w:hint="default"/>
      <w:sz w:val="18"/>
      <w:szCs w:val="18"/>
    </w:rPr>
  </w:style>
  <w:style w:type="paragraph" w:customStyle="1" w:styleId="Bulletlist">
    <w:name w:val="Bullet list"/>
    <w:basedOn w:val="Normal"/>
    <w:qFormat/>
    <w:rsid w:val="0065235B"/>
    <w:pPr>
      <w:numPr>
        <w:numId w:val="26"/>
      </w:numPr>
      <w:tabs>
        <w:tab w:val="num" w:pos="360"/>
        <w:tab w:val="left" w:pos="720"/>
      </w:tabs>
      <w:spacing w:after="0" w:line="276" w:lineRule="auto"/>
      <w:jc w:val="left"/>
    </w:pPr>
    <w:rPr>
      <w:rFonts w:ascii="Calibri" w:eastAsia="Calibri" w:hAnsi="Calibri" w:cs="Calibri"/>
      <w:noProof/>
      <w:sz w:val="26"/>
      <w:szCs w:val="18"/>
    </w:rPr>
  </w:style>
  <w:style w:type="character" w:customStyle="1" w:styleId="off-screen">
    <w:name w:val="off-screen"/>
    <w:basedOn w:val="DefaultParagraphFont"/>
    <w:rsid w:val="0065235B"/>
  </w:style>
  <w:style w:type="character" w:customStyle="1" w:styleId="MSACS2Heading4Char">
    <w:name w:val="MSAC S2 Heading 4 Char"/>
    <w:basedOn w:val="DefaultParagraphFont"/>
    <w:link w:val="MSACS2Heading4"/>
    <w:uiPriority w:val="1"/>
    <w:rsid w:val="0065235B"/>
    <w:rPr>
      <w:rFonts w:ascii="Calibri" w:eastAsia="SimSun" w:hAnsi="Calibri" w:cs="Times New Roman"/>
      <w:b/>
      <w:spacing w:val="5"/>
      <w:sz w:val="24"/>
      <w:szCs w:val="24"/>
      <w:lang w:bidi="en-US"/>
    </w:rPr>
  </w:style>
  <w:style w:type="table" w:customStyle="1" w:styleId="ListTable1Light2">
    <w:name w:val="List Table 1 Light2"/>
    <w:basedOn w:val="TableNormal"/>
    <w:next w:val="ListTable1Light"/>
    <w:uiPriority w:val="46"/>
    <w:rsid w:val="0065235B"/>
    <w:pPr>
      <w:spacing w:after="0" w:line="240" w:lineRule="auto"/>
    </w:pPr>
    <w:rPr>
      <w:rFonts w:eastAsia="Times New Roman"/>
      <w:kern w:val="2"/>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Accent62">
    <w:name w:val="List Table 7 Colorful - Accent 62"/>
    <w:basedOn w:val="TableNormal"/>
    <w:next w:val="ListTable7ColourfulAccent6"/>
    <w:uiPriority w:val="52"/>
    <w:rsid w:val="0065235B"/>
    <w:pPr>
      <w:spacing w:after="0" w:line="240" w:lineRule="auto"/>
    </w:pPr>
    <w:rPr>
      <w:rFonts w:eastAsia="Times New Roman"/>
      <w:color w:val="3A7C22"/>
      <w:kern w:val="2"/>
      <w14:ligatures w14:val="standardContextual"/>
    </w:rPr>
    <w:tblPr>
      <w:tblStyleRowBandSize w:val="1"/>
      <w:tblStyleColBandSize w:val="1"/>
    </w:tblPr>
    <w:tblStylePr w:type="firstRow">
      <w:rPr>
        <w:rFonts w:ascii="Yu Mincho" w:eastAsia="Times New Roman" w:hAnsi="Yu Mincho" w:cs="Times New Roman"/>
        <w:i/>
        <w:iCs/>
        <w:sz w:val="26"/>
      </w:rPr>
      <w:tblPr/>
      <w:tcPr>
        <w:tcBorders>
          <w:bottom w:val="single" w:sz="4" w:space="0" w:color="4EA72E"/>
        </w:tcBorders>
        <w:shd w:val="clear" w:color="auto" w:fill="FFFFFF"/>
      </w:tcPr>
    </w:tblStylePr>
    <w:tblStylePr w:type="lastRow">
      <w:rPr>
        <w:rFonts w:ascii="Yu Mincho" w:eastAsia="Times New Roman" w:hAnsi="Yu Mincho" w:cs="Times New Roman"/>
        <w:i/>
        <w:iCs/>
        <w:sz w:val="26"/>
      </w:rPr>
      <w:tblPr/>
      <w:tcPr>
        <w:tcBorders>
          <w:top w:val="single" w:sz="4" w:space="0" w:color="4EA72E"/>
        </w:tcBorders>
        <w:shd w:val="clear" w:color="auto" w:fill="FFFFFF"/>
      </w:tcPr>
    </w:tblStylePr>
    <w:tblStylePr w:type="firstCol">
      <w:pPr>
        <w:jc w:val="right"/>
      </w:pPr>
      <w:rPr>
        <w:rFonts w:ascii="Yu Mincho" w:eastAsia="Times New Roman" w:hAnsi="Yu Mincho" w:cs="Times New Roman"/>
        <w:i/>
        <w:iCs/>
        <w:sz w:val="26"/>
      </w:rPr>
      <w:tblPr/>
      <w:tcPr>
        <w:tcBorders>
          <w:right w:val="single" w:sz="4" w:space="0" w:color="4EA72E"/>
        </w:tcBorders>
        <w:shd w:val="clear" w:color="auto" w:fill="FFFFFF"/>
      </w:tcPr>
    </w:tblStylePr>
    <w:tblStylePr w:type="lastCol">
      <w:rPr>
        <w:rFonts w:ascii="Yu Mincho" w:eastAsia="Times New Roman" w:hAnsi="Yu Mincho"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semiHidden/>
    <w:rsid w:val="0065235B"/>
    <w:pPr>
      <w:spacing w:before="200"/>
      <w:ind w:left="864" w:right="864"/>
      <w:jc w:val="center"/>
    </w:pPr>
    <w:rPr>
      <w:rFonts w:ascii="Calibri" w:hAnsi="Calibri" w:cs="Arial"/>
      <w:i/>
      <w:iCs/>
      <w:color w:val="404040"/>
      <w:szCs w:val="24"/>
      <w:lang w:eastAsia="en-AU"/>
    </w:rPr>
  </w:style>
  <w:style w:type="character" w:customStyle="1" w:styleId="QuoteChar1">
    <w:name w:val="Quote Char1"/>
    <w:basedOn w:val="DefaultParagraphFont"/>
    <w:uiPriority w:val="32"/>
    <w:semiHidden/>
    <w:rsid w:val="0065235B"/>
    <w:rPr>
      <w:i/>
      <w:iCs/>
      <w:color w:val="404040" w:themeColor="text1" w:themeTint="BF"/>
      <w:sz w:val="24"/>
    </w:rPr>
  </w:style>
  <w:style w:type="character" w:styleId="IntenseEmphasis">
    <w:name w:val="Intense Emphasis"/>
    <w:basedOn w:val="DefaultParagraphFont"/>
    <w:uiPriority w:val="24"/>
    <w:semiHidden/>
    <w:rsid w:val="0065235B"/>
    <w:rPr>
      <w:i/>
      <w:iCs/>
      <w:color w:val="5B9BD5" w:themeColor="accent1"/>
    </w:rPr>
  </w:style>
  <w:style w:type="paragraph" w:styleId="IntenseQuote">
    <w:name w:val="Intense Quote"/>
    <w:basedOn w:val="Normal"/>
    <w:next w:val="Normal"/>
    <w:link w:val="IntenseQuoteChar"/>
    <w:uiPriority w:val="30"/>
    <w:semiHidden/>
    <w:rsid w:val="0065235B"/>
    <w:pPr>
      <w:pBdr>
        <w:top w:val="single" w:sz="4" w:space="10" w:color="5B9BD5" w:themeColor="accent1"/>
        <w:bottom w:val="single" w:sz="4" w:space="10" w:color="5B9BD5" w:themeColor="accent1"/>
      </w:pBdr>
      <w:spacing w:before="360" w:after="360"/>
      <w:ind w:left="864" w:right="864"/>
      <w:jc w:val="center"/>
    </w:pPr>
    <w:rPr>
      <w:rFonts w:ascii="Calibri" w:hAnsi="Calibri" w:cs="Arial"/>
      <w:i/>
      <w:iCs/>
      <w:color w:val="0F4761"/>
      <w:szCs w:val="24"/>
      <w:lang w:eastAsia="en-AU"/>
    </w:rPr>
  </w:style>
  <w:style w:type="character" w:customStyle="1" w:styleId="IntenseQuoteChar1">
    <w:name w:val="Intense Quote Char1"/>
    <w:basedOn w:val="DefaultParagraphFont"/>
    <w:uiPriority w:val="33"/>
    <w:semiHidden/>
    <w:rsid w:val="0065235B"/>
    <w:rPr>
      <w:i/>
      <w:iCs/>
      <w:color w:val="5B9BD5" w:themeColor="accent1"/>
      <w:sz w:val="24"/>
    </w:rPr>
  </w:style>
  <w:style w:type="character" w:styleId="IntenseReference">
    <w:name w:val="Intense Reference"/>
    <w:basedOn w:val="DefaultParagraphFont"/>
    <w:uiPriority w:val="35"/>
    <w:semiHidden/>
    <w:rsid w:val="0065235B"/>
    <w:rPr>
      <w:b/>
      <w:bCs/>
      <w:smallCaps/>
      <w:color w:val="5B9BD5" w:themeColor="accent1"/>
      <w:spacing w:val="5"/>
    </w:rPr>
  </w:style>
  <w:style w:type="table" w:customStyle="1" w:styleId="PBACTableStyle13">
    <w:name w:val="PBAC Table Style13"/>
    <w:basedOn w:val="TableGrid1"/>
    <w:uiPriority w:val="99"/>
    <w:rsid w:val="00167E58"/>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Style212">
    <w:name w:val="Style212"/>
    <w:uiPriority w:val="99"/>
    <w:rsid w:val="005A5134"/>
  </w:style>
  <w:style w:type="numbering" w:customStyle="1" w:styleId="Headings11">
    <w:name w:val="Headings11"/>
    <w:uiPriority w:val="99"/>
    <w:rsid w:val="005A5134"/>
  </w:style>
  <w:style w:type="table" w:customStyle="1" w:styleId="PBACTableStyle14">
    <w:name w:val="PBAC Table Style14"/>
    <w:basedOn w:val="TableGrid1"/>
    <w:uiPriority w:val="99"/>
    <w:rsid w:val="005A5134"/>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3">
    <w:name w:val="PBAC Table Style23"/>
    <w:basedOn w:val="TableGrid1"/>
    <w:uiPriority w:val="99"/>
    <w:rsid w:val="005A5134"/>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32">
    <w:name w:val="PBAC Table Style32"/>
    <w:basedOn w:val="TableGrid1"/>
    <w:uiPriority w:val="99"/>
    <w:rsid w:val="005A5134"/>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41">
    <w:name w:val="PBAC Table Style41"/>
    <w:basedOn w:val="TableGrid1"/>
    <w:uiPriority w:val="99"/>
    <w:rsid w:val="005A5134"/>
    <w:pPr>
      <w:widowControl w:val="0"/>
      <w:spacing w:after="0"/>
      <w:contextualSpacing/>
      <w:jc w:val="center"/>
    </w:pPr>
    <w:rPr>
      <w:rFonts w:ascii="Arial Narrow" w:eastAsia="Calibri" w:hAnsi="Arial Narrow"/>
      <w:color w:val="000000"/>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MSACESBulletpoints11">
    <w:name w:val="MSAC ES Bullet points11"/>
    <w:uiPriority w:val="99"/>
    <w:rsid w:val="005A5134"/>
  </w:style>
  <w:style w:type="numbering" w:customStyle="1" w:styleId="Style221">
    <w:name w:val="Style221"/>
    <w:uiPriority w:val="99"/>
    <w:rsid w:val="005A5134"/>
  </w:style>
  <w:style w:type="numbering" w:customStyle="1" w:styleId="Style311">
    <w:name w:val="Style311"/>
    <w:uiPriority w:val="99"/>
    <w:rsid w:val="005A5134"/>
  </w:style>
  <w:style w:type="numbering" w:customStyle="1" w:styleId="Style2112">
    <w:name w:val="Style2112"/>
    <w:uiPriority w:val="99"/>
    <w:rsid w:val="005A5134"/>
  </w:style>
  <w:style w:type="numbering" w:customStyle="1" w:styleId="Style213">
    <w:name w:val="Style213"/>
    <w:uiPriority w:val="99"/>
    <w:rsid w:val="000D335F"/>
    <w:pPr>
      <w:numPr>
        <w:numId w:val="16"/>
      </w:numPr>
    </w:pPr>
  </w:style>
  <w:style w:type="numbering" w:customStyle="1" w:styleId="Headings12">
    <w:name w:val="Headings12"/>
    <w:uiPriority w:val="99"/>
    <w:rsid w:val="000D335F"/>
    <w:pPr>
      <w:numPr>
        <w:numId w:val="2"/>
      </w:numPr>
    </w:pPr>
  </w:style>
  <w:style w:type="table" w:customStyle="1" w:styleId="PBACTableStyle15">
    <w:name w:val="PBAC Table Style15"/>
    <w:basedOn w:val="TableGrid1"/>
    <w:uiPriority w:val="99"/>
    <w:rsid w:val="000D335F"/>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4">
    <w:name w:val="PBAC Table Style24"/>
    <w:basedOn w:val="TableGrid1"/>
    <w:uiPriority w:val="99"/>
    <w:rsid w:val="000D335F"/>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33">
    <w:name w:val="PBAC Table Style33"/>
    <w:basedOn w:val="TableGrid1"/>
    <w:uiPriority w:val="99"/>
    <w:rsid w:val="000D335F"/>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42">
    <w:name w:val="PBAC Table Style42"/>
    <w:basedOn w:val="TableGrid1"/>
    <w:uiPriority w:val="99"/>
    <w:rsid w:val="000D335F"/>
    <w:pPr>
      <w:widowControl w:val="0"/>
      <w:spacing w:after="0"/>
      <w:contextualSpacing/>
      <w:jc w:val="center"/>
    </w:pPr>
    <w:rPr>
      <w:rFonts w:ascii="Arial Narrow" w:eastAsia="Calibri" w:hAnsi="Arial Narrow"/>
      <w:color w:val="000000"/>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ptos" w:hAnsi="Apto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ptos" w:hAnsi="Apto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ptos" w:hAnsi="Apto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MSACESBulletpoints12">
    <w:name w:val="MSAC ES Bullet points12"/>
    <w:uiPriority w:val="99"/>
    <w:rsid w:val="000D335F"/>
    <w:pPr>
      <w:numPr>
        <w:numId w:val="31"/>
      </w:numPr>
    </w:pPr>
  </w:style>
  <w:style w:type="numbering" w:customStyle="1" w:styleId="Style222">
    <w:name w:val="Style222"/>
    <w:uiPriority w:val="99"/>
    <w:rsid w:val="000D335F"/>
    <w:pPr>
      <w:numPr>
        <w:numId w:val="18"/>
      </w:numPr>
    </w:pPr>
  </w:style>
  <w:style w:type="numbering" w:customStyle="1" w:styleId="Style312">
    <w:name w:val="Style312"/>
    <w:uiPriority w:val="99"/>
    <w:rsid w:val="000D335F"/>
    <w:pPr>
      <w:numPr>
        <w:numId w:val="17"/>
      </w:numPr>
    </w:pPr>
  </w:style>
  <w:style w:type="numbering" w:customStyle="1" w:styleId="Style2113">
    <w:name w:val="Style2113"/>
    <w:uiPriority w:val="99"/>
    <w:rsid w:val="000D335F"/>
    <w:pPr>
      <w:numPr>
        <w:numId w:val="19"/>
      </w:numPr>
    </w:pPr>
  </w:style>
  <w:style w:type="table" w:customStyle="1" w:styleId="PBACTableStyle5">
    <w:name w:val="PBAC Table Style5"/>
    <w:basedOn w:val="TableGrid1"/>
    <w:uiPriority w:val="99"/>
    <w:rsid w:val="00B1053E"/>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Light SemiCondensed" w:hAnsi="Bahnschrift Light Semi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Light SemiCondensed" w:hAnsi="Bahnschrift Light Semi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Light SemiCondensed" w:hAnsi="Bahnschrift Light Semi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2">
    <w:name w:val="Table Grid2"/>
    <w:basedOn w:val="TableNormal"/>
    <w:next w:val="TableGrid"/>
    <w:uiPriority w:val="39"/>
    <w:rsid w:val="00FF351A"/>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L2">
    <w:name w:val="Table bullet L2"/>
    <w:basedOn w:val="Normal"/>
    <w:qFormat/>
    <w:rsid w:val="003A6157"/>
    <w:pPr>
      <w:numPr>
        <w:numId w:val="33"/>
      </w:numPr>
      <w:spacing w:before="40" w:after="40"/>
      <w:ind w:left="744"/>
      <w:jc w:val="left"/>
    </w:pPr>
    <w:rPr>
      <w:rFonts w:ascii="Arial" w:eastAsiaTheme="minorEastAsia" w:hAnsi="Arial" w:cs="Arial"/>
      <w:sz w:val="18"/>
      <w:szCs w:val="18"/>
    </w:rPr>
  </w:style>
  <w:style w:type="table" w:styleId="GridTable6ColourfulAccent1">
    <w:name w:val="Grid Table 6 Colorful Accent 1"/>
    <w:basedOn w:val="TableNormal"/>
    <w:uiPriority w:val="51"/>
    <w:rsid w:val="00477D83"/>
    <w:pPr>
      <w:spacing w:after="0" w:line="240" w:lineRule="auto"/>
    </w:pPr>
    <w:rPr>
      <w:rFonts w:ascii="Times New Roman" w:hAnsi="Times New Roman" w:cs="Times New Roman"/>
      <w:color w:val="2E74B5" w:themeColor="accent1" w:themeShade="BF"/>
      <w:kern w:val="2"/>
      <w:sz w:val="24"/>
      <w:szCs w:val="24"/>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3-SubsectionHeading">
    <w:name w:val="3-Subsection Heading"/>
    <w:basedOn w:val="Heading2"/>
    <w:next w:val="Normal"/>
    <w:link w:val="3-SubsectionHeadingChar"/>
    <w:qFormat/>
    <w:rsid w:val="002D3B05"/>
    <w:pPr>
      <w:keepLines w:val="0"/>
      <w:numPr>
        <w:ilvl w:val="0"/>
        <w:numId w:val="0"/>
      </w:numPr>
      <w:spacing w:before="120"/>
      <w:jc w:val="both"/>
      <w:outlineLvl w:val="9"/>
    </w:pPr>
    <w:rPr>
      <w:snapToGrid/>
      <w:color w:val="2E74B5" w:themeColor="accent1" w:themeShade="BF"/>
      <w:spacing w:val="5"/>
      <w:kern w:val="28"/>
      <w:szCs w:val="36"/>
    </w:rPr>
  </w:style>
  <w:style w:type="character" w:customStyle="1" w:styleId="3-SubsectionHeadingChar">
    <w:name w:val="3-Subsection Heading Char"/>
    <w:basedOn w:val="Heading2Char"/>
    <w:link w:val="3-SubsectionHeading"/>
    <w:rsid w:val="002D3B05"/>
    <w:rPr>
      <w:rFonts w:ascii="Arial" w:eastAsiaTheme="majorEastAsia" w:hAnsi="Arial" w:cstheme="majorBidi"/>
      <w:b/>
      <w:i/>
      <w:snapToGrid/>
      <w:color w:val="2E74B5" w:themeColor="accent1" w:themeShade="BF"/>
      <w:spacing w:val="5"/>
      <w:kern w:val="28"/>
      <w:sz w:val="28"/>
      <w:szCs w:val="36"/>
    </w:rPr>
  </w:style>
  <w:style w:type="paragraph" w:customStyle="1" w:styleId="COMH1-numbered">
    <w:name w:val="COM H1 - numbered"/>
    <w:next w:val="COMexecsummnumbered"/>
    <w:qFormat/>
    <w:rsid w:val="000374A4"/>
    <w:pPr>
      <w:keepNext/>
      <w:spacing w:before="240" w:after="120" w:line="240" w:lineRule="auto"/>
      <w:ind w:left="717" w:hanging="360"/>
      <w:outlineLvl w:val="0"/>
    </w:pPr>
    <w:rPr>
      <w:rFonts w:eastAsia="Times New Roman" w:cs="Arial"/>
      <w:b/>
      <w:snapToGrid w:val="0"/>
      <w:sz w:val="32"/>
      <w:szCs w:val="32"/>
      <w:lang w:eastAsia="en-AU"/>
    </w:rPr>
  </w:style>
  <w:style w:type="paragraph" w:customStyle="1" w:styleId="COMexecsummnumbered">
    <w:name w:val="COM exec summ numbered"/>
    <w:qFormat/>
    <w:rsid w:val="000374A4"/>
    <w:pPr>
      <w:spacing w:before="60" w:after="60" w:line="240" w:lineRule="auto"/>
      <w:ind w:left="1440" w:hanging="360"/>
      <w:jc w:val="both"/>
    </w:pPr>
    <w:rPr>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11502206">
      <w:bodyDiv w:val="1"/>
      <w:marLeft w:val="0"/>
      <w:marRight w:val="0"/>
      <w:marTop w:val="0"/>
      <w:marBottom w:val="0"/>
      <w:divBdr>
        <w:top w:val="none" w:sz="0" w:space="0" w:color="auto"/>
        <w:left w:val="none" w:sz="0" w:space="0" w:color="auto"/>
        <w:bottom w:val="none" w:sz="0" w:space="0" w:color="auto"/>
        <w:right w:val="none" w:sz="0" w:space="0" w:color="auto"/>
      </w:divBdr>
    </w:div>
    <w:div w:id="247466488">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89552239">
      <w:bodyDiv w:val="1"/>
      <w:marLeft w:val="0"/>
      <w:marRight w:val="0"/>
      <w:marTop w:val="0"/>
      <w:marBottom w:val="0"/>
      <w:divBdr>
        <w:top w:val="none" w:sz="0" w:space="0" w:color="auto"/>
        <w:left w:val="none" w:sz="0" w:space="0" w:color="auto"/>
        <w:bottom w:val="none" w:sz="0" w:space="0" w:color="auto"/>
        <w:right w:val="none" w:sz="0" w:space="0" w:color="auto"/>
      </w:divBdr>
    </w:div>
    <w:div w:id="358506731">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00694">
      <w:bodyDiv w:val="1"/>
      <w:marLeft w:val="0"/>
      <w:marRight w:val="0"/>
      <w:marTop w:val="0"/>
      <w:marBottom w:val="0"/>
      <w:divBdr>
        <w:top w:val="none" w:sz="0" w:space="0" w:color="auto"/>
        <w:left w:val="none" w:sz="0" w:space="0" w:color="auto"/>
        <w:bottom w:val="none" w:sz="0" w:space="0" w:color="auto"/>
        <w:right w:val="none" w:sz="0" w:space="0" w:color="auto"/>
      </w:divBdr>
    </w:div>
    <w:div w:id="553009379">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66977752">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05956">
      <w:bodyDiv w:val="1"/>
      <w:marLeft w:val="0"/>
      <w:marRight w:val="0"/>
      <w:marTop w:val="0"/>
      <w:marBottom w:val="0"/>
      <w:divBdr>
        <w:top w:val="none" w:sz="0" w:space="0" w:color="auto"/>
        <w:left w:val="none" w:sz="0" w:space="0" w:color="auto"/>
        <w:bottom w:val="none" w:sz="0" w:space="0" w:color="auto"/>
        <w:right w:val="none" w:sz="0" w:space="0" w:color="auto"/>
      </w:divBdr>
    </w:div>
    <w:div w:id="713043750">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66536610">
      <w:bodyDiv w:val="1"/>
      <w:marLeft w:val="0"/>
      <w:marRight w:val="0"/>
      <w:marTop w:val="0"/>
      <w:marBottom w:val="0"/>
      <w:divBdr>
        <w:top w:val="none" w:sz="0" w:space="0" w:color="auto"/>
        <w:left w:val="none" w:sz="0" w:space="0" w:color="auto"/>
        <w:bottom w:val="none" w:sz="0" w:space="0" w:color="auto"/>
        <w:right w:val="none" w:sz="0" w:space="0" w:color="auto"/>
      </w:divBdr>
    </w:div>
    <w:div w:id="803735224">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21847057">
      <w:bodyDiv w:val="1"/>
      <w:marLeft w:val="0"/>
      <w:marRight w:val="0"/>
      <w:marTop w:val="0"/>
      <w:marBottom w:val="0"/>
      <w:divBdr>
        <w:top w:val="none" w:sz="0" w:space="0" w:color="auto"/>
        <w:left w:val="none" w:sz="0" w:space="0" w:color="auto"/>
        <w:bottom w:val="none" w:sz="0" w:space="0" w:color="auto"/>
        <w:right w:val="none" w:sz="0" w:space="0" w:color="auto"/>
      </w:divBdr>
    </w:div>
    <w:div w:id="834686137">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4900290">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84235345">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8292">
      <w:bodyDiv w:val="1"/>
      <w:marLeft w:val="0"/>
      <w:marRight w:val="0"/>
      <w:marTop w:val="0"/>
      <w:marBottom w:val="0"/>
      <w:divBdr>
        <w:top w:val="none" w:sz="0" w:space="0" w:color="auto"/>
        <w:left w:val="none" w:sz="0" w:space="0" w:color="auto"/>
        <w:bottom w:val="none" w:sz="0" w:space="0" w:color="auto"/>
        <w:right w:val="none" w:sz="0" w:space="0" w:color="auto"/>
      </w:divBdr>
    </w:div>
    <w:div w:id="1035036791">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59154629">
      <w:bodyDiv w:val="1"/>
      <w:marLeft w:val="0"/>
      <w:marRight w:val="0"/>
      <w:marTop w:val="0"/>
      <w:marBottom w:val="0"/>
      <w:divBdr>
        <w:top w:val="none" w:sz="0" w:space="0" w:color="auto"/>
        <w:left w:val="none" w:sz="0" w:space="0" w:color="auto"/>
        <w:bottom w:val="none" w:sz="0" w:space="0" w:color="auto"/>
        <w:right w:val="none" w:sz="0" w:space="0" w:color="auto"/>
      </w:divBdr>
    </w:div>
    <w:div w:id="116019940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05823625">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27885417">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44754870">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04896478">
      <w:bodyDiv w:val="1"/>
      <w:marLeft w:val="0"/>
      <w:marRight w:val="0"/>
      <w:marTop w:val="0"/>
      <w:marBottom w:val="0"/>
      <w:divBdr>
        <w:top w:val="none" w:sz="0" w:space="0" w:color="auto"/>
        <w:left w:val="none" w:sz="0" w:space="0" w:color="auto"/>
        <w:bottom w:val="none" w:sz="0" w:space="0" w:color="auto"/>
        <w:right w:val="none" w:sz="0" w:space="0" w:color="auto"/>
      </w:divBdr>
    </w:div>
    <w:div w:id="1330644166">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196773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69333692">
      <w:bodyDiv w:val="1"/>
      <w:marLeft w:val="0"/>
      <w:marRight w:val="0"/>
      <w:marTop w:val="0"/>
      <w:marBottom w:val="0"/>
      <w:divBdr>
        <w:top w:val="none" w:sz="0" w:space="0" w:color="auto"/>
        <w:left w:val="none" w:sz="0" w:space="0" w:color="auto"/>
        <w:bottom w:val="none" w:sz="0" w:space="0" w:color="auto"/>
        <w:right w:val="none" w:sz="0" w:space="0" w:color="auto"/>
      </w:divBdr>
    </w:div>
    <w:div w:id="1677033028">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21514518">
      <w:bodyDiv w:val="1"/>
      <w:marLeft w:val="0"/>
      <w:marRight w:val="0"/>
      <w:marTop w:val="0"/>
      <w:marBottom w:val="0"/>
      <w:divBdr>
        <w:top w:val="none" w:sz="0" w:space="0" w:color="auto"/>
        <w:left w:val="none" w:sz="0" w:space="0" w:color="auto"/>
        <w:bottom w:val="none" w:sz="0" w:space="0" w:color="auto"/>
        <w:right w:val="none" w:sz="0" w:space="0" w:color="auto"/>
      </w:divBdr>
    </w:div>
    <w:div w:id="1726760416">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785734371">
      <w:bodyDiv w:val="1"/>
      <w:marLeft w:val="0"/>
      <w:marRight w:val="0"/>
      <w:marTop w:val="0"/>
      <w:marBottom w:val="0"/>
      <w:divBdr>
        <w:top w:val="none" w:sz="0" w:space="0" w:color="auto"/>
        <w:left w:val="none" w:sz="0" w:space="0" w:color="auto"/>
        <w:bottom w:val="none" w:sz="0" w:space="0" w:color="auto"/>
        <w:right w:val="none" w:sz="0" w:space="0" w:color="auto"/>
      </w:divBdr>
    </w:div>
    <w:div w:id="1819028868">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36333">
      <w:bodyDiv w:val="1"/>
      <w:marLeft w:val="0"/>
      <w:marRight w:val="0"/>
      <w:marTop w:val="0"/>
      <w:marBottom w:val="0"/>
      <w:divBdr>
        <w:top w:val="none" w:sz="0" w:space="0" w:color="auto"/>
        <w:left w:val="none" w:sz="0" w:space="0" w:color="auto"/>
        <w:bottom w:val="none" w:sz="0" w:space="0" w:color="auto"/>
        <w:right w:val="none" w:sz="0" w:space="0" w:color="auto"/>
      </w:divBdr>
    </w:div>
    <w:div w:id="1941184276">
      <w:bodyDiv w:val="1"/>
      <w:marLeft w:val="0"/>
      <w:marRight w:val="0"/>
      <w:marTop w:val="0"/>
      <w:marBottom w:val="0"/>
      <w:divBdr>
        <w:top w:val="none" w:sz="0" w:space="0" w:color="auto"/>
        <w:left w:val="none" w:sz="0" w:space="0" w:color="auto"/>
        <w:bottom w:val="none" w:sz="0" w:space="0" w:color="auto"/>
        <w:right w:val="none" w:sz="0" w:space="0" w:color="auto"/>
      </w:divBdr>
    </w:div>
    <w:div w:id="2000840275">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clinicaltrials.gov/study/NCT03778931" TargetMode="External"/><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ccn.org/professionals/physician_gls/pdf/breast.pdf" TargetMode="External"/><Relationship Id="rId2" Type="http://schemas.openxmlformats.org/officeDocument/2006/relationships/hyperlink" Target="https://www.esmo.org/living-guidelines/esmo-metastatic-breast-cancer-living-guideline/er-positive-her2-negative-breast-cancer" TargetMode="External"/><Relationship Id="rId1" Type="http://schemas.openxmlformats.org/officeDocument/2006/relationships/hyperlink" Target="https://doi.org/10.1016/j.annonc.2021.09.019" TargetMode="External"/><Relationship Id="rId4" Type="http://schemas.openxmlformats.org/officeDocument/2006/relationships/hyperlink" Target="https://doi.org/10.1158/2159-8290.CD-18-02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Llo06</b:Tag>
    <b:SourceType>JournalArticle</b:SourceType>
    <b:Guid>{EE9CCC90-C757-4815-A341-BA8484D8C18C}</b:Guid>
    <b:Author>
      <b:Author>
        <b:NameList>
          <b:Person>
            <b:Last>Lloyd A</b:Last>
            <b:First>Nafees</b:First>
            <b:Middle>B, Narewska J, Dewilde S, Watkins J.</b:Middle>
          </b:Person>
        </b:NameList>
      </b:Author>
    </b:Author>
    <b:Title>Health state utilities for metastatic breast cancer  </b:Title>
    <b:JournalName>Br J Cancer. </b:JournalName>
    <b:Year>2006</b:Year>
    <b:Pages>Sep 18;95(6):683-90. doi: 10.1038/sj.bjc.6603326. </b:Pages>
    <b:RefOrder>1</b:RefOrder>
  </b:Source>
  <b:Source>
    <b:Tag>Gua21</b:Tag>
    <b:SourceType>Report</b:SourceType>
    <b:Guid>{D7F9AF8F-6677-4C77-AB05-D21E6EB7435A}</b:Guid>
    <b:Author>
      <b:Author>
        <b:Corporate>Guardant Health, Inc</b:Corporate>
      </b:Author>
    </b:Author>
    <b:Title>Guardant360® CDx Technical Information (D-001590 R3)</b:Title>
    <b:Year>2021</b:Year>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CC103F-AD48-42FD-AC6B-242F610B8EA3}">
  <ds:schemaRefs>
    <ds:schemaRef ds:uri="http://schemas.openxmlformats.org/officeDocument/2006/bibliography"/>
  </ds:schemaRefs>
</ds:datastoreItem>
</file>

<file path=customXml/itemProps2.xml><?xml version="1.0" encoding="utf-8"?>
<ds:datastoreItem xmlns:ds="http://schemas.openxmlformats.org/officeDocument/2006/customXml" ds:itemID="{7A41CC26-ED0B-4BF7-8826-38753942A0F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F35DC4BF-1546-45E5-8930-3E510F100C8A}">
  <ds:schemaRefs>
    <ds:schemaRef ds:uri="http://schemas.microsoft.com/sharepoint/v3/contenttype/forms"/>
  </ds:schemaRefs>
</ds:datastoreItem>
</file>

<file path=customXml/itemProps4.xml><?xml version="1.0" encoding="utf-8"?>
<ds:datastoreItem xmlns:ds="http://schemas.openxmlformats.org/officeDocument/2006/customXml" ds:itemID="{EF709D53-E0DB-4D94-9CBE-2FE35668B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15493</Words>
  <Characters>88314</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2025-08-29T02:48:00Z</dcterms:created>
  <dcterms:modified xsi:type="dcterms:W3CDTF">2025-09-02T01:56:00Z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15b4127e,287ae225,7d30ff09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337baa5c,2dbb2bd1,1dd281f</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2025-08-29T02:49:35Z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39b61095-c903-47e7-b1bf-256081d965c5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48230400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y fmtid="{D5CDD505-2E9C-101B-9397-08002B2CF9AE}" pid="26" name="docLang">
    <vt:lpwstr>en</vt:lpwstr>
  </property>
</Properties>
</file>