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F9446" w14:textId="75BC5C98" w:rsidR="00091D2A" w:rsidRPr="004A6040" w:rsidRDefault="00091D2A" w:rsidP="00091D2A">
      <w:pPr>
        <w:pStyle w:val="1-MainHeading"/>
      </w:pPr>
      <w:bookmarkStart w:id="0" w:name="_Toc177546210"/>
      <w:r>
        <w:t>7.02</w:t>
      </w:r>
      <w:r>
        <w:tab/>
      </w:r>
      <w:r w:rsidRPr="00101822">
        <w:t>IRINOTECAN</w:t>
      </w:r>
      <w:r w:rsidR="00E229A7">
        <w:t xml:space="preserve"> (nanoliposomal)</w:t>
      </w:r>
      <w:r w:rsidRPr="00101822">
        <w:t>,</w:t>
      </w:r>
      <w:r w:rsidRPr="00101822">
        <w:br/>
        <w:t>Solution for I.V. infusion containing nanoliposomal irinotecan (as sucrosofate) 43 mg in 10 mL,</w:t>
      </w:r>
      <w:r w:rsidRPr="00101822">
        <w:br/>
        <w:t>Onivyde</w:t>
      </w:r>
      <w:r w:rsidRPr="00101822">
        <w:rPr>
          <w:vertAlign w:val="superscript"/>
        </w:rPr>
        <w:t>®</w:t>
      </w:r>
      <w:r w:rsidRPr="00101822">
        <w:t>,</w:t>
      </w:r>
      <w:r w:rsidRPr="00101822">
        <w:br/>
        <w:t>SERVIER LABORATORIES (AUST.) PTY. LTD.</w:t>
      </w:r>
      <w:bookmarkEnd w:id="0"/>
    </w:p>
    <w:p w14:paraId="11C00795" w14:textId="3DFB6D23" w:rsidR="00B50DB8" w:rsidRPr="00407F2D" w:rsidRDefault="00B50DB8" w:rsidP="00552B0C">
      <w:pPr>
        <w:pStyle w:val="2-SectionHeading"/>
        <w:numPr>
          <w:ilvl w:val="0"/>
          <w:numId w:val="5"/>
        </w:numPr>
      </w:pPr>
      <w:bookmarkStart w:id="1" w:name="_Toc177546212"/>
      <w:r w:rsidRPr="00407F2D">
        <w:t xml:space="preserve">Purpose of </w:t>
      </w:r>
      <w:r w:rsidR="00CD7193">
        <w:t>s</w:t>
      </w:r>
      <w:r w:rsidR="00BB3A45">
        <w:t>ubmission</w:t>
      </w:r>
      <w:bookmarkEnd w:id="1"/>
    </w:p>
    <w:p w14:paraId="3F38A5F3" w14:textId="716CA3EA" w:rsidR="00091D2A" w:rsidRDefault="00091D2A" w:rsidP="3EAC27F4">
      <w:pPr>
        <w:pStyle w:val="3-BodyText"/>
      </w:pPr>
      <w:bookmarkStart w:id="2" w:name="_Hlk176427172"/>
      <w:r>
        <w:t>The Standard Re-entry resubmission requested a Section 100 (Efficient Funding of Chemotherapy)</w:t>
      </w:r>
      <w:r w:rsidR="6C6BA4EE">
        <w:t>,</w:t>
      </w:r>
      <w:r>
        <w:t xml:space="preserve"> Authority Required (STREAMLINED) listing for nanoliposomal irinotecan (nal-IRI), for use in combination with oxaliplatin, 5-fluorouracil (5-FU) and folinic acid/Leucovorin (LV), for the first-line treatment of metastatic pancreatic adenocarcinoma (mPAC). The four-drug chemotherapy regimen is known as NALIRIFOX.</w:t>
      </w:r>
    </w:p>
    <w:p w14:paraId="7B4332CA" w14:textId="6C677107" w:rsidR="00091D2A" w:rsidRDefault="00091D2A" w:rsidP="3EAC27F4">
      <w:pPr>
        <w:pStyle w:val="3-BodyText"/>
      </w:pPr>
      <w:r>
        <w:t>Listing was requested on the basis of a cost-effectiveness analysis of NALIRIFOX versus</w:t>
      </w:r>
      <w:r w:rsidR="60C1534E">
        <w:t xml:space="preserve"> a weighted comparator of</w:t>
      </w:r>
      <w:r>
        <w:t xml:space="preserve"> gemcitabine plus nanoparticle albumin-bound paclitaxel (Gem+NabP) and FOLFIRINOX (non-liposomal irinotecan used in combination with oxaliplatin, 5-FU and LV). The key components of the clinical issue addressed by the submission are presented in </w:t>
      </w:r>
      <w:r>
        <w:fldChar w:fldCharType="begin" w:fldLock="1"/>
      </w:r>
      <w:r>
        <w:instrText xml:space="preserve"> REF _Ref176436760 \h </w:instrText>
      </w:r>
      <w:r>
        <w:fldChar w:fldCharType="separate"/>
      </w:r>
      <w:r w:rsidR="001C19B6" w:rsidRPr="0098262F">
        <w:t xml:space="preserve">Table </w:t>
      </w:r>
      <w:r w:rsidR="001C19B6">
        <w:rPr>
          <w:noProof/>
        </w:rPr>
        <w:t>1</w:t>
      </w:r>
      <w:r>
        <w:fldChar w:fldCharType="end"/>
      </w:r>
      <w:r>
        <w:t xml:space="preserve">. </w:t>
      </w:r>
    </w:p>
    <w:p w14:paraId="5C007594" w14:textId="2AE5A825" w:rsidR="00091D2A" w:rsidRPr="0098262F" w:rsidRDefault="00091D2A" w:rsidP="00C81C2F">
      <w:pPr>
        <w:pStyle w:val="TableFigureHeading"/>
        <w:keepLines/>
        <w:rPr>
          <w:rStyle w:val="CommentReference"/>
          <w:b/>
          <w:szCs w:val="24"/>
        </w:rPr>
      </w:pPr>
      <w:bookmarkStart w:id="3" w:name="_Ref176436760"/>
      <w:bookmarkEnd w:id="2"/>
      <w:r w:rsidRPr="0098262F">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w:t>
      </w:r>
      <w:r w:rsidR="001C19B6">
        <w:rPr>
          <w:noProof/>
        </w:rPr>
        <w:fldChar w:fldCharType="end"/>
      </w:r>
      <w:bookmarkEnd w:id="3"/>
      <w:r w:rsidRPr="0098262F">
        <w:t>:</w:t>
      </w:r>
      <w:r w:rsidRPr="0098262F">
        <w:rPr>
          <w:rStyle w:val="CommentReference"/>
          <w:b/>
          <w:szCs w:val="24"/>
        </w:rPr>
        <w:t xml:space="preserve"> Key components of the clinical issue addressed by the </w:t>
      </w:r>
      <w:r>
        <w:rPr>
          <w:rStyle w:val="CommentReference"/>
          <w:b/>
          <w:szCs w:val="24"/>
        </w:rPr>
        <w:t>re</w:t>
      </w:r>
      <w:r w:rsidRPr="0098262F">
        <w:rPr>
          <w:rStyle w:val="CommentReference"/>
          <w:b/>
          <w:szCs w:val="24"/>
        </w:rPr>
        <w:t xml:space="preserve">submission </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Caption w:val="Table 1: Key components of the clinical issue addressed by the resubmission "/>
      </w:tblPr>
      <w:tblGrid>
        <w:gridCol w:w="1915"/>
        <w:gridCol w:w="7102"/>
      </w:tblGrid>
      <w:tr w:rsidR="00091D2A" w:rsidRPr="00B87FAE" w14:paraId="701E13A4" w14:textId="77777777" w:rsidTr="001A4AE9">
        <w:tc>
          <w:tcPr>
            <w:tcW w:w="1062" w:type="pct"/>
            <w:tcBorders>
              <w:right w:val="single" w:sz="4" w:space="0" w:color="auto"/>
            </w:tcBorders>
            <w:shd w:val="clear" w:color="auto" w:fill="auto"/>
          </w:tcPr>
          <w:p w14:paraId="18AB94E5" w14:textId="77777777" w:rsidR="00091D2A" w:rsidRPr="00B87FAE" w:rsidRDefault="00091D2A" w:rsidP="00C81C2F">
            <w:pPr>
              <w:pStyle w:val="In-tableHeading"/>
              <w:keepLines/>
            </w:pPr>
            <w:r w:rsidRPr="00B87FAE">
              <w:t>Component</w:t>
            </w:r>
          </w:p>
        </w:tc>
        <w:tc>
          <w:tcPr>
            <w:tcW w:w="3938" w:type="pct"/>
            <w:tcBorders>
              <w:left w:val="single" w:sz="4" w:space="0" w:color="auto"/>
            </w:tcBorders>
            <w:shd w:val="clear" w:color="auto" w:fill="auto"/>
          </w:tcPr>
          <w:p w14:paraId="097BDEC6" w14:textId="77777777" w:rsidR="00091D2A" w:rsidRPr="00B87FAE" w:rsidRDefault="00091D2A" w:rsidP="00C81C2F">
            <w:pPr>
              <w:pStyle w:val="In-tableHeading"/>
              <w:keepLines/>
            </w:pPr>
            <w:r w:rsidRPr="00B87FAE">
              <w:t>Description</w:t>
            </w:r>
          </w:p>
        </w:tc>
      </w:tr>
      <w:tr w:rsidR="00091D2A" w:rsidRPr="00B87FAE" w14:paraId="42581D28" w14:textId="77777777">
        <w:trPr>
          <w:trHeight w:val="300"/>
        </w:trPr>
        <w:tc>
          <w:tcPr>
            <w:tcW w:w="10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E45FE1" w14:textId="77777777" w:rsidR="00091D2A" w:rsidRPr="00B87FAE" w:rsidRDefault="00091D2A" w:rsidP="00C81C2F">
            <w:pPr>
              <w:pStyle w:val="TableText0"/>
              <w:keepLines/>
            </w:pPr>
            <w:r w:rsidRPr="00B87FAE">
              <w:t>Population</w:t>
            </w:r>
          </w:p>
        </w:tc>
        <w:tc>
          <w:tcPr>
            <w:tcW w:w="393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3F2AC1" w14:textId="77777777" w:rsidR="00091D2A" w:rsidRPr="00B87FAE" w:rsidRDefault="00091D2A" w:rsidP="00C81C2F">
            <w:pPr>
              <w:pStyle w:val="TableText0"/>
              <w:keepLines/>
              <w:rPr>
                <w:color w:val="000000"/>
                <w:shd w:val="clear" w:color="auto" w:fill="FFFFFF"/>
              </w:rPr>
            </w:pPr>
            <w:r w:rsidRPr="00B87FAE">
              <w:rPr>
                <w:rStyle w:val="normaltextrun"/>
                <w:rFonts w:cs="Segoe UI"/>
                <w:szCs w:val="20"/>
              </w:rPr>
              <w:t>Previously untreated patients diagnosed with metastatic pancreatic adenocarcinoma</w:t>
            </w:r>
          </w:p>
        </w:tc>
      </w:tr>
      <w:tr w:rsidR="00091D2A" w:rsidRPr="00B87FAE" w14:paraId="741AC9F7" w14:textId="77777777" w:rsidTr="003E679D">
        <w:trPr>
          <w:trHeight w:val="1191"/>
        </w:trPr>
        <w:tc>
          <w:tcPr>
            <w:tcW w:w="10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96368DD" w14:textId="77777777" w:rsidR="00091D2A" w:rsidRPr="00B87FAE" w:rsidRDefault="00091D2A" w:rsidP="00C81C2F">
            <w:pPr>
              <w:pStyle w:val="TableText0"/>
              <w:keepLines/>
            </w:pPr>
            <w:r w:rsidRPr="00B87FAE">
              <w:t>Intervention</w:t>
            </w:r>
          </w:p>
        </w:tc>
        <w:tc>
          <w:tcPr>
            <w:tcW w:w="393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5BABE41" w14:textId="77777777" w:rsidR="00091D2A" w:rsidRPr="00B87FAE" w:rsidRDefault="00091D2A" w:rsidP="00C81C2F">
            <w:pPr>
              <w:pStyle w:val="TableText0"/>
              <w:keepLines/>
              <w:shd w:val="clear" w:color="auto" w:fill="B8CCE4" w:themeFill="accent1" w:themeFillTint="66"/>
            </w:pPr>
            <w:r w:rsidRPr="00B87FAE">
              <w:rPr>
                <w:rStyle w:val="normaltextrun"/>
                <w:rFonts w:cs="Segoe UI"/>
                <w:szCs w:val="20"/>
              </w:rPr>
              <w:t>NALIRIFOX regimen administered intravenously on days 1 and 15 of each 28-day cycle:</w:t>
            </w:r>
            <w:r w:rsidRPr="00B87FAE">
              <w:rPr>
                <w:rStyle w:val="eop"/>
                <w:rFonts w:cs="Segoe UI"/>
                <w:szCs w:val="20"/>
              </w:rPr>
              <w:t> </w:t>
            </w:r>
          </w:p>
          <w:p w14:paraId="68218087" w14:textId="77777777" w:rsidR="00091D2A" w:rsidRPr="00B87FAE" w:rsidRDefault="00091D2A" w:rsidP="00552B0C">
            <w:pPr>
              <w:pStyle w:val="TableText0"/>
              <w:keepLines/>
              <w:widowControl w:val="0"/>
              <w:numPr>
                <w:ilvl w:val="0"/>
                <w:numId w:val="8"/>
              </w:numPr>
              <w:shd w:val="clear" w:color="auto" w:fill="B8CCE4" w:themeFill="accent1" w:themeFillTint="66"/>
              <w:rPr>
                <w:rStyle w:val="normaltextrun"/>
                <w:rFonts w:cs="Segoe UI"/>
                <w:szCs w:val="20"/>
              </w:rPr>
            </w:pPr>
            <w:r w:rsidRPr="00B87FAE">
              <w:rPr>
                <w:rStyle w:val="normaltextrun"/>
                <w:rFonts w:cs="Segoe UI"/>
                <w:szCs w:val="20"/>
              </w:rPr>
              <w:t>nal-IRI 50 mg/m</w:t>
            </w:r>
            <w:r w:rsidRPr="00B87FAE">
              <w:rPr>
                <w:rStyle w:val="normaltextrun"/>
                <w:rFonts w:cs="Segoe UI"/>
                <w:szCs w:val="20"/>
                <w:vertAlign w:val="superscript"/>
              </w:rPr>
              <w:t xml:space="preserve">2 </w:t>
            </w:r>
            <w:r w:rsidRPr="00B87FAE">
              <w:rPr>
                <w:rStyle w:val="normaltextrun"/>
                <w:rFonts w:cs="Segoe UI"/>
                <w:szCs w:val="20"/>
              </w:rPr>
              <w:t>over 90 minutes</w:t>
            </w:r>
          </w:p>
          <w:p w14:paraId="684CAEBB" w14:textId="77777777" w:rsidR="00091D2A" w:rsidRPr="00B87FAE" w:rsidRDefault="00091D2A" w:rsidP="00552B0C">
            <w:pPr>
              <w:pStyle w:val="TableText0"/>
              <w:keepLines/>
              <w:widowControl w:val="0"/>
              <w:numPr>
                <w:ilvl w:val="0"/>
                <w:numId w:val="8"/>
              </w:numPr>
              <w:shd w:val="clear" w:color="auto" w:fill="B8CCE4" w:themeFill="accent1" w:themeFillTint="66"/>
              <w:rPr>
                <w:rStyle w:val="eop"/>
                <w:rFonts w:cs="Segoe UI"/>
                <w:szCs w:val="20"/>
              </w:rPr>
            </w:pPr>
            <w:r w:rsidRPr="00B87FAE">
              <w:rPr>
                <w:rStyle w:val="normaltextrun"/>
                <w:rFonts w:cs="Segoe UI"/>
                <w:szCs w:val="20"/>
              </w:rPr>
              <w:t>oxaliplatin 60 mg/m</w:t>
            </w:r>
            <w:r w:rsidRPr="00B87FAE">
              <w:rPr>
                <w:rStyle w:val="normaltextrun"/>
                <w:rFonts w:cs="Segoe UI"/>
                <w:szCs w:val="20"/>
                <w:vertAlign w:val="superscript"/>
              </w:rPr>
              <w:t>2</w:t>
            </w:r>
            <w:r w:rsidRPr="00B87FAE">
              <w:rPr>
                <w:rStyle w:val="eop"/>
                <w:rFonts w:cs="Segoe UI"/>
                <w:szCs w:val="20"/>
              </w:rPr>
              <w:t> o</w:t>
            </w:r>
            <w:r w:rsidRPr="00B87FAE">
              <w:rPr>
                <w:rStyle w:val="eop"/>
                <w:szCs w:val="20"/>
              </w:rPr>
              <w:t>ver 120 minutes</w:t>
            </w:r>
          </w:p>
          <w:p w14:paraId="60D82728" w14:textId="77777777" w:rsidR="00091D2A" w:rsidRPr="00B87FAE" w:rsidRDefault="00091D2A" w:rsidP="00552B0C">
            <w:pPr>
              <w:pStyle w:val="TableText0"/>
              <w:keepLines/>
              <w:widowControl w:val="0"/>
              <w:numPr>
                <w:ilvl w:val="0"/>
                <w:numId w:val="8"/>
              </w:numPr>
              <w:shd w:val="clear" w:color="auto" w:fill="FFFFFF" w:themeFill="background1"/>
            </w:pPr>
            <w:r w:rsidRPr="00B87FAE">
              <w:rPr>
                <w:rStyle w:val="normaltextrun"/>
                <w:rFonts w:cs="Segoe UI"/>
                <w:szCs w:val="20"/>
              </w:rPr>
              <w:t>LV 50 mg/m</w:t>
            </w:r>
            <w:r w:rsidRPr="00B87FAE">
              <w:rPr>
                <w:rStyle w:val="normaltextrun"/>
                <w:rFonts w:cs="Segoe UI"/>
                <w:szCs w:val="20"/>
                <w:vertAlign w:val="superscript"/>
              </w:rPr>
              <w:t>2</w:t>
            </w:r>
            <w:r w:rsidRPr="00B87FAE">
              <w:rPr>
                <w:rStyle w:val="normaltextrun"/>
                <w:rFonts w:cs="Segoe UI"/>
                <w:szCs w:val="20"/>
              </w:rPr>
              <w:t>;</w:t>
            </w:r>
            <w:r w:rsidRPr="00B87FAE">
              <w:rPr>
                <w:rStyle w:val="normaltextrun"/>
                <w:rFonts w:cs="Segoe UI"/>
                <w:szCs w:val="20"/>
                <w:vertAlign w:val="superscript"/>
              </w:rPr>
              <w:t xml:space="preserve">a </w:t>
            </w:r>
            <w:r w:rsidRPr="00B87FAE">
              <w:rPr>
                <w:rStyle w:val="normaltextrun"/>
                <w:szCs w:val="20"/>
              </w:rPr>
              <w:t xml:space="preserve">and </w:t>
            </w:r>
          </w:p>
          <w:p w14:paraId="5F630099" w14:textId="77777777" w:rsidR="00091D2A" w:rsidRPr="00B87FAE" w:rsidRDefault="00091D2A" w:rsidP="00552B0C">
            <w:pPr>
              <w:pStyle w:val="TableText0"/>
              <w:keepLines/>
              <w:widowControl w:val="0"/>
              <w:numPr>
                <w:ilvl w:val="0"/>
                <w:numId w:val="8"/>
              </w:numPr>
            </w:pPr>
            <w:r w:rsidRPr="00B87FAE">
              <w:rPr>
                <w:rStyle w:val="normaltextrun"/>
                <w:rFonts w:cs="Segoe UI"/>
                <w:szCs w:val="20"/>
                <w:shd w:val="clear" w:color="auto" w:fill="B8CCE4" w:themeFill="accent1" w:themeFillTint="66"/>
              </w:rPr>
              <w:t>5-FU 2,400 mg/m</w:t>
            </w:r>
            <w:r w:rsidRPr="00B87FAE">
              <w:rPr>
                <w:rStyle w:val="normaltextrun"/>
                <w:rFonts w:cs="Segoe UI"/>
                <w:szCs w:val="20"/>
                <w:shd w:val="clear" w:color="auto" w:fill="B8CCE4" w:themeFill="accent1" w:themeFillTint="66"/>
                <w:vertAlign w:val="superscript"/>
              </w:rPr>
              <w:t>2</w:t>
            </w:r>
            <w:r w:rsidRPr="00B87FAE">
              <w:rPr>
                <w:rStyle w:val="eop"/>
                <w:rFonts w:cs="Segoe UI"/>
                <w:szCs w:val="20"/>
                <w:shd w:val="clear" w:color="auto" w:fill="B8CCE4" w:themeFill="accent1" w:themeFillTint="66"/>
              </w:rPr>
              <w:t> over 46 hours</w:t>
            </w:r>
          </w:p>
        </w:tc>
      </w:tr>
      <w:tr w:rsidR="00091D2A" w:rsidRPr="00B87FAE" w14:paraId="6D5A0B60" w14:textId="77777777">
        <w:trPr>
          <w:trHeight w:val="300"/>
        </w:trPr>
        <w:tc>
          <w:tcPr>
            <w:tcW w:w="10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C30782" w14:textId="77777777" w:rsidR="00091D2A" w:rsidRPr="00B87FAE" w:rsidRDefault="00091D2A" w:rsidP="00C81C2F">
            <w:pPr>
              <w:pStyle w:val="TableText0"/>
              <w:keepLines/>
            </w:pPr>
            <w:r w:rsidRPr="00B87FAE">
              <w:t xml:space="preserve">Comparator </w:t>
            </w:r>
          </w:p>
        </w:tc>
        <w:tc>
          <w:tcPr>
            <w:tcW w:w="393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03ECF4" w14:textId="77777777" w:rsidR="00091D2A" w:rsidRPr="00B87FAE" w:rsidRDefault="00091D2A" w:rsidP="00C81C2F">
            <w:pPr>
              <w:pStyle w:val="TableText0"/>
              <w:keepLines/>
            </w:pPr>
            <w:r w:rsidRPr="00B87FAE">
              <w:rPr>
                <w:rStyle w:val="normaltextrun"/>
                <w:rFonts w:cs="Segoe UI"/>
                <w:szCs w:val="20"/>
              </w:rPr>
              <w:t>Gemcitabine and nanoparticle albumin-bound paclitaxel (Gem + NabP) regimen administered intravenously on days 1, 8 and 15 of each 28-day cycle:</w:t>
            </w:r>
            <w:r w:rsidRPr="00B87FAE">
              <w:rPr>
                <w:rStyle w:val="eop"/>
                <w:rFonts w:cs="Segoe UI"/>
                <w:szCs w:val="20"/>
              </w:rPr>
              <w:t> </w:t>
            </w:r>
          </w:p>
          <w:p w14:paraId="64A6279A" w14:textId="77777777" w:rsidR="00091D2A" w:rsidRPr="00B87FAE" w:rsidRDefault="00091D2A" w:rsidP="00552B0C">
            <w:pPr>
              <w:pStyle w:val="TableText0"/>
              <w:keepLines/>
              <w:widowControl w:val="0"/>
              <w:numPr>
                <w:ilvl w:val="0"/>
                <w:numId w:val="9"/>
              </w:numPr>
            </w:pPr>
            <w:r w:rsidRPr="00B87FAE">
              <w:rPr>
                <w:rStyle w:val="normaltextrun"/>
                <w:rFonts w:cs="Segoe UI"/>
                <w:szCs w:val="20"/>
              </w:rPr>
              <w:t>Gem 1,000 mg/m</w:t>
            </w:r>
            <w:r w:rsidRPr="00B87FAE">
              <w:rPr>
                <w:rStyle w:val="normaltextrun"/>
                <w:rFonts w:cs="Segoe UI"/>
                <w:szCs w:val="20"/>
                <w:vertAlign w:val="superscript"/>
              </w:rPr>
              <w:t>2</w:t>
            </w:r>
            <w:r w:rsidRPr="00B87FAE">
              <w:rPr>
                <w:rStyle w:val="normaltextrun"/>
                <w:rFonts w:cs="Segoe UI"/>
                <w:szCs w:val="20"/>
              </w:rPr>
              <w:t xml:space="preserve"> and</w:t>
            </w:r>
            <w:r w:rsidRPr="00B87FAE">
              <w:rPr>
                <w:rStyle w:val="eop"/>
                <w:rFonts w:cs="Segoe UI"/>
                <w:szCs w:val="20"/>
              </w:rPr>
              <w:t> </w:t>
            </w:r>
          </w:p>
          <w:p w14:paraId="554A2C6A" w14:textId="77777777" w:rsidR="00091D2A" w:rsidRPr="00B87FAE" w:rsidRDefault="00091D2A" w:rsidP="00552B0C">
            <w:pPr>
              <w:pStyle w:val="TableText0"/>
              <w:keepLines/>
              <w:widowControl w:val="0"/>
              <w:numPr>
                <w:ilvl w:val="0"/>
                <w:numId w:val="9"/>
              </w:numPr>
            </w:pPr>
            <w:r w:rsidRPr="00B87FAE">
              <w:rPr>
                <w:rStyle w:val="normaltextrun"/>
                <w:rFonts w:cs="Segoe UI"/>
                <w:szCs w:val="20"/>
              </w:rPr>
              <w:t>NabP 125 mg/m</w:t>
            </w:r>
            <w:r w:rsidRPr="00B87FAE">
              <w:rPr>
                <w:rStyle w:val="normaltextrun"/>
                <w:rFonts w:cs="Segoe UI"/>
                <w:szCs w:val="20"/>
                <w:vertAlign w:val="superscript"/>
              </w:rPr>
              <w:t>2</w:t>
            </w:r>
            <w:r w:rsidRPr="00B87FAE">
              <w:rPr>
                <w:rStyle w:val="eop"/>
                <w:rFonts w:cs="Segoe UI"/>
                <w:szCs w:val="20"/>
              </w:rPr>
              <w:t> </w:t>
            </w:r>
          </w:p>
          <w:p w14:paraId="1996C6D0" w14:textId="77777777" w:rsidR="00091D2A" w:rsidRPr="00B87FAE" w:rsidRDefault="00091D2A" w:rsidP="00C81C2F">
            <w:pPr>
              <w:pStyle w:val="TableText0"/>
              <w:keepLines/>
              <w:rPr>
                <w:rStyle w:val="normaltextrun"/>
                <w:rFonts w:cs="Segoe UI"/>
                <w:szCs w:val="20"/>
              </w:rPr>
            </w:pPr>
          </w:p>
          <w:p w14:paraId="4855C70B" w14:textId="77777777" w:rsidR="00091D2A" w:rsidRPr="00B87FAE" w:rsidRDefault="00091D2A" w:rsidP="00C81C2F">
            <w:pPr>
              <w:pStyle w:val="TableText0"/>
              <w:keepLines/>
            </w:pPr>
            <w:r w:rsidRPr="00B87FAE">
              <w:rPr>
                <w:rStyle w:val="normaltextrun"/>
                <w:rFonts w:cs="Segoe UI"/>
                <w:szCs w:val="20"/>
              </w:rPr>
              <w:t>FOLFIRINOX regimen administered intravenously on days 1 and 15 of each 28-day cycle:</w:t>
            </w:r>
            <w:r w:rsidRPr="00B87FAE">
              <w:rPr>
                <w:rStyle w:val="eop"/>
                <w:rFonts w:cs="Segoe UI"/>
                <w:szCs w:val="20"/>
              </w:rPr>
              <w:t> </w:t>
            </w:r>
          </w:p>
          <w:p w14:paraId="1DC1D4A7" w14:textId="77777777" w:rsidR="00091D2A" w:rsidRPr="00B87FAE" w:rsidRDefault="00091D2A" w:rsidP="00552B0C">
            <w:pPr>
              <w:pStyle w:val="TableText0"/>
              <w:keepLines/>
              <w:widowControl w:val="0"/>
              <w:numPr>
                <w:ilvl w:val="0"/>
                <w:numId w:val="7"/>
              </w:numPr>
              <w:rPr>
                <w:rStyle w:val="eop"/>
                <w:rFonts w:cs="Segoe UI"/>
                <w:szCs w:val="20"/>
              </w:rPr>
            </w:pPr>
            <w:r w:rsidRPr="00B87FAE">
              <w:rPr>
                <w:rStyle w:val="normaltextrun"/>
                <w:rFonts w:cs="Segoe UI"/>
                <w:szCs w:val="20"/>
              </w:rPr>
              <w:t>irinotecan 180 mg/m</w:t>
            </w:r>
            <w:r w:rsidRPr="00B87FAE">
              <w:rPr>
                <w:rStyle w:val="normaltextrun"/>
                <w:rFonts w:cs="Segoe UI"/>
                <w:szCs w:val="20"/>
                <w:vertAlign w:val="superscript"/>
              </w:rPr>
              <w:t>2</w:t>
            </w:r>
            <w:r w:rsidRPr="00B87FAE">
              <w:rPr>
                <w:rStyle w:val="eop"/>
                <w:rFonts w:cs="Segoe UI"/>
                <w:szCs w:val="20"/>
              </w:rPr>
              <w:t> over 90 minutes</w:t>
            </w:r>
          </w:p>
          <w:p w14:paraId="3007D479" w14:textId="77777777" w:rsidR="00091D2A" w:rsidRPr="00B87FAE" w:rsidRDefault="00091D2A" w:rsidP="00552B0C">
            <w:pPr>
              <w:pStyle w:val="TableText0"/>
              <w:keepLines/>
              <w:widowControl w:val="0"/>
              <w:numPr>
                <w:ilvl w:val="0"/>
                <w:numId w:val="7"/>
              </w:numPr>
              <w:rPr>
                <w:rStyle w:val="eop"/>
                <w:rFonts w:cs="Segoe UI"/>
                <w:szCs w:val="20"/>
              </w:rPr>
            </w:pPr>
            <w:r w:rsidRPr="00B87FAE">
              <w:rPr>
                <w:rStyle w:val="normaltextrun"/>
                <w:rFonts w:cs="Segoe UI"/>
                <w:szCs w:val="20"/>
              </w:rPr>
              <w:t>oxaliplatin 85 mg/m</w:t>
            </w:r>
            <w:r w:rsidRPr="00B87FAE">
              <w:rPr>
                <w:rStyle w:val="normaltextrun"/>
                <w:rFonts w:cs="Segoe UI"/>
                <w:szCs w:val="20"/>
                <w:vertAlign w:val="superscript"/>
              </w:rPr>
              <w:t>2</w:t>
            </w:r>
            <w:r w:rsidRPr="00B87FAE">
              <w:rPr>
                <w:rStyle w:val="eop"/>
                <w:rFonts w:cs="Segoe UI"/>
                <w:szCs w:val="20"/>
              </w:rPr>
              <w:t> over 120 minutes</w:t>
            </w:r>
          </w:p>
          <w:p w14:paraId="376EFC93" w14:textId="77777777" w:rsidR="00091D2A" w:rsidRPr="00B87FAE" w:rsidRDefault="00091D2A" w:rsidP="00552B0C">
            <w:pPr>
              <w:pStyle w:val="TableText0"/>
              <w:keepLines/>
              <w:widowControl w:val="0"/>
              <w:numPr>
                <w:ilvl w:val="0"/>
                <w:numId w:val="7"/>
              </w:numPr>
              <w:rPr>
                <w:rStyle w:val="eop"/>
                <w:rFonts w:cs="Segoe UI"/>
                <w:szCs w:val="20"/>
              </w:rPr>
            </w:pPr>
            <w:r w:rsidRPr="00B87FAE">
              <w:rPr>
                <w:rStyle w:val="eop"/>
                <w:rFonts w:cs="Segoe UI"/>
                <w:szCs w:val="20"/>
              </w:rPr>
              <w:t xml:space="preserve">LV </w:t>
            </w:r>
            <w:r w:rsidRPr="00B87FAE">
              <w:rPr>
                <w:rStyle w:val="normaltextrun"/>
                <w:rFonts w:cs="Segoe UI"/>
                <w:szCs w:val="20"/>
              </w:rPr>
              <w:t>50 mg</w:t>
            </w:r>
            <w:r w:rsidRPr="00B87FAE">
              <w:rPr>
                <w:rStyle w:val="normaltextrun"/>
                <w:rFonts w:cs="Segoe UI"/>
                <w:szCs w:val="20"/>
                <w:vertAlign w:val="superscript"/>
              </w:rPr>
              <w:t xml:space="preserve"> </w:t>
            </w:r>
            <w:r w:rsidRPr="00B87FAE">
              <w:rPr>
                <w:rStyle w:val="normaltextrun"/>
                <w:szCs w:val="20"/>
              </w:rPr>
              <w:t>and</w:t>
            </w:r>
          </w:p>
          <w:p w14:paraId="37DC6C58" w14:textId="711CD8EC" w:rsidR="00091D2A" w:rsidRPr="00B87FAE" w:rsidRDefault="00091D2A" w:rsidP="00552B0C">
            <w:pPr>
              <w:pStyle w:val="TableText0"/>
              <w:keepLines/>
              <w:widowControl w:val="0"/>
              <w:numPr>
                <w:ilvl w:val="0"/>
                <w:numId w:val="7"/>
              </w:numPr>
              <w:rPr>
                <w:rStyle w:val="eop"/>
                <w:rFonts w:cs="Segoe UI"/>
                <w:szCs w:val="20"/>
              </w:rPr>
            </w:pPr>
            <w:r w:rsidRPr="00B87FAE">
              <w:rPr>
                <w:rStyle w:val="normaltextrun"/>
                <w:rFonts w:cs="Segoe UI"/>
                <w:szCs w:val="20"/>
              </w:rPr>
              <w:t>5-FU 400 mg/m</w:t>
            </w:r>
            <w:r w:rsidRPr="00B87FAE">
              <w:rPr>
                <w:rStyle w:val="normaltextrun"/>
                <w:rFonts w:cs="Segoe UI"/>
                <w:szCs w:val="20"/>
                <w:vertAlign w:val="superscript"/>
              </w:rPr>
              <w:t>2</w:t>
            </w:r>
            <w:r w:rsidRPr="00B87FAE">
              <w:rPr>
                <w:rStyle w:val="normaltextrun"/>
                <w:rFonts w:cs="Segoe UI"/>
                <w:szCs w:val="20"/>
              </w:rPr>
              <w:t xml:space="preserve"> followed by 2,400m/m</w:t>
            </w:r>
            <w:r w:rsidRPr="00B87FAE">
              <w:rPr>
                <w:rStyle w:val="normaltextrun"/>
                <w:rFonts w:cs="Segoe UI"/>
                <w:szCs w:val="20"/>
                <w:vertAlign w:val="superscript"/>
              </w:rPr>
              <w:t>2</w:t>
            </w:r>
            <w:r w:rsidRPr="00B87FAE">
              <w:rPr>
                <w:rStyle w:val="normaltextrun"/>
                <w:rFonts w:cs="Segoe UI"/>
                <w:szCs w:val="20"/>
              </w:rPr>
              <w:t xml:space="preserve"> over 46 hours</w:t>
            </w:r>
            <w:r w:rsidR="000E3819">
              <w:rPr>
                <w:rStyle w:val="normaltextrun"/>
                <w:rFonts w:cs="Segoe UI"/>
                <w:szCs w:val="20"/>
              </w:rPr>
              <w:t xml:space="preserve"> </w:t>
            </w:r>
          </w:p>
          <w:p w14:paraId="1E3536C0" w14:textId="77777777" w:rsidR="00091D2A" w:rsidRPr="00B87FAE" w:rsidRDefault="00091D2A" w:rsidP="00C81C2F">
            <w:pPr>
              <w:pStyle w:val="TableText0"/>
              <w:keepLines/>
              <w:rPr>
                <w:rStyle w:val="eop"/>
              </w:rPr>
            </w:pPr>
          </w:p>
          <w:p w14:paraId="7A8221DD" w14:textId="77777777" w:rsidR="00091D2A" w:rsidRPr="00B87FAE" w:rsidRDefault="00091D2A" w:rsidP="00C81C2F">
            <w:pPr>
              <w:pStyle w:val="TableText0"/>
              <w:keepLines/>
              <w:rPr>
                <w:rFonts w:cs="Segoe UI"/>
              </w:rPr>
            </w:pPr>
            <w:r w:rsidRPr="00B87FAE">
              <w:rPr>
                <w:rStyle w:val="eop"/>
                <w:szCs w:val="20"/>
                <w:shd w:val="clear" w:color="auto" w:fill="FFFFFF" w:themeFill="background1"/>
              </w:rPr>
              <w:t>Mixed comparator a</w:t>
            </w:r>
            <w:r w:rsidRPr="00B87FAE">
              <w:rPr>
                <w:rStyle w:val="eop"/>
                <w:shd w:val="clear" w:color="auto" w:fill="FFFFFF" w:themeFill="background1"/>
              </w:rPr>
              <w:t>pproach used</w:t>
            </w:r>
            <w:r w:rsidRPr="00B87FAE">
              <w:rPr>
                <w:rStyle w:val="eop"/>
                <w:szCs w:val="20"/>
                <w:shd w:val="clear" w:color="auto" w:fill="FFFFFF" w:themeFill="background1"/>
              </w:rPr>
              <w:t xml:space="preserve"> in economic evaluation was Gem+NabP (75%) and FOLFIRINOX (25%)</w:t>
            </w:r>
            <w:r w:rsidRPr="00B87FAE">
              <w:rPr>
                <w:rStyle w:val="eop"/>
                <w:szCs w:val="20"/>
              </w:rPr>
              <w:t xml:space="preserve"> </w:t>
            </w:r>
          </w:p>
        </w:tc>
      </w:tr>
      <w:tr w:rsidR="00091D2A" w:rsidRPr="00B87FAE" w14:paraId="6757530B" w14:textId="77777777">
        <w:trPr>
          <w:trHeight w:val="300"/>
        </w:trPr>
        <w:tc>
          <w:tcPr>
            <w:tcW w:w="106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7357E3" w14:textId="77777777" w:rsidR="00091D2A" w:rsidRPr="00B87FAE" w:rsidRDefault="00091D2A" w:rsidP="00C81C2F">
            <w:pPr>
              <w:pStyle w:val="TableText0"/>
              <w:keepLines/>
            </w:pPr>
            <w:r w:rsidRPr="00B87FAE">
              <w:t xml:space="preserve">Outcomes </w:t>
            </w:r>
          </w:p>
        </w:tc>
        <w:tc>
          <w:tcPr>
            <w:tcW w:w="393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FF7C9B" w14:textId="77777777" w:rsidR="00091D2A" w:rsidRPr="00B87FAE" w:rsidRDefault="00091D2A" w:rsidP="00C81C2F">
            <w:pPr>
              <w:pStyle w:val="TableText0"/>
              <w:keepLines/>
            </w:pPr>
            <w:r w:rsidRPr="00B87FAE">
              <w:rPr>
                <w:rStyle w:val="normaltextrun"/>
                <w:rFonts w:cs="Segoe UI"/>
                <w:szCs w:val="20"/>
              </w:rPr>
              <w:t>Primary endpoint: overall survival (OS)</w:t>
            </w:r>
            <w:r w:rsidRPr="00B87FAE">
              <w:rPr>
                <w:rStyle w:val="eop"/>
                <w:rFonts w:cs="Segoe UI"/>
                <w:szCs w:val="20"/>
              </w:rPr>
              <w:t> </w:t>
            </w:r>
          </w:p>
          <w:p w14:paraId="1D5BF152" w14:textId="77777777" w:rsidR="00091D2A" w:rsidRPr="00B87FAE" w:rsidRDefault="00091D2A" w:rsidP="00C81C2F">
            <w:pPr>
              <w:pStyle w:val="TableText0"/>
              <w:keepLines/>
            </w:pPr>
            <w:r w:rsidRPr="00B87FAE">
              <w:rPr>
                <w:rStyle w:val="normaltextrun"/>
                <w:rFonts w:cs="Segoe UI"/>
                <w:szCs w:val="20"/>
              </w:rPr>
              <w:t>Secondary endpoints: progression-free survival (PFS); objective response rate (ORR); Health-related quality of life (HRQoL)</w:t>
            </w:r>
            <w:r w:rsidRPr="00B87FAE">
              <w:rPr>
                <w:rStyle w:val="eop"/>
                <w:rFonts w:cs="Segoe UI"/>
                <w:szCs w:val="20"/>
              </w:rPr>
              <w:t> </w:t>
            </w:r>
          </w:p>
          <w:p w14:paraId="6B45944E" w14:textId="77777777" w:rsidR="00091D2A" w:rsidRPr="00B87FAE" w:rsidRDefault="00091D2A" w:rsidP="00C81C2F">
            <w:pPr>
              <w:pStyle w:val="TableText0"/>
              <w:keepLines/>
            </w:pPr>
            <w:r w:rsidRPr="00B87FAE">
              <w:rPr>
                <w:rStyle w:val="normaltextrun"/>
                <w:rFonts w:cs="Segoe UI"/>
                <w:szCs w:val="20"/>
              </w:rPr>
              <w:t>Safety</w:t>
            </w:r>
            <w:r w:rsidRPr="00B87FAE">
              <w:rPr>
                <w:rStyle w:val="eop"/>
                <w:rFonts w:cs="Segoe UI"/>
                <w:szCs w:val="20"/>
              </w:rPr>
              <w:t> </w:t>
            </w:r>
          </w:p>
        </w:tc>
      </w:tr>
      <w:tr w:rsidR="00091D2A" w:rsidRPr="00B87FAE" w14:paraId="66243FA8" w14:textId="77777777">
        <w:tc>
          <w:tcPr>
            <w:tcW w:w="1062" w:type="pct"/>
            <w:tcBorders>
              <w:right w:val="single" w:sz="4" w:space="0" w:color="auto"/>
            </w:tcBorders>
          </w:tcPr>
          <w:p w14:paraId="1C19BD9E" w14:textId="77777777" w:rsidR="00091D2A" w:rsidRPr="00B87FAE" w:rsidRDefault="00091D2A" w:rsidP="00C81C2F">
            <w:pPr>
              <w:pStyle w:val="TableText0"/>
              <w:keepLines/>
            </w:pPr>
            <w:bookmarkStart w:id="4" w:name="_Hlk184144316"/>
            <w:r w:rsidRPr="00B87FAE">
              <w:t>Clinical claim</w:t>
            </w:r>
          </w:p>
        </w:tc>
        <w:tc>
          <w:tcPr>
            <w:tcW w:w="3938" w:type="pct"/>
            <w:tcBorders>
              <w:left w:val="single" w:sz="4" w:space="0" w:color="auto"/>
            </w:tcBorders>
          </w:tcPr>
          <w:p w14:paraId="228C0A1A" w14:textId="77777777" w:rsidR="00091D2A" w:rsidRPr="00B87FAE" w:rsidRDefault="00091D2A" w:rsidP="00C81C2F">
            <w:pPr>
              <w:pStyle w:val="TableText0"/>
              <w:keepLines/>
            </w:pPr>
            <w:r w:rsidRPr="00B87FAE">
              <w:rPr>
                <w:rStyle w:val="normaltextrun"/>
                <w:rFonts w:cs="Segoe UI"/>
                <w:szCs w:val="20"/>
                <w:u w:val="single"/>
              </w:rPr>
              <w:t>Gem + NabP:</w:t>
            </w:r>
            <w:r w:rsidRPr="00B87FAE">
              <w:rPr>
                <w:rStyle w:val="eop"/>
                <w:rFonts w:cs="Segoe UI"/>
                <w:szCs w:val="20"/>
              </w:rPr>
              <w:t> </w:t>
            </w:r>
          </w:p>
          <w:p w14:paraId="716C47A8" w14:textId="77777777" w:rsidR="00091D2A" w:rsidRPr="00B87FAE" w:rsidRDefault="00091D2A" w:rsidP="00C81C2F">
            <w:pPr>
              <w:pStyle w:val="TableText0"/>
              <w:keepLines/>
              <w:shd w:val="clear" w:color="auto" w:fill="B8CCE4" w:themeFill="accent1" w:themeFillTint="66"/>
            </w:pPr>
            <w:r w:rsidRPr="00B87FAE">
              <w:rPr>
                <w:rStyle w:val="normaltextrun"/>
                <w:rFonts w:cs="Segoe UI"/>
                <w:szCs w:val="20"/>
              </w:rPr>
              <w:t>NALIRIFOX is superior in terms of effectiveness compared to Gem+NabP</w:t>
            </w:r>
            <w:r w:rsidRPr="00B87FAE">
              <w:rPr>
                <w:rStyle w:val="eop"/>
                <w:rFonts w:cs="Segoe UI"/>
                <w:szCs w:val="20"/>
              </w:rPr>
              <w:t> </w:t>
            </w:r>
          </w:p>
          <w:p w14:paraId="6205EB6B" w14:textId="77777777" w:rsidR="00091D2A" w:rsidRPr="00B87FAE" w:rsidRDefault="00091D2A" w:rsidP="00C81C2F">
            <w:pPr>
              <w:pStyle w:val="TableText0"/>
              <w:keepLines/>
            </w:pPr>
            <w:bookmarkStart w:id="5" w:name="_Hlk176443903"/>
            <w:r w:rsidRPr="00B87FAE">
              <w:rPr>
                <w:rStyle w:val="normaltextrun"/>
                <w:rFonts w:cs="Segoe UI"/>
                <w:szCs w:val="20"/>
              </w:rPr>
              <w:t>NALIRIFOX has a different safety profile compared to Gem+NabP, however it should not be concluded that one safety profile is superior or inferior to the other</w:t>
            </w:r>
          </w:p>
          <w:bookmarkEnd w:id="5"/>
          <w:p w14:paraId="18255D96" w14:textId="77777777" w:rsidR="00091D2A" w:rsidRPr="00B87FAE" w:rsidRDefault="00091D2A" w:rsidP="00C81C2F">
            <w:pPr>
              <w:pStyle w:val="TableText0"/>
              <w:keepLines/>
              <w:rPr>
                <w:rStyle w:val="eop"/>
                <w:rFonts w:cs="Segoe UI"/>
                <w:szCs w:val="20"/>
              </w:rPr>
            </w:pPr>
            <w:r w:rsidRPr="00B87FAE">
              <w:rPr>
                <w:rStyle w:val="normaltextrun"/>
                <w:rFonts w:cs="Segoe UI"/>
                <w:szCs w:val="20"/>
                <w:u w:val="single"/>
              </w:rPr>
              <w:t>FOLFIRINOX:</w:t>
            </w:r>
          </w:p>
          <w:p w14:paraId="6C8404AD" w14:textId="77777777" w:rsidR="00091D2A" w:rsidRPr="00B87FAE" w:rsidRDefault="00091D2A" w:rsidP="00C81C2F">
            <w:pPr>
              <w:pStyle w:val="TableText0"/>
              <w:keepLines/>
              <w:rPr>
                <w:rStyle w:val="normaltextrun"/>
                <w:rFonts w:cs="Segoe UI"/>
                <w:szCs w:val="20"/>
              </w:rPr>
            </w:pPr>
            <w:r w:rsidRPr="00B87FAE">
              <w:rPr>
                <w:rStyle w:val="normaltextrun"/>
                <w:rFonts w:cs="Segoe UI"/>
                <w:szCs w:val="20"/>
              </w:rPr>
              <w:t xml:space="preserve">NALIRIFOX is superior in terms of effectiveness </w:t>
            </w:r>
            <w:r w:rsidRPr="00B87FAE">
              <w:rPr>
                <w:rStyle w:val="normaltextrun"/>
                <w:rFonts w:cs="Segoe UI"/>
              </w:rPr>
              <w:t>(PFS and OS)</w:t>
            </w:r>
            <w:r w:rsidRPr="00B87FAE">
              <w:rPr>
                <w:rStyle w:val="normaltextrun"/>
                <w:rFonts w:cs="Segoe UI"/>
                <w:szCs w:val="20"/>
              </w:rPr>
              <w:t xml:space="preserve"> compared to FOLFIRINOX </w:t>
            </w:r>
          </w:p>
          <w:p w14:paraId="1FB4621A" w14:textId="68DE345D" w:rsidR="00091D2A" w:rsidRPr="00B87FAE" w:rsidRDefault="00091D2A" w:rsidP="00C81C2F">
            <w:pPr>
              <w:pStyle w:val="TableText0"/>
              <w:keepLines/>
            </w:pPr>
            <w:r w:rsidRPr="00B87FAE">
              <w:rPr>
                <w:rStyle w:val="normaltextrun"/>
                <w:rFonts w:cs="Segoe UI"/>
                <w:szCs w:val="20"/>
              </w:rPr>
              <w:t>NALIRIFOX appear</w:t>
            </w:r>
            <w:r w:rsidR="00A05E91" w:rsidRPr="00B87FAE">
              <w:rPr>
                <w:rStyle w:val="normaltextrun"/>
                <w:rFonts w:cs="Segoe UI"/>
                <w:szCs w:val="20"/>
              </w:rPr>
              <w:t>s</w:t>
            </w:r>
            <w:r w:rsidRPr="00B87FAE">
              <w:rPr>
                <w:rStyle w:val="normaltextrun"/>
                <w:rFonts w:cs="Segoe UI"/>
                <w:szCs w:val="20"/>
              </w:rPr>
              <w:t xml:space="preserve"> to have advantages in terms of incidence of haematological adverse events</w:t>
            </w:r>
            <w:r w:rsidR="00A05E91" w:rsidRPr="00B87FAE">
              <w:rPr>
                <w:rStyle w:val="normaltextrun"/>
                <w:rFonts w:cs="Segoe UI"/>
                <w:szCs w:val="20"/>
              </w:rPr>
              <w:t>,</w:t>
            </w:r>
            <w:r w:rsidR="00A05E91" w:rsidRPr="00B87FAE">
              <w:rPr>
                <w:rStyle w:val="normaltextrun"/>
                <w:rFonts w:cs="Segoe UI"/>
              </w:rPr>
              <w:t xml:space="preserve"> including the sequelae of those effects (e.g., infection),</w:t>
            </w:r>
            <w:r w:rsidRPr="00B87FAE">
              <w:rPr>
                <w:rStyle w:val="normaltextrun"/>
                <w:rFonts w:cs="Segoe UI"/>
                <w:szCs w:val="20"/>
              </w:rPr>
              <w:t xml:space="preserve"> compared to FOLFIRINOX</w:t>
            </w:r>
            <w:r w:rsidR="00A05E91" w:rsidRPr="00B87FAE">
              <w:rPr>
                <w:rStyle w:val="normaltextrun"/>
                <w:rFonts w:cs="Segoe UI"/>
              </w:rPr>
              <w:t>.</w:t>
            </w:r>
            <w:r w:rsidRPr="00B87FAE">
              <w:rPr>
                <w:rStyle w:val="normaltextrun"/>
                <w:rFonts w:cs="Segoe UI"/>
                <w:szCs w:val="20"/>
              </w:rPr>
              <w:t xml:space="preserve"> </w:t>
            </w:r>
          </w:p>
        </w:tc>
      </w:tr>
    </w:tbl>
    <w:bookmarkEnd w:id="4"/>
    <w:p w14:paraId="17AB036C" w14:textId="35C8F448" w:rsidR="00091D2A" w:rsidRPr="00B87FAE" w:rsidRDefault="00091D2A" w:rsidP="006C554D">
      <w:pPr>
        <w:pStyle w:val="TableFigureFooter"/>
      </w:pPr>
      <w:r w:rsidRPr="00B87FAE">
        <w:t xml:space="preserve">Source: Compiled during the evaluation using Table 1.7, p12 of the </w:t>
      </w:r>
      <w:r w:rsidR="00F64408" w:rsidRPr="00B87FAE">
        <w:t>re</w:t>
      </w:r>
      <w:r w:rsidRPr="00B87FAE">
        <w:t xml:space="preserve">submission, Table 2.2, p19 of the </w:t>
      </w:r>
      <w:r w:rsidR="00F64408" w:rsidRPr="00B87FAE">
        <w:t>re</w:t>
      </w:r>
      <w:r w:rsidRPr="00B87FAE">
        <w:t xml:space="preserve">submission and Section 2 of the </w:t>
      </w:r>
      <w:r w:rsidR="00F64408" w:rsidRPr="00B87FAE">
        <w:t>re</w:t>
      </w:r>
      <w:r w:rsidRPr="00B87FAE">
        <w:t>submission.</w:t>
      </w:r>
    </w:p>
    <w:p w14:paraId="16AF1596" w14:textId="77777777" w:rsidR="00091D2A" w:rsidRPr="00B87FAE" w:rsidRDefault="00091D2A" w:rsidP="006C554D">
      <w:pPr>
        <w:pStyle w:val="TableFigureFooter"/>
      </w:pPr>
      <w:r w:rsidRPr="00B87FAE">
        <w:t xml:space="preserve">Abbreviations: 5-FU, 5-fluorouracil; FOLFIRINOX, fluorouracil, folinic acid, irinotecan, oxaliplatin; Gem, gemcitabine; Gem+NabP, gemcitabine plus nanoparticle albumin-bound paclitaxel; HRQoL, health-related quality of life; LV, Leucovorin (folinic acid); nal-IRI, nanoliposomal irinotecan; NabP, nanoparticle albumin-bound paclitaxel; NALIRIFOX, nanoliposomal irinotecan (nal-IRI) in combination with 5-fluorouracil, leucovorin/folinic acid, and oxaliplatin; ORR, objective response rate; OS, overall survival; PFS, progression-free survival. </w:t>
      </w:r>
    </w:p>
    <w:p w14:paraId="55DBDCAE" w14:textId="5A729669" w:rsidR="00091D2A" w:rsidRPr="00B87FAE" w:rsidRDefault="00091D2A" w:rsidP="006C554D">
      <w:pPr>
        <w:pStyle w:val="TableFigureFooter"/>
      </w:pPr>
      <w:r w:rsidRPr="00B87FAE">
        <w:rPr>
          <w:vertAlign w:val="superscript"/>
        </w:rPr>
        <w:t>a</w:t>
      </w:r>
      <w:r w:rsidRPr="00B87FAE">
        <w:t xml:space="preserve"> LV dose in NALIRIFOX has been changed from 400 mg/m</w:t>
      </w:r>
      <w:r w:rsidRPr="00B87FAE">
        <w:rPr>
          <w:vertAlign w:val="superscript"/>
        </w:rPr>
        <w:t>2</w:t>
      </w:r>
      <w:r w:rsidRPr="00B87FAE">
        <w:t xml:space="preserve"> to a flat dose of 50 mg from previous submission to reflect recommendations as per eviQ consensus statement. This dose differed from the dose used in the NAPOLI-3 trial (400</w:t>
      </w:r>
      <w:r w:rsidR="00AC1376" w:rsidRPr="00B87FAE">
        <w:t xml:space="preserve"> </w:t>
      </w:r>
      <w:r w:rsidRPr="00B87FAE">
        <w:t>mg/m</w:t>
      </w:r>
      <w:r w:rsidRPr="00B87FAE">
        <w:rPr>
          <w:vertAlign w:val="superscript"/>
        </w:rPr>
        <w:t>2</w:t>
      </w:r>
      <w:r w:rsidRPr="00B87FAE">
        <w:t>).</w:t>
      </w:r>
    </w:p>
    <w:p w14:paraId="6EADDA19" w14:textId="5CDD2139" w:rsidR="00091D2A" w:rsidRPr="00B87FAE" w:rsidRDefault="00091D2A" w:rsidP="006C554D">
      <w:pPr>
        <w:pStyle w:val="TableFigureFooter"/>
        <w:rPr>
          <w:rStyle w:val="CommentReference"/>
          <w:b w:val="0"/>
        </w:rPr>
      </w:pPr>
      <w:r w:rsidRPr="00B87FAE">
        <w:rPr>
          <w:shd w:val="clear" w:color="auto" w:fill="B8CCE4" w:themeFill="accent1" w:themeFillTint="66"/>
        </w:rPr>
        <w:t>Blue shading</w:t>
      </w:r>
      <w:r w:rsidRPr="00B87FAE">
        <w:t xml:space="preserve"> indicates information previously seen by the PBAC.</w:t>
      </w:r>
    </w:p>
    <w:p w14:paraId="1E94D796" w14:textId="77777777" w:rsidR="005C25FF" w:rsidRPr="00407F2D" w:rsidRDefault="005C25FF" w:rsidP="00552B0C">
      <w:pPr>
        <w:pStyle w:val="2-SectionHeading"/>
        <w:numPr>
          <w:ilvl w:val="0"/>
          <w:numId w:val="5"/>
        </w:numPr>
      </w:pPr>
      <w:bookmarkStart w:id="6" w:name="_Toc177546213"/>
      <w:r w:rsidRPr="00407F2D">
        <w:t>Background</w:t>
      </w:r>
      <w:bookmarkEnd w:id="6"/>
    </w:p>
    <w:p w14:paraId="4F1F5B8D" w14:textId="77777777" w:rsidR="005C25FF" w:rsidRPr="004151CF" w:rsidRDefault="005C25FF" w:rsidP="004A6040">
      <w:pPr>
        <w:pStyle w:val="4-SubsectionHeading"/>
      </w:pPr>
      <w:bookmarkStart w:id="7" w:name="_Toc22897638"/>
      <w:bookmarkStart w:id="8" w:name="_Toc177546214"/>
      <w:r w:rsidRPr="004151CF">
        <w:t>Registration status</w:t>
      </w:r>
      <w:bookmarkEnd w:id="7"/>
      <w:bookmarkEnd w:id="8"/>
    </w:p>
    <w:p w14:paraId="010803B2" w14:textId="75FBAFC3" w:rsidR="00091D2A" w:rsidRPr="00931EE0" w:rsidRDefault="00091D2A" w:rsidP="00931EE0">
      <w:pPr>
        <w:pStyle w:val="3-BodyText"/>
        <w:shd w:val="clear" w:color="auto" w:fill="FFFFFF" w:themeFill="background1"/>
      </w:pPr>
      <w:r w:rsidRPr="00931EE0">
        <w:rPr>
          <w:shd w:val="clear" w:color="auto" w:fill="FFFFFF" w:themeFill="background1"/>
        </w:rPr>
        <w:t xml:space="preserve">Nal-IRI is </w:t>
      </w:r>
      <w:r w:rsidRPr="006561D9">
        <w:rPr>
          <w:shd w:val="clear" w:color="auto" w:fill="FFFFFF" w:themeFill="background1"/>
        </w:rPr>
        <w:t>TGA registered</w:t>
      </w:r>
      <w:r w:rsidRPr="00931EE0">
        <w:rPr>
          <w:shd w:val="clear" w:color="auto" w:fill="FFFFFF" w:themeFill="background1"/>
        </w:rPr>
        <w:t xml:space="preserve"> as follows:</w:t>
      </w:r>
    </w:p>
    <w:p w14:paraId="2B82847B" w14:textId="60BFF990" w:rsidR="00091D2A" w:rsidRPr="00931EE0" w:rsidRDefault="00091D2A" w:rsidP="00552B0C">
      <w:pPr>
        <w:pStyle w:val="3-BodyText"/>
        <w:numPr>
          <w:ilvl w:val="0"/>
          <w:numId w:val="16"/>
        </w:numPr>
        <w:ind w:left="1134"/>
      </w:pPr>
      <w:r w:rsidRPr="00931EE0">
        <w:rPr>
          <w:shd w:val="clear" w:color="auto" w:fill="FFFFFF" w:themeFill="background1"/>
        </w:rPr>
        <w:t>in combination with oxaliplatin</w:t>
      </w:r>
      <w:r w:rsidRPr="008D318F">
        <w:t xml:space="preserve"> </w:t>
      </w:r>
      <w:r w:rsidRPr="00931EE0">
        <w:rPr>
          <w:shd w:val="clear" w:color="auto" w:fill="FFFFFF" w:themeFill="background1"/>
        </w:rPr>
        <w:t>and 5-fluorouracil (5-FU) and leucovorin (LV) for the first-line treatment of metastatic pancreatic adenocarcinoma.</w:t>
      </w:r>
    </w:p>
    <w:p w14:paraId="49211ABB" w14:textId="02F7751B" w:rsidR="00091D2A" w:rsidRPr="00931EE0" w:rsidRDefault="00091D2A" w:rsidP="00552B0C">
      <w:pPr>
        <w:pStyle w:val="3-BodyText"/>
        <w:numPr>
          <w:ilvl w:val="0"/>
          <w:numId w:val="16"/>
        </w:numPr>
        <w:shd w:val="clear" w:color="auto" w:fill="FFFFFF" w:themeFill="background1"/>
        <w:ind w:left="1134"/>
      </w:pPr>
      <w:r w:rsidRPr="00931EE0">
        <w:rPr>
          <w:shd w:val="clear" w:color="auto" w:fill="FFFFFF" w:themeFill="background1"/>
        </w:rPr>
        <w:t>in combination with 5-FU and LV for the treatment of metastatic pancreatic adenocarcinoma after disease progression following gemcitabine-based therapy.</w:t>
      </w:r>
    </w:p>
    <w:p w14:paraId="160B582F" w14:textId="3CDA99F3" w:rsidR="005C25FF" w:rsidRPr="00621ADA" w:rsidRDefault="005C25FF" w:rsidP="004E18E9">
      <w:pPr>
        <w:pStyle w:val="4-SubsectionHeading"/>
      </w:pPr>
      <w:bookmarkStart w:id="9" w:name="_Toc22897639"/>
      <w:bookmarkStart w:id="10" w:name="_Toc177546215"/>
      <w:r w:rsidRPr="00621ADA">
        <w:lastRenderedPageBreak/>
        <w:t>Previous PBAC consideration</w:t>
      </w:r>
      <w:bookmarkEnd w:id="9"/>
      <w:bookmarkEnd w:id="10"/>
    </w:p>
    <w:p w14:paraId="586CBC3C" w14:textId="020818D6" w:rsidR="00F512F6" w:rsidRPr="00F512F6" w:rsidRDefault="009A202A" w:rsidP="0086370A">
      <w:pPr>
        <w:pStyle w:val="3-BodyText"/>
        <w:numPr>
          <w:ilvl w:val="1"/>
          <w:numId w:val="5"/>
        </w:numPr>
        <w:shd w:val="clear" w:color="auto" w:fill="FFFFFF" w:themeFill="background1"/>
      </w:pPr>
      <w:bookmarkStart w:id="11" w:name="_Ref155715017"/>
      <w:r>
        <w:t xml:space="preserve">Nal-IRI was </w:t>
      </w:r>
      <w:r w:rsidRPr="000A3EA0">
        <w:t>previously considered for the proposed indication</w:t>
      </w:r>
      <w:r>
        <w:t xml:space="preserve"> in March 2024.</w:t>
      </w:r>
      <w:r w:rsidR="000E3819">
        <w:t xml:space="preserve"> </w:t>
      </w:r>
      <w:r>
        <w:t>The PBAC</w:t>
      </w:r>
      <w:r w:rsidRPr="000A3EA0">
        <w:t xml:space="preserve"> did not recommend listing on the basis that FOLFIRINOX was the relevant main comparator in the proposed population, rather than Gem+NabP as nominated by the submission.</w:t>
      </w:r>
      <w:r w:rsidR="000E3819">
        <w:t xml:space="preserve"> </w:t>
      </w:r>
      <w:r w:rsidRPr="000A3EA0">
        <w:t>The PBAC considered that the submission had not established superiority of NALIRIFOX to FOLFIRINOX. The PBAC considered there is a high clinical need for new effective treatments for pancreatic cancer, however the submission’s clinical claims were not supported by the clinical evidence (para 7.1, irinotecan (nanoliposomal</w:t>
      </w:r>
      <w:r w:rsidR="004427F1">
        <w:t>)</w:t>
      </w:r>
      <w:r w:rsidRPr="000A3EA0">
        <w:t xml:space="preserve">, </w:t>
      </w:r>
      <w:r w:rsidR="004427F1">
        <w:t>Public Summary Document [</w:t>
      </w:r>
      <w:r w:rsidRPr="000A3EA0">
        <w:t>PSD</w:t>
      </w:r>
      <w:r w:rsidR="004427F1">
        <w:t>]</w:t>
      </w:r>
      <w:r w:rsidRPr="000A3EA0">
        <w:t>, March 2024 PBAC meeting). The main PBAC concerns and how they were addressed in the resubmission are summarised in</w:t>
      </w:r>
      <w:r w:rsidR="00E229A7">
        <w:t xml:space="preserve"> the table below.</w:t>
      </w:r>
      <w:bookmarkEnd w:id="11"/>
    </w:p>
    <w:p w14:paraId="21EFD57F" w14:textId="6A9B5216" w:rsidR="005C25FF" w:rsidRDefault="00696EF9" w:rsidP="00091D2A">
      <w:pPr>
        <w:pStyle w:val="TableFigureHeading"/>
        <w:keepNext w:val="0"/>
        <w:widowControl w:val="0"/>
        <w:rPr>
          <w:rStyle w:val="CommentReference"/>
          <w:b/>
          <w:szCs w:val="24"/>
        </w:rPr>
      </w:pPr>
      <w:r>
        <w:t xml:space="preserve">Table </w:t>
      </w:r>
      <w:r w:rsidR="001C19B6">
        <w:fldChar w:fldCharType="begin" w:fldLock="1"/>
      </w:r>
      <w:r w:rsidR="001C19B6">
        <w:instrText xml:space="preserve"> SEQ Table \* ARABIC </w:instrText>
      </w:r>
      <w:r w:rsidR="001C19B6">
        <w:fldChar w:fldCharType="separate"/>
      </w:r>
      <w:r w:rsidR="001C19B6">
        <w:rPr>
          <w:noProof/>
        </w:rPr>
        <w:t>2</w:t>
      </w:r>
      <w:r w:rsidR="001C19B6">
        <w:rPr>
          <w:noProof/>
        </w:rPr>
        <w:fldChar w:fldCharType="end"/>
      </w:r>
      <w:r>
        <w:t>:</w:t>
      </w:r>
      <w:r w:rsidR="005C25FF" w:rsidRPr="000639E9">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414"/>
        <w:gridCol w:w="3684"/>
        <w:gridCol w:w="3919"/>
      </w:tblGrid>
      <w:tr w:rsidR="00091D2A" w:rsidRPr="00552B0C" w14:paraId="5E4C0FE7" w14:textId="77777777" w:rsidTr="75E1E867">
        <w:trPr>
          <w:tblHeader/>
        </w:trPr>
        <w:tc>
          <w:tcPr>
            <w:tcW w:w="784" w:type="pct"/>
            <w:vAlign w:val="center"/>
          </w:tcPr>
          <w:p w14:paraId="08DE333F" w14:textId="77777777" w:rsidR="00091D2A" w:rsidRPr="00552B0C" w:rsidRDefault="00091D2A" w:rsidP="00EF4C7A">
            <w:pPr>
              <w:pStyle w:val="In-tableHeading"/>
              <w:keepNext w:val="0"/>
            </w:pPr>
            <w:bookmarkStart w:id="12" w:name="_Hlk176271470"/>
            <w:r w:rsidRPr="00552B0C">
              <w:t>Component</w:t>
            </w:r>
          </w:p>
        </w:tc>
        <w:tc>
          <w:tcPr>
            <w:tcW w:w="2043" w:type="pct"/>
            <w:vAlign w:val="center"/>
          </w:tcPr>
          <w:p w14:paraId="4F609DA6" w14:textId="77777777" w:rsidR="00091D2A" w:rsidRPr="00552B0C" w:rsidRDefault="00091D2A">
            <w:pPr>
              <w:pStyle w:val="In-tableHeading"/>
            </w:pPr>
            <w:r w:rsidRPr="00552B0C">
              <w:t>Matter of concern</w:t>
            </w:r>
          </w:p>
        </w:tc>
        <w:tc>
          <w:tcPr>
            <w:tcW w:w="2173" w:type="pct"/>
            <w:vAlign w:val="center"/>
          </w:tcPr>
          <w:p w14:paraId="488CD820" w14:textId="1D48AEEA" w:rsidR="00091D2A" w:rsidRPr="00552B0C" w:rsidRDefault="00091D2A">
            <w:pPr>
              <w:pStyle w:val="In-tableHeading"/>
            </w:pPr>
            <w:r w:rsidRPr="00552B0C">
              <w:t>How the resubmission addresse</w:t>
            </w:r>
            <w:r w:rsidR="00950890" w:rsidRPr="00552B0C">
              <w:t>d</w:t>
            </w:r>
            <w:r w:rsidRPr="00552B0C">
              <w:t xml:space="preserve"> it</w:t>
            </w:r>
          </w:p>
        </w:tc>
      </w:tr>
      <w:tr w:rsidR="00091D2A" w:rsidRPr="00552B0C" w14:paraId="1D0B521C" w14:textId="77777777" w:rsidTr="75E1E867">
        <w:trPr>
          <w:trHeight w:val="178"/>
        </w:trPr>
        <w:tc>
          <w:tcPr>
            <w:tcW w:w="784" w:type="pct"/>
            <w:vMerge w:val="restart"/>
            <w:vAlign w:val="center"/>
          </w:tcPr>
          <w:p w14:paraId="270AE750" w14:textId="77777777" w:rsidR="00091D2A" w:rsidRPr="00552B0C" w:rsidRDefault="00091D2A">
            <w:pPr>
              <w:pStyle w:val="TableText0"/>
              <w:keepNext w:val="0"/>
              <w:widowControl w:val="0"/>
            </w:pPr>
            <w:r w:rsidRPr="00552B0C">
              <w:t>Restriction</w:t>
            </w:r>
          </w:p>
        </w:tc>
        <w:tc>
          <w:tcPr>
            <w:tcW w:w="2043" w:type="pct"/>
          </w:tcPr>
          <w:p w14:paraId="6858AC18" w14:textId="4288654B" w:rsidR="00091D2A" w:rsidRPr="00552B0C" w:rsidRDefault="00091D2A">
            <w:pPr>
              <w:pStyle w:val="TableText0"/>
              <w:keepNext w:val="0"/>
              <w:widowControl w:val="0"/>
            </w:pPr>
            <w:r w:rsidRPr="00552B0C">
              <w:t xml:space="preserve">The PBAC noted that </w:t>
            </w:r>
            <w:r w:rsidR="00950890" w:rsidRPr="00552B0C">
              <w:t xml:space="preserve">the </w:t>
            </w:r>
            <w:r w:rsidRPr="00552B0C">
              <w:t>proposed restriction, which permitted the use of NALIRIFOX in patients with an ECOG</w:t>
            </w:r>
            <w:r w:rsidR="003613A2" w:rsidRPr="00552B0C">
              <w:t xml:space="preserve"> </w:t>
            </w:r>
            <w:r w:rsidRPr="00552B0C">
              <w:t>PS score ≤ 2, was aligned with the PBS restriction for NabP. However, the PBAC considered that access should be limited to patients with ECOG PS 0</w:t>
            </w:r>
            <w:r w:rsidR="00950890" w:rsidRPr="00552B0C">
              <w:t> </w:t>
            </w:r>
            <w:r w:rsidRPr="00552B0C">
              <w:t xml:space="preserve">to 1, consistent with the clinical evidence supporting its use (the NAPOLI-3 trial), and consistent with clinical practice guidelines such as the NCCN guidelines </w:t>
            </w:r>
            <w:r w:rsidRPr="00552B0C">
              <w:rPr>
                <w:rFonts w:cs="Arial Narrow"/>
              </w:rPr>
              <w:t xml:space="preserve">(para 7.4, </w:t>
            </w:r>
            <w:r w:rsidRPr="00552B0C">
              <w:rPr>
                <w:rFonts w:eastAsia="Arial Narrow" w:cs="Arial Narrow"/>
                <w:szCs w:val="20"/>
              </w:rPr>
              <w:t xml:space="preserve">irinotecan (nanoliposomal), PSD, </w:t>
            </w:r>
            <w:r w:rsidRPr="00552B0C">
              <w:rPr>
                <w:rFonts w:cs="Arial Narrow"/>
              </w:rPr>
              <w:t>March 2024 PBAC meeting).</w:t>
            </w:r>
          </w:p>
        </w:tc>
        <w:tc>
          <w:tcPr>
            <w:tcW w:w="2173" w:type="pct"/>
          </w:tcPr>
          <w:p w14:paraId="2CCF123A" w14:textId="77777777" w:rsidR="00091D2A" w:rsidRPr="00552B0C" w:rsidRDefault="00091D2A">
            <w:pPr>
              <w:pStyle w:val="TableText0"/>
              <w:keepNext w:val="0"/>
              <w:widowControl w:val="0"/>
            </w:pPr>
            <w:r w:rsidRPr="00552B0C">
              <w:t>Addressed.</w:t>
            </w:r>
          </w:p>
          <w:p w14:paraId="1EFAF810" w14:textId="2950D15D" w:rsidR="00091D2A" w:rsidRPr="00552B0C" w:rsidRDefault="00091D2A">
            <w:pPr>
              <w:pStyle w:val="TableText0"/>
              <w:keepNext w:val="0"/>
              <w:widowControl w:val="0"/>
            </w:pPr>
            <w:r w:rsidRPr="00552B0C">
              <w:t xml:space="preserve">The proposed PBS restriction </w:t>
            </w:r>
            <w:r w:rsidR="006061F9">
              <w:t>was</w:t>
            </w:r>
            <w:r w:rsidRPr="00552B0C">
              <w:t xml:space="preserve"> amended to ECOG PS 0 to 1 to align with the NAPOLI-3 trial and clinical practice guidelines. </w:t>
            </w:r>
          </w:p>
        </w:tc>
      </w:tr>
      <w:tr w:rsidR="00091D2A" w:rsidRPr="00552B0C" w14:paraId="222D6789" w14:textId="77777777" w:rsidTr="75E1E867">
        <w:trPr>
          <w:cantSplit/>
        </w:trPr>
        <w:tc>
          <w:tcPr>
            <w:tcW w:w="784" w:type="pct"/>
            <w:vMerge/>
            <w:vAlign w:val="center"/>
          </w:tcPr>
          <w:p w14:paraId="5659BCE9" w14:textId="77777777" w:rsidR="00091D2A" w:rsidRPr="00552B0C" w:rsidRDefault="00091D2A">
            <w:pPr>
              <w:pStyle w:val="TableText0"/>
              <w:keepNext w:val="0"/>
              <w:widowControl w:val="0"/>
            </w:pPr>
          </w:p>
        </w:tc>
        <w:tc>
          <w:tcPr>
            <w:tcW w:w="2043" w:type="pct"/>
          </w:tcPr>
          <w:p w14:paraId="4BB10E16" w14:textId="3282F12C" w:rsidR="00091D2A" w:rsidRPr="00552B0C" w:rsidRDefault="00091D2A">
            <w:pPr>
              <w:pStyle w:val="TableText0"/>
              <w:keepNext w:val="0"/>
              <w:widowControl w:val="0"/>
            </w:pPr>
            <w:r w:rsidRPr="00552B0C">
              <w:t xml:space="preserve">The PBAC had previously determined that second-line use of nal-IRI was associated with an unacceptably high incremental cost for modest and uncertain incremental clinical benefit (para 2.4, </w:t>
            </w:r>
            <w:r w:rsidRPr="00552B0C">
              <w:rPr>
                <w:rFonts w:eastAsia="Arial Narrow" w:cs="Arial Narrow"/>
                <w:szCs w:val="20"/>
              </w:rPr>
              <w:t>irinotecan (nanoliposomal), PSD</w:t>
            </w:r>
            <w:r w:rsidRPr="00552B0C">
              <w:t>, March 2024 PBAC meeting).</w:t>
            </w:r>
            <w:r w:rsidR="008D0998">
              <w:t xml:space="preserve"> </w:t>
            </w:r>
            <w:r w:rsidR="00950890" w:rsidRPr="00552B0C">
              <w:t>The submission asked the PBAC to consider allowing sequential use by removing the criterion that limits use of these treatments (nal</w:t>
            </w:r>
            <w:r w:rsidR="00950890" w:rsidRPr="00552B0C">
              <w:noBreakHyphen/>
              <w:t>IRI and NabP) to the first line setting.</w:t>
            </w:r>
          </w:p>
        </w:tc>
        <w:tc>
          <w:tcPr>
            <w:tcW w:w="2173" w:type="pct"/>
          </w:tcPr>
          <w:p w14:paraId="62763ADB" w14:textId="548F5E68" w:rsidR="00091D2A" w:rsidRPr="00552B0C" w:rsidRDefault="00001316">
            <w:pPr>
              <w:pStyle w:val="TableText0"/>
              <w:keepNext w:val="0"/>
              <w:widowControl w:val="0"/>
            </w:pPr>
            <w:r w:rsidRPr="00552B0C">
              <w:t>Not a</w:t>
            </w:r>
            <w:r w:rsidR="00091D2A" w:rsidRPr="00552B0C">
              <w:t>ddressed.</w:t>
            </w:r>
          </w:p>
          <w:p w14:paraId="3F145592" w14:textId="33A33BB4" w:rsidR="005052DE" w:rsidRPr="00552B0C" w:rsidRDefault="00091D2A">
            <w:pPr>
              <w:pStyle w:val="TableText0"/>
              <w:keepNext w:val="0"/>
              <w:widowControl w:val="0"/>
            </w:pPr>
            <w:r w:rsidRPr="00552B0C">
              <w:t>The resubmission proposed to limit the use of nal</w:t>
            </w:r>
            <w:r w:rsidR="00950890" w:rsidRPr="00552B0C">
              <w:noBreakHyphen/>
            </w:r>
            <w:r w:rsidRPr="00552B0C">
              <w:t>IRI to patients who have not been treated previously with PBS-subsidised therapy (i.e. first-line setting).</w:t>
            </w:r>
            <w:r w:rsidR="007772DC" w:rsidRPr="00552B0C">
              <w:t xml:space="preserve"> </w:t>
            </w:r>
          </w:p>
          <w:p w14:paraId="5578FD99" w14:textId="77777777" w:rsidR="005052DE" w:rsidRPr="00552B0C" w:rsidRDefault="005052DE">
            <w:pPr>
              <w:pStyle w:val="TableText0"/>
              <w:keepNext w:val="0"/>
              <w:widowControl w:val="0"/>
            </w:pPr>
          </w:p>
          <w:p w14:paraId="6CBCCDBB" w14:textId="340C51BE" w:rsidR="00091D2A" w:rsidRPr="00552B0C" w:rsidRDefault="007772DC">
            <w:pPr>
              <w:pStyle w:val="TableText0"/>
              <w:keepNext w:val="0"/>
              <w:widowControl w:val="0"/>
            </w:pPr>
            <w:r w:rsidRPr="00552B0C">
              <w:t>The issue remains</w:t>
            </w:r>
            <w:r w:rsidR="00FF1AF2" w:rsidRPr="00552B0C">
              <w:t xml:space="preserve"> that if NALIRIFOX is recommended for first line (and as Gem+NabP is listed for first line only) – then it means a patient may only receive only one option or the other.</w:t>
            </w:r>
            <w:r w:rsidR="000E3819">
              <w:t xml:space="preserve"> </w:t>
            </w:r>
            <w:r w:rsidR="00320D40" w:rsidRPr="00320D40">
              <w:t>The Pre-Sub-Committee Response (PSCR, pg. 1) reiterated the original submission proposed that patients should be able to switch regimens if clinically appropriate</w:t>
            </w:r>
            <w:r w:rsidR="00320D40">
              <w:t xml:space="preserve">. </w:t>
            </w:r>
          </w:p>
        </w:tc>
      </w:tr>
      <w:tr w:rsidR="00091D2A" w:rsidRPr="00552B0C" w14:paraId="4D81C36D" w14:textId="77777777" w:rsidTr="75E1E867">
        <w:tc>
          <w:tcPr>
            <w:tcW w:w="784" w:type="pct"/>
            <w:vAlign w:val="center"/>
          </w:tcPr>
          <w:p w14:paraId="42E9BC20" w14:textId="77777777" w:rsidR="00091D2A" w:rsidRPr="00552B0C" w:rsidRDefault="00091D2A">
            <w:pPr>
              <w:pStyle w:val="TableText0"/>
              <w:keepNext w:val="0"/>
              <w:widowControl w:val="0"/>
            </w:pPr>
            <w:r w:rsidRPr="00552B0C">
              <w:t>Comparator</w:t>
            </w:r>
          </w:p>
        </w:tc>
        <w:tc>
          <w:tcPr>
            <w:tcW w:w="2043" w:type="pct"/>
          </w:tcPr>
          <w:p w14:paraId="1BE2EACC" w14:textId="2F5B9DAA" w:rsidR="00091D2A" w:rsidRPr="00552B0C" w:rsidRDefault="00091D2A">
            <w:pPr>
              <w:jc w:val="left"/>
              <w:rPr>
                <w:rFonts w:ascii="Arial Narrow" w:eastAsia="Arial Narrow" w:hAnsi="Arial Narrow" w:cs="Arial Narrow"/>
                <w:sz w:val="20"/>
                <w:szCs w:val="20"/>
              </w:rPr>
            </w:pPr>
            <w:r w:rsidRPr="00552B0C">
              <w:rPr>
                <w:rFonts w:ascii="Arial Narrow" w:eastAsia="Arial Narrow" w:hAnsi="Arial Narrow" w:cs="Arial Narrow"/>
                <w:sz w:val="20"/>
                <w:szCs w:val="20"/>
              </w:rPr>
              <w:t xml:space="preserve">The PBAC considered that the submission’s nomination of Gem+NabP as main comparator was inappropriate, because the population in which NALIRIFOX will be used is closer to the population treated with FOLFIRINOX (para 7.6, irinotecan (nanoliposomal), PSD, March 2024 PBAC meeting). The PBAC noted that characteristics of this population may include younger age and good performance status (ECOG PS 0 to 1). The PBAC considered that FOLFIRINOX was the appropriate main comparator for NALIRIFOX for the proposed </w:t>
            </w:r>
            <w:r w:rsidRPr="00552B0C">
              <w:rPr>
                <w:rFonts w:ascii="Arial Narrow" w:eastAsia="Arial Narrow" w:hAnsi="Arial Narrow" w:cs="Arial Narrow"/>
                <w:sz w:val="20"/>
                <w:szCs w:val="20"/>
              </w:rPr>
              <w:lastRenderedPageBreak/>
              <w:t>listing (para 7.6, irinotecan (nanoliposomal), PSD, March 2024 PBAC meeting).</w:t>
            </w:r>
          </w:p>
          <w:p w14:paraId="6B565F69" w14:textId="77777777" w:rsidR="00091D2A" w:rsidRPr="00552B0C" w:rsidRDefault="00091D2A">
            <w:pPr>
              <w:jc w:val="left"/>
              <w:rPr>
                <w:rFonts w:ascii="Arial Narrow" w:eastAsia="Arial Narrow" w:hAnsi="Arial Narrow" w:cs="Arial Narrow"/>
                <w:sz w:val="20"/>
                <w:szCs w:val="20"/>
              </w:rPr>
            </w:pPr>
          </w:p>
          <w:p w14:paraId="21CE08E1" w14:textId="78829CFE" w:rsidR="00091D2A" w:rsidRPr="00552B0C" w:rsidRDefault="00091D2A" w:rsidP="005D3CD1">
            <w:pPr>
              <w:jc w:val="left"/>
            </w:pPr>
            <w:r w:rsidRPr="00552B0C">
              <w:rPr>
                <w:rFonts w:ascii="Arial Narrow" w:eastAsia="Arial Narrow" w:hAnsi="Arial Narrow" w:cs="Arial Narrow"/>
                <w:sz w:val="20"/>
                <w:szCs w:val="20"/>
              </w:rPr>
              <w:t>While the submission proposed that NALIRIFOX would become the preferred first line treatment option for patients that are currently treated with Gem+NabP for mPAC, the PBAC considered that many of the Gem+NabP patients would not be suitable for treatment with NALIRIFOX, due to its toxicity profile, which is more similar to that of FOLFIRINOX than Gem+NabP (para 7.5, irinotecan (nanoliposomal), PSD, March 2024 PBAC meeting).</w:t>
            </w:r>
          </w:p>
        </w:tc>
        <w:tc>
          <w:tcPr>
            <w:tcW w:w="2173" w:type="pct"/>
          </w:tcPr>
          <w:p w14:paraId="78377215" w14:textId="192F310B" w:rsidR="00091D2A" w:rsidRPr="00552B0C" w:rsidRDefault="00091D2A">
            <w:pPr>
              <w:widowControl w:val="0"/>
              <w:rPr>
                <w:rFonts w:ascii="Arial Narrow" w:eastAsia="Arial Narrow" w:hAnsi="Arial Narrow" w:cs="Arial Narrow"/>
                <w:sz w:val="20"/>
                <w:szCs w:val="20"/>
              </w:rPr>
            </w:pPr>
            <w:r w:rsidRPr="00552B0C">
              <w:rPr>
                <w:rFonts w:ascii="Arial Narrow" w:eastAsia="Arial Narrow" w:hAnsi="Arial Narrow" w:cs="Arial Narrow"/>
                <w:sz w:val="20"/>
                <w:szCs w:val="20"/>
              </w:rPr>
              <w:lastRenderedPageBreak/>
              <w:t>Not addressed.</w:t>
            </w:r>
          </w:p>
          <w:p w14:paraId="4C59622B" w14:textId="77777777" w:rsidR="000414E4" w:rsidRPr="00552B0C" w:rsidRDefault="000414E4" w:rsidP="0000468D">
            <w:pPr>
              <w:rPr>
                <w:rFonts w:ascii="Arial Narrow" w:eastAsia="Arial Narrow" w:hAnsi="Arial Narrow" w:cs="Arial Narrow"/>
                <w:sz w:val="20"/>
                <w:szCs w:val="20"/>
              </w:rPr>
            </w:pPr>
          </w:p>
          <w:p w14:paraId="5EB12914" w14:textId="6F2EABDD" w:rsidR="002F16D3" w:rsidRPr="00552B0C" w:rsidRDefault="00091D2A" w:rsidP="00663BA4">
            <w:pPr>
              <w:jc w:val="left"/>
              <w:rPr>
                <w:rFonts w:ascii="Arial Narrow" w:hAnsi="Arial Narrow"/>
                <w:sz w:val="20"/>
                <w:szCs w:val="20"/>
              </w:rPr>
            </w:pPr>
            <w:r w:rsidRPr="00552B0C">
              <w:rPr>
                <w:rFonts w:ascii="Arial Narrow" w:eastAsia="Arial Narrow" w:hAnsi="Arial Narrow"/>
                <w:sz w:val="20"/>
                <w:szCs w:val="20"/>
              </w:rPr>
              <w:t xml:space="preserve">The resubmission presented a mixed comparator of Gem+NabP (75%): FOLFIRINOX (25%). </w:t>
            </w:r>
            <w:r w:rsidR="0000468D" w:rsidRPr="00552B0C">
              <w:rPr>
                <w:rFonts w:ascii="Arial Narrow" w:hAnsi="Arial Narrow"/>
                <w:sz w:val="20"/>
                <w:szCs w:val="20"/>
              </w:rPr>
              <w:t xml:space="preserve">This was based on estimates of the market share of these regimens as first line treatments for patients with mPAC and an ECOG-PS 0-1 in Australia using data from the PURPLE registry (85.1% Gem+NabP and 14.9% FOLFIRINOX) and assumptions that NALIRIFOX would substitute for up to </w:t>
            </w:r>
            <w:r w:rsidR="005F3BC8" w:rsidRPr="00F73F98">
              <w:rPr>
                <w:rFonts w:ascii="Arial Narrow" w:hAnsi="Arial Narrow"/>
                <w:color w:val="000000"/>
                <w:spacing w:val="54"/>
                <w:sz w:val="20"/>
                <w:szCs w:val="20"/>
                <w:shd w:val="solid" w:color="000000" w:fill="000000"/>
                <w:fitText w:val="333" w:id="-760998144"/>
                <w14:textFill>
                  <w14:solidFill>
                    <w14:srgbClr w14:val="000000">
                      <w14:alpha w14:val="100000"/>
                    </w14:srgbClr>
                  </w14:solidFill>
                </w14:textFill>
              </w:rPr>
              <w:t>|||</w:t>
            </w:r>
            <w:r w:rsidR="005F3BC8" w:rsidRPr="00F73F98">
              <w:rPr>
                <w:rFonts w:ascii="Arial Narrow" w:hAnsi="Arial Narrow"/>
                <w:color w:val="000000"/>
                <w:spacing w:val="1"/>
                <w:sz w:val="20"/>
                <w:szCs w:val="20"/>
                <w:shd w:val="solid" w:color="000000" w:fill="000000"/>
                <w:fitText w:val="333" w:id="-760998144"/>
                <w14:textFill>
                  <w14:solidFill>
                    <w14:srgbClr w14:val="000000">
                      <w14:alpha w14:val="100000"/>
                    </w14:srgbClr>
                  </w14:solidFill>
                </w14:textFill>
              </w:rPr>
              <w:t>|</w:t>
            </w:r>
            <w:r w:rsidR="0000468D" w:rsidRPr="00552B0C">
              <w:rPr>
                <w:rFonts w:ascii="Arial Narrow" w:hAnsi="Arial Narrow"/>
                <w:sz w:val="20"/>
                <w:szCs w:val="20"/>
              </w:rPr>
              <w:t xml:space="preserve">% of patients treated with Gem+NabP and up to </w:t>
            </w:r>
            <w:r w:rsidR="005F3BC8" w:rsidRPr="00FC0E6B">
              <w:rPr>
                <w:rFonts w:ascii="Arial Narrow" w:hAnsi="Arial Narrow"/>
                <w:color w:val="000000"/>
                <w:spacing w:val="54"/>
                <w:sz w:val="20"/>
                <w:szCs w:val="20"/>
                <w:shd w:val="solid" w:color="000000" w:fill="000000"/>
                <w:fitText w:val="333" w:id="-760998143"/>
                <w14:textFill>
                  <w14:solidFill>
                    <w14:srgbClr w14:val="000000">
                      <w14:alpha w14:val="100000"/>
                    </w14:srgbClr>
                  </w14:solidFill>
                </w14:textFill>
              </w:rPr>
              <w:t>|||</w:t>
            </w:r>
            <w:r w:rsidR="005F3BC8" w:rsidRPr="00FC0E6B">
              <w:rPr>
                <w:rFonts w:ascii="Arial Narrow" w:hAnsi="Arial Narrow"/>
                <w:color w:val="000000"/>
                <w:spacing w:val="1"/>
                <w:sz w:val="20"/>
                <w:szCs w:val="20"/>
                <w:shd w:val="solid" w:color="000000" w:fill="000000"/>
                <w:fitText w:val="333" w:id="-760998143"/>
                <w14:textFill>
                  <w14:solidFill>
                    <w14:srgbClr w14:val="000000">
                      <w14:alpha w14:val="100000"/>
                    </w14:srgbClr>
                  </w14:solidFill>
                </w14:textFill>
              </w:rPr>
              <w:t>|</w:t>
            </w:r>
            <w:r w:rsidR="0000468D" w:rsidRPr="00552B0C">
              <w:rPr>
                <w:rFonts w:ascii="Arial Narrow" w:hAnsi="Arial Narrow"/>
                <w:sz w:val="20"/>
                <w:szCs w:val="20"/>
              </w:rPr>
              <w:t xml:space="preserve">% of patients treated with </w:t>
            </w:r>
            <w:r w:rsidR="0000468D" w:rsidRPr="00552B0C">
              <w:rPr>
                <w:rFonts w:ascii="Arial Narrow" w:hAnsi="Arial Narrow"/>
                <w:sz w:val="20"/>
                <w:szCs w:val="20"/>
              </w:rPr>
              <w:lastRenderedPageBreak/>
              <w:t>FOLFIRINOX.</w:t>
            </w:r>
            <w:r w:rsidR="00661C74" w:rsidRPr="00552B0C">
              <w:rPr>
                <w:rFonts w:ascii="Arial Narrow" w:hAnsi="Arial Narrow"/>
                <w:sz w:val="20"/>
                <w:szCs w:val="20"/>
              </w:rPr>
              <w:t xml:space="preserve"> </w:t>
            </w:r>
            <w:r w:rsidR="000414E4" w:rsidRPr="00552B0C">
              <w:rPr>
                <w:rFonts w:ascii="Arial Narrow" w:hAnsi="Arial Narrow"/>
                <w:sz w:val="20"/>
                <w:szCs w:val="20"/>
              </w:rPr>
              <w:t xml:space="preserve">This approach is inconsistent with the previous view expressed by the PBAC at its March 2024 meeting. </w:t>
            </w:r>
            <w:r w:rsidR="002F16D3" w:rsidRPr="00552B0C">
              <w:rPr>
                <w:rFonts w:ascii="Arial Narrow" w:hAnsi="Arial Narrow"/>
                <w:sz w:val="20"/>
                <w:szCs w:val="20"/>
              </w:rPr>
              <w:t xml:space="preserve">The ESC considered FOLFIRINOX to be the appropriate </w:t>
            </w:r>
            <w:r w:rsidR="005410B8" w:rsidRPr="00552B0C">
              <w:rPr>
                <w:rFonts w:ascii="Arial Narrow" w:hAnsi="Arial Narrow"/>
                <w:sz w:val="20"/>
                <w:szCs w:val="20"/>
              </w:rPr>
              <w:t>main</w:t>
            </w:r>
            <w:r w:rsidR="002F16D3" w:rsidRPr="00552B0C">
              <w:rPr>
                <w:rFonts w:ascii="Arial Narrow" w:hAnsi="Arial Narrow"/>
                <w:sz w:val="20"/>
                <w:szCs w:val="20"/>
              </w:rPr>
              <w:t xml:space="preserve"> comparator</w:t>
            </w:r>
            <w:r w:rsidR="00C55258" w:rsidRPr="00552B0C">
              <w:rPr>
                <w:rFonts w:ascii="Arial Narrow" w:hAnsi="Arial Narrow"/>
                <w:sz w:val="20"/>
                <w:szCs w:val="20"/>
              </w:rPr>
              <w:t xml:space="preserve"> consistent with the prior advice of the PBAC</w:t>
            </w:r>
            <w:r w:rsidR="006061F9">
              <w:rPr>
                <w:rFonts w:ascii="Arial Narrow" w:hAnsi="Arial Narrow"/>
                <w:sz w:val="20"/>
                <w:szCs w:val="20"/>
              </w:rPr>
              <w:t>.</w:t>
            </w:r>
            <w:r w:rsidR="002F16D3" w:rsidRPr="00552B0C">
              <w:rPr>
                <w:rFonts w:ascii="Arial Narrow" w:hAnsi="Arial Narrow"/>
                <w:sz w:val="20"/>
                <w:szCs w:val="20"/>
              </w:rPr>
              <w:t xml:space="preserve"> </w:t>
            </w:r>
          </w:p>
        </w:tc>
      </w:tr>
      <w:tr w:rsidR="00091D2A" w:rsidRPr="00552B0C" w14:paraId="765EE511" w14:textId="77777777" w:rsidTr="75E1E867">
        <w:tc>
          <w:tcPr>
            <w:tcW w:w="784" w:type="pct"/>
            <w:vAlign w:val="center"/>
          </w:tcPr>
          <w:p w14:paraId="0632FA4D" w14:textId="77777777" w:rsidR="00091D2A" w:rsidRPr="00552B0C" w:rsidRDefault="00091D2A">
            <w:pPr>
              <w:pStyle w:val="TableText0"/>
              <w:keepNext w:val="0"/>
              <w:widowControl w:val="0"/>
            </w:pPr>
            <w:r w:rsidRPr="00552B0C">
              <w:lastRenderedPageBreak/>
              <w:t>Comparative effectiveness of NALIRIFOX vs Gem+NabP</w:t>
            </w:r>
          </w:p>
        </w:tc>
        <w:tc>
          <w:tcPr>
            <w:tcW w:w="2043" w:type="pct"/>
          </w:tcPr>
          <w:p w14:paraId="0BCE363B" w14:textId="21C5FA55" w:rsidR="00091D2A" w:rsidRPr="00552B0C" w:rsidRDefault="00091D2A">
            <w:pPr>
              <w:pStyle w:val="TableText0"/>
              <w:keepNext w:val="0"/>
              <w:widowControl w:val="0"/>
            </w:pPr>
            <w:r w:rsidRPr="00552B0C">
              <w:rPr>
                <w:rFonts w:eastAsia="Arial Narrow" w:cs="Arial Narrow"/>
                <w:szCs w:val="20"/>
              </w:rPr>
              <w:t xml:space="preserve">The PBAC considered the clinical claim of superior effectiveness of NALIRIFOX over Gem+NabP was supported by the data, although the magnitude was small and may not be clinically meaningful (para 7.8, irinotecan, PBAC </w:t>
            </w:r>
            <w:r w:rsidR="008565D9">
              <w:rPr>
                <w:rFonts w:eastAsia="Arial Narrow" w:cs="Arial Narrow"/>
                <w:szCs w:val="20"/>
              </w:rPr>
              <w:t>PSD</w:t>
            </w:r>
            <w:r w:rsidRPr="00552B0C">
              <w:rPr>
                <w:rFonts w:eastAsia="Arial Narrow" w:cs="Arial Narrow"/>
                <w:szCs w:val="20"/>
              </w:rPr>
              <w:t xml:space="preserve">, March 2024 PBAC meeting). </w:t>
            </w:r>
          </w:p>
        </w:tc>
        <w:tc>
          <w:tcPr>
            <w:tcW w:w="2173" w:type="pct"/>
          </w:tcPr>
          <w:p w14:paraId="01033DBE" w14:textId="77777777" w:rsidR="00091D2A" w:rsidRPr="00552B0C" w:rsidRDefault="00091D2A">
            <w:pPr>
              <w:widowControl w:val="0"/>
              <w:rPr>
                <w:rFonts w:ascii="Arial Narrow" w:eastAsia="Arial Narrow" w:hAnsi="Arial Narrow" w:cs="Arial Narrow"/>
                <w:sz w:val="20"/>
                <w:szCs w:val="20"/>
              </w:rPr>
            </w:pPr>
            <w:r w:rsidRPr="00552B0C">
              <w:rPr>
                <w:rFonts w:ascii="Arial Narrow" w:eastAsia="Arial Narrow" w:hAnsi="Arial Narrow" w:cs="Arial Narrow"/>
                <w:sz w:val="20"/>
                <w:szCs w:val="20"/>
              </w:rPr>
              <w:t>Not adequately addressed.</w:t>
            </w:r>
          </w:p>
          <w:p w14:paraId="6FE6E770" w14:textId="14E8B8F5" w:rsidR="00C30050" w:rsidRPr="00552B0C" w:rsidRDefault="00091D2A" w:rsidP="008E7162">
            <w:pPr>
              <w:jc w:val="left"/>
              <w:rPr>
                <w:rFonts w:eastAsia="Arial Narrow" w:cs="Arial Narrow"/>
                <w:szCs w:val="20"/>
              </w:rPr>
            </w:pPr>
            <w:r w:rsidRPr="00552B0C">
              <w:rPr>
                <w:rFonts w:ascii="Arial Narrow" w:eastAsia="Arial Narrow" w:hAnsi="Arial Narrow" w:cs="Arial Narrow"/>
                <w:sz w:val="20"/>
                <w:szCs w:val="20"/>
              </w:rPr>
              <w:t>The resubmission provided additional OS outcome data from the NAPOLI-3 trial with a longer follow up period (29 months vs 16 months from previous submission</w:t>
            </w:r>
            <w:r w:rsidRPr="00552B0C">
              <w:rPr>
                <w:rStyle w:val="TabletextChar"/>
                <w:rFonts w:eastAsia="Arial Narrow"/>
                <w:sz w:val="20"/>
                <w:szCs w:val="20"/>
              </w:rPr>
              <w:t>).</w:t>
            </w:r>
            <w:r w:rsidR="000E3819">
              <w:rPr>
                <w:rStyle w:val="TabletextChar"/>
                <w:rFonts w:eastAsia="Arial Narrow"/>
                <w:sz w:val="20"/>
                <w:szCs w:val="20"/>
              </w:rPr>
              <w:t xml:space="preserve"> </w:t>
            </w:r>
            <w:r w:rsidR="004368D4" w:rsidRPr="00552B0C">
              <w:rPr>
                <w:rStyle w:val="TabletextChar"/>
                <w:rFonts w:eastAsia="Arial Narrow"/>
                <w:sz w:val="20"/>
                <w:szCs w:val="20"/>
              </w:rPr>
              <w:t>H</w:t>
            </w:r>
            <w:r w:rsidR="00C469C5" w:rsidRPr="00552B0C">
              <w:rPr>
                <w:rStyle w:val="TabletextChar"/>
                <w:rFonts w:eastAsia="Arial Narrow"/>
                <w:sz w:val="20"/>
                <w:szCs w:val="20"/>
              </w:rPr>
              <w:t>owever</w:t>
            </w:r>
            <w:r w:rsidR="00C469C5" w:rsidRPr="00552B0C">
              <w:rPr>
                <w:rFonts w:ascii="Arial Narrow" w:eastAsia="Arial Narrow" w:hAnsi="Arial Narrow" w:cs="Arial Narrow"/>
                <w:sz w:val="20"/>
                <w:szCs w:val="20"/>
              </w:rPr>
              <w:t>, the results were very similar to those presented in the March 2024 submission (Hazard ratio [HR]= 0.84 [95% CI 0.72, 0.98], compared to HR=0.83 [95% CI 0.70-0.99] in the March 2024 submission; the reported median increase in OS of 1.9 months in the NALIRIFOX arm</w:t>
            </w:r>
            <w:r w:rsidR="001F5CAE" w:rsidRPr="00552B0C">
              <w:rPr>
                <w:rFonts w:ascii="Arial Narrow" w:eastAsia="Arial Narrow" w:hAnsi="Arial Narrow" w:cs="Arial Narrow"/>
                <w:sz w:val="20"/>
                <w:szCs w:val="20"/>
              </w:rPr>
              <w:t xml:space="preserve"> did not </w:t>
            </w:r>
            <w:r w:rsidR="00881C04" w:rsidRPr="00552B0C">
              <w:rPr>
                <w:rFonts w:ascii="Arial Narrow" w:eastAsia="Arial Narrow" w:hAnsi="Arial Narrow" w:cs="Arial Narrow"/>
                <w:sz w:val="20"/>
                <w:szCs w:val="20"/>
              </w:rPr>
              <w:t xml:space="preserve">change </w:t>
            </w:r>
            <w:r w:rsidR="00C469C5" w:rsidRPr="00552B0C">
              <w:rPr>
                <w:rFonts w:ascii="Arial Narrow" w:eastAsia="Arial Narrow" w:hAnsi="Arial Narrow" w:cs="Arial Narrow"/>
                <w:sz w:val="20"/>
                <w:szCs w:val="20"/>
              </w:rPr>
              <w:t>between submissions)</w:t>
            </w:r>
            <w:r w:rsidR="007F2D9B" w:rsidRPr="00552B0C">
              <w:rPr>
                <w:rFonts w:ascii="Arial Narrow" w:eastAsia="Arial Narrow" w:hAnsi="Arial Narrow" w:cs="Arial Narrow"/>
                <w:sz w:val="20"/>
                <w:szCs w:val="20"/>
              </w:rPr>
              <w:t>.</w:t>
            </w:r>
            <w:r w:rsidR="00C30050" w:rsidRPr="00552B0C">
              <w:rPr>
                <w:rFonts w:ascii="Arial Narrow" w:eastAsia="Arial Narrow" w:hAnsi="Arial Narrow" w:cs="Arial Narrow"/>
                <w:sz w:val="20"/>
                <w:szCs w:val="20"/>
              </w:rPr>
              <w:t xml:space="preserve"> </w:t>
            </w:r>
          </w:p>
          <w:p w14:paraId="49D1AE6C" w14:textId="4F21DD65" w:rsidR="00091D2A" w:rsidRPr="00552B0C" w:rsidRDefault="00091D2A">
            <w:pPr>
              <w:widowControl w:val="0"/>
              <w:jc w:val="left"/>
            </w:pPr>
          </w:p>
          <w:p w14:paraId="34BA9E7D" w14:textId="376E0930" w:rsidR="00091D2A" w:rsidRPr="00552B0C" w:rsidRDefault="00DB5CDA" w:rsidP="00CC3BA5">
            <w:pPr>
              <w:widowControl w:val="0"/>
              <w:jc w:val="left"/>
            </w:pPr>
            <w:r w:rsidRPr="00552B0C">
              <w:rPr>
                <w:rFonts w:ascii="Arial Narrow" w:eastAsia="Arial Narrow" w:hAnsi="Arial Narrow" w:cs="Arial Narrow"/>
                <w:sz w:val="20"/>
                <w:szCs w:val="20"/>
              </w:rPr>
              <w:t>C</w:t>
            </w:r>
            <w:r w:rsidR="00E3474C" w:rsidRPr="00552B0C">
              <w:rPr>
                <w:rFonts w:ascii="Arial Narrow" w:eastAsia="Arial Narrow" w:hAnsi="Arial Narrow" w:cs="Arial Narrow"/>
                <w:sz w:val="20"/>
                <w:szCs w:val="20"/>
              </w:rPr>
              <w:t>halleng</w:t>
            </w:r>
            <w:r w:rsidRPr="00552B0C">
              <w:rPr>
                <w:rFonts w:ascii="Arial Narrow" w:eastAsia="Arial Narrow" w:hAnsi="Arial Narrow" w:cs="Arial Narrow"/>
                <w:sz w:val="20"/>
                <w:szCs w:val="20"/>
              </w:rPr>
              <w:t>ing</w:t>
            </w:r>
            <w:r w:rsidR="00E3474C" w:rsidRPr="00552B0C">
              <w:rPr>
                <w:rFonts w:ascii="Arial Narrow" w:eastAsia="Arial Narrow" w:hAnsi="Arial Narrow" w:cs="Arial Narrow"/>
                <w:sz w:val="20"/>
                <w:szCs w:val="20"/>
              </w:rPr>
              <w:t xml:space="preserve"> the </w:t>
            </w:r>
            <w:r w:rsidR="00C20F13" w:rsidRPr="00552B0C">
              <w:rPr>
                <w:rFonts w:ascii="Arial Narrow" w:eastAsia="Arial Narrow" w:hAnsi="Arial Narrow" w:cs="Arial Narrow"/>
                <w:sz w:val="20"/>
                <w:szCs w:val="20"/>
              </w:rPr>
              <w:t>PBAC</w:t>
            </w:r>
            <w:r w:rsidR="00661C74" w:rsidRPr="00552B0C">
              <w:rPr>
                <w:rFonts w:ascii="Arial Narrow" w:eastAsia="Arial Narrow" w:hAnsi="Arial Narrow" w:cs="Arial Narrow"/>
                <w:sz w:val="20"/>
                <w:szCs w:val="20"/>
              </w:rPr>
              <w:t>’</w:t>
            </w:r>
            <w:r w:rsidR="00C20F13" w:rsidRPr="00552B0C">
              <w:rPr>
                <w:rFonts w:ascii="Arial Narrow" w:eastAsia="Arial Narrow" w:hAnsi="Arial Narrow" w:cs="Arial Narrow"/>
                <w:sz w:val="20"/>
                <w:szCs w:val="20"/>
              </w:rPr>
              <w:t xml:space="preserve">s previous consideration that the </w:t>
            </w:r>
            <w:r w:rsidR="00C64CAB" w:rsidRPr="00552B0C">
              <w:rPr>
                <w:rFonts w:ascii="Arial Narrow" w:eastAsia="Arial Narrow" w:hAnsi="Arial Narrow" w:cs="Arial Narrow"/>
                <w:sz w:val="20"/>
                <w:szCs w:val="20"/>
              </w:rPr>
              <w:t>improvement in OS of</w:t>
            </w:r>
            <w:r w:rsidR="00A82BCE" w:rsidRPr="00552B0C">
              <w:rPr>
                <w:rFonts w:ascii="Arial Narrow" w:eastAsia="Arial Narrow" w:hAnsi="Arial Narrow" w:cs="Arial Narrow"/>
                <w:sz w:val="20"/>
                <w:szCs w:val="20"/>
              </w:rPr>
              <w:t xml:space="preserve"> NALIRIFOX vs </w:t>
            </w:r>
            <w:r w:rsidR="00050E7E" w:rsidRPr="00552B0C">
              <w:rPr>
                <w:rFonts w:ascii="Arial Narrow" w:eastAsia="Arial Narrow" w:hAnsi="Arial Narrow" w:cs="Arial Narrow"/>
                <w:sz w:val="20"/>
                <w:szCs w:val="20"/>
              </w:rPr>
              <w:t>Gem+NabP</w:t>
            </w:r>
            <w:r w:rsidR="00A82BCE" w:rsidRPr="00552B0C">
              <w:rPr>
                <w:rFonts w:ascii="Arial Narrow" w:eastAsia="Arial Narrow" w:hAnsi="Arial Narrow" w:cs="Arial Narrow"/>
                <w:sz w:val="20"/>
                <w:szCs w:val="20"/>
              </w:rPr>
              <w:t xml:space="preserve"> may not be clinically meaningful, t</w:t>
            </w:r>
            <w:r w:rsidR="00091D2A" w:rsidRPr="00552B0C">
              <w:rPr>
                <w:rFonts w:ascii="Arial Narrow" w:eastAsia="Arial Narrow" w:hAnsi="Arial Narrow" w:cs="Arial Narrow"/>
                <w:sz w:val="20"/>
                <w:szCs w:val="20"/>
              </w:rPr>
              <w:t>he resubmission argued that</w:t>
            </w:r>
            <w:r w:rsidR="00882DBC" w:rsidRPr="00552B0C">
              <w:rPr>
                <w:rFonts w:ascii="Arial Narrow" w:eastAsia="Arial Narrow" w:hAnsi="Arial Narrow" w:cs="Arial Narrow"/>
                <w:sz w:val="20"/>
                <w:szCs w:val="20"/>
              </w:rPr>
              <w:t xml:space="preserve"> t</w:t>
            </w:r>
            <w:r w:rsidR="00091D2A" w:rsidRPr="00552B0C">
              <w:rPr>
                <w:rFonts w:ascii="Arial Narrow" w:eastAsia="Arial Narrow" w:hAnsi="Arial Narrow" w:cs="Arial Narrow"/>
                <w:sz w:val="20"/>
                <w:szCs w:val="20"/>
              </w:rPr>
              <w:t xml:space="preserve">he ASCO minimal clinically important difference (MCID) referenced in the March 2024 PBAC </w:t>
            </w:r>
            <w:r w:rsidR="008565D9">
              <w:rPr>
                <w:rFonts w:ascii="Arial Narrow" w:eastAsia="Arial Narrow" w:hAnsi="Arial Narrow" w:cs="Arial Narrow"/>
                <w:sz w:val="20"/>
                <w:szCs w:val="20"/>
              </w:rPr>
              <w:t>PSD</w:t>
            </w:r>
            <w:r w:rsidR="008565D9" w:rsidRPr="00552B0C">
              <w:rPr>
                <w:rFonts w:ascii="Arial Narrow" w:eastAsia="Arial Narrow" w:hAnsi="Arial Narrow" w:cs="Arial Narrow"/>
                <w:sz w:val="20"/>
                <w:szCs w:val="20"/>
              </w:rPr>
              <w:t xml:space="preserve"> </w:t>
            </w:r>
            <w:r w:rsidR="00091D2A" w:rsidRPr="00552B0C">
              <w:rPr>
                <w:rFonts w:ascii="Arial Narrow" w:eastAsia="Arial Narrow" w:hAnsi="Arial Narrow" w:cs="Arial Narrow"/>
                <w:sz w:val="20"/>
                <w:szCs w:val="20"/>
              </w:rPr>
              <w:t>(a range of 3 to 5 months as the MCID in OS and PFS over standard therapy) are aspirational rather than intended to serve as rigid thresholds to apply in decision-making.</w:t>
            </w:r>
            <w:r w:rsidR="00091D2A" w:rsidRPr="00552B0C">
              <w:rPr>
                <w:rStyle w:val="FootnoteReference"/>
                <w:rFonts w:ascii="Arial Narrow" w:eastAsiaTheme="minorHAnsi" w:hAnsi="Arial Narrow"/>
                <w:sz w:val="20"/>
                <w:szCs w:val="20"/>
              </w:rPr>
              <w:footnoteReference w:id="2"/>
            </w:r>
            <w:r w:rsidR="00091D2A" w:rsidRPr="00552B0C">
              <w:rPr>
                <w:rFonts w:ascii="Arial Narrow" w:eastAsia="Arial Narrow" w:hAnsi="Arial Narrow" w:cs="Arial Narrow"/>
                <w:sz w:val="20"/>
                <w:szCs w:val="20"/>
              </w:rPr>
              <w:t xml:space="preserve"> </w:t>
            </w:r>
          </w:p>
        </w:tc>
      </w:tr>
      <w:tr w:rsidR="00091D2A" w:rsidRPr="00552B0C" w14:paraId="522E76B7" w14:textId="77777777" w:rsidTr="75E1E867">
        <w:tc>
          <w:tcPr>
            <w:tcW w:w="784" w:type="pct"/>
            <w:vAlign w:val="center"/>
          </w:tcPr>
          <w:p w14:paraId="3186BE34" w14:textId="77777777" w:rsidR="00091D2A" w:rsidRPr="00552B0C" w:rsidRDefault="00091D2A">
            <w:pPr>
              <w:pStyle w:val="TableText0"/>
              <w:keepNext w:val="0"/>
              <w:widowControl w:val="0"/>
            </w:pPr>
            <w:r w:rsidRPr="00552B0C">
              <w:t>Comparative safety of NALIRIFOX vs Gem+NabP</w:t>
            </w:r>
          </w:p>
        </w:tc>
        <w:tc>
          <w:tcPr>
            <w:tcW w:w="2043" w:type="pct"/>
          </w:tcPr>
          <w:p w14:paraId="193BA2A4" w14:textId="7607F0CE" w:rsidR="00091D2A" w:rsidRPr="00552B0C" w:rsidRDefault="00091D2A">
            <w:pPr>
              <w:widowControl w:val="0"/>
              <w:jc w:val="left"/>
              <w:rPr>
                <w:rFonts w:ascii="Arial Narrow" w:eastAsia="Arial Narrow" w:hAnsi="Arial Narrow" w:cs="Arial Narrow"/>
                <w:sz w:val="20"/>
                <w:szCs w:val="20"/>
              </w:rPr>
            </w:pPr>
            <w:r w:rsidRPr="00552B0C">
              <w:rPr>
                <w:rFonts w:ascii="Arial Narrow" w:eastAsia="Arial Narrow" w:hAnsi="Arial Narrow" w:cs="Arial Narrow"/>
                <w:sz w:val="20"/>
                <w:szCs w:val="20"/>
              </w:rPr>
              <w:t>The PBAC considered that the claim of non-inferior comparative safety of NALIRIFOX versus Gem+NabP was not adequately supported by the data, due to increased rates of drug related serious adverse events, as well as all-cause and drug-related TEAEs leading to interruption of treatment, for NALIRIFOX patients in NAPOLI-3 compared with Gem+NabP (para 7.9, irinotecan (nanoliposomal), PSD, March 2024 PBAC meeting).</w:t>
            </w:r>
            <w:r w:rsidR="008D0998">
              <w:rPr>
                <w:rFonts w:ascii="Arial Narrow" w:eastAsia="Arial Narrow" w:hAnsi="Arial Narrow" w:cs="Arial Narrow"/>
                <w:sz w:val="20"/>
                <w:szCs w:val="20"/>
              </w:rPr>
              <w:t xml:space="preserve"> </w:t>
            </w:r>
          </w:p>
          <w:p w14:paraId="1FDB2793" w14:textId="77777777" w:rsidR="00091D2A" w:rsidRPr="00552B0C" w:rsidRDefault="00091D2A">
            <w:pPr>
              <w:widowControl w:val="0"/>
              <w:jc w:val="left"/>
              <w:rPr>
                <w:rFonts w:ascii="Arial Narrow" w:eastAsia="Arial Narrow" w:hAnsi="Arial Narrow" w:cs="Arial Narrow"/>
                <w:sz w:val="20"/>
                <w:szCs w:val="20"/>
              </w:rPr>
            </w:pPr>
          </w:p>
          <w:p w14:paraId="3589FC82" w14:textId="77777777" w:rsidR="00091D2A" w:rsidRPr="00552B0C" w:rsidRDefault="00091D2A">
            <w:pPr>
              <w:pStyle w:val="TableText0"/>
              <w:keepNext w:val="0"/>
              <w:widowControl w:val="0"/>
            </w:pPr>
            <w:r w:rsidRPr="00552B0C">
              <w:rPr>
                <w:rFonts w:eastAsia="Arial Narrow" w:cs="Arial Narrow"/>
                <w:szCs w:val="20"/>
              </w:rPr>
              <w:lastRenderedPageBreak/>
              <w:t>The PBAC also noted that the safety profiles of NALIRIFOX and Gem+NabP were different. The PBAC considered that higher rates of gastrointestinal toxicities such as diarrhoea and nausea with NALIRIFOX would be significant for patients and impact quality of life (para 7.9, irinotecan (nanoliposomal), PSD, March 2024 PBAC meeting).</w:t>
            </w:r>
          </w:p>
        </w:tc>
        <w:tc>
          <w:tcPr>
            <w:tcW w:w="2173" w:type="pct"/>
          </w:tcPr>
          <w:p w14:paraId="09A8D35B" w14:textId="77777777" w:rsidR="00091D2A" w:rsidRPr="00552B0C" w:rsidRDefault="00091D2A">
            <w:pPr>
              <w:pStyle w:val="Tabletext"/>
              <w:widowControl w:val="0"/>
            </w:pPr>
            <w:r w:rsidRPr="00552B0C">
              <w:lastRenderedPageBreak/>
              <w:t>Not adequately addressed.</w:t>
            </w:r>
          </w:p>
          <w:p w14:paraId="2CC11284" w14:textId="0FA0EBD0" w:rsidR="00091D2A" w:rsidRPr="00552B0C" w:rsidRDefault="00091D2A" w:rsidP="002270F4">
            <w:pPr>
              <w:widowControl w:val="0"/>
              <w:jc w:val="left"/>
            </w:pPr>
            <w:r w:rsidRPr="00552B0C">
              <w:rPr>
                <w:rFonts w:ascii="Arial Narrow" w:eastAsia="Arial Narrow" w:hAnsi="Arial Narrow" w:cs="Arial Narrow"/>
                <w:sz w:val="20"/>
                <w:szCs w:val="20"/>
              </w:rPr>
              <w:t>The resubmission acknowledged that the safety profiles of the two regime</w:t>
            </w:r>
            <w:r w:rsidR="008F6B4A" w:rsidRPr="00552B0C">
              <w:rPr>
                <w:rFonts w:ascii="Arial Narrow" w:eastAsia="Arial Narrow" w:hAnsi="Arial Narrow" w:cs="Arial Narrow"/>
                <w:sz w:val="20"/>
                <w:szCs w:val="20"/>
              </w:rPr>
              <w:t>n</w:t>
            </w:r>
            <w:r w:rsidRPr="00552B0C">
              <w:rPr>
                <w:rFonts w:ascii="Arial Narrow" w:eastAsia="Arial Narrow" w:hAnsi="Arial Narrow" w:cs="Arial Narrow"/>
                <w:sz w:val="20"/>
                <w:szCs w:val="20"/>
              </w:rPr>
              <w:t>s are different</w:t>
            </w:r>
            <w:r w:rsidR="00145390" w:rsidRPr="00552B0C">
              <w:rPr>
                <w:rFonts w:ascii="Arial Narrow" w:eastAsia="Arial Narrow" w:hAnsi="Arial Narrow" w:cs="Arial Narrow"/>
                <w:sz w:val="20"/>
                <w:szCs w:val="20"/>
              </w:rPr>
              <w:t xml:space="preserve"> and that there is a higher risk of gastrointestinal disorders, asthenia, and hypokalaemia but also a lower risk of haematologic toxicity in the NALIRIFOX arm compared to the Gem+NabP arm</w:t>
            </w:r>
            <w:r w:rsidR="002270F4" w:rsidRPr="00552B0C">
              <w:rPr>
                <w:rFonts w:ascii="Arial Narrow" w:eastAsia="Arial Narrow" w:hAnsi="Arial Narrow" w:cs="Arial Narrow"/>
                <w:sz w:val="20"/>
                <w:szCs w:val="20"/>
              </w:rPr>
              <w:t>.</w:t>
            </w:r>
            <w:r w:rsidR="00145390" w:rsidRPr="00552B0C">
              <w:rPr>
                <w:rFonts w:ascii="Arial Narrow" w:eastAsia="Arial Narrow" w:hAnsi="Arial Narrow" w:cs="Arial Narrow"/>
                <w:sz w:val="20"/>
                <w:szCs w:val="20"/>
              </w:rPr>
              <w:t xml:space="preserve"> The resubmission stated that gastrointestinal toxicity can impact quality of life, hydration and nutritional status, and haematologic toxicity often represent treatment-limiting adverse events and can lead to infections, fatigue and bleeding issues</w:t>
            </w:r>
            <w:r w:rsidR="00357AC3" w:rsidRPr="00552B0C">
              <w:rPr>
                <w:rFonts w:ascii="Arial Narrow" w:eastAsia="Arial Narrow" w:hAnsi="Arial Narrow" w:cs="Arial Narrow"/>
                <w:sz w:val="20"/>
                <w:szCs w:val="20"/>
              </w:rPr>
              <w:t xml:space="preserve">. </w:t>
            </w:r>
            <w:r w:rsidR="00A20DB1" w:rsidRPr="00552B0C">
              <w:rPr>
                <w:rFonts w:ascii="Arial Narrow" w:eastAsia="Arial Narrow" w:hAnsi="Arial Narrow" w:cs="Arial Narrow"/>
                <w:sz w:val="20"/>
                <w:szCs w:val="20"/>
              </w:rPr>
              <w:t xml:space="preserve">The </w:t>
            </w:r>
            <w:r w:rsidR="00A20DB1" w:rsidRPr="00552B0C">
              <w:rPr>
                <w:rFonts w:ascii="Arial Narrow" w:eastAsia="Arial Narrow" w:hAnsi="Arial Narrow" w:cs="Arial Narrow"/>
                <w:sz w:val="20"/>
                <w:szCs w:val="20"/>
              </w:rPr>
              <w:lastRenderedPageBreak/>
              <w:t xml:space="preserve">resubmission </w:t>
            </w:r>
            <w:r w:rsidRPr="00552B0C">
              <w:rPr>
                <w:rFonts w:ascii="Arial Narrow" w:eastAsia="Arial Narrow" w:hAnsi="Arial Narrow" w:cs="Arial Narrow"/>
                <w:sz w:val="20"/>
                <w:szCs w:val="20"/>
              </w:rPr>
              <w:t>contend</w:t>
            </w:r>
            <w:r w:rsidR="0060391F" w:rsidRPr="00552B0C">
              <w:rPr>
                <w:rFonts w:ascii="Arial Narrow" w:eastAsia="Arial Narrow" w:hAnsi="Arial Narrow" w:cs="Arial Narrow"/>
                <w:sz w:val="20"/>
                <w:szCs w:val="20"/>
              </w:rPr>
              <w:t>ed</w:t>
            </w:r>
            <w:r w:rsidRPr="00552B0C">
              <w:rPr>
                <w:rFonts w:ascii="Arial Narrow" w:eastAsia="Arial Narrow" w:hAnsi="Arial Narrow" w:cs="Arial Narrow"/>
                <w:sz w:val="20"/>
                <w:szCs w:val="20"/>
              </w:rPr>
              <w:t xml:space="preserve"> that, overall, it cannot be concluded that one safety profile is superior or inferior to the other. </w:t>
            </w:r>
          </w:p>
          <w:p w14:paraId="7B67F00C" w14:textId="13228CE1" w:rsidR="00091D2A" w:rsidRPr="00552B0C" w:rsidRDefault="00091D2A" w:rsidP="00BC3F46">
            <w:pPr>
              <w:widowControl w:val="0"/>
              <w:jc w:val="left"/>
            </w:pPr>
            <w:r w:rsidRPr="00552B0C">
              <w:rPr>
                <w:rFonts w:ascii="Arial Narrow" w:eastAsia="Arial Narrow" w:hAnsi="Arial Narrow" w:cs="Arial Narrow"/>
                <w:sz w:val="20"/>
                <w:szCs w:val="20"/>
              </w:rPr>
              <w:t xml:space="preserve"> </w:t>
            </w:r>
          </w:p>
          <w:p w14:paraId="5D70F9DD" w14:textId="04ED55F2" w:rsidR="00091D2A" w:rsidRPr="00552B0C" w:rsidRDefault="00091D2A">
            <w:pPr>
              <w:pStyle w:val="Tabletext"/>
              <w:widowControl w:val="0"/>
            </w:pPr>
            <w:r w:rsidRPr="00552B0C">
              <w:t>No additional safety data was presented in the resubmission to support the safety claim</w:t>
            </w:r>
            <w:r w:rsidR="008C3BCE" w:rsidRPr="00552B0C">
              <w:t xml:space="preserve"> however further discussion was provided</w:t>
            </w:r>
            <w:r w:rsidRPr="00552B0C">
              <w:t xml:space="preserve">. Previous concerns and limitations to safety data remain. </w:t>
            </w:r>
          </w:p>
        </w:tc>
      </w:tr>
      <w:tr w:rsidR="00091D2A" w:rsidRPr="00552B0C" w14:paraId="68AB63E3" w14:textId="77777777" w:rsidTr="00C52AA2">
        <w:tc>
          <w:tcPr>
            <w:tcW w:w="784" w:type="pct"/>
            <w:vAlign w:val="center"/>
          </w:tcPr>
          <w:p w14:paraId="5B8D25BE" w14:textId="77777777" w:rsidR="00091D2A" w:rsidRPr="00552B0C" w:rsidRDefault="00091D2A">
            <w:pPr>
              <w:pStyle w:val="TableText0"/>
              <w:keepNext w:val="0"/>
              <w:widowControl w:val="0"/>
            </w:pPr>
            <w:r w:rsidRPr="00552B0C">
              <w:lastRenderedPageBreak/>
              <w:t>Comparative effectiveness and safety of NALIRIFOX and FOLFIRINOX</w:t>
            </w:r>
          </w:p>
        </w:tc>
        <w:tc>
          <w:tcPr>
            <w:tcW w:w="2043" w:type="pct"/>
          </w:tcPr>
          <w:p w14:paraId="50EDCD01" w14:textId="26EFE8B0" w:rsidR="00091D2A" w:rsidRPr="00552B0C" w:rsidRDefault="00091D2A">
            <w:pPr>
              <w:widowControl w:val="0"/>
              <w:jc w:val="left"/>
              <w:rPr>
                <w:rFonts w:ascii="Arial Narrow" w:eastAsia="Arial Narrow" w:hAnsi="Arial Narrow" w:cs="Arial Narrow"/>
                <w:sz w:val="20"/>
                <w:szCs w:val="20"/>
              </w:rPr>
            </w:pPr>
            <w:r w:rsidRPr="00552B0C">
              <w:rPr>
                <w:rFonts w:ascii="Arial Narrow" w:eastAsia="Arial Narrow" w:hAnsi="Arial Narrow" w:cs="Arial Narrow"/>
                <w:sz w:val="20"/>
                <w:szCs w:val="20"/>
              </w:rPr>
              <w:t>The PBAC considered the submission had not established the superiority of NALIRIFOX to FOLFIRINOX (para 7.1, irinotecan (nanoliposomal), PSD, March 2024 PBAC meeting).</w:t>
            </w:r>
          </w:p>
          <w:p w14:paraId="4DDE772E" w14:textId="77777777" w:rsidR="00091D2A" w:rsidRPr="00552B0C" w:rsidRDefault="00091D2A">
            <w:pPr>
              <w:widowControl w:val="0"/>
              <w:jc w:val="left"/>
              <w:rPr>
                <w:rFonts w:ascii="Arial Narrow" w:eastAsia="Arial Narrow" w:hAnsi="Arial Narrow" w:cs="Arial Narrow"/>
                <w:sz w:val="20"/>
                <w:szCs w:val="20"/>
              </w:rPr>
            </w:pPr>
          </w:p>
          <w:p w14:paraId="6A8EF50D" w14:textId="41D63F3A" w:rsidR="00091D2A" w:rsidRPr="00552B0C" w:rsidRDefault="00091D2A">
            <w:pPr>
              <w:pStyle w:val="TableText0"/>
              <w:keepNext w:val="0"/>
              <w:widowControl w:val="0"/>
            </w:pPr>
            <w:r w:rsidRPr="00552B0C">
              <w:rPr>
                <w:rFonts w:eastAsia="Arial Narrow" w:cs="Arial Narrow"/>
                <w:szCs w:val="20"/>
              </w:rPr>
              <w:t xml:space="preserve">The PBAC noted that both the PSCR and Pre-PBAC response presented a single-step ITC </w:t>
            </w:r>
            <w:r w:rsidR="005974E0" w:rsidRPr="00552B0C">
              <w:rPr>
                <w:rFonts w:eastAsia="Arial Narrow" w:cs="Arial Narrow"/>
                <w:szCs w:val="20"/>
              </w:rPr>
              <w:t>for OS</w:t>
            </w:r>
            <w:r w:rsidRPr="00552B0C">
              <w:rPr>
                <w:rFonts w:eastAsia="Arial Narrow" w:cs="Arial Narrow"/>
                <w:szCs w:val="20"/>
              </w:rPr>
              <w:t xml:space="preserve"> using data from the recently presented GENERATE trial, which directly compared FOLFIRINOX with Gem+NabP. The PBAC noted the ESC’s concerns around the GENERATE trial (such as differences between treatment arms in patient and disease characteristics, the use of a modified FOLFIRINOX regimen that may bias against FOLFIRINOX, and inadequate reporting of analysis methodology).</w:t>
            </w:r>
            <w:r w:rsidRPr="00552B0C">
              <w:t xml:space="preserve"> The PBAC noted further concerns including the higher proportion of patients discontinuing due to AEs with FOLFIRINOX (34.3% versus 23.9% for Gem+NabP) and longer median OS for Gem+NabP in GENERATE trial versus other trials. </w:t>
            </w:r>
            <w:r w:rsidRPr="00552B0C">
              <w:rPr>
                <w:rFonts w:eastAsia="Arial Narrow" w:cs="Arial Narrow"/>
                <w:szCs w:val="20"/>
              </w:rPr>
              <w:t>The PBAC noted the ITC based on the GENERATE trial had not been evaluated, however due to multiple concerns, considered that it was unreliable (para 7.12, irinotecan (nanoliposomal), PSD, March 2024 PBAC meeting).</w:t>
            </w:r>
          </w:p>
        </w:tc>
        <w:tc>
          <w:tcPr>
            <w:tcW w:w="2173" w:type="pct"/>
          </w:tcPr>
          <w:p w14:paraId="33BC5C53" w14:textId="1C5265FA" w:rsidR="00A16D4A" w:rsidRPr="00552B0C" w:rsidRDefault="00A16D4A">
            <w:pPr>
              <w:widowControl w:val="0"/>
              <w:rPr>
                <w:sz w:val="20"/>
                <w:szCs w:val="20"/>
              </w:rPr>
            </w:pPr>
            <w:r w:rsidRPr="00552B0C">
              <w:rPr>
                <w:rFonts w:ascii="Arial Narrow" w:eastAsia="Arial Narrow" w:hAnsi="Arial Narrow" w:cs="Arial Narrow"/>
                <w:sz w:val="20"/>
                <w:szCs w:val="20"/>
              </w:rPr>
              <w:t>Effectiveness: Not addressed</w:t>
            </w:r>
          </w:p>
          <w:p w14:paraId="2705C425" w14:textId="0D2F73E2" w:rsidR="00091D2A" w:rsidRPr="00552B0C" w:rsidRDefault="00091D2A">
            <w:pPr>
              <w:widowControl w:val="0"/>
              <w:jc w:val="left"/>
            </w:pPr>
            <w:r w:rsidRPr="00552B0C">
              <w:rPr>
                <w:rFonts w:ascii="Arial Narrow" w:eastAsia="Arial Narrow" w:hAnsi="Arial Narrow" w:cs="Arial Narrow"/>
                <w:sz w:val="20"/>
                <w:szCs w:val="20"/>
              </w:rPr>
              <w:t xml:space="preserve">The resubmission conducted a single-step indirect treatment comparison (ITC) using the Bucher method and a matching-adjusted indirect comparison (MAIC) of NALIRIFOX and FOLFIRINOX </w:t>
            </w:r>
            <w:r w:rsidR="002E3081" w:rsidRPr="00552B0C">
              <w:rPr>
                <w:rFonts w:ascii="Arial Narrow" w:eastAsia="Arial Narrow" w:hAnsi="Arial Narrow" w:cs="Arial Narrow"/>
                <w:sz w:val="20"/>
                <w:szCs w:val="20"/>
              </w:rPr>
              <w:t xml:space="preserve">for OS, PFS and AEs </w:t>
            </w:r>
            <w:r w:rsidRPr="00552B0C">
              <w:rPr>
                <w:rFonts w:ascii="Arial Narrow" w:eastAsia="Arial Narrow" w:hAnsi="Arial Narrow" w:cs="Arial Narrow"/>
                <w:sz w:val="20"/>
                <w:szCs w:val="20"/>
              </w:rPr>
              <w:t xml:space="preserve">using the results from the GENERATE trial </w:t>
            </w:r>
            <w:r w:rsidR="00EA69D0" w:rsidRPr="00552B0C">
              <w:rPr>
                <w:rFonts w:ascii="Arial Narrow" w:eastAsia="Arial Narrow" w:hAnsi="Arial Narrow" w:cs="Arial Narrow"/>
                <w:sz w:val="20"/>
                <w:szCs w:val="20"/>
              </w:rPr>
              <w:t xml:space="preserve">(same data presented in March 2024 submission) </w:t>
            </w:r>
            <w:r w:rsidRPr="00552B0C">
              <w:rPr>
                <w:rFonts w:ascii="Arial Narrow" w:eastAsia="Arial Narrow" w:hAnsi="Arial Narrow" w:cs="Arial Narrow"/>
                <w:sz w:val="20"/>
                <w:szCs w:val="20"/>
              </w:rPr>
              <w:t xml:space="preserve">and </w:t>
            </w:r>
            <w:r w:rsidR="002E3081" w:rsidRPr="00552B0C">
              <w:rPr>
                <w:rFonts w:ascii="Arial Narrow" w:eastAsia="Arial Narrow" w:hAnsi="Arial Narrow" w:cs="Arial Narrow"/>
                <w:sz w:val="20"/>
                <w:szCs w:val="20"/>
              </w:rPr>
              <w:t xml:space="preserve">updated </w:t>
            </w:r>
            <w:r w:rsidR="006E437F" w:rsidRPr="00552B0C">
              <w:rPr>
                <w:rFonts w:ascii="Arial Narrow" w:eastAsia="Arial Narrow" w:hAnsi="Arial Narrow" w:cs="Arial Narrow"/>
                <w:sz w:val="20"/>
                <w:szCs w:val="20"/>
              </w:rPr>
              <w:t>OS</w:t>
            </w:r>
            <w:r w:rsidR="002E3081" w:rsidRPr="00552B0C">
              <w:rPr>
                <w:rFonts w:ascii="Arial Narrow" w:eastAsia="Arial Narrow" w:hAnsi="Arial Narrow" w:cs="Arial Narrow"/>
                <w:sz w:val="20"/>
                <w:szCs w:val="20"/>
              </w:rPr>
              <w:t xml:space="preserve"> results from </w:t>
            </w:r>
            <w:r w:rsidRPr="00552B0C">
              <w:rPr>
                <w:rFonts w:ascii="Arial Narrow" w:eastAsia="Arial Narrow" w:hAnsi="Arial Narrow" w:cs="Arial Narrow"/>
                <w:sz w:val="20"/>
                <w:szCs w:val="20"/>
              </w:rPr>
              <w:t>the NAPOLI-3 trial.</w:t>
            </w:r>
          </w:p>
          <w:p w14:paraId="23427731" w14:textId="656DC252" w:rsidR="00091D2A" w:rsidRPr="00552B0C" w:rsidRDefault="00091D2A">
            <w:pPr>
              <w:widowControl w:val="0"/>
              <w:jc w:val="left"/>
              <w:rPr>
                <w:rFonts w:ascii="Arial Narrow" w:eastAsia="Arial Narrow" w:hAnsi="Arial Narrow" w:cs="Arial Narrow"/>
                <w:sz w:val="20"/>
                <w:szCs w:val="20"/>
              </w:rPr>
            </w:pPr>
          </w:p>
          <w:p w14:paraId="47E34BAC" w14:textId="3D82BDEB" w:rsidR="00091D2A" w:rsidRPr="00552B0C" w:rsidRDefault="00091D2A">
            <w:pPr>
              <w:widowControl w:val="0"/>
              <w:jc w:val="left"/>
            </w:pPr>
            <w:r w:rsidRPr="00552B0C">
              <w:rPr>
                <w:rFonts w:ascii="Arial Narrow" w:eastAsia="Arial Narrow" w:hAnsi="Arial Narrow" w:cs="Arial Narrow"/>
                <w:sz w:val="20"/>
                <w:szCs w:val="20"/>
              </w:rPr>
              <w:t>The resubmission stated that the results of the single-step ITC and the MAIC suggest that NALIRIFOX is superior in terms of impact on both PFS and OS compared to the modified FOLFIRINOX regimen administered in the GENERATE trial.</w:t>
            </w:r>
          </w:p>
          <w:p w14:paraId="75DADA26" w14:textId="77777777" w:rsidR="00091D2A" w:rsidRPr="00552B0C" w:rsidRDefault="00091D2A">
            <w:pPr>
              <w:widowControl w:val="0"/>
              <w:jc w:val="left"/>
              <w:rPr>
                <w:rFonts w:ascii="Arial Narrow" w:eastAsia="Arial Narrow" w:hAnsi="Arial Narrow" w:cs="Arial Narrow"/>
                <w:sz w:val="20"/>
                <w:szCs w:val="20"/>
              </w:rPr>
            </w:pPr>
            <w:r w:rsidRPr="00552B0C">
              <w:rPr>
                <w:rFonts w:ascii="Arial Narrow" w:eastAsia="Arial Narrow" w:hAnsi="Arial Narrow" w:cs="Arial Narrow"/>
                <w:sz w:val="20"/>
                <w:szCs w:val="20"/>
              </w:rPr>
              <w:t xml:space="preserve"> </w:t>
            </w:r>
          </w:p>
          <w:p w14:paraId="3F30B1C8" w14:textId="18615558" w:rsidR="00BC3F46" w:rsidRPr="00552B0C" w:rsidRDefault="00A16D4A" w:rsidP="00A16D4A">
            <w:pPr>
              <w:widowControl w:val="0"/>
              <w:rPr>
                <w:sz w:val="20"/>
                <w:szCs w:val="20"/>
              </w:rPr>
            </w:pPr>
            <w:r w:rsidRPr="00552B0C">
              <w:rPr>
                <w:rFonts w:ascii="Arial Narrow" w:eastAsia="Arial Narrow" w:hAnsi="Arial Narrow" w:cs="Arial Narrow"/>
                <w:sz w:val="20"/>
                <w:szCs w:val="20"/>
              </w:rPr>
              <w:t xml:space="preserve">Safety: </w:t>
            </w:r>
            <w:r w:rsidR="00E84782" w:rsidRPr="00552B0C">
              <w:rPr>
                <w:rFonts w:ascii="Arial Narrow" w:eastAsia="Arial Narrow" w:hAnsi="Arial Narrow" w:cs="Arial Narrow"/>
                <w:sz w:val="20"/>
                <w:szCs w:val="20"/>
              </w:rPr>
              <w:t xml:space="preserve">Not </w:t>
            </w:r>
            <w:r w:rsidRPr="00552B0C">
              <w:rPr>
                <w:rFonts w:ascii="Arial Narrow" w:eastAsia="Arial Narrow" w:hAnsi="Arial Narrow" w:cs="Arial Narrow"/>
                <w:sz w:val="20"/>
                <w:szCs w:val="20"/>
              </w:rPr>
              <w:t>addressed</w:t>
            </w:r>
          </w:p>
          <w:p w14:paraId="67EFEDBF" w14:textId="60FF2394" w:rsidR="00091D2A" w:rsidRPr="00552B0C" w:rsidRDefault="00A16D4A">
            <w:pPr>
              <w:widowControl w:val="0"/>
              <w:jc w:val="left"/>
              <w:rPr>
                <w:rFonts w:ascii="Arial Narrow" w:eastAsia="Arial Narrow" w:hAnsi="Arial Narrow" w:cs="Arial Narrow"/>
                <w:sz w:val="20"/>
                <w:szCs w:val="20"/>
              </w:rPr>
            </w:pPr>
            <w:r w:rsidRPr="00552B0C">
              <w:rPr>
                <w:rFonts w:ascii="Arial Narrow" w:eastAsia="Arial Narrow" w:hAnsi="Arial Narrow" w:cs="Arial Narrow"/>
                <w:sz w:val="20"/>
                <w:szCs w:val="20"/>
              </w:rPr>
              <w:t>I</w:t>
            </w:r>
            <w:r w:rsidR="00091D2A" w:rsidRPr="00552B0C">
              <w:rPr>
                <w:rFonts w:ascii="Arial Narrow" w:eastAsia="Arial Narrow" w:hAnsi="Arial Narrow" w:cs="Arial Narrow"/>
                <w:sz w:val="20"/>
                <w:szCs w:val="20"/>
              </w:rPr>
              <w:t>ndirect comparison of the incidence of AEs for NALIRIFOX vs FOLFIRINOX were conducted. The resubmission indicated that the indirect comparisons in relation to haematological AEs consistently favoured NALIRIFOX and the difference was statistically significant for neutropenia and for infections.</w:t>
            </w:r>
          </w:p>
          <w:p w14:paraId="7A80A1A8" w14:textId="77777777" w:rsidR="00091D2A" w:rsidRPr="00552B0C" w:rsidRDefault="00091D2A">
            <w:pPr>
              <w:widowControl w:val="0"/>
              <w:jc w:val="left"/>
              <w:rPr>
                <w:rFonts w:ascii="Arial Narrow" w:eastAsia="Arial Narrow" w:hAnsi="Arial Narrow" w:cs="Arial Narrow"/>
                <w:sz w:val="20"/>
                <w:szCs w:val="20"/>
              </w:rPr>
            </w:pPr>
          </w:p>
          <w:p w14:paraId="3080A47B" w14:textId="168E1B2C" w:rsidR="002872F5" w:rsidRPr="00552B0C" w:rsidRDefault="00BA4C59" w:rsidP="004B314A">
            <w:pPr>
              <w:pStyle w:val="TableText0"/>
            </w:pPr>
            <w:r w:rsidRPr="00552B0C">
              <w:t xml:space="preserve">The evidence from the GENERATE trial has not changed since the March 2024 submission. This remains based on an abstract and a presentation in the European Society for Medical Oncology (ESMO) congress on 22 October 2023 that have </w:t>
            </w:r>
            <w:r w:rsidR="00A1077D" w:rsidRPr="00552B0C">
              <w:t>limited supporting information available</w:t>
            </w:r>
            <w:r w:rsidR="00A42B05" w:rsidRPr="00552B0C">
              <w:t>.</w:t>
            </w:r>
            <w:r w:rsidR="004B314A" w:rsidRPr="00552B0C">
              <w:t xml:space="preserve"> </w:t>
            </w:r>
          </w:p>
          <w:p w14:paraId="1709D2AB" w14:textId="77777777" w:rsidR="002872F5" w:rsidRPr="00552B0C" w:rsidRDefault="002872F5" w:rsidP="004B314A">
            <w:pPr>
              <w:pStyle w:val="TableText0"/>
            </w:pPr>
          </w:p>
          <w:p w14:paraId="2B6D346B" w14:textId="68A7DFD6" w:rsidR="00176C29" w:rsidRPr="00552B0C" w:rsidRDefault="00091D2A" w:rsidP="004B314A">
            <w:pPr>
              <w:pStyle w:val="TableText0"/>
            </w:pPr>
            <w:r w:rsidRPr="00552B0C">
              <w:t xml:space="preserve">There are many differences between the GENERATE and NAPOLI-3 trials that were not accounted for in the MAIC and single-step ITCs presented in this resubmission, which </w:t>
            </w:r>
            <w:r w:rsidR="0009311A" w:rsidRPr="00552B0C">
              <w:t>po</w:t>
            </w:r>
            <w:r w:rsidR="00052CB4" w:rsidRPr="00552B0C">
              <w:t>sed</w:t>
            </w:r>
            <w:r w:rsidR="00C94849" w:rsidRPr="00552B0C">
              <w:t xml:space="preserve"> transitivity issues</w:t>
            </w:r>
            <w:r w:rsidR="00313AD3" w:rsidRPr="00552B0C">
              <w:t xml:space="preserve"> and </w:t>
            </w:r>
            <w:r w:rsidRPr="00552B0C">
              <w:t xml:space="preserve">may lead to confounding. </w:t>
            </w:r>
            <w:r w:rsidR="00005024" w:rsidRPr="00552B0C">
              <w:rPr>
                <w:lang w:val="en-US"/>
              </w:rPr>
              <w:t>Overall, when accounting for these issues and uncertainties, the assumption of transitivity was likely violated for the comparison of NALIRIFOX and FOLFIRINOX using the data from the GENERATE study; therefore, the ITCs should not be considered robust.</w:t>
            </w:r>
          </w:p>
          <w:p w14:paraId="0B07ABBC" w14:textId="77777777" w:rsidR="00BC14D8" w:rsidRPr="00552B0C" w:rsidRDefault="00BC14D8">
            <w:pPr>
              <w:pStyle w:val="TableText0"/>
              <w:keepNext w:val="0"/>
              <w:widowControl w:val="0"/>
              <w:rPr>
                <w:rFonts w:eastAsia="Arial Narrow" w:cs="Arial Narrow"/>
              </w:rPr>
            </w:pPr>
          </w:p>
          <w:p w14:paraId="33C6B21A" w14:textId="4D7CC9E2" w:rsidR="00091D2A" w:rsidRPr="00552B0C" w:rsidRDefault="00091D2A">
            <w:pPr>
              <w:pStyle w:val="TableText0"/>
              <w:keepNext w:val="0"/>
              <w:widowControl w:val="0"/>
            </w:pPr>
            <w:r w:rsidRPr="00552B0C">
              <w:rPr>
                <w:rFonts w:eastAsia="Arial Narrow" w:cs="Arial Narrow"/>
              </w:rPr>
              <w:t xml:space="preserve">Previous concerns of the GENERATE trial </w:t>
            </w:r>
            <w:r w:rsidRPr="00552B0C">
              <w:rPr>
                <w:rFonts w:eastAsia="Arial Narrow" w:cs="Arial Narrow"/>
              </w:rPr>
              <w:lastRenderedPageBreak/>
              <w:t>regarding the comparability due to differences in patient and disease characteristics, the higher proportion of patients discontinuing due to AEs with FOLFIRINOX, the substantially longer median OS reported with Gem+NabP compared to other trials, and inadequate reporting of details of the trial remain</w:t>
            </w:r>
            <w:r w:rsidR="00B12A47" w:rsidRPr="00552B0C">
              <w:rPr>
                <w:rFonts w:eastAsia="Arial Narrow" w:cs="Arial Narrow"/>
              </w:rPr>
              <w:t xml:space="preserve"> unresolved</w:t>
            </w:r>
            <w:r w:rsidRPr="00552B0C">
              <w:rPr>
                <w:rFonts w:eastAsia="Arial Narrow" w:cs="Arial Narrow"/>
              </w:rPr>
              <w:t>.</w:t>
            </w:r>
          </w:p>
        </w:tc>
      </w:tr>
      <w:tr w:rsidR="00091D2A" w:rsidRPr="00552B0C" w14:paraId="04700A47" w14:textId="77777777" w:rsidTr="75E1E867">
        <w:trPr>
          <w:cantSplit/>
        </w:trPr>
        <w:tc>
          <w:tcPr>
            <w:tcW w:w="784" w:type="pct"/>
            <w:vAlign w:val="center"/>
          </w:tcPr>
          <w:p w14:paraId="1223F082" w14:textId="77777777" w:rsidR="00091D2A" w:rsidRPr="00552B0C" w:rsidRDefault="00091D2A">
            <w:pPr>
              <w:pStyle w:val="TableText0"/>
              <w:keepNext w:val="0"/>
              <w:widowControl w:val="0"/>
            </w:pPr>
            <w:r w:rsidRPr="00552B0C">
              <w:lastRenderedPageBreak/>
              <w:t>Economic model</w:t>
            </w:r>
          </w:p>
        </w:tc>
        <w:tc>
          <w:tcPr>
            <w:tcW w:w="2043" w:type="pct"/>
          </w:tcPr>
          <w:p w14:paraId="07CE5411" w14:textId="77777777" w:rsidR="00091D2A" w:rsidRPr="00552B0C" w:rsidRDefault="00091D2A" w:rsidP="0080489D">
            <w:pPr>
              <w:widowControl w:val="0"/>
              <w:jc w:val="left"/>
              <w:rPr>
                <w:rFonts w:ascii="Arial Narrow" w:eastAsia="Arial Narrow" w:hAnsi="Arial Narrow" w:cs="Arial Narrow"/>
                <w:sz w:val="20"/>
                <w:szCs w:val="20"/>
              </w:rPr>
            </w:pPr>
            <w:r w:rsidRPr="00552B0C">
              <w:rPr>
                <w:rFonts w:ascii="Arial Narrow" w:eastAsia="Arial Narrow" w:hAnsi="Arial Narrow" w:cs="Arial Narrow"/>
                <w:sz w:val="20"/>
                <w:szCs w:val="20"/>
              </w:rPr>
              <w:t>The PBAC did not consider</w:t>
            </w:r>
            <w:r w:rsidRPr="00552B0C" w:rsidDel="009A51E4">
              <w:rPr>
                <w:rFonts w:ascii="Arial Narrow" w:eastAsia="Arial Narrow" w:hAnsi="Arial Narrow" w:cs="Arial Narrow"/>
                <w:sz w:val="20"/>
                <w:szCs w:val="20"/>
              </w:rPr>
              <w:t xml:space="preserve"> </w:t>
            </w:r>
            <w:r w:rsidRPr="00552B0C">
              <w:rPr>
                <w:rFonts w:ascii="Arial Narrow" w:eastAsia="Arial Narrow" w:hAnsi="Arial Narrow" w:cs="Arial Narrow"/>
                <w:sz w:val="20"/>
                <w:szCs w:val="20"/>
              </w:rPr>
              <w:t xml:space="preserve">the cost utility analysis comparing NALIRIFOX and Gem+NabP to be informative because it considered that FOLFIRINOX was the appropriate main comparator. The PBAC noted the submission also presented alternative modelled scenarios to incorporate FOLFIRINOX as a comparator in a proportion of patients, which assumed that NALIRIFOX was superior to FOLFIRINOX. The PBAC considered these scenarios were not informative as they relied on the clinical claim of superior efficacy of NALIRIFOX over FOLFIRINOX, a claim which it considered was not supported (para 7.13, </w:t>
            </w:r>
            <w:r w:rsidRPr="00552B0C">
              <w:rPr>
                <w:rFonts w:ascii="Arial Narrow" w:hAnsi="Arial Narrow"/>
                <w:sz w:val="20"/>
                <w:szCs w:val="20"/>
              </w:rPr>
              <w:t xml:space="preserve">irinotecan </w:t>
            </w:r>
            <w:r w:rsidRPr="00552B0C">
              <w:rPr>
                <w:rFonts w:ascii="Arial Narrow" w:eastAsia="Arial Narrow" w:hAnsi="Arial Narrow" w:cs="Arial Narrow"/>
                <w:sz w:val="20"/>
                <w:szCs w:val="20"/>
              </w:rPr>
              <w:t>(nanoliposomal)</w:t>
            </w:r>
            <w:r w:rsidRPr="00552B0C">
              <w:rPr>
                <w:rFonts w:ascii="Arial Narrow" w:hAnsi="Arial Narrow"/>
                <w:sz w:val="20"/>
                <w:szCs w:val="20"/>
              </w:rPr>
              <w:t>, PSD, March 2024 PBAC meeting)</w:t>
            </w:r>
          </w:p>
          <w:p w14:paraId="117BC36E" w14:textId="77777777" w:rsidR="00091D2A" w:rsidRPr="00552B0C" w:rsidRDefault="00091D2A">
            <w:pPr>
              <w:widowControl w:val="0"/>
              <w:rPr>
                <w:rFonts w:ascii="Arial Narrow" w:eastAsia="Arial Narrow" w:hAnsi="Arial Narrow" w:cs="Arial Narrow"/>
                <w:sz w:val="20"/>
                <w:szCs w:val="20"/>
              </w:rPr>
            </w:pPr>
          </w:p>
          <w:p w14:paraId="54050FBA" w14:textId="77777777" w:rsidR="00091D2A" w:rsidRPr="00552B0C" w:rsidRDefault="00091D2A">
            <w:pPr>
              <w:pStyle w:val="TableText0"/>
              <w:keepNext w:val="0"/>
              <w:widowControl w:val="0"/>
            </w:pPr>
            <w:r w:rsidRPr="00552B0C">
              <w:rPr>
                <w:rFonts w:eastAsia="Arial Narrow"/>
                <w:szCs w:val="20"/>
              </w:rPr>
              <w:t xml:space="preserve">The PBAC considered that a resubmission would need to nominate FOLFIRINOX as the main comparator, and if there was insufficient evidence to support a claim of superiority of NALIRIFOX over FOLFIRINOX in terms of efficacy or safety, the appropriate form of economic evaluation would be a cost-minimisation approach </w:t>
            </w:r>
            <w:r w:rsidRPr="00552B0C">
              <w:rPr>
                <w:rFonts w:eastAsia="Arial Narrow" w:cs="Arial Narrow"/>
                <w:szCs w:val="20"/>
              </w:rPr>
              <w:t xml:space="preserve">(para 7.15, </w:t>
            </w:r>
            <w:r w:rsidRPr="00552B0C">
              <w:rPr>
                <w:szCs w:val="20"/>
              </w:rPr>
              <w:t xml:space="preserve">irinotecan </w:t>
            </w:r>
            <w:r w:rsidRPr="00552B0C">
              <w:rPr>
                <w:rFonts w:eastAsia="Arial Narrow" w:cs="Arial Narrow"/>
                <w:szCs w:val="20"/>
              </w:rPr>
              <w:t>(nanoliposomal)</w:t>
            </w:r>
            <w:r w:rsidRPr="00552B0C">
              <w:rPr>
                <w:szCs w:val="20"/>
              </w:rPr>
              <w:t>, PSD, March 2024 PBAC meeting)</w:t>
            </w:r>
          </w:p>
        </w:tc>
        <w:tc>
          <w:tcPr>
            <w:tcW w:w="2173" w:type="pct"/>
          </w:tcPr>
          <w:p w14:paraId="61393852" w14:textId="77777777" w:rsidR="00091D2A" w:rsidRPr="00552B0C" w:rsidRDefault="00091D2A">
            <w:pPr>
              <w:widowControl w:val="0"/>
              <w:rPr>
                <w:rFonts w:ascii="Arial Narrow" w:eastAsia="Arial Narrow" w:hAnsi="Arial Narrow" w:cs="Arial Narrow"/>
                <w:sz w:val="20"/>
                <w:szCs w:val="20"/>
              </w:rPr>
            </w:pPr>
            <w:r w:rsidRPr="00552B0C">
              <w:rPr>
                <w:rFonts w:ascii="Arial Narrow" w:eastAsia="Arial Narrow" w:hAnsi="Arial Narrow" w:cs="Arial Narrow"/>
                <w:sz w:val="20"/>
                <w:szCs w:val="20"/>
              </w:rPr>
              <w:t>Not adequately addressed</w:t>
            </w:r>
          </w:p>
          <w:p w14:paraId="6B329540" w14:textId="77777777" w:rsidR="00091D2A" w:rsidRPr="00552B0C" w:rsidRDefault="00091D2A">
            <w:pPr>
              <w:widowControl w:val="0"/>
              <w:rPr>
                <w:rFonts w:ascii="Arial Narrow" w:eastAsia="Arial Narrow" w:hAnsi="Arial Narrow" w:cs="Arial Narrow"/>
                <w:sz w:val="20"/>
                <w:szCs w:val="20"/>
              </w:rPr>
            </w:pPr>
          </w:p>
          <w:p w14:paraId="56BCD13A" w14:textId="2F834019" w:rsidR="004E3230" w:rsidRPr="00552B0C" w:rsidRDefault="004E3230" w:rsidP="004E3230">
            <w:pPr>
              <w:widowControl w:val="0"/>
              <w:jc w:val="left"/>
              <w:rPr>
                <w:rFonts w:ascii="Arial Narrow" w:eastAsia="Arial Narrow" w:hAnsi="Arial Narrow" w:cs="Arial Narrow"/>
                <w:sz w:val="20"/>
                <w:szCs w:val="20"/>
              </w:rPr>
            </w:pPr>
            <w:r w:rsidRPr="00552B0C">
              <w:rPr>
                <w:rFonts w:ascii="Arial Narrow" w:eastAsia="Arial Narrow" w:hAnsi="Arial Narrow" w:cs="Arial Narrow"/>
                <w:sz w:val="20"/>
                <w:szCs w:val="20"/>
              </w:rPr>
              <w:t xml:space="preserve">The resubmission </w:t>
            </w:r>
            <w:r w:rsidR="00884884" w:rsidRPr="00552B0C">
              <w:rPr>
                <w:rFonts w:ascii="Arial Narrow" w:eastAsia="Arial Narrow" w:hAnsi="Arial Narrow" w:cs="Arial Narrow"/>
                <w:sz w:val="20"/>
                <w:szCs w:val="20"/>
              </w:rPr>
              <w:t>incorporate</w:t>
            </w:r>
            <w:r w:rsidR="00884884">
              <w:rPr>
                <w:rFonts w:ascii="Arial Narrow" w:eastAsia="Arial Narrow" w:hAnsi="Arial Narrow" w:cs="Arial Narrow"/>
                <w:sz w:val="20"/>
                <w:szCs w:val="20"/>
              </w:rPr>
              <w:t>d</w:t>
            </w:r>
            <w:r w:rsidR="00884884" w:rsidRPr="00552B0C">
              <w:rPr>
                <w:rFonts w:ascii="Arial Narrow" w:eastAsia="Arial Narrow" w:hAnsi="Arial Narrow" w:cs="Arial Narrow"/>
                <w:sz w:val="20"/>
                <w:szCs w:val="20"/>
              </w:rPr>
              <w:t xml:space="preserve"> </w:t>
            </w:r>
            <w:r w:rsidRPr="00552B0C">
              <w:rPr>
                <w:rFonts w:ascii="Arial Narrow" w:eastAsia="Arial Narrow" w:hAnsi="Arial Narrow" w:cs="Arial Narrow"/>
                <w:sz w:val="20"/>
                <w:szCs w:val="20"/>
              </w:rPr>
              <w:t xml:space="preserve">FOLFIRINOX as part of a mixed comparator (75% Gem+NabP and 25% FOLFIRINOX) in a cost-utility analysis. </w:t>
            </w:r>
          </w:p>
          <w:p w14:paraId="335B90CC" w14:textId="77777777" w:rsidR="004E3230" w:rsidRPr="00552B0C" w:rsidRDefault="004E3230" w:rsidP="0080489D">
            <w:pPr>
              <w:widowControl w:val="0"/>
              <w:jc w:val="left"/>
              <w:rPr>
                <w:rFonts w:ascii="Arial Narrow" w:hAnsi="Arial Narrow"/>
                <w:sz w:val="20"/>
                <w:szCs w:val="20"/>
              </w:rPr>
            </w:pPr>
          </w:p>
          <w:p w14:paraId="5986B70B" w14:textId="5862C671" w:rsidR="00E11C86" w:rsidRPr="00552B0C" w:rsidRDefault="00E11C86" w:rsidP="0080489D">
            <w:pPr>
              <w:widowControl w:val="0"/>
              <w:jc w:val="left"/>
              <w:rPr>
                <w:rFonts w:ascii="Arial Narrow" w:hAnsi="Arial Narrow"/>
                <w:sz w:val="20"/>
                <w:szCs w:val="20"/>
              </w:rPr>
            </w:pPr>
            <w:r w:rsidRPr="00552B0C">
              <w:rPr>
                <w:rFonts w:ascii="Arial Narrow" w:hAnsi="Arial Narrow"/>
                <w:sz w:val="20"/>
                <w:szCs w:val="20"/>
              </w:rPr>
              <w:t xml:space="preserve">The clinical claim that NALIRIFOX is superior in terms of effectiveness compared to FOLFIRINOX </w:t>
            </w:r>
            <w:r w:rsidR="00884884">
              <w:rPr>
                <w:rFonts w:ascii="Arial Narrow" w:hAnsi="Arial Narrow"/>
                <w:sz w:val="20"/>
                <w:szCs w:val="20"/>
              </w:rPr>
              <w:t>was</w:t>
            </w:r>
            <w:r w:rsidR="00884884" w:rsidRPr="00552B0C">
              <w:rPr>
                <w:rFonts w:ascii="Arial Narrow" w:hAnsi="Arial Narrow"/>
                <w:sz w:val="20"/>
                <w:szCs w:val="20"/>
              </w:rPr>
              <w:t xml:space="preserve"> </w:t>
            </w:r>
            <w:r w:rsidRPr="00552B0C">
              <w:rPr>
                <w:rFonts w:ascii="Arial Narrow" w:hAnsi="Arial Narrow"/>
                <w:sz w:val="20"/>
                <w:szCs w:val="20"/>
              </w:rPr>
              <w:t xml:space="preserve">not adequately supported by the indirect evidence presented. The comparative effectiveness of NALIRIFOX vs FOLFIRINOX </w:t>
            </w:r>
            <w:r w:rsidR="00884884">
              <w:rPr>
                <w:rFonts w:ascii="Arial Narrow" w:hAnsi="Arial Narrow"/>
                <w:sz w:val="20"/>
                <w:szCs w:val="20"/>
              </w:rPr>
              <w:t>was</w:t>
            </w:r>
            <w:r w:rsidR="00884884" w:rsidRPr="00552B0C">
              <w:rPr>
                <w:rFonts w:ascii="Arial Narrow" w:hAnsi="Arial Narrow"/>
                <w:sz w:val="20"/>
                <w:szCs w:val="20"/>
              </w:rPr>
              <w:t xml:space="preserve"> </w:t>
            </w:r>
            <w:r w:rsidRPr="00552B0C">
              <w:rPr>
                <w:rFonts w:ascii="Arial Narrow" w:hAnsi="Arial Narrow"/>
                <w:sz w:val="20"/>
                <w:szCs w:val="20"/>
              </w:rPr>
              <w:t>a key driver of the ICER in the economic evaluation.</w:t>
            </w:r>
          </w:p>
          <w:p w14:paraId="56B91736" w14:textId="77777777" w:rsidR="00E11C86" w:rsidRPr="00552B0C" w:rsidRDefault="00E11C86" w:rsidP="0080489D">
            <w:pPr>
              <w:widowControl w:val="0"/>
              <w:jc w:val="left"/>
              <w:rPr>
                <w:rFonts w:ascii="Arial Narrow" w:eastAsia="Arial Narrow" w:hAnsi="Arial Narrow"/>
                <w:sz w:val="20"/>
                <w:szCs w:val="20"/>
              </w:rPr>
            </w:pPr>
          </w:p>
          <w:p w14:paraId="2044A4B9" w14:textId="69E51964" w:rsidR="00091D2A" w:rsidRPr="00552B0C" w:rsidRDefault="004E3230" w:rsidP="3EAC27F4">
            <w:pPr>
              <w:pStyle w:val="TableText0"/>
              <w:keepNext w:val="0"/>
              <w:widowControl w:val="0"/>
            </w:pPr>
            <w:r w:rsidRPr="00552B0C">
              <w:rPr>
                <w:rFonts w:eastAsia="Arial Narrow" w:cs="Arial Narrow"/>
                <w:szCs w:val="20"/>
              </w:rPr>
              <w:t>T</w:t>
            </w:r>
            <w:r w:rsidR="00091D2A" w:rsidRPr="00552B0C">
              <w:rPr>
                <w:rFonts w:eastAsia="Arial Narrow" w:cs="Arial Narrow"/>
                <w:szCs w:val="20"/>
              </w:rPr>
              <w:t xml:space="preserve">here </w:t>
            </w:r>
            <w:r w:rsidR="00884884">
              <w:rPr>
                <w:rFonts w:eastAsia="Arial Narrow" w:cs="Arial Narrow"/>
                <w:szCs w:val="20"/>
              </w:rPr>
              <w:t>was</w:t>
            </w:r>
            <w:r w:rsidR="00884884" w:rsidRPr="00552B0C">
              <w:rPr>
                <w:rFonts w:eastAsia="Arial Narrow" w:cs="Arial Narrow"/>
                <w:szCs w:val="20"/>
              </w:rPr>
              <w:t xml:space="preserve"> </w:t>
            </w:r>
            <w:r w:rsidRPr="00552B0C">
              <w:rPr>
                <w:rFonts w:eastAsia="Arial Narrow" w:cs="Arial Narrow"/>
                <w:szCs w:val="20"/>
              </w:rPr>
              <w:t>also</w:t>
            </w:r>
            <w:r w:rsidR="00091D2A" w:rsidRPr="00552B0C">
              <w:rPr>
                <w:rFonts w:eastAsia="Arial Narrow" w:cs="Arial Narrow"/>
                <w:szCs w:val="20"/>
              </w:rPr>
              <w:t xml:space="preserve"> considerable uncertainty in the estimates of the proportions of the mixed comparator, which </w:t>
            </w:r>
            <w:r w:rsidR="00884884">
              <w:rPr>
                <w:rFonts w:eastAsia="Arial Narrow" w:cs="Arial Narrow"/>
                <w:szCs w:val="20"/>
              </w:rPr>
              <w:t>was</w:t>
            </w:r>
            <w:r w:rsidR="00884884" w:rsidRPr="00552B0C">
              <w:rPr>
                <w:rFonts w:eastAsia="Arial Narrow" w:cs="Arial Narrow"/>
                <w:szCs w:val="20"/>
              </w:rPr>
              <w:t xml:space="preserve"> </w:t>
            </w:r>
            <w:r w:rsidR="00091D2A" w:rsidRPr="00552B0C">
              <w:rPr>
                <w:rFonts w:eastAsia="Arial Narrow" w:cs="Arial Narrow"/>
                <w:szCs w:val="20"/>
              </w:rPr>
              <w:t>a key driver of the ICER</w:t>
            </w:r>
            <w:r w:rsidRPr="00552B0C">
              <w:rPr>
                <w:rFonts w:eastAsia="Arial Narrow" w:cs="Arial Narrow"/>
                <w:szCs w:val="20"/>
              </w:rPr>
              <w:t xml:space="preserve"> in the economic evaluation</w:t>
            </w:r>
            <w:r w:rsidR="00091D2A" w:rsidRPr="00552B0C">
              <w:rPr>
                <w:rFonts w:eastAsia="Arial Narrow" w:cs="Arial Narrow"/>
                <w:szCs w:val="20"/>
              </w:rPr>
              <w:t>.</w:t>
            </w:r>
          </w:p>
        </w:tc>
      </w:tr>
      <w:tr w:rsidR="00091D2A" w:rsidRPr="00552B0C" w14:paraId="2D88C879" w14:textId="77777777" w:rsidTr="75E1E867">
        <w:tc>
          <w:tcPr>
            <w:tcW w:w="784" w:type="pct"/>
            <w:vAlign w:val="center"/>
          </w:tcPr>
          <w:p w14:paraId="5946FAB1" w14:textId="77777777" w:rsidR="00091D2A" w:rsidRPr="00552B0C" w:rsidRDefault="00091D2A">
            <w:pPr>
              <w:pStyle w:val="TableText0"/>
              <w:keepNext w:val="0"/>
              <w:widowControl w:val="0"/>
            </w:pPr>
            <w:r w:rsidRPr="00552B0C">
              <w:t xml:space="preserve">Financial estimates </w:t>
            </w:r>
          </w:p>
        </w:tc>
        <w:tc>
          <w:tcPr>
            <w:tcW w:w="2043" w:type="pct"/>
          </w:tcPr>
          <w:p w14:paraId="130C3B49" w14:textId="00CBE730" w:rsidR="00091D2A" w:rsidRPr="00552B0C" w:rsidRDefault="00091D2A">
            <w:pPr>
              <w:pStyle w:val="TableText0"/>
              <w:keepNext w:val="0"/>
              <w:widowControl w:val="0"/>
            </w:pPr>
            <w:r w:rsidRPr="00552B0C">
              <w:rPr>
                <w:rFonts w:eastAsia="Arial Narrow" w:cs="Arial Narrow"/>
                <w:szCs w:val="20"/>
              </w:rPr>
              <w:t xml:space="preserve">The PBAC considered that the submission’s assumption that NALIRIFOX would replace Gem+NabP </w:t>
            </w:r>
            <w:r w:rsidR="00E11C86" w:rsidRPr="00552B0C">
              <w:t xml:space="preserve">in up to 85% of patients </w:t>
            </w:r>
            <w:r w:rsidRPr="00552B0C">
              <w:rPr>
                <w:rFonts w:eastAsia="Arial Narrow" w:cs="Arial Narrow"/>
                <w:szCs w:val="20"/>
              </w:rPr>
              <w:t xml:space="preserve">was not reasonable, and that replacement of FOLFIRINOX should have been modelled. The PBAC noted that the estimates were highly sensitive to the medicines replaced, and the additional cost was not justified as the submission had not demonstrated clinical superiority over the most relevant comparator, which was FOLFIRINOX </w:t>
            </w:r>
            <w:r w:rsidRPr="00552B0C">
              <w:rPr>
                <w:szCs w:val="20"/>
              </w:rPr>
              <w:t xml:space="preserve">(para 7.14, irinotecan </w:t>
            </w:r>
            <w:r w:rsidRPr="00552B0C">
              <w:rPr>
                <w:rFonts w:eastAsia="Arial Narrow" w:cs="Arial Narrow"/>
                <w:szCs w:val="20"/>
              </w:rPr>
              <w:t>(nanoliposomal)</w:t>
            </w:r>
            <w:r w:rsidRPr="00552B0C">
              <w:rPr>
                <w:szCs w:val="20"/>
              </w:rPr>
              <w:t>, PSD, March 2024 PBAC meeting).</w:t>
            </w:r>
          </w:p>
        </w:tc>
        <w:tc>
          <w:tcPr>
            <w:tcW w:w="2173" w:type="pct"/>
          </w:tcPr>
          <w:p w14:paraId="574B10F9" w14:textId="77777777" w:rsidR="00091D2A" w:rsidRPr="00552B0C" w:rsidRDefault="00091D2A">
            <w:pPr>
              <w:widowControl w:val="0"/>
              <w:rPr>
                <w:rFonts w:ascii="Arial Narrow" w:eastAsia="Arial Narrow" w:hAnsi="Arial Narrow" w:cs="Arial Narrow"/>
                <w:sz w:val="20"/>
                <w:szCs w:val="20"/>
              </w:rPr>
            </w:pPr>
            <w:r w:rsidRPr="00552B0C">
              <w:rPr>
                <w:rFonts w:ascii="Arial Narrow" w:eastAsia="Arial Narrow" w:hAnsi="Arial Narrow" w:cs="Arial Narrow"/>
                <w:sz w:val="20"/>
                <w:szCs w:val="20"/>
              </w:rPr>
              <w:t>Not adequately addressed.</w:t>
            </w:r>
          </w:p>
          <w:p w14:paraId="75D6F5CC" w14:textId="77777777" w:rsidR="00091D2A" w:rsidRPr="00552B0C" w:rsidRDefault="00091D2A">
            <w:pPr>
              <w:widowControl w:val="0"/>
              <w:rPr>
                <w:rFonts w:ascii="Arial Narrow" w:eastAsia="Arial Narrow" w:hAnsi="Arial Narrow" w:cs="Arial Narrow"/>
                <w:sz w:val="20"/>
                <w:szCs w:val="20"/>
              </w:rPr>
            </w:pPr>
          </w:p>
          <w:p w14:paraId="52A08F0A" w14:textId="538DB18D" w:rsidR="00091D2A" w:rsidRPr="00552B0C" w:rsidRDefault="00091D2A" w:rsidP="0080489D">
            <w:pPr>
              <w:jc w:val="left"/>
              <w:rPr>
                <w:rFonts w:ascii="Arial Narrow" w:hAnsi="Arial Narrow"/>
                <w:sz w:val="20"/>
                <w:szCs w:val="20"/>
              </w:rPr>
            </w:pPr>
            <w:r w:rsidRPr="00552B0C">
              <w:rPr>
                <w:rFonts w:ascii="Arial Narrow" w:hAnsi="Arial Narrow"/>
                <w:sz w:val="20"/>
                <w:szCs w:val="20"/>
              </w:rPr>
              <w:t xml:space="preserve">The resubmission assumed uptake of NALIRIFOX will result from the substitution of </w:t>
            </w:r>
            <w:r w:rsidR="004E3230" w:rsidRPr="00552B0C">
              <w:rPr>
                <w:rFonts w:ascii="Arial Narrow" w:hAnsi="Arial Narrow"/>
                <w:sz w:val="20"/>
                <w:szCs w:val="20"/>
              </w:rPr>
              <w:t xml:space="preserve">up to </w:t>
            </w:r>
            <w:r w:rsidR="005F3BC8" w:rsidRPr="00FC0E6B">
              <w:rPr>
                <w:rFonts w:ascii="Arial Narrow" w:hAnsi="Arial Narrow"/>
                <w:color w:val="000000"/>
                <w:spacing w:val="54"/>
                <w:sz w:val="20"/>
                <w:szCs w:val="20"/>
                <w:shd w:val="solid" w:color="000000" w:fill="000000"/>
                <w:fitText w:val="334" w:id="-760998142"/>
                <w14:textFill>
                  <w14:solidFill>
                    <w14:srgbClr w14:val="000000">
                      <w14:alpha w14:val="100000"/>
                    </w14:srgbClr>
                  </w14:solidFill>
                </w14:textFill>
              </w:rPr>
              <w:t>|||</w:t>
            </w:r>
            <w:r w:rsidR="005F3BC8" w:rsidRPr="00FC0E6B">
              <w:rPr>
                <w:rFonts w:ascii="Arial Narrow" w:hAnsi="Arial Narrow"/>
                <w:color w:val="000000"/>
                <w:spacing w:val="2"/>
                <w:sz w:val="20"/>
                <w:szCs w:val="20"/>
                <w:shd w:val="solid" w:color="000000" w:fill="000000"/>
                <w:fitText w:val="334" w:id="-760998142"/>
                <w14:textFill>
                  <w14:solidFill>
                    <w14:srgbClr w14:val="000000">
                      <w14:alpha w14:val="100000"/>
                    </w14:srgbClr>
                  </w14:solidFill>
                </w14:textFill>
              </w:rPr>
              <w:t>|</w:t>
            </w:r>
            <w:r w:rsidR="004E3230" w:rsidRPr="00552B0C">
              <w:rPr>
                <w:rFonts w:ascii="Arial Narrow" w:hAnsi="Arial Narrow"/>
                <w:sz w:val="20"/>
                <w:szCs w:val="20"/>
              </w:rPr>
              <w:t>% of</w:t>
            </w:r>
            <w:r w:rsidRPr="00552B0C">
              <w:rPr>
                <w:rFonts w:ascii="Arial Narrow" w:hAnsi="Arial Narrow"/>
                <w:sz w:val="20"/>
                <w:szCs w:val="20"/>
              </w:rPr>
              <w:t xml:space="preserve"> the Gem+NabP </w:t>
            </w:r>
            <w:r w:rsidR="004E3230" w:rsidRPr="00552B0C">
              <w:rPr>
                <w:rFonts w:ascii="Arial Narrow" w:hAnsi="Arial Narrow"/>
                <w:sz w:val="20"/>
                <w:szCs w:val="20"/>
              </w:rPr>
              <w:t xml:space="preserve">market (which represents 85.1% of the total market) and up to </w:t>
            </w:r>
            <w:r w:rsidR="005F3BC8" w:rsidRPr="00FC0E6B">
              <w:rPr>
                <w:rFonts w:ascii="Arial Narrow" w:hAnsi="Arial Narrow"/>
                <w:color w:val="000000"/>
                <w:spacing w:val="50"/>
                <w:sz w:val="20"/>
                <w:szCs w:val="20"/>
                <w:shd w:val="solid" w:color="000000" w:fill="000000"/>
                <w:fitText w:val="322" w:id="-760998141"/>
                <w14:textFill>
                  <w14:solidFill>
                    <w14:srgbClr w14:val="000000">
                      <w14:alpha w14:val="100000"/>
                    </w14:srgbClr>
                  </w14:solidFill>
                </w14:textFill>
              </w:rPr>
              <w:t>|||</w:t>
            </w:r>
            <w:r w:rsidR="005F3BC8" w:rsidRPr="00FC0E6B">
              <w:rPr>
                <w:rFonts w:ascii="Arial Narrow" w:hAnsi="Arial Narrow"/>
                <w:color w:val="000000"/>
                <w:spacing w:val="2"/>
                <w:sz w:val="20"/>
                <w:szCs w:val="20"/>
                <w:shd w:val="solid" w:color="000000" w:fill="000000"/>
                <w:fitText w:val="322" w:id="-760998141"/>
                <w14:textFill>
                  <w14:solidFill>
                    <w14:srgbClr w14:val="000000">
                      <w14:alpha w14:val="100000"/>
                    </w14:srgbClr>
                  </w14:solidFill>
                </w14:textFill>
              </w:rPr>
              <w:t>|</w:t>
            </w:r>
            <w:r w:rsidR="004E3230" w:rsidRPr="00552B0C">
              <w:rPr>
                <w:rFonts w:ascii="Arial Narrow" w:hAnsi="Arial Narrow"/>
                <w:sz w:val="20"/>
                <w:szCs w:val="20"/>
              </w:rPr>
              <w:t>% of the</w:t>
            </w:r>
            <w:r w:rsidRPr="00552B0C">
              <w:rPr>
                <w:rFonts w:ascii="Arial Narrow" w:hAnsi="Arial Narrow"/>
                <w:sz w:val="20"/>
                <w:szCs w:val="20"/>
              </w:rPr>
              <w:t xml:space="preserve"> NALIRIFOX market</w:t>
            </w:r>
            <w:r w:rsidR="004E3230" w:rsidRPr="00552B0C">
              <w:rPr>
                <w:rFonts w:ascii="Arial Narrow" w:hAnsi="Arial Narrow"/>
                <w:sz w:val="20"/>
                <w:szCs w:val="20"/>
              </w:rPr>
              <w:t xml:space="preserve"> (which represents the remaining 14.9% of the total market).</w:t>
            </w:r>
            <w:r w:rsidRPr="00552B0C">
              <w:rPr>
                <w:rFonts w:ascii="Arial Narrow" w:hAnsi="Arial Narrow"/>
                <w:sz w:val="20"/>
                <w:szCs w:val="20"/>
              </w:rPr>
              <w:t xml:space="preserve"> </w:t>
            </w:r>
          </w:p>
          <w:p w14:paraId="749C5D41" w14:textId="77777777" w:rsidR="00091D2A" w:rsidRPr="00552B0C" w:rsidRDefault="00091D2A" w:rsidP="0080489D">
            <w:pPr>
              <w:jc w:val="left"/>
              <w:rPr>
                <w:rFonts w:ascii="Arial Narrow" w:hAnsi="Arial Narrow"/>
                <w:sz w:val="20"/>
                <w:szCs w:val="20"/>
              </w:rPr>
            </w:pPr>
          </w:p>
          <w:p w14:paraId="071A2E0C" w14:textId="5CFE7EB4" w:rsidR="00753AE8" w:rsidRPr="00552B0C" w:rsidRDefault="005927FC" w:rsidP="00EF72D1">
            <w:pPr>
              <w:jc w:val="left"/>
              <w:rPr>
                <w:rFonts w:ascii="Arial Narrow" w:hAnsi="Arial Narrow"/>
                <w:sz w:val="20"/>
                <w:szCs w:val="20"/>
              </w:rPr>
            </w:pPr>
            <w:r w:rsidRPr="00552B0C">
              <w:rPr>
                <w:rFonts w:ascii="Arial Narrow" w:hAnsi="Arial Narrow"/>
                <w:sz w:val="20"/>
                <w:szCs w:val="20"/>
              </w:rPr>
              <w:t>The estimated</w:t>
            </w:r>
            <w:r w:rsidR="0031285D" w:rsidRPr="00552B0C">
              <w:rPr>
                <w:rFonts w:ascii="Arial Narrow" w:hAnsi="Arial Narrow"/>
                <w:sz w:val="20"/>
                <w:szCs w:val="20"/>
              </w:rPr>
              <w:t xml:space="preserve"> market share of Gem+NabP and FOLFIRINOX</w:t>
            </w:r>
            <w:r w:rsidRPr="00552B0C">
              <w:rPr>
                <w:rFonts w:ascii="Arial Narrow" w:hAnsi="Arial Narrow"/>
                <w:sz w:val="20"/>
                <w:szCs w:val="20"/>
              </w:rPr>
              <w:t xml:space="preserve"> (as analysed by the PURPLE registry) </w:t>
            </w:r>
            <w:r w:rsidR="00467712" w:rsidRPr="00552B0C">
              <w:rPr>
                <w:rFonts w:ascii="Arial Narrow" w:hAnsi="Arial Narrow"/>
                <w:sz w:val="20"/>
                <w:szCs w:val="20"/>
              </w:rPr>
              <w:t>may</w:t>
            </w:r>
            <w:r w:rsidR="00D171B3" w:rsidRPr="00552B0C">
              <w:rPr>
                <w:rFonts w:ascii="Arial Narrow" w:hAnsi="Arial Narrow"/>
                <w:sz w:val="20"/>
                <w:szCs w:val="20"/>
              </w:rPr>
              <w:t xml:space="preserve"> be </w:t>
            </w:r>
            <w:r w:rsidR="007C17C1" w:rsidRPr="00552B0C">
              <w:rPr>
                <w:rFonts w:ascii="Arial Narrow" w:hAnsi="Arial Narrow"/>
                <w:sz w:val="20"/>
                <w:szCs w:val="20"/>
              </w:rPr>
              <w:t>overestimated based on a similar analysis in a report by Lee 2023</w:t>
            </w:r>
            <w:r w:rsidR="00E91E14" w:rsidRPr="00552B0C">
              <w:rPr>
                <w:rFonts w:ascii="Arial Narrow" w:hAnsi="Arial Narrow"/>
                <w:sz w:val="20"/>
                <w:szCs w:val="20"/>
              </w:rPr>
              <w:t xml:space="preserve"> which identified that approximately 22% of patients with locally advanced, recurrent or metastatic pancreatic adenocarcinoma </w:t>
            </w:r>
            <w:r w:rsidR="00355277" w:rsidRPr="00552B0C">
              <w:rPr>
                <w:rFonts w:ascii="Arial Narrow" w:hAnsi="Arial Narrow"/>
                <w:sz w:val="20"/>
                <w:szCs w:val="20"/>
              </w:rPr>
              <w:t>had</w:t>
            </w:r>
            <w:r w:rsidR="006A3523" w:rsidRPr="00552B0C">
              <w:rPr>
                <w:rFonts w:ascii="Arial Narrow" w:hAnsi="Arial Narrow"/>
                <w:sz w:val="20"/>
                <w:szCs w:val="20"/>
              </w:rPr>
              <w:t xml:space="preserve"> first-line chemotherapy</w:t>
            </w:r>
            <w:r w:rsidR="009A5DDE" w:rsidRPr="00552B0C">
              <w:rPr>
                <w:rFonts w:ascii="Arial Narrow" w:hAnsi="Arial Narrow"/>
                <w:sz w:val="20"/>
                <w:szCs w:val="20"/>
              </w:rPr>
              <w:t xml:space="preserve"> treatment other than Gem+NabP and FOLFIRINOX. Additionall</w:t>
            </w:r>
            <w:r w:rsidR="00492634" w:rsidRPr="00552B0C">
              <w:rPr>
                <w:rFonts w:ascii="Arial Narrow" w:hAnsi="Arial Narrow"/>
                <w:sz w:val="20"/>
                <w:szCs w:val="20"/>
              </w:rPr>
              <w:t>y,</w:t>
            </w:r>
            <w:r w:rsidR="00091D2A" w:rsidRPr="00552B0C" w:rsidDel="00EF72D1">
              <w:rPr>
                <w:rFonts w:ascii="Arial Narrow" w:hAnsi="Arial Narrow"/>
                <w:sz w:val="20"/>
                <w:szCs w:val="20"/>
              </w:rPr>
              <w:t xml:space="preserve"> </w:t>
            </w:r>
            <w:r w:rsidR="00091D2A" w:rsidRPr="00552B0C">
              <w:rPr>
                <w:rFonts w:ascii="Arial Narrow" w:hAnsi="Arial Narrow"/>
                <w:sz w:val="20"/>
                <w:szCs w:val="20"/>
              </w:rPr>
              <w:t xml:space="preserve">there is uncertainty </w:t>
            </w:r>
            <w:r w:rsidR="0031285D" w:rsidRPr="00552B0C">
              <w:rPr>
                <w:rFonts w:ascii="Arial Narrow" w:hAnsi="Arial Narrow"/>
                <w:sz w:val="20"/>
                <w:szCs w:val="20"/>
              </w:rPr>
              <w:t>in</w:t>
            </w:r>
            <w:r w:rsidR="00091D2A" w:rsidRPr="00552B0C">
              <w:rPr>
                <w:rFonts w:ascii="Arial Narrow" w:hAnsi="Arial Narrow"/>
                <w:sz w:val="20"/>
                <w:szCs w:val="20"/>
              </w:rPr>
              <w:t xml:space="preserve"> the extent to which Gem+NabP </w:t>
            </w:r>
            <w:r w:rsidR="00EF72D1" w:rsidRPr="00552B0C">
              <w:rPr>
                <w:rFonts w:ascii="Arial Narrow" w:hAnsi="Arial Narrow"/>
                <w:sz w:val="20"/>
                <w:szCs w:val="20"/>
              </w:rPr>
              <w:t xml:space="preserve">and FOLFIRINOX </w:t>
            </w:r>
            <w:r w:rsidR="00091D2A" w:rsidRPr="00552B0C">
              <w:rPr>
                <w:rFonts w:ascii="Arial Narrow" w:hAnsi="Arial Narrow"/>
                <w:sz w:val="20"/>
                <w:szCs w:val="20"/>
              </w:rPr>
              <w:lastRenderedPageBreak/>
              <w:t>may be substituted by NALIRIFOX in clinical practice</w:t>
            </w:r>
            <w:r w:rsidR="00492634" w:rsidRPr="00552B0C">
              <w:rPr>
                <w:rFonts w:ascii="Arial Narrow" w:hAnsi="Arial Narrow"/>
                <w:sz w:val="20"/>
                <w:szCs w:val="20"/>
              </w:rPr>
              <w:t>; the proposed substitution rate of 50% of Gem+NabP is likely too high based on the toxicity profile of NALIRIFOX</w:t>
            </w:r>
            <w:r w:rsidR="00DB1AC3" w:rsidRPr="00552B0C">
              <w:rPr>
                <w:rFonts w:ascii="Arial Narrow" w:hAnsi="Arial Narrow"/>
                <w:sz w:val="20"/>
                <w:szCs w:val="20"/>
              </w:rPr>
              <w:t xml:space="preserve"> and the lack of a clinically meaningful difference in effectiveness</w:t>
            </w:r>
            <w:r w:rsidR="00091D2A" w:rsidRPr="00552B0C">
              <w:rPr>
                <w:rFonts w:ascii="Arial Narrow" w:hAnsi="Arial Narrow"/>
                <w:sz w:val="20"/>
                <w:szCs w:val="20"/>
              </w:rPr>
              <w:t xml:space="preserve">. </w:t>
            </w:r>
          </w:p>
          <w:p w14:paraId="5EF9FBCE" w14:textId="77777777" w:rsidR="00753AE8" w:rsidRPr="00552B0C" w:rsidRDefault="00753AE8" w:rsidP="00EF72D1">
            <w:pPr>
              <w:jc w:val="left"/>
              <w:rPr>
                <w:rFonts w:ascii="Arial Narrow" w:hAnsi="Arial Narrow"/>
                <w:sz w:val="20"/>
                <w:szCs w:val="20"/>
              </w:rPr>
            </w:pPr>
          </w:p>
          <w:p w14:paraId="039CB2EC" w14:textId="1B903AE2" w:rsidR="00091D2A" w:rsidRPr="00552B0C" w:rsidRDefault="00091D2A" w:rsidP="0086370A">
            <w:pPr>
              <w:jc w:val="left"/>
            </w:pPr>
            <w:r w:rsidRPr="00552B0C">
              <w:rPr>
                <w:rFonts w:ascii="Arial Narrow" w:hAnsi="Arial Narrow"/>
                <w:sz w:val="20"/>
                <w:szCs w:val="20"/>
              </w:rPr>
              <w:t xml:space="preserve">Collectively, this has resulted in the uptake rate of NALIRIFOX </w:t>
            </w:r>
            <w:r w:rsidR="00753AE8" w:rsidRPr="00552B0C">
              <w:rPr>
                <w:rFonts w:ascii="Arial Narrow" w:hAnsi="Arial Narrow"/>
                <w:sz w:val="20"/>
                <w:szCs w:val="20"/>
              </w:rPr>
              <w:t xml:space="preserve">and </w:t>
            </w:r>
            <w:r w:rsidR="001308AE" w:rsidRPr="00552B0C">
              <w:rPr>
                <w:rFonts w:ascii="Arial Narrow" w:hAnsi="Arial Narrow"/>
                <w:sz w:val="20"/>
                <w:szCs w:val="20"/>
              </w:rPr>
              <w:t>subsequent financial estimates</w:t>
            </w:r>
            <w:r w:rsidRPr="00552B0C">
              <w:rPr>
                <w:rFonts w:ascii="Arial Narrow" w:hAnsi="Arial Narrow"/>
                <w:sz w:val="20"/>
                <w:szCs w:val="20"/>
              </w:rPr>
              <w:t xml:space="preserve"> likely being overestimated. </w:t>
            </w:r>
          </w:p>
        </w:tc>
      </w:tr>
    </w:tbl>
    <w:bookmarkEnd w:id="12"/>
    <w:p w14:paraId="737FA165" w14:textId="77777777" w:rsidR="00091D2A" w:rsidRPr="00B87FAE" w:rsidRDefault="00091D2A" w:rsidP="006C554D">
      <w:pPr>
        <w:pStyle w:val="TableFigureFooter"/>
        <w:rPr>
          <w:rStyle w:val="CommentReference"/>
          <w:b w:val="0"/>
          <w:sz w:val="18"/>
          <w:szCs w:val="22"/>
        </w:rPr>
      </w:pPr>
      <w:r w:rsidRPr="00B87FAE">
        <w:rPr>
          <w:rStyle w:val="CommentReference"/>
          <w:b w:val="0"/>
          <w:sz w:val="18"/>
          <w:szCs w:val="22"/>
        </w:rPr>
        <w:lastRenderedPageBreak/>
        <w:t>Source: Compiled during the evaluation</w:t>
      </w:r>
    </w:p>
    <w:p w14:paraId="747984F1" w14:textId="11270355" w:rsidR="00F60E6F" w:rsidRPr="00F60E6F" w:rsidRDefault="00091D2A" w:rsidP="006C554D">
      <w:pPr>
        <w:pStyle w:val="TableFigureFooter"/>
      </w:pPr>
      <w:r w:rsidRPr="00B87FAE">
        <w:rPr>
          <w:rStyle w:val="CommentReference"/>
          <w:b w:val="0"/>
          <w:sz w:val="18"/>
          <w:szCs w:val="22"/>
        </w:rPr>
        <w:t xml:space="preserve">Abbreviations: </w:t>
      </w:r>
      <w:r w:rsidR="00AB6AC1" w:rsidRPr="00B87FAE">
        <w:rPr>
          <w:rStyle w:val="CommentReference"/>
          <w:b w:val="0"/>
          <w:sz w:val="18"/>
          <w:szCs w:val="22"/>
        </w:rPr>
        <w:t>A</w:t>
      </w:r>
      <w:r w:rsidR="004A70BE" w:rsidRPr="00B87FAE">
        <w:rPr>
          <w:rStyle w:val="CommentReference"/>
          <w:b w:val="0"/>
          <w:sz w:val="18"/>
          <w:szCs w:val="22"/>
        </w:rPr>
        <w:t>E</w:t>
      </w:r>
      <w:r w:rsidR="00AB6AC1" w:rsidRPr="00B87FAE">
        <w:rPr>
          <w:rStyle w:val="CommentReference"/>
          <w:b w:val="0"/>
          <w:sz w:val="18"/>
          <w:szCs w:val="22"/>
        </w:rPr>
        <w:t>s, adverse events;</w:t>
      </w:r>
      <w:r w:rsidRPr="00B87FAE">
        <w:rPr>
          <w:rStyle w:val="CommentReference"/>
          <w:b w:val="0"/>
          <w:sz w:val="18"/>
          <w:szCs w:val="22"/>
        </w:rPr>
        <w:t xml:space="preserve"> </w:t>
      </w:r>
      <w:r w:rsidR="00950716" w:rsidRPr="00B87FAE">
        <w:rPr>
          <w:rStyle w:val="CommentReference"/>
          <w:b w:val="0"/>
          <w:sz w:val="18"/>
          <w:szCs w:val="22"/>
        </w:rPr>
        <w:t xml:space="preserve">ASCO, </w:t>
      </w:r>
      <w:r w:rsidR="00A24A25" w:rsidRPr="00B87FAE">
        <w:t xml:space="preserve">American Society of Clinical Oncology; </w:t>
      </w:r>
      <w:r w:rsidRPr="00B87FAE">
        <w:rPr>
          <w:rStyle w:val="CommentReference"/>
          <w:b w:val="0"/>
          <w:sz w:val="18"/>
          <w:szCs w:val="22"/>
        </w:rPr>
        <w:t>ECOG</w:t>
      </w:r>
      <w:r w:rsidR="008824DB" w:rsidRPr="00B87FAE">
        <w:rPr>
          <w:rStyle w:val="CommentReference"/>
          <w:b w:val="0"/>
          <w:sz w:val="18"/>
          <w:szCs w:val="22"/>
        </w:rPr>
        <w:t xml:space="preserve"> </w:t>
      </w:r>
      <w:r w:rsidRPr="00B87FAE">
        <w:rPr>
          <w:rStyle w:val="CommentReference"/>
          <w:b w:val="0"/>
          <w:sz w:val="18"/>
          <w:szCs w:val="22"/>
        </w:rPr>
        <w:t xml:space="preserve">PS, Eastern Cooperative Oncology Group Performance Status; </w:t>
      </w:r>
      <w:r w:rsidR="008E4CE0" w:rsidRPr="00B87FAE">
        <w:rPr>
          <w:rStyle w:val="CommentReference"/>
          <w:b w:val="0"/>
          <w:sz w:val="18"/>
          <w:szCs w:val="22"/>
        </w:rPr>
        <w:t xml:space="preserve">ESMO, </w:t>
      </w:r>
      <w:r w:rsidR="008E4CE0" w:rsidRPr="00B87FAE">
        <w:t>European Society for Medical Oncology</w:t>
      </w:r>
      <w:r w:rsidR="00D71A6D" w:rsidRPr="00B87FAE">
        <w:t xml:space="preserve">; </w:t>
      </w:r>
      <w:r w:rsidRPr="00B87FAE">
        <w:rPr>
          <w:rStyle w:val="CommentReference"/>
          <w:b w:val="0"/>
          <w:sz w:val="18"/>
          <w:szCs w:val="22"/>
        </w:rPr>
        <w:t>FOLFIRINOX, fluorouracil, folinic acid, irinotecan, oxaliplatin; Gem+NabP, gemcitabine plus nanoparticle albumin-bound paclitaxel;</w:t>
      </w:r>
      <w:r w:rsidR="00C748C7" w:rsidRPr="00B87FAE">
        <w:rPr>
          <w:rStyle w:val="CommentReference"/>
          <w:b w:val="0"/>
          <w:sz w:val="18"/>
          <w:szCs w:val="22"/>
        </w:rPr>
        <w:t xml:space="preserve"> NabP,</w:t>
      </w:r>
      <w:r w:rsidRPr="00B87FAE">
        <w:rPr>
          <w:rStyle w:val="CommentReference"/>
          <w:b w:val="0"/>
          <w:sz w:val="18"/>
          <w:szCs w:val="22"/>
        </w:rPr>
        <w:t xml:space="preserve"> </w:t>
      </w:r>
      <w:r w:rsidR="00C748C7" w:rsidRPr="00B87FAE">
        <w:rPr>
          <w:rStyle w:val="CommentReference"/>
          <w:b w:val="0"/>
          <w:sz w:val="18"/>
          <w:szCs w:val="22"/>
        </w:rPr>
        <w:t xml:space="preserve">nanoparticle albumin-bound paclitaxel; </w:t>
      </w:r>
      <w:r w:rsidRPr="00B87FAE">
        <w:rPr>
          <w:rStyle w:val="CommentReference"/>
          <w:b w:val="0"/>
          <w:sz w:val="18"/>
          <w:szCs w:val="22"/>
        </w:rPr>
        <w:t xml:space="preserve">nal-IRI, nanoliposomal irinotecan; </w:t>
      </w:r>
      <w:r w:rsidR="00EB4D89" w:rsidRPr="00B87FAE">
        <w:rPr>
          <w:rStyle w:val="CommentReference"/>
          <w:b w:val="0"/>
          <w:sz w:val="18"/>
          <w:szCs w:val="22"/>
        </w:rPr>
        <w:t xml:space="preserve">ICER, </w:t>
      </w:r>
      <w:r w:rsidR="00EB4D89" w:rsidRPr="00B87FAE">
        <w:t xml:space="preserve">incremental cost-effectiveness ratio; </w:t>
      </w:r>
      <w:r w:rsidR="00C47A39" w:rsidRPr="00B87FAE">
        <w:rPr>
          <w:rStyle w:val="CommentReference"/>
          <w:b w:val="0"/>
          <w:sz w:val="18"/>
          <w:szCs w:val="22"/>
        </w:rPr>
        <w:t xml:space="preserve">ITC, indirect treatment comparison; </w:t>
      </w:r>
      <w:r w:rsidR="009F45B1" w:rsidRPr="00B87FAE">
        <w:rPr>
          <w:rStyle w:val="CommentReference"/>
          <w:b w:val="0"/>
          <w:sz w:val="18"/>
          <w:szCs w:val="22"/>
        </w:rPr>
        <w:t xml:space="preserve">MAIC, Matching-adjusted indirect comparison; </w:t>
      </w:r>
      <w:r w:rsidR="00417F33" w:rsidRPr="00B87FAE">
        <w:rPr>
          <w:rStyle w:val="CommentReference"/>
          <w:b w:val="0"/>
          <w:sz w:val="18"/>
          <w:szCs w:val="22"/>
        </w:rPr>
        <w:t xml:space="preserve">MCID, </w:t>
      </w:r>
      <w:r w:rsidR="00417F33" w:rsidRPr="00B87FAE">
        <w:t>minimal clinically important difference</w:t>
      </w:r>
      <w:r w:rsidR="004102DB" w:rsidRPr="00B87FAE">
        <w:t xml:space="preserve">; </w:t>
      </w:r>
      <w:r w:rsidRPr="00B87FAE">
        <w:rPr>
          <w:rStyle w:val="CommentReference"/>
          <w:b w:val="0"/>
          <w:sz w:val="18"/>
          <w:szCs w:val="22"/>
        </w:rPr>
        <w:t>NALIRIFOX, nanoliposomal irinotecan (nal-IRI) in combination with 5-fluorouracil, leucovorin/folinic acid, and oxaliplatin; NCCN, National Comprehensive Cancer Network</w:t>
      </w:r>
      <w:r w:rsidR="00E81918" w:rsidRPr="00B87FAE">
        <w:rPr>
          <w:rStyle w:val="CommentReference"/>
          <w:b w:val="0"/>
          <w:sz w:val="18"/>
          <w:szCs w:val="22"/>
        </w:rPr>
        <w:t>;</w:t>
      </w:r>
      <w:r w:rsidRPr="00B87FAE">
        <w:rPr>
          <w:rStyle w:val="CommentReference"/>
          <w:b w:val="0"/>
          <w:sz w:val="18"/>
          <w:szCs w:val="22"/>
        </w:rPr>
        <w:t xml:space="preserve"> OS, overall survival; </w:t>
      </w:r>
      <w:r w:rsidR="00530DD6" w:rsidRPr="00B87FAE">
        <w:rPr>
          <w:rStyle w:val="CommentReference"/>
          <w:b w:val="0"/>
          <w:sz w:val="18"/>
          <w:szCs w:val="22"/>
        </w:rPr>
        <w:t xml:space="preserve">PBAC, Pharmaceutical Benefits Advisory Committee; </w:t>
      </w:r>
      <w:r w:rsidR="00260FCC" w:rsidRPr="00B87FAE">
        <w:rPr>
          <w:rStyle w:val="CommentReference"/>
          <w:b w:val="0"/>
          <w:sz w:val="18"/>
          <w:szCs w:val="22"/>
        </w:rPr>
        <w:t xml:space="preserve">PBS, </w:t>
      </w:r>
      <w:r w:rsidR="00260FCC" w:rsidRPr="00B87FAE">
        <w:t xml:space="preserve">Pharmaceutical Benefits Scheme; </w:t>
      </w:r>
      <w:r w:rsidRPr="00B87FAE">
        <w:rPr>
          <w:rStyle w:val="CommentReference"/>
          <w:b w:val="0"/>
          <w:sz w:val="18"/>
          <w:szCs w:val="22"/>
        </w:rPr>
        <w:t xml:space="preserve">PFS, progression-free survival; PSD, public summary document; </w:t>
      </w:r>
      <w:r w:rsidR="00B21D73" w:rsidRPr="00B87FAE">
        <w:rPr>
          <w:rStyle w:val="CommentReference"/>
          <w:b w:val="0"/>
          <w:sz w:val="18"/>
          <w:szCs w:val="22"/>
        </w:rPr>
        <w:t xml:space="preserve">PURPLE; Pancreatic cancer: Understanding Routine Practice &amp; Lifting End registry; </w:t>
      </w:r>
      <w:r w:rsidRPr="00B87FAE">
        <w:rPr>
          <w:rStyle w:val="CommentReference"/>
          <w:b w:val="0"/>
          <w:sz w:val="18"/>
          <w:szCs w:val="22"/>
        </w:rPr>
        <w:t>TEAEs, treatment emergent adverse events.</w:t>
      </w:r>
    </w:p>
    <w:p w14:paraId="12D5B1D6" w14:textId="77777777" w:rsidR="00F60E6F" w:rsidRPr="00456281" w:rsidRDefault="00F60E6F" w:rsidP="00552B0C">
      <w:pPr>
        <w:pStyle w:val="3-BodyText"/>
        <w:numPr>
          <w:ilvl w:val="1"/>
          <w:numId w:val="5"/>
        </w:numPr>
        <w:shd w:val="clear" w:color="auto" w:fill="FFFFFF" w:themeFill="background1"/>
      </w:pPr>
      <w:r w:rsidRPr="00BC17C4">
        <w:rPr>
          <w:shd w:val="clear" w:color="auto" w:fill="FFFFFF" w:themeFill="background1"/>
        </w:rPr>
        <w:t xml:space="preserve">Nal-IRI has also been considered by the PBAC </w:t>
      </w:r>
      <w:r>
        <w:rPr>
          <w:shd w:val="clear" w:color="auto" w:fill="FFFFFF" w:themeFill="background1"/>
        </w:rPr>
        <w:t>for use in the second-line setting</w:t>
      </w:r>
      <w:r w:rsidRPr="00456281">
        <w:t>:</w:t>
      </w:r>
    </w:p>
    <w:p w14:paraId="2B142939" w14:textId="77777777" w:rsidR="00F60E6F" w:rsidRPr="00456281" w:rsidRDefault="00F60E6F" w:rsidP="00552B0C">
      <w:pPr>
        <w:pStyle w:val="ListParagraph"/>
        <w:numPr>
          <w:ilvl w:val="0"/>
          <w:numId w:val="10"/>
        </w:numPr>
        <w:shd w:val="clear" w:color="auto" w:fill="FFFFFF" w:themeFill="background1"/>
      </w:pPr>
      <w:r w:rsidRPr="00931EE0">
        <w:rPr>
          <w:shd w:val="clear" w:color="auto" w:fill="FFFFFF" w:themeFill="background1"/>
        </w:rPr>
        <w:t>November 2016: Submission requested use in combination with 5-FU and folinic acid for the treatment of mPAC in adult patients with disease progression who have previously received gemcitabine-based therapy. The PBAC did not recommend listing on the basis of unacceptably high incremental cost for a modest and uncertain incremental clinical benefit (para 7.1, irinotecan (nanoliposomal), PSD, November 2016 PBAC meeting</w:t>
      </w:r>
      <w:r w:rsidRPr="00456281">
        <w:t>).</w:t>
      </w:r>
    </w:p>
    <w:p w14:paraId="68D56C57" w14:textId="5FB71DEA" w:rsidR="00F60E6F" w:rsidRPr="00F60E6F" w:rsidRDefault="00F60E6F" w:rsidP="00552B0C">
      <w:pPr>
        <w:pStyle w:val="ListParagraph"/>
        <w:numPr>
          <w:ilvl w:val="0"/>
          <w:numId w:val="10"/>
        </w:numPr>
        <w:shd w:val="clear" w:color="auto" w:fill="FFFFFF" w:themeFill="background1"/>
      </w:pPr>
      <w:r w:rsidRPr="00931EE0">
        <w:rPr>
          <w:shd w:val="clear" w:color="auto" w:fill="FFFFFF" w:themeFill="background1"/>
        </w:rPr>
        <w:t>March 2018: Resubmission requested use in combination with 5-FU and folinic acid for the treatment of patients with mPAC who have previously failed gemcitabine-based therapy. The PBAC did not recommend listing on the basis of unacceptably high incremental cost for a modest and uncertain incremental clinical benefit (para 6.1, irinotecan (nanoliposomal), PSD, March 2018 PBAC meeting</w:t>
      </w:r>
      <w:r w:rsidRPr="00456281">
        <w:t>).</w:t>
      </w:r>
    </w:p>
    <w:p w14:paraId="76E4EF3C" w14:textId="13040F70" w:rsidR="00B60939" w:rsidRDefault="00B50DB8" w:rsidP="3EAC27F4">
      <w:pPr>
        <w:pStyle w:val="2-SectionHeading"/>
      </w:pPr>
      <w:bookmarkStart w:id="13" w:name="_Toc107902078"/>
      <w:bookmarkStart w:id="14" w:name="_Toc177546216"/>
      <w:bookmarkEnd w:id="13"/>
      <w:r>
        <w:t>Requested listing</w:t>
      </w:r>
      <w:bookmarkEnd w:id="14"/>
    </w:p>
    <w:p w14:paraId="340000C8" w14:textId="260260F8" w:rsidR="00884884" w:rsidRDefault="00884884" w:rsidP="00884884">
      <w:pPr>
        <w:pStyle w:val="3-BodyText"/>
      </w:pPr>
      <w:r>
        <w:t>The requested listing is shown below.</w:t>
      </w:r>
      <w:r w:rsidRPr="00884884">
        <w:t xml:space="preserve"> Changes compared to the </w:t>
      </w:r>
      <w:r>
        <w:t>March 2024</w:t>
      </w:r>
      <w:r w:rsidRPr="00884884">
        <w:t xml:space="preserve"> submission </w:t>
      </w:r>
      <w:r>
        <w:t xml:space="preserve">are shown </w:t>
      </w:r>
      <w:r w:rsidRPr="00884884">
        <w:t>in italics</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4"/>
        <w:gridCol w:w="1973"/>
        <w:gridCol w:w="1973"/>
        <w:gridCol w:w="1977"/>
      </w:tblGrid>
      <w:tr w:rsidR="00091D2A" w:rsidRPr="0098262F" w14:paraId="46DFF4C8" w14:textId="77777777" w:rsidTr="75E1E867">
        <w:trPr>
          <w:cantSplit/>
          <w:trHeight w:val="20"/>
        </w:trPr>
        <w:tc>
          <w:tcPr>
            <w:tcW w:w="1716" w:type="pct"/>
            <w:shd w:val="clear" w:color="auto" w:fill="auto"/>
            <w:vAlign w:val="center"/>
          </w:tcPr>
          <w:p w14:paraId="774287D6" w14:textId="77777777" w:rsidR="00091D2A" w:rsidRPr="0098262F" w:rsidRDefault="00091D2A" w:rsidP="00A325E1">
            <w:pPr>
              <w:pStyle w:val="TableFigureHeading"/>
            </w:pPr>
            <w:r w:rsidRPr="0098262F">
              <w:t>MEDICINAL PRODUCT</w:t>
            </w:r>
          </w:p>
          <w:p w14:paraId="4E621B38" w14:textId="77777777" w:rsidR="00091D2A" w:rsidRPr="0098262F" w:rsidRDefault="00091D2A" w:rsidP="00A325E1">
            <w:pPr>
              <w:pStyle w:val="TableFigureHeading"/>
            </w:pPr>
            <w:r w:rsidRPr="0098262F">
              <w:t>Form</w:t>
            </w:r>
          </w:p>
        </w:tc>
        <w:tc>
          <w:tcPr>
            <w:tcW w:w="1094" w:type="pct"/>
            <w:shd w:val="clear" w:color="auto" w:fill="auto"/>
            <w:vAlign w:val="center"/>
          </w:tcPr>
          <w:p w14:paraId="24BB2490" w14:textId="1FAC5AD5" w:rsidR="00091D2A" w:rsidRPr="0098262F" w:rsidRDefault="00091D2A" w:rsidP="00A325E1">
            <w:pPr>
              <w:pStyle w:val="TableFigureHeading"/>
            </w:pPr>
            <w:r w:rsidRPr="0098262F">
              <w:t>Dispensed Price Max Amt</w:t>
            </w:r>
          </w:p>
        </w:tc>
        <w:tc>
          <w:tcPr>
            <w:tcW w:w="1094" w:type="pct"/>
            <w:shd w:val="clear" w:color="auto" w:fill="auto"/>
            <w:vAlign w:val="center"/>
          </w:tcPr>
          <w:p w14:paraId="3A766D66" w14:textId="77777777" w:rsidR="00091D2A" w:rsidRPr="0098262F" w:rsidRDefault="00091D2A" w:rsidP="00A325E1">
            <w:pPr>
              <w:pStyle w:val="TableFigureHeading"/>
            </w:pPr>
            <w:r w:rsidRPr="0098262F">
              <w:t>Max. Amount</w:t>
            </w:r>
          </w:p>
        </w:tc>
        <w:tc>
          <w:tcPr>
            <w:tcW w:w="1096" w:type="pct"/>
            <w:shd w:val="clear" w:color="auto" w:fill="auto"/>
            <w:vAlign w:val="center"/>
          </w:tcPr>
          <w:p w14:paraId="6C4FA7A9" w14:textId="77777777" w:rsidR="00091D2A" w:rsidRPr="0098262F" w:rsidRDefault="00091D2A" w:rsidP="00A325E1">
            <w:pPr>
              <w:pStyle w:val="TableFigureHeading"/>
            </w:pPr>
            <w:r w:rsidRPr="0098262F">
              <w:t>№.of Rpts</w:t>
            </w:r>
          </w:p>
        </w:tc>
      </w:tr>
      <w:tr w:rsidR="00091D2A" w:rsidRPr="0098262F" w14:paraId="07BF66CA" w14:textId="77777777" w:rsidTr="75E1E867">
        <w:trPr>
          <w:cantSplit/>
          <w:trHeight w:val="20"/>
        </w:trPr>
        <w:tc>
          <w:tcPr>
            <w:tcW w:w="1716" w:type="pct"/>
            <w:shd w:val="clear" w:color="auto" w:fill="auto"/>
            <w:vAlign w:val="center"/>
          </w:tcPr>
          <w:p w14:paraId="18BE7633" w14:textId="77777777" w:rsidR="00091D2A" w:rsidRPr="0098262F" w:rsidRDefault="00091D2A" w:rsidP="00A325E1">
            <w:pPr>
              <w:pStyle w:val="TableText0"/>
            </w:pPr>
            <w:r>
              <w:t>N</w:t>
            </w:r>
            <w:r w:rsidRPr="00101822">
              <w:t>anoliposomal Irinotecan 43mg/10mL injection, 10mL vial</w:t>
            </w:r>
          </w:p>
        </w:tc>
        <w:tc>
          <w:tcPr>
            <w:tcW w:w="1094" w:type="pct"/>
            <w:shd w:val="clear" w:color="auto" w:fill="auto"/>
            <w:vAlign w:val="center"/>
          </w:tcPr>
          <w:p w14:paraId="5DC93853" w14:textId="77777777" w:rsidR="00091D2A" w:rsidRPr="00101822" w:rsidRDefault="00091D2A" w:rsidP="00A325E1">
            <w:pPr>
              <w:pStyle w:val="TableText0"/>
            </w:pPr>
            <w:r w:rsidRPr="00101822">
              <w:t>Published price:</w:t>
            </w:r>
          </w:p>
          <w:p w14:paraId="0B82B208" w14:textId="1C07888D" w:rsidR="00091D2A" w:rsidRPr="00171CC9" w:rsidRDefault="00091D2A" w:rsidP="75E1E867">
            <w:pPr>
              <w:pStyle w:val="TableText0"/>
              <w:rPr>
                <w:i/>
                <w:iCs/>
              </w:rPr>
            </w:pPr>
            <w:r>
              <w:t xml:space="preserve">Public: </w:t>
            </w:r>
            <w:r w:rsidRPr="00531A06">
              <w:t>$3,990.13</w:t>
            </w:r>
          </w:p>
          <w:p w14:paraId="2FF48345" w14:textId="3D3F7C81" w:rsidR="00091D2A" w:rsidRPr="00101822" w:rsidRDefault="00091D2A" w:rsidP="00A325E1">
            <w:pPr>
              <w:pStyle w:val="TableText0"/>
            </w:pPr>
            <w:r>
              <w:t xml:space="preserve">Private: </w:t>
            </w:r>
            <w:r w:rsidRPr="00531A06">
              <w:t>$4,089.40</w:t>
            </w:r>
          </w:p>
          <w:p w14:paraId="525CC7E8" w14:textId="77777777" w:rsidR="00091D2A" w:rsidRPr="00101822" w:rsidRDefault="00091D2A" w:rsidP="00A325E1">
            <w:pPr>
              <w:pStyle w:val="TableText0"/>
            </w:pPr>
          </w:p>
          <w:p w14:paraId="4C6DE0F4" w14:textId="77777777" w:rsidR="00091D2A" w:rsidRPr="00101822" w:rsidRDefault="00091D2A" w:rsidP="00A325E1">
            <w:pPr>
              <w:pStyle w:val="TableText0"/>
            </w:pPr>
            <w:r w:rsidRPr="00101822">
              <w:t>Effective price:</w:t>
            </w:r>
          </w:p>
          <w:p w14:paraId="2E5BCA08" w14:textId="7730AEBB" w:rsidR="00091D2A" w:rsidRPr="0098262F" w:rsidRDefault="00091D2A" w:rsidP="00A325E1">
            <w:pPr>
              <w:pStyle w:val="TableText0"/>
            </w:pPr>
            <w:r>
              <w:t xml:space="preserve">Public: </w:t>
            </w:r>
            <w:r w:rsidRPr="007F4BE0">
              <w:t>$</w:t>
            </w:r>
            <w:r w:rsidR="005F3BC8" w:rsidRPr="00FC0E6B">
              <w:rPr>
                <w:color w:val="000000"/>
                <w:spacing w:val="50"/>
                <w:shd w:val="solid" w:color="000000" w:fill="000000"/>
                <w:fitText w:val="322" w:id="-760998140"/>
                <w14:textFill>
                  <w14:solidFill>
                    <w14:srgbClr w14:val="000000">
                      <w14:alpha w14:val="100000"/>
                    </w14:srgbClr>
                  </w14:solidFill>
                </w14:textFill>
              </w:rPr>
              <w:t>|||</w:t>
            </w:r>
            <w:r w:rsidR="005F3BC8" w:rsidRPr="00FC0E6B">
              <w:rPr>
                <w:color w:val="000000"/>
                <w:spacing w:val="2"/>
                <w:shd w:val="solid" w:color="000000" w:fill="000000"/>
                <w:fitText w:val="322" w:id="-760998140"/>
                <w14:textFill>
                  <w14:solidFill>
                    <w14:srgbClr w14:val="000000">
                      <w14:alpha w14:val="100000"/>
                    </w14:srgbClr>
                  </w14:solidFill>
                </w14:textFill>
              </w:rPr>
              <w:t>|</w:t>
            </w:r>
            <w:r>
              <w:t xml:space="preserve"> Private: </w:t>
            </w:r>
            <w:r w:rsidRPr="007F4BE0">
              <w:t>$</w:t>
            </w:r>
            <w:r w:rsidR="005F3BC8" w:rsidRPr="00FC0E6B">
              <w:rPr>
                <w:color w:val="000000"/>
                <w:spacing w:val="50"/>
                <w:shd w:val="solid" w:color="000000" w:fill="000000"/>
                <w:fitText w:val="322" w:id="-760998139"/>
                <w14:textFill>
                  <w14:solidFill>
                    <w14:srgbClr w14:val="000000">
                      <w14:alpha w14:val="100000"/>
                    </w14:srgbClr>
                  </w14:solidFill>
                </w14:textFill>
              </w:rPr>
              <w:t>|||</w:t>
            </w:r>
            <w:r w:rsidR="005F3BC8" w:rsidRPr="00FC0E6B">
              <w:rPr>
                <w:color w:val="000000"/>
                <w:spacing w:val="2"/>
                <w:shd w:val="solid" w:color="000000" w:fill="000000"/>
                <w:fitText w:val="322" w:id="-760998139"/>
                <w14:textFill>
                  <w14:solidFill>
                    <w14:srgbClr w14:val="000000">
                      <w14:alpha w14:val="100000"/>
                    </w14:srgbClr>
                  </w14:solidFill>
                </w14:textFill>
              </w:rPr>
              <w:t>|</w:t>
            </w:r>
          </w:p>
        </w:tc>
        <w:tc>
          <w:tcPr>
            <w:tcW w:w="1094" w:type="pct"/>
            <w:shd w:val="clear" w:color="auto" w:fill="auto"/>
            <w:vAlign w:val="center"/>
          </w:tcPr>
          <w:p w14:paraId="12626322" w14:textId="30DBCDDE" w:rsidR="00091D2A" w:rsidRPr="0098262F" w:rsidRDefault="00091D2A" w:rsidP="00A325E1">
            <w:pPr>
              <w:pStyle w:val="TableText0"/>
            </w:pPr>
            <w:r>
              <w:t>110</w:t>
            </w:r>
            <w:r w:rsidR="00E95F46">
              <w:t xml:space="preserve"> </w:t>
            </w:r>
            <w:r>
              <w:t>mg</w:t>
            </w:r>
          </w:p>
        </w:tc>
        <w:tc>
          <w:tcPr>
            <w:tcW w:w="1096" w:type="pct"/>
            <w:shd w:val="clear" w:color="auto" w:fill="auto"/>
            <w:vAlign w:val="center"/>
          </w:tcPr>
          <w:p w14:paraId="6381DB1A" w14:textId="77777777" w:rsidR="00091D2A" w:rsidRPr="0098262F" w:rsidRDefault="00091D2A" w:rsidP="00A325E1">
            <w:pPr>
              <w:pStyle w:val="TableText0"/>
            </w:pPr>
            <w:r>
              <w:t>9</w:t>
            </w:r>
          </w:p>
        </w:tc>
      </w:tr>
      <w:tr w:rsidR="00091D2A" w:rsidRPr="0098262F" w14:paraId="593D2B70" w14:textId="77777777" w:rsidTr="75E1E867">
        <w:trPr>
          <w:cantSplit/>
          <w:trHeight w:val="20"/>
        </w:trPr>
        <w:tc>
          <w:tcPr>
            <w:tcW w:w="5000" w:type="pct"/>
            <w:gridSpan w:val="4"/>
            <w:shd w:val="clear" w:color="auto" w:fill="auto"/>
            <w:vAlign w:val="center"/>
          </w:tcPr>
          <w:p w14:paraId="54D70DE7" w14:textId="77777777" w:rsidR="00091D2A" w:rsidRPr="0098262F" w:rsidRDefault="00091D2A" w:rsidP="00A325E1">
            <w:pPr>
              <w:rPr>
                <w:b/>
              </w:rPr>
            </w:pPr>
            <w:r w:rsidRPr="0098262F">
              <w:rPr>
                <w:rFonts w:ascii="Arial Narrow" w:eastAsiaTheme="majorEastAsia" w:hAnsi="Arial Narrow" w:cs="Times New Roman"/>
                <w:b/>
                <w:sz w:val="20"/>
              </w:rPr>
              <w:t>Available brands</w:t>
            </w:r>
            <w:r w:rsidRPr="0098262F">
              <w:rPr>
                <w:b/>
              </w:rPr>
              <w:t xml:space="preserve"> </w:t>
            </w:r>
          </w:p>
        </w:tc>
      </w:tr>
      <w:tr w:rsidR="00091D2A" w:rsidRPr="0098262F" w14:paraId="403280FE" w14:textId="77777777" w:rsidTr="75E1E867">
        <w:trPr>
          <w:cantSplit/>
          <w:trHeight w:val="20"/>
        </w:trPr>
        <w:tc>
          <w:tcPr>
            <w:tcW w:w="5000" w:type="pct"/>
            <w:gridSpan w:val="4"/>
            <w:shd w:val="clear" w:color="auto" w:fill="auto"/>
            <w:vAlign w:val="center"/>
          </w:tcPr>
          <w:p w14:paraId="1AB83D55" w14:textId="77777777" w:rsidR="00091D2A" w:rsidRPr="00101822" w:rsidRDefault="00091D2A" w:rsidP="00A325E1">
            <w:pPr>
              <w:pStyle w:val="TableText0"/>
            </w:pPr>
            <w:r w:rsidRPr="00101822">
              <w:lastRenderedPageBreak/>
              <w:t>ONIVYDE®, Servier Laboratories (Aust.) Pty. Ltd</w:t>
            </w:r>
          </w:p>
          <w:p w14:paraId="2915B0F5" w14:textId="77777777" w:rsidR="00091D2A" w:rsidRPr="0098262F" w:rsidRDefault="00091D2A" w:rsidP="00A325E1">
            <w:pPr>
              <w:pStyle w:val="TableText0"/>
            </w:pPr>
            <w:r>
              <w:t>N</w:t>
            </w:r>
            <w:r w:rsidRPr="00101822">
              <w:t>anoliposomal Irinotecan 43mg/10mL injection, 10mL vial</w:t>
            </w:r>
          </w:p>
        </w:tc>
      </w:tr>
    </w:tbl>
    <w:p w14:paraId="6C8B6FE1" w14:textId="72EA437E" w:rsidR="00091D2A" w:rsidRPr="00101822" w:rsidRDefault="00091D2A" w:rsidP="00A325E1">
      <w:pPr>
        <w:pStyle w:val="TableFooter"/>
      </w:pPr>
      <w:r w:rsidRPr="00101822">
        <w:t xml:space="preserve">Source: </w:t>
      </w:r>
      <w:r w:rsidR="00086C74" w:rsidRPr="00101822">
        <w:t>Table 1</w:t>
      </w:r>
      <w:r w:rsidR="00086C74">
        <w:t>.8</w:t>
      </w:r>
      <w:r w:rsidR="00086C74" w:rsidRPr="00101822">
        <w:t>, p</w:t>
      </w:r>
      <w:r w:rsidR="00086C74">
        <w:t>15</w:t>
      </w:r>
      <w:r w:rsidR="00086C74" w:rsidRPr="00101822">
        <w:t xml:space="preserve"> of the </w:t>
      </w:r>
      <w:r w:rsidR="00086C74">
        <w:t>re</w:t>
      </w:r>
      <w:r w:rsidR="00086C74" w:rsidRPr="00101822">
        <w:t>submission</w:t>
      </w:r>
      <w:r w:rsidR="00086C74">
        <w:t>.</w:t>
      </w:r>
    </w:p>
    <w:p w14:paraId="1D51E66F" w14:textId="1DA6E7FB" w:rsidR="002C17CD" w:rsidRDefault="00091D2A" w:rsidP="00A325E1">
      <w:pPr>
        <w:pStyle w:val="TableFooter"/>
      </w:pPr>
      <w:r w:rsidRPr="00101822">
        <w:t>Abbreviations: Amt, amount; Aust., Australia; Max, maximum; №. Number; Rpts, repeats.</w:t>
      </w:r>
    </w:p>
    <w:p w14:paraId="2FAAF5A7" w14:textId="77777777" w:rsidR="00091D2A" w:rsidRPr="0098262F" w:rsidRDefault="00091D2A" w:rsidP="00A325E1">
      <w:pPr>
        <w:pStyle w:val="TableFooter"/>
      </w:pPr>
    </w:p>
    <w:tbl>
      <w:tblPr>
        <w:tblW w:w="5000" w:type="pct"/>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9017"/>
      </w:tblGrid>
      <w:tr w:rsidR="00091D2A" w:rsidRPr="005730F7" w14:paraId="031EEDDB"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4C9ECCAD" w14:textId="77777777" w:rsidR="00091D2A" w:rsidRPr="005730F7" w:rsidRDefault="00091D2A" w:rsidP="00A325E1">
            <w:pPr>
              <w:pStyle w:val="TableText0"/>
              <w:rPr>
                <w:sz w:val="24"/>
              </w:rPr>
            </w:pPr>
            <w:r w:rsidRPr="00C81305">
              <w:rPr>
                <w:b/>
              </w:rPr>
              <w:t>Category / Program:</w:t>
            </w:r>
            <w:r w:rsidRPr="005730F7">
              <w:t xml:space="preserve"> Section 100 – Efficient Funding of Chemotherapy Public/Private hospitals</w:t>
            </w:r>
          </w:p>
        </w:tc>
      </w:tr>
      <w:tr w:rsidR="00091D2A" w:rsidRPr="005730F7" w14:paraId="56BC1AC5"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54979857" w14:textId="77777777" w:rsidR="00091D2A" w:rsidRPr="005730F7" w:rsidRDefault="00091D2A" w:rsidP="00A325E1">
            <w:pPr>
              <w:pStyle w:val="TableText0"/>
              <w:rPr>
                <w:sz w:val="24"/>
              </w:rPr>
            </w:pPr>
            <w:r w:rsidRPr="000B5C01">
              <w:rPr>
                <w:b/>
              </w:rPr>
              <w:t>Prescriber type:</w:t>
            </w:r>
            <w:r w:rsidRPr="005730F7">
              <w:t xml:space="preserv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Optometrists</w:t>
            </w:r>
          </w:p>
        </w:tc>
      </w:tr>
      <w:tr w:rsidR="00091D2A" w:rsidRPr="005730F7" w14:paraId="26D002AA"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hideMark/>
          </w:tcPr>
          <w:p w14:paraId="095BEE42" w14:textId="77777777" w:rsidR="00091D2A" w:rsidRPr="005730F7" w:rsidRDefault="00091D2A" w:rsidP="00A325E1">
            <w:pPr>
              <w:pStyle w:val="TableText0"/>
              <w:rPr>
                <w:sz w:val="24"/>
              </w:rPr>
            </w:pPr>
            <w:r w:rsidRPr="00C81305">
              <w:rPr>
                <w:b/>
              </w:rPr>
              <w:t>Restriction type:</w:t>
            </w:r>
            <w:r w:rsidRPr="005730F7">
              <w:t xml:space="preserve"> Authority Required (STREAMLINED)</w:t>
            </w:r>
          </w:p>
        </w:tc>
      </w:tr>
      <w:tr w:rsidR="00091D2A" w:rsidRPr="005730F7" w14:paraId="2F0E30B3"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2FF70" w14:textId="77777777" w:rsidR="00091D2A" w:rsidRPr="005730F7" w:rsidRDefault="00091D2A" w:rsidP="00A325E1">
            <w:pPr>
              <w:pStyle w:val="TableText0"/>
              <w:rPr>
                <w:sz w:val="24"/>
              </w:rPr>
            </w:pPr>
            <w:r w:rsidRPr="00C81305">
              <w:rPr>
                <w:b/>
              </w:rPr>
              <w:t>Administrative Advice:</w:t>
            </w:r>
            <w:r>
              <w:rPr>
                <w:b/>
              </w:rPr>
              <w:t xml:space="preserve"> </w:t>
            </w:r>
            <w:r w:rsidRPr="005730F7">
              <w:t>Not for use as neoadjuvant or adjuvant therapy.</w:t>
            </w:r>
          </w:p>
        </w:tc>
      </w:tr>
      <w:tr w:rsidR="00091D2A" w:rsidRPr="005730F7" w14:paraId="139FD145"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F01AB" w14:textId="77777777" w:rsidR="00091D2A" w:rsidRPr="005730F7" w:rsidRDefault="00091D2A" w:rsidP="00A325E1">
            <w:pPr>
              <w:pStyle w:val="TableText0"/>
              <w:rPr>
                <w:sz w:val="24"/>
              </w:rPr>
            </w:pPr>
            <w:r w:rsidRPr="00C81305">
              <w:rPr>
                <w:b/>
              </w:rPr>
              <w:t>Administrative Advice:</w:t>
            </w:r>
            <w:r>
              <w:rPr>
                <w:b/>
              </w:rPr>
              <w:t xml:space="preserve"> </w:t>
            </w:r>
            <w:r w:rsidRPr="005730F7">
              <w:t>Special Pricing Arrangements apply</w:t>
            </w:r>
          </w:p>
        </w:tc>
      </w:tr>
      <w:tr w:rsidR="00091D2A" w:rsidRPr="005730F7" w14:paraId="32AA8255"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2BF6DD" w14:textId="77777777" w:rsidR="00091D2A" w:rsidRPr="005730F7" w:rsidRDefault="00091D2A" w:rsidP="00A325E1">
            <w:pPr>
              <w:pStyle w:val="TableText0"/>
              <w:rPr>
                <w:sz w:val="24"/>
              </w:rPr>
            </w:pPr>
            <w:r w:rsidRPr="00C81305">
              <w:rPr>
                <w:b/>
              </w:rPr>
              <w:t>Severity:</w:t>
            </w:r>
            <w:r w:rsidRPr="005730F7">
              <w:t xml:space="preserve"> Stage IV (metastatic)</w:t>
            </w:r>
          </w:p>
        </w:tc>
      </w:tr>
      <w:tr w:rsidR="00091D2A" w:rsidRPr="005730F7" w14:paraId="6752B75C"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56CF12" w14:textId="77777777" w:rsidR="00091D2A" w:rsidRPr="005730F7" w:rsidRDefault="00091D2A" w:rsidP="00A325E1">
            <w:pPr>
              <w:pStyle w:val="TableText0"/>
              <w:rPr>
                <w:sz w:val="24"/>
              </w:rPr>
            </w:pPr>
            <w:r w:rsidRPr="00C81305">
              <w:rPr>
                <w:b/>
              </w:rPr>
              <w:t>Condition:</w:t>
            </w:r>
            <w:r w:rsidRPr="005730F7">
              <w:t xml:space="preserve"> Adenocarcinoma of the pancreas</w:t>
            </w:r>
          </w:p>
        </w:tc>
      </w:tr>
      <w:tr w:rsidR="00091D2A" w:rsidRPr="005730F7" w14:paraId="24082ABC"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512BBF" w14:textId="77777777" w:rsidR="00091D2A" w:rsidRPr="005730F7" w:rsidRDefault="00091D2A" w:rsidP="00A325E1">
            <w:pPr>
              <w:pStyle w:val="TableText0"/>
              <w:rPr>
                <w:sz w:val="24"/>
              </w:rPr>
            </w:pPr>
            <w:r w:rsidRPr="00C81305">
              <w:rPr>
                <w:b/>
              </w:rPr>
              <w:t>Indication:</w:t>
            </w:r>
            <w:r w:rsidRPr="005730F7">
              <w:t xml:space="preserve"> Stage IV (metastatic) adenocarcinoma of the pancreas</w:t>
            </w:r>
          </w:p>
        </w:tc>
      </w:tr>
      <w:tr w:rsidR="00091D2A" w:rsidRPr="005730F7" w14:paraId="354E4F26"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5C3AF2" w14:textId="77777777" w:rsidR="00091D2A" w:rsidRPr="00C81305" w:rsidRDefault="00091D2A" w:rsidP="00A325E1">
            <w:pPr>
              <w:pStyle w:val="TableText0"/>
              <w:rPr>
                <w:sz w:val="24"/>
              </w:rPr>
            </w:pPr>
            <w:r w:rsidRPr="00C81305">
              <w:t>Clinical criteria:</w:t>
            </w:r>
          </w:p>
        </w:tc>
      </w:tr>
      <w:tr w:rsidR="00091D2A" w:rsidRPr="005730F7" w14:paraId="4CB7D899"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3F3A9A" w14:textId="77777777" w:rsidR="00091D2A" w:rsidRPr="005730F7" w:rsidRDefault="00091D2A" w:rsidP="00A325E1">
            <w:pPr>
              <w:pStyle w:val="TableText0"/>
              <w:rPr>
                <w:sz w:val="24"/>
              </w:rPr>
            </w:pPr>
            <w:r w:rsidRPr="005730F7">
              <w:t>The treatment must be in combination with oxaliplatin, 5-fluorouracil and folinic acid (Leucovorin)</w:t>
            </w:r>
          </w:p>
        </w:tc>
      </w:tr>
      <w:tr w:rsidR="00091D2A" w:rsidRPr="005730F7" w14:paraId="644071DF"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FD3754" w14:textId="77777777" w:rsidR="00091D2A" w:rsidRPr="00C81305" w:rsidRDefault="00091D2A" w:rsidP="00A325E1">
            <w:pPr>
              <w:pStyle w:val="TableText0"/>
              <w:rPr>
                <w:sz w:val="24"/>
              </w:rPr>
            </w:pPr>
            <w:r w:rsidRPr="00C81305">
              <w:t>AND</w:t>
            </w:r>
          </w:p>
        </w:tc>
      </w:tr>
      <w:tr w:rsidR="00091D2A" w:rsidRPr="005730F7" w14:paraId="757E02CF"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D687B" w14:textId="77777777" w:rsidR="00091D2A" w:rsidRPr="00C81305" w:rsidRDefault="00091D2A" w:rsidP="00A325E1">
            <w:pPr>
              <w:pStyle w:val="TableText0"/>
              <w:rPr>
                <w:sz w:val="24"/>
              </w:rPr>
            </w:pPr>
            <w:r w:rsidRPr="00C81305">
              <w:t>Clinical criteria:</w:t>
            </w:r>
          </w:p>
        </w:tc>
      </w:tr>
      <w:tr w:rsidR="00091D2A" w:rsidRPr="005730F7" w14:paraId="45A6C22B"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3EAE04" w14:textId="77777777" w:rsidR="00091D2A" w:rsidRPr="005730F7" w:rsidRDefault="00091D2A" w:rsidP="00A325E1">
            <w:pPr>
              <w:pStyle w:val="TableText0"/>
              <w:rPr>
                <w:sz w:val="24"/>
              </w:rPr>
            </w:pPr>
            <w:r w:rsidRPr="005730F7">
              <w:t>The condition must not have been treated previously with PBS-subsidised therapy,</w:t>
            </w:r>
          </w:p>
        </w:tc>
      </w:tr>
      <w:tr w:rsidR="00091D2A" w:rsidRPr="005730F7" w14:paraId="59F50B55"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73C90F" w14:textId="77777777" w:rsidR="00091D2A" w:rsidRPr="000B5C01" w:rsidRDefault="00091D2A" w:rsidP="00A325E1">
            <w:pPr>
              <w:pStyle w:val="TableText0"/>
              <w:rPr>
                <w:sz w:val="24"/>
              </w:rPr>
            </w:pPr>
            <w:r w:rsidRPr="000B5C01">
              <w:t>AND</w:t>
            </w:r>
          </w:p>
        </w:tc>
      </w:tr>
      <w:tr w:rsidR="00091D2A" w:rsidRPr="005730F7" w14:paraId="7E4550A2"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08F47" w14:textId="77777777" w:rsidR="00091D2A" w:rsidRPr="006E4B97" w:rsidRDefault="00091D2A" w:rsidP="00A325E1">
            <w:pPr>
              <w:pStyle w:val="TableText0"/>
              <w:rPr>
                <w:i/>
                <w:sz w:val="24"/>
              </w:rPr>
            </w:pPr>
            <w:r w:rsidRPr="006E4B97">
              <w:rPr>
                <w:i/>
              </w:rPr>
              <w:t>Clinical criteria:</w:t>
            </w:r>
          </w:p>
        </w:tc>
      </w:tr>
      <w:tr w:rsidR="00091D2A" w:rsidRPr="005730F7" w14:paraId="01ECF6D6"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335FBF" w14:textId="77777777" w:rsidR="00091D2A" w:rsidRPr="006E4B97" w:rsidRDefault="00091D2A" w:rsidP="00A325E1">
            <w:pPr>
              <w:pStyle w:val="TableText0"/>
              <w:rPr>
                <w:i/>
                <w:sz w:val="24"/>
              </w:rPr>
            </w:pPr>
            <w:r w:rsidRPr="006E4B97">
              <w:rPr>
                <w:i/>
              </w:rPr>
              <w:t>Patient must have an Eastern Cooperative Oncology Group (ECOG) performance status score of 1 or less.</w:t>
            </w:r>
          </w:p>
        </w:tc>
      </w:tr>
      <w:tr w:rsidR="00091D2A" w:rsidRPr="005730F7" w14:paraId="1C95A04A"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C6180D" w14:textId="77777777" w:rsidR="00091D2A" w:rsidRPr="005730F7" w:rsidRDefault="00091D2A" w:rsidP="00A325E1">
            <w:pPr>
              <w:pStyle w:val="TableText0"/>
              <w:rPr>
                <w:sz w:val="24"/>
              </w:rPr>
            </w:pPr>
            <w:r w:rsidRPr="007029FB">
              <w:rPr>
                <w:b/>
              </w:rPr>
              <w:t>Prescribing instructions:</w:t>
            </w:r>
            <w:r>
              <w:t xml:space="preserve"> </w:t>
            </w:r>
            <w:r w:rsidRPr="005730F7">
              <w:t>A patient who has progressive disease when treated with this drug is no longer eligible for PBS-subsidised treatment with this drug. </w:t>
            </w:r>
          </w:p>
        </w:tc>
      </w:tr>
      <w:tr w:rsidR="00091D2A" w:rsidRPr="005730F7" w14:paraId="46BF75C7" w14:textId="77777777" w:rsidTr="00A325E1">
        <w:trPr>
          <w:trHeight w:val="1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30123" w14:textId="77777777" w:rsidR="00091D2A" w:rsidRPr="005730F7" w:rsidRDefault="00091D2A" w:rsidP="00A325E1">
            <w:pPr>
              <w:pStyle w:val="TableText0"/>
              <w:rPr>
                <w:sz w:val="24"/>
              </w:rPr>
            </w:pPr>
            <w:r w:rsidRPr="4E6EDD58">
              <w:rPr>
                <w:b/>
              </w:rPr>
              <w:t>Caution:</w:t>
            </w:r>
            <w:r>
              <w:t xml:space="preserve"> </w:t>
            </w:r>
            <w:r w:rsidRPr="006E4B97">
              <w:rPr>
                <w:i/>
              </w:rPr>
              <w:t>Nanoliposomal irinotecan is not equivalent to non-liposomal irinotecan formulations and should not be interchanged. </w:t>
            </w:r>
          </w:p>
        </w:tc>
      </w:tr>
    </w:tbl>
    <w:p w14:paraId="3A1639DF" w14:textId="62718337" w:rsidR="00091D2A" w:rsidRDefault="00091D2A" w:rsidP="006C554D">
      <w:pPr>
        <w:pStyle w:val="TableFigureFooter"/>
      </w:pPr>
      <w:r w:rsidRPr="0098262F">
        <w:t>Source: Table</w:t>
      </w:r>
      <w:r>
        <w:t xml:space="preserve"> 1.9</w:t>
      </w:r>
      <w:r w:rsidR="00086C74">
        <w:t>,</w:t>
      </w:r>
      <w:r>
        <w:t xml:space="preserve"> p16</w:t>
      </w:r>
      <w:r w:rsidRPr="0098262F">
        <w:t xml:space="preserve"> of the </w:t>
      </w:r>
      <w:r w:rsidR="00086C74">
        <w:t>re</w:t>
      </w:r>
      <w:r w:rsidRPr="0098262F">
        <w:t xml:space="preserve">submission. </w:t>
      </w:r>
    </w:p>
    <w:p w14:paraId="04E1088E" w14:textId="29CABBBE" w:rsidR="00EB43EF" w:rsidRPr="00A325E1" w:rsidRDefault="00091D2A" w:rsidP="006C554D">
      <w:pPr>
        <w:pStyle w:val="TableFigureFooter"/>
        <w:rPr>
          <w:rStyle w:val="CommentReference"/>
          <w:b w:val="0"/>
          <w:sz w:val="18"/>
          <w:szCs w:val="22"/>
        </w:rPr>
      </w:pPr>
      <w:r w:rsidRPr="00101822">
        <w:t>Abbreviations: ECOG, Eastern Cooperative Oncology Group;</w:t>
      </w:r>
      <w:r>
        <w:t xml:space="preserve"> IV, intravenous;</w:t>
      </w:r>
      <w:r w:rsidRPr="00101822">
        <w:t xml:space="preserve"> PBS, Pharmaceutical Benefits Scheme.</w:t>
      </w:r>
    </w:p>
    <w:p w14:paraId="1325CE25" w14:textId="6AF2EFA9" w:rsidR="00EB43EF" w:rsidRPr="00EB43EF" w:rsidRDefault="3DAF7A92" w:rsidP="006C554D">
      <w:pPr>
        <w:pStyle w:val="TableFigureFooter"/>
        <w:rPr>
          <w:rStyle w:val="CommentReference"/>
          <w:b w:val="0"/>
          <w:sz w:val="18"/>
          <w:szCs w:val="18"/>
        </w:rPr>
      </w:pPr>
      <w:r w:rsidRPr="4E6EDD58">
        <w:rPr>
          <w:rStyle w:val="CommentReference"/>
          <w:b w:val="0"/>
          <w:sz w:val="18"/>
          <w:szCs w:val="18"/>
        </w:rPr>
        <w:t xml:space="preserve">Changes compared to the original submission in </w:t>
      </w:r>
      <w:r w:rsidRPr="4E6EDD58">
        <w:rPr>
          <w:rStyle w:val="CommentReference"/>
          <w:b w:val="0"/>
          <w:i/>
          <w:iCs/>
          <w:sz w:val="18"/>
          <w:szCs w:val="18"/>
        </w:rPr>
        <w:t>italics</w:t>
      </w:r>
    </w:p>
    <w:p w14:paraId="31F796CC" w14:textId="77777777" w:rsidR="00215194" w:rsidRPr="00552B0C" w:rsidRDefault="00E5136A">
      <w:pPr>
        <w:pStyle w:val="3-BodyText"/>
      </w:pPr>
      <w:r w:rsidRPr="00552B0C">
        <w:rPr>
          <w:shd w:val="clear" w:color="auto" w:fill="FFFFFF" w:themeFill="background1"/>
        </w:rPr>
        <w:t>The proposed maximum amount for nal-IRI is 110 mg, based on the recommended dose of 50 mg/m</w:t>
      </w:r>
      <w:r w:rsidRPr="00552B0C">
        <w:rPr>
          <w:shd w:val="clear" w:color="auto" w:fill="FFFFFF" w:themeFill="background1"/>
          <w:vertAlign w:val="superscript"/>
        </w:rPr>
        <w:t>2</w:t>
      </w:r>
      <w:r w:rsidRPr="00552B0C">
        <w:rPr>
          <w:shd w:val="clear" w:color="auto" w:fill="FFFFFF" w:themeFill="background1"/>
        </w:rPr>
        <w:t xml:space="preserve"> and a maximum body surface area of 2.2 m</w:t>
      </w:r>
      <w:r w:rsidRPr="00552B0C">
        <w:rPr>
          <w:shd w:val="clear" w:color="auto" w:fill="FFFFFF" w:themeFill="background1"/>
          <w:vertAlign w:val="superscript"/>
        </w:rPr>
        <w:t>2</w:t>
      </w:r>
      <w:r w:rsidRPr="00552B0C">
        <w:rPr>
          <w:shd w:val="clear" w:color="auto" w:fill="FFFFFF" w:themeFill="background1"/>
        </w:rPr>
        <w:t>. The proposed number of repeats (nine) would provide patients with a total of five cycles of treatment, which is consistent with the median number of cycles of nal-IRI (five) in the NAPOLI-3 trial.</w:t>
      </w:r>
      <w:r w:rsidRPr="00552B0C">
        <w:t xml:space="preserve"> The proposed maximum amount and repeats have not changed from March 2024 submission.</w:t>
      </w:r>
    </w:p>
    <w:p w14:paraId="6543E3E9" w14:textId="2D0D3AD7" w:rsidR="00215194" w:rsidRPr="00552B0C" w:rsidRDefault="00B666F6">
      <w:pPr>
        <w:pStyle w:val="3-BodyText"/>
      </w:pPr>
      <w:r>
        <w:t xml:space="preserve">The </w:t>
      </w:r>
      <w:r w:rsidR="00DC2ED7">
        <w:t>re</w:t>
      </w:r>
      <w:r>
        <w:t xml:space="preserve">submission proposed an </w:t>
      </w:r>
      <w:r w:rsidR="009511AF">
        <w:t xml:space="preserve">effective DPMA of </w:t>
      </w:r>
      <w:r w:rsidR="009511AF" w:rsidRPr="00647B59">
        <w:t>$</w:t>
      </w:r>
      <w:r w:rsidR="005F3BC8" w:rsidRPr="00FC0E6B">
        <w:rPr>
          <w:color w:val="000000"/>
          <w:w w:val="61"/>
          <w:shd w:val="solid" w:color="000000" w:fill="000000"/>
          <w:fitText w:val="474" w:id="-760998138"/>
          <w14:textFill>
            <w14:solidFill>
              <w14:srgbClr w14:val="000000">
                <w14:alpha w14:val="100000"/>
              </w14:srgbClr>
            </w14:solidFill>
          </w14:textFill>
        </w:rPr>
        <w:t>|||  |||</w:t>
      </w:r>
      <w:r w:rsidR="009511AF">
        <w:t xml:space="preserve"> (public) and </w:t>
      </w:r>
      <w:r w:rsidR="009511AF" w:rsidRPr="00647B59">
        <w:t>$</w:t>
      </w:r>
      <w:r w:rsidR="005F3BC8" w:rsidRPr="00FC0E6B">
        <w:rPr>
          <w:color w:val="000000"/>
          <w:w w:val="61"/>
          <w:shd w:val="solid" w:color="000000" w:fill="000000"/>
          <w:fitText w:val="475" w:id="-760998137"/>
          <w14:textFill>
            <w14:solidFill>
              <w14:srgbClr w14:val="000000">
                <w14:alpha w14:val="100000"/>
              </w14:srgbClr>
            </w14:solidFill>
          </w14:textFill>
        </w:rPr>
        <w:t>|||  |||</w:t>
      </w:r>
      <w:r w:rsidR="009511AF">
        <w:t xml:space="preserve"> (private)</w:t>
      </w:r>
      <w:r w:rsidR="00FB0862">
        <w:t xml:space="preserve"> for nal-IRI</w:t>
      </w:r>
      <w:r w:rsidR="00E5136A">
        <w:t xml:space="preserve"> for the proposed maximum amount (110 mg)</w:t>
      </w:r>
      <w:r w:rsidR="009511AF">
        <w:t>.</w:t>
      </w:r>
      <w:r w:rsidR="00FB0862">
        <w:t xml:space="preserve"> These effective DPMAs are </w:t>
      </w:r>
      <w:r w:rsidR="005F3BC8" w:rsidRPr="00993109">
        <w:rPr>
          <w:color w:val="000000"/>
          <w:w w:val="15"/>
          <w:shd w:val="solid" w:color="000000" w:fill="000000"/>
          <w:fitText w:val="-20" w:id="-760998136"/>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6"/>
          <w14:textFill>
            <w14:solidFill>
              <w14:srgbClr w14:val="000000">
                <w14:alpha w14:val="100000"/>
              </w14:srgbClr>
            </w14:solidFill>
          </w14:textFill>
        </w:rPr>
        <w:t>|</w:t>
      </w:r>
      <w:r w:rsidR="00FB0862">
        <w:t xml:space="preserve">% </w:t>
      </w:r>
      <w:r w:rsidR="00E5136A">
        <w:t xml:space="preserve">lower </w:t>
      </w:r>
      <w:r w:rsidR="00FB0862">
        <w:t xml:space="preserve">(public) and </w:t>
      </w:r>
      <w:r w:rsidR="005F3BC8" w:rsidRPr="00993109">
        <w:rPr>
          <w:color w:val="000000"/>
          <w:w w:val="15"/>
          <w:shd w:val="solid" w:color="000000" w:fill="000000"/>
          <w:fitText w:val="-20" w:id="-760998135"/>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5"/>
          <w14:textFill>
            <w14:solidFill>
              <w14:srgbClr w14:val="000000">
                <w14:alpha w14:val="100000"/>
              </w14:srgbClr>
            </w14:solidFill>
          </w14:textFill>
        </w:rPr>
        <w:t>|</w:t>
      </w:r>
      <w:r w:rsidR="00FB0862">
        <w:t xml:space="preserve">% </w:t>
      </w:r>
      <w:r w:rsidR="00E5136A">
        <w:t xml:space="preserve">lower </w:t>
      </w:r>
      <w:r w:rsidR="00FB0862">
        <w:t>(private) than the effective DPMAs from the March 2024 submission.</w:t>
      </w:r>
    </w:p>
    <w:p w14:paraId="0B03A13E" w14:textId="44CC119E" w:rsidR="00FB0862" w:rsidRPr="00552B0C" w:rsidRDefault="00FB0862" w:rsidP="00A4661C">
      <w:pPr>
        <w:pStyle w:val="3-BodyText"/>
      </w:pPr>
      <w:r>
        <w:t>The current DPMA for non-liposomal irinotecan on the PBS is $160.13 (public) and $205.80 (priv</w:t>
      </w:r>
      <w:r w:rsidR="002E2608">
        <w:t>a</w:t>
      </w:r>
      <w:r>
        <w:t>t</w:t>
      </w:r>
      <w:r w:rsidR="002E2608">
        <w:t>e</w:t>
      </w:r>
      <w:r>
        <w:t xml:space="preserve">) for a maximum amount of 800 mg. </w:t>
      </w:r>
    </w:p>
    <w:p w14:paraId="537F9BDF" w14:textId="5C098866" w:rsidR="00091D2A" w:rsidRPr="00552B0C" w:rsidRDefault="00091D2A" w:rsidP="00552B0C">
      <w:pPr>
        <w:pStyle w:val="3-BodyText"/>
        <w:numPr>
          <w:ilvl w:val="1"/>
          <w:numId w:val="5"/>
        </w:numPr>
      </w:pPr>
      <w:r w:rsidRPr="00552B0C">
        <w:t xml:space="preserve">The resubmission has amended the proposed restriction to </w:t>
      </w:r>
      <w:r w:rsidR="00E5136A" w:rsidRPr="00552B0C">
        <w:t xml:space="preserve">limit eligibility to </w:t>
      </w:r>
      <w:r w:rsidRPr="00552B0C">
        <w:t xml:space="preserve">patients with </w:t>
      </w:r>
      <w:r w:rsidR="00E5136A" w:rsidRPr="00552B0C">
        <w:t xml:space="preserve">an </w:t>
      </w:r>
      <w:r w:rsidRPr="00552B0C">
        <w:t>Eastern Cooperative Oncology Group Performance Status (ECOG PS) score of 1 or less</w:t>
      </w:r>
      <w:r w:rsidR="00E5136A" w:rsidRPr="00552B0C">
        <w:t>, consistent with PBAC advice</w:t>
      </w:r>
      <w:r w:rsidRPr="00552B0C">
        <w:t xml:space="preserve">. This aligns with the clinical evidence supporting its use (the NAPOLI-3 trial) and is consistent with clinical practice guidelines such as the National Comprehensive Cancer Network </w:t>
      </w:r>
      <w:r w:rsidR="005171C9" w:rsidRPr="00552B0C">
        <w:t xml:space="preserve">(NCCN) </w:t>
      </w:r>
      <w:r w:rsidRPr="00552B0C">
        <w:t>guidelines.</w:t>
      </w:r>
    </w:p>
    <w:p w14:paraId="618BA741" w14:textId="5F01A310" w:rsidR="00091D2A" w:rsidRDefault="00091D2A" w:rsidP="00552B0C">
      <w:pPr>
        <w:pStyle w:val="3-BodyText"/>
        <w:numPr>
          <w:ilvl w:val="1"/>
          <w:numId w:val="5"/>
        </w:numPr>
      </w:pPr>
      <w:r w:rsidRPr="00552B0C">
        <w:t>This resubmission proposed to limit the use of nal-IRI to patients who have not been treated previously with PBS-subsidised therapy (i.e.</w:t>
      </w:r>
      <w:r w:rsidR="00593018" w:rsidRPr="00552B0C">
        <w:t xml:space="preserve"> </w:t>
      </w:r>
      <w:r w:rsidRPr="00552B0C">
        <w:t xml:space="preserve">first-line setting). </w:t>
      </w:r>
      <w:r w:rsidR="001B4CD7" w:rsidRPr="00552B0C">
        <w:t>T</w:t>
      </w:r>
      <w:r w:rsidR="00B27051" w:rsidRPr="00552B0C">
        <w:t xml:space="preserve">he </w:t>
      </w:r>
      <w:r w:rsidR="00825FB5" w:rsidRPr="00552B0C">
        <w:t xml:space="preserve">issue </w:t>
      </w:r>
      <w:r w:rsidR="00825FB5" w:rsidRPr="00552B0C">
        <w:lastRenderedPageBreak/>
        <w:t xml:space="preserve">remains that if NALIRIFOX is recommended for first line </w:t>
      </w:r>
      <w:r w:rsidR="001B4CD7" w:rsidRPr="00552B0C">
        <w:t xml:space="preserve">use </w:t>
      </w:r>
      <w:r w:rsidR="00825FB5" w:rsidRPr="00552B0C">
        <w:t>(and as Gem+NabP is listed for first line only)</w:t>
      </w:r>
      <w:r w:rsidR="001B4CD7" w:rsidRPr="00552B0C">
        <w:t>,</w:t>
      </w:r>
      <w:r w:rsidR="00825FB5" w:rsidRPr="00552B0C">
        <w:t xml:space="preserve"> </w:t>
      </w:r>
      <w:r w:rsidR="001B4CD7" w:rsidRPr="00552B0C">
        <w:t>then</w:t>
      </w:r>
      <w:r w:rsidR="00825FB5" w:rsidRPr="00552B0C">
        <w:t xml:space="preserve"> a patient may only receive only one option or the other.</w:t>
      </w:r>
      <w:r w:rsidR="008D0998">
        <w:t xml:space="preserve"> </w:t>
      </w:r>
      <w:r w:rsidR="00991928" w:rsidRPr="00552B0C">
        <w:t xml:space="preserve">The Pre-Sub-Committee Response (PSCR) stated the Sponsor was aware of this issue and reiterated the original submission proposed that patients should be able to switch regimens if </w:t>
      </w:r>
      <w:r w:rsidR="001B4CD7" w:rsidRPr="00552B0C">
        <w:t xml:space="preserve">clinically </w:t>
      </w:r>
      <w:r w:rsidR="00991928" w:rsidRPr="00552B0C">
        <w:t>appropriate.</w:t>
      </w:r>
      <w:r w:rsidR="00552B0C">
        <w:t xml:space="preserve"> </w:t>
      </w:r>
    </w:p>
    <w:p w14:paraId="318D9EC2" w14:textId="43D8F698" w:rsidR="00552B0C" w:rsidRPr="00552B0C" w:rsidRDefault="00552B0C" w:rsidP="00552B0C">
      <w:pPr>
        <w:pStyle w:val="3-BodyText"/>
        <w:numPr>
          <w:ilvl w:val="0"/>
          <w:numId w:val="0"/>
        </w:numPr>
        <w:ind w:left="720"/>
      </w:pPr>
      <w:r w:rsidRPr="00C33D30">
        <w:rPr>
          <w:i/>
        </w:rPr>
        <w:t>For more detail on PBAC’s view, see section 7 PBAC outcome.</w:t>
      </w:r>
    </w:p>
    <w:p w14:paraId="1B76B6B9" w14:textId="77777777" w:rsidR="00091D2A" w:rsidRPr="00407F2D" w:rsidDel="00195452" w:rsidRDefault="00091D2A" w:rsidP="00552B0C">
      <w:pPr>
        <w:pStyle w:val="2-SectionHeading"/>
        <w:numPr>
          <w:ilvl w:val="0"/>
          <w:numId w:val="5"/>
        </w:numPr>
      </w:pPr>
      <w:bookmarkStart w:id="15" w:name="_Toc177546217"/>
      <w:r w:rsidDel="00195452">
        <w:t>Population and disease</w:t>
      </w:r>
      <w:bookmarkEnd w:id="15"/>
    </w:p>
    <w:p w14:paraId="344C9360" w14:textId="77777777" w:rsidR="00091D2A" w:rsidRPr="00552B0C" w:rsidRDefault="00091D2A" w:rsidP="4E6EDD58">
      <w:pPr>
        <w:pStyle w:val="3-BodyText"/>
      </w:pPr>
      <w:r w:rsidRPr="00552B0C">
        <w:rPr>
          <w:shd w:val="clear" w:color="auto" w:fill="FFFFFF" w:themeFill="background1"/>
        </w:rPr>
        <w:t>Pancreatic adenocarcinoma (PAC) is a cancer of the exocrine pancreas. Pancreatic cancer is a disease with high morbidity and mortality and is the eighth most commonly diagnosed cancer in Australia</w:t>
      </w:r>
      <w:r w:rsidRPr="00552B0C">
        <w:t>.</w:t>
      </w:r>
      <w:r w:rsidRPr="00552B0C">
        <w:rPr>
          <w:rStyle w:val="FootnoteReference"/>
        </w:rPr>
        <w:footnoteReference w:id="3"/>
      </w:r>
      <w:r w:rsidRPr="00552B0C">
        <w:t xml:space="preserve"> </w:t>
      </w:r>
    </w:p>
    <w:p w14:paraId="78BE9E3E" w14:textId="77777777" w:rsidR="00091D2A" w:rsidRPr="00552B0C" w:rsidRDefault="00091D2A" w:rsidP="00552B0C">
      <w:pPr>
        <w:pStyle w:val="3-BodyText"/>
        <w:numPr>
          <w:ilvl w:val="1"/>
          <w:numId w:val="5"/>
        </w:numPr>
      </w:pPr>
      <w:r w:rsidRPr="00552B0C">
        <w:rPr>
          <w:shd w:val="clear" w:color="auto" w:fill="FFFFFF" w:themeFill="background1"/>
        </w:rPr>
        <w:t>Pancreatic cancer is difficult to detect in its early stages, and patients may remain asymptomatic until the advanced stages of the disease. Approximately 20% of patients diagnosed with PAC present with disease that is limited to the pancreas and potentially resectable (Stage I-II), while approximately 50% present with metastatic disease (Stage IV; mPAC).</w:t>
      </w:r>
      <w:r w:rsidRPr="00552B0C">
        <w:rPr>
          <w:rStyle w:val="Heading8Char"/>
          <w:shd w:val="clear" w:color="auto" w:fill="FFFFFF" w:themeFill="background1"/>
        </w:rPr>
        <w:t xml:space="preserve"> </w:t>
      </w:r>
      <w:r w:rsidRPr="00552B0C">
        <w:rPr>
          <w:rStyle w:val="FootnoteReference"/>
          <w:shd w:val="clear" w:color="auto" w:fill="FFFFFF" w:themeFill="background1"/>
        </w:rPr>
        <w:footnoteReference w:id="4"/>
      </w:r>
      <w:r w:rsidRPr="00552B0C">
        <w:rPr>
          <w:shd w:val="clear" w:color="auto" w:fill="FFFFFF" w:themeFill="background1"/>
          <w:vertAlign w:val="superscript"/>
        </w:rPr>
        <w:t>,</w:t>
      </w:r>
      <w:r w:rsidRPr="00552B0C">
        <w:rPr>
          <w:rStyle w:val="FootnoteReference"/>
          <w:shd w:val="clear" w:color="auto" w:fill="FFFFFF" w:themeFill="background1"/>
        </w:rPr>
        <w:footnoteReference w:id="5"/>
      </w:r>
      <w:r w:rsidRPr="00552B0C">
        <w:rPr>
          <w:shd w:val="clear" w:color="auto" w:fill="FFFFFF" w:themeFill="background1"/>
        </w:rPr>
        <w:t xml:space="preserve"> The remaining 30% present with disease that interfaces with major vascular structures, making it either borderline resectable or locally advanced/unresectable (stage III).</w:t>
      </w:r>
      <w:r w:rsidRPr="00552B0C">
        <w:rPr>
          <w:rStyle w:val="Heading8Char"/>
          <w:shd w:val="clear" w:color="auto" w:fill="FFFFFF" w:themeFill="background1"/>
        </w:rPr>
        <w:t xml:space="preserve"> </w:t>
      </w:r>
      <w:r w:rsidRPr="00552B0C">
        <w:rPr>
          <w:rStyle w:val="FootnoteReference"/>
          <w:shd w:val="clear" w:color="auto" w:fill="FFFFFF" w:themeFill="background1"/>
        </w:rPr>
        <w:footnoteReference w:id="6"/>
      </w:r>
      <w:r w:rsidRPr="00552B0C">
        <w:rPr>
          <w:shd w:val="clear" w:color="auto" w:fill="FFFFFF" w:themeFill="background1"/>
          <w:vertAlign w:val="superscript"/>
        </w:rPr>
        <w:t>,</w:t>
      </w:r>
      <w:r w:rsidRPr="00552B0C">
        <w:rPr>
          <w:rStyle w:val="FootnoteReference"/>
          <w:shd w:val="clear" w:color="auto" w:fill="FFFFFF" w:themeFill="background1"/>
        </w:rPr>
        <w:footnoteReference w:id="7"/>
      </w:r>
      <w:r w:rsidRPr="00552B0C">
        <w:rPr>
          <w:shd w:val="clear" w:color="auto" w:fill="FFFFFF" w:themeFill="background1"/>
        </w:rPr>
        <w:t xml:space="preserve"> Due to the typically late diagnosis, pancreatic cancer is overrepresented in mortality and is estimated to be the fourth leading cause of cancer-related death in Australia. The three-year survival for patients with mPAC at diagnosis is 4%, and overall PAC three-year survival is 11%</w:t>
      </w:r>
      <w:r w:rsidRPr="00552B0C">
        <w:t>.</w:t>
      </w:r>
      <w:r w:rsidRPr="00552B0C">
        <w:rPr>
          <w:rStyle w:val="FootnoteReference"/>
        </w:rPr>
        <w:footnoteReference w:id="8"/>
      </w:r>
      <w:r w:rsidRPr="00552B0C">
        <w:t xml:space="preserve"> </w:t>
      </w:r>
    </w:p>
    <w:p w14:paraId="43C99E98" w14:textId="77777777" w:rsidR="00091D2A" w:rsidRPr="00552B0C" w:rsidRDefault="00091D2A" w:rsidP="00552B0C">
      <w:pPr>
        <w:pStyle w:val="3-BodyText"/>
        <w:numPr>
          <w:ilvl w:val="1"/>
          <w:numId w:val="5"/>
        </w:numPr>
      </w:pPr>
      <w:r w:rsidRPr="00552B0C">
        <w:rPr>
          <w:shd w:val="clear" w:color="auto" w:fill="FFFFFF" w:themeFill="background1"/>
        </w:rPr>
        <w:t>The treatment approach for PAC is dependent on the stage of the cancer and the treatment goals of the patient and their family.</w:t>
      </w:r>
      <w:r w:rsidRPr="00552B0C">
        <w:rPr>
          <w:rStyle w:val="FootnoteReference"/>
          <w:shd w:val="clear" w:color="auto" w:fill="FFFFFF" w:themeFill="background1"/>
        </w:rPr>
        <w:footnoteReference w:id="9"/>
      </w:r>
      <w:r w:rsidRPr="00552B0C">
        <w:rPr>
          <w:shd w:val="clear" w:color="auto" w:fill="FFFFFF" w:themeFill="background1"/>
        </w:rPr>
        <w:t xml:space="preserve"> Surgical resection remains the only possibility of cure. However, most patients (80% or more) are not suitable for surgery at the time of diagnosis.</w:t>
      </w:r>
      <w:r w:rsidRPr="00552B0C">
        <w:rPr>
          <w:rStyle w:val="Heading8Char"/>
          <w:shd w:val="clear" w:color="auto" w:fill="FFFFFF" w:themeFill="background1"/>
        </w:rPr>
        <w:t xml:space="preserve"> </w:t>
      </w:r>
      <w:r w:rsidRPr="00552B0C">
        <w:rPr>
          <w:rStyle w:val="FootnoteReference"/>
          <w:shd w:val="clear" w:color="auto" w:fill="FFFFFF" w:themeFill="background1"/>
        </w:rPr>
        <w:footnoteReference w:id="10"/>
      </w:r>
      <w:r w:rsidRPr="00552B0C">
        <w:rPr>
          <w:shd w:val="clear" w:color="auto" w:fill="FFFFFF" w:themeFill="background1"/>
        </w:rPr>
        <w:t xml:space="preserve"> The treatment of mPAC is with chemotherapy or best supportive care (BSC). Chemotherapy in this context is not administered with curative </w:t>
      </w:r>
      <w:r w:rsidRPr="00552B0C">
        <w:rPr>
          <w:shd w:val="clear" w:color="auto" w:fill="FFFFFF" w:themeFill="background1"/>
        </w:rPr>
        <w:lastRenderedPageBreak/>
        <w:t>intent. It is administered with the aims of controlling the rate of growth of the cancer, relieving symptoms, maintaining or improving quality of life, and prolonging survival</w:t>
      </w:r>
      <w:r w:rsidRPr="00552B0C">
        <w:t>.</w:t>
      </w:r>
    </w:p>
    <w:p w14:paraId="28D6009E" w14:textId="4643F40F" w:rsidR="00091D2A" w:rsidRPr="00552B0C" w:rsidRDefault="00091D2A" w:rsidP="00552B0C">
      <w:pPr>
        <w:pStyle w:val="3-BodyText"/>
        <w:numPr>
          <w:ilvl w:val="1"/>
          <w:numId w:val="5"/>
        </w:numPr>
      </w:pPr>
      <w:r w:rsidRPr="00552B0C">
        <w:rPr>
          <w:shd w:val="clear" w:color="auto" w:fill="FFFFFF" w:themeFill="background1"/>
        </w:rPr>
        <w:t>There are multiple chemotherapy regimens that are used for the first-line treatment of mPAC. Australian registry data suggest that the most frequently used regimens for first line mPAC are Gem+NabP (66.5% of patients), FOLFIRINOX (10.9%) and gemcitabine monotherapy (10.3%).</w:t>
      </w:r>
      <w:r w:rsidRPr="00552B0C">
        <w:rPr>
          <w:rStyle w:val="FootnoteReference"/>
          <w:shd w:val="clear" w:color="auto" w:fill="FFFFFF" w:themeFill="background1"/>
        </w:rPr>
        <w:footnoteReference w:id="11"/>
      </w:r>
      <w:r w:rsidR="008D0998">
        <w:t xml:space="preserve"> </w:t>
      </w:r>
    </w:p>
    <w:p w14:paraId="34E2673E" w14:textId="77777777" w:rsidR="00091D2A" w:rsidRPr="00552B0C" w:rsidRDefault="00091D2A" w:rsidP="00552B0C">
      <w:pPr>
        <w:pStyle w:val="3-BodyText"/>
        <w:numPr>
          <w:ilvl w:val="1"/>
          <w:numId w:val="5"/>
        </w:numPr>
        <w:rPr>
          <w:color w:val="000000" w:themeColor="text1"/>
        </w:rPr>
      </w:pPr>
      <w:r w:rsidRPr="00552B0C">
        <w:rPr>
          <w:shd w:val="clear" w:color="auto" w:fill="FFFFFF" w:themeFill="background1"/>
        </w:rPr>
        <w:t>Nal-IRI injection is a liposomal formulation that encapsulates irinotecan, a topoisomerase I inhibitor, inside a lipid bilayer vesicle. The encapsulation allows irinotecan to remain in circulation for longer than unencapsulated (free) irinotecan before conversion to its active metabolite, SN-38. The nanoliposomal formulation of irinotecan demonstrates higher intra-tumoural concentrations,</w:t>
      </w:r>
      <w:r w:rsidRPr="00552B0C">
        <w:rPr>
          <w:rStyle w:val="FootnoteReference"/>
          <w:shd w:val="clear" w:color="auto" w:fill="FFFFFF" w:themeFill="background1"/>
        </w:rPr>
        <w:footnoteReference w:id="12"/>
      </w:r>
      <w:r w:rsidRPr="00552B0C">
        <w:rPr>
          <w:shd w:val="clear" w:color="auto" w:fill="FFFFFF" w:themeFill="background1"/>
          <w:vertAlign w:val="superscript"/>
        </w:rPr>
        <w:t>,</w:t>
      </w:r>
      <w:r w:rsidRPr="00552B0C">
        <w:rPr>
          <w:rStyle w:val="FootnoteReference"/>
          <w:shd w:val="clear" w:color="auto" w:fill="FFFFFF" w:themeFill="background1"/>
        </w:rPr>
        <w:footnoteReference w:id="13"/>
      </w:r>
      <w:r w:rsidRPr="00552B0C">
        <w:rPr>
          <w:shd w:val="clear" w:color="auto" w:fill="FFFFFF" w:themeFill="background1"/>
        </w:rPr>
        <w:t xml:space="preserve"> thus in theory minimising systemic toxicity as compared with standard formulation irinotecan. The TGA Delegate’s Overview (p22) stated “there was no direct clinical evidence demonstrating that liposomal encapsulation changes the clinical efficacy or safety of irinotecan for the general population of patients with pancreatic cancer”</w:t>
      </w:r>
      <w:r w:rsidRPr="00552B0C">
        <w:t>.</w:t>
      </w:r>
    </w:p>
    <w:p w14:paraId="44AB3AE7" w14:textId="3F9A63B2" w:rsidR="00A309F8" w:rsidRDefault="00091D2A" w:rsidP="00552B0C">
      <w:pPr>
        <w:pStyle w:val="3-BodyText"/>
        <w:numPr>
          <w:ilvl w:val="1"/>
          <w:numId w:val="5"/>
        </w:numPr>
      </w:pPr>
      <w:r w:rsidRPr="00552B0C">
        <w:rPr>
          <w:color w:val="000000" w:themeColor="text1"/>
        </w:rPr>
        <w:t xml:space="preserve">Nal-IRI (as part of NALIRIFOX regimen) </w:t>
      </w:r>
      <w:r w:rsidRPr="00552B0C">
        <w:t>is proposed as a first-line chemotherapy for the treatment of mPAC in patients with good performance status (ECOG</w:t>
      </w:r>
      <w:r w:rsidR="008824DB" w:rsidRPr="00552B0C">
        <w:t xml:space="preserve"> </w:t>
      </w:r>
      <w:r w:rsidRPr="00552B0C">
        <w:t xml:space="preserve">PS of 0-1). This </w:t>
      </w:r>
      <w:r w:rsidR="008D5884">
        <w:t>differed from</w:t>
      </w:r>
      <w:r w:rsidRPr="00552B0C">
        <w:t xml:space="preserve"> the March 2024 submission, which included mPAC patients with good and intermediate performance status (ECOG PS 0-2). </w:t>
      </w:r>
    </w:p>
    <w:p w14:paraId="750219B9" w14:textId="1E0EF1C4" w:rsidR="00552B0C" w:rsidRPr="00552B0C" w:rsidRDefault="00552B0C" w:rsidP="00552B0C">
      <w:pPr>
        <w:pStyle w:val="3-BodyText"/>
        <w:numPr>
          <w:ilvl w:val="0"/>
          <w:numId w:val="0"/>
        </w:numPr>
        <w:ind w:left="720"/>
      </w:pPr>
      <w:r w:rsidRPr="00C33D30">
        <w:rPr>
          <w:i/>
        </w:rPr>
        <w:t>For more detail on PBAC’s view, see section 7 PBAC outcome.</w:t>
      </w:r>
    </w:p>
    <w:p w14:paraId="41992575" w14:textId="77777777" w:rsidR="00091D2A" w:rsidRPr="00407F2D" w:rsidRDefault="00091D2A" w:rsidP="00552B0C">
      <w:pPr>
        <w:pStyle w:val="2-SectionHeading"/>
        <w:numPr>
          <w:ilvl w:val="0"/>
          <w:numId w:val="5"/>
        </w:numPr>
      </w:pPr>
      <w:bookmarkStart w:id="16" w:name="_Toc177546218"/>
      <w:r w:rsidRPr="00407F2D">
        <w:t>Comparator</w:t>
      </w:r>
      <w:bookmarkEnd w:id="16"/>
    </w:p>
    <w:p w14:paraId="2B3EC15D" w14:textId="20EF7B1C" w:rsidR="00091D2A" w:rsidRPr="00552B0C" w:rsidRDefault="00091D2A" w:rsidP="00552B0C">
      <w:pPr>
        <w:pStyle w:val="3-BodyText"/>
        <w:numPr>
          <w:ilvl w:val="1"/>
          <w:numId w:val="5"/>
        </w:numPr>
      </w:pPr>
      <w:r w:rsidRPr="00552B0C">
        <w:t xml:space="preserve">The resubmission </w:t>
      </w:r>
      <w:r w:rsidR="00EB0CA5" w:rsidRPr="00552B0C">
        <w:t>proposed</w:t>
      </w:r>
      <w:r w:rsidRPr="00552B0C">
        <w:t xml:space="preserve"> a mixed comparator of Gem+NabP (75%) and FOLFIRINOX (25%). The main argument provided by the resubmission in support of this nomination was that Gem+NabP is substantially more commonly used than FOLFIRINOX in patients with mPAC</w:t>
      </w:r>
      <w:r w:rsidR="002D3973" w:rsidRPr="00552B0C">
        <w:t xml:space="preserve"> (Stage III or IV)</w:t>
      </w:r>
      <w:r w:rsidRPr="00552B0C">
        <w:t xml:space="preserve"> and ECOG</w:t>
      </w:r>
      <w:r w:rsidR="008824DB" w:rsidRPr="00552B0C">
        <w:t xml:space="preserve"> </w:t>
      </w:r>
      <w:r w:rsidRPr="00552B0C">
        <w:t xml:space="preserve">PS of 0 or 1 (85.1% vs 14.9%, respectively), based on Australian data from the </w:t>
      </w:r>
      <w:r w:rsidR="00876A72" w:rsidRPr="00552B0C">
        <w:t>Pancreatic cancer: Understanding Routine Practice &amp; Lifting End (</w:t>
      </w:r>
      <w:r w:rsidRPr="00552B0C">
        <w:t>PURPLE</w:t>
      </w:r>
      <w:r w:rsidR="00876A72" w:rsidRPr="00552B0C">
        <w:t>)</w:t>
      </w:r>
      <w:r w:rsidRPr="00552B0C">
        <w:t xml:space="preserve"> registry. The nominated comparator </w:t>
      </w:r>
      <w:r w:rsidR="008D5884">
        <w:t>differed from</w:t>
      </w:r>
      <w:r w:rsidRPr="00552B0C">
        <w:t xml:space="preserve"> the March 2024 submission, which included Gem+NabP as the main comparator (100%) and FOLFIRINOX as a secondary (minor) comparator. </w:t>
      </w:r>
    </w:p>
    <w:p w14:paraId="218CC7AE" w14:textId="708EFB8F" w:rsidR="00091D2A" w:rsidRPr="00552B0C" w:rsidRDefault="00091D2A" w:rsidP="00552B0C">
      <w:pPr>
        <w:pStyle w:val="3-BodyText"/>
        <w:numPr>
          <w:ilvl w:val="1"/>
          <w:numId w:val="5"/>
        </w:numPr>
      </w:pPr>
      <w:r w:rsidRPr="00552B0C">
        <w:t xml:space="preserve">At the March 2024 meeting, the PBAC noted that Gem+NabP is currently the most frequently used treatment in the first-line setting, however the PBAC considered that the submission’s nomination of Gem+NabP as main comparator was inappropriate because the population in which NALIRIFOX will be used is closer to the population </w:t>
      </w:r>
      <w:r w:rsidRPr="00552B0C">
        <w:lastRenderedPageBreak/>
        <w:t>treated with FOLFIRINOX (para 7.6, irinotecan (nanoliposomal), PSD, March 2024 PBAC meeting). The PBAC noted that characteristics of this population may include younger age and good performance status (ECOG PS 0 to 1). The PBAC considered that FOLFIRINOX was the appropriate main comparator for NALIRIFOX for the proposed listing (para 7.6, irinotecan (nanoliposomal), PSD, March 2024 PBAC meeting).</w:t>
      </w:r>
      <w:r w:rsidR="008D0998">
        <w:t xml:space="preserve"> </w:t>
      </w:r>
    </w:p>
    <w:p w14:paraId="30D52F36" w14:textId="5796B9AC" w:rsidR="00091D2A" w:rsidRPr="00552B0C" w:rsidRDefault="00C355DD" w:rsidP="00552B0C">
      <w:pPr>
        <w:pStyle w:val="3-BodyText"/>
        <w:numPr>
          <w:ilvl w:val="1"/>
          <w:numId w:val="5"/>
        </w:numPr>
      </w:pPr>
      <w:bookmarkStart w:id="17" w:name="_Ref183594962"/>
      <w:r w:rsidRPr="00552B0C">
        <w:t xml:space="preserve">The resubmission claimed there </w:t>
      </w:r>
      <w:r w:rsidR="008D5884">
        <w:t>was</w:t>
      </w:r>
      <w:r w:rsidR="008D5884" w:rsidRPr="00552B0C">
        <w:t xml:space="preserve"> </w:t>
      </w:r>
      <w:r w:rsidRPr="00552B0C">
        <w:t>no evidence to support the PBAC’s advice that clinicians will preferentially use NALIRIFOX in younger or fitter patients compared with Gem+NabP (para 7.6, irinotecan (nanoliposomal), PSD, March 2024 PBAC meeting).</w:t>
      </w:r>
      <w:r w:rsidR="008D0998">
        <w:t xml:space="preserve"> </w:t>
      </w:r>
      <w:r w:rsidR="5C7D236F" w:rsidRPr="00552B0C">
        <w:t>The resubmission however</w:t>
      </w:r>
      <w:r w:rsidR="008D5884">
        <w:t xml:space="preserve"> did</w:t>
      </w:r>
      <w:r w:rsidR="008D5884" w:rsidRPr="00552B0C">
        <w:t xml:space="preserve"> </w:t>
      </w:r>
      <w:r w:rsidR="5C7D236F" w:rsidRPr="00552B0C">
        <w:t>accept</w:t>
      </w:r>
      <w:r w:rsidR="00193B7D">
        <w:t xml:space="preserve"> </w:t>
      </w:r>
      <w:r w:rsidR="5C7D236F" w:rsidRPr="00552B0C">
        <w:t xml:space="preserve">the advice of the PBAC </w:t>
      </w:r>
      <w:r w:rsidR="008D5884">
        <w:t xml:space="preserve">with regard to limiting </w:t>
      </w:r>
      <w:r w:rsidR="5C7D236F" w:rsidRPr="00552B0C">
        <w:t>the eligible population to those with an ECOG PS of 0 or 1, which differs from the population in whom Gem</w:t>
      </w:r>
      <w:r w:rsidR="65780B23" w:rsidRPr="00552B0C">
        <w:t xml:space="preserve">+NabP can be used, as the restriction for NabP includes patients with an ECOG PS of 2 (gemcitabine </w:t>
      </w:r>
      <w:r w:rsidR="00885F9A" w:rsidRPr="00552B0C">
        <w:t xml:space="preserve">has </w:t>
      </w:r>
      <w:r w:rsidR="65780B23" w:rsidRPr="00552B0C">
        <w:t>an unrestricted PBS listing).</w:t>
      </w:r>
      <w:bookmarkEnd w:id="17"/>
      <w:r w:rsidR="65780B23" w:rsidRPr="00552B0C">
        <w:t xml:space="preserve"> </w:t>
      </w:r>
    </w:p>
    <w:p w14:paraId="7D80EBA7" w14:textId="3864A587" w:rsidR="00091D2A" w:rsidRPr="00552B0C" w:rsidRDefault="00706EF6" w:rsidP="00552B0C">
      <w:pPr>
        <w:pStyle w:val="3-BodyText"/>
        <w:numPr>
          <w:ilvl w:val="1"/>
          <w:numId w:val="5"/>
        </w:numPr>
      </w:pPr>
      <w:r w:rsidRPr="00552B0C">
        <w:t>The resubmission argued th</w:t>
      </w:r>
      <w:r w:rsidR="0090128B">
        <w:t>e</w:t>
      </w:r>
      <w:r w:rsidRPr="00552B0C">
        <w:t xml:space="preserve"> NAPOLI-3 trial results supported the use of NALIRIFOX in a broader patient population (older) than the population currently treated with FOLFIRINOX (younger and fitter) and maintained that NALIRIFOX will be used in a proportion of patients who would currently use Gem+NabP. </w:t>
      </w:r>
      <w:r w:rsidR="00091D2A" w:rsidRPr="00552B0C">
        <w:t xml:space="preserve">Furthermore, the resubmission argued that while NALIRIFOX and FOLFIRINOX regimens have similar components, there are differences in the dose intensity of the individual drugs (higher doses of irinotecan, oxaliplatin and 5-FU in FOLFIRINOX) that translate to differences in the safety profile associated with each regimen. The resubmission maintained that haematological toxicity is the key reason FOLFIRINOX is usually reserved for use in patients with a very good ECOG PS (typically younger) patients. The resubmission stated that </w:t>
      </w:r>
      <w:r w:rsidR="00FB20BD" w:rsidRPr="00552B0C">
        <w:t xml:space="preserve">the </w:t>
      </w:r>
      <w:r w:rsidR="00091D2A" w:rsidRPr="00552B0C">
        <w:t xml:space="preserve">FOLFIRINOX protocol listed in the </w:t>
      </w:r>
      <w:r w:rsidR="00FB20BD" w:rsidRPr="00552B0C">
        <w:t xml:space="preserve">NSW </w:t>
      </w:r>
      <w:r w:rsidR="00091D2A" w:rsidRPr="00552B0C">
        <w:t xml:space="preserve">eviQ cancer treatment guidelines </w:t>
      </w:r>
      <w:r w:rsidR="008D5884" w:rsidRPr="00552B0C">
        <w:t>indicate</w:t>
      </w:r>
      <w:r w:rsidR="008D5884">
        <w:t>d</w:t>
      </w:r>
      <w:r w:rsidR="008D5884" w:rsidRPr="00552B0C">
        <w:t xml:space="preserve"> </w:t>
      </w:r>
      <w:r w:rsidR="00091D2A" w:rsidRPr="00552B0C">
        <w:t>that FOLFIRINOX “is potentially a toxic regimen and should be used in patients with normal albumin, bilirubin and a very good ECOG performance status. Strategies to minimise toxicity include granulocyte colony-stimulating factor (G-CSF) support, dose attenuation (e.g., omitting 5FU bolus and/or reducing irinotecan to 150 mg/m</w:t>
      </w:r>
      <w:r w:rsidR="00091D2A" w:rsidRPr="00552B0C">
        <w:rPr>
          <w:vertAlign w:val="superscript"/>
        </w:rPr>
        <w:t>2</w:t>
      </w:r>
      <w:r w:rsidR="00091D2A" w:rsidRPr="00552B0C">
        <w:t>), th</w:t>
      </w:r>
      <w:r w:rsidR="00FB20BD" w:rsidRPr="00552B0C">
        <w:t>o</w:t>
      </w:r>
      <w:r w:rsidR="00091D2A" w:rsidRPr="00552B0C">
        <w:t>rough patient education and vigilant monitoring for any potential septic episodes”.</w:t>
      </w:r>
      <w:r w:rsidR="00091D2A" w:rsidRPr="00552B0C">
        <w:rPr>
          <w:rStyle w:val="FootnoteReference"/>
        </w:rPr>
        <w:footnoteReference w:id="14"/>
      </w:r>
      <w:r w:rsidR="00091D2A" w:rsidRPr="00552B0C">
        <w:t xml:space="preserve"> </w:t>
      </w:r>
    </w:p>
    <w:p w14:paraId="5B77305A" w14:textId="082EF780" w:rsidR="001A4489" w:rsidRPr="00552B0C" w:rsidRDefault="00540501" w:rsidP="00550B7D">
      <w:pPr>
        <w:pStyle w:val="3-BodyText"/>
      </w:pPr>
      <w:bookmarkStart w:id="18" w:name="_Ref183594967"/>
      <w:r w:rsidRPr="00552B0C">
        <w:t xml:space="preserve">The proposed weighted comparator approach </w:t>
      </w:r>
      <w:r w:rsidR="008D5884">
        <w:t>was</w:t>
      </w:r>
      <w:r w:rsidR="008D5884" w:rsidRPr="00552B0C">
        <w:t xml:space="preserve"> </w:t>
      </w:r>
      <w:r w:rsidRPr="00552B0C">
        <w:t>inconsistent with the previous view expressed by the PBAC at its March 2024 meeting. At that time, the PBAC advised that a resubmission would need to nominate FOLFIRINOX as the main comparator, and if there was insufficient evidence to support a claim of superiority of NALIRIFOX over FOLFIRINOX in terms of efficacy or safety, the appropriate form of economic evaluation would be a cost minimisation approach (paragraph 7.15, irinotecan (nanoliposomal) PSD, March 2024 PBAC meeting).</w:t>
      </w:r>
      <w:bookmarkEnd w:id="18"/>
      <w:r w:rsidRPr="00552B0C">
        <w:t> </w:t>
      </w:r>
    </w:p>
    <w:p w14:paraId="5B36BD70" w14:textId="5E29D120" w:rsidR="00BB4D4D" w:rsidRPr="00552B0C" w:rsidRDefault="00BB4D4D" w:rsidP="00BB4D4D">
      <w:pPr>
        <w:pStyle w:val="3-BodyText"/>
      </w:pPr>
      <w:bookmarkStart w:id="19" w:name="_Ref183594947"/>
      <w:r w:rsidRPr="00552B0C">
        <w:lastRenderedPageBreak/>
        <w:t>The PSCR argued that a cost-minimisation approach versus FOLFIRINOX, as suggested by the PBAC, is inappropriate given the resubmission’s claim that NALIRIFOX will displace the use of Gem+NabP in clinical practice. The PSCR also discussed that a cost-minimisation approach would result in a lower price for NALIRIFOX than Gem+NabP which it considered inappropriate when there is RCT evidence showing superior OS for NALIRIFOX over Gem+NabP.</w:t>
      </w:r>
      <w:r w:rsidR="008D0998">
        <w:t xml:space="preserve"> </w:t>
      </w:r>
      <w:r w:rsidRPr="00552B0C">
        <w:t>The ESC did not agree with the PSCR’s arguments and considered that the main comparator and therapy most likely to be replaced in practice would be FOLFIRINOX (rather than Gem+NabP).</w:t>
      </w:r>
      <w:bookmarkEnd w:id="19"/>
    </w:p>
    <w:p w14:paraId="7AB07AB7" w14:textId="6C6B281E" w:rsidR="00A22644" w:rsidRPr="00552B0C" w:rsidRDefault="004A2C50">
      <w:pPr>
        <w:pStyle w:val="3-BodyText"/>
      </w:pPr>
      <w:bookmarkStart w:id="20" w:name="_Ref177545498"/>
      <w:r w:rsidRPr="00552B0C">
        <w:t>The resubmission did not provide sufficient evidence to address the PBAC</w:t>
      </w:r>
      <w:r w:rsidR="00917C6C" w:rsidRPr="00552B0C">
        <w:t>’</w:t>
      </w:r>
      <w:r w:rsidRPr="00552B0C">
        <w:t xml:space="preserve">s previous considerations regarding the comparative effectiveness and safety of NALIRIFOX over </w:t>
      </w:r>
      <w:r w:rsidR="00811C0D" w:rsidRPr="00552B0C">
        <w:t>FOLFIRINOX</w:t>
      </w:r>
      <w:r w:rsidR="00A325E1" w:rsidRPr="00552B0C">
        <w:t xml:space="preserve"> (discussed further in the </w:t>
      </w:r>
      <w:r w:rsidR="00811C0D" w:rsidRPr="00552B0C">
        <w:t>Section 6</w:t>
      </w:r>
      <w:r w:rsidR="00A325E1" w:rsidRPr="00552B0C">
        <w:t>)</w:t>
      </w:r>
      <w:r w:rsidRPr="00552B0C">
        <w:t>. As such, the</w:t>
      </w:r>
      <w:r w:rsidR="00E43152" w:rsidRPr="00552B0C">
        <w:t xml:space="preserve"> evaluation considered the</w:t>
      </w:r>
      <w:r w:rsidRPr="00552B0C">
        <w:t xml:space="preserve"> use of the mixed comparator approach </w:t>
      </w:r>
      <w:r w:rsidR="00E43152" w:rsidRPr="00552B0C">
        <w:t>was</w:t>
      </w:r>
      <w:r w:rsidRPr="00552B0C">
        <w:t xml:space="preserve"> not supported</w:t>
      </w:r>
      <w:r w:rsidR="00A325E1" w:rsidRPr="00552B0C">
        <w:t xml:space="preserve"> based on the available evidence</w:t>
      </w:r>
      <w:r w:rsidR="00F12267" w:rsidRPr="00552B0C">
        <w:t>.</w:t>
      </w:r>
      <w:bookmarkEnd w:id="20"/>
      <w:r w:rsidR="00C55258" w:rsidRPr="00552B0C">
        <w:t xml:space="preserve"> </w:t>
      </w:r>
    </w:p>
    <w:p w14:paraId="4CF91EDD" w14:textId="305C08F5" w:rsidR="00E43152" w:rsidRPr="00552B0C" w:rsidRDefault="00E43152" w:rsidP="00E43152">
      <w:pPr>
        <w:pStyle w:val="3-BodyText"/>
      </w:pPr>
      <w:r w:rsidRPr="00552B0C">
        <w:t xml:space="preserve">The PSCR argued the PURPLE registry data indicated that Gem+NabP remained the most often used option for patients with </w:t>
      </w:r>
      <w:r w:rsidR="008D5884">
        <w:t>a good performance status (ECOG 0-1)</w:t>
      </w:r>
      <w:r w:rsidRPr="00552B0C">
        <w:t>. Combined</w:t>
      </w:r>
      <w:r w:rsidR="00811C0D" w:rsidRPr="00552B0C">
        <w:t xml:space="preserve"> with</w:t>
      </w:r>
      <w:r w:rsidRPr="00552B0C">
        <w:t xml:space="preserve"> the claim of superior comparative effectiveness to Gem+NabP, the PSCR maintained that NALIRIFOX will mostly substitute for that treatment regimen in practice.</w:t>
      </w:r>
    </w:p>
    <w:p w14:paraId="5336C3A6" w14:textId="0C32B6AD" w:rsidR="009B490D" w:rsidRPr="00552B0C" w:rsidRDefault="00E43152" w:rsidP="00663BA4">
      <w:pPr>
        <w:pStyle w:val="3-BodyText"/>
      </w:pPr>
      <w:r w:rsidRPr="00552B0C">
        <w:t xml:space="preserve">The ESC agreed with the evaluation and considered, consistent with the prior advice of the PBAC, that FOLFIRINOX was the appropriate </w:t>
      </w:r>
      <w:r w:rsidR="00811C0D" w:rsidRPr="00552B0C">
        <w:t xml:space="preserve">main </w:t>
      </w:r>
      <w:r w:rsidRPr="00552B0C">
        <w:t xml:space="preserve">comparator. The ESC considered that as a claim of superior comparative effectiveness and/or safety of NALIRIFOX over FOLFIRINOX was not supported (discussed further in Section 6), that the weighted comparator approach taken by the submission was inappropriate. Furthermore, given a claim of superiority was not supported, the ESC considered </w:t>
      </w:r>
      <w:r w:rsidR="000344B4" w:rsidRPr="00552B0C">
        <w:t xml:space="preserve">that the appropriate form of economic evaluation to determine the price of nal-IRI would be </w:t>
      </w:r>
      <w:r w:rsidRPr="00552B0C">
        <w:t xml:space="preserve">a cost minimisation </w:t>
      </w:r>
      <w:r w:rsidR="000344B4" w:rsidRPr="00552B0C">
        <w:t>approach versus</w:t>
      </w:r>
      <w:r w:rsidRPr="00552B0C">
        <w:t xml:space="preserve"> FOLFIRINOX.</w:t>
      </w:r>
    </w:p>
    <w:p w14:paraId="4E7BEEC9" w14:textId="18B7C7ED" w:rsidR="009B490D" w:rsidRPr="00552B0C" w:rsidRDefault="00E43152" w:rsidP="009B490D">
      <w:pPr>
        <w:pStyle w:val="3-BodyText"/>
      </w:pPr>
      <w:r w:rsidRPr="00552B0C">
        <w:t>The ESC considered, given its view on the clinical claim versus FOFIRINOX not being adequately supported, that Gem+NabP would only be considered the comparator if a cohort of patients who are clinically unsuitable for FOLFIRINOX</w:t>
      </w:r>
      <w:r w:rsidR="00FD7713" w:rsidRPr="00552B0C">
        <w:t xml:space="preserve"> but suitable for NALIRIFOX</w:t>
      </w:r>
      <w:r w:rsidRPr="00552B0C">
        <w:t xml:space="preserve"> could be defined and quantified within the requested population. The ESC noted no such subpopulation had been identified by the submission</w:t>
      </w:r>
      <w:r w:rsidR="009B490D" w:rsidRPr="00552B0C">
        <w:t>. The ESC noted that utilisation data presented from the PURPLE registry did not identify patients who were clinically unsuitable for FOLFIRINOX, and therefore did not provide any basis for the resubmission’s assumption that if nal-IRI was available, the population treated with Gem+NabP would reduce by half.</w:t>
      </w:r>
    </w:p>
    <w:p w14:paraId="55DD58FB" w14:textId="61C86AE5" w:rsidR="00091D2A" w:rsidRPr="00552B0C" w:rsidRDefault="00091D2A">
      <w:pPr>
        <w:pStyle w:val="3-BodyText"/>
      </w:pPr>
      <w:r w:rsidRPr="00552B0C">
        <w:t xml:space="preserve">The resubmission derived the weighting of the mixed comparator (75%/25%) based on </w:t>
      </w:r>
      <w:r w:rsidR="6373B75F" w:rsidRPr="00552B0C">
        <w:t>an</w:t>
      </w:r>
      <w:r w:rsidRPr="00552B0C">
        <w:t xml:space="preserve"> assumption that </w:t>
      </w:r>
      <w:r w:rsidR="005F3BC8" w:rsidRPr="00993109">
        <w:rPr>
          <w:color w:val="000000"/>
          <w:w w:val="15"/>
          <w:shd w:val="solid" w:color="000000" w:fill="000000"/>
          <w:fitText w:val="-20" w:id="-760998134"/>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4"/>
          <w14:textFill>
            <w14:solidFill>
              <w14:srgbClr w14:val="000000">
                <w14:alpha w14:val="100000"/>
              </w14:srgbClr>
            </w14:solidFill>
          </w14:textFill>
        </w:rPr>
        <w:t>|</w:t>
      </w:r>
      <w:r w:rsidRPr="00552B0C">
        <w:t xml:space="preserve">% of patients </w:t>
      </w:r>
      <w:r w:rsidR="009F749F" w:rsidRPr="00552B0C">
        <w:t xml:space="preserve">with ECOG PS 0-1 </w:t>
      </w:r>
      <w:r w:rsidRPr="00552B0C">
        <w:t>currently treated with Gem+NabP (85.1%</w:t>
      </w:r>
      <w:r w:rsidR="00570576" w:rsidRPr="00552B0C">
        <w:t xml:space="preserve"> of the market share</w:t>
      </w:r>
      <w:r w:rsidRPr="00552B0C">
        <w:t xml:space="preserve">) and </w:t>
      </w:r>
      <w:r w:rsidR="005F3BC8" w:rsidRPr="00993109">
        <w:rPr>
          <w:color w:val="000000"/>
          <w:w w:val="15"/>
          <w:shd w:val="solid" w:color="000000" w:fill="000000"/>
          <w:fitText w:val="-20" w:id="-760998133"/>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3"/>
          <w14:textFill>
            <w14:solidFill>
              <w14:srgbClr w14:val="000000">
                <w14:alpha w14:val="100000"/>
              </w14:srgbClr>
            </w14:solidFill>
          </w14:textFill>
        </w:rPr>
        <w:t>|</w:t>
      </w:r>
      <w:r w:rsidRPr="00552B0C">
        <w:t>% of patients currently treated with FOLFIRINOX (14.9%</w:t>
      </w:r>
      <w:r w:rsidR="00570576" w:rsidRPr="00552B0C">
        <w:t xml:space="preserve"> of the market share</w:t>
      </w:r>
      <w:r w:rsidRPr="00552B0C">
        <w:t xml:space="preserve">) would be suitable for treatment with NALIRIFOX. </w:t>
      </w:r>
    </w:p>
    <w:p w14:paraId="19328735" w14:textId="4C0E3CBA" w:rsidR="002928C5" w:rsidRPr="00552B0C" w:rsidRDefault="00A325E1" w:rsidP="00704FCE">
      <w:pPr>
        <w:pStyle w:val="3-BodyText"/>
      </w:pPr>
      <w:bookmarkStart w:id="21" w:name="_Ref176769460"/>
      <w:r w:rsidRPr="00552B0C">
        <w:lastRenderedPageBreak/>
        <w:t>Issues with the weighted comparator approach notwithstanding, t</w:t>
      </w:r>
      <w:r w:rsidR="009A6E37" w:rsidRPr="00552B0C">
        <w:t>he proposed comparator weighting between Gem+NabP and</w:t>
      </w:r>
      <w:r w:rsidR="00A11F3A" w:rsidRPr="00552B0C">
        <w:t xml:space="preserve"> </w:t>
      </w:r>
      <w:r w:rsidR="009A6E37" w:rsidRPr="00552B0C">
        <w:t>FOLFIRINOX</w:t>
      </w:r>
      <w:r w:rsidR="00A11F3A" w:rsidRPr="00552B0C">
        <w:t xml:space="preserve"> </w:t>
      </w:r>
      <w:r w:rsidR="009A6E37" w:rsidRPr="00552B0C">
        <w:t>is</w:t>
      </w:r>
      <w:r w:rsidRPr="00552B0C">
        <w:t xml:space="preserve"> also</w:t>
      </w:r>
      <w:r w:rsidR="009A6E37" w:rsidRPr="00552B0C">
        <w:t xml:space="preserve"> uncertain</w:t>
      </w:r>
      <w:r w:rsidR="00704FCE" w:rsidRPr="00552B0C">
        <w:t xml:space="preserve">. </w:t>
      </w:r>
      <w:bookmarkEnd w:id="21"/>
      <w:r w:rsidR="0021442E" w:rsidRPr="00552B0C">
        <w:t xml:space="preserve">A report by Lee 2023 which included an analysis of PURPLE registry data investigating treatment patterns for patients with locally advanced, recurrent or metastatic pancreatic adenocarcinoma who received first line chemotherapy identified the following proportions of treatment regimens: Gem+NabP (67%), FOLFIRINOX (11%) and other first line therapies (22%). As such, the market share of Gem+NabP and FOLFIRINOX presented in the resubmission (85.1% and 14.9% respectively) </w:t>
      </w:r>
      <w:r w:rsidR="007E1AC2" w:rsidRPr="00552B0C">
        <w:t>may be</w:t>
      </w:r>
      <w:r w:rsidR="0021442E" w:rsidRPr="00552B0C">
        <w:t xml:space="preserve"> overestimated.</w:t>
      </w:r>
      <w:r w:rsidR="008D0998">
        <w:t xml:space="preserve"> </w:t>
      </w:r>
      <w:r w:rsidR="00263688" w:rsidRPr="00552B0C">
        <w:t>The PSCR stated that a retrospective study at one hospital in Western Australia (Talbot et al. 2023, indicated a higher proportion of Gem+NabP use (92/95=96.8%) than FOLFIRINOX (3/95=3.2%) in practice, and argued that the market share of Gem+NabP assumed in the resubmission may be underestimated.</w:t>
      </w:r>
    </w:p>
    <w:p w14:paraId="3EAF5558" w14:textId="77A79DA2" w:rsidR="0021442E" w:rsidRPr="00552B0C" w:rsidRDefault="002928C5" w:rsidP="002928C5">
      <w:pPr>
        <w:pStyle w:val="3-BodyText"/>
      </w:pPr>
      <w:r w:rsidRPr="00552B0C">
        <w:t xml:space="preserve">The ESC agreed with the evaluation that market share data of treatments for mPAC from other countries where NALIRIFOX has been launched could be helpful to support the resubmission’s assumptions that NALIRIFOX will substitute for up to </w:t>
      </w:r>
      <w:r w:rsidR="005F3BC8" w:rsidRPr="00993109">
        <w:rPr>
          <w:color w:val="000000"/>
          <w:w w:val="15"/>
          <w:shd w:val="solid" w:color="000000" w:fill="000000"/>
          <w:fitText w:val="-20" w:id="-760998132"/>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2"/>
          <w14:textFill>
            <w14:solidFill>
              <w14:srgbClr w14:val="000000">
                <w14:alpha w14:val="100000"/>
              </w14:srgbClr>
            </w14:solidFill>
          </w14:textFill>
        </w:rPr>
        <w:t>|</w:t>
      </w:r>
      <w:r w:rsidRPr="00552B0C">
        <w:t xml:space="preserve">% of patients treated with Gem+NabP and </w:t>
      </w:r>
      <w:r w:rsidR="005F3BC8" w:rsidRPr="00993109">
        <w:rPr>
          <w:color w:val="000000"/>
          <w:w w:val="15"/>
          <w:shd w:val="solid" w:color="000000" w:fill="000000"/>
          <w:fitText w:val="-20" w:id="-760998131"/>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1"/>
          <w14:textFill>
            <w14:solidFill>
              <w14:srgbClr w14:val="000000">
                <w14:alpha w14:val="100000"/>
              </w14:srgbClr>
            </w14:solidFill>
          </w14:textFill>
        </w:rPr>
        <w:t>|</w:t>
      </w:r>
      <w:r w:rsidRPr="00552B0C">
        <w:t>% of patients treated with FOLFIRINOX. The PSCR stated that no such data were available.</w:t>
      </w:r>
    </w:p>
    <w:p w14:paraId="311909D1" w14:textId="7D56803B" w:rsidR="001A7C15" w:rsidRDefault="002D3973">
      <w:pPr>
        <w:pStyle w:val="3-BodyText"/>
        <w:spacing w:line="259" w:lineRule="auto"/>
      </w:pPr>
      <w:r w:rsidRPr="00552B0C">
        <w:t xml:space="preserve">The </w:t>
      </w:r>
      <w:r w:rsidR="001A7C15" w:rsidRPr="00552B0C">
        <w:t>PSCR reiterated that the PURPLE registry indicates that the therapy most often used for patients with an ECOG PS of 0 or 1 is Gem+NabP. It also stated that the median age and age range of patients recruited to the NAPOLI-3 trial (65 years, with a range of 20-85) matches those treated with Gem+NabP in Australian clinical practice rather than those for the cohort of patients treated with FOLFIRINOX. The median age (range) of patients treated with Gem+NabP and FOLFIRINOX in the PURPLE registry was 67 (33-88) and 59 (30-87) years, respectively.</w:t>
      </w:r>
      <w:r w:rsidR="008D0998">
        <w:t xml:space="preserve"> </w:t>
      </w:r>
      <w:r w:rsidR="001A7C15" w:rsidRPr="00552B0C">
        <w:t>The ESC noted that while the age characteristics of the NAPOLI-3 population appeared closer to the PURPLE registry Gem+NabP population, based on data presented in the PSCR, this did not mean that the populations were the same across other characteristics.</w:t>
      </w:r>
      <w:r w:rsidR="008D0998">
        <w:t xml:space="preserve"> </w:t>
      </w:r>
      <w:r w:rsidR="001A7C15" w:rsidRPr="00552B0C">
        <w:t xml:space="preserve">The ESC considered that clinical trial patients and registry patients are not comparable, in the sense that individuals choosing to participate in clinical trials are </w:t>
      </w:r>
      <w:r w:rsidR="00B93055" w:rsidRPr="00552B0C">
        <w:t xml:space="preserve">typically </w:t>
      </w:r>
      <w:r w:rsidR="001A7C15" w:rsidRPr="00552B0C">
        <w:t xml:space="preserve">a </w:t>
      </w:r>
      <w:r w:rsidR="00415645" w:rsidRPr="00552B0C">
        <w:t xml:space="preserve">relatively fit </w:t>
      </w:r>
      <w:r w:rsidR="001A7C15" w:rsidRPr="00552B0C">
        <w:t>subset of the overall population.</w:t>
      </w:r>
      <w:r w:rsidR="008D0998">
        <w:t xml:space="preserve"> </w:t>
      </w:r>
      <w:r w:rsidR="00BD1DA7" w:rsidRPr="00552B0C">
        <w:t>The ESC considered that the choice of treatment is not as simple as age and ECOG PS when a patient with cancer has a poor prognosis, the toxicity of the drugs is significant and must be weighed against the expected benefit for the individual.</w:t>
      </w:r>
      <w:r w:rsidR="00552B0C">
        <w:t xml:space="preserve"> </w:t>
      </w:r>
      <w:r w:rsidR="00E2103A">
        <w:t xml:space="preserve">The Pre-PBAC Response argued more effective options are needed to help address the unmet need in mPAC and reiterated that NALIRIFOX is an option that has been demonstrated to be superior to Gem+NabP and also reiterated the submission arguments that Gem+NabP was the therapy most likely to be replaced in practice. </w:t>
      </w:r>
    </w:p>
    <w:p w14:paraId="680D0858" w14:textId="5DD2D6D1" w:rsidR="00552B0C" w:rsidRPr="00552B0C" w:rsidRDefault="00552B0C" w:rsidP="00552B0C">
      <w:pPr>
        <w:pStyle w:val="3-BodyText"/>
        <w:numPr>
          <w:ilvl w:val="0"/>
          <w:numId w:val="0"/>
        </w:numPr>
        <w:spacing w:line="259" w:lineRule="auto"/>
        <w:ind w:left="720"/>
      </w:pPr>
      <w:r w:rsidRPr="00C33D30">
        <w:rPr>
          <w:i/>
        </w:rPr>
        <w:t>For more detail on PBAC’s view, see section 7 PBAC outcome.</w:t>
      </w:r>
    </w:p>
    <w:p w14:paraId="70ACCF90" w14:textId="77777777" w:rsidR="00091D2A" w:rsidRPr="00407F2D" w:rsidRDefault="00091D2A" w:rsidP="00091D2A">
      <w:pPr>
        <w:pStyle w:val="2-SectionHeading"/>
        <w:numPr>
          <w:ilvl w:val="0"/>
          <w:numId w:val="1"/>
        </w:numPr>
      </w:pPr>
      <w:bookmarkStart w:id="22" w:name="_Toc177546219"/>
      <w:r>
        <w:lastRenderedPageBreak/>
        <w:t>C</w:t>
      </w:r>
      <w:r w:rsidRPr="00407F2D">
        <w:t>onsideration of the evidence</w:t>
      </w:r>
      <w:bookmarkEnd w:id="22"/>
    </w:p>
    <w:p w14:paraId="7053219B" w14:textId="77777777" w:rsidR="00552B0C" w:rsidRPr="006E1229" w:rsidRDefault="00552B0C" w:rsidP="000E11A9">
      <w:pPr>
        <w:pStyle w:val="3-SubsectionHeading"/>
        <w:outlineLvl w:val="1"/>
        <w:rPr>
          <w:lang w:eastAsia="en-AU"/>
        </w:rPr>
      </w:pPr>
      <w:bookmarkStart w:id="23" w:name="_Hlk76375935"/>
      <w:bookmarkStart w:id="24" w:name="_Toc177546220"/>
      <w:r w:rsidRPr="006E1229">
        <w:rPr>
          <w:lang w:eastAsia="en-AU"/>
        </w:rPr>
        <w:t>Sponsor hearing</w:t>
      </w:r>
    </w:p>
    <w:p w14:paraId="403D1BA3" w14:textId="708EB3E3" w:rsidR="00552B0C" w:rsidRPr="00836F75" w:rsidRDefault="002E0F4C" w:rsidP="00552B0C">
      <w:pPr>
        <w:widowControl w:val="0"/>
        <w:numPr>
          <w:ilvl w:val="1"/>
          <w:numId w:val="1"/>
        </w:numPr>
        <w:spacing w:after="120"/>
        <w:rPr>
          <w:rFonts w:asciiTheme="minorHAnsi" w:hAnsiTheme="minorHAnsi"/>
          <w:bCs/>
          <w:snapToGrid w:val="0"/>
        </w:rPr>
      </w:pPr>
      <w:bookmarkStart w:id="25" w:name="_Hlk76382586"/>
      <w:r w:rsidRPr="002E0F4C">
        <w:rPr>
          <w:rFonts w:asciiTheme="minorHAnsi" w:hAnsiTheme="minorHAnsi"/>
          <w:bCs/>
          <w:snapToGrid w:val="0"/>
        </w:rPr>
        <w:t xml:space="preserve">The Sponsor requested a hearing for this item. The clinician discussed the populations who are likely to be considered for NALIRIFOX and Gem+NabP and stated there was a substantial overlap (except for ECOG 2 status) in who could be considered for either therapy. The clinician also discussed the results of the NAPOLI-3 trial and stated the gains in terms of survival were significant and that other measures beyond median overall survival, such as landmark survival, hazard ratio and progression free survival were also important and the results of these were more strongly in favour of NALIRIFOX. In addition, the clinician discussed the adverse event profiles of NALIRIFOX and Gem+NabP, stating that with increased experience in using nal-IRI, managing the </w:t>
      </w:r>
      <w:r w:rsidR="006561D9" w:rsidRPr="002E0F4C">
        <w:rPr>
          <w:rFonts w:asciiTheme="minorHAnsi" w:hAnsiTheme="minorHAnsi"/>
          <w:bCs/>
          <w:snapToGrid w:val="0"/>
        </w:rPr>
        <w:t>gastrointestinal</w:t>
      </w:r>
      <w:r w:rsidRPr="002E0F4C">
        <w:rPr>
          <w:rFonts w:asciiTheme="minorHAnsi" w:hAnsiTheme="minorHAnsi"/>
          <w:bCs/>
          <w:snapToGrid w:val="0"/>
        </w:rPr>
        <w:t xml:space="preserve"> side effects had become easier and that it had fewer neuropathy and haematological side effects than Gem+NabP.</w:t>
      </w:r>
    </w:p>
    <w:bookmarkEnd w:id="25"/>
    <w:p w14:paraId="7318879E" w14:textId="77777777" w:rsidR="00552B0C" w:rsidRPr="006E1229" w:rsidRDefault="00552B0C" w:rsidP="000E11A9">
      <w:pPr>
        <w:pStyle w:val="3-SubsectionHeading"/>
        <w:outlineLvl w:val="1"/>
        <w:rPr>
          <w:lang w:eastAsia="en-AU"/>
        </w:rPr>
      </w:pPr>
      <w:r w:rsidRPr="006E1229">
        <w:rPr>
          <w:lang w:eastAsia="en-AU"/>
        </w:rPr>
        <w:t>Consumer comments</w:t>
      </w:r>
    </w:p>
    <w:p w14:paraId="0F17B096" w14:textId="01F523EB" w:rsidR="00552B0C" w:rsidRDefault="00552B0C" w:rsidP="000E11A9">
      <w:pPr>
        <w:widowControl w:val="0"/>
        <w:numPr>
          <w:ilvl w:val="1"/>
          <w:numId w:val="1"/>
        </w:numPr>
        <w:spacing w:after="120"/>
        <w:rPr>
          <w:rFonts w:asciiTheme="minorHAnsi" w:hAnsiTheme="minorHAnsi"/>
          <w:bCs/>
          <w:snapToGrid w:val="0"/>
        </w:rPr>
      </w:pPr>
      <w:bookmarkStart w:id="26" w:name="_Hlk76382618"/>
      <w:r w:rsidRPr="00836F75">
        <w:rPr>
          <w:rFonts w:asciiTheme="minorHAnsi" w:hAnsiTheme="minorHAnsi"/>
          <w:bCs/>
          <w:snapToGrid w:val="0"/>
        </w:rPr>
        <w:t>The PBAC noted and welcomed the input from individuals (</w:t>
      </w:r>
      <w:r w:rsidR="0009253E">
        <w:rPr>
          <w:rFonts w:asciiTheme="minorHAnsi" w:hAnsiTheme="minorHAnsi"/>
          <w:bCs/>
          <w:snapToGrid w:val="0"/>
        </w:rPr>
        <w:t>1</w:t>
      </w:r>
      <w:r w:rsidRPr="00836F75">
        <w:rPr>
          <w:rFonts w:asciiTheme="minorHAnsi" w:hAnsiTheme="minorHAnsi"/>
          <w:bCs/>
          <w:snapToGrid w:val="0"/>
        </w:rPr>
        <w:t>), health care professionals (1</w:t>
      </w:r>
      <w:r w:rsidR="0009253E">
        <w:rPr>
          <w:rFonts w:asciiTheme="minorHAnsi" w:hAnsiTheme="minorHAnsi"/>
          <w:bCs/>
          <w:snapToGrid w:val="0"/>
        </w:rPr>
        <w:t>1</w:t>
      </w:r>
      <w:r w:rsidRPr="00836F75">
        <w:rPr>
          <w:rFonts w:asciiTheme="minorHAnsi" w:hAnsiTheme="minorHAnsi"/>
          <w:bCs/>
          <w:snapToGrid w:val="0"/>
        </w:rPr>
        <w:t>) and organisations (</w:t>
      </w:r>
      <w:r w:rsidR="00525D4C">
        <w:rPr>
          <w:rFonts w:asciiTheme="minorHAnsi" w:hAnsiTheme="minorHAnsi"/>
          <w:bCs/>
          <w:snapToGrid w:val="0"/>
        </w:rPr>
        <w:t>5</w:t>
      </w:r>
      <w:r w:rsidRPr="00836F75">
        <w:rPr>
          <w:rFonts w:asciiTheme="minorHAnsi" w:hAnsiTheme="minorHAnsi"/>
          <w:bCs/>
          <w:snapToGrid w:val="0"/>
        </w:rPr>
        <w:t>) via the Consumer Comments facility on the PBS website.</w:t>
      </w:r>
      <w:r w:rsidR="008D0998">
        <w:rPr>
          <w:rFonts w:asciiTheme="minorHAnsi" w:hAnsiTheme="minorHAnsi"/>
          <w:bCs/>
          <w:snapToGrid w:val="0"/>
        </w:rPr>
        <w:t xml:space="preserve"> </w:t>
      </w:r>
      <w:r w:rsidRPr="00836F75">
        <w:rPr>
          <w:rFonts w:asciiTheme="minorHAnsi" w:hAnsiTheme="minorHAnsi"/>
          <w:bCs/>
          <w:snapToGrid w:val="0"/>
        </w:rPr>
        <w:t>T</w:t>
      </w:r>
      <w:r w:rsidR="000E11A9">
        <w:rPr>
          <w:rFonts w:asciiTheme="minorHAnsi" w:hAnsiTheme="minorHAnsi"/>
          <w:bCs/>
          <w:snapToGrid w:val="0"/>
        </w:rPr>
        <w:t xml:space="preserve">he comments from individuals discussed the effectiveness of irinotecan on tumour size, outlined the side effects while on treatment, and the improvements in physical activity and reduced pain after treatment. </w:t>
      </w:r>
      <w:r w:rsidR="000E11A9" w:rsidRPr="000E11A9">
        <w:rPr>
          <w:rFonts w:asciiTheme="minorHAnsi" w:hAnsiTheme="minorHAnsi"/>
          <w:bCs/>
          <w:snapToGrid w:val="0"/>
        </w:rPr>
        <w:t>T</w:t>
      </w:r>
      <w:r w:rsidRPr="000E11A9">
        <w:rPr>
          <w:rFonts w:asciiTheme="minorHAnsi" w:hAnsiTheme="minorHAnsi"/>
          <w:bCs/>
          <w:snapToGrid w:val="0"/>
        </w:rPr>
        <w:t>he comments</w:t>
      </w:r>
      <w:r w:rsidR="000E11A9" w:rsidRPr="000E11A9">
        <w:rPr>
          <w:rFonts w:asciiTheme="minorHAnsi" w:hAnsiTheme="minorHAnsi"/>
          <w:bCs/>
          <w:snapToGrid w:val="0"/>
        </w:rPr>
        <w:t xml:space="preserve"> from health care professionals highlighted the burden of suffering due to mPAC, especially in younger patients, and</w:t>
      </w:r>
      <w:r w:rsidRPr="000E11A9">
        <w:rPr>
          <w:rFonts w:asciiTheme="minorHAnsi" w:hAnsiTheme="minorHAnsi"/>
          <w:bCs/>
          <w:snapToGrid w:val="0"/>
        </w:rPr>
        <w:t xml:space="preserve"> describe</w:t>
      </w:r>
      <w:r w:rsidR="00525D4C" w:rsidRPr="000E11A9">
        <w:rPr>
          <w:rFonts w:asciiTheme="minorHAnsi" w:hAnsiTheme="minorHAnsi"/>
          <w:bCs/>
          <w:snapToGrid w:val="0"/>
        </w:rPr>
        <w:t xml:space="preserve">d NALIRIFOX as being </w:t>
      </w:r>
      <w:r w:rsidR="000E11A9" w:rsidRPr="000E11A9">
        <w:rPr>
          <w:rFonts w:asciiTheme="minorHAnsi" w:hAnsiTheme="minorHAnsi"/>
          <w:bCs/>
          <w:snapToGrid w:val="0"/>
        </w:rPr>
        <w:t>able to be used in the first or second line settings, with an acceptable toxicity profile and further noted that Australian registry studies corroborate the survival benefits associated with second-line treatments.</w:t>
      </w:r>
      <w:r w:rsidR="000E11A9">
        <w:rPr>
          <w:rFonts w:asciiTheme="minorHAnsi" w:hAnsiTheme="minorHAnsi"/>
          <w:bCs/>
          <w:snapToGrid w:val="0"/>
        </w:rPr>
        <w:t xml:space="preserve"> </w:t>
      </w:r>
    </w:p>
    <w:p w14:paraId="6C9DDDDB" w14:textId="3D775A28" w:rsidR="00E510D9" w:rsidRDefault="00E510D9" w:rsidP="000E11A9">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welcomed the input from consumer organisations the Australian Pancreatic Cancer Foundation (PanKind), the Pancare Foundation and Rare Cancers Australia, all supporting the listing of nal-IRI. The Committee noted the input from PanKind discussed the devastating impact of pancreatic cancer and low 5-year survival rates, and shared testimonials from patients and family members about the hopelessness and desperation for better and more affordable treatments. The PBAC noted the input from the Pancare Foundation similarly highlighted the poor prognosis in pancreatic cancer </w:t>
      </w:r>
      <w:r w:rsidR="00AA6875">
        <w:rPr>
          <w:rFonts w:asciiTheme="minorHAnsi" w:hAnsiTheme="minorHAnsi"/>
          <w:bCs/>
          <w:snapToGrid w:val="0"/>
        </w:rPr>
        <w:t xml:space="preserve">and outlined that pancreatic cancer is often diagnosed late, and patients experience a range of serious side effects as a consequence of the cancer and its available treatment options, with those side effects and the focus on treatment leading to people having to cease working and rely more on carers as the condition progresses. The Committee also noted the input from Rare Cancers Australia, that described how many view a pancreatic cancer diagnosis as being handed a ‘death sentence’ due to the poor prognosis, and outlined that NALIRIFOX is the first treatment in over a decade </w:t>
      </w:r>
      <w:r w:rsidR="0087711E">
        <w:rPr>
          <w:rFonts w:asciiTheme="minorHAnsi" w:hAnsiTheme="minorHAnsi"/>
          <w:bCs/>
          <w:snapToGrid w:val="0"/>
        </w:rPr>
        <w:t>to demonstrate a significant survival benefit for patients with previously untreated mPAC in a Phase III trial.</w:t>
      </w:r>
    </w:p>
    <w:p w14:paraId="49D7B7B0" w14:textId="72B32074" w:rsidR="000E11A9" w:rsidRPr="000E11A9" w:rsidRDefault="000E11A9" w:rsidP="000E11A9">
      <w:pPr>
        <w:widowControl w:val="0"/>
        <w:numPr>
          <w:ilvl w:val="1"/>
          <w:numId w:val="1"/>
        </w:numPr>
        <w:spacing w:after="120"/>
        <w:rPr>
          <w:rFonts w:asciiTheme="minorHAnsi" w:hAnsiTheme="minorHAnsi"/>
          <w:bCs/>
          <w:snapToGrid w:val="0"/>
        </w:rPr>
      </w:pPr>
      <w:r>
        <w:rPr>
          <w:rFonts w:asciiTheme="minorHAnsi" w:hAnsiTheme="minorHAnsi"/>
          <w:bCs/>
          <w:snapToGrid w:val="0"/>
        </w:rPr>
        <w:t>The PBAC acknowledged the input from</w:t>
      </w:r>
      <w:r w:rsidR="00E510D9">
        <w:rPr>
          <w:rFonts w:asciiTheme="minorHAnsi" w:hAnsiTheme="minorHAnsi"/>
          <w:bCs/>
          <w:snapToGrid w:val="0"/>
        </w:rPr>
        <w:t xml:space="preserve"> medical organisation</w:t>
      </w:r>
      <w:r>
        <w:rPr>
          <w:rFonts w:asciiTheme="minorHAnsi" w:hAnsiTheme="minorHAnsi"/>
          <w:bCs/>
          <w:snapToGrid w:val="0"/>
        </w:rPr>
        <w:t xml:space="preserve"> </w:t>
      </w:r>
      <w:r w:rsidR="00E510D9">
        <w:rPr>
          <w:rFonts w:asciiTheme="minorHAnsi" w:hAnsiTheme="minorHAnsi"/>
          <w:bCs/>
          <w:snapToGrid w:val="0"/>
        </w:rPr>
        <w:t xml:space="preserve">WA Medical Oncology, </w:t>
      </w:r>
      <w:r w:rsidR="00E510D9">
        <w:rPr>
          <w:rFonts w:asciiTheme="minorHAnsi" w:hAnsiTheme="minorHAnsi"/>
          <w:bCs/>
          <w:snapToGrid w:val="0"/>
        </w:rPr>
        <w:lastRenderedPageBreak/>
        <w:t>that was a centre for the NAPOLI-3 trial and stated the benefits of NALIRIFOX over Gem+NabP in terms of both overall survival and progression free survival were statistically and clinically significant in the first line mPAC setting.</w:t>
      </w:r>
      <w:r w:rsidR="008D0998">
        <w:rPr>
          <w:rFonts w:asciiTheme="minorHAnsi" w:hAnsiTheme="minorHAnsi"/>
          <w:bCs/>
          <w:snapToGrid w:val="0"/>
        </w:rPr>
        <w:t xml:space="preserve"> </w:t>
      </w:r>
    </w:p>
    <w:bookmarkEnd w:id="23"/>
    <w:bookmarkEnd w:id="26"/>
    <w:p w14:paraId="518E7101" w14:textId="36A0C4D0" w:rsidR="00552B0C" w:rsidRPr="0009253E" w:rsidRDefault="00552B0C" w:rsidP="0009253E">
      <w:pPr>
        <w:widowControl w:val="0"/>
        <w:numPr>
          <w:ilvl w:val="1"/>
          <w:numId w:val="1"/>
        </w:numPr>
        <w:spacing w:after="120"/>
        <w:rPr>
          <w:rFonts w:asciiTheme="minorHAnsi" w:hAnsiTheme="minorHAnsi"/>
          <w:bCs/>
          <w:snapToGrid w:val="0"/>
        </w:rPr>
      </w:pPr>
      <w:r w:rsidRPr="00A74363">
        <w:rPr>
          <w:rFonts w:asciiTheme="minorHAnsi" w:hAnsiTheme="minorHAnsi"/>
          <w:bCs/>
          <w:snapToGrid w:val="0"/>
        </w:rPr>
        <w:t xml:space="preserve">The Medical Oncology Group of Australia (MOGA) also expressed its support for the </w:t>
      </w:r>
      <w:r w:rsidR="00C40279">
        <w:rPr>
          <w:rFonts w:asciiTheme="minorHAnsi" w:hAnsiTheme="minorHAnsi"/>
          <w:bCs/>
          <w:snapToGrid w:val="0"/>
        </w:rPr>
        <w:t>nal-IRI</w:t>
      </w:r>
      <w:r w:rsidRPr="00A74363">
        <w:rPr>
          <w:rFonts w:asciiTheme="minorHAnsi" w:hAnsiTheme="minorHAnsi"/>
          <w:bCs/>
          <w:snapToGrid w:val="0"/>
        </w:rPr>
        <w:t xml:space="preserve"> </w:t>
      </w:r>
      <w:r w:rsidR="00C40279">
        <w:rPr>
          <w:rFonts w:asciiTheme="minorHAnsi" w:hAnsiTheme="minorHAnsi"/>
          <w:bCs/>
          <w:snapToGrid w:val="0"/>
        </w:rPr>
        <w:t>re</w:t>
      </w:r>
      <w:r w:rsidRPr="00A74363">
        <w:rPr>
          <w:rFonts w:asciiTheme="minorHAnsi" w:hAnsiTheme="minorHAnsi"/>
          <w:bCs/>
          <w:snapToGrid w:val="0"/>
        </w:rPr>
        <w:t xml:space="preserve">submission. The PBAC noted that the MOGA presented a European Society for Medical Oncology Magnitude of Clinical Benefit Scale (ESMO-MCBS) </w:t>
      </w:r>
      <w:r w:rsidRPr="00525B39">
        <w:rPr>
          <w:rFonts w:asciiTheme="minorHAnsi" w:hAnsiTheme="minorHAnsi"/>
          <w:bCs/>
          <w:snapToGrid w:val="0"/>
        </w:rPr>
        <w:t xml:space="preserve">for </w:t>
      </w:r>
      <w:r w:rsidR="00C40279">
        <w:rPr>
          <w:rFonts w:asciiTheme="minorHAnsi" w:hAnsiTheme="minorHAnsi"/>
          <w:bCs/>
          <w:snapToGrid w:val="0"/>
        </w:rPr>
        <w:t>nal-IRI</w:t>
      </w:r>
      <w:r w:rsidRPr="00525B39">
        <w:rPr>
          <w:rFonts w:asciiTheme="minorHAnsi" w:hAnsiTheme="minorHAnsi"/>
          <w:bCs/>
          <w:snapToGrid w:val="0"/>
        </w:rPr>
        <w:t xml:space="preserve">, which was limited to </w:t>
      </w:r>
      <w:r w:rsidR="00C40279">
        <w:rPr>
          <w:rFonts w:asciiTheme="minorHAnsi" w:hAnsiTheme="minorHAnsi"/>
          <w:bCs/>
          <w:snapToGrid w:val="0"/>
        </w:rPr>
        <w:t>2</w:t>
      </w:r>
      <w:r w:rsidRPr="00525B39">
        <w:rPr>
          <w:rFonts w:asciiTheme="minorHAnsi" w:hAnsiTheme="minorHAnsi"/>
          <w:bCs/>
          <w:snapToGrid w:val="0"/>
        </w:rPr>
        <w:t xml:space="preserve"> (out of a maximum of 5, where 5 and 4 represent the grades with substantial improvement)</w:t>
      </w:r>
      <w:r w:rsidR="0009253E" w:rsidRPr="001E3DCC">
        <w:rPr>
          <w:vertAlign w:val="superscript"/>
        </w:rPr>
        <w:footnoteReference w:id="15"/>
      </w:r>
      <w:r w:rsidR="0009253E" w:rsidRPr="001E3DCC">
        <w:rPr>
          <w:rFonts w:asciiTheme="minorHAnsi" w:hAnsiTheme="minorHAnsi"/>
          <w:bCs/>
          <w:snapToGrid w:val="0"/>
        </w:rPr>
        <w:t>.</w:t>
      </w:r>
    </w:p>
    <w:p w14:paraId="30A3CBC9" w14:textId="77777777" w:rsidR="00091D2A" w:rsidRPr="00C9624D" w:rsidRDefault="00091D2A" w:rsidP="00091D2A">
      <w:pPr>
        <w:pStyle w:val="4-SubsectionHeading"/>
      </w:pPr>
      <w:r w:rsidRPr="00C9624D">
        <w:t>Clinical</w:t>
      </w:r>
      <w:r>
        <w:t xml:space="preserve"> </w:t>
      </w:r>
      <w:r w:rsidRPr="00C9624D">
        <w:t>trials</w:t>
      </w:r>
      <w:bookmarkEnd w:id="24"/>
    </w:p>
    <w:p w14:paraId="16CDBD42" w14:textId="1D9CC5EB" w:rsidR="00091D2A" w:rsidRPr="00552B0C" w:rsidRDefault="00091D2A">
      <w:pPr>
        <w:pStyle w:val="3-BodyText"/>
      </w:pPr>
      <w:bookmarkStart w:id="27" w:name="_Ref183529322"/>
      <w:r w:rsidRPr="00552B0C">
        <w:t xml:space="preserve">The resubmission was based on one randomised controlled trial (RCT) comparing NALIRIFOX with Gem+NabP: NAPOLI-3 trial (N=770), and </w:t>
      </w:r>
      <w:r w:rsidR="0098103C" w:rsidRPr="00552B0C">
        <w:t xml:space="preserve">one </w:t>
      </w:r>
      <w:r w:rsidRPr="00552B0C">
        <w:t xml:space="preserve">RCT comparing </w:t>
      </w:r>
      <w:r w:rsidR="009F6CF1" w:rsidRPr="00552B0C">
        <w:t>m</w:t>
      </w:r>
      <w:r w:rsidRPr="00552B0C">
        <w:t>FOLFIRINOX with Gem+NabP: JCOG1611-GENERATE (herein referred to as GENERATE; N=476) trial. No head-to-head trials were available for comparison between NALIRIFOX and FOLFIRINOX, therefore indirect treatment comparisons (ITCs) using Gem+NabP as the common comparator were presented. These trials have already been reviewed by the PBAC at the March 2024 meeting</w:t>
      </w:r>
      <w:r w:rsidR="61E8096B" w:rsidRPr="00552B0C">
        <w:t>, however the available information for the GENERATE trial is limited to</w:t>
      </w:r>
      <w:r w:rsidR="00A30D29" w:rsidRPr="00552B0C">
        <w:t xml:space="preserve"> a</w:t>
      </w:r>
      <w:r w:rsidR="008B71BA" w:rsidRPr="00552B0C">
        <w:t>n abstract</w:t>
      </w:r>
      <w:r w:rsidR="008F091F" w:rsidRPr="00552B0C">
        <w:t xml:space="preserve">, a deck of </w:t>
      </w:r>
      <w:r w:rsidR="002936AE" w:rsidRPr="00552B0C">
        <w:t>presentat</w:t>
      </w:r>
      <w:r w:rsidR="00AD5916" w:rsidRPr="00552B0C">
        <w:t xml:space="preserve">ion </w:t>
      </w:r>
      <w:r w:rsidR="008F091F" w:rsidRPr="00552B0C">
        <w:t xml:space="preserve">slides and a </w:t>
      </w:r>
      <w:r w:rsidR="002F7CEE" w:rsidRPr="00552B0C">
        <w:t>published protocol (Misusawa 2022)</w:t>
      </w:r>
      <w:r w:rsidR="002F7CEE" w:rsidRPr="00552B0C">
        <w:rPr>
          <w:rStyle w:val="FootnoteReference"/>
        </w:rPr>
        <w:footnoteReference w:id="16"/>
      </w:r>
      <w:r w:rsidR="008F091F" w:rsidRPr="00552B0C">
        <w:t>.</w:t>
      </w:r>
      <w:bookmarkEnd w:id="27"/>
      <w:r w:rsidR="008D0998">
        <w:t xml:space="preserve"> </w:t>
      </w:r>
    </w:p>
    <w:p w14:paraId="6DE23B48" w14:textId="77777777" w:rsidR="00091D2A" w:rsidRPr="00552B0C" w:rsidRDefault="00091D2A" w:rsidP="00552B0C">
      <w:pPr>
        <w:pStyle w:val="3-BodyText"/>
        <w:numPr>
          <w:ilvl w:val="1"/>
          <w:numId w:val="5"/>
        </w:numPr>
      </w:pPr>
      <w:bookmarkStart w:id="28" w:name="_Ref183529315"/>
      <w:r w:rsidRPr="00552B0C">
        <w:t>Compared to the March 2024 submission, the main differences in the clinical evidence presented in the resubmission were:</w:t>
      </w:r>
      <w:bookmarkEnd w:id="28"/>
    </w:p>
    <w:p w14:paraId="1B091CBD" w14:textId="01AA74B2" w:rsidR="00091D2A" w:rsidRPr="00552B0C" w:rsidRDefault="00091D2A" w:rsidP="007C7837">
      <w:pPr>
        <w:pStyle w:val="3-BodyText"/>
        <w:numPr>
          <w:ilvl w:val="0"/>
          <w:numId w:val="11"/>
        </w:numPr>
      </w:pPr>
      <w:r w:rsidRPr="00552B0C">
        <w:t>Inclusion of updated results for the overall survival (OS) outcome from the NAPOLI-3 trial (patient-level data and poster presented at the 2024 American Society of Clinical Oncology (ASCO) annual meeting) based on the data cut on 3</w:t>
      </w:r>
      <w:r w:rsidR="006C554D">
        <w:t> </w:t>
      </w:r>
      <w:r w:rsidRPr="00552B0C">
        <w:t>October 2023 with a longer median follow up of 29.5 months (compared to 16.1</w:t>
      </w:r>
      <w:r w:rsidR="006C554D">
        <w:t> </w:t>
      </w:r>
      <w:r w:rsidRPr="00552B0C">
        <w:t>months in the March 2024 submission).</w:t>
      </w:r>
      <w:r w:rsidR="00D43AB4" w:rsidRPr="00552B0C">
        <w:t xml:space="preserve"> </w:t>
      </w:r>
      <w:r w:rsidR="003E0393" w:rsidRPr="00552B0C">
        <w:t>Despite the longer follow-up period, the</w:t>
      </w:r>
      <w:r w:rsidR="0090644F" w:rsidRPr="00552B0C">
        <w:t xml:space="preserve"> </w:t>
      </w:r>
      <w:r w:rsidR="007F79A3" w:rsidRPr="00552B0C">
        <w:t xml:space="preserve">difference in median OS </w:t>
      </w:r>
      <w:r w:rsidR="00DF5DF4" w:rsidRPr="00552B0C">
        <w:t>remain</w:t>
      </w:r>
      <w:r w:rsidR="00E67E39" w:rsidRPr="00552B0C">
        <w:t>s</w:t>
      </w:r>
      <w:r w:rsidR="00DF5DF4" w:rsidRPr="00552B0C">
        <w:t xml:space="preserve"> unchanged (para </w:t>
      </w:r>
      <w:r w:rsidR="00DF5DF4" w:rsidRPr="00552B0C">
        <w:fldChar w:fldCharType="begin" w:fldLock="1"/>
      </w:r>
      <w:r w:rsidR="00DF5DF4" w:rsidRPr="00552B0C">
        <w:instrText xml:space="preserve"> REF _Ref177479932 \r \h </w:instrText>
      </w:r>
      <w:r w:rsidR="00B87FAE" w:rsidRPr="00552B0C">
        <w:instrText xml:space="preserve"> \* MERGEFORMAT </w:instrText>
      </w:r>
      <w:r w:rsidR="00DF5DF4" w:rsidRPr="00552B0C">
        <w:fldChar w:fldCharType="separate"/>
      </w:r>
      <w:r w:rsidR="001C19B6">
        <w:t>6.22</w:t>
      </w:r>
      <w:r w:rsidR="00DF5DF4" w:rsidRPr="00552B0C">
        <w:fldChar w:fldCharType="end"/>
      </w:r>
      <w:r w:rsidR="00DF5DF4" w:rsidRPr="00552B0C">
        <w:t xml:space="preserve">). </w:t>
      </w:r>
    </w:p>
    <w:p w14:paraId="47A04192" w14:textId="49EB81FF" w:rsidR="00091D2A" w:rsidRPr="00552B0C" w:rsidRDefault="00091D2A" w:rsidP="007C7837">
      <w:pPr>
        <w:pStyle w:val="3-BodyText"/>
        <w:numPr>
          <w:ilvl w:val="0"/>
          <w:numId w:val="11"/>
        </w:numPr>
      </w:pPr>
      <w:r w:rsidRPr="00552B0C">
        <w:t xml:space="preserve">Inclusion of a single-step ITC and a matching-adjusted indirect comparison (MAIC) for NALIRIFOX vs FOLFIRINOX </w:t>
      </w:r>
      <w:r w:rsidR="00DF2410" w:rsidRPr="00552B0C">
        <w:t xml:space="preserve">for </w:t>
      </w:r>
      <w:r w:rsidR="00CE65D6" w:rsidRPr="00552B0C">
        <w:t xml:space="preserve">OS, </w:t>
      </w:r>
      <w:r w:rsidR="00B32C68" w:rsidRPr="00552B0C">
        <w:t xml:space="preserve">progression-free survival </w:t>
      </w:r>
      <w:r w:rsidR="00AA70D7" w:rsidRPr="00552B0C">
        <w:t>(</w:t>
      </w:r>
      <w:r w:rsidR="00CE65D6" w:rsidRPr="00552B0C">
        <w:t>PFS</w:t>
      </w:r>
      <w:r w:rsidR="00AA70D7" w:rsidRPr="00552B0C">
        <w:t>)</w:t>
      </w:r>
      <w:r w:rsidR="00CE65D6" w:rsidRPr="00552B0C">
        <w:t xml:space="preserve"> and </w:t>
      </w:r>
      <w:r w:rsidR="008319DB" w:rsidRPr="00552B0C">
        <w:t>adverse</w:t>
      </w:r>
      <w:r w:rsidR="00D62456" w:rsidRPr="00552B0C">
        <w:t xml:space="preserve"> events (</w:t>
      </w:r>
      <w:r w:rsidR="00CE65D6" w:rsidRPr="00552B0C">
        <w:t xml:space="preserve">AEs) </w:t>
      </w:r>
      <w:r w:rsidRPr="00552B0C">
        <w:t>based on the NAPOLI-3</w:t>
      </w:r>
      <w:r w:rsidR="00A2417E" w:rsidRPr="00552B0C">
        <w:t xml:space="preserve"> (</w:t>
      </w:r>
      <w:r w:rsidR="00F60CA3" w:rsidRPr="00552B0C">
        <w:t xml:space="preserve">using </w:t>
      </w:r>
      <w:r w:rsidR="00A2417E" w:rsidRPr="00552B0C">
        <w:t xml:space="preserve">updated </w:t>
      </w:r>
      <w:r w:rsidR="00F60CA3" w:rsidRPr="00552B0C">
        <w:t xml:space="preserve">OS </w:t>
      </w:r>
      <w:r w:rsidR="00A2417E" w:rsidRPr="00552B0C">
        <w:t>da</w:t>
      </w:r>
      <w:r w:rsidR="00F60CA3" w:rsidRPr="00552B0C">
        <w:t>ta)</w:t>
      </w:r>
      <w:r w:rsidRPr="00552B0C">
        <w:t xml:space="preserve"> and GENERATE </w:t>
      </w:r>
      <w:r w:rsidR="009065C2" w:rsidRPr="00552B0C">
        <w:t xml:space="preserve">(using the same data presented in March 2024 submission) </w:t>
      </w:r>
      <w:r w:rsidRPr="00552B0C">
        <w:t xml:space="preserve">trials. The previous submission presented a ‘side by side’ (unanchored) ITC and a multistep ITC was conducted during the evaluation, based on the NAPOLI-3, MPACT and </w:t>
      </w:r>
      <w:r w:rsidRPr="00552B0C">
        <w:lastRenderedPageBreak/>
        <w:t>ACCORD11/PRODIGE4 trials. A single-step ITC for OS based on NAPOLI-3 and GENERATE trial was presented in the PSCR and Pre-PBAC response.</w:t>
      </w:r>
    </w:p>
    <w:p w14:paraId="6A005FBE" w14:textId="4A9512D7" w:rsidR="00091D2A" w:rsidRPr="00552B0C" w:rsidRDefault="00091D2A" w:rsidP="00552B0C">
      <w:pPr>
        <w:pStyle w:val="3-BodyText"/>
        <w:numPr>
          <w:ilvl w:val="1"/>
          <w:numId w:val="5"/>
        </w:numPr>
      </w:pPr>
      <w:r w:rsidRPr="00552B0C">
        <w:t xml:space="preserve">The resubmission stated that the selection of the trials for the ITC was based on specification from the PBAC guidelines that indicated that shorter links are preferred in the conduct of ITCs. </w:t>
      </w:r>
      <w:r w:rsidR="00B1677D" w:rsidRPr="00552B0C">
        <w:t>Th</w:t>
      </w:r>
      <w:r w:rsidR="0090128B">
        <w:t>e evaluation considered this</w:t>
      </w:r>
      <w:r w:rsidR="00B1677D" w:rsidRPr="00552B0C">
        <w:t xml:space="preserve"> </w:t>
      </w:r>
      <w:r w:rsidR="0046757E" w:rsidRPr="00552B0C">
        <w:t xml:space="preserve">reason is inadequate to justify </w:t>
      </w:r>
      <w:r w:rsidR="002504D5" w:rsidRPr="00552B0C">
        <w:t xml:space="preserve">the exclusion of the </w:t>
      </w:r>
      <w:r w:rsidR="00AC6DC2" w:rsidRPr="00552B0C">
        <w:t>broader evidence base.</w:t>
      </w:r>
      <w:r w:rsidR="0046757E" w:rsidRPr="00552B0C">
        <w:t xml:space="preserve"> </w:t>
      </w:r>
      <w:r w:rsidRPr="00552B0C">
        <w:t xml:space="preserve">Data from the MPACT and </w:t>
      </w:r>
      <w:r w:rsidRPr="00552B0C">
        <w:rPr>
          <w:rStyle w:val="normaltextrun"/>
        </w:rPr>
        <w:t>ACCORD11/PRODIGE4 trials were not used in the ITCs presented in the resubmission, however, data from these trials may be relevant given the lack of direct comparative evidence</w:t>
      </w:r>
      <w:r w:rsidR="009425F8" w:rsidRPr="00552B0C">
        <w:rPr>
          <w:rStyle w:val="normaltextrun"/>
        </w:rPr>
        <w:t xml:space="preserve"> and the</w:t>
      </w:r>
      <w:r w:rsidR="003D35CD" w:rsidRPr="00552B0C">
        <w:rPr>
          <w:rStyle w:val="normaltextrun"/>
        </w:rPr>
        <w:t xml:space="preserve"> deficiencies of the available</w:t>
      </w:r>
      <w:r w:rsidR="0029069A" w:rsidRPr="00552B0C">
        <w:rPr>
          <w:rStyle w:val="normaltextrun"/>
        </w:rPr>
        <w:t xml:space="preserve"> </w:t>
      </w:r>
      <w:r w:rsidR="000F02BA" w:rsidRPr="00552B0C">
        <w:rPr>
          <w:rStyle w:val="normaltextrun"/>
        </w:rPr>
        <w:t xml:space="preserve">information </w:t>
      </w:r>
      <w:r w:rsidR="00ED559A" w:rsidRPr="00552B0C">
        <w:rPr>
          <w:rStyle w:val="normaltextrun"/>
        </w:rPr>
        <w:t>for the GENERATE trial</w:t>
      </w:r>
      <w:r w:rsidR="00FC27EB" w:rsidRPr="00552B0C">
        <w:rPr>
          <w:rStyle w:val="normaltextrun"/>
        </w:rPr>
        <w:t xml:space="preserve"> (</w:t>
      </w:r>
      <w:r w:rsidR="006B6E69" w:rsidRPr="00552B0C">
        <w:rPr>
          <w:rStyle w:val="normaltextrun"/>
        </w:rPr>
        <w:t xml:space="preserve">see </w:t>
      </w:r>
      <w:r w:rsidR="00FC27EB" w:rsidRPr="00552B0C">
        <w:rPr>
          <w:rStyle w:val="normaltextrun"/>
        </w:rPr>
        <w:t xml:space="preserve">para </w:t>
      </w:r>
      <w:r w:rsidR="00FC27EB" w:rsidRPr="00552B0C">
        <w:rPr>
          <w:rStyle w:val="normaltextrun"/>
        </w:rPr>
        <w:fldChar w:fldCharType="begin" w:fldLock="1"/>
      </w:r>
      <w:r w:rsidR="00FC27EB" w:rsidRPr="00552B0C">
        <w:rPr>
          <w:rStyle w:val="normaltextrun"/>
        </w:rPr>
        <w:instrText xml:space="preserve"> REF _Ref177384290 \r \h </w:instrText>
      </w:r>
      <w:r w:rsidR="00B87FAE" w:rsidRPr="00552B0C">
        <w:rPr>
          <w:rStyle w:val="normaltextrun"/>
        </w:rPr>
        <w:instrText xml:space="preserve"> \* MERGEFORMAT </w:instrText>
      </w:r>
      <w:r w:rsidR="00FC27EB" w:rsidRPr="00552B0C">
        <w:rPr>
          <w:rStyle w:val="normaltextrun"/>
        </w:rPr>
      </w:r>
      <w:r w:rsidR="00FC27EB" w:rsidRPr="00552B0C">
        <w:rPr>
          <w:rStyle w:val="normaltextrun"/>
        </w:rPr>
        <w:fldChar w:fldCharType="separate"/>
      </w:r>
      <w:r w:rsidR="001C19B6">
        <w:rPr>
          <w:rStyle w:val="normaltextrun"/>
        </w:rPr>
        <w:t>6.10</w:t>
      </w:r>
      <w:r w:rsidR="00FC27EB" w:rsidRPr="00552B0C">
        <w:rPr>
          <w:rStyle w:val="normaltextrun"/>
        </w:rPr>
        <w:fldChar w:fldCharType="end"/>
      </w:r>
      <w:r w:rsidR="00FC27EB" w:rsidRPr="00552B0C">
        <w:rPr>
          <w:rStyle w:val="normaltextrun"/>
        </w:rPr>
        <w:t>)</w:t>
      </w:r>
      <w:r w:rsidRPr="00552B0C">
        <w:rPr>
          <w:rStyle w:val="normaltextrun"/>
        </w:rPr>
        <w:t xml:space="preserve">. </w:t>
      </w:r>
    </w:p>
    <w:p w14:paraId="2B65F6D5" w14:textId="02872DD4" w:rsidR="00091D2A" w:rsidRPr="00552B0C" w:rsidRDefault="00091D2A" w:rsidP="00552B0C">
      <w:pPr>
        <w:pStyle w:val="3-BodyText"/>
        <w:numPr>
          <w:ilvl w:val="1"/>
          <w:numId w:val="5"/>
        </w:numPr>
      </w:pPr>
      <w:r w:rsidRPr="00552B0C">
        <w:t xml:space="preserve">Details of the trials presented in the submission are provided in </w:t>
      </w:r>
      <w:r w:rsidRPr="00552B0C">
        <w:fldChar w:fldCharType="begin" w:fldLock="1"/>
      </w:r>
      <w:r w:rsidRPr="00552B0C">
        <w:instrText xml:space="preserve"> REF _Ref176344947 \h </w:instrText>
      </w:r>
      <w:r w:rsidR="00B87FAE" w:rsidRPr="00552B0C">
        <w:instrText xml:space="preserve"> \* MERGEFORMAT </w:instrText>
      </w:r>
      <w:r w:rsidRPr="00552B0C">
        <w:fldChar w:fldCharType="separate"/>
      </w:r>
      <w:r w:rsidR="001C19B6" w:rsidRPr="00552B0C">
        <w:t xml:space="preserve">Table </w:t>
      </w:r>
      <w:r w:rsidR="001C19B6">
        <w:rPr>
          <w:noProof/>
        </w:rPr>
        <w:t>3</w:t>
      </w:r>
      <w:r w:rsidRPr="00552B0C">
        <w:fldChar w:fldCharType="end"/>
      </w:r>
      <w:r w:rsidRPr="00552B0C">
        <w:t xml:space="preserve">. </w:t>
      </w:r>
    </w:p>
    <w:p w14:paraId="01BB180F" w14:textId="776E90E1" w:rsidR="00091D2A" w:rsidRPr="00552B0C" w:rsidRDefault="00091D2A" w:rsidP="00091D2A">
      <w:pPr>
        <w:pStyle w:val="Caption"/>
      </w:pPr>
      <w:bookmarkStart w:id="29" w:name="_Ref176344947"/>
      <w:r w:rsidRPr="00552B0C">
        <w:t xml:space="preserve">Table </w:t>
      </w:r>
      <w:r w:rsidR="001C19B6">
        <w:fldChar w:fldCharType="begin" w:fldLock="1"/>
      </w:r>
      <w:r w:rsidR="001C19B6">
        <w:instrText xml:space="preserve"> SEQ Table \* ARABIC </w:instrText>
      </w:r>
      <w:r w:rsidR="001C19B6">
        <w:fldChar w:fldCharType="separate"/>
      </w:r>
      <w:r w:rsidR="001C19B6">
        <w:rPr>
          <w:noProof/>
        </w:rPr>
        <w:t>3</w:t>
      </w:r>
      <w:r w:rsidR="001C19B6">
        <w:rPr>
          <w:noProof/>
        </w:rPr>
        <w:fldChar w:fldCharType="end"/>
      </w:r>
      <w:bookmarkEnd w:id="29"/>
      <w:r w:rsidRPr="00552B0C">
        <w:t>: Trials and associated reports presented in the resubmission</w:t>
      </w:r>
    </w:p>
    <w:tbl>
      <w:tblPr>
        <w:tblStyle w:val="TableGrid"/>
        <w:tblW w:w="5028" w:type="pct"/>
        <w:tblLayout w:type="fixed"/>
        <w:tblLook w:val="04A0" w:firstRow="1" w:lastRow="0" w:firstColumn="1" w:lastColumn="0" w:noHBand="0" w:noVBand="1"/>
        <w:tblCaption w:val="Table 3: Trials and associated reports presented in the resubmission"/>
      </w:tblPr>
      <w:tblGrid>
        <w:gridCol w:w="2122"/>
        <w:gridCol w:w="4537"/>
        <w:gridCol w:w="2408"/>
      </w:tblGrid>
      <w:tr w:rsidR="00091D2A" w:rsidRPr="00552B0C" w14:paraId="401C7C3F" w14:textId="77777777" w:rsidTr="006C554D">
        <w:trPr>
          <w:tblHeader/>
        </w:trPr>
        <w:tc>
          <w:tcPr>
            <w:tcW w:w="1170" w:type="pct"/>
            <w:shd w:val="clear" w:color="auto" w:fill="auto"/>
          </w:tcPr>
          <w:p w14:paraId="0196A04A" w14:textId="77777777" w:rsidR="00091D2A" w:rsidRPr="00552B0C" w:rsidRDefault="00091D2A">
            <w:pPr>
              <w:pStyle w:val="In-tableHeading"/>
            </w:pPr>
            <w:r w:rsidRPr="00552B0C">
              <w:t>Trial ID</w:t>
            </w:r>
          </w:p>
        </w:tc>
        <w:tc>
          <w:tcPr>
            <w:tcW w:w="2502" w:type="pct"/>
            <w:tcBorders>
              <w:bottom w:val="single" w:sz="4" w:space="0" w:color="auto"/>
            </w:tcBorders>
            <w:shd w:val="clear" w:color="auto" w:fill="auto"/>
          </w:tcPr>
          <w:p w14:paraId="0A8FEA24" w14:textId="77777777" w:rsidR="00091D2A" w:rsidRPr="00552B0C" w:rsidRDefault="00091D2A">
            <w:pPr>
              <w:pStyle w:val="In-tableHeading"/>
            </w:pPr>
            <w:r w:rsidRPr="00552B0C">
              <w:t>Protocol title/ Publication title</w:t>
            </w:r>
          </w:p>
        </w:tc>
        <w:tc>
          <w:tcPr>
            <w:tcW w:w="1328" w:type="pct"/>
            <w:tcBorders>
              <w:bottom w:val="single" w:sz="4" w:space="0" w:color="auto"/>
            </w:tcBorders>
            <w:shd w:val="clear" w:color="auto" w:fill="auto"/>
            <w:vAlign w:val="center"/>
          </w:tcPr>
          <w:p w14:paraId="4E16147A" w14:textId="77777777" w:rsidR="00091D2A" w:rsidRPr="00552B0C" w:rsidRDefault="00091D2A">
            <w:pPr>
              <w:pStyle w:val="In-tableHeading"/>
            </w:pPr>
            <w:r w:rsidRPr="00552B0C">
              <w:t>Publication citation</w:t>
            </w:r>
          </w:p>
        </w:tc>
      </w:tr>
      <w:tr w:rsidR="00091D2A" w:rsidRPr="00552B0C" w14:paraId="49252081" w14:textId="77777777">
        <w:trPr>
          <w:trHeight w:val="987"/>
        </w:trPr>
        <w:tc>
          <w:tcPr>
            <w:tcW w:w="1170" w:type="pct"/>
            <w:vMerge w:val="restart"/>
            <w:tcBorders>
              <w:right w:val="single" w:sz="4" w:space="0" w:color="auto"/>
            </w:tcBorders>
            <w:shd w:val="clear" w:color="auto" w:fill="B8CCE4" w:themeFill="accent1" w:themeFillTint="66"/>
          </w:tcPr>
          <w:p w14:paraId="1FD74678" w14:textId="77777777" w:rsidR="00091D2A" w:rsidRPr="00552B0C" w:rsidRDefault="00091D2A">
            <w:pPr>
              <w:pStyle w:val="TableText0"/>
            </w:pPr>
            <w:r w:rsidRPr="00552B0C">
              <w:t>NAPOLI-3</w:t>
            </w:r>
          </w:p>
          <w:p w14:paraId="20B72B4F" w14:textId="77777777" w:rsidR="00091D2A" w:rsidRPr="00552B0C" w:rsidRDefault="00091D2A">
            <w:pPr>
              <w:pStyle w:val="TableText0"/>
            </w:pPr>
            <w:r w:rsidRPr="00552B0C">
              <w:t>NCT04083235</w:t>
            </w:r>
          </w:p>
          <w:p w14:paraId="2E0534A4" w14:textId="77777777" w:rsidR="00091D2A" w:rsidRPr="00552B0C" w:rsidRDefault="00091D2A">
            <w:pPr>
              <w:pStyle w:val="TableText0"/>
            </w:pPr>
          </w:p>
        </w:tc>
        <w:tc>
          <w:tcPr>
            <w:tcW w:w="2502" w:type="pct"/>
            <w:tcBorders>
              <w:top w:val="single" w:sz="4" w:space="0" w:color="auto"/>
              <w:left w:val="single" w:sz="4" w:space="0" w:color="auto"/>
              <w:bottom w:val="nil"/>
              <w:right w:val="single" w:sz="4" w:space="0" w:color="auto"/>
            </w:tcBorders>
            <w:shd w:val="clear" w:color="auto" w:fill="B8CCE4" w:themeFill="accent1" w:themeFillTint="66"/>
          </w:tcPr>
          <w:p w14:paraId="18C1413C" w14:textId="77777777" w:rsidR="00091D2A" w:rsidRPr="00552B0C" w:rsidRDefault="00091D2A">
            <w:pPr>
              <w:pStyle w:val="TableText0"/>
            </w:pPr>
            <w:r w:rsidRPr="00552B0C">
              <w:t>An open-label, randomised, multicentre, phase III study of irinotecan liposome injection, oxaliplatin, 5-fluorouracil/leucovorin versus nab-paclitaxel plus gemcitabine in subjects who have not previously received chemotherapy for metastatic adenocarcinoma of the pancreas.</w:t>
            </w:r>
          </w:p>
        </w:tc>
        <w:tc>
          <w:tcPr>
            <w:tcW w:w="1328" w:type="pct"/>
            <w:tcBorders>
              <w:top w:val="single" w:sz="4" w:space="0" w:color="auto"/>
              <w:left w:val="single" w:sz="4" w:space="0" w:color="auto"/>
              <w:bottom w:val="nil"/>
              <w:right w:val="single" w:sz="4" w:space="0" w:color="auto"/>
            </w:tcBorders>
            <w:shd w:val="clear" w:color="auto" w:fill="B8CCE4" w:themeFill="accent1" w:themeFillTint="66"/>
          </w:tcPr>
          <w:p w14:paraId="48F0637A" w14:textId="77777777" w:rsidR="00091D2A" w:rsidRPr="00552B0C" w:rsidRDefault="00091D2A">
            <w:pPr>
              <w:pStyle w:val="TableText0"/>
            </w:pPr>
            <w:r w:rsidRPr="00552B0C">
              <w:t>CSR March 2023</w:t>
            </w:r>
          </w:p>
        </w:tc>
      </w:tr>
      <w:tr w:rsidR="00091D2A" w:rsidRPr="00552B0C" w14:paraId="5FEFCA7B" w14:textId="77777777">
        <w:tc>
          <w:tcPr>
            <w:tcW w:w="1170" w:type="pct"/>
            <w:vMerge/>
            <w:tcBorders>
              <w:right w:val="single" w:sz="4" w:space="0" w:color="auto"/>
            </w:tcBorders>
            <w:shd w:val="clear" w:color="auto" w:fill="B8CCE4" w:themeFill="accent1" w:themeFillTint="66"/>
          </w:tcPr>
          <w:p w14:paraId="305CBEE5" w14:textId="77777777" w:rsidR="00091D2A" w:rsidRPr="00552B0C" w:rsidRDefault="00091D2A">
            <w:pPr>
              <w:pStyle w:val="TableText0"/>
            </w:pPr>
          </w:p>
        </w:tc>
        <w:tc>
          <w:tcPr>
            <w:tcW w:w="2502" w:type="pct"/>
            <w:tcBorders>
              <w:top w:val="nil"/>
              <w:left w:val="single" w:sz="4" w:space="0" w:color="auto"/>
              <w:bottom w:val="nil"/>
              <w:right w:val="single" w:sz="4" w:space="0" w:color="auto"/>
            </w:tcBorders>
            <w:shd w:val="clear" w:color="auto" w:fill="B8CCE4" w:themeFill="accent1" w:themeFillTint="66"/>
          </w:tcPr>
          <w:p w14:paraId="71141C59" w14:textId="77777777" w:rsidR="00091D2A" w:rsidRPr="00552B0C" w:rsidRDefault="00091D2A">
            <w:pPr>
              <w:pStyle w:val="TableText0"/>
            </w:pPr>
            <w:r w:rsidRPr="00552B0C">
              <w:t xml:space="preserve">Wainberg et al. NALIRIFOX versus nab-paclitaxel and gemcitabine in treatment-naive patients with metastatic pancreatic ductal adenocarcinoma (NAPOLI 3): a randomised, open-label, phase 3 trial. </w:t>
            </w:r>
          </w:p>
        </w:tc>
        <w:tc>
          <w:tcPr>
            <w:tcW w:w="1328" w:type="pct"/>
            <w:tcBorders>
              <w:top w:val="nil"/>
              <w:left w:val="single" w:sz="4" w:space="0" w:color="auto"/>
              <w:bottom w:val="nil"/>
              <w:right w:val="single" w:sz="4" w:space="0" w:color="auto"/>
            </w:tcBorders>
            <w:shd w:val="clear" w:color="auto" w:fill="B8CCE4" w:themeFill="accent1" w:themeFillTint="66"/>
          </w:tcPr>
          <w:p w14:paraId="2B907546" w14:textId="77777777" w:rsidR="00091D2A" w:rsidRPr="00552B0C" w:rsidRDefault="00091D2A">
            <w:pPr>
              <w:pStyle w:val="TableText0"/>
            </w:pPr>
            <w:r w:rsidRPr="00552B0C">
              <w:t>Lancet 2023; 402(10409):1272-1281.</w:t>
            </w:r>
          </w:p>
        </w:tc>
      </w:tr>
      <w:tr w:rsidR="00091D2A" w:rsidRPr="00552B0C" w14:paraId="52ACD622" w14:textId="77777777">
        <w:tc>
          <w:tcPr>
            <w:tcW w:w="1170" w:type="pct"/>
            <w:vMerge/>
            <w:tcBorders>
              <w:bottom w:val="single" w:sz="4" w:space="0" w:color="auto"/>
              <w:right w:val="single" w:sz="4" w:space="0" w:color="auto"/>
            </w:tcBorders>
            <w:shd w:val="clear" w:color="auto" w:fill="B8CCE4" w:themeFill="accent1" w:themeFillTint="66"/>
          </w:tcPr>
          <w:p w14:paraId="0D37B88A" w14:textId="77777777" w:rsidR="00091D2A" w:rsidRPr="00552B0C" w:rsidRDefault="00091D2A">
            <w:pPr>
              <w:pStyle w:val="TableText0"/>
            </w:pPr>
          </w:p>
        </w:tc>
        <w:tc>
          <w:tcPr>
            <w:tcW w:w="2502" w:type="pct"/>
            <w:tcBorders>
              <w:top w:val="nil"/>
              <w:left w:val="single" w:sz="4" w:space="0" w:color="auto"/>
              <w:bottom w:val="single" w:sz="4" w:space="0" w:color="auto"/>
              <w:right w:val="single" w:sz="4" w:space="0" w:color="auto"/>
            </w:tcBorders>
          </w:tcPr>
          <w:p w14:paraId="2DAF302B" w14:textId="77777777" w:rsidR="00091D2A" w:rsidRPr="00552B0C" w:rsidRDefault="00091D2A">
            <w:pPr>
              <w:pStyle w:val="TableText0"/>
            </w:pPr>
            <w:r w:rsidRPr="00552B0C">
              <w:t>Hussein et al. NALIRIFOX versus nab-paclitaxel and gemcitabine in treatment-naive patients with metastatic pancreatic ductal adenocarcinoma (mPDAC): updated overall survival analysis with 29-month follow-up of NAPOLI -3</w:t>
            </w:r>
          </w:p>
        </w:tc>
        <w:tc>
          <w:tcPr>
            <w:tcW w:w="1328" w:type="pct"/>
            <w:tcBorders>
              <w:top w:val="nil"/>
              <w:left w:val="single" w:sz="4" w:space="0" w:color="auto"/>
              <w:bottom w:val="single" w:sz="4" w:space="0" w:color="auto"/>
              <w:right w:val="single" w:sz="4" w:space="0" w:color="auto"/>
            </w:tcBorders>
          </w:tcPr>
          <w:p w14:paraId="34D7B7A4" w14:textId="77777777" w:rsidR="00091D2A" w:rsidRPr="00552B0C" w:rsidRDefault="00091D2A">
            <w:pPr>
              <w:pStyle w:val="TableText0"/>
            </w:pPr>
            <w:r w:rsidRPr="00552B0C">
              <w:t>American Society of Clinical Oncology (ASCO) Annual Meeting 2024.</w:t>
            </w:r>
          </w:p>
        </w:tc>
      </w:tr>
      <w:tr w:rsidR="00091D2A" w:rsidRPr="00552B0C" w14:paraId="045FEEF8" w14:textId="77777777" w:rsidTr="00B17CAF">
        <w:tc>
          <w:tcPr>
            <w:tcW w:w="1170" w:type="pct"/>
            <w:vMerge w:val="restart"/>
            <w:tcBorders>
              <w:top w:val="single" w:sz="4" w:space="0" w:color="auto"/>
              <w:right w:val="single" w:sz="4" w:space="0" w:color="auto"/>
            </w:tcBorders>
            <w:shd w:val="clear" w:color="auto" w:fill="B8CCE4" w:themeFill="accent1" w:themeFillTint="66"/>
          </w:tcPr>
          <w:p w14:paraId="4B9FC219" w14:textId="77777777" w:rsidR="00091D2A" w:rsidRPr="00552B0C" w:rsidRDefault="00091D2A">
            <w:pPr>
              <w:pStyle w:val="TableText0"/>
            </w:pPr>
            <w:r w:rsidRPr="00552B0C">
              <w:t>JCOG1611- GENERATE</w:t>
            </w:r>
          </w:p>
          <w:p w14:paraId="4AE61A90" w14:textId="77777777" w:rsidR="00091D2A" w:rsidRPr="00552B0C" w:rsidRDefault="00091D2A">
            <w:pPr>
              <w:pStyle w:val="TableText0"/>
            </w:pPr>
            <w:r w:rsidRPr="00552B0C">
              <w:t>jRCTs031190009</w:t>
            </w:r>
          </w:p>
        </w:tc>
        <w:tc>
          <w:tcPr>
            <w:tcW w:w="25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95EC36" w14:textId="77777777" w:rsidR="00091D2A" w:rsidRPr="00552B0C" w:rsidRDefault="00091D2A">
            <w:pPr>
              <w:pStyle w:val="TableText0"/>
            </w:pPr>
            <w:r w:rsidRPr="00552B0C">
              <w:t>Mizusawa et al. Protocol of a randomized phase II/III study of gemcitabine plus nab-paclitaxel combination therapy versus modified FOLFIRINOX versus S-IROX for metastatic or recurrent pancreatic cancer: JCOG1611 (GENERATE)</w:t>
            </w:r>
          </w:p>
        </w:tc>
        <w:tc>
          <w:tcPr>
            <w:tcW w:w="132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93D505" w14:textId="77777777" w:rsidR="00091D2A" w:rsidRPr="00552B0C" w:rsidRDefault="00091D2A">
            <w:pPr>
              <w:pStyle w:val="TableText0"/>
            </w:pPr>
            <w:r w:rsidRPr="00552B0C">
              <w:t>Japanese Journal of Clinical Oncology 2023; 53(1):80-84</w:t>
            </w:r>
          </w:p>
        </w:tc>
      </w:tr>
      <w:tr w:rsidR="00091D2A" w:rsidRPr="00552B0C" w14:paraId="2F892C2A" w14:textId="77777777">
        <w:tc>
          <w:tcPr>
            <w:tcW w:w="1170" w:type="pct"/>
            <w:vMerge/>
            <w:tcBorders>
              <w:right w:val="single" w:sz="4" w:space="0" w:color="auto"/>
            </w:tcBorders>
            <w:shd w:val="clear" w:color="auto" w:fill="B8CCE4" w:themeFill="accent1" w:themeFillTint="66"/>
          </w:tcPr>
          <w:p w14:paraId="6F5F64E0" w14:textId="77777777" w:rsidR="00091D2A" w:rsidRPr="00552B0C" w:rsidRDefault="00091D2A">
            <w:pPr>
              <w:pStyle w:val="TableText0"/>
            </w:pPr>
          </w:p>
        </w:tc>
        <w:tc>
          <w:tcPr>
            <w:tcW w:w="25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ADDBD6" w14:textId="77777777" w:rsidR="00091D2A" w:rsidRPr="00552B0C" w:rsidRDefault="00091D2A">
            <w:pPr>
              <w:pStyle w:val="TableText0"/>
            </w:pPr>
            <w:r w:rsidRPr="00552B0C">
              <w:t>Obha et al. Nab-paclitaxel plus gemcitabine versus modified FOLFIRINOX or S-IROX in metastatic or recurrent pancreatic cancer (JCOG1611, GENERATE): a multicenter, randomized, open-label, three-arm, phase 2/3 trial</w:t>
            </w:r>
          </w:p>
        </w:tc>
        <w:tc>
          <w:tcPr>
            <w:tcW w:w="132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D78153" w14:textId="77777777" w:rsidR="00091D2A" w:rsidRPr="00552B0C" w:rsidRDefault="00091D2A">
            <w:pPr>
              <w:pStyle w:val="TableText0"/>
            </w:pPr>
            <w:r w:rsidRPr="00552B0C">
              <w:t>European Society for Medical Oncology (ESMO) Congress October 2023. Abstract 16160</w:t>
            </w:r>
          </w:p>
        </w:tc>
      </w:tr>
      <w:tr w:rsidR="00091D2A" w:rsidRPr="00552B0C" w14:paraId="1A2B9EB3" w14:textId="77777777">
        <w:tc>
          <w:tcPr>
            <w:tcW w:w="1170" w:type="pct"/>
            <w:tcBorders>
              <w:top w:val="single" w:sz="4" w:space="0" w:color="auto"/>
              <w:bottom w:val="single" w:sz="4" w:space="0" w:color="auto"/>
              <w:right w:val="single" w:sz="4" w:space="0" w:color="auto"/>
            </w:tcBorders>
            <w:shd w:val="clear" w:color="auto" w:fill="B8CCE4" w:themeFill="accent1" w:themeFillTint="66"/>
          </w:tcPr>
          <w:p w14:paraId="3C700706" w14:textId="77777777" w:rsidR="00091D2A" w:rsidRPr="00552B0C" w:rsidRDefault="00091D2A">
            <w:pPr>
              <w:pStyle w:val="TableText0"/>
            </w:pPr>
            <w:r w:rsidRPr="00552B0C">
              <w:t>MPACT</w:t>
            </w:r>
          </w:p>
          <w:p w14:paraId="30CA3AC3" w14:textId="77777777" w:rsidR="00091D2A" w:rsidRPr="00552B0C" w:rsidRDefault="00091D2A">
            <w:pPr>
              <w:pStyle w:val="TableText0"/>
            </w:pPr>
            <w:r w:rsidRPr="00552B0C">
              <w:t>NCT00844649</w:t>
            </w:r>
          </w:p>
        </w:tc>
        <w:tc>
          <w:tcPr>
            <w:tcW w:w="25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93D0C8D" w14:textId="77777777" w:rsidR="00091D2A" w:rsidRPr="00552B0C" w:rsidRDefault="00091D2A">
            <w:pPr>
              <w:pStyle w:val="TableText0"/>
            </w:pPr>
            <w:r w:rsidRPr="00552B0C">
              <w:t>Von Hoff et al. Increased survival in pancreatic cancer with nab-paclitaxel plus gemcitabine.</w:t>
            </w:r>
          </w:p>
        </w:tc>
        <w:tc>
          <w:tcPr>
            <w:tcW w:w="132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6176287" w14:textId="77777777" w:rsidR="00091D2A" w:rsidRPr="00552B0C" w:rsidRDefault="00091D2A">
            <w:pPr>
              <w:pStyle w:val="TableText0"/>
            </w:pPr>
            <w:r w:rsidRPr="00552B0C">
              <w:t>N Engl J Med. 2013; 369(18):1691-703</w:t>
            </w:r>
          </w:p>
        </w:tc>
      </w:tr>
      <w:tr w:rsidR="00091D2A" w:rsidRPr="00552B0C" w14:paraId="558E6084" w14:textId="77777777">
        <w:tc>
          <w:tcPr>
            <w:tcW w:w="1170" w:type="pct"/>
            <w:tcBorders>
              <w:top w:val="single" w:sz="4" w:space="0" w:color="auto"/>
              <w:bottom w:val="single" w:sz="4" w:space="0" w:color="auto"/>
              <w:right w:val="single" w:sz="4" w:space="0" w:color="auto"/>
            </w:tcBorders>
            <w:shd w:val="clear" w:color="auto" w:fill="B8CCE4" w:themeFill="accent1" w:themeFillTint="66"/>
          </w:tcPr>
          <w:p w14:paraId="167401B6" w14:textId="77777777" w:rsidR="00091D2A" w:rsidRPr="00552B0C" w:rsidRDefault="00091D2A">
            <w:pPr>
              <w:pStyle w:val="TableText0"/>
            </w:pPr>
            <w:r w:rsidRPr="00552B0C">
              <w:t>ACCORD11/PRODIGE4</w:t>
            </w:r>
          </w:p>
          <w:p w14:paraId="7B725DEF" w14:textId="77777777" w:rsidR="00091D2A" w:rsidRPr="00552B0C" w:rsidRDefault="00091D2A">
            <w:pPr>
              <w:pStyle w:val="TableText0"/>
            </w:pPr>
            <w:r w:rsidRPr="00552B0C">
              <w:t>NCT00112658</w:t>
            </w:r>
          </w:p>
        </w:tc>
        <w:tc>
          <w:tcPr>
            <w:tcW w:w="250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8A8A37" w14:textId="77777777" w:rsidR="00091D2A" w:rsidRPr="00552B0C" w:rsidRDefault="00091D2A">
            <w:pPr>
              <w:pStyle w:val="TableText0"/>
            </w:pPr>
            <w:r w:rsidRPr="00552B0C">
              <w:t>Conroy et al. FOLFIRINOX versus gemcitabine for metastatic pancreatic cancer.</w:t>
            </w:r>
          </w:p>
        </w:tc>
        <w:tc>
          <w:tcPr>
            <w:tcW w:w="1328"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E54B80" w14:textId="77777777" w:rsidR="00091D2A" w:rsidRPr="00552B0C" w:rsidRDefault="00091D2A">
            <w:pPr>
              <w:pStyle w:val="TableText0"/>
            </w:pPr>
            <w:r w:rsidRPr="00552B0C">
              <w:t>N Engl J Med. 2011; 364(19):1817-25</w:t>
            </w:r>
          </w:p>
        </w:tc>
      </w:tr>
    </w:tbl>
    <w:p w14:paraId="52197AE6" w14:textId="77777777" w:rsidR="00091D2A" w:rsidRPr="00552B0C" w:rsidRDefault="00091D2A" w:rsidP="00091D2A">
      <w:pPr>
        <w:pStyle w:val="FooterTableFigure"/>
        <w:keepNext/>
        <w:keepLines/>
      </w:pPr>
      <w:r w:rsidRPr="00552B0C">
        <w:t>Source: Table 2.1, p18 of the resubmission.</w:t>
      </w:r>
    </w:p>
    <w:p w14:paraId="368CA651" w14:textId="77777777" w:rsidR="00091D2A" w:rsidRPr="00552B0C" w:rsidRDefault="00091D2A" w:rsidP="00091D2A">
      <w:pPr>
        <w:pStyle w:val="FooterTableFigure"/>
        <w:keepNext/>
        <w:keepLines/>
      </w:pPr>
      <w:r w:rsidRPr="00552B0C">
        <w:t>Abbreviations: ASCO, American Society of Clinical Oncology; CSR, clinical study report; ESMO, European Society for Medical Oncology; FOLFIRINOX, 5-fluorouracil, leucovorin/folinic acid, standard irinotecan, and oxaliplatin; mPDAC, metastatic pancreatic ductal adenocarcinoma; nab, nanoparticle albumin-bound; NALIRIFOX, 5-fluorouracil, leucovorin/folinic acid, nanoliposomal irinotecan (nal-IRI), and oxaliplatin; N Eng J Med, The New England Journal of Medicine; S-IROX, S-1, irinotecan, and oxaliplatin</w:t>
      </w:r>
    </w:p>
    <w:p w14:paraId="2CF789E9" w14:textId="177976A5" w:rsidR="00091D2A" w:rsidRPr="00552B0C" w:rsidRDefault="00091D2A" w:rsidP="006C554D">
      <w:pPr>
        <w:pStyle w:val="FooterTableFigure"/>
        <w:rPr>
          <w:rStyle w:val="CommentReference"/>
          <w:b w:val="0"/>
          <w:bCs/>
          <w:sz w:val="18"/>
          <w:szCs w:val="18"/>
        </w:rPr>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 </w:t>
      </w:r>
    </w:p>
    <w:p w14:paraId="2F728C7B" w14:textId="52455345" w:rsidR="00091D2A" w:rsidRPr="00552B0C" w:rsidRDefault="00091D2A" w:rsidP="4E6EDD58">
      <w:pPr>
        <w:pStyle w:val="3-BodyText"/>
      </w:pPr>
      <w:bookmarkStart w:id="30" w:name="_Ref176359976"/>
      <w:bookmarkStart w:id="31" w:name="_Ref177384290"/>
      <w:bookmarkStart w:id="32" w:name="_Ref177540791"/>
      <w:r w:rsidRPr="00552B0C">
        <w:t xml:space="preserve">The evidence from the GENERATE trial has not changed since the March 2024 submission. This </w:t>
      </w:r>
      <w:r w:rsidR="00D1048E" w:rsidRPr="00552B0C">
        <w:t>remain</w:t>
      </w:r>
      <w:r w:rsidR="003A4777" w:rsidRPr="00552B0C">
        <w:t>s</w:t>
      </w:r>
      <w:r w:rsidRPr="00552B0C">
        <w:t xml:space="preserve"> based on an abstract and a presentation in the European </w:t>
      </w:r>
      <w:r w:rsidRPr="00552B0C">
        <w:lastRenderedPageBreak/>
        <w:t xml:space="preserve">Society for Medical Oncology (ESMO) congress on 22 October 2023 that lack sufficient details. In March 2024, the PBAC noted the ESC’s concerns around the GENERATE trial (such as differences between treatment arms in patient and disease characteristics, the use of a modified FOLFIRINOX regimen that may bias against FOLFIRINOX, and inadequate reporting of analysis methodology). The PBAC noted further concerns including the higher proportion of patients discontinuing due to </w:t>
      </w:r>
      <w:r w:rsidR="001C31A2" w:rsidRPr="00552B0C">
        <w:t>adverse events (AEs)</w:t>
      </w:r>
      <w:r w:rsidRPr="00552B0C">
        <w:t xml:space="preserve"> with FOLFIRINOX (34.3% versus 23.9% for Gem+NabP) and longer median OS for Gem+NabP in GENERATE trial versus</w:t>
      </w:r>
      <w:r w:rsidR="3362D816" w:rsidRPr="00552B0C">
        <w:t xml:space="preserve"> that observed in</w:t>
      </w:r>
      <w:r w:rsidRPr="00552B0C">
        <w:t xml:space="preserve"> other trials. The PBAC</w:t>
      </w:r>
      <w:r w:rsidR="0090128B">
        <w:t xml:space="preserve"> previously</w:t>
      </w:r>
      <w:r w:rsidRPr="00552B0C">
        <w:t xml:space="preserve"> noted the ITC based on the GENERATE trial had not been evaluated, however due to multiple concerns, considered that it was unreliable (para 7.12, irinotecan (nanoliposomal), PSD, March 2024 PBAC meeting).</w:t>
      </w:r>
      <w:bookmarkEnd w:id="30"/>
      <w:bookmarkEnd w:id="31"/>
      <w:bookmarkEnd w:id="32"/>
    </w:p>
    <w:p w14:paraId="5884268B" w14:textId="1F8C8E29" w:rsidR="00091D2A" w:rsidRPr="00552B0C" w:rsidRDefault="00091D2A" w:rsidP="00552B0C">
      <w:pPr>
        <w:pStyle w:val="3-BodyText"/>
        <w:numPr>
          <w:ilvl w:val="1"/>
          <w:numId w:val="5"/>
        </w:numPr>
      </w:pPr>
      <w:r w:rsidRPr="00552B0C">
        <w:t xml:space="preserve">In March 2024, the ESC and PBAC noted </w:t>
      </w:r>
      <w:r w:rsidR="00B41151" w:rsidRPr="00552B0C">
        <w:t xml:space="preserve">a </w:t>
      </w:r>
      <w:r w:rsidRPr="00552B0C">
        <w:t>recent publication comparing NALIRIFOX, FOLFIRINOX and Gem+NabP as first-line chemotherapy for mPAC (Nichetti et al. 2024; para 6.11, irinotecan (nanoliposomal), PSD, March 2024 PBAC meeting).</w:t>
      </w:r>
      <w:r w:rsidRPr="00552B0C">
        <w:rPr>
          <w:vertAlign w:val="superscript"/>
        </w:rPr>
        <w:footnoteReference w:id="17"/>
      </w:r>
      <w:r w:rsidRPr="00552B0C">
        <w:t xml:space="preserve"> This analysis included data from relevant arms of the NAPOLI-3, ACCORD11/PRODIGE4 and MPACT trials, as well as the following trials that were not included in the March 2024 submission and resubmission: HALO (Gem+NabP), RESOLVE (Gem+NabP), AVENGER500 (FOLFIRINOX) and CanStem111P (Gem+NabP). The analysis of OS and</w:t>
      </w:r>
      <w:r w:rsidR="00415666" w:rsidRPr="00552B0C">
        <w:t xml:space="preserve"> progression-free survival (</w:t>
      </w:r>
      <w:r w:rsidRPr="00552B0C">
        <w:t>PFS</w:t>
      </w:r>
      <w:r w:rsidR="00E219B6" w:rsidRPr="00552B0C">
        <w:t>)</w:t>
      </w:r>
      <w:r w:rsidRPr="00552B0C">
        <w:t xml:space="preserve"> was based on pooled individual patient data (IPD) extracted from Kaplan-Meier (KM) plots of original trials via a graphic reconstructive algorithm, while the analysis of objective response rate (ORR) and Grade ≥3 AEs was based on pooled data from each treatment arm/trial.</w:t>
      </w:r>
      <w:r w:rsidR="00571167" w:rsidRPr="00552B0C">
        <w:t xml:space="preserve"> </w:t>
      </w:r>
      <w:r w:rsidR="00D855A8" w:rsidRPr="00552B0C">
        <w:t>The resubmission</w:t>
      </w:r>
      <w:r w:rsidR="000422FD" w:rsidRPr="00552B0C">
        <w:t xml:space="preserve"> </w:t>
      </w:r>
      <w:r w:rsidR="006345BF" w:rsidRPr="00552B0C">
        <w:t>contend</w:t>
      </w:r>
      <w:r w:rsidR="009A6814" w:rsidRPr="00552B0C">
        <w:t>ed</w:t>
      </w:r>
      <w:r w:rsidR="006345BF" w:rsidRPr="00552B0C">
        <w:t xml:space="preserve"> that the analyses reported by Nichetti et al. 2024 </w:t>
      </w:r>
      <w:r w:rsidR="009A6814" w:rsidRPr="00552B0C">
        <w:t>are not an appropriate basis for determining the comparative efficacy and safety of NALIRIFOX and FOLFIRINOX</w:t>
      </w:r>
      <w:r w:rsidR="000228BB" w:rsidRPr="00552B0C">
        <w:t>, citing</w:t>
      </w:r>
      <w:r w:rsidR="00903DD1" w:rsidRPr="00552B0C">
        <w:t xml:space="preserve"> methodological </w:t>
      </w:r>
      <w:r w:rsidR="00983E85" w:rsidRPr="00552B0C">
        <w:t xml:space="preserve">limitations </w:t>
      </w:r>
      <w:r w:rsidR="0042763E" w:rsidRPr="00552B0C">
        <w:t>in</w:t>
      </w:r>
      <w:r w:rsidR="008144E8" w:rsidRPr="00552B0C">
        <w:t xml:space="preserve"> that no attempt was made to adjust for differences in patient-level covariates </w:t>
      </w:r>
      <w:r w:rsidR="00EF44F2" w:rsidRPr="00552B0C">
        <w:t xml:space="preserve">across the different </w:t>
      </w:r>
      <w:r w:rsidR="00F02C6E" w:rsidRPr="00552B0C">
        <w:t>trials</w:t>
      </w:r>
      <w:r w:rsidR="00EF44F2" w:rsidRPr="00552B0C">
        <w:t xml:space="preserve"> included in the analysis</w:t>
      </w:r>
      <w:r w:rsidR="007556DA" w:rsidRPr="00552B0C">
        <w:t>, which may affect the pooled results</w:t>
      </w:r>
      <w:r w:rsidR="00BA135C" w:rsidRPr="00552B0C">
        <w:t xml:space="preserve">. </w:t>
      </w:r>
      <w:r w:rsidR="00D44C57" w:rsidRPr="00552B0C">
        <w:t xml:space="preserve">The resubmission did not agree with the </w:t>
      </w:r>
      <w:r w:rsidR="00E10316" w:rsidRPr="00552B0C">
        <w:t>publication’s</w:t>
      </w:r>
      <w:r w:rsidR="00D44C57" w:rsidRPr="00552B0C">
        <w:t xml:space="preserve"> assertion that “the risk of bias due to these limitations</w:t>
      </w:r>
      <w:r w:rsidR="002910D0" w:rsidRPr="00552B0C">
        <w:t xml:space="preserve"> should be minimal” was justified and argued that there are more appropriate indirect comparisons </w:t>
      </w:r>
      <w:r w:rsidR="00567989" w:rsidRPr="00552B0C">
        <w:t>available, particularly those</w:t>
      </w:r>
      <w:r w:rsidR="000C3CAC" w:rsidRPr="00552B0C">
        <w:t xml:space="preserve"> using GENERATE</w:t>
      </w:r>
      <w:r w:rsidR="00567989" w:rsidRPr="00552B0C">
        <w:t xml:space="preserve"> presented in the resubmission.</w:t>
      </w:r>
      <w:r w:rsidR="004B03C1" w:rsidRPr="00552B0C">
        <w:t xml:space="preserve"> </w:t>
      </w:r>
    </w:p>
    <w:p w14:paraId="60C796DC" w14:textId="6A7902FC" w:rsidR="00091D2A" w:rsidRPr="00552B0C" w:rsidRDefault="00091D2A" w:rsidP="00552B0C">
      <w:pPr>
        <w:pStyle w:val="3-BodyText"/>
        <w:numPr>
          <w:ilvl w:val="1"/>
          <w:numId w:val="5"/>
        </w:numPr>
      </w:pPr>
      <w:r w:rsidRPr="00552B0C">
        <w:t xml:space="preserve">The key features of the trials are summarised in </w:t>
      </w:r>
      <w:r w:rsidRPr="00552B0C">
        <w:fldChar w:fldCharType="begin" w:fldLock="1"/>
      </w:r>
      <w:r w:rsidRPr="00552B0C">
        <w:instrText xml:space="preserve"> REF _Ref176345528 \h </w:instrText>
      </w:r>
      <w:r w:rsidR="00B87FAE" w:rsidRPr="00552B0C">
        <w:instrText xml:space="preserve"> \* MERGEFORMAT </w:instrText>
      </w:r>
      <w:r w:rsidRPr="00552B0C">
        <w:fldChar w:fldCharType="separate"/>
      </w:r>
      <w:r w:rsidR="001C19B6" w:rsidRPr="00552B0C">
        <w:t xml:space="preserve">Table </w:t>
      </w:r>
      <w:r w:rsidR="001C19B6">
        <w:rPr>
          <w:noProof/>
        </w:rPr>
        <w:t>4</w:t>
      </w:r>
      <w:r w:rsidRPr="00552B0C">
        <w:fldChar w:fldCharType="end"/>
      </w:r>
      <w:r w:rsidRPr="00552B0C">
        <w:t xml:space="preserve">. </w:t>
      </w:r>
    </w:p>
    <w:p w14:paraId="355E2F15" w14:textId="7E34B813" w:rsidR="007F1017" w:rsidRPr="00552B0C" w:rsidRDefault="00696EF9" w:rsidP="000D5DFD">
      <w:pPr>
        <w:pStyle w:val="TableFigureHeading"/>
        <w:keepLines/>
      </w:pPr>
      <w:bookmarkStart w:id="33" w:name="_Ref176345528"/>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4</w:t>
      </w:r>
      <w:r w:rsidR="001C19B6">
        <w:rPr>
          <w:noProof/>
        </w:rPr>
        <w:fldChar w:fldCharType="end"/>
      </w:r>
      <w:bookmarkEnd w:id="33"/>
      <w:r w:rsidR="00D6076E" w:rsidRPr="00552B0C">
        <w:t xml:space="preserve">: </w:t>
      </w:r>
      <w:r w:rsidR="007F1017" w:rsidRPr="00552B0C">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27"/>
        <w:gridCol w:w="566"/>
        <w:gridCol w:w="2417"/>
        <w:gridCol w:w="1017"/>
        <w:gridCol w:w="1843"/>
        <w:gridCol w:w="1136"/>
        <w:gridCol w:w="911"/>
      </w:tblGrid>
      <w:tr w:rsidR="00091D2A" w:rsidRPr="00552B0C" w14:paraId="7B977754" w14:textId="77777777" w:rsidTr="006C554D">
        <w:trPr>
          <w:cantSplit/>
          <w:tblHeader/>
        </w:trPr>
        <w:tc>
          <w:tcPr>
            <w:tcW w:w="625" w:type="pct"/>
            <w:shd w:val="clear" w:color="auto" w:fill="auto"/>
            <w:vAlign w:val="center"/>
          </w:tcPr>
          <w:p w14:paraId="08C917B2" w14:textId="77777777" w:rsidR="00091D2A" w:rsidRPr="00552B0C" w:rsidRDefault="00091D2A" w:rsidP="000D5DFD">
            <w:pPr>
              <w:pStyle w:val="In-tableHeading"/>
              <w:keepLines/>
            </w:pPr>
            <w:r w:rsidRPr="00552B0C">
              <w:t>Trial</w:t>
            </w:r>
          </w:p>
        </w:tc>
        <w:tc>
          <w:tcPr>
            <w:tcW w:w="314" w:type="pct"/>
            <w:shd w:val="clear" w:color="auto" w:fill="auto"/>
            <w:vAlign w:val="center"/>
          </w:tcPr>
          <w:p w14:paraId="259EC110" w14:textId="77777777" w:rsidR="00091D2A" w:rsidRPr="00552B0C" w:rsidRDefault="00091D2A" w:rsidP="000D5DFD">
            <w:pPr>
              <w:pStyle w:val="In-tableHeading"/>
              <w:keepLines/>
            </w:pPr>
            <w:r w:rsidRPr="00552B0C">
              <w:t>N</w:t>
            </w:r>
          </w:p>
        </w:tc>
        <w:tc>
          <w:tcPr>
            <w:tcW w:w="1340" w:type="pct"/>
            <w:shd w:val="clear" w:color="auto" w:fill="auto"/>
            <w:vAlign w:val="center"/>
          </w:tcPr>
          <w:p w14:paraId="56613B88" w14:textId="77777777" w:rsidR="00091D2A" w:rsidRPr="00552B0C" w:rsidRDefault="00091D2A" w:rsidP="000D5DFD">
            <w:pPr>
              <w:pStyle w:val="In-tableHeading"/>
              <w:keepLines/>
            </w:pPr>
            <w:r w:rsidRPr="00552B0C">
              <w:t>Design</w:t>
            </w:r>
          </w:p>
          <w:p w14:paraId="6B35BD80" w14:textId="77777777" w:rsidR="00091D2A" w:rsidRPr="00552B0C" w:rsidRDefault="00091D2A" w:rsidP="000D5DFD">
            <w:pPr>
              <w:pStyle w:val="In-tableHeading"/>
              <w:keepLines/>
            </w:pPr>
            <w:r w:rsidRPr="00552B0C">
              <w:t>Median duration of follow-up</w:t>
            </w:r>
          </w:p>
        </w:tc>
        <w:tc>
          <w:tcPr>
            <w:tcW w:w="564" w:type="pct"/>
            <w:shd w:val="clear" w:color="auto" w:fill="auto"/>
            <w:vAlign w:val="center"/>
          </w:tcPr>
          <w:p w14:paraId="07B3C353" w14:textId="77777777" w:rsidR="00091D2A" w:rsidRPr="00552B0C" w:rsidRDefault="00091D2A" w:rsidP="000D5DFD">
            <w:pPr>
              <w:pStyle w:val="In-tableHeading"/>
              <w:keepLines/>
            </w:pPr>
            <w:r w:rsidRPr="00552B0C">
              <w:t>Risk of</w:t>
            </w:r>
          </w:p>
          <w:p w14:paraId="16590951" w14:textId="77777777" w:rsidR="00091D2A" w:rsidRPr="00552B0C" w:rsidRDefault="00091D2A" w:rsidP="000D5DFD">
            <w:pPr>
              <w:pStyle w:val="In-tableHeading"/>
              <w:keepLines/>
            </w:pPr>
            <w:r w:rsidRPr="00552B0C">
              <w:t>bias</w:t>
            </w:r>
          </w:p>
        </w:tc>
        <w:tc>
          <w:tcPr>
            <w:tcW w:w="1007" w:type="pct"/>
            <w:shd w:val="clear" w:color="auto" w:fill="auto"/>
            <w:vAlign w:val="center"/>
          </w:tcPr>
          <w:p w14:paraId="70C72ACF" w14:textId="77777777" w:rsidR="00091D2A" w:rsidRPr="00552B0C" w:rsidRDefault="00091D2A" w:rsidP="000D5DFD">
            <w:pPr>
              <w:pStyle w:val="In-tableHeading"/>
              <w:keepLines/>
            </w:pPr>
            <w:r w:rsidRPr="00552B0C">
              <w:t>Patient population</w:t>
            </w:r>
          </w:p>
        </w:tc>
        <w:tc>
          <w:tcPr>
            <w:tcW w:w="630" w:type="pct"/>
            <w:shd w:val="clear" w:color="auto" w:fill="auto"/>
            <w:vAlign w:val="center"/>
          </w:tcPr>
          <w:p w14:paraId="23C244DB" w14:textId="77777777" w:rsidR="00091D2A" w:rsidRPr="00552B0C" w:rsidRDefault="00091D2A" w:rsidP="000D5DFD">
            <w:pPr>
              <w:pStyle w:val="In-tableHeading"/>
              <w:keepLines/>
            </w:pPr>
            <w:r w:rsidRPr="00552B0C">
              <w:t>Outcomes</w:t>
            </w:r>
          </w:p>
        </w:tc>
        <w:tc>
          <w:tcPr>
            <w:tcW w:w="520" w:type="pct"/>
            <w:shd w:val="clear" w:color="auto" w:fill="auto"/>
            <w:vAlign w:val="center"/>
          </w:tcPr>
          <w:p w14:paraId="6ED8508F" w14:textId="77777777" w:rsidR="00091D2A" w:rsidRPr="00552B0C" w:rsidRDefault="00091D2A" w:rsidP="000D5DFD">
            <w:pPr>
              <w:pStyle w:val="In-tableHeading"/>
              <w:keepLines/>
            </w:pPr>
            <w:r w:rsidRPr="00552B0C">
              <w:t>Use in modelled evaluation</w:t>
            </w:r>
          </w:p>
        </w:tc>
      </w:tr>
      <w:tr w:rsidR="00091D2A" w:rsidRPr="00552B0C" w14:paraId="66FAC084" w14:textId="77777777">
        <w:trPr>
          <w:cantSplit/>
        </w:trPr>
        <w:tc>
          <w:tcPr>
            <w:tcW w:w="5000" w:type="pct"/>
            <w:gridSpan w:val="7"/>
            <w:shd w:val="clear" w:color="auto" w:fill="B8CCE4" w:themeFill="accent1" w:themeFillTint="66"/>
            <w:vAlign w:val="center"/>
          </w:tcPr>
          <w:p w14:paraId="7CC9DB9B" w14:textId="77777777" w:rsidR="00091D2A" w:rsidRPr="00552B0C" w:rsidRDefault="00091D2A" w:rsidP="000D5DFD">
            <w:pPr>
              <w:pStyle w:val="In-tableHeading"/>
              <w:keepLines/>
            </w:pPr>
            <w:r w:rsidRPr="00552B0C">
              <w:t>NALIRIFOX vs Gem+NabP</w:t>
            </w:r>
          </w:p>
        </w:tc>
      </w:tr>
      <w:tr w:rsidR="00091D2A" w:rsidRPr="00552B0C" w14:paraId="4083B738" w14:textId="77777777">
        <w:trPr>
          <w:cantSplit/>
        </w:trPr>
        <w:tc>
          <w:tcPr>
            <w:tcW w:w="625" w:type="pct"/>
            <w:shd w:val="clear" w:color="auto" w:fill="B8CCE4" w:themeFill="accent1" w:themeFillTint="66"/>
            <w:vAlign w:val="center"/>
          </w:tcPr>
          <w:p w14:paraId="3CB887DB" w14:textId="77777777" w:rsidR="00091D2A" w:rsidRPr="00552B0C" w:rsidRDefault="00091D2A" w:rsidP="000D5DFD">
            <w:pPr>
              <w:pStyle w:val="Tabletext"/>
              <w:keepNext/>
              <w:keepLines/>
            </w:pPr>
            <w:r w:rsidRPr="00552B0C">
              <w:t>NAPOLI-3</w:t>
            </w:r>
          </w:p>
        </w:tc>
        <w:tc>
          <w:tcPr>
            <w:tcW w:w="314" w:type="pct"/>
            <w:shd w:val="clear" w:color="auto" w:fill="B8CCE4" w:themeFill="accent1" w:themeFillTint="66"/>
            <w:vAlign w:val="center"/>
          </w:tcPr>
          <w:p w14:paraId="0E40B8B9" w14:textId="77777777" w:rsidR="00091D2A" w:rsidRPr="00552B0C" w:rsidRDefault="00091D2A" w:rsidP="000D5DFD">
            <w:pPr>
              <w:pStyle w:val="Tabletext"/>
              <w:keepNext/>
              <w:keepLines/>
              <w:jc w:val="center"/>
            </w:pPr>
            <w:r w:rsidRPr="00552B0C">
              <w:t>770</w:t>
            </w:r>
          </w:p>
        </w:tc>
        <w:tc>
          <w:tcPr>
            <w:tcW w:w="1340" w:type="pct"/>
            <w:shd w:val="clear" w:color="auto" w:fill="B8CCE4" w:themeFill="accent1" w:themeFillTint="66"/>
            <w:vAlign w:val="center"/>
          </w:tcPr>
          <w:p w14:paraId="63FB54B7" w14:textId="77777777" w:rsidR="00091D2A" w:rsidRPr="00552B0C" w:rsidRDefault="00091D2A" w:rsidP="000D5DFD">
            <w:pPr>
              <w:pStyle w:val="Tabletext"/>
              <w:keepNext/>
              <w:keepLines/>
              <w:jc w:val="center"/>
            </w:pPr>
            <w:r w:rsidRPr="00552B0C">
              <w:t>R, OL, MC, MN, phase 3</w:t>
            </w:r>
          </w:p>
          <w:p w14:paraId="3BEDE392" w14:textId="77777777" w:rsidR="00091D2A" w:rsidRPr="00552B0C" w:rsidRDefault="00091D2A" w:rsidP="000D5DFD">
            <w:pPr>
              <w:pStyle w:val="Tabletext"/>
              <w:keepNext/>
              <w:keepLines/>
              <w:jc w:val="center"/>
              <w:rPr>
                <w:lang w:val="pt-BR"/>
              </w:rPr>
            </w:pPr>
            <w:r w:rsidRPr="00552B0C">
              <w:rPr>
                <w:lang w:val="pt-BR"/>
              </w:rPr>
              <w:t>NALIRIFOX &amp; Gem+NabP</w:t>
            </w:r>
          </w:p>
          <w:p w14:paraId="304031E1" w14:textId="77777777" w:rsidR="00091D2A" w:rsidRPr="00552B0C" w:rsidRDefault="00091D2A" w:rsidP="000D5DFD">
            <w:pPr>
              <w:pStyle w:val="Tabletext"/>
              <w:keepNext/>
              <w:keepLines/>
              <w:shd w:val="clear" w:color="auto" w:fill="FFFFFF" w:themeFill="background1"/>
              <w:jc w:val="center"/>
              <w:rPr>
                <w:lang w:val="pt-BR"/>
              </w:rPr>
            </w:pPr>
            <w:r w:rsidRPr="00552B0C">
              <w:rPr>
                <w:lang w:val="pt-BR"/>
              </w:rPr>
              <w:t>29.5 months for OS</w:t>
            </w:r>
          </w:p>
          <w:p w14:paraId="29C65669" w14:textId="77777777" w:rsidR="00091D2A" w:rsidRPr="00552B0C" w:rsidRDefault="00091D2A" w:rsidP="000D5DFD">
            <w:pPr>
              <w:pStyle w:val="Tabletext"/>
              <w:keepNext/>
              <w:keepLines/>
              <w:jc w:val="center"/>
            </w:pPr>
            <w:r w:rsidRPr="00552B0C">
              <w:t>16.1 month for PFS, ORR, HRQoL, Safety</w:t>
            </w:r>
          </w:p>
        </w:tc>
        <w:tc>
          <w:tcPr>
            <w:tcW w:w="564" w:type="pct"/>
            <w:shd w:val="clear" w:color="auto" w:fill="B8CCE4" w:themeFill="accent1" w:themeFillTint="66"/>
            <w:vAlign w:val="center"/>
          </w:tcPr>
          <w:p w14:paraId="38EDD389" w14:textId="77777777" w:rsidR="00091D2A" w:rsidRPr="00552B0C" w:rsidRDefault="00091D2A" w:rsidP="000D5DFD">
            <w:pPr>
              <w:pStyle w:val="Tabletext"/>
              <w:keepNext/>
              <w:keepLines/>
              <w:jc w:val="center"/>
            </w:pPr>
            <w:r w:rsidRPr="00552B0C">
              <w:t>Some concerns</w:t>
            </w:r>
          </w:p>
        </w:tc>
        <w:tc>
          <w:tcPr>
            <w:tcW w:w="1007" w:type="pct"/>
            <w:shd w:val="clear" w:color="auto" w:fill="B8CCE4" w:themeFill="accent1" w:themeFillTint="66"/>
            <w:vAlign w:val="center"/>
          </w:tcPr>
          <w:p w14:paraId="16D8FCFF" w14:textId="77777777" w:rsidR="00091D2A" w:rsidRPr="00552B0C" w:rsidRDefault="00091D2A" w:rsidP="000D5DFD">
            <w:pPr>
              <w:pStyle w:val="Tabletext"/>
              <w:keepNext/>
              <w:keepLines/>
              <w:jc w:val="center"/>
            </w:pPr>
            <w:r w:rsidRPr="00552B0C">
              <w:t>mPAC not previously treated with chemotherapy</w:t>
            </w:r>
          </w:p>
        </w:tc>
        <w:tc>
          <w:tcPr>
            <w:tcW w:w="630" w:type="pct"/>
            <w:shd w:val="clear" w:color="auto" w:fill="B8CCE4" w:themeFill="accent1" w:themeFillTint="66"/>
            <w:vAlign w:val="center"/>
          </w:tcPr>
          <w:p w14:paraId="1D6E8E64" w14:textId="77777777" w:rsidR="00091D2A" w:rsidRPr="00552B0C" w:rsidRDefault="00091D2A" w:rsidP="000D5DFD">
            <w:pPr>
              <w:pStyle w:val="Tabletext"/>
              <w:keepNext/>
              <w:keepLines/>
              <w:jc w:val="center"/>
            </w:pPr>
            <w:r w:rsidRPr="00552B0C">
              <w:t>OS, PFS, ORR, HRQoL, Safety</w:t>
            </w:r>
          </w:p>
        </w:tc>
        <w:tc>
          <w:tcPr>
            <w:tcW w:w="520" w:type="pct"/>
            <w:shd w:val="clear" w:color="auto" w:fill="B8CCE4" w:themeFill="accent1" w:themeFillTint="66"/>
            <w:vAlign w:val="center"/>
          </w:tcPr>
          <w:p w14:paraId="35595E4E" w14:textId="77777777" w:rsidR="00091D2A" w:rsidRPr="00552B0C" w:rsidRDefault="00091D2A" w:rsidP="000D5DFD">
            <w:pPr>
              <w:pStyle w:val="Tabletext"/>
              <w:keepNext/>
              <w:keepLines/>
              <w:jc w:val="center"/>
            </w:pPr>
            <w:r w:rsidRPr="00552B0C">
              <w:t>OS, PFS, HRQoL</w:t>
            </w:r>
          </w:p>
        </w:tc>
      </w:tr>
      <w:tr w:rsidR="00091D2A" w:rsidRPr="00297E86" w14:paraId="06B8FAEF" w14:textId="77777777">
        <w:trPr>
          <w:cantSplit/>
        </w:trPr>
        <w:tc>
          <w:tcPr>
            <w:tcW w:w="5000" w:type="pct"/>
            <w:gridSpan w:val="7"/>
            <w:shd w:val="clear" w:color="auto" w:fill="B8CCE4" w:themeFill="accent1" w:themeFillTint="66"/>
            <w:vAlign w:val="center"/>
          </w:tcPr>
          <w:p w14:paraId="1818B3DE" w14:textId="77777777" w:rsidR="00091D2A" w:rsidRPr="00552B0C" w:rsidRDefault="00091D2A" w:rsidP="000D5DFD">
            <w:pPr>
              <w:pStyle w:val="In-tableHeading"/>
              <w:keepLines/>
              <w:rPr>
                <w:bCs/>
                <w:lang w:val="pt-BR"/>
              </w:rPr>
            </w:pPr>
            <w:r w:rsidRPr="00552B0C">
              <w:rPr>
                <w:lang w:val="pt-BR"/>
              </w:rPr>
              <w:t>Gem+NabP vs FOLFIRINOX (vs S-IROX)</w:t>
            </w:r>
          </w:p>
        </w:tc>
      </w:tr>
      <w:tr w:rsidR="00091D2A" w:rsidRPr="00552B0C" w14:paraId="1641D976" w14:textId="77777777">
        <w:trPr>
          <w:cantSplit/>
        </w:trPr>
        <w:tc>
          <w:tcPr>
            <w:tcW w:w="625" w:type="pct"/>
            <w:shd w:val="clear" w:color="auto" w:fill="B8CCE4" w:themeFill="accent1" w:themeFillTint="66"/>
            <w:vAlign w:val="center"/>
          </w:tcPr>
          <w:p w14:paraId="017F478B" w14:textId="77777777" w:rsidR="00091D2A" w:rsidRPr="00552B0C" w:rsidRDefault="00091D2A" w:rsidP="000D5DFD">
            <w:pPr>
              <w:pStyle w:val="Tabletext"/>
              <w:keepNext/>
              <w:keepLines/>
            </w:pPr>
            <w:r w:rsidRPr="00552B0C">
              <w:t>GENERATE</w:t>
            </w:r>
          </w:p>
        </w:tc>
        <w:tc>
          <w:tcPr>
            <w:tcW w:w="314" w:type="pct"/>
            <w:shd w:val="clear" w:color="auto" w:fill="B8CCE4" w:themeFill="accent1" w:themeFillTint="66"/>
            <w:vAlign w:val="center"/>
          </w:tcPr>
          <w:p w14:paraId="0AE85320" w14:textId="77777777" w:rsidR="00091D2A" w:rsidRPr="00552B0C" w:rsidRDefault="00091D2A" w:rsidP="000D5DFD">
            <w:pPr>
              <w:pStyle w:val="Tabletext"/>
              <w:keepNext/>
              <w:keepLines/>
              <w:jc w:val="center"/>
            </w:pPr>
            <w:r w:rsidRPr="00552B0C">
              <w:t>527</w:t>
            </w:r>
          </w:p>
        </w:tc>
        <w:tc>
          <w:tcPr>
            <w:tcW w:w="1340" w:type="pct"/>
            <w:shd w:val="clear" w:color="auto" w:fill="B8CCE4" w:themeFill="accent1" w:themeFillTint="66"/>
            <w:vAlign w:val="center"/>
          </w:tcPr>
          <w:p w14:paraId="0DC9ABE0" w14:textId="77777777" w:rsidR="00091D2A" w:rsidRPr="00552B0C" w:rsidRDefault="00091D2A" w:rsidP="000D5DFD">
            <w:pPr>
              <w:pStyle w:val="Tabletext"/>
              <w:keepNext/>
              <w:keepLines/>
              <w:jc w:val="center"/>
              <w:rPr>
                <w:lang w:val="pt-PT"/>
              </w:rPr>
            </w:pPr>
            <w:r w:rsidRPr="00552B0C">
              <w:rPr>
                <w:lang w:val="pt-PT"/>
              </w:rPr>
              <w:t>R, OL, MC (Japan), phase 2/3</w:t>
            </w:r>
          </w:p>
          <w:p w14:paraId="0CD366AA" w14:textId="77777777" w:rsidR="00091D2A" w:rsidRPr="00552B0C" w:rsidRDefault="00091D2A" w:rsidP="000D5DFD">
            <w:pPr>
              <w:pStyle w:val="Tabletext"/>
              <w:keepNext/>
              <w:keepLines/>
              <w:jc w:val="center"/>
              <w:rPr>
                <w:lang w:val="pt-PT"/>
              </w:rPr>
            </w:pPr>
            <w:r w:rsidRPr="00552B0C">
              <w:rPr>
                <w:lang w:val="pt-PT"/>
              </w:rPr>
              <w:t>Gem+NabP: NR</w:t>
            </w:r>
          </w:p>
          <w:p w14:paraId="25163F05" w14:textId="77777777" w:rsidR="00091D2A" w:rsidRPr="00552B0C" w:rsidRDefault="00091D2A" w:rsidP="000D5DFD">
            <w:pPr>
              <w:pStyle w:val="Tabletext"/>
              <w:keepNext/>
              <w:keepLines/>
              <w:jc w:val="center"/>
            </w:pPr>
            <w:r w:rsidRPr="00552B0C">
              <w:t>FOLFIRINOX: NR</w:t>
            </w:r>
          </w:p>
        </w:tc>
        <w:tc>
          <w:tcPr>
            <w:tcW w:w="549" w:type="pct"/>
            <w:shd w:val="clear" w:color="auto" w:fill="B8CCE4" w:themeFill="accent1" w:themeFillTint="66"/>
            <w:vAlign w:val="center"/>
          </w:tcPr>
          <w:p w14:paraId="617C67F0" w14:textId="77777777" w:rsidR="00091D2A" w:rsidRPr="00552B0C" w:rsidRDefault="00091D2A" w:rsidP="000D5DFD">
            <w:pPr>
              <w:pStyle w:val="Tabletext"/>
              <w:keepNext/>
              <w:keepLines/>
              <w:jc w:val="center"/>
            </w:pPr>
            <w:r w:rsidRPr="00552B0C">
              <w:t xml:space="preserve">At least some concerns </w:t>
            </w:r>
            <w:r w:rsidRPr="00552B0C">
              <w:rPr>
                <w:vertAlign w:val="superscript"/>
              </w:rPr>
              <w:t>a</w:t>
            </w:r>
          </w:p>
        </w:tc>
        <w:tc>
          <w:tcPr>
            <w:tcW w:w="1022" w:type="pct"/>
            <w:shd w:val="clear" w:color="auto" w:fill="B8CCE4" w:themeFill="accent1" w:themeFillTint="66"/>
            <w:vAlign w:val="center"/>
          </w:tcPr>
          <w:p w14:paraId="7CAC3E75" w14:textId="77777777" w:rsidR="00091D2A" w:rsidRPr="00552B0C" w:rsidRDefault="00091D2A" w:rsidP="000D5DFD">
            <w:pPr>
              <w:pStyle w:val="Tabletext"/>
              <w:keepNext/>
              <w:keepLines/>
              <w:jc w:val="center"/>
            </w:pPr>
            <w:r w:rsidRPr="00552B0C">
              <w:t>Metastatic or recurrent PAC not previously treated with chemotherapy</w:t>
            </w:r>
          </w:p>
        </w:tc>
        <w:tc>
          <w:tcPr>
            <w:tcW w:w="630" w:type="pct"/>
            <w:shd w:val="clear" w:color="auto" w:fill="B8CCE4" w:themeFill="accent1" w:themeFillTint="66"/>
            <w:vAlign w:val="center"/>
          </w:tcPr>
          <w:p w14:paraId="76E515F9" w14:textId="77777777" w:rsidR="00091D2A" w:rsidRPr="00552B0C" w:rsidRDefault="00091D2A" w:rsidP="000D5DFD">
            <w:pPr>
              <w:pStyle w:val="Tabletext"/>
              <w:keepNext/>
              <w:keepLines/>
              <w:jc w:val="center"/>
            </w:pPr>
            <w:r w:rsidRPr="00552B0C">
              <w:t>OS, PFS, ORR, Safety</w:t>
            </w:r>
          </w:p>
        </w:tc>
        <w:tc>
          <w:tcPr>
            <w:tcW w:w="520" w:type="pct"/>
            <w:shd w:val="clear" w:color="auto" w:fill="B8CCE4" w:themeFill="accent1" w:themeFillTint="66"/>
            <w:vAlign w:val="center"/>
          </w:tcPr>
          <w:p w14:paraId="4D88DAE1" w14:textId="77777777" w:rsidR="00091D2A" w:rsidRPr="00552B0C" w:rsidRDefault="00091D2A" w:rsidP="000D5DFD">
            <w:pPr>
              <w:pStyle w:val="Tabletext"/>
              <w:keepNext/>
              <w:keepLines/>
              <w:jc w:val="center"/>
            </w:pPr>
            <w:r w:rsidRPr="00552B0C">
              <w:t>OS, PFS</w:t>
            </w:r>
          </w:p>
        </w:tc>
      </w:tr>
      <w:tr w:rsidR="00091D2A" w:rsidRPr="00552B0C" w14:paraId="74982826" w14:textId="77777777">
        <w:trPr>
          <w:cantSplit/>
        </w:trPr>
        <w:tc>
          <w:tcPr>
            <w:tcW w:w="5000" w:type="pct"/>
            <w:gridSpan w:val="7"/>
            <w:shd w:val="clear" w:color="auto" w:fill="B8CCE4" w:themeFill="accent1" w:themeFillTint="66"/>
            <w:vAlign w:val="center"/>
          </w:tcPr>
          <w:p w14:paraId="774030AC" w14:textId="77777777" w:rsidR="00091D2A" w:rsidRPr="00552B0C" w:rsidRDefault="00091D2A" w:rsidP="000D5DFD">
            <w:pPr>
              <w:pStyle w:val="In-tableHeading"/>
              <w:keepLines/>
            </w:pPr>
            <w:r w:rsidRPr="00552B0C">
              <w:t>Gem+NabP vs Gemcitabine</w:t>
            </w:r>
          </w:p>
        </w:tc>
      </w:tr>
      <w:tr w:rsidR="00091D2A" w:rsidRPr="00552B0C" w14:paraId="7ACA081A" w14:textId="77777777">
        <w:trPr>
          <w:cantSplit/>
        </w:trPr>
        <w:tc>
          <w:tcPr>
            <w:tcW w:w="625" w:type="pct"/>
            <w:shd w:val="clear" w:color="auto" w:fill="B8CCE4" w:themeFill="accent1" w:themeFillTint="66"/>
            <w:vAlign w:val="center"/>
          </w:tcPr>
          <w:p w14:paraId="0C4928C7" w14:textId="77777777" w:rsidR="00091D2A" w:rsidRPr="00552B0C" w:rsidRDefault="00091D2A" w:rsidP="000D5DFD">
            <w:pPr>
              <w:pStyle w:val="Tabletext"/>
              <w:keepNext/>
              <w:keepLines/>
            </w:pPr>
            <w:r w:rsidRPr="00552B0C">
              <w:t>MPACT</w:t>
            </w:r>
          </w:p>
        </w:tc>
        <w:tc>
          <w:tcPr>
            <w:tcW w:w="314" w:type="pct"/>
            <w:shd w:val="clear" w:color="auto" w:fill="B8CCE4" w:themeFill="accent1" w:themeFillTint="66"/>
            <w:vAlign w:val="center"/>
          </w:tcPr>
          <w:p w14:paraId="6DAE0E37" w14:textId="77777777" w:rsidR="00091D2A" w:rsidRPr="00552B0C" w:rsidRDefault="00091D2A" w:rsidP="000D5DFD">
            <w:pPr>
              <w:pStyle w:val="Tabletext"/>
              <w:keepNext/>
              <w:keepLines/>
              <w:jc w:val="center"/>
            </w:pPr>
            <w:r w:rsidRPr="00552B0C">
              <w:t>861</w:t>
            </w:r>
          </w:p>
        </w:tc>
        <w:tc>
          <w:tcPr>
            <w:tcW w:w="1340" w:type="pct"/>
            <w:shd w:val="clear" w:color="auto" w:fill="B8CCE4" w:themeFill="accent1" w:themeFillTint="66"/>
            <w:vAlign w:val="center"/>
          </w:tcPr>
          <w:p w14:paraId="49644F76" w14:textId="77777777" w:rsidR="00091D2A" w:rsidRPr="00552B0C" w:rsidRDefault="00091D2A" w:rsidP="000D5DFD">
            <w:pPr>
              <w:pStyle w:val="Tabletext"/>
              <w:keepNext/>
              <w:keepLines/>
              <w:jc w:val="center"/>
            </w:pPr>
            <w:r w:rsidRPr="00552B0C">
              <w:t>R, OL, MC, MN, phase 3</w:t>
            </w:r>
          </w:p>
          <w:p w14:paraId="284948E5" w14:textId="38432843" w:rsidR="00091D2A" w:rsidRPr="00552B0C" w:rsidRDefault="00091D2A" w:rsidP="000D5DFD">
            <w:pPr>
              <w:pStyle w:val="Tabletext"/>
              <w:keepNext/>
              <w:keepLines/>
              <w:jc w:val="center"/>
            </w:pPr>
            <w:r w:rsidRPr="00552B0C">
              <w:t>Gem+NabP: 9.1 months</w:t>
            </w:r>
          </w:p>
          <w:p w14:paraId="1E7E49AB" w14:textId="77777777" w:rsidR="00091D2A" w:rsidRPr="00552B0C" w:rsidRDefault="00091D2A" w:rsidP="000D5DFD">
            <w:pPr>
              <w:pStyle w:val="Tabletext"/>
              <w:keepNext/>
              <w:keepLines/>
              <w:jc w:val="center"/>
            </w:pPr>
            <w:r w:rsidRPr="00552B0C">
              <w:t>Gem: 7.4 months</w:t>
            </w:r>
          </w:p>
        </w:tc>
        <w:tc>
          <w:tcPr>
            <w:tcW w:w="549" w:type="pct"/>
            <w:shd w:val="clear" w:color="auto" w:fill="B8CCE4" w:themeFill="accent1" w:themeFillTint="66"/>
            <w:vAlign w:val="center"/>
          </w:tcPr>
          <w:p w14:paraId="6DDCDBBE" w14:textId="77777777" w:rsidR="00091D2A" w:rsidRPr="00552B0C" w:rsidRDefault="00091D2A" w:rsidP="000D5DFD">
            <w:pPr>
              <w:pStyle w:val="Tabletext"/>
              <w:keepNext/>
              <w:keepLines/>
              <w:jc w:val="center"/>
            </w:pPr>
            <w:r w:rsidRPr="00552B0C">
              <w:t>Some concerns</w:t>
            </w:r>
          </w:p>
        </w:tc>
        <w:tc>
          <w:tcPr>
            <w:tcW w:w="1022" w:type="pct"/>
            <w:shd w:val="clear" w:color="auto" w:fill="B8CCE4" w:themeFill="accent1" w:themeFillTint="66"/>
            <w:vAlign w:val="center"/>
          </w:tcPr>
          <w:p w14:paraId="4CE6F1D2" w14:textId="77777777" w:rsidR="00091D2A" w:rsidRPr="00552B0C" w:rsidRDefault="00091D2A" w:rsidP="000D5DFD">
            <w:pPr>
              <w:pStyle w:val="Tabletext"/>
              <w:keepNext/>
              <w:keepLines/>
              <w:jc w:val="center"/>
            </w:pPr>
            <w:r w:rsidRPr="00552B0C">
              <w:t>mPAC not previously treated with chemotherapy</w:t>
            </w:r>
          </w:p>
        </w:tc>
        <w:tc>
          <w:tcPr>
            <w:tcW w:w="630" w:type="pct"/>
            <w:shd w:val="clear" w:color="auto" w:fill="B8CCE4" w:themeFill="accent1" w:themeFillTint="66"/>
            <w:vAlign w:val="center"/>
          </w:tcPr>
          <w:p w14:paraId="52D7F169" w14:textId="77777777" w:rsidR="00091D2A" w:rsidRPr="00552B0C" w:rsidRDefault="00091D2A" w:rsidP="000D5DFD">
            <w:pPr>
              <w:pStyle w:val="Tabletext"/>
              <w:keepNext/>
              <w:keepLines/>
              <w:jc w:val="center"/>
            </w:pPr>
            <w:r w:rsidRPr="00552B0C">
              <w:t>OS, PFS, ORR, Safety</w:t>
            </w:r>
          </w:p>
        </w:tc>
        <w:tc>
          <w:tcPr>
            <w:tcW w:w="520" w:type="pct"/>
            <w:shd w:val="clear" w:color="auto" w:fill="B8CCE4" w:themeFill="accent1" w:themeFillTint="66"/>
            <w:vAlign w:val="center"/>
          </w:tcPr>
          <w:p w14:paraId="4155271B" w14:textId="77777777" w:rsidR="00091D2A" w:rsidRPr="00552B0C" w:rsidRDefault="00091D2A" w:rsidP="000D5DFD">
            <w:pPr>
              <w:pStyle w:val="Tabletext"/>
              <w:keepNext/>
              <w:keepLines/>
              <w:jc w:val="center"/>
            </w:pPr>
            <w:r w:rsidRPr="00552B0C">
              <w:t>NA</w:t>
            </w:r>
          </w:p>
        </w:tc>
      </w:tr>
      <w:tr w:rsidR="00091D2A" w:rsidRPr="00552B0C" w14:paraId="7B4505AC" w14:textId="77777777">
        <w:trPr>
          <w:cantSplit/>
        </w:trPr>
        <w:tc>
          <w:tcPr>
            <w:tcW w:w="5000" w:type="pct"/>
            <w:gridSpan w:val="7"/>
            <w:shd w:val="clear" w:color="auto" w:fill="B8CCE4" w:themeFill="accent1" w:themeFillTint="66"/>
            <w:vAlign w:val="center"/>
          </w:tcPr>
          <w:p w14:paraId="33A5D0B9" w14:textId="77777777" w:rsidR="00091D2A" w:rsidRPr="00552B0C" w:rsidRDefault="00091D2A" w:rsidP="000D5DFD">
            <w:pPr>
              <w:pStyle w:val="In-tableHeading"/>
              <w:keepLines/>
            </w:pPr>
            <w:r w:rsidRPr="00552B0C">
              <w:t>FOLFIRINOX vs Gemcitabine</w:t>
            </w:r>
          </w:p>
        </w:tc>
      </w:tr>
      <w:tr w:rsidR="00091D2A" w:rsidRPr="00552B0C" w14:paraId="197C8FF3" w14:textId="77777777">
        <w:trPr>
          <w:cantSplit/>
        </w:trPr>
        <w:tc>
          <w:tcPr>
            <w:tcW w:w="625" w:type="pct"/>
            <w:shd w:val="clear" w:color="auto" w:fill="B8CCE4" w:themeFill="accent1" w:themeFillTint="66"/>
            <w:vAlign w:val="center"/>
          </w:tcPr>
          <w:p w14:paraId="21F787BB" w14:textId="77777777" w:rsidR="00091D2A" w:rsidRPr="00552B0C" w:rsidRDefault="00091D2A" w:rsidP="000D5DFD">
            <w:pPr>
              <w:pStyle w:val="Tabletext"/>
              <w:keepNext/>
              <w:keepLines/>
            </w:pPr>
            <w:r w:rsidRPr="00552B0C">
              <w:t>PRODIGE4</w:t>
            </w:r>
          </w:p>
        </w:tc>
        <w:tc>
          <w:tcPr>
            <w:tcW w:w="314" w:type="pct"/>
            <w:shd w:val="clear" w:color="auto" w:fill="B8CCE4" w:themeFill="accent1" w:themeFillTint="66"/>
            <w:vAlign w:val="center"/>
          </w:tcPr>
          <w:p w14:paraId="301EC84F" w14:textId="77777777" w:rsidR="00091D2A" w:rsidRPr="00552B0C" w:rsidRDefault="00091D2A" w:rsidP="000D5DFD">
            <w:pPr>
              <w:pStyle w:val="Tabletext"/>
              <w:keepNext/>
              <w:keepLines/>
              <w:jc w:val="center"/>
            </w:pPr>
            <w:r w:rsidRPr="00552B0C">
              <w:t>342</w:t>
            </w:r>
          </w:p>
        </w:tc>
        <w:tc>
          <w:tcPr>
            <w:tcW w:w="1340" w:type="pct"/>
            <w:shd w:val="clear" w:color="auto" w:fill="B8CCE4" w:themeFill="accent1" w:themeFillTint="66"/>
            <w:vAlign w:val="center"/>
          </w:tcPr>
          <w:p w14:paraId="27F73B18" w14:textId="77777777" w:rsidR="00091D2A" w:rsidRPr="00552B0C" w:rsidRDefault="00091D2A" w:rsidP="000D5DFD">
            <w:pPr>
              <w:pStyle w:val="Tabletext"/>
              <w:keepNext/>
              <w:keepLines/>
              <w:jc w:val="center"/>
              <w:rPr>
                <w:lang w:val="pt-PT"/>
              </w:rPr>
            </w:pPr>
            <w:r w:rsidRPr="00552B0C">
              <w:rPr>
                <w:lang w:val="pt-PT"/>
              </w:rPr>
              <w:t>R, OL, MC (France), phase 2/3</w:t>
            </w:r>
          </w:p>
          <w:p w14:paraId="52A2CAA1" w14:textId="77777777" w:rsidR="00091D2A" w:rsidRPr="00552B0C" w:rsidRDefault="00091D2A" w:rsidP="000D5DFD">
            <w:pPr>
              <w:pStyle w:val="Tabletext"/>
              <w:keepNext/>
              <w:keepLines/>
              <w:jc w:val="center"/>
              <w:rPr>
                <w:lang w:val="pt-PT"/>
              </w:rPr>
            </w:pPr>
            <w:r w:rsidRPr="00552B0C">
              <w:rPr>
                <w:lang w:val="pt-PT"/>
              </w:rPr>
              <w:t>FOLFIRINOX &amp; Gem</w:t>
            </w:r>
          </w:p>
          <w:p w14:paraId="4A446432" w14:textId="77777777" w:rsidR="00091D2A" w:rsidRPr="00552B0C" w:rsidRDefault="00091D2A" w:rsidP="000D5DFD">
            <w:pPr>
              <w:pStyle w:val="Tabletext"/>
              <w:keepNext/>
              <w:keepLines/>
              <w:jc w:val="center"/>
            </w:pPr>
            <w:r w:rsidRPr="00552B0C">
              <w:t>26.6 months</w:t>
            </w:r>
          </w:p>
        </w:tc>
        <w:tc>
          <w:tcPr>
            <w:tcW w:w="564" w:type="pct"/>
            <w:shd w:val="clear" w:color="auto" w:fill="B8CCE4" w:themeFill="accent1" w:themeFillTint="66"/>
            <w:vAlign w:val="center"/>
          </w:tcPr>
          <w:p w14:paraId="3CC4A69C" w14:textId="77777777" w:rsidR="00091D2A" w:rsidRPr="00552B0C" w:rsidRDefault="00091D2A" w:rsidP="000D5DFD">
            <w:pPr>
              <w:pStyle w:val="Tabletext"/>
              <w:keepNext/>
              <w:keepLines/>
              <w:jc w:val="center"/>
            </w:pPr>
            <w:r w:rsidRPr="00552B0C">
              <w:t>Some concerns</w:t>
            </w:r>
          </w:p>
        </w:tc>
        <w:tc>
          <w:tcPr>
            <w:tcW w:w="1007" w:type="pct"/>
            <w:shd w:val="clear" w:color="auto" w:fill="B8CCE4" w:themeFill="accent1" w:themeFillTint="66"/>
            <w:vAlign w:val="center"/>
          </w:tcPr>
          <w:p w14:paraId="5F387D58" w14:textId="77777777" w:rsidR="00091D2A" w:rsidRPr="00552B0C" w:rsidRDefault="00091D2A" w:rsidP="000D5DFD">
            <w:pPr>
              <w:pStyle w:val="Tabletext"/>
              <w:keepNext/>
              <w:keepLines/>
              <w:jc w:val="center"/>
            </w:pPr>
            <w:r w:rsidRPr="00552B0C">
              <w:t>mPAC not previously treated with chemotherapy</w:t>
            </w:r>
          </w:p>
        </w:tc>
        <w:tc>
          <w:tcPr>
            <w:tcW w:w="630" w:type="pct"/>
            <w:shd w:val="clear" w:color="auto" w:fill="B8CCE4" w:themeFill="accent1" w:themeFillTint="66"/>
            <w:vAlign w:val="center"/>
          </w:tcPr>
          <w:p w14:paraId="152D8E89" w14:textId="77777777" w:rsidR="00091D2A" w:rsidRPr="00552B0C" w:rsidRDefault="00091D2A" w:rsidP="000D5DFD">
            <w:pPr>
              <w:pStyle w:val="Tabletext"/>
              <w:keepNext/>
              <w:keepLines/>
              <w:jc w:val="center"/>
            </w:pPr>
            <w:r w:rsidRPr="00552B0C">
              <w:t>OS, PFS, ORR, Safety</w:t>
            </w:r>
          </w:p>
        </w:tc>
        <w:tc>
          <w:tcPr>
            <w:tcW w:w="520" w:type="pct"/>
            <w:shd w:val="clear" w:color="auto" w:fill="B8CCE4" w:themeFill="accent1" w:themeFillTint="66"/>
            <w:vAlign w:val="center"/>
          </w:tcPr>
          <w:p w14:paraId="0FC1D106" w14:textId="77777777" w:rsidR="00091D2A" w:rsidRPr="00552B0C" w:rsidRDefault="00091D2A" w:rsidP="000D5DFD">
            <w:pPr>
              <w:pStyle w:val="Tabletext"/>
              <w:keepNext/>
              <w:keepLines/>
              <w:jc w:val="center"/>
              <w:rPr>
                <w:vertAlign w:val="superscript"/>
              </w:rPr>
            </w:pPr>
            <w:r w:rsidRPr="00552B0C">
              <w:t>NA</w:t>
            </w:r>
          </w:p>
        </w:tc>
      </w:tr>
    </w:tbl>
    <w:p w14:paraId="5AAB1CAA" w14:textId="77777777" w:rsidR="00091D2A" w:rsidRPr="00552B0C" w:rsidRDefault="00091D2A" w:rsidP="006C554D">
      <w:pPr>
        <w:pStyle w:val="TableFigureFooter"/>
      </w:pPr>
      <w:r w:rsidRPr="00552B0C">
        <w:t>Source: Table 2.2, p19 of the resubmission.</w:t>
      </w:r>
    </w:p>
    <w:p w14:paraId="71779938" w14:textId="310514F1" w:rsidR="00091D2A" w:rsidRPr="00552B0C" w:rsidRDefault="00091D2A" w:rsidP="006C554D">
      <w:pPr>
        <w:pStyle w:val="TableFigureFooter"/>
      </w:pPr>
      <w:r w:rsidRPr="00552B0C">
        <w:t>Abbreviations: FOLFIRINOX,</w:t>
      </w:r>
      <w:r w:rsidR="008D0998">
        <w:t xml:space="preserve"> </w:t>
      </w:r>
      <w:r w:rsidRPr="00552B0C">
        <w:t>5-fluorouracil, folinic acid, irinotecan and oxaliplatin; Gem+NabP = gemcitabine, nab-paclitaxel; HRQoL, health-related quality of life; MC,</w:t>
      </w:r>
      <w:r w:rsidR="008D0998">
        <w:t xml:space="preserve"> </w:t>
      </w:r>
      <w:r w:rsidRPr="00552B0C">
        <w:t>multicentre; MN,</w:t>
      </w:r>
      <w:r w:rsidR="008D0998">
        <w:t xml:space="preserve"> </w:t>
      </w:r>
      <w:r w:rsidRPr="00552B0C">
        <w:t>multinational; mPAC,</w:t>
      </w:r>
      <w:r w:rsidR="008D0998">
        <w:t xml:space="preserve"> </w:t>
      </w:r>
      <w:r w:rsidRPr="00552B0C">
        <w:t>metastatic pancreatic adenocarcinoma; NA, not applicable; NALIRIFOX, 5-fluorouracil, folinic acid, nanoliposomal irinotecan (nal-IRI), and oxaliplatin; NR, not reported; OL, open-label; ORR,</w:t>
      </w:r>
      <w:r w:rsidR="008D0998">
        <w:t xml:space="preserve"> </w:t>
      </w:r>
      <w:r w:rsidRPr="00552B0C">
        <w:t>objective response rate; OS, overall survival; PFS,</w:t>
      </w:r>
      <w:r w:rsidR="008D0998">
        <w:t xml:space="preserve"> </w:t>
      </w:r>
      <w:r w:rsidRPr="00552B0C">
        <w:t>progression-free survival; R, randomised; S-IROX,</w:t>
      </w:r>
      <w:r w:rsidR="008D0998">
        <w:t xml:space="preserve"> </w:t>
      </w:r>
      <w:r w:rsidRPr="00552B0C">
        <w:t>S-1, irinotecan, and oxaliplatin.</w:t>
      </w:r>
    </w:p>
    <w:p w14:paraId="143DF607" w14:textId="1C786848" w:rsidR="00091D2A" w:rsidRPr="00552B0C" w:rsidRDefault="00091D2A" w:rsidP="006C554D">
      <w:pPr>
        <w:pStyle w:val="TableFigureFooter"/>
      </w:pPr>
      <w:r w:rsidRPr="00552B0C">
        <w:rPr>
          <w:vertAlign w:val="superscript"/>
        </w:rPr>
        <w:t>a</w:t>
      </w:r>
      <w:r w:rsidRPr="00552B0C">
        <w:t xml:space="preserve"> The overall risk of bias for the GENERATE trial is of at least some concerns because there were some concerns about the risk of attrition bias, however, the risk of reporting bias remains unclear as the outcome evidence presented in this resubmission was based on an abstract and presentation slides that lack sufficient details. </w:t>
      </w:r>
    </w:p>
    <w:p w14:paraId="2814279C" w14:textId="77777777" w:rsidR="00091D2A" w:rsidRPr="00552B0C" w:rsidRDefault="00091D2A" w:rsidP="006C554D">
      <w:pPr>
        <w:pStyle w:val="TableFigureFooter"/>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 </w:t>
      </w:r>
    </w:p>
    <w:p w14:paraId="284066F0" w14:textId="77777777" w:rsidR="00091D2A" w:rsidRPr="00552B0C" w:rsidRDefault="00091D2A" w:rsidP="00552B0C">
      <w:pPr>
        <w:pStyle w:val="3-BodyText"/>
        <w:numPr>
          <w:ilvl w:val="1"/>
          <w:numId w:val="5"/>
        </w:numPr>
      </w:pPr>
      <w:r w:rsidRPr="00552B0C">
        <w:rPr>
          <w:shd w:val="clear" w:color="auto" w:fill="FFFFFF" w:themeFill="background1"/>
        </w:rPr>
        <w:t>The</w:t>
      </w:r>
      <w:r w:rsidRPr="00552B0C">
        <w:t xml:space="preserve"> NAPOLI-3, MPACT, and ACCORD11/PRODIGE4 were considered to have an overall risk of some concerns due to risk of detection bias and attrition bias (para 6.9, irinotecan (nanoliposomal), PSD, March 2024 PBAC meeting). This remains unchanged. </w:t>
      </w:r>
    </w:p>
    <w:p w14:paraId="49B9C1CE" w14:textId="7CAE1D13" w:rsidR="00091D2A" w:rsidRPr="00552B0C" w:rsidRDefault="00091D2A" w:rsidP="00552B0C">
      <w:pPr>
        <w:pStyle w:val="3-BodyText"/>
        <w:numPr>
          <w:ilvl w:val="1"/>
          <w:numId w:val="5"/>
        </w:numPr>
      </w:pPr>
      <w:bookmarkStart w:id="34" w:name="_Ref176769177"/>
      <w:r w:rsidRPr="00552B0C">
        <w:t xml:space="preserve">Discontinuation was high in the GENERATE trial (85.7% FOLFIRINOX and 81.2% Gem+NabP with a higher proportion of patients discontinuing due to AEs with FOLFIRINOX [34.3% vs 23.9% for Gem+NabP]) before early trial termination (Ohba et al. 2023). </w:t>
      </w:r>
      <w:r w:rsidR="00CC1DE6" w:rsidRPr="00552B0C">
        <w:t>This would lead to some concerns</w:t>
      </w:r>
      <w:r w:rsidRPr="00552B0C">
        <w:t xml:space="preserve"> </w:t>
      </w:r>
      <w:r w:rsidR="00724B2A" w:rsidRPr="00552B0C">
        <w:t>in reporting bias. Further, the</w:t>
      </w:r>
      <w:r w:rsidR="005A5F89" w:rsidRPr="00552B0C">
        <w:t xml:space="preserve"> </w:t>
      </w:r>
      <w:r w:rsidRPr="00552B0C">
        <w:t xml:space="preserve">characteristics of these patients were not provided, and this raises some concerns about the risk of attrition bias. </w:t>
      </w:r>
      <w:bookmarkEnd w:id="34"/>
    </w:p>
    <w:p w14:paraId="764CD3A6" w14:textId="1300BE5E" w:rsidR="00091D2A" w:rsidRPr="00552B0C" w:rsidRDefault="00091D2A" w:rsidP="4E6EDD58">
      <w:pPr>
        <w:pStyle w:val="3-BodyText"/>
      </w:pPr>
      <w:bookmarkStart w:id="35" w:name="_Ref156383412"/>
      <w:bookmarkStart w:id="36" w:name="_Ref176769180"/>
      <w:r w:rsidRPr="00552B0C">
        <w:t xml:space="preserve">The following differences in the inclusion criteria, baseline characteristics, study design and setting between the NAPOLI-3 and GENERATE trials were identified, </w:t>
      </w:r>
      <w:bookmarkStart w:id="37" w:name="_Hlk184130588"/>
      <w:r w:rsidRPr="00552B0C">
        <w:t>which raises concerns regarding the</w:t>
      </w:r>
      <w:r w:rsidR="5B297AAA" w:rsidRPr="00552B0C">
        <w:t xml:space="preserve"> exchangeability of the trials and</w:t>
      </w:r>
      <w:r w:rsidRPr="00552B0C">
        <w:t xml:space="preserve"> </w:t>
      </w:r>
      <w:r w:rsidR="4F7D516C" w:rsidRPr="00552B0C">
        <w:t>robustness</w:t>
      </w:r>
      <w:r w:rsidRPr="00552B0C">
        <w:t xml:space="preserve"> of the indirect comparison</w:t>
      </w:r>
      <w:r w:rsidR="6DADAF9F" w:rsidRPr="00552B0C">
        <w:t>s</w:t>
      </w:r>
      <w:r w:rsidRPr="00552B0C">
        <w:t xml:space="preserve"> performed</w:t>
      </w:r>
      <w:bookmarkEnd w:id="35"/>
      <w:r w:rsidRPr="00552B0C">
        <w:t xml:space="preserve"> in the resubmission.</w:t>
      </w:r>
      <w:bookmarkEnd w:id="36"/>
      <w:r w:rsidRPr="00552B0C">
        <w:t xml:space="preserve"> </w:t>
      </w:r>
      <w:bookmarkEnd w:id="37"/>
    </w:p>
    <w:p w14:paraId="7C608302" w14:textId="77777777" w:rsidR="00091D2A" w:rsidRPr="00552B0C" w:rsidRDefault="00091D2A" w:rsidP="006C554D">
      <w:pPr>
        <w:pStyle w:val="ListBullet"/>
        <w:numPr>
          <w:ilvl w:val="0"/>
          <w:numId w:val="12"/>
        </w:numPr>
        <w:spacing w:after="120"/>
        <w:ind w:hanging="357"/>
      </w:pPr>
      <w:r w:rsidRPr="00552B0C">
        <w:t>The GENERATE trial was a single country study with all study sites located in Japan, while the NAPOLI-3 trial was a multinational study with study sites across North America, South America, Europe, Asia, Israel and Australia.</w:t>
      </w:r>
    </w:p>
    <w:p w14:paraId="1D8EDFBC" w14:textId="77777777" w:rsidR="00091D2A" w:rsidRPr="00552B0C" w:rsidRDefault="00091D2A" w:rsidP="006C554D">
      <w:pPr>
        <w:pStyle w:val="ListParagraph"/>
        <w:numPr>
          <w:ilvl w:val="0"/>
          <w:numId w:val="12"/>
        </w:numPr>
      </w:pPr>
      <w:r w:rsidRPr="00552B0C">
        <w:lastRenderedPageBreak/>
        <w:t>Patients in the GENERATE trial tended to be older (56.4% over 65 years) than those in the NAPOLI-3 trial (50% over 65 years).</w:t>
      </w:r>
    </w:p>
    <w:p w14:paraId="0D29FA74" w14:textId="77777777" w:rsidR="00091D2A" w:rsidRPr="00552B0C" w:rsidRDefault="00091D2A" w:rsidP="006C554D">
      <w:pPr>
        <w:pStyle w:val="ListParagraph"/>
        <w:numPr>
          <w:ilvl w:val="0"/>
          <w:numId w:val="12"/>
        </w:numPr>
        <w:ind w:hanging="357"/>
      </w:pPr>
      <w:r w:rsidRPr="00552B0C">
        <w:t>A small proportion of patients of Asian heritage (4.9%) were included in the NAPOLI-3 trial while all patients (100%) of the GENERATE trial were of Asian heritage. Asian heritage has been associated with longer overall survival for PAC compared to non-Asian heritage and this may be due to genetic and molecular differences (e.g., different KRAS genes and p53 gene expression).</w:t>
      </w:r>
      <w:r w:rsidRPr="00552B0C">
        <w:rPr>
          <w:rStyle w:val="FootnoteReference"/>
        </w:rPr>
        <w:footnoteReference w:id="18"/>
      </w:r>
      <w:r w:rsidRPr="00552B0C">
        <w:t xml:space="preserve"> </w:t>
      </w:r>
      <w:r w:rsidRPr="00552B0C">
        <w:rPr>
          <w:rStyle w:val="FootnoteReference"/>
        </w:rPr>
        <w:footnoteReference w:id="19"/>
      </w:r>
      <w:r w:rsidRPr="00552B0C">
        <w:t xml:space="preserve"> </w:t>
      </w:r>
    </w:p>
    <w:p w14:paraId="1E79EEBD" w14:textId="77777777" w:rsidR="00091D2A" w:rsidRPr="00552B0C" w:rsidRDefault="00091D2A" w:rsidP="006C554D">
      <w:pPr>
        <w:pStyle w:val="ListParagraph"/>
        <w:numPr>
          <w:ilvl w:val="0"/>
          <w:numId w:val="12"/>
        </w:numPr>
        <w:ind w:hanging="357"/>
      </w:pPr>
      <w:r w:rsidRPr="00552B0C">
        <w:t>Patients in the GENERATE trial had a better performance status (ECOG PS 0) than patients in the NAPOLI-3 trial (67.2% vs 44%).</w:t>
      </w:r>
    </w:p>
    <w:p w14:paraId="46C87DC9" w14:textId="77777777" w:rsidR="00091D2A" w:rsidRPr="00552B0C" w:rsidRDefault="00091D2A" w:rsidP="006C554D">
      <w:pPr>
        <w:pStyle w:val="ListParagraph"/>
        <w:numPr>
          <w:ilvl w:val="0"/>
          <w:numId w:val="12"/>
        </w:numPr>
        <w:ind w:hanging="357"/>
      </w:pPr>
      <w:r w:rsidRPr="00552B0C">
        <w:t xml:space="preserve">The proportion of patients who had liver metastases was higher in the NAPOLI-3 trial (80.3%) compared with GENERATE trial (68.7%). </w:t>
      </w:r>
    </w:p>
    <w:p w14:paraId="148E598B" w14:textId="77777777" w:rsidR="00091D2A" w:rsidRPr="00552B0C" w:rsidRDefault="00091D2A" w:rsidP="006C554D">
      <w:pPr>
        <w:pStyle w:val="ListParagraph"/>
        <w:numPr>
          <w:ilvl w:val="0"/>
          <w:numId w:val="12"/>
        </w:numPr>
        <w:ind w:hanging="357"/>
      </w:pPr>
      <w:r w:rsidRPr="00552B0C">
        <w:t xml:space="preserve">The proportion of patients who had </w:t>
      </w:r>
      <w:r w:rsidRPr="00552B0C">
        <w:rPr>
          <w:rStyle w:val="normaltextrun"/>
          <w:rFonts w:cstheme="minorHAnsi"/>
        </w:rPr>
        <w:t>≥</w:t>
      </w:r>
      <w:r w:rsidRPr="00552B0C">
        <w:rPr>
          <w:rStyle w:val="normaltextrun"/>
        </w:rPr>
        <w:t xml:space="preserve">2 </w:t>
      </w:r>
      <w:r w:rsidRPr="00552B0C">
        <w:t xml:space="preserve">metastatic sites at baseline was higher in the NAPOLI-3 trial compared to the GENERATE trial (67.3% vs 37.6%). </w:t>
      </w:r>
      <w:r w:rsidRPr="00552B0C">
        <w:rPr>
          <w:lang w:val="en-US"/>
        </w:rPr>
        <w:t>The number of metastatic sites has been found to be an independent prognostic factor for OS in patients with mPAC.</w:t>
      </w:r>
      <w:r w:rsidRPr="00552B0C">
        <w:t> </w:t>
      </w:r>
      <w:r w:rsidRPr="00552B0C">
        <w:rPr>
          <w:rStyle w:val="FootnoteReference"/>
        </w:rPr>
        <w:footnoteReference w:id="20"/>
      </w:r>
    </w:p>
    <w:p w14:paraId="340DF4F3" w14:textId="27226471" w:rsidR="00091D2A" w:rsidRPr="00552B0C" w:rsidRDefault="00091D2A" w:rsidP="006C554D">
      <w:pPr>
        <w:pStyle w:val="ListParagraph"/>
        <w:numPr>
          <w:ilvl w:val="0"/>
          <w:numId w:val="12"/>
        </w:numPr>
        <w:rPr>
          <w:rStyle w:val="normaltextrun"/>
        </w:rPr>
      </w:pPr>
      <w:r w:rsidRPr="00552B0C">
        <w:t>A higher proportion of patients with cancer antigen 19-9 (CA 19-9) levels ≥</w:t>
      </w:r>
      <w:r w:rsidR="006C554D">
        <w:t> </w:t>
      </w:r>
      <w:r w:rsidRPr="00552B0C">
        <w:t>37</w:t>
      </w:r>
      <w:r w:rsidR="006C554D">
        <w:t> </w:t>
      </w:r>
      <w:r w:rsidRPr="00552B0C">
        <w:t xml:space="preserve">units/mL in the NAPOLI-3 than in the GENERATE trial (83% vs 79.5%). Elevated levels of CA19-9 have been associated with reduced survival for PAC. </w:t>
      </w:r>
      <w:r w:rsidRPr="00552B0C">
        <w:rPr>
          <w:rStyle w:val="FootnoteReference"/>
        </w:rPr>
        <w:footnoteReference w:id="21"/>
      </w:r>
      <w:r w:rsidRPr="00552B0C">
        <w:t xml:space="preserve"> </w:t>
      </w:r>
      <w:r w:rsidRPr="00552B0C">
        <w:rPr>
          <w:rStyle w:val="FootnoteReference"/>
        </w:rPr>
        <w:footnoteReference w:id="22"/>
      </w:r>
      <w:r w:rsidRPr="00552B0C">
        <w:t xml:space="preserve"> </w:t>
      </w:r>
      <w:r w:rsidRPr="00552B0C">
        <w:rPr>
          <w:rStyle w:val="FootnoteReference"/>
        </w:rPr>
        <w:footnoteReference w:id="23"/>
      </w:r>
    </w:p>
    <w:p w14:paraId="167AE4BF" w14:textId="7719F365" w:rsidR="00091D2A" w:rsidRPr="00552B0C" w:rsidRDefault="00091D2A" w:rsidP="4E6EDD58">
      <w:pPr>
        <w:pStyle w:val="3-BodyText"/>
      </w:pPr>
      <w:r w:rsidRPr="00552B0C">
        <w:t>The resubmission noted that</w:t>
      </w:r>
      <w:r w:rsidR="2F3A644A" w:rsidRPr="00552B0C">
        <w:t xml:space="preserve"> characteristics including</w:t>
      </w:r>
      <w:r w:rsidRPr="00552B0C">
        <w:t xml:space="preserve"> age over 65 years, high performance status and the presence of liver metastases were found to be independent prognostic factors of poor outcomes in mPAC. The combined impact of the identified differences and prognostic factors on observed outcomes are uncertain.</w:t>
      </w:r>
      <w:r w:rsidR="0042364A" w:rsidRPr="00552B0C">
        <w:t xml:space="preserve"> The PSCR</w:t>
      </w:r>
      <w:r w:rsidR="00263688" w:rsidRPr="00552B0C">
        <w:t xml:space="preserve"> </w:t>
      </w:r>
      <w:r w:rsidR="0042364A" w:rsidRPr="00552B0C">
        <w:t>highlighted results from a subgroup analysis of OS from the NAPOLI-3 trial presented in the resubmission which showed that the OS hazard ratio (HR) favoured NALIRIFOX over Gem+NabP in all subgroups, including those aged ≥65 years (vs &lt;</w:t>
      </w:r>
      <w:r w:rsidR="004D052C">
        <w:t> </w:t>
      </w:r>
      <w:r w:rsidR="0042364A" w:rsidRPr="00552B0C">
        <w:t>65</w:t>
      </w:r>
      <w:r w:rsidR="004D052C">
        <w:t> </w:t>
      </w:r>
      <w:r w:rsidR="0042364A" w:rsidRPr="00552B0C">
        <w:t>years) and those with ECOG PS of 1 (vs 0) (Figure 1 of the PSCR).</w:t>
      </w:r>
    </w:p>
    <w:p w14:paraId="03A63E65" w14:textId="34BB78EB" w:rsidR="00091D2A" w:rsidRPr="00552B0C" w:rsidRDefault="00091D2A" w:rsidP="00552B0C">
      <w:pPr>
        <w:pStyle w:val="3-BodyText"/>
        <w:numPr>
          <w:ilvl w:val="1"/>
          <w:numId w:val="5"/>
        </w:numPr>
        <w:rPr>
          <w:color w:val="0066FF"/>
        </w:rPr>
      </w:pPr>
      <w:r w:rsidRPr="00552B0C">
        <w:lastRenderedPageBreak/>
        <w:t xml:space="preserve">A key difference between the NALIRIFOX and FOLFIRINOX regimens across the trials were the doses used. </w:t>
      </w:r>
      <w:r w:rsidRPr="00552B0C">
        <w:rPr>
          <w:lang w:val="pt-PT"/>
        </w:rPr>
        <w:fldChar w:fldCharType="begin" w:fldLock="1"/>
      </w:r>
      <w:r w:rsidRPr="00552B0C">
        <w:instrText xml:space="preserve"> REF _Ref176355552 \h </w:instrText>
      </w:r>
      <w:r w:rsidR="00B87FAE" w:rsidRPr="00E936B6">
        <w:instrText xml:space="preserve"> \* MERGEFORMAT </w:instrText>
      </w:r>
      <w:r w:rsidRPr="00552B0C">
        <w:rPr>
          <w:lang w:val="pt-PT"/>
        </w:rPr>
      </w:r>
      <w:r w:rsidRPr="00552B0C">
        <w:rPr>
          <w:lang w:val="pt-PT"/>
        </w:rPr>
        <w:fldChar w:fldCharType="separate"/>
      </w:r>
      <w:r w:rsidR="001C19B6" w:rsidRPr="00552B0C">
        <w:t xml:space="preserve">Table </w:t>
      </w:r>
      <w:r w:rsidR="001C19B6">
        <w:rPr>
          <w:noProof/>
        </w:rPr>
        <w:t>5</w:t>
      </w:r>
      <w:r w:rsidRPr="00552B0C">
        <w:rPr>
          <w:lang w:val="pt-PT"/>
        </w:rPr>
        <w:fldChar w:fldCharType="end"/>
      </w:r>
      <w:r w:rsidRPr="00552B0C">
        <w:t xml:space="preserve"> summarises the dosages of drugs used in FOLFIRINOX and NALIRIFOX regimens in the clinical trials, as well as recommended dosing of FOLFIRINOX in Australia and the proposed dosing for NALIRIFOX presented in the </w:t>
      </w:r>
      <w:r w:rsidR="007D1687" w:rsidRPr="00552B0C">
        <w:t>re</w:t>
      </w:r>
      <w:r w:rsidRPr="00552B0C">
        <w:t>submission.</w:t>
      </w:r>
    </w:p>
    <w:p w14:paraId="1BB4555A" w14:textId="0C547704" w:rsidR="00091D2A" w:rsidRPr="00552B0C" w:rsidRDefault="00091D2A" w:rsidP="00091D2A">
      <w:pPr>
        <w:pStyle w:val="Caption"/>
      </w:pPr>
      <w:bookmarkStart w:id="38" w:name="_Ref176355552"/>
      <w:r w:rsidRPr="00552B0C">
        <w:t xml:space="preserve">Table </w:t>
      </w:r>
      <w:r w:rsidR="001C19B6">
        <w:fldChar w:fldCharType="begin" w:fldLock="1"/>
      </w:r>
      <w:r w:rsidR="001C19B6">
        <w:instrText xml:space="preserve"> SEQ Table \* ARABIC </w:instrText>
      </w:r>
      <w:r w:rsidR="001C19B6">
        <w:fldChar w:fldCharType="separate"/>
      </w:r>
      <w:r w:rsidR="001C19B6">
        <w:rPr>
          <w:noProof/>
        </w:rPr>
        <w:t>5</w:t>
      </w:r>
      <w:r w:rsidR="001C19B6">
        <w:rPr>
          <w:noProof/>
        </w:rPr>
        <w:fldChar w:fldCharType="end"/>
      </w:r>
      <w:bookmarkEnd w:id="38"/>
      <w:r w:rsidRPr="00552B0C">
        <w:t>: Summary of NALIRIFOX and FOLFIRINOX regimens proposed in the resubmission and used in the different trials and in Australia.</w:t>
      </w:r>
    </w:p>
    <w:tbl>
      <w:tblPr>
        <w:tblStyle w:val="TableGrid"/>
        <w:tblW w:w="5000" w:type="pct"/>
        <w:tblLayout w:type="fixed"/>
        <w:tblLook w:val="04A0" w:firstRow="1" w:lastRow="0" w:firstColumn="1" w:lastColumn="0" w:noHBand="0" w:noVBand="1"/>
        <w:tblCaption w:val="Table 5: Summary of NALIRIFOX and FOLFIRINOX regimens proposed in the resubmission and used in the different trials and in Australia."/>
      </w:tblPr>
      <w:tblGrid>
        <w:gridCol w:w="1256"/>
        <w:gridCol w:w="1553"/>
        <w:gridCol w:w="1553"/>
        <w:gridCol w:w="1553"/>
        <w:gridCol w:w="1553"/>
        <w:gridCol w:w="1549"/>
      </w:tblGrid>
      <w:tr w:rsidR="00091D2A" w:rsidRPr="00552B0C" w14:paraId="0BC6598B" w14:textId="77777777">
        <w:trPr>
          <w:trHeight w:val="300"/>
        </w:trPr>
        <w:tc>
          <w:tcPr>
            <w:tcW w:w="696" w:type="pct"/>
            <w:tcMar>
              <w:left w:w="108" w:type="dxa"/>
              <w:right w:w="108" w:type="dxa"/>
            </w:tcMar>
          </w:tcPr>
          <w:p w14:paraId="703B1B0F" w14:textId="77777777" w:rsidR="00091D2A" w:rsidRPr="00552B0C" w:rsidRDefault="00091D2A">
            <w:pPr>
              <w:pStyle w:val="In-tableHeading"/>
            </w:pPr>
            <w:r w:rsidRPr="00552B0C">
              <w:t>Component</w:t>
            </w:r>
          </w:p>
        </w:tc>
        <w:tc>
          <w:tcPr>
            <w:tcW w:w="861" w:type="pct"/>
            <w:tcMar>
              <w:left w:w="108" w:type="dxa"/>
              <w:right w:w="108" w:type="dxa"/>
            </w:tcMar>
          </w:tcPr>
          <w:p w14:paraId="268A0596" w14:textId="77777777" w:rsidR="00091D2A" w:rsidRPr="00552B0C" w:rsidRDefault="00091D2A">
            <w:pPr>
              <w:pStyle w:val="In-tableHeading"/>
              <w:jc w:val="center"/>
            </w:pPr>
            <w:r w:rsidRPr="00552B0C">
              <w:t>FOLFIRINOX</w:t>
            </w:r>
          </w:p>
          <w:p w14:paraId="18051E24" w14:textId="77777777" w:rsidR="00091D2A" w:rsidRPr="00552B0C" w:rsidRDefault="00091D2A">
            <w:pPr>
              <w:pStyle w:val="In-tableHeading"/>
              <w:jc w:val="center"/>
              <w:rPr>
                <w:vertAlign w:val="superscript"/>
              </w:rPr>
            </w:pPr>
            <w:r w:rsidRPr="00552B0C">
              <w:t>(ACCORD11/ PRODIGE4 trial)</w:t>
            </w:r>
            <w:r w:rsidRPr="00552B0C">
              <w:rPr>
                <w:vertAlign w:val="superscript"/>
              </w:rPr>
              <w:t>a</w:t>
            </w:r>
          </w:p>
        </w:tc>
        <w:tc>
          <w:tcPr>
            <w:tcW w:w="861" w:type="pct"/>
            <w:tcMar>
              <w:left w:w="108" w:type="dxa"/>
              <w:right w:w="108" w:type="dxa"/>
            </w:tcMar>
          </w:tcPr>
          <w:p w14:paraId="17620BF8" w14:textId="77777777" w:rsidR="00091D2A" w:rsidRPr="00552B0C" w:rsidRDefault="00091D2A">
            <w:pPr>
              <w:pStyle w:val="In-tableHeading"/>
              <w:jc w:val="center"/>
            </w:pPr>
            <w:r w:rsidRPr="00552B0C">
              <w:t>mFOLFIRINOX</w:t>
            </w:r>
          </w:p>
          <w:p w14:paraId="2771E81C" w14:textId="77777777" w:rsidR="00091D2A" w:rsidRPr="00552B0C" w:rsidRDefault="00091D2A">
            <w:pPr>
              <w:pStyle w:val="In-tableHeading"/>
              <w:jc w:val="center"/>
              <w:rPr>
                <w:vertAlign w:val="superscript"/>
              </w:rPr>
            </w:pPr>
            <w:r w:rsidRPr="00552B0C">
              <w:t>(GENERATE trial)</w:t>
            </w:r>
            <w:r w:rsidRPr="00552B0C">
              <w:rPr>
                <w:vertAlign w:val="superscript"/>
              </w:rPr>
              <w:t>b</w:t>
            </w:r>
          </w:p>
        </w:tc>
        <w:tc>
          <w:tcPr>
            <w:tcW w:w="861" w:type="pct"/>
            <w:tcMar>
              <w:left w:w="108" w:type="dxa"/>
              <w:right w:w="108" w:type="dxa"/>
            </w:tcMar>
          </w:tcPr>
          <w:p w14:paraId="57E24ACB" w14:textId="77777777" w:rsidR="00091D2A" w:rsidRPr="00552B0C" w:rsidRDefault="00091D2A">
            <w:pPr>
              <w:pStyle w:val="In-tableHeading"/>
              <w:jc w:val="center"/>
            </w:pPr>
            <w:r w:rsidRPr="00552B0C">
              <w:t>mFOLFIRINOX</w:t>
            </w:r>
          </w:p>
          <w:p w14:paraId="1F5C38AC" w14:textId="77777777" w:rsidR="00091D2A" w:rsidRPr="00552B0C" w:rsidRDefault="00091D2A">
            <w:pPr>
              <w:pStyle w:val="In-tableHeading"/>
              <w:jc w:val="center"/>
            </w:pPr>
            <w:r w:rsidRPr="00552B0C">
              <w:t>(Recommended</w:t>
            </w:r>
          </w:p>
          <w:p w14:paraId="2FF6D9AE" w14:textId="77777777" w:rsidR="00091D2A" w:rsidRPr="00552B0C" w:rsidRDefault="00091D2A">
            <w:pPr>
              <w:pStyle w:val="In-tableHeading"/>
              <w:jc w:val="center"/>
            </w:pPr>
            <w:r w:rsidRPr="00552B0C">
              <w:t>in Australia)</w:t>
            </w:r>
          </w:p>
        </w:tc>
        <w:tc>
          <w:tcPr>
            <w:tcW w:w="861" w:type="pct"/>
            <w:tcMar>
              <w:left w:w="108" w:type="dxa"/>
              <w:right w:w="108" w:type="dxa"/>
            </w:tcMar>
          </w:tcPr>
          <w:p w14:paraId="2C09AEB8" w14:textId="77777777" w:rsidR="00091D2A" w:rsidRPr="00552B0C" w:rsidRDefault="00091D2A">
            <w:pPr>
              <w:pStyle w:val="In-tableHeading"/>
              <w:jc w:val="center"/>
              <w:rPr>
                <w:vertAlign w:val="superscript"/>
              </w:rPr>
            </w:pPr>
            <w:r w:rsidRPr="00552B0C">
              <w:t>NALIRIFOX (NAPOLI-3 trial)</w:t>
            </w:r>
            <w:r w:rsidRPr="00552B0C">
              <w:rPr>
                <w:vertAlign w:val="superscript"/>
              </w:rPr>
              <w:t>a</w:t>
            </w:r>
          </w:p>
        </w:tc>
        <w:tc>
          <w:tcPr>
            <w:tcW w:w="859" w:type="pct"/>
            <w:tcMar>
              <w:left w:w="108" w:type="dxa"/>
              <w:right w:w="108" w:type="dxa"/>
            </w:tcMar>
          </w:tcPr>
          <w:p w14:paraId="0A809FC4" w14:textId="77777777" w:rsidR="00091D2A" w:rsidRPr="00552B0C" w:rsidRDefault="00091D2A">
            <w:pPr>
              <w:pStyle w:val="In-tableHeading"/>
              <w:jc w:val="center"/>
              <w:rPr>
                <w:vertAlign w:val="superscript"/>
              </w:rPr>
            </w:pPr>
            <w:r w:rsidRPr="00552B0C">
              <w:t>NALIRIFOX (Proposed)</w:t>
            </w:r>
            <w:r w:rsidRPr="00552B0C">
              <w:rPr>
                <w:vertAlign w:val="superscript"/>
              </w:rPr>
              <w:t>b</w:t>
            </w:r>
          </w:p>
          <w:p w14:paraId="037DCA4B" w14:textId="77777777" w:rsidR="00091D2A" w:rsidRPr="00552B0C" w:rsidRDefault="00091D2A">
            <w:pPr>
              <w:pStyle w:val="In-tableHeading"/>
              <w:jc w:val="center"/>
            </w:pPr>
          </w:p>
        </w:tc>
      </w:tr>
      <w:tr w:rsidR="00091D2A" w:rsidRPr="00552B0C" w14:paraId="30D16575" w14:textId="77777777">
        <w:trPr>
          <w:trHeight w:val="300"/>
        </w:trPr>
        <w:tc>
          <w:tcPr>
            <w:tcW w:w="696" w:type="pct"/>
            <w:tcMar>
              <w:left w:w="108" w:type="dxa"/>
              <w:right w:w="108" w:type="dxa"/>
            </w:tcMar>
            <w:vAlign w:val="center"/>
          </w:tcPr>
          <w:p w14:paraId="5365E91C" w14:textId="77777777" w:rsidR="00091D2A" w:rsidRPr="00552B0C" w:rsidRDefault="00091D2A">
            <w:pPr>
              <w:pStyle w:val="TableText0"/>
            </w:pPr>
            <w:r w:rsidRPr="00552B0C">
              <w:t>Oxaliplatin</w:t>
            </w:r>
          </w:p>
        </w:tc>
        <w:tc>
          <w:tcPr>
            <w:tcW w:w="861" w:type="pct"/>
            <w:tcMar>
              <w:left w:w="108" w:type="dxa"/>
              <w:right w:w="108" w:type="dxa"/>
            </w:tcMar>
            <w:vAlign w:val="center"/>
          </w:tcPr>
          <w:p w14:paraId="07ACB92F" w14:textId="77777777" w:rsidR="00091D2A" w:rsidRPr="00552B0C" w:rsidRDefault="00091D2A">
            <w:pPr>
              <w:pStyle w:val="TableText0"/>
              <w:jc w:val="center"/>
              <w:rPr>
                <w:vertAlign w:val="superscript"/>
              </w:rPr>
            </w:pPr>
            <w:r w:rsidRPr="00552B0C">
              <w:t>85 mg/m</w:t>
            </w:r>
            <w:r w:rsidRPr="00552B0C">
              <w:rPr>
                <w:vertAlign w:val="superscript"/>
              </w:rPr>
              <w:t>2</w:t>
            </w:r>
          </w:p>
        </w:tc>
        <w:tc>
          <w:tcPr>
            <w:tcW w:w="861" w:type="pct"/>
            <w:tcMar>
              <w:left w:w="108" w:type="dxa"/>
              <w:right w:w="108" w:type="dxa"/>
            </w:tcMar>
            <w:vAlign w:val="center"/>
          </w:tcPr>
          <w:p w14:paraId="0848E3AB" w14:textId="77777777" w:rsidR="00091D2A" w:rsidRPr="00552B0C" w:rsidRDefault="00091D2A">
            <w:pPr>
              <w:pStyle w:val="TableText0"/>
              <w:jc w:val="center"/>
              <w:rPr>
                <w:vertAlign w:val="superscript"/>
              </w:rPr>
            </w:pPr>
            <w:r w:rsidRPr="00552B0C">
              <w:t>85 mg/m</w:t>
            </w:r>
            <w:r w:rsidRPr="00552B0C">
              <w:rPr>
                <w:vertAlign w:val="superscript"/>
              </w:rPr>
              <w:t>2</w:t>
            </w:r>
          </w:p>
        </w:tc>
        <w:tc>
          <w:tcPr>
            <w:tcW w:w="861" w:type="pct"/>
            <w:tcMar>
              <w:left w:w="108" w:type="dxa"/>
              <w:right w:w="108" w:type="dxa"/>
            </w:tcMar>
            <w:vAlign w:val="center"/>
          </w:tcPr>
          <w:p w14:paraId="6F52D54F" w14:textId="77777777" w:rsidR="00091D2A" w:rsidRPr="00552B0C" w:rsidRDefault="00091D2A">
            <w:pPr>
              <w:pStyle w:val="TableText0"/>
              <w:jc w:val="center"/>
              <w:rPr>
                <w:vertAlign w:val="superscript"/>
              </w:rPr>
            </w:pPr>
            <w:r w:rsidRPr="00552B0C">
              <w:t>85 mg/m</w:t>
            </w:r>
            <w:r w:rsidRPr="00552B0C">
              <w:rPr>
                <w:vertAlign w:val="superscript"/>
              </w:rPr>
              <w:t>2</w:t>
            </w:r>
          </w:p>
        </w:tc>
        <w:tc>
          <w:tcPr>
            <w:tcW w:w="861" w:type="pct"/>
            <w:tcMar>
              <w:left w:w="108" w:type="dxa"/>
              <w:right w:w="108" w:type="dxa"/>
            </w:tcMar>
            <w:vAlign w:val="center"/>
          </w:tcPr>
          <w:p w14:paraId="57CE2EC2" w14:textId="77777777" w:rsidR="00091D2A" w:rsidRPr="00552B0C" w:rsidRDefault="00091D2A">
            <w:pPr>
              <w:pStyle w:val="TableText0"/>
              <w:jc w:val="center"/>
              <w:rPr>
                <w:vertAlign w:val="superscript"/>
              </w:rPr>
            </w:pPr>
            <w:r w:rsidRPr="00552B0C">
              <w:t>60 mg/m</w:t>
            </w:r>
            <w:r w:rsidRPr="00552B0C">
              <w:rPr>
                <w:vertAlign w:val="superscript"/>
              </w:rPr>
              <w:t>2</w:t>
            </w:r>
          </w:p>
        </w:tc>
        <w:tc>
          <w:tcPr>
            <w:tcW w:w="859" w:type="pct"/>
            <w:tcMar>
              <w:left w:w="108" w:type="dxa"/>
              <w:right w:w="108" w:type="dxa"/>
            </w:tcMar>
            <w:vAlign w:val="center"/>
          </w:tcPr>
          <w:p w14:paraId="1BE4BA72" w14:textId="77777777" w:rsidR="00091D2A" w:rsidRPr="00552B0C" w:rsidRDefault="00091D2A">
            <w:pPr>
              <w:pStyle w:val="TableText0"/>
              <w:jc w:val="center"/>
              <w:rPr>
                <w:vertAlign w:val="superscript"/>
              </w:rPr>
            </w:pPr>
            <w:r w:rsidRPr="00552B0C">
              <w:t>60 mg/m</w:t>
            </w:r>
            <w:r w:rsidRPr="00552B0C">
              <w:rPr>
                <w:vertAlign w:val="superscript"/>
              </w:rPr>
              <w:t>2</w:t>
            </w:r>
          </w:p>
        </w:tc>
      </w:tr>
      <w:tr w:rsidR="00091D2A" w:rsidRPr="00552B0C" w14:paraId="510CEB01" w14:textId="77777777">
        <w:trPr>
          <w:trHeight w:val="300"/>
        </w:trPr>
        <w:tc>
          <w:tcPr>
            <w:tcW w:w="696" w:type="pct"/>
            <w:tcMar>
              <w:left w:w="108" w:type="dxa"/>
              <w:right w:w="108" w:type="dxa"/>
            </w:tcMar>
            <w:vAlign w:val="center"/>
          </w:tcPr>
          <w:p w14:paraId="6C2DFC43" w14:textId="77777777" w:rsidR="00091D2A" w:rsidRPr="00552B0C" w:rsidRDefault="00091D2A">
            <w:pPr>
              <w:pStyle w:val="TableText0"/>
            </w:pPr>
            <w:r w:rsidRPr="00552B0C">
              <w:t>Irinotecan</w:t>
            </w:r>
          </w:p>
        </w:tc>
        <w:tc>
          <w:tcPr>
            <w:tcW w:w="861" w:type="pct"/>
            <w:tcMar>
              <w:left w:w="108" w:type="dxa"/>
              <w:right w:w="108" w:type="dxa"/>
            </w:tcMar>
            <w:vAlign w:val="center"/>
          </w:tcPr>
          <w:p w14:paraId="3B339079" w14:textId="77777777" w:rsidR="00091D2A" w:rsidRPr="00552B0C" w:rsidRDefault="00091D2A">
            <w:pPr>
              <w:pStyle w:val="TableText0"/>
              <w:jc w:val="center"/>
              <w:rPr>
                <w:vertAlign w:val="superscript"/>
              </w:rPr>
            </w:pPr>
            <w:r w:rsidRPr="00552B0C">
              <w:t>180 mg/m</w:t>
            </w:r>
            <w:r w:rsidRPr="00552B0C">
              <w:rPr>
                <w:vertAlign w:val="superscript"/>
              </w:rPr>
              <w:t>2</w:t>
            </w:r>
          </w:p>
        </w:tc>
        <w:tc>
          <w:tcPr>
            <w:tcW w:w="861" w:type="pct"/>
            <w:tcMar>
              <w:left w:w="108" w:type="dxa"/>
              <w:right w:w="108" w:type="dxa"/>
            </w:tcMar>
            <w:vAlign w:val="center"/>
          </w:tcPr>
          <w:p w14:paraId="443A4ECB" w14:textId="77777777" w:rsidR="00091D2A" w:rsidRPr="00552B0C" w:rsidRDefault="00091D2A">
            <w:pPr>
              <w:pStyle w:val="TableText0"/>
              <w:jc w:val="center"/>
              <w:rPr>
                <w:vertAlign w:val="superscript"/>
              </w:rPr>
            </w:pPr>
            <w:r w:rsidRPr="00552B0C">
              <w:t>150 mg/m</w:t>
            </w:r>
            <w:r w:rsidRPr="00552B0C">
              <w:rPr>
                <w:vertAlign w:val="superscript"/>
              </w:rPr>
              <w:t>2</w:t>
            </w:r>
          </w:p>
        </w:tc>
        <w:tc>
          <w:tcPr>
            <w:tcW w:w="861" w:type="pct"/>
            <w:tcMar>
              <w:left w:w="108" w:type="dxa"/>
              <w:right w:w="108" w:type="dxa"/>
            </w:tcMar>
            <w:vAlign w:val="center"/>
          </w:tcPr>
          <w:p w14:paraId="0BED9D9D" w14:textId="77777777" w:rsidR="00091D2A" w:rsidRPr="00552B0C" w:rsidRDefault="00091D2A">
            <w:pPr>
              <w:pStyle w:val="TableText0"/>
              <w:jc w:val="center"/>
              <w:rPr>
                <w:vertAlign w:val="superscript"/>
              </w:rPr>
            </w:pPr>
            <w:r w:rsidRPr="00552B0C">
              <w:t>180 mg/m</w:t>
            </w:r>
            <w:r w:rsidRPr="00552B0C">
              <w:rPr>
                <w:vertAlign w:val="superscript"/>
              </w:rPr>
              <w:t>2</w:t>
            </w:r>
          </w:p>
        </w:tc>
        <w:tc>
          <w:tcPr>
            <w:tcW w:w="861" w:type="pct"/>
            <w:tcMar>
              <w:left w:w="108" w:type="dxa"/>
              <w:right w:w="108" w:type="dxa"/>
            </w:tcMar>
            <w:vAlign w:val="center"/>
          </w:tcPr>
          <w:p w14:paraId="35C437AC" w14:textId="77777777" w:rsidR="00091D2A" w:rsidRPr="00552B0C" w:rsidRDefault="00091D2A">
            <w:pPr>
              <w:pStyle w:val="TableText0"/>
              <w:jc w:val="center"/>
            </w:pPr>
            <w:r w:rsidRPr="00552B0C">
              <w:t>50 mg/m</w:t>
            </w:r>
            <w:r w:rsidRPr="00552B0C">
              <w:rPr>
                <w:vertAlign w:val="superscript"/>
              </w:rPr>
              <w:t xml:space="preserve">2 </w:t>
            </w:r>
            <w:r w:rsidRPr="00552B0C">
              <w:t>(liposomal)</w:t>
            </w:r>
          </w:p>
        </w:tc>
        <w:tc>
          <w:tcPr>
            <w:tcW w:w="859" w:type="pct"/>
            <w:tcMar>
              <w:left w:w="108" w:type="dxa"/>
              <w:right w:w="108" w:type="dxa"/>
            </w:tcMar>
            <w:vAlign w:val="center"/>
          </w:tcPr>
          <w:p w14:paraId="43989EB2" w14:textId="77777777" w:rsidR="00091D2A" w:rsidRPr="00552B0C" w:rsidRDefault="00091D2A">
            <w:pPr>
              <w:pStyle w:val="TableText0"/>
              <w:jc w:val="center"/>
            </w:pPr>
            <w:r w:rsidRPr="00552B0C">
              <w:t>50 mg/m</w:t>
            </w:r>
            <w:r w:rsidRPr="00552B0C">
              <w:rPr>
                <w:vertAlign w:val="superscript"/>
              </w:rPr>
              <w:t xml:space="preserve">2 </w:t>
            </w:r>
            <w:r w:rsidRPr="00552B0C">
              <w:t>(liposomal)</w:t>
            </w:r>
          </w:p>
        </w:tc>
      </w:tr>
      <w:tr w:rsidR="00091D2A" w:rsidRPr="00552B0C" w14:paraId="0FE2B7E6" w14:textId="77777777">
        <w:trPr>
          <w:trHeight w:val="300"/>
        </w:trPr>
        <w:tc>
          <w:tcPr>
            <w:tcW w:w="696" w:type="pct"/>
            <w:tcMar>
              <w:left w:w="108" w:type="dxa"/>
              <w:right w:w="108" w:type="dxa"/>
            </w:tcMar>
            <w:vAlign w:val="center"/>
          </w:tcPr>
          <w:p w14:paraId="77A0651E" w14:textId="77777777" w:rsidR="00091D2A" w:rsidRPr="00552B0C" w:rsidRDefault="00091D2A">
            <w:pPr>
              <w:pStyle w:val="TableText0"/>
            </w:pPr>
            <w:r w:rsidRPr="00552B0C">
              <w:t>Leucovorin/ folinic acid</w:t>
            </w:r>
          </w:p>
        </w:tc>
        <w:tc>
          <w:tcPr>
            <w:tcW w:w="861" w:type="pct"/>
            <w:tcMar>
              <w:left w:w="108" w:type="dxa"/>
              <w:right w:w="108" w:type="dxa"/>
            </w:tcMar>
            <w:vAlign w:val="center"/>
          </w:tcPr>
          <w:p w14:paraId="5F543558" w14:textId="77777777" w:rsidR="00091D2A" w:rsidRPr="00552B0C" w:rsidRDefault="00091D2A">
            <w:pPr>
              <w:pStyle w:val="TableText0"/>
              <w:jc w:val="center"/>
              <w:rPr>
                <w:vertAlign w:val="superscript"/>
              </w:rPr>
            </w:pPr>
            <w:r w:rsidRPr="00552B0C">
              <w:t>400 mg/m</w:t>
            </w:r>
            <w:r w:rsidRPr="00552B0C">
              <w:rPr>
                <w:vertAlign w:val="superscript"/>
              </w:rPr>
              <w:t>2</w:t>
            </w:r>
          </w:p>
        </w:tc>
        <w:tc>
          <w:tcPr>
            <w:tcW w:w="861" w:type="pct"/>
            <w:tcMar>
              <w:left w:w="108" w:type="dxa"/>
              <w:right w:w="108" w:type="dxa"/>
            </w:tcMar>
            <w:vAlign w:val="center"/>
          </w:tcPr>
          <w:p w14:paraId="3C8F5E24" w14:textId="77777777" w:rsidR="00091D2A" w:rsidRPr="00552B0C" w:rsidRDefault="00091D2A">
            <w:pPr>
              <w:pStyle w:val="TableText0"/>
              <w:jc w:val="center"/>
              <w:rPr>
                <w:vertAlign w:val="superscript"/>
              </w:rPr>
            </w:pPr>
            <w:r w:rsidRPr="00552B0C">
              <w:t>200 mg/m</w:t>
            </w:r>
            <w:r w:rsidRPr="00552B0C">
              <w:rPr>
                <w:vertAlign w:val="superscript"/>
              </w:rPr>
              <w:t>2</w:t>
            </w:r>
          </w:p>
        </w:tc>
        <w:tc>
          <w:tcPr>
            <w:tcW w:w="861" w:type="pct"/>
            <w:tcMar>
              <w:left w:w="108" w:type="dxa"/>
              <w:right w:w="108" w:type="dxa"/>
            </w:tcMar>
            <w:vAlign w:val="center"/>
          </w:tcPr>
          <w:p w14:paraId="631B5781" w14:textId="77777777" w:rsidR="00091D2A" w:rsidRPr="00552B0C" w:rsidRDefault="00091D2A">
            <w:pPr>
              <w:pStyle w:val="TableText0"/>
              <w:jc w:val="center"/>
            </w:pPr>
            <w:r w:rsidRPr="00552B0C">
              <w:t>50 mg</w:t>
            </w:r>
          </w:p>
        </w:tc>
        <w:tc>
          <w:tcPr>
            <w:tcW w:w="861" w:type="pct"/>
            <w:tcMar>
              <w:left w:w="108" w:type="dxa"/>
              <w:right w:w="108" w:type="dxa"/>
            </w:tcMar>
            <w:vAlign w:val="center"/>
          </w:tcPr>
          <w:p w14:paraId="2AF8D432" w14:textId="77777777" w:rsidR="00091D2A" w:rsidRPr="00552B0C" w:rsidRDefault="00091D2A">
            <w:pPr>
              <w:pStyle w:val="TableText0"/>
              <w:jc w:val="center"/>
              <w:rPr>
                <w:vertAlign w:val="superscript"/>
              </w:rPr>
            </w:pPr>
            <w:r w:rsidRPr="00552B0C">
              <w:t>400 mg/m</w:t>
            </w:r>
            <w:r w:rsidRPr="00552B0C">
              <w:rPr>
                <w:vertAlign w:val="superscript"/>
              </w:rPr>
              <w:t>2</w:t>
            </w:r>
          </w:p>
        </w:tc>
        <w:tc>
          <w:tcPr>
            <w:tcW w:w="859" w:type="pct"/>
            <w:tcMar>
              <w:left w:w="108" w:type="dxa"/>
              <w:right w:w="108" w:type="dxa"/>
            </w:tcMar>
            <w:vAlign w:val="center"/>
          </w:tcPr>
          <w:p w14:paraId="26F13DF5" w14:textId="77777777" w:rsidR="00091D2A" w:rsidRPr="00552B0C" w:rsidRDefault="00091D2A">
            <w:pPr>
              <w:pStyle w:val="TableText0"/>
              <w:jc w:val="center"/>
            </w:pPr>
            <w:r w:rsidRPr="00552B0C">
              <w:t>50mg</w:t>
            </w:r>
          </w:p>
        </w:tc>
      </w:tr>
      <w:tr w:rsidR="00091D2A" w:rsidRPr="00552B0C" w14:paraId="034B8421" w14:textId="77777777">
        <w:trPr>
          <w:trHeight w:val="300"/>
        </w:trPr>
        <w:tc>
          <w:tcPr>
            <w:tcW w:w="696" w:type="pct"/>
            <w:tcMar>
              <w:left w:w="108" w:type="dxa"/>
              <w:right w:w="108" w:type="dxa"/>
            </w:tcMar>
            <w:vAlign w:val="center"/>
          </w:tcPr>
          <w:p w14:paraId="07B5A882" w14:textId="77777777" w:rsidR="00091D2A" w:rsidRPr="00552B0C" w:rsidRDefault="00091D2A">
            <w:pPr>
              <w:pStyle w:val="TableText0"/>
            </w:pPr>
            <w:r w:rsidRPr="00552B0C">
              <w:t>5-fluorouracil (bolus)</w:t>
            </w:r>
          </w:p>
        </w:tc>
        <w:tc>
          <w:tcPr>
            <w:tcW w:w="861" w:type="pct"/>
            <w:tcMar>
              <w:left w:w="108" w:type="dxa"/>
              <w:right w:w="108" w:type="dxa"/>
            </w:tcMar>
            <w:vAlign w:val="center"/>
          </w:tcPr>
          <w:p w14:paraId="5F0E2E4F" w14:textId="77777777" w:rsidR="00091D2A" w:rsidRPr="00552B0C" w:rsidRDefault="00091D2A">
            <w:pPr>
              <w:pStyle w:val="TableText0"/>
              <w:jc w:val="center"/>
              <w:rPr>
                <w:vertAlign w:val="superscript"/>
              </w:rPr>
            </w:pPr>
            <w:r w:rsidRPr="00552B0C">
              <w:t>400 mg/m</w:t>
            </w:r>
            <w:r w:rsidRPr="00552B0C">
              <w:rPr>
                <w:vertAlign w:val="superscript"/>
              </w:rPr>
              <w:t>2</w:t>
            </w:r>
          </w:p>
        </w:tc>
        <w:tc>
          <w:tcPr>
            <w:tcW w:w="861" w:type="pct"/>
            <w:tcMar>
              <w:left w:w="108" w:type="dxa"/>
              <w:right w:w="108" w:type="dxa"/>
            </w:tcMar>
            <w:vAlign w:val="center"/>
          </w:tcPr>
          <w:p w14:paraId="3E13778C" w14:textId="77777777" w:rsidR="00091D2A" w:rsidRPr="00552B0C" w:rsidRDefault="00091D2A">
            <w:pPr>
              <w:pStyle w:val="TableText0"/>
              <w:jc w:val="center"/>
            </w:pPr>
            <w:r w:rsidRPr="00552B0C">
              <w:t>None</w:t>
            </w:r>
          </w:p>
        </w:tc>
        <w:tc>
          <w:tcPr>
            <w:tcW w:w="861" w:type="pct"/>
            <w:tcMar>
              <w:left w:w="108" w:type="dxa"/>
              <w:right w:w="108" w:type="dxa"/>
            </w:tcMar>
            <w:vAlign w:val="center"/>
          </w:tcPr>
          <w:p w14:paraId="0BDE1074" w14:textId="77777777" w:rsidR="00091D2A" w:rsidRPr="00552B0C" w:rsidRDefault="00091D2A">
            <w:pPr>
              <w:pStyle w:val="TableText0"/>
              <w:jc w:val="center"/>
              <w:rPr>
                <w:vertAlign w:val="superscript"/>
              </w:rPr>
            </w:pPr>
            <w:r w:rsidRPr="00552B0C">
              <w:t>400 mg/m</w:t>
            </w:r>
            <w:r w:rsidRPr="00552B0C">
              <w:rPr>
                <w:vertAlign w:val="superscript"/>
              </w:rPr>
              <w:t>2</w:t>
            </w:r>
          </w:p>
        </w:tc>
        <w:tc>
          <w:tcPr>
            <w:tcW w:w="861" w:type="pct"/>
            <w:tcMar>
              <w:left w:w="108" w:type="dxa"/>
              <w:right w:w="108" w:type="dxa"/>
            </w:tcMar>
            <w:vAlign w:val="center"/>
          </w:tcPr>
          <w:p w14:paraId="6129D667" w14:textId="77777777" w:rsidR="00091D2A" w:rsidRPr="00552B0C" w:rsidRDefault="00091D2A">
            <w:pPr>
              <w:pStyle w:val="TableText0"/>
              <w:jc w:val="center"/>
            </w:pPr>
            <w:r w:rsidRPr="00552B0C">
              <w:t>None</w:t>
            </w:r>
          </w:p>
        </w:tc>
        <w:tc>
          <w:tcPr>
            <w:tcW w:w="859" w:type="pct"/>
            <w:tcMar>
              <w:left w:w="108" w:type="dxa"/>
              <w:right w:w="108" w:type="dxa"/>
            </w:tcMar>
            <w:vAlign w:val="center"/>
          </w:tcPr>
          <w:p w14:paraId="1D132A53" w14:textId="77777777" w:rsidR="00091D2A" w:rsidRPr="00552B0C" w:rsidRDefault="00091D2A">
            <w:pPr>
              <w:pStyle w:val="TableText0"/>
              <w:jc w:val="center"/>
            </w:pPr>
            <w:r w:rsidRPr="00552B0C">
              <w:t>None</w:t>
            </w:r>
          </w:p>
        </w:tc>
      </w:tr>
      <w:tr w:rsidR="00091D2A" w:rsidRPr="00552B0C" w14:paraId="5CC20819" w14:textId="77777777">
        <w:trPr>
          <w:trHeight w:val="300"/>
        </w:trPr>
        <w:tc>
          <w:tcPr>
            <w:tcW w:w="696" w:type="pct"/>
            <w:tcMar>
              <w:left w:w="108" w:type="dxa"/>
              <w:right w:w="108" w:type="dxa"/>
            </w:tcMar>
            <w:vAlign w:val="center"/>
          </w:tcPr>
          <w:p w14:paraId="03188E87" w14:textId="77777777" w:rsidR="00091D2A" w:rsidRPr="00552B0C" w:rsidRDefault="00091D2A">
            <w:pPr>
              <w:pStyle w:val="TableText0"/>
            </w:pPr>
            <w:r w:rsidRPr="00552B0C">
              <w:t xml:space="preserve">5-fluorouracil </w:t>
            </w:r>
          </w:p>
        </w:tc>
        <w:tc>
          <w:tcPr>
            <w:tcW w:w="861" w:type="pct"/>
            <w:tcMar>
              <w:left w:w="108" w:type="dxa"/>
              <w:right w:w="108" w:type="dxa"/>
            </w:tcMar>
            <w:vAlign w:val="center"/>
          </w:tcPr>
          <w:p w14:paraId="60208EC9" w14:textId="77777777" w:rsidR="00091D2A" w:rsidRPr="00552B0C" w:rsidRDefault="00091D2A">
            <w:pPr>
              <w:pStyle w:val="TableText0"/>
              <w:jc w:val="center"/>
              <w:rPr>
                <w:vertAlign w:val="superscript"/>
              </w:rPr>
            </w:pPr>
            <w:r w:rsidRPr="00552B0C">
              <w:t>2400 mg/m</w:t>
            </w:r>
            <w:r w:rsidRPr="00552B0C">
              <w:rPr>
                <w:vertAlign w:val="superscript"/>
              </w:rPr>
              <w:t>2</w:t>
            </w:r>
          </w:p>
        </w:tc>
        <w:tc>
          <w:tcPr>
            <w:tcW w:w="861" w:type="pct"/>
            <w:tcMar>
              <w:left w:w="108" w:type="dxa"/>
              <w:right w:w="108" w:type="dxa"/>
            </w:tcMar>
            <w:vAlign w:val="center"/>
          </w:tcPr>
          <w:p w14:paraId="5C129944" w14:textId="77777777" w:rsidR="00091D2A" w:rsidRPr="00552B0C" w:rsidRDefault="00091D2A">
            <w:pPr>
              <w:pStyle w:val="TableText0"/>
              <w:jc w:val="center"/>
              <w:rPr>
                <w:vertAlign w:val="superscript"/>
              </w:rPr>
            </w:pPr>
            <w:r w:rsidRPr="00552B0C">
              <w:t>2400 mg/m</w:t>
            </w:r>
            <w:r w:rsidRPr="00552B0C">
              <w:rPr>
                <w:vertAlign w:val="superscript"/>
              </w:rPr>
              <w:t>2</w:t>
            </w:r>
          </w:p>
        </w:tc>
        <w:tc>
          <w:tcPr>
            <w:tcW w:w="861" w:type="pct"/>
            <w:tcMar>
              <w:left w:w="108" w:type="dxa"/>
              <w:right w:w="108" w:type="dxa"/>
            </w:tcMar>
            <w:vAlign w:val="center"/>
          </w:tcPr>
          <w:p w14:paraId="508EBF9C" w14:textId="77777777" w:rsidR="00091D2A" w:rsidRPr="00552B0C" w:rsidRDefault="00091D2A">
            <w:pPr>
              <w:pStyle w:val="TableText0"/>
              <w:jc w:val="center"/>
              <w:rPr>
                <w:vertAlign w:val="superscript"/>
              </w:rPr>
            </w:pPr>
            <w:r w:rsidRPr="00552B0C">
              <w:t>2400 mg/m</w:t>
            </w:r>
            <w:r w:rsidRPr="00552B0C">
              <w:rPr>
                <w:vertAlign w:val="superscript"/>
              </w:rPr>
              <w:t>2</w:t>
            </w:r>
          </w:p>
        </w:tc>
        <w:tc>
          <w:tcPr>
            <w:tcW w:w="861" w:type="pct"/>
            <w:tcMar>
              <w:left w:w="108" w:type="dxa"/>
              <w:right w:w="108" w:type="dxa"/>
            </w:tcMar>
            <w:vAlign w:val="center"/>
          </w:tcPr>
          <w:p w14:paraId="0F59B1D2" w14:textId="77777777" w:rsidR="00091D2A" w:rsidRPr="00552B0C" w:rsidRDefault="00091D2A">
            <w:pPr>
              <w:pStyle w:val="TableText0"/>
              <w:jc w:val="center"/>
              <w:rPr>
                <w:vertAlign w:val="superscript"/>
              </w:rPr>
            </w:pPr>
            <w:r w:rsidRPr="00552B0C">
              <w:t>2400 mg/m</w:t>
            </w:r>
            <w:r w:rsidRPr="00552B0C">
              <w:rPr>
                <w:vertAlign w:val="superscript"/>
              </w:rPr>
              <w:t>2</w:t>
            </w:r>
          </w:p>
        </w:tc>
        <w:tc>
          <w:tcPr>
            <w:tcW w:w="859" w:type="pct"/>
            <w:tcMar>
              <w:left w:w="108" w:type="dxa"/>
              <w:right w:w="108" w:type="dxa"/>
            </w:tcMar>
            <w:vAlign w:val="center"/>
          </w:tcPr>
          <w:p w14:paraId="7F077936" w14:textId="77777777" w:rsidR="00091D2A" w:rsidRPr="00552B0C" w:rsidRDefault="00091D2A">
            <w:pPr>
              <w:pStyle w:val="TableText0"/>
              <w:jc w:val="center"/>
              <w:rPr>
                <w:vertAlign w:val="superscript"/>
              </w:rPr>
            </w:pPr>
            <w:r w:rsidRPr="00552B0C">
              <w:t>2400 mg/m</w:t>
            </w:r>
            <w:r w:rsidRPr="00552B0C">
              <w:rPr>
                <w:vertAlign w:val="superscript"/>
              </w:rPr>
              <w:t>2</w:t>
            </w:r>
          </w:p>
        </w:tc>
      </w:tr>
    </w:tbl>
    <w:p w14:paraId="1ABD8E1C" w14:textId="77777777" w:rsidR="00091D2A" w:rsidRPr="00552B0C" w:rsidRDefault="00091D2A" w:rsidP="00091D2A">
      <w:pPr>
        <w:rPr>
          <w:rFonts w:ascii="Arial Narrow" w:eastAsia="Arial Narrow" w:hAnsi="Arial Narrow" w:cs="Arial Narrow"/>
          <w:sz w:val="18"/>
          <w:szCs w:val="18"/>
        </w:rPr>
      </w:pPr>
      <w:r w:rsidRPr="00552B0C">
        <w:rPr>
          <w:rFonts w:ascii="Arial Narrow" w:eastAsia="Arial Narrow" w:hAnsi="Arial Narrow" w:cs="Arial Narrow"/>
          <w:sz w:val="18"/>
          <w:szCs w:val="18"/>
        </w:rPr>
        <w:t>Source: Produced during the evaluation using Table 1.7, p12 of resubmission, Conroy et al 2011, Ohba et al 2023, Wainberg et al 2023 and Australian eviQ guidelines.</w:t>
      </w:r>
      <w:r w:rsidRPr="00552B0C">
        <w:rPr>
          <w:rStyle w:val="FootnoteReference"/>
          <w:rFonts w:ascii="Arial Narrow" w:eastAsia="Arial Narrow" w:hAnsi="Arial Narrow" w:cs="Arial Narrow"/>
          <w:sz w:val="18"/>
          <w:szCs w:val="18"/>
        </w:rPr>
        <w:footnoteReference w:id="24"/>
      </w:r>
    </w:p>
    <w:p w14:paraId="750198A4" w14:textId="77777777" w:rsidR="00091D2A" w:rsidRPr="00552B0C" w:rsidRDefault="00091D2A" w:rsidP="00091D2A">
      <w:pPr>
        <w:rPr>
          <w:rFonts w:ascii="Arial Narrow" w:eastAsia="Arial Narrow" w:hAnsi="Arial Narrow" w:cs="Arial Narrow"/>
          <w:sz w:val="18"/>
          <w:szCs w:val="18"/>
        </w:rPr>
      </w:pPr>
      <w:r w:rsidRPr="00552B0C">
        <w:rPr>
          <w:rFonts w:ascii="Arial Narrow" w:eastAsia="Arial Narrow" w:hAnsi="Arial Narrow" w:cs="Arial Narrow"/>
          <w:sz w:val="18"/>
          <w:szCs w:val="18"/>
        </w:rPr>
        <w:t>Abbreviations: FOLFIRINOX, 5-flurouracil, Leucovorin/folinic acid; irinotecan and oxaliplatin; mFOLFIRINOX, modified FOLFIRINOX;</w:t>
      </w:r>
      <w:r w:rsidRPr="00552B0C">
        <w:rPr>
          <w:rFonts w:eastAsia="Arial Narrow"/>
        </w:rPr>
        <w:t xml:space="preserve"> </w:t>
      </w:r>
      <w:r w:rsidRPr="00552B0C">
        <w:rPr>
          <w:rFonts w:ascii="Arial Narrow" w:eastAsia="Arial Narrow" w:hAnsi="Arial Narrow" w:cs="Arial Narrow"/>
          <w:sz w:val="18"/>
          <w:szCs w:val="18"/>
        </w:rPr>
        <w:t>mg/m</w:t>
      </w:r>
      <w:r w:rsidRPr="00552B0C">
        <w:rPr>
          <w:rFonts w:ascii="Arial Narrow" w:eastAsia="Arial Narrow" w:hAnsi="Arial Narrow" w:cs="Arial Narrow"/>
          <w:sz w:val="18"/>
          <w:szCs w:val="18"/>
          <w:vertAlign w:val="superscript"/>
        </w:rPr>
        <w:t>2</w:t>
      </w:r>
      <w:r w:rsidRPr="00552B0C">
        <w:rPr>
          <w:rFonts w:ascii="Arial Narrow" w:eastAsia="Arial Narrow" w:hAnsi="Arial Narrow" w:cs="Arial Narrow"/>
          <w:sz w:val="18"/>
          <w:szCs w:val="18"/>
        </w:rPr>
        <w:t>, milligrams per metre squared; NALIRIFOX, nanoliposomal irinotecan (nal-IRI) in combination with 5-fluorouracil, leucovorin/folinic acid, and oxaliplatin.</w:t>
      </w:r>
    </w:p>
    <w:p w14:paraId="5949CEED" w14:textId="77777777" w:rsidR="00091D2A" w:rsidRPr="00552B0C" w:rsidRDefault="00091D2A" w:rsidP="00091D2A">
      <w:pPr>
        <w:rPr>
          <w:rFonts w:ascii="Arial Narrow" w:eastAsia="Arial Narrow" w:hAnsi="Arial Narrow" w:cs="Arial Narrow"/>
          <w:sz w:val="18"/>
          <w:szCs w:val="18"/>
        </w:rPr>
      </w:pPr>
      <w:r w:rsidRPr="00552B0C">
        <w:rPr>
          <w:rFonts w:ascii="Arial Narrow" w:eastAsia="Arial Narrow" w:hAnsi="Arial Narrow" w:cs="Arial Narrow"/>
          <w:sz w:val="18"/>
          <w:szCs w:val="18"/>
          <w:vertAlign w:val="superscript"/>
        </w:rPr>
        <w:t>a</w:t>
      </w:r>
      <w:r w:rsidRPr="00552B0C">
        <w:rPr>
          <w:rFonts w:ascii="Arial Narrow" w:eastAsia="Arial Narrow" w:hAnsi="Arial Narrow" w:cs="Arial Narrow"/>
          <w:sz w:val="18"/>
          <w:szCs w:val="18"/>
        </w:rPr>
        <w:t xml:space="preserve"> Used in the March 2024 submission</w:t>
      </w:r>
    </w:p>
    <w:p w14:paraId="7F9443F8" w14:textId="77777777" w:rsidR="00091D2A" w:rsidRPr="00552B0C" w:rsidRDefault="00091D2A" w:rsidP="004D052C">
      <w:pPr>
        <w:spacing w:after="120"/>
        <w:rPr>
          <w:rFonts w:ascii="Arial Narrow" w:eastAsia="Arial Narrow" w:hAnsi="Arial Narrow" w:cs="Arial Narrow"/>
          <w:sz w:val="18"/>
          <w:szCs w:val="18"/>
        </w:rPr>
      </w:pPr>
      <w:r w:rsidRPr="00552B0C">
        <w:rPr>
          <w:rFonts w:ascii="Arial Narrow" w:eastAsia="Arial Narrow" w:hAnsi="Arial Narrow" w:cs="Arial Narrow"/>
          <w:sz w:val="18"/>
          <w:szCs w:val="18"/>
          <w:vertAlign w:val="superscript"/>
        </w:rPr>
        <w:t>b</w:t>
      </w:r>
      <w:r w:rsidRPr="00552B0C">
        <w:rPr>
          <w:rFonts w:ascii="Arial Narrow" w:eastAsia="Arial Narrow" w:hAnsi="Arial Narrow" w:cs="Arial Narrow"/>
          <w:sz w:val="18"/>
          <w:szCs w:val="18"/>
        </w:rPr>
        <w:t xml:space="preserve"> Used in the November 2024 resubmission</w:t>
      </w:r>
    </w:p>
    <w:p w14:paraId="0A7608EB" w14:textId="7B3D75AE" w:rsidR="00091D2A" w:rsidRPr="00552B0C" w:rsidRDefault="00091D2A" w:rsidP="00552B0C">
      <w:pPr>
        <w:pStyle w:val="3-BodyText"/>
        <w:numPr>
          <w:ilvl w:val="1"/>
          <w:numId w:val="5"/>
        </w:numPr>
      </w:pPr>
      <w:r w:rsidRPr="00552B0C">
        <w:t>The resubmission proposed a new LV dose of 50 mg as part of NALIRIFOX regimen based on advice that when NALIRIFOX is added to the Australian eviQ guidelines, a flat 50</w:t>
      </w:r>
      <w:r w:rsidR="004D052C">
        <w:t> </w:t>
      </w:r>
      <w:r w:rsidRPr="00552B0C">
        <w:t>mg dose of LV will be recommended to be consistent with the following eviQ consensus statement: “Given the lack of evidence on the optimum dose of LV when administered with 5-FU, and evidence suggesting similar therapeutic efficacy, a flat dose of 50 mg LV has been included in relevant eviQ colorectal and upper gastrointestinal protocols based on reference committee consensus".</w:t>
      </w:r>
      <w:r w:rsidRPr="00552B0C">
        <w:rPr>
          <w:rStyle w:val="FootnoteReference"/>
        </w:rPr>
        <w:footnoteReference w:id="25"/>
      </w:r>
      <w:r w:rsidRPr="00552B0C">
        <w:t xml:space="preserve"> This is different from the PI and NAPOLI-3 trial, which included a dose of LV of 400</w:t>
      </w:r>
      <w:r w:rsidR="004D052C">
        <w:t> </w:t>
      </w:r>
      <w:r w:rsidRPr="00552B0C">
        <w:t>mg/m</w:t>
      </w:r>
      <w:r w:rsidRPr="00552B0C">
        <w:rPr>
          <w:vertAlign w:val="superscript"/>
        </w:rPr>
        <w:t>2</w:t>
      </w:r>
      <w:r w:rsidRPr="00552B0C">
        <w:t xml:space="preserve"> over 30 minutes. </w:t>
      </w:r>
      <w:r w:rsidR="00245A4B" w:rsidRPr="00552B0C">
        <w:t>Given this, it</w:t>
      </w:r>
      <w:r w:rsidRPr="00552B0C">
        <w:t xml:space="preserve"> is likely the low LV dose of 50 mg will be the standard protocol for NALIRIFOX and will apply to all patients.</w:t>
      </w:r>
    </w:p>
    <w:p w14:paraId="6D40CAC1" w14:textId="6E51D008" w:rsidR="00091D2A" w:rsidRPr="00552B0C" w:rsidRDefault="00091D2A" w:rsidP="4E6EDD58">
      <w:pPr>
        <w:pStyle w:val="3-BodyText"/>
      </w:pPr>
      <w:r w:rsidRPr="00552B0C">
        <w:t>The modified FOLFIRINOX (mFOLFIRINOX) regimen in the GENERATE trial differs from the FOLFIRINOX regimen</w:t>
      </w:r>
      <w:r w:rsidR="29FCEB69" w:rsidRPr="00552B0C">
        <w:t xml:space="preserve"> in the</w:t>
      </w:r>
      <w:r w:rsidRPr="00552B0C">
        <w:t xml:space="preserve"> ACCORD11/PRODIGE4 trial and from the </w:t>
      </w:r>
      <w:r w:rsidRPr="00552B0C">
        <w:lastRenderedPageBreak/>
        <w:t>mFOLFIRINOX regimen recommended in the Australian eviQ guidelines</w:t>
      </w:r>
      <w:r w:rsidRPr="00552B0C">
        <w:rPr>
          <w:rStyle w:val="FootnoteReference"/>
          <w:rFonts w:eastAsiaTheme="minorEastAsia"/>
        </w:rPr>
        <w:footnoteReference w:id="26"/>
      </w:r>
      <w:r w:rsidRPr="00552B0C">
        <w:t>(</w:t>
      </w:r>
      <w:r w:rsidRPr="00552B0C">
        <w:fldChar w:fldCharType="begin" w:fldLock="1"/>
      </w:r>
      <w:r w:rsidRPr="00552B0C">
        <w:instrText xml:space="preserve"> REF _Ref176355552 \h  \* MERGEFORMAT </w:instrText>
      </w:r>
      <w:r w:rsidRPr="00552B0C">
        <w:fldChar w:fldCharType="separate"/>
      </w:r>
      <w:r w:rsidR="001C19B6" w:rsidRPr="00552B0C">
        <w:t xml:space="preserve">Table </w:t>
      </w:r>
      <w:r w:rsidR="001C19B6">
        <w:rPr>
          <w:noProof/>
        </w:rPr>
        <w:t>5</w:t>
      </w:r>
      <w:r w:rsidRPr="00552B0C">
        <w:fldChar w:fldCharType="end"/>
      </w:r>
      <w:r w:rsidRPr="00552B0C">
        <w:t xml:space="preserve">). The mFOLFIRINOX regimen in the GENERATE trial has lower doses of irinotecan and 5-FU (reduction of 16.6% and 14.8%, respectively) compared to ACCORD11/PRODIGE4 trial and eviQ guidelines. </w:t>
      </w:r>
      <w:r w:rsidR="00045300" w:rsidRPr="00552B0C">
        <w:t>The ev</w:t>
      </w:r>
      <w:r w:rsidR="00E92C0D" w:rsidRPr="00552B0C">
        <w:t>a</w:t>
      </w:r>
      <w:r w:rsidR="00045300" w:rsidRPr="00552B0C">
        <w:t>luation considered that</w:t>
      </w:r>
      <w:r w:rsidR="005D19E6" w:rsidRPr="00552B0C">
        <w:t xml:space="preserve"> </w:t>
      </w:r>
      <w:r w:rsidRPr="00552B0C">
        <w:t xml:space="preserve">a </w:t>
      </w:r>
      <w:r w:rsidRPr="00552B0C">
        <w:rPr>
          <w:lang w:val="en-US"/>
        </w:rPr>
        <w:t xml:space="preserve">15-20% dose reduction of irinotecan (or any other component) is unlikely to significantly affect the efficacy and toxicity of the FOLFIRINOX regimen. Evidence suggests that </w:t>
      </w:r>
      <w:r w:rsidRPr="00552B0C">
        <w:t xml:space="preserve">dosage attenuation of initial FOLFIRINOX improves its tolerability without compromising its efficacy and that </w:t>
      </w:r>
      <w:r w:rsidR="34B63B72" w:rsidRPr="00552B0C">
        <w:t>m</w:t>
      </w:r>
      <w:r w:rsidRPr="00552B0C">
        <w:t>FOLFIRINOX could provide comparative survival benefits with fewer adverse events compared to the conventional dosage.</w:t>
      </w:r>
      <w:r w:rsidRPr="00552B0C">
        <w:rPr>
          <w:rStyle w:val="FootnoteReference"/>
        </w:rPr>
        <w:footnoteReference w:id="27"/>
      </w:r>
      <w:r w:rsidRPr="00552B0C">
        <w:t xml:space="preserve"> </w:t>
      </w:r>
    </w:p>
    <w:p w14:paraId="69AF2E78" w14:textId="77777777" w:rsidR="00B60939" w:rsidRPr="00C9624D" w:rsidRDefault="00B60939" w:rsidP="00EC5836">
      <w:pPr>
        <w:pStyle w:val="4-SubsectionHeading"/>
      </w:pPr>
      <w:bookmarkStart w:id="39" w:name="_Toc22897641"/>
      <w:bookmarkStart w:id="40" w:name="_Toc177546221"/>
      <w:r w:rsidRPr="00C9624D">
        <w:t>Comparative effectiveness</w:t>
      </w:r>
      <w:bookmarkEnd w:id="39"/>
      <w:bookmarkEnd w:id="40"/>
    </w:p>
    <w:p w14:paraId="0096A237" w14:textId="77777777" w:rsidR="00091D2A" w:rsidRPr="0053035C" w:rsidRDefault="00091D2A" w:rsidP="00091D2A">
      <w:pPr>
        <w:pStyle w:val="5-SubsectionSubheading"/>
        <w:rPr>
          <w:b w:val="0"/>
        </w:rPr>
      </w:pPr>
      <w:bookmarkStart w:id="41" w:name="_Toc177546222"/>
      <w:r w:rsidRPr="0053035C">
        <w:t>NALIRIFOX versus Gem+NabP</w:t>
      </w:r>
      <w:bookmarkEnd w:id="41"/>
      <w:r w:rsidRPr="0053035C">
        <w:t xml:space="preserve"> </w:t>
      </w:r>
    </w:p>
    <w:p w14:paraId="2DD9CBAF" w14:textId="6749FD4B" w:rsidR="00091D2A" w:rsidRPr="003F5C46" w:rsidRDefault="00091D2A" w:rsidP="002A39C7">
      <w:pPr>
        <w:pStyle w:val="3-BodyText"/>
        <w:numPr>
          <w:ilvl w:val="1"/>
          <w:numId w:val="5"/>
        </w:numPr>
        <w:rPr>
          <w:color w:val="0066FF"/>
        </w:rPr>
      </w:pPr>
      <w:r w:rsidRPr="004B7C4D">
        <w:t xml:space="preserve">A summary of the updated efficacy results for OS, PFS and ORR from the </w:t>
      </w:r>
      <w:r w:rsidR="00321100" w:rsidRPr="004B7C4D">
        <w:t>intention</w:t>
      </w:r>
      <w:r w:rsidR="00ED14B9" w:rsidRPr="004B7C4D">
        <w:t xml:space="preserve"> </w:t>
      </w:r>
      <w:r w:rsidR="00321100" w:rsidRPr="004B7C4D">
        <w:t>to</w:t>
      </w:r>
      <w:r w:rsidR="00ED14B9" w:rsidRPr="004B7C4D">
        <w:t xml:space="preserve"> </w:t>
      </w:r>
      <w:r w:rsidR="00321100" w:rsidRPr="004B7C4D">
        <w:t>treat (</w:t>
      </w:r>
      <w:r w:rsidRPr="004B7C4D">
        <w:t>ITT</w:t>
      </w:r>
      <w:r w:rsidR="00321100" w:rsidRPr="004B7C4D">
        <w:t>)</w:t>
      </w:r>
      <w:r w:rsidRPr="004B7C4D">
        <w:t xml:space="preserve"> population in NAPOLI-3 trial is presented in </w:t>
      </w:r>
      <w:r w:rsidRPr="004B7C4D">
        <w:fldChar w:fldCharType="begin" w:fldLock="1"/>
      </w:r>
      <w:r w:rsidRPr="004B7C4D">
        <w:instrText xml:space="preserve"> REF _Ref176357152 \h </w:instrText>
      </w:r>
      <w:r w:rsidR="00B87FAE" w:rsidRPr="004B7C4D">
        <w:instrText xml:space="preserve"> \* MERGEFORMAT </w:instrText>
      </w:r>
      <w:r w:rsidRPr="004B7C4D">
        <w:fldChar w:fldCharType="separate"/>
      </w:r>
      <w:r w:rsidR="001C19B6" w:rsidRPr="004B7C4D">
        <w:t xml:space="preserve">Table </w:t>
      </w:r>
      <w:r w:rsidR="001C19B6">
        <w:rPr>
          <w:noProof/>
        </w:rPr>
        <w:t>6</w:t>
      </w:r>
      <w:r w:rsidRPr="004B7C4D">
        <w:fldChar w:fldCharType="end"/>
      </w:r>
      <w:r w:rsidRPr="004B7C4D">
        <w:t xml:space="preserve">, with the corresponding KM curves of OS and PFS presented in </w:t>
      </w:r>
      <w:r w:rsidRPr="004B7C4D">
        <w:fldChar w:fldCharType="begin" w:fldLock="1"/>
      </w:r>
      <w:r w:rsidRPr="004B7C4D">
        <w:instrText xml:space="preserve"> REF _Ref153568774 \h </w:instrText>
      </w:r>
      <w:r w:rsidR="00B87FAE" w:rsidRPr="004B7C4D">
        <w:instrText xml:space="preserve"> \* MERGEFORMAT </w:instrText>
      </w:r>
      <w:r w:rsidRPr="004B7C4D">
        <w:fldChar w:fldCharType="separate"/>
      </w:r>
      <w:r w:rsidR="001C19B6" w:rsidRPr="004B7C4D">
        <w:t xml:space="preserve">Figure </w:t>
      </w:r>
      <w:r w:rsidR="001C19B6">
        <w:rPr>
          <w:noProof/>
        </w:rPr>
        <w:t>1</w:t>
      </w:r>
      <w:r w:rsidRPr="004B7C4D">
        <w:fldChar w:fldCharType="end"/>
      </w:r>
      <w:r w:rsidRPr="004B7C4D">
        <w:t xml:space="preserve"> and</w:t>
      </w:r>
      <w:r w:rsidR="00B52755">
        <w:t xml:space="preserve"> </w:t>
      </w:r>
      <w:r w:rsidR="007A69D2" w:rsidRPr="003F5C46">
        <w:fldChar w:fldCharType="begin" w:fldLock="1"/>
      </w:r>
      <w:r w:rsidR="007A69D2" w:rsidRPr="003F5C46">
        <w:instrText xml:space="preserve"> REF _Ref191975351 \h </w:instrText>
      </w:r>
      <w:r w:rsidR="003F5C46">
        <w:instrText xml:space="preserve"> \* MERGEFORMAT </w:instrText>
      </w:r>
      <w:r w:rsidR="007A69D2" w:rsidRPr="003F5C46">
        <w:fldChar w:fldCharType="separate"/>
      </w:r>
      <w:r w:rsidR="007A69D2" w:rsidRPr="003F5C46">
        <w:t xml:space="preserve">Figure </w:t>
      </w:r>
      <w:r w:rsidR="007A69D2" w:rsidRPr="003F5C46">
        <w:rPr>
          <w:noProof/>
        </w:rPr>
        <w:t>2</w:t>
      </w:r>
      <w:r w:rsidR="007A69D2" w:rsidRPr="003F5C46">
        <w:fldChar w:fldCharType="end"/>
      </w:r>
      <w:r w:rsidRPr="004B7C4D">
        <w:t>. Results for PFS and ORR remain unchanged from March 2024 submission.</w:t>
      </w:r>
    </w:p>
    <w:p w14:paraId="1767B8CB" w14:textId="5F3B7C16" w:rsidR="00091D2A" w:rsidRPr="004B7C4D" w:rsidRDefault="00D6076E" w:rsidP="00091D2A">
      <w:pPr>
        <w:pStyle w:val="Caption"/>
      </w:pPr>
      <w:bookmarkStart w:id="42" w:name="_Ref176357152"/>
      <w:r w:rsidRPr="004B7C4D">
        <w:t xml:space="preserve">Table </w:t>
      </w:r>
      <w:r w:rsidR="001C19B6">
        <w:fldChar w:fldCharType="begin" w:fldLock="1"/>
      </w:r>
      <w:r w:rsidR="001C19B6">
        <w:instrText xml:space="preserve"> SEQ Table \* ARABIC </w:instrText>
      </w:r>
      <w:r w:rsidR="001C19B6">
        <w:fldChar w:fldCharType="separate"/>
      </w:r>
      <w:r w:rsidR="001C19B6">
        <w:rPr>
          <w:noProof/>
        </w:rPr>
        <w:t>6</w:t>
      </w:r>
      <w:r w:rsidR="001C19B6">
        <w:rPr>
          <w:noProof/>
        </w:rPr>
        <w:fldChar w:fldCharType="end"/>
      </w:r>
      <w:bookmarkEnd w:id="42"/>
      <w:r w:rsidR="00091D2A" w:rsidRPr="004B7C4D">
        <w:t>: Results of OS, PFS and ORR in the ITT population in NAPOLI-3 trial</w:t>
      </w:r>
    </w:p>
    <w:tbl>
      <w:tblPr>
        <w:tblStyle w:val="TableGrid"/>
        <w:tblW w:w="5000" w:type="pct"/>
        <w:tblLook w:val="04A0" w:firstRow="1" w:lastRow="0" w:firstColumn="1" w:lastColumn="0" w:noHBand="0" w:noVBand="1"/>
        <w:tblCaption w:val="Table 6: Results of OS, PFS and ORR in the ITT population in NAPOLI-3 trial"/>
      </w:tblPr>
      <w:tblGrid>
        <w:gridCol w:w="3005"/>
        <w:gridCol w:w="3006"/>
        <w:gridCol w:w="3006"/>
      </w:tblGrid>
      <w:tr w:rsidR="00091D2A" w:rsidRPr="004B7C4D" w14:paraId="33CF9C21" w14:textId="77777777" w:rsidTr="000D5DFD">
        <w:trPr>
          <w:tblHeader/>
        </w:trPr>
        <w:tc>
          <w:tcPr>
            <w:tcW w:w="1666" w:type="pct"/>
            <w:shd w:val="clear" w:color="auto" w:fill="auto"/>
          </w:tcPr>
          <w:p w14:paraId="0128F5EA" w14:textId="77777777" w:rsidR="00091D2A" w:rsidRPr="004B7C4D" w:rsidRDefault="00091D2A" w:rsidP="001C7B8C">
            <w:pPr>
              <w:pStyle w:val="In-tableHeading"/>
              <w:keepNext w:val="0"/>
            </w:pPr>
          </w:p>
        </w:tc>
        <w:tc>
          <w:tcPr>
            <w:tcW w:w="1667" w:type="pct"/>
            <w:shd w:val="clear" w:color="auto" w:fill="auto"/>
          </w:tcPr>
          <w:p w14:paraId="1B6EC9A5" w14:textId="77777777" w:rsidR="00091D2A" w:rsidRPr="004B7C4D" w:rsidRDefault="00091D2A" w:rsidP="001C7B8C">
            <w:pPr>
              <w:pStyle w:val="In-tableHeading"/>
              <w:keepNext w:val="0"/>
              <w:jc w:val="center"/>
            </w:pPr>
            <w:r w:rsidRPr="004B7C4D">
              <w:t>NALIRIFOX</w:t>
            </w:r>
          </w:p>
          <w:p w14:paraId="043A808C" w14:textId="77777777" w:rsidR="00091D2A" w:rsidRPr="004B7C4D" w:rsidRDefault="00091D2A" w:rsidP="001C7B8C">
            <w:pPr>
              <w:pStyle w:val="In-tableHeading"/>
              <w:keepNext w:val="0"/>
              <w:jc w:val="center"/>
            </w:pPr>
            <w:r w:rsidRPr="004B7C4D">
              <w:t>N=383</w:t>
            </w:r>
          </w:p>
        </w:tc>
        <w:tc>
          <w:tcPr>
            <w:tcW w:w="1667" w:type="pct"/>
            <w:shd w:val="clear" w:color="auto" w:fill="auto"/>
          </w:tcPr>
          <w:p w14:paraId="536227AA" w14:textId="77777777" w:rsidR="00091D2A" w:rsidRPr="004B7C4D" w:rsidRDefault="00091D2A" w:rsidP="001C7B8C">
            <w:pPr>
              <w:pStyle w:val="In-tableHeading"/>
              <w:keepNext w:val="0"/>
              <w:jc w:val="center"/>
            </w:pPr>
            <w:r w:rsidRPr="004B7C4D">
              <w:t>Gem+NabP</w:t>
            </w:r>
          </w:p>
          <w:p w14:paraId="7798966C" w14:textId="77777777" w:rsidR="00091D2A" w:rsidRPr="004B7C4D" w:rsidRDefault="00091D2A" w:rsidP="001C7B8C">
            <w:pPr>
              <w:pStyle w:val="In-tableHeading"/>
              <w:keepNext w:val="0"/>
              <w:jc w:val="center"/>
            </w:pPr>
            <w:r w:rsidRPr="004B7C4D">
              <w:t>N=387</w:t>
            </w:r>
          </w:p>
        </w:tc>
      </w:tr>
      <w:tr w:rsidR="008F285D" w:rsidRPr="004B7C4D" w14:paraId="7CFE2EDA" w14:textId="77777777" w:rsidTr="005C6EBD">
        <w:tc>
          <w:tcPr>
            <w:tcW w:w="5000" w:type="pct"/>
            <w:gridSpan w:val="3"/>
            <w:shd w:val="clear" w:color="auto" w:fill="auto"/>
          </w:tcPr>
          <w:p w14:paraId="52A8EF0F" w14:textId="1630E290" w:rsidR="005C6EBD" w:rsidRPr="004B7C4D" w:rsidRDefault="005C6EBD" w:rsidP="001C7B8C">
            <w:pPr>
              <w:pStyle w:val="In-tableHeading"/>
              <w:keepNext w:val="0"/>
            </w:pPr>
            <w:r w:rsidRPr="004B7C4D">
              <w:t xml:space="preserve">New </w:t>
            </w:r>
            <w:r w:rsidR="006C74AA" w:rsidRPr="004B7C4D">
              <w:t>evidence</w:t>
            </w:r>
            <w:r w:rsidRPr="004B7C4D">
              <w:t xml:space="preserve"> presented in this resubmission</w:t>
            </w:r>
          </w:p>
        </w:tc>
      </w:tr>
      <w:tr w:rsidR="00091D2A" w:rsidRPr="004B7C4D" w14:paraId="522EBFF3" w14:textId="77777777">
        <w:tc>
          <w:tcPr>
            <w:tcW w:w="1666" w:type="pct"/>
            <w:shd w:val="clear" w:color="auto" w:fill="auto"/>
          </w:tcPr>
          <w:p w14:paraId="3EA5713C" w14:textId="77777777" w:rsidR="00091D2A" w:rsidRPr="004B7C4D" w:rsidRDefault="00091D2A" w:rsidP="001C7B8C">
            <w:pPr>
              <w:pStyle w:val="TableText0"/>
              <w:keepNext w:val="0"/>
            </w:pPr>
            <w:r w:rsidRPr="004B7C4D">
              <w:t>Median follow-up, months</w:t>
            </w:r>
          </w:p>
        </w:tc>
        <w:tc>
          <w:tcPr>
            <w:tcW w:w="3334" w:type="pct"/>
            <w:gridSpan w:val="2"/>
            <w:shd w:val="clear" w:color="auto" w:fill="auto"/>
          </w:tcPr>
          <w:p w14:paraId="6BF5DD11" w14:textId="77777777" w:rsidR="00091D2A" w:rsidRPr="004B7C4D" w:rsidRDefault="00091D2A" w:rsidP="001C7B8C">
            <w:pPr>
              <w:pStyle w:val="TableText0"/>
              <w:keepNext w:val="0"/>
              <w:jc w:val="center"/>
            </w:pPr>
            <w:r w:rsidRPr="004B7C4D">
              <w:t>29.5</w:t>
            </w:r>
          </w:p>
        </w:tc>
      </w:tr>
      <w:tr w:rsidR="00091D2A" w:rsidRPr="004B7C4D" w14:paraId="55DA462D" w14:textId="77777777">
        <w:tc>
          <w:tcPr>
            <w:tcW w:w="5000" w:type="pct"/>
            <w:gridSpan w:val="3"/>
          </w:tcPr>
          <w:p w14:paraId="6686A0F8" w14:textId="7633DB72" w:rsidR="00091D2A" w:rsidRPr="004B7C4D" w:rsidRDefault="00091D2A" w:rsidP="001C7B8C">
            <w:pPr>
              <w:pStyle w:val="In-tableHeading"/>
              <w:keepNext w:val="0"/>
            </w:pPr>
            <w:r w:rsidRPr="004B7C4D">
              <w:t>OS</w:t>
            </w:r>
          </w:p>
        </w:tc>
      </w:tr>
      <w:tr w:rsidR="00091D2A" w:rsidRPr="004B7C4D" w14:paraId="2E614574" w14:textId="77777777" w:rsidTr="00302125">
        <w:tc>
          <w:tcPr>
            <w:tcW w:w="1666" w:type="pct"/>
          </w:tcPr>
          <w:p w14:paraId="31C2FE65" w14:textId="77777777" w:rsidR="00091D2A" w:rsidRPr="004B7C4D" w:rsidRDefault="00091D2A" w:rsidP="001C7B8C">
            <w:pPr>
              <w:pStyle w:val="TableText0"/>
              <w:keepNext w:val="0"/>
            </w:pPr>
            <w:r w:rsidRPr="004B7C4D">
              <w:t>Death, n (%)</w:t>
            </w:r>
          </w:p>
        </w:tc>
        <w:tc>
          <w:tcPr>
            <w:tcW w:w="1667" w:type="pct"/>
          </w:tcPr>
          <w:p w14:paraId="20A63E90" w14:textId="77777777" w:rsidR="00091D2A" w:rsidRPr="004B7C4D" w:rsidRDefault="00091D2A" w:rsidP="001C7B8C">
            <w:pPr>
              <w:pStyle w:val="TableText0"/>
              <w:keepNext w:val="0"/>
              <w:jc w:val="center"/>
            </w:pPr>
            <w:r w:rsidRPr="004B7C4D">
              <w:t>328 (85.6)</w:t>
            </w:r>
          </w:p>
        </w:tc>
        <w:tc>
          <w:tcPr>
            <w:tcW w:w="1667" w:type="pct"/>
          </w:tcPr>
          <w:p w14:paraId="24BAD3EF" w14:textId="77777777" w:rsidR="00091D2A" w:rsidRPr="004B7C4D" w:rsidRDefault="00091D2A" w:rsidP="001C7B8C">
            <w:pPr>
              <w:pStyle w:val="TableText0"/>
              <w:keepNext w:val="0"/>
              <w:jc w:val="center"/>
            </w:pPr>
            <w:r w:rsidRPr="004B7C4D">
              <w:t>345 (89.1)</w:t>
            </w:r>
          </w:p>
        </w:tc>
      </w:tr>
      <w:tr w:rsidR="00091D2A" w:rsidRPr="004B7C4D" w14:paraId="677A3F57" w14:textId="77777777" w:rsidTr="00302125">
        <w:tc>
          <w:tcPr>
            <w:tcW w:w="1666" w:type="pct"/>
          </w:tcPr>
          <w:p w14:paraId="64B22D82" w14:textId="77777777" w:rsidR="00091D2A" w:rsidRPr="004B7C4D" w:rsidRDefault="00091D2A" w:rsidP="001C7B8C">
            <w:pPr>
              <w:pStyle w:val="TableText0"/>
              <w:keepNext w:val="0"/>
            </w:pPr>
            <w:r w:rsidRPr="004B7C4D">
              <w:t>Censored, n (%)</w:t>
            </w:r>
          </w:p>
        </w:tc>
        <w:tc>
          <w:tcPr>
            <w:tcW w:w="1667" w:type="pct"/>
          </w:tcPr>
          <w:p w14:paraId="2288C12D" w14:textId="77777777" w:rsidR="00091D2A" w:rsidRPr="004B7C4D" w:rsidRDefault="00091D2A" w:rsidP="001C7B8C">
            <w:pPr>
              <w:pStyle w:val="TableText0"/>
              <w:keepNext w:val="0"/>
              <w:jc w:val="center"/>
            </w:pPr>
            <w:r w:rsidRPr="004B7C4D">
              <w:t>55 (14.4)</w:t>
            </w:r>
          </w:p>
        </w:tc>
        <w:tc>
          <w:tcPr>
            <w:tcW w:w="1667" w:type="pct"/>
          </w:tcPr>
          <w:p w14:paraId="736792DE" w14:textId="77777777" w:rsidR="00091D2A" w:rsidRPr="004B7C4D" w:rsidRDefault="00091D2A" w:rsidP="001C7B8C">
            <w:pPr>
              <w:pStyle w:val="TableText0"/>
              <w:keepNext w:val="0"/>
              <w:jc w:val="center"/>
            </w:pPr>
            <w:r w:rsidRPr="004B7C4D">
              <w:t>42 (10.9)</w:t>
            </w:r>
          </w:p>
        </w:tc>
      </w:tr>
      <w:tr w:rsidR="00091D2A" w:rsidRPr="004B7C4D" w14:paraId="2D1A3F4B" w14:textId="77777777" w:rsidTr="00302125">
        <w:tc>
          <w:tcPr>
            <w:tcW w:w="1666" w:type="pct"/>
          </w:tcPr>
          <w:p w14:paraId="57DCCDA3" w14:textId="77777777" w:rsidR="00091D2A" w:rsidRPr="004B7C4D" w:rsidRDefault="00091D2A" w:rsidP="001C7B8C">
            <w:pPr>
              <w:pStyle w:val="TableText0"/>
              <w:keepNext w:val="0"/>
            </w:pPr>
            <w:r w:rsidRPr="004B7C4D">
              <w:t>Event free probability, n, % (95% CI)</w:t>
            </w:r>
          </w:p>
        </w:tc>
        <w:tc>
          <w:tcPr>
            <w:tcW w:w="1667" w:type="pct"/>
          </w:tcPr>
          <w:p w14:paraId="4CC9C8AC" w14:textId="77777777" w:rsidR="00091D2A" w:rsidRPr="004B7C4D" w:rsidRDefault="00091D2A" w:rsidP="001C7B8C">
            <w:pPr>
              <w:pStyle w:val="TableText0"/>
              <w:keepNext w:val="0"/>
              <w:jc w:val="center"/>
            </w:pPr>
          </w:p>
        </w:tc>
        <w:tc>
          <w:tcPr>
            <w:tcW w:w="1667" w:type="pct"/>
          </w:tcPr>
          <w:p w14:paraId="74243BE2" w14:textId="77777777" w:rsidR="00091D2A" w:rsidRPr="004B7C4D" w:rsidRDefault="00091D2A" w:rsidP="001C7B8C">
            <w:pPr>
              <w:pStyle w:val="TableText0"/>
              <w:keepNext w:val="0"/>
              <w:jc w:val="center"/>
            </w:pPr>
          </w:p>
        </w:tc>
      </w:tr>
      <w:tr w:rsidR="00091D2A" w:rsidRPr="004B7C4D" w14:paraId="512A7B60" w14:textId="77777777" w:rsidTr="00302125">
        <w:tc>
          <w:tcPr>
            <w:tcW w:w="1666" w:type="pct"/>
          </w:tcPr>
          <w:p w14:paraId="62FAF331" w14:textId="77777777" w:rsidR="00091D2A" w:rsidRPr="004B7C4D" w:rsidRDefault="00091D2A" w:rsidP="001C7B8C">
            <w:pPr>
              <w:pStyle w:val="TableText0"/>
              <w:keepNext w:val="0"/>
            </w:pPr>
            <w:r w:rsidRPr="004B7C4D">
              <w:tab/>
              <w:t>3 months</w:t>
            </w:r>
          </w:p>
        </w:tc>
        <w:tc>
          <w:tcPr>
            <w:tcW w:w="1667" w:type="pct"/>
          </w:tcPr>
          <w:p w14:paraId="50507B90" w14:textId="77777777" w:rsidR="00091D2A" w:rsidRPr="004B7C4D" w:rsidRDefault="00091D2A" w:rsidP="001C7B8C">
            <w:pPr>
              <w:pStyle w:val="TableText0"/>
              <w:keepNext w:val="0"/>
              <w:jc w:val="center"/>
            </w:pPr>
            <w:r w:rsidRPr="004B7C4D">
              <w:t>NR</w:t>
            </w:r>
          </w:p>
        </w:tc>
        <w:tc>
          <w:tcPr>
            <w:tcW w:w="1667" w:type="pct"/>
          </w:tcPr>
          <w:p w14:paraId="3AA11835" w14:textId="77777777" w:rsidR="00091D2A" w:rsidRPr="004B7C4D" w:rsidRDefault="00091D2A" w:rsidP="001C7B8C">
            <w:pPr>
              <w:pStyle w:val="TableText0"/>
              <w:keepNext w:val="0"/>
              <w:jc w:val="center"/>
            </w:pPr>
            <w:r w:rsidRPr="004B7C4D">
              <w:t>NR</w:t>
            </w:r>
          </w:p>
        </w:tc>
      </w:tr>
      <w:tr w:rsidR="00091D2A" w:rsidRPr="004B7C4D" w14:paraId="0311564A" w14:textId="77777777" w:rsidTr="00302125">
        <w:tc>
          <w:tcPr>
            <w:tcW w:w="1666" w:type="pct"/>
          </w:tcPr>
          <w:p w14:paraId="65CBEEB6" w14:textId="77777777" w:rsidR="00091D2A" w:rsidRPr="004B7C4D" w:rsidRDefault="00091D2A" w:rsidP="001C7B8C">
            <w:pPr>
              <w:pStyle w:val="TableText0"/>
              <w:keepNext w:val="0"/>
            </w:pPr>
            <w:r w:rsidRPr="004B7C4D">
              <w:tab/>
              <w:t>6 months</w:t>
            </w:r>
          </w:p>
        </w:tc>
        <w:tc>
          <w:tcPr>
            <w:tcW w:w="1667" w:type="pct"/>
          </w:tcPr>
          <w:p w14:paraId="5B9197FA" w14:textId="77777777" w:rsidR="00091D2A" w:rsidRPr="004B7C4D" w:rsidRDefault="00091D2A" w:rsidP="001C7B8C">
            <w:pPr>
              <w:pStyle w:val="TableText0"/>
              <w:keepNext w:val="0"/>
              <w:jc w:val="center"/>
            </w:pPr>
            <w:r w:rsidRPr="004B7C4D">
              <w:t>72.4 (67.6, 76.6)</w:t>
            </w:r>
          </w:p>
        </w:tc>
        <w:tc>
          <w:tcPr>
            <w:tcW w:w="1667" w:type="pct"/>
          </w:tcPr>
          <w:p w14:paraId="7B80462E" w14:textId="77777777" w:rsidR="00091D2A" w:rsidRPr="004B7C4D" w:rsidRDefault="00091D2A" w:rsidP="001C7B8C">
            <w:pPr>
              <w:pStyle w:val="TableText0"/>
              <w:keepNext w:val="0"/>
              <w:jc w:val="center"/>
            </w:pPr>
            <w:r w:rsidRPr="004B7C4D">
              <w:t>68.4 (63.5, 72.8)</w:t>
            </w:r>
          </w:p>
        </w:tc>
      </w:tr>
      <w:tr w:rsidR="00091D2A" w:rsidRPr="004B7C4D" w14:paraId="09CD79A4" w14:textId="77777777" w:rsidTr="00302125">
        <w:tc>
          <w:tcPr>
            <w:tcW w:w="1666" w:type="pct"/>
          </w:tcPr>
          <w:p w14:paraId="4B2806DC" w14:textId="77777777" w:rsidR="00091D2A" w:rsidRPr="004B7C4D" w:rsidRDefault="00091D2A" w:rsidP="001C7B8C">
            <w:pPr>
              <w:pStyle w:val="TableText0"/>
              <w:keepNext w:val="0"/>
            </w:pPr>
            <w:r w:rsidRPr="004B7C4D">
              <w:tab/>
              <w:t>9 months</w:t>
            </w:r>
          </w:p>
        </w:tc>
        <w:tc>
          <w:tcPr>
            <w:tcW w:w="1667" w:type="pct"/>
          </w:tcPr>
          <w:p w14:paraId="599C05AE" w14:textId="77777777" w:rsidR="00091D2A" w:rsidRPr="004B7C4D" w:rsidRDefault="00091D2A" w:rsidP="001C7B8C">
            <w:pPr>
              <w:pStyle w:val="TableText0"/>
              <w:keepNext w:val="0"/>
              <w:jc w:val="center"/>
            </w:pPr>
            <w:r w:rsidRPr="004B7C4D">
              <w:t>58.1 (53.0, 62.9)</w:t>
            </w:r>
          </w:p>
        </w:tc>
        <w:tc>
          <w:tcPr>
            <w:tcW w:w="1667" w:type="pct"/>
          </w:tcPr>
          <w:p w14:paraId="5192DA4C" w14:textId="77777777" w:rsidR="00091D2A" w:rsidRPr="004B7C4D" w:rsidRDefault="00091D2A" w:rsidP="001C7B8C">
            <w:pPr>
              <w:pStyle w:val="TableText0"/>
              <w:keepNext w:val="0"/>
              <w:jc w:val="center"/>
            </w:pPr>
            <w:r w:rsidRPr="004B7C4D">
              <w:t>51.8 (46.7, 56.7)</w:t>
            </w:r>
          </w:p>
        </w:tc>
      </w:tr>
      <w:tr w:rsidR="00091D2A" w:rsidRPr="004B7C4D" w14:paraId="3E35FAC5" w14:textId="77777777" w:rsidTr="00302125">
        <w:tc>
          <w:tcPr>
            <w:tcW w:w="1666" w:type="pct"/>
          </w:tcPr>
          <w:p w14:paraId="2AC04EDD" w14:textId="77777777" w:rsidR="00091D2A" w:rsidRPr="004B7C4D" w:rsidRDefault="00091D2A" w:rsidP="001C7B8C">
            <w:pPr>
              <w:pStyle w:val="TableText0"/>
              <w:keepNext w:val="0"/>
            </w:pPr>
            <w:r w:rsidRPr="004B7C4D">
              <w:tab/>
              <w:t>12 months</w:t>
            </w:r>
          </w:p>
        </w:tc>
        <w:tc>
          <w:tcPr>
            <w:tcW w:w="1667" w:type="pct"/>
          </w:tcPr>
          <w:p w14:paraId="2E9E364C" w14:textId="77777777" w:rsidR="00091D2A" w:rsidRPr="004B7C4D" w:rsidRDefault="00091D2A" w:rsidP="001C7B8C">
            <w:pPr>
              <w:pStyle w:val="TableText0"/>
              <w:keepNext w:val="0"/>
              <w:jc w:val="center"/>
            </w:pPr>
            <w:r w:rsidRPr="004B7C4D">
              <w:t>45.6 (40.5, 50.5)</w:t>
            </w:r>
          </w:p>
        </w:tc>
        <w:tc>
          <w:tcPr>
            <w:tcW w:w="1667" w:type="pct"/>
          </w:tcPr>
          <w:p w14:paraId="0695DC6D" w14:textId="77777777" w:rsidR="00091D2A" w:rsidRPr="004B7C4D" w:rsidRDefault="00091D2A" w:rsidP="001C7B8C">
            <w:pPr>
              <w:pStyle w:val="TableText0"/>
              <w:keepNext w:val="0"/>
              <w:jc w:val="center"/>
            </w:pPr>
            <w:r w:rsidRPr="004B7C4D">
              <w:t>39.6 (34.7, 44.5)</w:t>
            </w:r>
          </w:p>
        </w:tc>
      </w:tr>
      <w:tr w:rsidR="00091D2A" w:rsidRPr="004B7C4D" w14:paraId="0B9BF842" w14:textId="77777777" w:rsidTr="00302125">
        <w:tc>
          <w:tcPr>
            <w:tcW w:w="1666" w:type="pct"/>
          </w:tcPr>
          <w:p w14:paraId="37E221BF" w14:textId="77777777" w:rsidR="00091D2A" w:rsidRPr="004B7C4D" w:rsidRDefault="00091D2A" w:rsidP="001C7B8C">
            <w:pPr>
              <w:pStyle w:val="TableText0"/>
              <w:keepNext w:val="0"/>
            </w:pPr>
            <w:r w:rsidRPr="004B7C4D">
              <w:tab/>
              <w:t>18 months</w:t>
            </w:r>
          </w:p>
        </w:tc>
        <w:tc>
          <w:tcPr>
            <w:tcW w:w="1667" w:type="pct"/>
          </w:tcPr>
          <w:p w14:paraId="79356F7B" w14:textId="77777777" w:rsidR="00091D2A" w:rsidRPr="004B7C4D" w:rsidRDefault="00091D2A" w:rsidP="001C7B8C">
            <w:pPr>
              <w:pStyle w:val="TableText0"/>
              <w:keepNext w:val="0"/>
              <w:jc w:val="center"/>
            </w:pPr>
            <w:r w:rsidRPr="004B7C4D">
              <w:t>26.6 (22.2, 31.1)</w:t>
            </w:r>
          </w:p>
        </w:tc>
        <w:tc>
          <w:tcPr>
            <w:tcW w:w="1667" w:type="pct"/>
          </w:tcPr>
          <w:p w14:paraId="1202AC62" w14:textId="77777777" w:rsidR="00091D2A" w:rsidRPr="004B7C4D" w:rsidRDefault="00091D2A" w:rsidP="001C7B8C">
            <w:pPr>
              <w:pStyle w:val="TableText0"/>
              <w:keepNext w:val="0"/>
              <w:jc w:val="center"/>
            </w:pPr>
            <w:r w:rsidRPr="004B7C4D">
              <w:t>20.0 (16.1, 24.1)</w:t>
            </w:r>
          </w:p>
        </w:tc>
      </w:tr>
      <w:tr w:rsidR="00091D2A" w:rsidRPr="004B7C4D" w14:paraId="50F405E1" w14:textId="77777777" w:rsidTr="00302125">
        <w:tc>
          <w:tcPr>
            <w:tcW w:w="1666" w:type="pct"/>
          </w:tcPr>
          <w:p w14:paraId="798FA87B" w14:textId="77777777" w:rsidR="00091D2A" w:rsidRPr="004B7C4D" w:rsidRDefault="00091D2A" w:rsidP="001C7B8C">
            <w:pPr>
              <w:pStyle w:val="TableText0"/>
              <w:keepNext w:val="0"/>
            </w:pPr>
            <w:r w:rsidRPr="004B7C4D">
              <w:t>Median (95% CI), months</w:t>
            </w:r>
          </w:p>
        </w:tc>
        <w:tc>
          <w:tcPr>
            <w:tcW w:w="1667" w:type="pct"/>
          </w:tcPr>
          <w:p w14:paraId="173F72D8" w14:textId="77777777" w:rsidR="00091D2A" w:rsidRPr="004B7C4D" w:rsidRDefault="00091D2A" w:rsidP="001C7B8C">
            <w:pPr>
              <w:pStyle w:val="TableText0"/>
              <w:keepNext w:val="0"/>
              <w:jc w:val="center"/>
            </w:pPr>
            <w:r w:rsidRPr="004B7C4D">
              <w:t>11.1 (10.0, 12.1)</w:t>
            </w:r>
          </w:p>
        </w:tc>
        <w:tc>
          <w:tcPr>
            <w:tcW w:w="1667" w:type="pct"/>
          </w:tcPr>
          <w:p w14:paraId="78257B31" w14:textId="77777777" w:rsidR="00091D2A" w:rsidRPr="004B7C4D" w:rsidRDefault="00091D2A" w:rsidP="001C7B8C">
            <w:pPr>
              <w:pStyle w:val="TableText0"/>
              <w:keepNext w:val="0"/>
              <w:jc w:val="center"/>
            </w:pPr>
            <w:r w:rsidRPr="004B7C4D">
              <w:t>9.2 (8.3, 10.6)</w:t>
            </w:r>
          </w:p>
        </w:tc>
      </w:tr>
      <w:tr w:rsidR="00091D2A" w:rsidRPr="004B7C4D" w14:paraId="30C47394" w14:textId="77777777">
        <w:tc>
          <w:tcPr>
            <w:tcW w:w="1666" w:type="pct"/>
          </w:tcPr>
          <w:p w14:paraId="3C9264FA" w14:textId="77777777" w:rsidR="00091D2A" w:rsidRPr="004B7C4D" w:rsidRDefault="00091D2A" w:rsidP="001C7B8C">
            <w:pPr>
              <w:pStyle w:val="TableText0"/>
              <w:keepNext w:val="0"/>
            </w:pPr>
            <w:r w:rsidRPr="004B7C4D">
              <w:t>Stratified HR (95% CI; p-value)</w:t>
            </w:r>
          </w:p>
        </w:tc>
        <w:tc>
          <w:tcPr>
            <w:tcW w:w="3334" w:type="pct"/>
            <w:gridSpan w:val="2"/>
          </w:tcPr>
          <w:p w14:paraId="5738954C" w14:textId="77777777" w:rsidR="00091D2A" w:rsidRPr="004B7C4D" w:rsidRDefault="00091D2A" w:rsidP="001C7B8C">
            <w:pPr>
              <w:pStyle w:val="TableText0"/>
              <w:keepNext w:val="0"/>
              <w:jc w:val="center"/>
              <w:rPr>
                <w:b/>
                <w:bCs w:val="0"/>
              </w:rPr>
            </w:pPr>
            <w:r w:rsidRPr="004B7C4D">
              <w:rPr>
                <w:b/>
                <w:bCs w:val="0"/>
              </w:rPr>
              <w:t>0.84 (0.72, 0.98; p=0.026)</w:t>
            </w:r>
          </w:p>
        </w:tc>
      </w:tr>
      <w:tr w:rsidR="00091D2A" w:rsidRPr="004B7C4D" w14:paraId="12A6451B" w14:textId="77777777">
        <w:tc>
          <w:tcPr>
            <w:tcW w:w="1666" w:type="pct"/>
          </w:tcPr>
          <w:p w14:paraId="7B92CEFA" w14:textId="77777777" w:rsidR="00091D2A" w:rsidRPr="004B7C4D" w:rsidRDefault="00091D2A" w:rsidP="001C7B8C">
            <w:pPr>
              <w:pStyle w:val="TableText0"/>
              <w:keepNext w:val="0"/>
            </w:pPr>
            <w:r w:rsidRPr="004B7C4D">
              <w:t>Unstratified HR (95% CI; p-value)</w:t>
            </w:r>
          </w:p>
        </w:tc>
        <w:tc>
          <w:tcPr>
            <w:tcW w:w="3334" w:type="pct"/>
            <w:gridSpan w:val="2"/>
          </w:tcPr>
          <w:p w14:paraId="4A1B4155" w14:textId="77777777" w:rsidR="00091D2A" w:rsidRPr="004B7C4D" w:rsidRDefault="00091D2A" w:rsidP="001C7B8C">
            <w:pPr>
              <w:pStyle w:val="TableText0"/>
              <w:keepNext w:val="0"/>
              <w:jc w:val="center"/>
              <w:rPr>
                <w:b/>
                <w:bCs w:val="0"/>
              </w:rPr>
            </w:pPr>
            <w:r w:rsidRPr="004B7C4D">
              <w:rPr>
                <w:b/>
                <w:bCs w:val="0"/>
              </w:rPr>
              <w:t>0.85 (0.73, 0.98; p=0.029)</w:t>
            </w:r>
          </w:p>
        </w:tc>
      </w:tr>
      <w:tr w:rsidR="008F285D" w:rsidRPr="004B7C4D" w14:paraId="1ACE454D" w14:textId="77777777" w:rsidTr="00417094">
        <w:tc>
          <w:tcPr>
            <w:tcW w:w="5000" w:type="pct"/>
            <w:gridSpan w:val="3"/>
            <w:shd w:val="clear" w:color="auto" w:fill="B8CCE4" w:themeFill="accent1" w:themeFillTint="66"/>
          </w:tcPr>
          <w:p w14:paraId="59CD6B3B" w14:textId="1A08BE42" w:rsidR="005C6EBD" w:rsidRPr="004B7C4D" w:rsidRDefault="006C74AA" w:rsidP="001C7B8C">
            <w:pPr>
              <w:pStyle w:val="TableText0"/>
              <w:keepNext w:val="0"/>
              <w:rPr>
                <w:b/>
                <w:bCs w:val="0"/>
              </w:rPr>
            </w:pPr>
            <w:r w:rsidRPr="004B7C4D">
              <w:rPr>
                <w:b/>
                <w:bCs w:val="0"/>
              </w:rPr>
              <w:t>Evidence</w:t>
            </w:r>
            <w:r w:rsidR="00417094" w:rsidRPr="004B7C4D">
              <w:rPr>
                <w:b/>
                <w:bCs w:val="0"/>
              </w:rPr>
              <w:t xml:space="preserve"> in the March 2024 submission</w:t>
            </w:r>
          </w:p>
        </w:tc>
      </w:tr>
      <w:tr w:rsidR="00304098" w:rsidRPr="004B7C4D" w14:paraId="17867FC4" w14:textId="77777777" w:rsidTr="009D4198">
        <w:tc>
          <w:tcPr>
            <w:tcW w:w="1666" w:type="pct"/>
            <w:shd w:val="clear" w:color="auto" w:fill="B8CCE4" w:themeFill="accent1" w:themeFillTint="66"/>
          </w:tcPr>
          <w:p w14:paraId="53F06C02" w14:textId="7E06C2E0" w:rsidR="00302125" w:rsidRPr="004B7C4D" w:rsidRDefault="00302125" w:rsidP="001C7B8C">
            <w:pPr>
              <w:pStyle w:val="In-tableHeading"/>
              <w:keepNext w:val="0"/>
              <w:rPr>
                <w:b w:val="0"/>
                <w:bCs/>
              </w:rPr>
            </w:pPr>
            <w:r w:rsidRPr="004B7C4D">
              <w:rPr>
                <w:b w:val="0"/>
                <w:bCs/>
              </w:rPr>
              <w:t>Median (95% CI) follow-up, months</w:t>
            </w:r>
          </w:p>
        </w:tc>
        <w:tc>
          <w:tcPr>
            <w:tcW w:w="1667" w:type="pct"/>
            <w:shd w:val="clear" w:color="auto" w:fill="B8CCE4" w:themeFill="accent1" w:themeFillTint="66"/>
          </w:tcPr>
          <w:p w14:paraId="496C70CD" w14:textId="646F0AD3" w:rsidR="00302125" w:rsidRPr="004B7C4D" w:rsidRDefault="00302125" w:rsidP="001C7B8C">
            <w:pPr>
              <w:pStyle w:val="In-tableHeading"/>
              <w:keepNext w:val="0"/>
              <w:jc w:val="center"/>
              <w:rPr>
                <w:b w:val="0"/>
                <w:bCs/>
              </w:rPr>
            </w:pPr>
            <w:r w:rsidRPr="004B7C4D">
              <w:rPr>
                <w:b w:val="0"/>
                <w:bCs/>
              </w:rPr>
              <w:t>16.0 (15.0, 16.8)</w:t>
            </w:r>
          </w:p>
        </w:tc>
        <w:tc>
          <w:tcPr>
            <w:tcW w:w="1667" w:type="pct"/>
            <w:shd w:val="clear" w:color="auto" w:fill="B8CCE4" w:themeFill="accent1" w:themeFillTint="66"/>
          </w:tcPr>
          <w:p w14:paraId="0AD246EB" w14:textId="12FF3FCF" w:rsidR="00302125" w:rsidRPr="004B7C4D" w:rsidRDefault="00302125" w:rsidP="001C7B8C">
            <w:pPr>
              <w:pStyle w:val="In-tableHeading"/>
              <w:keepNext w:val="0"/>
              <w:jc w:val="center"/>
              <w:rPr>
                <w:b w:val="0"/>
                <w:bCs/>
              </w:rPr>
            </w:pPr>
            <w:r w:rsidRPr="004B7C4D">
              <w:rPr>
                <w:b w:val="0"/>
                <w:bCs/>
              </w:rPr>
              <w:t>16.3 (15.0, 17.5)</w:t>
            </w:r>
          </w:p>
        </w:tc>
      </w:tr>
      <w:tr w:rsidR="008F285D" w:rsidRPr="004B7C4D" w14:paraId="7A5BD7CB" w14:textId="77777777" w:rsidTr="009D4198">
        <w:tc>
          <w:tcPr>
            <w:tcW w:w="1666" w:type="pct"/>
            <w:shd w:val="clear" w:color="auto" w:fill="B8CCE4" w:themeFill="accent1" w:themeFillTint="66"/>
          </w:tcPr>
          <w:p w14:paraId="022692E2" w14:textId="653FA50A" w:rsidR="00302125" w:rsidRPr="004B7C4D" w:rsidRDefault="00302125" w:rsidP="001C7B8C">
            <w:pPr>
              <w:pStyle w:val="In-tableHeading"/>
              <w:keepNext w:val="0"/>
              <w:rPr>
                <w:b w:val="0"/>
                <w:bCs/>
              </w:rPr>
            </w:pPr>
            <w:r w:rsidRPr="004B7C4D">
              <w:rPr>
                <w:b w:val="0"/>
                <w:bCs/>
                <w:lang w:val="en-AU"/>
              </w:rPr>
              <w:t>OS</w:t>
            </w:r>
          </w:p>
        </w:tc>
        <w:tc>
          <w:tcPr>
            <w:tcW w:w="1667" w:type="pct"/>
            <w:shd w:val="clear" w:color="auto" w:fill="B8CCE4" w:themeFill="accent1" w:themeFillTint="66"/>
          </w:tcPr>
          <w:p w14:paraId="1CDD98BC" w14:textId="77777777" w:rsidR="00302125" w:rsidRPr="004B7C4D" w:rsidRDefault="00302125" w:rsidP="001C7B8C">
            <w:pPr>
              <w:pStyle w:val="In-tableHeading"/>
              <w:keepNext w:val="0"/>
              <w:jc w:val="center"/>
              <w:rPr>
                <w:b w:val="0"/>
                <w:bCs/>
              </w:rPr>
            </w:pPr>
          </w:p>
        </w:tc>
        <w:tc>
          <w:tcPr>
            <w:tcW w:w="1667" w:type="pct"/>
            <w:shd w:val="clear" w:color="auto" w:fill="B8CCE4" w:themeFill="accent1" w:themeFillTint="66"/>
          </w:tcPr>
          <w:p w14:paraId="7C391ED9" w14:textId="77777777" w:rsidR="00302125" w:rsidRPr="004B7C4D" w:rsidRDefault="00302125" w:rsidP="001C7B8C">
            <w:pPr>
              <w:pStyle w:val="In-tableHeading"/>
              <w:keepNext w:val="0"/>
              <w:jc w:val="center"/>
              <w:rPr>
                <w:b w:val="0"/>
                <w:bCs/>
              </w:rPr>
            </w:pPr>
          </w:p>
        </w:tc>
      </w:tr>
      <w:tr w:rsidR="00274A64" w:rsidRPr="004B7C4D" w14:paraId="0F7E1C76" w14:textId="77777777" w:rsidTr="009D4198">
        <w:tc>
          <w:tcPr>
            <w:tcW w:w="1666" w:type="pct"/>
            <w:shd w:val="clear" w:color="auto" w:fill="B8CCE4" w:themeFill="accent1" w:themeFillTint="66"/>
          </w:tcPr>
          <w:p w14:paraId="5B2A6A1F" w14:textId="55AB5D5A" w:rsidR="00302125" w:rsidRPr="004B7C4D" w:rsidRDefault="00302125" w:rsidP="001C7B8C">
            <w:pPr>
              <w:pStyle w:val="In-tableHeading"/>
              <w:keepNext w:val="0"/>
              <w:rPr>
                <w:b w:val="0"/>
                <w:bCs/>
              </w:rPr>
            </w:pPr>
            <w:r w:rsidRPr="004B7C4D">
              <w:rPr>
                <w:b w:val="0"/>
                <w:bCs/>
              </w:rPr>
              <w:t>Death, n (%)</w:t>
            </w:r>
          </w:p>
        </w:tc>
        <w:tc>
          <w:tcPr>
            <w:tcW w:w="1667" w:type="pct"/>
            <w:shd w:val="clear" w:color="auto" w:fill="B8CCE4" w:themeFill="accent1" w:themeFillTint="66"/>
          </w:tcPr>
          <w:p w14:paraId="05360A52" w14:textId="2A29350A" w:rsidR="00302125" w:rsidRPr="004B7C4D" w:rsidRDefault="00302125" w:rsidP="001C7B8C">
            <w:pPr>
              <w:pStyle w:val="In-tableHeading"/>
              <w:keepNext w:val="0"/>
              <w:jc w:val="center"/>
              <w:rPr>
                <w:b w:val="0"/>
                <w:bCs/>
              </w:rPr>
            </w:pPr>
            <w:r w:rsidRPr="004B7C4D">
              <w:rPr>
                <w:b w:val="0"/>
                <w:bCs/>
              </w:rPr>
              <w:t>259 (67.6)</w:t>
            </w:r>
          </w:p>
        </w:tc>
        <w:tc>
          <w:tcPr>
            <w:tcW w:w="1667" w:type="pct"/>
            <w:shd w:val="clear" w:color="auto" w:fill="B8CCE4" w:themeFill="accent1" w:themeFillTint="66"/>
          </w:tcPr>
          <w:p w14:paraId="0536A437" w14:textId="09E49754" w:rsidR="00302125" w:rsidRPr="004B7C4D" w:rsidRDefault="00302125" w:rsidP="001C7B8C">
            <w:pPr>
              <w:pStyle w:val="In-tableHeading"/>
              <w:keepNext w:val="0"/>
              <w:jc w:val="center"/>
              <w:rPr>
                <w:b w:val="0"/>
                <w:bCs/>
              </w:rPr>
            </w:pPr>
            <w:r w:rsidRPr="004B7C4D">
              <w:rPr>
                <w:b w:val="0"/>
                <w:bCs/>
              </w:rPr>
              <w:t>285 (73.6)</w:t>
            </w:r>
          </w:p>
        </w:tc>
      </w:tr>
      <w:tr w:rsidR="00274A64" w:rsidRPr="004B7C4D" w14:paraId="37F02C14" w14:textId="77777777" w:rsidTr="009D4198">
        <w:tc>
          <w:tcPr>
            <w:tcW w:w="1666" w:type="pct"/>
            <w:shd w:val="clear" w:color="auto" w:fill="B8CCE4" w:themeFill="accent1" w:themeFillTint="66"/>
          </w:tcPr>
          <w:p w14:paraId="70C16BA9" w14:textId="218E2B10" w:rsidR="00302125" w:rsidRPr="004B7C4D" w:rsidRDefault="00302125" w:rsidP="001C7B8C">
            <w:pPr>
              <w:pStyle w:val="In-tableHeading"/>
              <w:keepNext w:val="0"/>
              <w:rPr>
                <w:b w:val="0"/>
                <w:bCs/>
              </w:rPr>
            </w:pPr>
            <w:r w:rsidRPr="004B7C4D">
              <w:rPr>
                <w:b w:val="0"/>
                <w:bCs/>
              </w:rPr>
              <w:t>Censored, n (%)</w:t>
            </w:r>
          </w:p>
        </w:tc>
        <w:tc>
          <w:tcPr>
            <w:tcW w:w="1667" w:type="pct"/>
            <w:shd w:val="clear" w:color="auto" w:fill="B8CCE4" w:themeFill="accent1" w:themeFillTint="66"/>
          </w:tcPr>
          <w:p w14:paraId="474C3718" w14:textId="6616CB78" w:rsidR="00302125" w:rsidRPr="004B7C4D" w:rsidRDefault="00302125" w:rsidP="001C7B8C">
            <w:pPr>
              <w:pStyle w:val="In-tableHeading"/>
              <w:keepNext w:val="0"/>
              <w:jc w:val="center"/>
              <w:rPr>
                <w:b w:val="0"/>
                <w:bCs/>
              </w:rPr>
            </w:pPr>
            <w:r w:rsidRPr="004B7C4D">
              <w:rPr>
                <w:b w:val="0"/>
                <w:bCs/>
              </w:rPr>
              <w:t>124 (32.4)</w:t>
            </w:r>
          </w:p>
        </w:tc>
        <w:tc>
          <w:tcPr>
            <w:tcW w:w="1667" w:type="pct"/>
            <w:shd w:val="clear" w:color="auto" w:fill="B8CCE4" w:themeFill="accent1" w:themeFillTint="66"/>
          </w:tcPr>
          <w:p w14:paraId="51EA6192" w14:textId="13889F73" w:rsidR="00302125" w:rsidRPr="004B7C4D" w:rsidRDefault="00302125" w:rsidP="001C7B8C">
            <w:pPr>
              <w:pStyle w:val="In-tableHeading"/>
              <w:keepNext w:val="0"/>
              <w:jc w:val="center"/>
              <w:rPr>
                <w:b w:val="0"/>
                <w:bCs/>
              </w:rPr>
            </w:pPr>
            <w:r w:rsidRPr="004B7C4D">
              <w:rPr>
                <w:b w:val="0"/>
                <w:bCs/>
              </w:rPr>
              <w:t>102 (26.4)</w:t>
            </w:r>
          </w:p>
        </w:tc>
      </w:tr>
      <w:tr w:rsidR="00274A64" w:rsidRPr="004B7C4D" w14:paraId="713AB3D8" w14:textId="77777777" w:rsidTr="009D4198">
        <w:tc>
          <w:tcPr>
            <w:tcW w:w="1666" w:type="pct"/>
            <w:shd w:val="clear" w:color="auto" w:fill="B8CCE4" w:themeFill="accent1" w:themeFillTint="66"/>
          </w:tcPr>
          <w:p w14:paraId="4D483AF2" w14:textId="7B59C4FB" w:rsidR="00302125" w:rsidRPr="004B7C4D" w:rsidRDefault="00302125" w:rsidP="001C7B8C">
            <w:pPr>
              <w:pStyle w:val="In-tableHeading"/>
              <w:keepNext w:val="0"/>
              <w:rPr>
                <w:b w:val="0"/>
                <w:bCs/>
              </w:rPr>
            </w:pPr>
            <w:r w:rsidRPr="004B7C4D">
              <w:rPr>
                <w:b w:val="0"/>
                <w:bCs/>
              </w:rPr>
              <w:t>Event free probability, n, % (95% CI)</w:t>
            </w:r>
          </w:p>
        </w:tc>
        <w:tc>
          <w:tcPr>
            <w:tcW w:w="1667" w:type="pct"/>
            <w:shd w:val="clear" w:color="auto" w:fill="B8CCE4" w:themeFill="accent1" w:themeFillTint="66"/>
          </w:tcPr>
          <w:p w14:paraId="670A37C5" w14:textId="77777777" w:rsidR="00302125" w:rsidRPr="004B7C4D" w:rsidRDefault="00302125" w:rsidP="001C7B8C">
            <w:pPr>
              <w:pStyle w:val="In-tableHeading"/>
              <w:keepNext w:val="0"/>
              <w:jc w:val="center"/>
              <w:rPr>
                <w:b w:val="0"/>
                <w:bCs/>
              </w:rPr>
            </w:pPr>
          </w:p>
        </w:tc>
        <w:tc>
          <w:tcPr>
            <w:tcW w:w="1667" w:type="pct"/>
            <w:shd w:val="clear" w:color="auto" w:fill="B8CCE4" w:themeFill="accent1" w:themeFillTint="66"/>
          </w:tcPr>
          <w:p w14:paraId="0E0A62F3" w14:textId="77777777" w:rsidR="00302125" w:rsidRPr="004B7C4D" w:rsidRDefault="00302125" w:rsidP="001C7B8C">
            <w:pPr>
              <w:pStyle w:val="In-tableHeading"/>
              <w:keepNext w:val="0"/>
              <w:jc w:val="center"/>
              <w:rPr>
                <w:b w:val="0"/>
                <w:bCs/>
              </w:rPr>
            </w:pPr>
          </w:p>
        </w:tc>
      </w:tr>
      <w:tr w:rsidR="008F285D" w:rsidRPr="004B7C4D" w14:paraId="6F93987C" w14:textId="77777777" w:rsidTr="009D4198">
        <w:tc>
          <w:tcPr>
            <w:tcW w:w="1666" w:type="pct"/>
            <w:shd w:val="clear" w:color="auto" w:fill="B8CCE4" w:themeFill="accent1" w:themeFillTint="66"/>
          </w:tcPr>
          <w:p w14:paraId="1A376A53" w14:textId="3DE6D8F4" w:rsidR="00302125" w:rsidRPr="004B7C4D" w:rsidRDefault="00302125" w:rsidP="001C7B8C">
            <w:pPr>
              <w:pStyle w:val="In-tableHeading"/>
              <w:keepNext w:val="0"/>
              <w:rPr>
                <w:b w:val="0"/>
                <w:bCs/>
              </w:rPr>
            </w:pPr>
            <w:r w:rsidRPr="004B7C4D">
              <w:rPr>
                <w:b w:val="0"/>
                <w:bCs/>
              </w:rPr>
              <w:tab/>
              <w:t>3 months</w:t>
            </w:r>
          </w:p>
        </w:tc>
        <w:tc>
          <w:tcPr>
            <w:tcW w:w="1667" w:type="pct"/>
            <w:shd w:val="clear" w:color="auto" w:fill="B8CCE4" w:themeFill="accent1" w:themeFillTint="66"/>
          </w:tcPr>
          <w:p w14:paraId="5AF6C027" w14:textId="5C1DE793" w:rsidR="00302125" w:rsidRPr="004B7C4D" w:rsidRDefault="00302125" w:rsidP="001C7B8C">
            <w:pPr>
              <w:pStyle w:val="In-tableHeading"/>
              <w:keepNext w:val="0"/>
              <w:jc w:val="center"/>
              <w:rPr>
                <w:b w:val="0"/>
                <w:bCs/>
              </w:rPr>
            </w:pPr>
            <w:r w:rsidRPr="004B7C4D">
              <w:rPr>
                <w:b w:val="0"/>
                <w:bCs/>
              </w:rPr>
              <w:t>319, 84.2 (80.2, 87.5)</w:t>
            </w:r>
          </w:p>
        </w:tc>
        <w:tc>
          <w:tcPr>
            <w:tcW w:w="1667" w:type="pct"/>
            <w:shd w:val="clear" w:color="auto" w:fill="B8CCE4" w:themeFill="accent1" w:themeFillTint="66"/>
          </w:tcPr>
          <w:p w14:paraId="47367561" w14:textId="0249D191" w:rsidR="00302125" w:rsidRPr="004B7C4D" w:rsidRDefault="00302125" w:rsidP="001C7B8C">
            <w:pPr>
              <w:pStyle w:val="In-tableHeading"/>
              <w:keepNext w:val="0"/>
              <w:jc w:val="center"/>
              <w:rPr>
                <w:b w:val="0"/>
                <w:bCs/>
              </w:rPr>
            </w:pPr>
            <w:r w:rsidRPr="004B7C4D">
              <w:rPr>
                <w:b w:val="0"/>
                <w:bCs/>
              </w:rPr>
              <w:t>315, 82.5 (78.3, 86.0)</w:t>
            </w:r>
          </w:p>
        </w:tc>
      </w:tr>
      <w:tr w:rsidR="00A05951" w:rsidRPr="004B7C4D" w14:paraId="26DCF19C" w14:textId="77777777" w:rsidTr="009D4198">
        <w:tc>
          <w:tcPr>
            <w:tcW w:w="1666" w:type="pct"/>
            <w:shd w:val="clear" w:color="auto" w:fill="B8CCE4" w:themeFill="accent1" w:themeFillTint="66"/>
          </w:tcPr>
          <w:p w14:paraId="1182B417" w14:textId="64F94F03" w:rsidR="00302125" w:rsidRPr="004B7C4D" w:rsidRDefault="00302125" w:rsidP="001C7B8C">
            <w:pPr>
              <w:pStyle w:val="In-tableHeading"/>
              <w:keepNext w:val="0"/>
              <w:rPr>
                <w:b w:val="0"/>
                <w:bCs/>
              </w:rPr>
            </w:pPr>
            <w:r w:rsidRPr="004B7C4D">
              <w:rPr>
                <w:b w:val="0"/>
                <w:bCs/>
              </w:rPr>
              <w:lastRenderedPageBreak/>
              <w:tab/>
              <w:t>6 months</w:t>
            </w:r>
          </w:p>
        </w:tc>
        <w:tc>
          <w:tcPr>
            <w:tcW w:w="1667" w:type="pct"/>
            <w:shd w:val="clear" w:color="auto" w:fill="B8CCE4" w:themeFill="accent1" w:themeFillTint="66"/>
          </w:tcPr>
          <w:p w14:paraId="5E43919F" w14:textId="4B590DCB" w:rsidR="00302125" w:rsidRPr="004B7C4D" w:rsidRDefault="00302125" w:rsidP="001C7B8C">
            <w:pPr>
              <w:pStyle w:val="In-tableHeading"/>
              <w:keepNext w:val="0"/>
              <w:jc w:val="center"/>
              <w:rPr>
                <w:b w:val="0"/>
                <w:bCs/>
              </w:rPr>
            </w:pPr>
            <w:r w:rsidRPr="004B7C4D">
              <w:rPr>
                <w:b w:val="0"/>
                <w:bCs/>
              </w:rPr>
              <w:t>274, 72.4 (67.6, 76.6)</w:t>
            </w:r>
          </w:p>
        </w:tc>
        <w:tc>
          <w:tcPr>
            <w:tcW w:w="1667" w:type="pct"/>
            <w:shd w:val="clear" w:color="auto" w:fill="B8CCE4" w:themeFill="accent1" w:themeFillTint="66"/>
          </w:tcPr>
          <w:p w14:paraId="61367499" w14:textId="3272FE36" w:rsidR="00302125" w:rsidRPr="004B7C4D" w:rsidRDefault="00302125" w:rsidP="001C7B8C">
            <w:pPr>
              <w:pStyle w:val="In-tableHeading"/>
              <w:keepNext w:val="0"/>
              <w:jc w:val="center"/>
              <w:rPr>
                <w:b w:val="0"/>
                <w:bCs/>
              </w:rPr>
            </w:pPr>
            <w:r w:rsidRPr="004B7C4D">
              <w:rPr>
                <w:b w:val="0"/>
                <w:bCs/>
              </w:rPr>
              <w:t>261, 68.4 (63.5, 72.8)</w:t>
            </w:r>
          </w:p>
        </w:tc>
      </w:tr>
      <w:tr w:rsidR="00A05951" w:rsidRPr="004B7C4D" w14:paraId="00BCB882" w14:textId="77777777" w:rsidTr="009D4198">
        <w:tc>
          <w:tcPr>
            <w:tcW w:w="1666" w:type="pct"/>
            <w:shd w:val="clear" w:color="auto" w:fill="B8CCE4" w:themeFill="accent1" w:themeFillTint="66"/>
          </w:tcPr>
          <w:p w14:paraId="4E575209" w14:textId="008F32D1" w:rsidR="00302125" w:rsidRPr="004B7C4D" w:rsidRDefault="00302125" w:rsidP="001C7B8C">
            <w:pPr>
              <w:pStyle w:val="In-tableHeading"/>
              <w:keepNext w:val="0"/>
              <w:rPr>
                <w:b w:val="0"/>
                <w:bCs/>
              </w:rPr>
            </w:pPr>
            <w:r w:rsidRPr="004B7C4D">
              <w:rPr>
                <w:b w:val="0"/>
                <w:bCs/>
              </w:rPr>
              <w:tab/>
              <w:t>9 months</w:t>
            </w:r>
          </w:p>
        </w:tc>
        <w:tc>
          <w:tcPr>
            <w:tcW w:w="1667" w:type="pct"/>
            <w:shd w:val="clear" w:color="auto" w:fill="B8CCE4" w:themeFill="accent1" w:themeFillTint="66"/>
          </w:tcPr>
          <w:p w14:paraId="06F2F758" w14:textId="109D1D32" w:rsidR="00302125" w:rsidRPr="004B7C4D" w:rsidRDefault="00302125" w:rsidP="001C7B8C">
            <w:pPr>
              <w:pStyle w:val="In-tableHeading"/>
              <w:keepNext w:val="0"/>
              <w:jc w:val="center"/>
              <w:rPr>
                <w:b w:val="0"/>
                <w:bCs/>
              </w:rPr>
            </w:pPr>
            <w:r w:rsidRPr="004B7C4D">
              <w:rPr>
                <w:b w:val="0"/>
                <w:bCs/>
              </w:rPr>
              <w:t>220, 58.1 (53.0, 62.9)</w:t>
            </w:r>
          </w:p>
        </w:tc>
        <w:tc>
          <w:tcPr>
            <w:tcW w:w="1667" w:type="pct"/>
            <w:shd w:val="clear" w:color="auto" w:fill="B8CCE4" w:themeFill="accent1" w:themeFillTint="66"/>
          </w:tcPr>
          <w:p w14:paraId="320796CE" w14:textId="7675D384" w:rsidR="00302125" w:rsidRPr="004B7C4D" w:rsidRDefault="00302125" w:rsidP="001C7B8C">
            <w:pPr>
              <w:pStyle w:val="In-tableHeading"/>
              <w:keepNext w:val="0"/>
              <w:jc w:val="center"/>
              <w:rPr>
                <w:b w:val="0"/>
                <w:bCs/>
              </w:rPr>
            </w:pPr>
            <w:r w:rsidRPr="004B7C4D">
              <w:rPr>
                <w:b w:val="0"/>
                <w:bCs/>
              </w:rPr>
              <w:t>196, 51.8 (46.7, 56.7)</w:t>
            </w:r>
          </w:p>
        </w:tc>
      </w:tr>
      <w:tr w:rsidR="00A05951" w:rsidRPr="004B7C4D" w14:paraId="1DE54E39" w14:textId="77777777" w:rsidTr="009D4198">
        <w:tc>
          <w:tcPr>
            <w:tcW w:w="1666" w:type="pct"/>
            <w:shd w:val="clear" w:color="auto" w:fill="B8CCE4" w:themeFill="accent1" w:themeFillTint="66"/>
          </w:tcPr>
          <w:p w14:paraId="739BBFF5" w14:textId="214057D1" w:rsidR="00302125" w:rsidRPr="004B7C4D" w:rsidRDefault="00302125" w:rsidP="001C7B8C">
            <w:pPr>
              <w:pStyle w:val="In-tableHeading"/>
              <w:keepNext w:val="0"/>
              <w:rPr>
                <w:b w:val="0"/>
                <w:bCs/>
              </w:rPr>
            </w:pPr>
            <w:r w:rsidRPr="004B7C4D">
              <w:rPr>
                <w:b w:val="0"/>
                <w:bCs/>
              </w:rPr>
              <w:tab/>
              <w:t>12 months</w:t>
            </w:r>
          </w:p>
        </w:tc>
        <w:tc>
          <w:tcPr>
            <w:tcW w:w="1667" w:type="pct"/>
            <w:shd w:val="clear" w:color="auto" w:fill="B8CCE4" w:themeFill="accent1" w:themeFillTint="66"/>
          </w:tcPr>
          <w:p w14:paraId="39201B7B" w14:textId="3C75BB87" w:rsidR="00302125" w:rsidRPr="004B7C4D" w:rsidRDefault="00302125" w:rsidP="001C7B8C">
            <w:pPr>
              <w:pStyle w:val="In-tableHeading"/>
              <w:keepNext w:val="0"/>
              <w:jc w:val="center"/>
              <w:rPr>
                <w:b w:val="0"/>
                <w:bCs/>
              </w:rPr>
            </w:pPr>
            <w:r w:rsidRPr="004B7C4D">
              <w:rPr>
                <w:b w:val="0"/>
                <w:bCs/>
              </w:rPr>
              <w:t>162, 45.6 (40.5, 50.5)</w:t>
            </w:r>
          </w:p>
        </w:tc>
        <w:tc>
          <w:tcPr>
            <w:tcW w:w="1667" w:type="pct"/>
            <w:shd w:val="clear" w:color="auto" w:fill="B8CCE4" w:themeFill="accent1" w:themeFillTint="66"/>
          </w:tcPr>
          <w:p w14:paraId="1FCB12BB" w14:textId="0BA7F247" w:rsidR="00302125" w:rsidRPr="004B7C4D" w:rsidRDefault="00302125" w:rsidP="001C7B8C">
            <w:pPr>
              <w:pStyle w:val="In-tableHeading"/>
              <w:keepNext w:val="0"/>
              <w:jc w:val="center"/>
              <w:rPr>
                <w:b w:val="0"/>
                <w:bCs/>
              </w:rPr>
            </w:pPr>
            <w:r w:rsidRPr="004B7C4D">
              <w:rPr>
                <w:b w:val="0"/>
                <w:bCs/>
              </w:rPr>
              <w:t>140, 39.5 (34.6, 44.4)</w:t>
            </w:r>
          </w:p>
        </w:tc>
      </w:tr>
      <w:tr w:rsidR="00A05951" w:rsidRPr="004B7C4D" w14:paraId="04914299" w14:textId="77777777" w:rsidTr="009D4198">
        <w:tc>
          <w:tcPr>
            <w:tcW w:w="1666" w:type="pct"/>
            <w:shd w:val="clear" w:color="auto" w:fill="B8CCE4" w:themeFill="accent1" w:themeFillTint="66"/>
          </w:tcPr>
          <w:p w14:paraId="6F737CDB" w14:textId="4506452A" w:rsidR="00302125" w:rsidRPr="004B7C4D" w:rsidRDefault="00302125" w:rsidP="001C7B8C">
            <w:pPr>
              <w:pStyle w:val="In-tableHeading"/>
              <w:keepNext w:val="0"/>
              <w:rPr>
                <w:b w:val="0"/>
                <w:bCs/>
              </w:rPr>
            </w:pPr>
            <w:r w:rsidRPr="004B7C4D">
              <w:rPr>
                <w:b w:val="0"/>
                <w:bCs/>
              </w:rPr>
              <w:tab/>
              <w:t>18 months</w:t>
            </w:r>
          </w:p>
        </w:tc>
        <w:tc>
          <w:tcPr>
            <w:tcW w:w="1667" w:type="pct"/>
            <w:shd w:val="clear" w:color="auto" w:fill="B8CCE4" w:themeFill="accent1" w:themeFillTint="66"/>
          </w:tcPr>
          <w:p w14:paraId="3C89D4B2" w14:textId="1C983F04" w:rsidR="00302125" w:rsidRPr="004B7C4D" w:rsidRDefault="00302125" w:rsidP="001C7B8C">
            <w:pPr>
              <w:pStyle w:val="In-tableHeading"/>
              <w:keepNext w:val="0"/>
              <w:jc w:val="center"/>
              <w:rPr>
                <w:b w:val="0"/>
                <w:bCs/>
              </w:rPr>
            </w:pPr>
            <w:r w:rsidRPr="004B7C4D">
              <w:rPr>
                <w:b w:val="0"/>
                <w:bCs/>
              </w:rPr>
              <w:t>32, 26.2 (20.9, 31.7)</w:t>
            </w:r>
          </w:p>
        </w:tc>
        <w:tc>
          <w:tcPr>
            <w:tcW w:w="1667" w:type="pct"/>
            <w:shd w:val="clear" w:color="auto" w:fill="B8CCE4" w:themeFill="accent1" w:themeFillTint="66"/>
          </w:tcPr>
          <w:p w14:paraId="0EB18350" w14:textId="17B63F5E" w:rsidR="00302125" w:rsidRPr="004B7C4D" w:rsidRDefault="00302125" w:rsidP="001C7B8C">
            <w:pPr>
              <w:pStyle w:val="In-tableHeading"/>
              <w:keepNext w:val="0"/>
              <w:jc w:val="center"/>
              <w:rPr>
                <w:b w:val="0"/>
                <w:bCs/>
              </w:rPr>
            </w:pPr>
            <w:r w:rsidRPr="004B7C4D">
              <w:rPr>
                <w:b w:val="0"/>
                <w:bCs/>
              </w:rPr>
              <w:t>28, 19.3 (14.8, 24.2)</w:t>
            </w:r>
          </w:p>
        </w:tc>
      </w:tr>
      <w:tr w:rsidR="00274A64" w:rsidRPr="004B7C4D" w14:paraId="3CDF8F5D" w14:textId="77777777" w:rsidTr="009D4198">
        <w:tc>
          <w:tcPr>
            <w:tcW w:w="1666" w:type="pct"/>
            <w:shd w:val="clear" w:color="auto" w:fill="B8CCE4" w:themeFill="accent1" w:themeFillTint="66"/>
          </w:tcPr>
          <w:p w14:paraId="710A8F99" w14:textId="698F4E64" w:rsidR="005401EE" w:rsidRPr="004B7C4D" w:rsidRDefault="005401EE" w:rsidP="001C7B8C">
            <w:pPr>
              <w:pStyle w:val="In-tableHeading"/>
              <w:keepNext w:val="0"/>
              <w:rPr>
                <w:b w:val="0"/>
                <w:bCs/>
              </w:rPr>
            </w:pPr>
            <w:r w:rsidRPr="004B7C4D">
              <w:rPr>
                <w:b w:val="0"/>
                <w:bCs/>
              </w:rPr>
              <w:t>Median (95% CI), months</w:t>
            </w:r>
          </w:p>
        </w:tc>
        <w:tc>
          <w:tcPr>
            <w:tcW w:w="1667" w:type="pct"/>
            <w:shd w:val="clear" w:color="auto" w:fill="B8CCE4" w:themeFill="accent1" w:themeFillTint="66"/>
          </w:tcPr>
          <w:p w14:paraId="3D33E43B" w14:textId="39BF52C2" w:rsidR="005401EE" w:rsidRPr="004B7C4D" w:rsidRDefault="005401EE" w:rsidP="001C7B8C">
            <w:pPr>
              <w:pStyle w:val="In-tableHeading"/>
              <w:keepNext w:val="0"/>
              <w:jc w:val="center"/>
              <w:rPr>
                <w:b w:val="0"/>
                <w:bCs/>
              </w:rPr>
            </w:pPr>
            <w:r w:rsidRPr="004B7C4D">
              <w:t>11.1 (10.0, 12.1)</w:t>
            </w:r>
          </w:p>
        </w:tc>
        <w:tc>
          <w:tcPr>
            <w:tcW w:w="1667" w:type="pct"/>
            <w:shd w:val="clear" w:color="auto" w:fill="B8CCE4" w:themeFill="accent1" w:themeFillTint="66"/>
          </w:tcPr>
          <w:p w14:paraId="0AC78AD2" w14:textId="7BD69CB0" w:rsidR="005401EE" w:rsidRPr="004B7C4D" w:rsidRDefault="005401EE" w:rsidP="001C7B8C">
            <w:pPr>
              <w:pStyle w:val="In-tableHeading"/>
              <w:keepNext w:val="0"/>
              <w:jc w:val="center"/>
              <w:rPr>
                <w:b w:val="0"/>
                <w:bCs/>
              </w:rPr>
            </w:pPr>
            <w:r w:rsidRPr="004B7C4D">
              <w:t>9.2 (8.3, 10.6)</w:t>
            </w:r>
          </w:p>
        </w:tc>
      </w:tr>
      <w:tr w:rsidR="00274A64" w:rsidRPr="004B7C4D" w14:paraId="27DE3F66" w14:textId="77777777" w:rsidTr="009D4198">
        <w:tc>
          <w:tcPr>
            <w:tcW w:w="1666" w:type="pct"/>
            <w:shd w:val="clear" w:color="auto" w:fill="B8CCE4" w:themeFill="accent1" w:themeFillTint="66"/>
          </w:tcPr>
          <w:p w14:paraId="1C796FDD" w14:textId="7345FF53" w:rsidR="005401EE" w:rsidRPr="004B7C4D" w:rsidRDefault="005401EE" w:rsidP="001C7B8C">
            <w:pPr>
              <w:pStyle w:val="In-tableHeading"/>
              <w:keepNext w:val="0"/>
              <w:rPr>
                <w:b w:val="0"/>
                <w:bCs/>
              </w:rPr>
            </w:pPr>
            <w:r w:rsidRPr="004B7C4D">
              <w:rPr>
                <w:b w:val="0"/>
                <w:bCs/>
              </w:rPr>
              <w:t>Stratified HR (95% CI; p-value)</w:t>
            </w:r>
          </w:p>
        </w:tc>
        <w:tc>
          <w:tcPr>
            <w:tcW w:w="3334" w:type="pct"/>
            <w:gridSpan w:val="2"/>
            <w:shd w:val="clear" w:color="auto" w:fill="B8CCE4" w:themeFill="accent1" w:themeFillTint="66"/>
          </w:tcPr>
          <w:p w14:paraId="1D25873C" w14:textId="508BA22E" w:rsidR="005401EE" w:rsidRPr="004B7C4D" w:rsidRDefault="005401EE" w:rsidP="001C7B8C">
            <w:pPr>
              <w:pStyle w:val="In-tableHeading"/>
              <w:keepNext w:val="0"/>
              <w:jc w:val="center"/>
              <w:rPr>
                <w:b w:val="0"/>
                <w:bCs/>
              </w:rPr>
            </w:pPr>
            <w:r w:rsidRPr="004B7C4D">
              <w:t>0.83 (0.70, 0.99; p=0.04)</w:t>
            </w:r>
          </w:p>
        </w:tc>
      </w:tr>
      <w:tr w:rsidR="00274A64" w:rsidRPr="004B7C4D" w14:paraId="00EBF91F" w14:textId="77777777" w:rsidTr="009D4198">
        <w:tc>
          <w:tcPr>
            <w:tcW w:w="1666" w:type="pct"/>
            <w:shd w:val="clear" w:color="auto" w:fill="B8CCE4" w:themeFill="accent1" w:themeFillTint="66"/>
          </w:tcPr>
          <w:p w14:paraId="6270BC53" w14:textId="289DEDEA" w:rsidR="005401EE" w:rsidRPr="004B7C4D" w:rsidRDefault="005401EE" w:rsidP="001C7B8C">
            <w:pPr>
              <w:pStyle w:val="In-tableHeading"/>
              <w:keepNext w:val="0"/>
              <w:rPr>
                <w:b w:val="0"/>
                <w:bCs/>
              </w:rPr>
            </w:pPr>
            <w:r w:rsidRPr="004B7C4D">
              <w:rPr>
                <w:b w:val="0"/>
                <w:bCs/>
              </w:rPr>
              <w:t>Unstratified HR (95% CI; p-value)</w:t>
            </w:r>
          </w:p>
        </w:tc>
        <w:tc>
          <w:tcPr>
            <w:tcW w:w="3334" w:type="pct"/>
            <w:gridSpan w:val="2"/>
            <w:shd w:val="clear" w:color="auto" w:fill="B8CCE4" w:themeFill="accent1" w:themeFillTint="66"/>
          </w:tcPr>
          <w:p w14:paraId="00EC1BE5" w14:textId="4741461B" w:rsidR="005401EE" w:rsidRPr="004B7C4D" w:rsidRDefault="005401EE" w:rsidP="001C7B8C">
            <w:pPr>
              <w:pStyle w:val="In-tableHeading"/>
              <w:keepNext w:val="0"/>
              <w:jc w:val="center"/>
              <w:rPr>
                <w:b w:val="0"/>
                <w:bCs/>
              </w:rPr>
            </w:pPr>
            <w:r w:rsidRPr="004B7C4D">
              <w:t>0.84 (0.71, 0.99; p=0.04)</w:t>
            </w:r>
          </w:p>
        </w:tc>
      </w:tr>
      <w:tr w:rsidR="005401EE" w:rsidRPr="004B7C4D" w14:paraId="4C99F6FA" w14:textId="77777777">
        <w:tc>
          <w:tcPr>
            <w:tcW w:w="5000" w:type="pct"/>
            <w:gridSpan w:val="3"/>
            <w:shd w:val="clear" w:color="auto" w:fill="B8CCE4" w:themeFill="accent1" w:themeFillTint="66"/>
          </w:tcPr>
          <w:p w14:paraId="0FB5CD84" w14:textId="59CFE511" w:rsidR="005401EE" w:rsidRPr="004B7C4D" w:rsidRDefault="005401EE" w:rsidP="001C7B8C">
            <w:pPr>
              <w:pStyle w:val="In-tableHeading"/>
              <w:keepNext w:val="0"/>
            </w:pPr>
            <w:r w:rsidRPr="004B7C4D">
              <w:t>PFS</w:t>
            </w:r>
          </w:p>
        </w:tc>
      </w:tr>
      <w:tr w:rsidR="005401EE" w:rsidRPr="004B7C4D" w14:paraId="1179B90D" w14:textId="77777777" w:rsidTr="00302125">
        <w:tc>
          <w:tcPr>
            <w:tcW w:w="1666" w:type="pct"/>
            <w:shd w:val="clear" w:color="auto" w:fill="B8CCE4" w:themeFill="accent1" w:themeFillTint="66"/>
          </w:tcPr>
          <w:p w14:paraId="49A4AD3C" w14:textId="77777777" w:rsidR="005401EE" w:rsidRPr="004B7C4D" w:rsidRDefault="005401EE" w:rsidP="001C7B8C">
            <w:pPr>
              <w:pStyle w:val="TableText0"/>
              <w:keepNext w:val="0"/>
            </w:pPr>
            <w:r w:rsidRPr="004B7C4D">
              <w:t>Median (95% CI) follow-up, months</w:t>
            </w:r>
          </w:p>
        </w:tc>
        <w:tc>
          <w:tcPr>
            <w:tcW w:w="1667" w:type="pct"/>
            <w:shd w:val="clear" w:color="auto" w:fill="B8CCE4" w:themeFill="accent1" w:themeFillTint="66"/>
          </w:tcPr>
          <w:p w14:paraId="4D96BD86" w14:textId="77777777" w:rsidR="005401EE" w:rsidRPr="004B7C4D" w:rsidRDefault="005401EE" w:rsidP="001C7B8C">
            <w:pPr>
              <w:pStyle w:val="TableText0"/>
              <w:keepNext w:val="0"/>
              <w:jc w:val="center"/>
            </w:pPr>
            <w:r w:rsidRPr="004B7C4D">
              <w:t>16.0 (15.0, 16.8)</w:t>
            </w:r>
          </w:p>
        </w:tc>
        <w:tc>
          <w:tcPr>
            <w:tcW w:w="1667" w:type="pct"/>
            <w:shd w:val="clear" w:color="auto" w:fill="B8CCE4" w:themeFill="accent1" w:themeFillTint="66"/>
          </w:tcPr>
          <w:p w14:paraId="2AF198A5" w14:textId="77777777" w:rsidR="005401EE" w:rsidRPr="004B7C4D" w:rsidRDefault="005401EE" w:rsidP="001C7B8C">
            <w:pPr>
              <w:pStyle w:val="TableText0"/>
              <w:keepNext w:val="0"/>
              <w:jc w:val="center"/>
            </w:pPr>
            <w:r w:rsidRPr="004B7C4D">
              <w:t>16.3 (15.0, 17.5)</w:t>
            </w:r>
          </w:p>
        </w:tc>
      </w:tr>
      <w:tr w:rsidR="005401EE" w:rsidRPr="004B7C4D" w14:paraId="09AED2BC" w14:textId="77777777" w:rsidTr="00302125">
        <w:tc>
          <w:tcPr>
            <w:tcW w:w="1666" w:type="pct"/>
            <w:shd w:val="clear" w:color="auto" w:fill="B8CCE4" w:themeFill="accent1" w:themeFillTint="66"/>
          </w:tcPr>
          <w:p w14:paraId="05BCE9AA" w14:textId="77777777" w:rsidR="005401EE" w:rsidRPr="004B7C4D" w:rsidRDefault="005401EE" w:rsidP="001C7B8C">
            <w:pPr>
              <w:pStyle w:val="TableText0"/>
              <w:keepNext w:val="0"/>
            </w:pPr>
            <w:r w:rsidRPr="004B7C4D">
              <w:t>Patients with PFS Event, n (%)</w:t>
            </w:r>
          </w:p>
        </w:tc>
        <w:tc>
          <w:tcPr>
            <w:tcW w:w="1667" w:type="pct"/>
            <w:shd w:val="clear" w:color="auto" w:fill="B8CCE4" w:themeFill="accent1" w:themeFillTint="66"/>
          </w:tcPr>
          <w:p w14:paraId="3B5CCC3D" w14:textId="77777777" w:rsidR="005401EE" w:rsidRPr="004B7C4D" w:rsidRDefault="005401EE" w:rsidP="001C7B8C">
            <w:pPr>
              <w:pStyle w:val="TableText0"/>
              <w:keepNext w:val="0"/>
              <w:jc w:val="center"/>
            </w:pPr>
            <w:r w:rsidRPr="004B7C4D">
              <w:t>249 (65.0)</w:t>
            </w:r>
          </w:p>
        </w:tc>
        <w:tc>
          <w:tcPr>
            <w:tcW w:w="1667" w:type="pct"/>
            <w:shd w:val="clear" w:color="auto" w:fill="B8CCE4" w:themeFill="accent1" w:themeFillTint="66"/>
          </w:tcPr>
          <w:p w14:paraId="721423D0" w14:textId="77777777" w:rsidR="005401EE" w:rsidRPr="004B7C4D" w:rsidRDefault="005401EE" w:rsidP="001C7B8C">
            <w:pPr>
              <w:pStyle w:val="TableText0"/>
              <w:keepNext w:val="0"/>
              <w:jc w:val="center"/>
            </w:pPr>
            <w:r w:rsidRPr="004B7C4D">
              <w:t>259 (66.9)</w:t>
            </w:r>
          </w:p>
        </w:tc>
      </w:tr>
      <w:tr w:rsidR="005401EE" w:rsidRPr="004B7C4D" w14:paraId="78B093F3" w14:textId="77777777" w:rsidTr="00302125">
        <w:tc>
          <w:tcPr>
            <w:tcW w:w="1666" w:type="pct"/>
            <w:shd w:val="clear" w:color="auto" w:fill="B8CCE4" w:themeFill="accent1" w:themeFillTint="66"/>
          </w:tcPr>
          <w:p w14:paraId="12D726A1" w14:textId="77777777" w:rsidR="005401EE" w:rsidRPr="004B7C4D" w:rsidRDefault="005401EE" w:rsidP="001C7B8C">
            <w:pPr>
              <w:pStyle w:val="TableText0"/>
              <w:keepNext w:val="0"/>
            </w:pPr>
            <w:r w:rsidRPr="004B7C4D">
              <w:tab/>
              <w:t>PD</w:t>
            </w:r>
          </w:p>
        </w:tc>
        <w:tc>
          <w:tcPr>
            <w:tcW w:w="1667" w:type="pct"/>
            <w:shd w:val="clear" w:color="auto" w:fill="B8CCE4" w:themeFill="accent1" w:themeFillTint="66"/>
          </w:tcPr>
          <w:p w14:paraId="62F1A808" w14:textId="77777777" w:rsidR="005401EE" w:rsidRPr="004B7C4D" w:rsidRDefault="005401EE" w:rsidP="001C7B8C">
            <w:pPr>
              <w:pStyle w:val="TableText0"/>
              <w:keepNext w:val="0"/>
              <w:jc w:val="center"/>
            </w:pPr>
            <w:r w:rsidRPr="004B7C4D">
              <w:t>183 (47.8)</w:t>
            </w:r>
          </w:p>
        </w:tc>
        <w:tc>
          <w:tcPr>
            <w:tcW w:w="1667" w:type="pct"/>
            <w:shd w:val="clear" w:color="auto" w:fill="B8CCE4" w:themeFill="accent1" w:themeFillTint="66"/>
          </w:tcPr>
          <w:p w14:paraId="6BC827ED" w14:textId="77777777" w:rsidR="005401EE" w:rsidRPr="004B7C4D" w:rsidRDefault="005401EE" w:rsidP="001C7B8C">
            <w:pPr>
              <w:pStyle w:val="TableText0"/>
              <w:keepNext w:val="0"/>
              <w:jc w:val="center"/>
            </w:pPr>
            <w:r w:rsidRPr="004B7C4D">
              <w:t>176 (45.5)</w:t>
            </w:r>
          </w:p>
        </w:tc>
      </w:tr>
      <w:tr w:rsidR="005401EE" w:rsidRPr="004B7C4D" w14:paraId="08C7602D" w14:textId="77777777" w:rsidTr="00302125">
        <w:tc>
          <w:tcPr>
            <w:tcW w:w="1666" w:type="pct"/>
            <w:shd w:val="clear" w:color="auto" w:fill="B8CCE4" w:themeFill="accent1" w:themeFillTint="66"/>
          </w:tcPr>
          <w:p w14:paraId="2928BE00" w14:textId="77777777" w:rsidR="005401EE" w:rsidRPr="004B7C4D" w:rsidRDefault="005401EE" w:rsidP="001C7B8C">
            <w:pPr>
              <w:pStyle w:val="TableText0"/>
              <w:keepNext w:val="0"/>
            </w:pPr>
            <w:r w:rsidRPr="004B7C4D">
              <w:tab/>
              <w:t>Death</w:t>
            </w:r>
          </w:p>
        </w:tc>
        <w:tc>
          <w:tcPr>
            <w:tcW w:w="1667" w:type="pct"/>
            <w:shd w:val="clear" w:color="auto" w:fill="B8CCE4" w:themeFill="accent1" w:themeFillTint="66"/>
          </w:tcPr>
          <w:p w14:paraId="1B0DCF0F" w14:textId="77777777" w:rsidR="005401EE" w:rsidRPr="004B7C4D" w:rsidRDefault="005401EE" w:rsidP="001C7B8C">
            <w:pPr>
              <w:pStyle w:val="TableText0"/>
              <w:keepNext w:val="0"/>
              <w:jc w:val="center"/>
            </w:pPr>
            <w:r w:rsidRPr="004B7C4D">
              <w:t>66 (17.2)</w:t>
            </w:r>
          </w:p>
        </w:tc>
        <w:tc>
          <w:tcPr>
            <w:tcW w:w="1667" w:type="pct"/>
            <w:shd w:val="clear" w:color="auto" w:fill="B8CCE4" w:themeFill="accent1" w:themeFillTint="66"/>
          </w:tcPr>
          <w:p w14:paraId="7BCD29BE" w14:textId="77777777" w:rsidR="005401EE" w:rsidRPr="004B7C4D" w:rsidRDefault="005401EE" w:rsidP="001C7B8C">
            <w:pPr>
              <w:pStyle w:val="TableText0"/>
              <w:keepNext w:val="0"/>
              <w:jc w:val="center"/>
            </w:pPr>
            <w:r w:rsidRPr="004B7C4D">
              <w:t>83 (21.4)</w:t>
            </w:r>
          </w:p>
        </w:tc>
      </w:tr>
      <w:tr w:rsidR="005401EE" w:rsidRPr="004B7C4D" w14:paraId="05E3C1DA" w14:textId="77777777" w:rsidTr="00302125">
        <w:tc>
          <w:tcPr>
            <w:tcW w:w="1666" w:type="pct"/>
            <w:shd w:val="clear" w:color="auto" w:fill="B8CCE4" w:themeFill="accent1" w:themeFillTint="66"/>
          </w:tcPr>
          <w:p w14:paraId="63C16574" w14:textId="77777777" w:rsidR="005401EE" w:rsidRPr="004B7C4D" w:rsidRDefault="005401EE" w:rsidP="001C7B8C">
            <w:pPr>
              <w:pStyle w:val="TableText0"/>
              <w:keepNext w:val="0"/>
            </w:pPr>
            <w:r w:rsidRPr="004B7C4D">
              <w:t>Censored, n (%)</w:t>
            </w:r>
          </w:p>
        </w:tc>
        <w:tc>
          <w:tcPr>
            <w:tcW w:w="1667" w:type="pct"/>
            <w:shd w:val="clear" w:color="auto" w:fill="B8CCE4" w:themeFill="accent1" w:themeFillTint="66"/>
          </w:tcPr>
          <w:p w14:paraId="0D5DFB72" w14:textId="77777777" w:rsidR="005401EE" w:rsidRPr="004B7C4D" w:rsidRDefault="005401EE" w:rsidP="001C7B8C">
            <w:pPr>
              <w:pStyle w:val="TableText0"/>
              <w:keepNext w:val="0"/>
              <w:jc w:val="center"/>
            </w:pPr>
            <w:r w:rsidRPr="004B7C4D">
              <w:t>134 (35.0)</w:t>
            </w:r>
          </w:p>
        </w:tc>
        <w:tc>
          <w:tcPr>
            <w:tcW w:w="1667" w:type="pct"/>
            <w:shd w:val="clear" w:color="auto" w:fill="B8CCE4" w:themeFill="accent1" w:themeFillTint="66"/>
          </w:tcPr>
          <w:p w14:paraId="6983F1E5" w14:textId="77777777" w:rsidR="005401EE" w:rsidRPr="004B7C4D" w:rsidRDefault="005401EE" w:rsidP="001C7B8C">
            <w:pPr>
              <w:pStyle w:val="TableText0"/>
              <w:keepNext w:val="0"/>
              <w:jc w:val="center"/>
            </w:pPr>
            <w:r w:rsidRPr="004B7C4D">
              <w:t>128 (33.1)</w:t>
            </w:r>
          </w:p>
        </w:tc>
      </w:tr>
      <w:tr w:rsidR="005401EE" w:rsidRPr="004B7C4D" w14:paraId="3796FAA5" w14:textId="77777777" w:rsidTr="00302125">
        <w:tc>
          <w:tcPr>
            <w:tcW w:w="1666" w:type="pct"/>
            <w:shd w:val="clear" w:color="auto" w:fill="B8CCE4" w:themeFill="accent1" w:themeFillTint="66"/>
          </w:tcPr>
          <w:p w14:paraId="0D906BA4" w14:textId="77777777" w:rsidR="005401EE" w:rsidRPr="004B7C4D" w:rsidRDefault="005401EE" w:rsidP="001C7B8C">
            <w:pPr>
              <w:pStyle w:val="TableText0"/>
              <w:keepNext w:val="0"/>
            </w:pPr>
            <w:r w:rsidRPr="004B7C4D">
              <w:t>Event free probability, n, % (95% CI)</w:t>
            </w:r>
          </w:p>
        </w:tc>
        <w:tc>
          <w:tcPr>
            <w:tcW w:w="1667" w:type="pct"/>
            <w:shd w:val="clear" w:color="auto" w:fill="B8CCE4" w:themeFill="accent1" w:themeFillTint="66"/>
          </w:tcPr>
          <w:p w14:paraId="787E22D4" w14:textId="77777777" w:rsidR="005401EE" w:rsidRPr="004B7C4D" w:rsidRDefault="005401EE" w:rsidP="001C7B8C">
            <w:pPr>
              <w:pStyle w:val="TableText0"/>
              <w:keepNext w:val="0"/>
              <w:jc w:val="center"/>
            </w:pPr>
          </w:p>
        </w:tc>
        <w:tc>
          <w:tcPr>
            <w:tcW w:w="1667" w:type="pct"/>
            <w:shd w:val="clear" w:color="auto" w:fill="B8CCE4" w:themeFill="accent1" w:themeFillTint="66"/>
          </w:tcPr>
          <w:p w14:paraId="1A0B1E52" w14:textId="77777777" w:rsidR="005401EE" w:rsidRPr="004B7C4D" w:rsidRDefault="005401EE" w:rsidP="001C7B8C">
            <w:pPr>
              <w:pStyle w:val="TableText0"/>
              <w:keepNext w:val="0"/>
              <w:jc w:val="center"/>
            </w:pPr>
          </w:p>
        </w:tc>
      </w:tr>
      <w:tr w:rsidR="005401EE" w:rsidRPr="004B7C4D" w14:paraId="367AB057" w14:textId="77777777" w:rsidTr="00302125">
        <w:tc>
          <w:tcPr>
            <w:tcW w:w="1666" w:type="pct"/>
            <w:shd w:val="clear" w:color="auto" w:fill="B8CCE4" w:themeFill="accent1" w:themeFillTint="66"/>
          </w:tcPr>
          <w:p w14:paraId="361A5107" w14:textId="77777777" w:rsidR="005401EE" w:rsidRPr="004B7C4D" w:rsidRDefault="005401EE" w:rsidP="001C7B8C">
            <w:pPr>
              <w:pStyle w:val="TableText0"/>
              <w:keepNext w:val="0"/>
            </w:pPr>
            <w:r w:rsidRPr="004B7C4D">
              <w:tab/>
              <w:t>3 months</w:t>
            </w:r>
          </w:p>
        </w:tc>
        <w:tc>
          <w:tcPr>
            <w:tcW w:w="1667" w:type="pct"/>
            <w:shd w:val="clear" w:color="auto" w:fill="B8CCE4" w:themeFill="accent1" w:themeFillTint="66"/>
          </w:tcPr>
          <w:p w14:paraId="2AA33F27" w14:textId="77777777" w:rsidR="005401EE" w:rsidRPr="004B7C4D" w:rsidRDefault="005401EE" w:rsidP="001C7B8C">
            <w:pPr>
              <w:pStyle w:val="TableText0"/>
              <w:keepNext w:val="0"/>
              <w:jc w:val="center"/>
            </w:pPr>
            <w:r w:rsidRPr="004B7C4D">
              <w:t>248, 76.9 (72.1, 81.1)</w:t>
            </w:r>
          </w:p>
        </w:tc>
        <w:tc>
          <w:tcPr>
            <w:tcW w:w="1667" w:type="pct"/>
            <w:shd w:val="clear" w:color="auto" w:fill="B8CCE4" w:themeFill="accent1" w:themeFillTint="66"/>
          </w:tcPr>
          <w:p w14:paraId="53BA8B31" w14:textId="77777777" w:rsidR="005401EE" w:rsidRPr="004B7C4D" w:rsidRDefault="005401EE" w:rsidP="001C7B8C">
            <w:pPr>
              <w:pStyle w:val="TableText0"/>
              <w:keepNext w:val="0"/>
              <w:jc w:val="center"/>
            </w:pPr>
            <w:r w:rsidRPr="004B7C4D">
              <w:t>240, 71.5 (66.5, 75.9)</w:t>
            </w:r>
          </w:p>
        </w:tc>
      </w:tr>
      <w:tr w:rsidR="005401EE" w:rsidRPr="004B7C4D" w14:paraId="238D231D" w14:textId="77777777" w:rsidTr="00302125">
        <w:tc>
          <w:tcPr>
            <w:tcW w:w="1666" w:type="pct"/>
            <w:shd w:val="clear" w:color="auto" w:fill="B8CCE4" w:themeFill="accent1" w:themeFillTint="66"/>
          </w:tcPr>
          <w:p w14:paraId="1BCBD5C5" w14:textId="77777777" w:rsidR="005401EE" w:rsidRPr="004B7C4D" w:rsidRDefault="005401EE" w:rsidP="001C7B8C">
            <w:pPr>
              <w:pStyle w:val="TableText0"/>
              <w:keepNext w:val="0"/>
            </w:pPr>
            <w:r w:rsidRPr="004B7C4D">
              <w:tab/>
              <w:t>6 months</w:t>
            </w:r>
          </w:p>
        </w:tc>
        <w:tc>
          <w:tcPr>
            <w:tcW w:w="1667" w:type="pct"/>
            <w:shd w:val="clear" w:color="auto" w:fill="B8CCE4" w:themeFill="accent1" w:themeFillTint="66"/>
          </w:tcPr>
          <w:p w14:paraId="75D4AA13" w14:textId="77777777" w:rsidR="005401EE" w:rsidRPr="004B7C4D" w:rsidRDefault="005401EE" w:rsidP="001C7B8C">
            <w:pPr>
              <w:pStyle w:val="TableText0"/>
              <w:keepNext w:val="0"/>
              <w:jc w:val="center"/>
            </w:pPr>
            <w:r w:rsidRPr="004B7C4D">
              <w:t>164, 56.4 (50.7, 61.6)</w:t>
            </w:r>
          </w:p>
        </w:tc>
        <w:tc>
          <w:tcPr>
            <w:tcW w:w="1667" w:type="pct"/>
            <w:shd w:val="clear" w:color="auto" w:fill="B8CCE4" w:themeFill="accent1" w:themeFillTint="66"/>
          </w:tcPr>
          <w:p w14:paraId="7A8D8DFD" w14:textId="77777777" w:rsidR="005401EE" w:rsidRPr="004B7C4D" w:rsidRDefault="005401EE" w:rsidP="001C7B8C">
            <w:pPr>
              <w:pStyle w:val="TableText0"/>
              <w:keepNext w:val="0"/>
              <w:jc w:val="center"/>
            </w:pPr>
            <w:r w:rsidRPr="004B7C4D">
              <w:t>112, 43.2 (37.6, 48.6)</w:t>
            </w:r>
          </w:p>
        </w:tc>
      </w:tr>
      <w:tr w:rsidR="005401EE" w:rsidRPr="004B7C4D" w14:paraId="1D20B452" w14:textId="77777777" w:rsidTr="00302125">
        <w:tc>
          <w:tcPr>
            <w:tcW w:w="1666" w:type="pct"/>
            <w:shd w:val="clear" w:color="auto" w:fill="B8CCE4" w:themeFill="accent1" w:themeFillTint="66"/>
          </w:tcPr>
          <w:p w14:paraId="7888E147" w14:textId="77777777" w:rsidR="005401EE" w:rsidRPr="004B7C4D" w:rsidRDefault="005401EE" w:rsidP="001C7B8C">
            <w:pPr>
              <w:pStyle w:val="TableText0"/>
              <w:keepNext w:val="0"/>
            </w:pPr>
            <w:r w:rsidRPr="004B7C4D">
              <w:tab/>
              <w:t>9 months</w:t>
            </w:r>
          </w:p>
        </w:tc>
        <w:tc>
          <w:tcPr>
            <w:tcW w:w="1667" w:type="pct"/>
            <w:shd w:val="clear" w:color="auto" w:fill="B8CCE4" w:themeFill="accent1" w:themeFillTint="66"/>
          </w:tcPr>
          <w:p w14:paraId="36376784" w14:textId="77777777" w:rsidR="005401EE" w:rsidRPr="004B7C4D" w:rsidRDefault="005401EE" w:rsidP="001C7B8C">
            <w:pPr>
              <w:pStyle w:val="TableText0"/>
              <w:keepNext w:val="0"/>
              <w:jc w:val="center"/>
            </w:pPr>
            <w:r w:rsidRPr="004B7C4D">
              <w:t>113, 40.9 (35.3, 46.4)</w:t>
            </w:r>
          </w:p>
        </w:tc>
        <w:tc>
          <w:tcPr>
            <w:tcW w:w="1667" w:type="pct"/>
            <w:shd w:val="clear" w:color="auto" w:fill="B8CCE4" w:themeFill="accent1" w:themeFillTint="66"/>
          </w:tcPr>
          <w:p w14:paraId="068AFD36" w14:textId="77777777" w:rsidR="005401EE" w:rsidRPr="004B7C4D" w:rsidRDefault="005401EE" w:rsidP="001C7B8C">
            <w:pPr>
              <w:pStyle w:val="TableText0"/>
              <w:keepNext w:val="0"/>
              <w:jc w:val="center"/>
            </w:pPr>
            <w:r w:rsidRPr="004B7C4D">
              <w:t>55, 24.9 (19.8, 30.2)</w:t>
            </w:r>
          </w:p>
        </w:tc>
      </w:tr>
      <w:tr w:rsidR="005401EE" w:rsidRPr="004B7C4D" w14:paraId="735F8478" w14:textId="77777777" w:rsidTr="00302125">
        <w:tc>
          <w:tcPr>
            <w:tcW w:w="1666" w:type="pct"/>
            <w:shd w:val="clear" w:color="auto" w:fill="B8CCE4" w:themeFill="accent1" w:themeFillTint="66"/>
          </w:tcPr>
          <w:p w14:paraId="0AB26E02" w14:textId="77777777" w:rsidR="005401EE" w:rsidRPr="004B7C4D" w:rsidRDefault="005401EE" w:rsidP="001C7B8C">
            <w:pPr>
              <w:pStyle w:val="TableText0"/>
              <w:keepNext w:val="0"/>
            </w:pPr>
            <w:r w:rsidRPr="004B7C4D">
              <w:tab/>
              <w:t>12 months</w:t>
            </w:r>
          </w:p>
        </w:tc>
        <w:tc>
          <w:tcPr>
            <w:tcW w:w="1667" w:type="pct"/>
            <w:shd w:val="clear" w:color="auto" w:fill="B8CCE4" w:themeFill="accent1" w:themeFillTint="66"/>
          </w:tcPr>
          <w:p w14:paraId="7A32E963" w14:textId="77777777" w:rsidR="005401EE" w:rsidRPr="004B7C4D" w:rsidRDefault="005401EE" w:rsidP="001C7B8C">
            <w:pPr>
              <w:pStyle w:val="TableText0"/>
              <w:keepNext w:val="0"/>
              <w:jc w:val="center"/>
            </w:pPr>
            <w:r w:rsidRPr="004B7C4D">
              <w:t>61, 27.4 (22.3, 32.7)</w:t>
            </w:r>
          </w:p>
        </w:tc>
        <w:tc>
          <w:tcPr>
            <w:tcW w:w="1667" w:type="pct"/>
            <w:shd w:val="clear" w:color="auto" w:fill="B8CCE4" w:themeFill="accent1" w:themeFillTint="66"/>
          </w:tcPr>
          <w:p w14:paraId="0E3070AE" w14:textId="77777777" w:rsidR="005401EE" w:rsidRPr="004B7C4D" w:rsidRDefault="005401EE" w:rsidP="001C7B8C">
            <w:pPr>
              <w:pStyle w:val="TableText0"/>
              <w:keepNext w:val="0"/>
              <w:jc w:val="center"/>
            </w:pPr>
            <w:r w:rsidRPr="004B7C4D">
              <w:t>19, 13.9 (9.7, 18.9)</w:t>
            </w:r>
          </w:p>
        </w:tc>
      </w:tr>
      <w:tr w:rsidR="005401EE" w:rsidRPr="004B7C4D" w14:paraId="082CA411" w14:textId="77777777" w:rsidTr="00302125">
        <w:tc>
          <w:tcPr>
            <w:tcW w:w="1666" w:type="pct"/>
            <w:shd w:val="clear" w:color="auto" w:fill="B8CCE4" w:themeFill="accent1" w:themeFillTint="66"/>
          </w:tcPr>
          <w:p w14:paraId="3269F7D1" w14:textId="77777777" w:rsidR="005401EE" w:rsidRPr="004B7C4D" w:rsidRDefault="005401EE" w:rsidP="001C7B8C">
            <w:pPr>
              <w:pStyle w:val="TableText0"/>
              <w:keepNext w:val="0"/>
            </w:pPr>
            <w:r w:rsidRPr="004B7C4D">
              <w:tab/>
              <w:t>18 months</w:t>
            </w:r>
          </w:p>
        </w:tc>
        <w:tc>
          <w:tcPr>
            <w:tcW w:w="1667" w:type="pct"/>
            <w:shd w:val="clear" w:color="auto" w:fill="B8CCE4" w:themeFill="accent1" w:themeFillTint="66"/>
          </w:tcPr>
          <w:p w14:paraId="2654C918" w14:textId="77777777" w:rsidR="005401EE" w:rsidRPr="004B7C4D" w:rsidRDefault="005401EE" w:rsidP="001C7B8C">
            <w:pPr>
              <w:pStyle w:val="TableText0"/>
              <w:keepNext w:val="0"/>
              <w:jc w:val="center"/>
            </w:pPr>
            <w:r w:rsidRPr="004B7C4D">
              <w:t>9, 11.4 (7.1, 16.9)</w:t>
            </w:r>
          </w:p>
        </w:tc>
        <w:tc>
          <w:tcPr>
            <w:tcW w:w="1667" w:type="pct"/>
            <w:shd w:val="clear" w:color="auto" w:fill="B8CCE4" w:themeFill="accent1" w:themeFillTint="66"/>
          </w:tcPr>
          <w:p w14:paraId="1DB37217" w14:textId="77777777" w:rsidR="005401EE" w:rsidRPr="004B7C4D" w:rsidRDefault="005401EE" w:rsidP="001C7B8C">
            <w:pPr>
              <w:pStyle w:val="TableText0"/>
              <w:keepNext w:val="0"/>
              <w:jc w:val="center"/>
            </w:pPr>
            <w:r w:rsidRPr="004B7C4D">
              <w:t>1, 3.6 (0.5, 12.3)</w:t>
            </w:r>
          </w:p>
        </w:tc>
      </w:tr>
      <w:tr w:rsidR="005401EE" w:rsidRPr="004B7C4D" w14:paraId="15579460" w14:textId="77777777" w:rsidTr="00302125">
        <w:tc>
          <w:tcPr>
            <w:tcW w:w="1666" w:type="pct"/>
            <w:shd w:val="clear" w:color="auto" w:fill="B8CCE4" w:themeFill="accent1" w:themeFillTint="66"/>
          </w:tcPr>
          <w:p w14:paraId="339ECD22" w14:textId="77777777" w:rsidR="005401EE" w:rsidRPr="004B7C4D" w:rsidRDefault="005401EE" w:rsidP="001C7B8C">
            <w:pPr>
              <w:pStyle w:val="TableText0"/>
              <w:keepNext w:val="0"/>
            </w:pPr>
            <w:r w:rsidRPr="004B7C4D">
              <w:t>Median (95% CI), months</w:t>
            </w:r>
          </w:p>
        </w:tc>
        <w:tc>
          <w:tcPr>
            <w:tcW w:w="1667" w:type="pct"/>
            <w:shd w:val="clear" w:color="auto" w:fill="B8CCE4" w:themeFill="accent1" w:themeFillTint="66"/>
          </w:tcPr>
          <w:p w14:paraId="6E306A97" w14:textId="77777777" w:rsidR="005401EE" w:rsidRPr="004B7C4D" w:rsidRDefault="005401EE" w:rsidP="001C7B8C">
            <w:pPr>
              <w:pStyle w:val="TableText0"/>
              <w:keepNext w:val="0"/>
              <w:jc w:val="center"/>
            </w:pPr>
            <w:r w:rsidRPr="004B7C4D">
              <w:t>7.4 (6.0, 7.7)</w:t>
            </w:r>
          </w:p>
        </w:tc>
        <w:tc>
          <w:tcPr>
            <w:tcW w:w="1667" w:type="pct"/>
            <w:shd w:val="clear" w:color="auto" w:fill="B8CCE4" w:themeFill="accent1" w:themeFillTint="66"/>
          </w:tcPr>
          <w:p w14:paraId="52760982" w14:textId="77777777" w:rsidR="005401EE" w:rsidRPr="004B7C4D" w:rsidRDefault="005401EE" w:rsidP="001C7B8C">
            <w:pPr>
              <w:pStyle w:val="TableText0"/>
              <w:keepNext w:val="0"/>
              <w:jc w:val="center"/>
            </w:pPr>
            <w:r w:rsidRPr="004B7C4D">
              <w:t>5.6 (5.3, 5.8)</w:t>
            </w:r>
          </w:p>
        </w:tc>
      </w:tr>
      <w:tr w:rsidR="005401EE" w:rsidRPr="004B7C4D" w14:paraId="7E9BB685" w14:textId="77777777">
        <w:tc>
          <w:tcPr>
            <w:tcW w:w="1666" w:type="pct"/>
            <w:shd w:val="clear" w:color="auto" w:fill="B8CCE4" w:themeFill="accent1" w:themeFillTint="66"/>
          </w:tcPr>
          <w:p w14:paraId="5BE3D9AD" w14:textId="77777777" w:rsidR="005401EE" w:rsidRPr="004B7C4D" w:rsidRDefault="005401EE" w:rsidP="001C7B8C">
            <w:pPr>
              <w:pStyle w:val="TableText0"/>
              <w:keepNext w:val="0"/>
            </w:pPr>
            <w:r w:rsidRPr="004B7C4D">
              <w:t>Stratified HR (95% CI; p-value)</w:t>
            </w:r>
          </w:p>
        </w:tc>
        <w:tc>
          <w:tcPr>
            <w:tcW w:w="3334" w:type="pct"/>
            <w:gridSpan w:val="2"/>
            <w:shd w:val="clear" w:color="auto" w:fill="B8CCE4" w:themeFill="accent1" w:themeFillTint="66"/>
          </w:tcPr>
          <w:p w14:paraId="4F22A188" w14:textId="77777777" w:rsidR="005401EE" w:rsidRPr="004B7C4D" w:rsidRDefault="005401EE" w:rsidP="001C7B8C">
            <w:pPr>
              <w:pStyle w:val="TableText0"/>
              <w:keepNext w:val="0"/>
              <w:jc w:val="center"/>
              <w:rPr>
                <w:b/>
                <w:bCs w:val="0"/>
              </w:rPr>
            </w:pPr>
            <w:r w:rsidRPr="004B7C4D">
              <w:rPr>
                <w:b/>
                <w:bCs w:val="0"/>
              </w:rPr>
              <w:t>0.69 (0.58, 0.83; p&lt;0.0001)</w:t>
            </w:r>
          </w:p>
        </w:tc>
      </w:tr>
      <w:tr w:rsidR="005401EE" w:rsidRPr="004B7C4D" w14:paraId="7B3DB809" w14:textId="77777777">
        <w:tc>
          <w:tcPr>
            <w:tcW w:w="1666" w:type="pct"/>
            <w:shd w:val="clear" w:color="auto" w:fill="B8CCE4" w:themeFill="accent1" w:themeFillTint="66"/>
          </w:tcPr>
          <w:p w14:paraId="36B5FD89" w14:textId="77777777" w:rsidR="005401EE" w:rsidRPr="004B7C4D" w:rsidRDefault="005401EE" w:rsidP="001C7B8C">
            <w:pPr>
              <w:pStyle w:val="TableText0"/>
              <w:keepNext w:val="0"/>
            </w:pPr>
            <w:r w:rsidRPr="004B7C4D">
              <w:t>Unstratified HR (95% CI; p-value)</w:t>
            </w:r>
          </w:p>
        </w:tc>
        <w:tc>
          <w:tcPr>
            <w:tcW w:w="3334" w:type="pct"/>
            <w:gridSpan w:val="2"/>
            <w:shd w:val="clear" w:color="auto" w:fill="B8CCE4" w:themeFill="accent1" w:themeFillTint="66"/>
          </w:tcPr>
          <w:p w14:paraId="7ECC35ED" w14:textId="77777777" w:rsidR="005401EE" w:rsidRPr="004B7C4D" w:rsidRDefault="005401EE" w:rsidP="001C7B8C">
            <w:pPr>
              <w:pStyle w:val="TableText0"/>
              <w:keepNext w:val="0"/>
              <w:jc w:val="center"/>
              <w:rPr>
                <w:b/>
                <w:bCs w:val="0"/>
              </w:rPr>
            </w:pPr>
            <w:r w:rsidRPr="004B7C4D">
              <w:rPr>
                <w:b/>
                <w:bCs w:val="0"/>
              </w:rPr>
              <w:t>0.69 (0.58, 0.83; p&lt;0.0001)</w:t>
            </w:r>
          </w:p>
        </w:tc>
      </w:tr>
      <w:tr w:rsidR="005401EE" w:rsidRPr="004B7C4D" w14:paraId="2AC7D880" w14:textId="77777777">
        <w:tc>
          <w:tcPr>
            <w:tcW w:w="5000" w:type="pct"/>
            <w:gridSpan w:val="3"/>
            <w:shd w:val="clear" w:color="auto" w:fill="B8CCE4" w:themeFill="accent1" w:themeFillTint="66"/>
          </w:tcPr>
          <w:p w14:paraId="09CA23B0" w14:textId="77777777" w:rsidR="005401EE" w:rsidRPr="004B7C4D" w:rsidRDefault="005401EE" w:rsidP="001C7B8C">
            <w:pPr>
              <w:pStyle w:val="In-tableHeading"/>
              <w:keepNext w:val="0"/>
            </w:pPr>
            <w:r w:rsidRPr="004B7C4D">
              <w:t>ORR</w:t>
            </w:r>
          </w:p>
        </w:tc>
      </w:tr>
      <w:tr w:rsidR="005401EE" w:rsidRPr="004B7C4D" w14:paraId="403F5E9C" w14:textId="77777777" w:rsidTr="00302125">
        <w:tc>
          <w:tcPr>
            <w:tcW w:w="1666" w:type="pct"/>
            <w:shd w:val="clear" w:color="auto" w:fill="B8CCE4" w:themeFill="accent1" w:themeFillTint="66"/>
          </w:tcPr>
          <w:p w14:paraId="4FC97DDE" w14:textId="77777777" w:rsidR="005401EE" w:rsidRPr="004B7C4D" w:rsidRDefault="005401EE" w:rsidP="001C7B8C">
            <w:pPr>
              <w:pStyle w:val="TableText0"/>
              <w:keepNext w:val="0"/>
            </w:pPr>
            <w:r w:rsidRPr="004B7C4D">
              <w:t>BOR, n (%)</w:t>
            </w:r>
          </w:p>
        </w:tc>
        <w:tc>
          <w:tcPr>
            <w:tcW w:w="1667" w:type="pct"/>
            <w:shd w:val="clear" w:color="auto" w:fill="B8CCE4" w:themeFill="accent1" w:themeFillTint="66"/>
          </w:tcPr>
          <w:p w14:paraId="7FEE7F8B" w14:textId="77777777" w:rsidR="005401EE" w:rsidRPr="004B7C4D" w:rsidRDefault="005401EE" w:rsidP="001C7B8C">
            <w:pPr>
              <w:pStyle w:val="TableText0"/>
              <w:keepNext w:val="0"/>
              <w:jc w:val="center"/>
            </w:pPr>
          </w:p>
        </w:tc>
        <w:tc>
          <w:tcPr>
            <w:tcW w:w="1667" w:type="pct"/>
            <w:shd w:val="clear" w:color="auto" w:fill="B8CCE4" w:themeFill="accent1" w:themeFillTint="66"/>
          </w:tcPr>
          <w:p w14:paraId="7B9FE5CA" w14:textId="77777777" w:rsidR="005401EE" w:rsidRPr="004B7C4D" w:rsidRDefault="005401EE" w:rsidP="001C7B8C">
            <w:pPr>
              <w:pStyle w:val="TableText0"/>
              <w:keepNext w:val="0"/>
              <w:jc w:val="center"/>
            </w:pPr>
          </w:p>
        </w:tc>
      </w:tr>
      <w:tr w:rsidR="005401EE" w:rsidRPr="004B7C4D" w14:paraId="04D99349" w14:textId="77777777" w:rsidTr="00302125">
        <w:tc>
          <w:tcPr>
            <w:tcW w:w="1666" w:type="pct"/>
            <w:shd w:val="clear" w:color="auto" w:fill="B8CCE4" w:themeFill="accent1" w:themeFillTint="66"/>
          </w:tcPr>
          <w:p w14:paraId="5A1D539F" w14:textId="77777777" w:rsidR="005401EE" w:rsidRPr="004B7C4D" w:rsidRDefault="005401EE" w:rsidP="001C7B8C">
            <w:pPr>
              <w:pStyle w:val="TableText0"/>
              <w:keepNext w:val="0"/>
            </w:pPr>
            <w:r w:rsidRPr="004B7C4D">
              <w:tab/>
              <w:t>CR</w:t>
            </w:r>
          </w:p>
        </w:tc>
        <w:tc>
          <w:tcPr>
            <w:tcW w:w="1667" w:type="pct"/>
            <w:shd w:val="clear" w:color="auto" w:fill="B8CCE4" w:themeFill="accent1" w:themeFillTint="66"/>
          </w:tcPr>
          <w:p w14:paraId="321DE982" w14:textId="77777777" w:rsidR="005401EE" w:rsidRPr="004B7C4D" w:rsidRDefault="005401EE" w:rsidP="001C7B8C">
            <w:pPr>
              <w:pStyle w:val="TableText0"/>
              <w:keepNext w:val="0"/>
              <w:jc w:val="center"/>
            </w:pPr>
            <w:r w:rsidRPr="004B7C4D">
              <w:t>1 (0.3)</w:t>
            </w:r>
          </w:p>
        </w:tc>
        <w:tc>
          <w:tcPr>
            <w:tcW w:w="1667" w:type="pct"/>
            <w:shd w:val="clear" w:color="auto" w:fill="B8CCE4" w:themeFill="accent1" w:themeFillTint="66"/>
          </w:tcPr>
          <w:p w14:paraId="4093E589" w14:textId="77777777" w:rsidR="005401EE" w:rsidRPr="004B7C4D" w:rsidRDefault="005401EE" w:rsidP="001C7B8C">
            <w:pPr>
              <w:pStyle w:val="TableText0"/>
              <w:keepNext w:val="0"/>
              <w:jc w:val="center"/>
            </w:pPr>
            <w:r w:rsidRPr="004B7C4D">
              <w:t>1 (0.3)</w:t>
            </w:r>
          </w:p>
        </w:tc>
      </w:tr>
      <w:tr w:rsidR="005401EE" w:rsidRPr="004B7C4D" w14:paraId="1D195661" w14:textId="77777777" w:rsidTr="00302125">
        <w:tc>
          <w:tcPr>
            <w:tcW w:w="1666" w:type="pct"/>
            <w:shd w:val="clear" w:color="auto" w:fill="B8CCE4" w:themeFill="accent1" w:themeFillTint="66"/>
          </w:tcPr>
          <w:p w14:paraId="29F41B2E" w14:textId="77777777" w:rsidR="005401EE" w:rsidRPr="004B7C4D" w:rsidRDefault="005401EE" w:rsidP="001C7B8C">
            <w:pPr>
              <w:pStyle w:val="TableText0"/>
              <w:keepNext w:val="0"/>
            </w:pPr>
            <w:r w:rsidRPr="004B7C4D">
              <w:tab/>
              <w:t>PR</w:t>
            </w:r>
          </w:p>
        </w:tc>
        <w:tc>
          <w:tcPr>
            <w:tcW w:w="1667" w:type="pct"/>
            <w:shd w:val="clear" w:color="auto" w:fill="B8CCE4" w:themeFill="accent1" w:themeFillTint="66"/>
          </w:tcPr>
          <w:p w14:paraId="14C38E61" w14:textId="77777777" w:rsidR="005401EE" w:rsidRPr="004B7C4D" w:rsidRDefault="005401EE" w:rsidP="001C7B8C">
            <w:pPr>
              <w:pStyle w:val="TableText0"/>
              <w:keepNext w:val="0"/>
              <w:jc w:val="center"/>
            </w:pPr>
            <w:r w:rsidRPr="004B7C4D">
              <w:t>159 (41.5)</w:t>
            </w:r>
          </w:p>
        </w:tc>
        <w:tc>
          <w:tcPr>
            <w:tcW w:w="1667" w:type="pct"/>
            <w:shd w:val="clear" w:color="auto" w:fill="B8CCE4" w:themeFill="accent1" w:themeFillTint="66"/>
          </w:tcPr>
          <w:p w14:paraId="2D39CA79" w14:textId="77777777" w:rsidR="005401EE" w:rsidRPr="004B7C4D" w:rsidRDefault="005401EE" w:rsidP="001C7B8C">
            <w:pPr>
              <w:pStyle w:val="TableText0"/>
              <w:keepNext w:val="0"/>
              <w:jc w:val="center"/>
            </w:pPr>
            <w:r w:rsidRPr="004B7C4D">
              <w:t>139 (35.9)</w:t>
            </w:r>
          </w:p>
        </w:tc>
      </w:tr>
      <w:tr w:rsidR="005401EE" w:rsidRPr="004B7C4D" w14:paraId="46196C75" w14:textId="77777777" w:rsidTr="00302125">
        <w:tc>
          <w:tcPr>
            <w:tcW w:w="1666" w:type="pct"/>
            <w:shd w:val="clear" w:color="auto" w:fill="B8CCE4" w:themeFill="accent1" w:themeFillTint="66"/>
          </w:tcPr>
          <w:p w14:paraId="70139995" w14:textId="77777777" w:rsidR="005401EE" w:rsidRPr="004B7C4D" w:rsidRDefault="005401EE" w:rsidP="001C7B8C">
            <w:pPr>
              <w:pStyle w:val="TableText0"/>
              <w:keepNext w:val="0"/>
            </w:pPr>
            <w:r w:rsidRPr="004B7C4D">
              <w:tab/>
              <w:t>SD</w:t>
            </w:r>
          </w:p>
        </w:tc>
        <w:tc>
          <w:tcPr>
            <w:tcW w:w="1667" w:type="pct"/>
            <w:shd w:val="clear" w:color="auto" w:fill="B8CCE4" w:themeFill="accent1" w:themeFillTint="66"/>
          </w:tcPr>
          <w:p w14:paraId="3AF7DADF" w14:textId="77777777" w:rsidR="005401EE" w:rsidRPr="004B7C4D" w:rsidRDefault="005401EE" w:rsidP="001C7B8C">
            <w:pPr>
              <w:pStyle w:val="TableText0"/>
              <w:keepNext w:val="0"/>
              <w:jc w:val="center"/>
            </w:pPr>
            <w:r w:rsidRPr="004B7C4D">
              <w:t>99 (25.8)</w:t>
            </w:r>
          </w:p>
        </w:tc>
        <w:tc>
          <w:tcPr>
            <w:tcW w:w="1667" w:type="pct"/>
            <w:shd w:val="clear" w:color="auto" w:fill="B8CCE4" w:themeFill="accent1" w:themeFillTint="66"/>
          </w:tcPr>
          <w:p w14:paraId="51946CA9" w14:textId="77777777" w:rsidR="005401EE" w:rsidRPr="004B7C4D" w:rsidRDefault="005401EE" w:rsidP="001C7B8C">
            <w:pPr>
              <w:pStyle w:val="TableText0"/>
              <w:keepNext w:val="0"/>
              <w:jc w:val="center"/>
            </w:pPr>
            <w:r w:rsidRPr="004B7C4D">
              <w:t>101 (26.1)</w:t>
            </w:r>
          </w:p>
        </w:tc>
      </w:tr>
      <w:tr w:rsidR="005401EE" w:rsidRPr="004B7C4D" w14:paraId="16EE898D" w14:textId="77777777" w:rsidTr="00302125">
        <w:tc>
          <w:tcPr>
            <w:tcW w:w="1666" w:type="pct"/>
            <w:shd w:val="clear" w:color="auto" w:fill="B8CCE4" w:themeFill="accent1" w:themeFillTint="66"/>
          </w:tcPr>
          <w:p w14:paraId="58628EE8" w14:textId="77777777" w:rsidR="005401EE" w:rsidRPr="004B7C4D" w:rsidRDefault="005401EE" w:rsidP="001C7B8C">
            <w:pPr>
              <w:pStyle w:val="TableText0"/>
              <w:keepNext w:val="0"/>
            </w:pPr>
            <w:r w:rsidRPr="004B7C4D">
              <w:tab/>
              <w:t>PD</w:t>
            </w:r>
          </w:p>
        </w:tc>
        <w:tc>
          <w:tcPr>
            <w:tcW w:w="1667" w:type="pct"/>
            <w:shd w:val="clear" w:color="auto" w:fill="B8CCE4" w:themeFill="accent1" w:themeFillTint="66"/>
          </w:tcPr>
          <w:p w14:paraId="58114248" w14:textId="77777777" w:rsidR="005401EE" w:rsidRPr="004B7C4D" w:rsidRDefault="005401EE" w:rsidP="001C7B8C">
            <w:pPr>
              <w:pStyle w:val="TableText0"/>
              <w:keepNext w:val="0"/>
              <w:jc w:val="center"/>
            </w:pPr>
            <w:r w:rsidRPr="004B7C4D">
              <w:t>38 (9.9)</w:t>
            </w:r>
          </w:p>
        </w:tc>
        <w:tc>
          <w:tcPr>
            <w:tcW w:w="1667" w:type="pct"/>
            <w:shd w:val="clear" w:color="auto" w:fill="B8CCE4" w:themeFill="accent1" w:themeFillTint="66"/>
          </w:tcPr>
          <w:p w14:paraId="2928A27E" w14:textId="77777777" w:rsidR="005401EE" w:rsidRPr="004B7C4D" w:rsidRDefault="005401EE" w:rsidP="001C7B8C">
            <w:pPr>
              <w:pStyle w:val="TableText0"/>
              <w:keepNext w:val="0"/>
              <w:jc w:val="center"/>
            </w:pPr>
            <w:r w:rsidRPr="004B7C4D">
              <w:t>56 (14.5)</w:t>
            </w:r>
          </w:p>
        </w:tc>
      </w:tr>
      <w:tr w:rsidR="005401EE" w:rsidRPr="004B7C4D" w14:paraId="66472C77" w14:textId="77777777" w:rsidTr="00302125">
        <w:tc>
          <w:tcPr>
            <w:tcW w:w="1666" w:type="pct"/>
            <w:shd w:val="clear" w:color="auto" w:fill="B8CCE4" w:themeFill="accent1" w:themeFillTint="66"/>
          </w:tcPr>
          <w:p w14:paraId="581FAE87" w14:textId="77777777" w:rsidR="005401EE" w:rsidRPr="004B7C4D" w:rsidRDefault="005401EE" w:rsidP="001C7B8C">
            <w:pPr>
              <w:pStyle w:val="TableText0"/>
              <w:keepNext w:val="0"/>
            </w:pPr>
            <w:r w:rsidRPr="004B7C4D">
              <w:tab/>
              <w:t>NE</w:t>
            </w:r>
          </w:p>
        </w:tc>
        <w:tc>
          <w:tcPr>
            <w:tcW w:w="1667" w:type="pct"/>
            <w:shd w:val="clear" w:color="auto" w:fill="B8CCE4" w:themeFill="accent1" w:themeFillTint="66"/>
          </w:tcPr>
          <w:p w14:paraId="527755BF" w14:textId="77777777" w:rsidR="005401EE" w:rsidRPr="004B7C4D" w:rsidRDefault="005401EE" w:rsidP="001C7B8C">
            <w:pPr>
              <w:pStyle w:val="TableText0"/>
              <w:keepNext w:val="0"/>
              <w:jc w:val="center"/>
            </w:pPr>
            <w:r w:rsidRPr="004B7C4D">
              <w:t>86 (22.5)</w:t>
            </w:r>
          </w:p>
        </w:tc>
        <w:tc>
          <w:tcPr>
            <w:tcW w:w="1667" w:type="pct"/>
            <w:shd w:val="clear" w:color="auto" w:fill="B8CCE4" w:themeFill="accent1" w:themeFillTint="66"/>
          </w:tcPr>
          <w:p w14:paraId="47215F05" w14:textId="77777777" w:rsidR="005401EE" w:rsidRPr="004B7C4D" w:rsidRDefault="005401EE" w:rsidP="001C7B8C">
            <w:pPr>
              <w:pStyle w:val="TableText0"/>
              <w:keepNext w:val="0"/>
              <w:jc w:val="center"/>
            </w:pPr>
            <w:r w:rsidRPr="004B7C4D">
              <w:t>90 (23.3)</w:t>
            </w:r>
          </w:p>
        </w:tc>
      </w:tr>
      <w:tr w:rsidR="005401EE" w:rsidRPr="004B7C4D" w14:paraId="5C7BCEB6" w14:textId="77777777" w:rsidTr="00302125">
        <w:tc>
          <w:tcPr>
            <w:tcW w:w="1666" w:type="pct"/>
            <w:shd w:val="clear" w:color="auto" w:fill="B8CCE4" w:themeFill="accent1" w:themeFillTint="66"/>
          </w:tcPr>
          <w:p w14:paraId="5381AF6A" w14:textId="77777777" w:rsidR="005401EE" w:rsidRPr="004B7C4D" w:rsidRDefault="005401EE" w:rsidP="001C7B8C">
            <w:pPr>
              <w:pStyle w:val="TableText0"/>
              <w:keepNext w:val="0"/>
              <w:rPr>
                <w:lang w:val="pt-PT"/>
              </w:rPr>
            </w:pPr>
            <w:r w:rsidRPr="004B7C4D">
              <w:rPr>
                <w:lang w:val="pt-PT"/>
              </w:rPr>
              <w:t>ORR (CR or PR), n (%)</w:t>
            </w:r>
          </w:p>
        </w:tc>
        <w:tc>
          <w:tcPr>
            <w:tcW w:w="1667" w:type="pct"/>
            <w:shd w:val="clear" w:color="auto" w:fill="B8CCE4" w:themeFill="accent1" w:themeFillTint="66"/>
          </w:tcPr>
          <w:p w14:paraId="31335BB6" w14:textId="77777777" w:rsidR="005401EE" w:rsidRPr="004B7C4D" w:rsidRDefault="005401EE" w:rsidP="001C7B8C">
            <w:pPr>
              <w:pStyle w:val="TableText0"/>
              <w:keepNext w:val="0"/>
              <w:jc w:val="center"/>
            </w:pPr>
            <w:r w:rsidRPr="004B7C4D">
              <w:t>160 (41.8)</w:t>
            </w:r>
          </w:p>
        </w:tc>
        <w:tc>
          <w:tcPr>
            <w:tcW w:w="1667" w:type="pct"/>
            <w:shd w:val="clear" w:color="auto" w:fill="B8CCE4" w:themeFill="accent1" w:themeFillTint="66"/>
          </w:tcPr>
          <w:p w14:paraId="1A5225AB" w14:textId="77777777" w:rsidR="005401EE" w:rsidRPr="004B7C4D" w:rsidRDefault="005401EE" w:rsidP="001C7B8C">
            <w:pPr>
              <w:pStyle w:val="TableText0"/>
              <w:keepNext w:val="0"/>
              <w:jc w:val="center"/>
            </w:pPr>
            <w:r w:rsidRPr="004B7C4D">
              <w:t>140 (36.2)</w:t>
            </w:r>
          </w:p>
        </w:tc>
      </w:tr>
      <w:tr w:rsidR="005401EE" w:rsidRPr="004B7C4D" w14:paraId="23EAF16D" w14:textId="77777777" w:rsidTr="00302125">
        <w:tc>
          <w:tcPr>
            <w:tcW w:w="1666" w:type="pct"/>
            <w:shd w:val="clear" w:color="auto" w:fill="B8CCE4" w:themeFill="accent1" w:themeFillTint="66"/>
          </w:tcPr>
          <w:p w14:paraId="14B601CC" w14:textId="77777777" w:rsidR="005401EE" w:rsidRPr="004B7C4D" w:rsidRDefault="005401EE" w:rsidP="001C7B8C">
            <w:pPr>
              <w:pStyle w:val="TableText0"/>
              <w:keepNext w:val="0"/>
            </w:pPr>
            <w:r w:rsidRPr="004B7C4D">
              <w:tab/>
              <w:t xml:space="preserve">95% CI </w:t>
            </w:r>
          </w:p>
        </w:tc>
        <w:tc>
          <w:tcPr>
            <w:tcW w:w="1667" w:type="pct"/>
            <w:shd w:val="clear" w:color="auto" w:fill="B8CCE4" w:themeFill="accent1" w:themeFillTint="66"/>
          </w:tcPr>
          <w:p w14:paraId="256FB53F" w14:textId="77777777" w:rsidR="005401EE" w:rsidRPr="004B7C4D" w:rsidRDefault="005401EE" w:rsidP="001C7B8C">
            <w:pPr>
              <w:pStyle w:val="TableText0"/>
              <w:keepNext w:val="0"/>
              <w:jc w:val="center"/>
            </w:pPr>
            <w:r w:rsidRPr="004B7C4D">
              <w:t>(36.8, 46.9)</w:t>
            </w:r>
          </w:p>
        </w:tc>
        <w:tc>
          <w:tcPr>
            <w:tcW w:w="1667" w:type="pct"/>
            <w:shd w:val="clear" w:color="auto" w:fill="B8CCE4" w:themeFill="accent1" w:themeFillTint="66"/>
          </w:tcPr>
          <w:p w14:paraId="4988E5F6" w14:textId="77777777" w:rsidR="005401EE" w:rsidRPr="004B7C4D" w:rsidRDefault="005401EE" w:rsidP="001C7B8C">
            <w:pPr>
              <w:pStyle w:val="TableText0"/>
              <w:keepNext w:val="0"/>
              <w:jc w:val="center"/>
            </w:pPr>
            <w:r w:rsidRPr="004B7C4D">
              <w:t>(31.4, 41.2)</w:t>
            </w:r>
          </w:p>
        </w:tc>
      </w:tr>
      <w:tr w:rsidR="005401EE" w:rsidRPr="004B7C4D" w14:paraId="0486B594" w14:textId="77777777">
        <w:tc>
          <w:tcPr>
            <w:tcW w:w="1666" w:type="pct"/>
            <w:shd w:val="clear" w:color="auto" w:fill="B8CCE4" w:themeFill="accent1" w:themeFillTint="66"/>
          </w:tcPr>
          <w:p w14:paraId="073C9B06" w14:textId="77777777" w:rsidR="005401EE" w:rsidRPr="004B7C4D" w:rsidRDefault="005401EE" w:rsidP="001C7B8C">
            <w:pPr>
              <w:pStyle w:val="TableText0"/>
              <w:keepNext w:val="0"/>
            </w:pPr>
            <w:r w:rsidRPr="004B7C4D">
              <w:t>OR (95% CI; p-value)</w:t>
            </w:r>
          </w:p>
        </w:tc>
        <w:tc>
          <w:tcPr>
            <w:tcW w:w="3334" w:type="pct"/>
            <w:gridSpan w:val="2"/>
            <w:shd w:val="clear" w:color="auto" w:fill="B8CCE4" w:themeFill="accent1" w:themeFillTint="66"/>
          </w:tcPr>
          <w:p w14:paraId="3B13E00A" w14:textId="77777777" w:rsidR="005401EE" w:rsidRPr="004B7C4D" w:rsidRDefault="005401EE" w:rsidP="001C7B8C">
            <w:pPr>
              <w:pStyle w:val="TableText0"/>
              <w:keepNext w:val="0"/>
              <w:jc w:val="center"/>
            </w:pPr>
            <w:r w:rsidRPr="004B7C4D">
              <w:t>1.26 (0.95, 1.69; p = 0.11)</w:t>
            </w:r>
          </w:p>
        </w:tc>
      </w:tr>
    </w:tbl>
    <w:p w14:paraId="3EF0AF5B" w14:textId="31704756" w:rsidR="00091D2A" w:rsidRPr="004B7C4D" w:rsidRDefault="00091D2A" w:rsidP="00091D2A">
      <w:pPr>
        <w:pStyle w:val="FooterTableFigure"/>
        <w:keepNext/>
        <w:keepLines/>
      </w:pPr>
      <w:r w:rsidRPr="004B7C4D">
        <w:t xml:space="preserve">Source: </w:t>
      </w:r>
      <w:r w:rsidR="00251E99" w:rsidRPr="004B7C4D">
        <w:t xml:space="preserve">Table 2.4, Table 2.6, pp21-23 of resubmission </w:t>
      </w:r>
      <w:r w:rsidRPr="004B7C4D">
        <w:t xml:space="preserve">and Table 32, p69 of </w:t>
      </w:r>
      <w:r w:rsidR="002C2695" w:rsidRPr="004B7C4D">
        <w:t xml:space="preserve">March 2024 </w:t>
      </w:r>
      <w:r w:rsidRPr="004B7C4D">
        <w:t>submission.</w:t>
      </w:r>
    </w:p>
    <w:p w14:paraId="3283FF90" w14:textId="3571BDD5" w:rsidR="00091D2A" w:rsidRPr="004B7C4D" w:rsidRDefault="00091D2A" w:rsidP="00091D2A">
      <w:pPr>
        <w:pStyle w:val="FooterTableFigure"/>
      </w:pPr>
      <w:r w:rsidRPr="004B7C4D">
        <w:t xml:space="preserve">Abbreviations: BOR, best overall response; CI, confidence interval; CR, complete response; HR, hazard ratio; ITT, intention to treat; NabP, nanoparticle albumin-bound paclitaxel; NALIRIFOX, 5-fluorouracil, leucovorin/folinic acid, nanoliposomal irinotecan (nal-IRI), and oxaliplatin; NE, not evaluable; </w:t>
      </w:r>
      <w:r w:rsidR="00335B62" w:rsidRPr="004B7C4D">
        <w:t xml:space="preserve">NR, not reported; </w:t>
      </w:r>
      <w:r w:rsidRPr="004B7C4D">
        <w:t>OR, odds ratio; ORR, objective response rate; OS, overall survival; PD, progressive disease; PFS, Progression free survival; PR, partial response; SD, stable disease.</w:t>
      </w:r>
    </w:p>
    <w:p w14:paraId="0CF0186C" w14:textId="77777777" w:rsidR="00091D2A" w:rsidRPr="004B7C4D" w:rsidRDefault="00091D2A" w:rsidP="00091D2A">
      <w:pPr>
        <w:pStyle w:val="FooterTableFigure"/>
      </w:pPr>
      <w:r w:rsidRPr="004B7C4D">
        <w:t xml:space="preserve">Note: Results in </w:t>
      </w:r>
      <w:r w:rsidRPr="004B7C4D">
        <w:rPr>
          <w:b/>
          <w:bCs/>
        </w:rPr>
        <w:t xml:space="preserve">bold </w:t>
      </w:r>
      <w:r w:rsidRPr="004B7C4D">
        <w:t>indicate statistically significant difference (p &lt; 0.05).</w:t>
      </w:r>
    </w:p>
    <w:p w14:paraId="12C2EEE4" w14:textId="0F7F3DA1" w:rsidR="00091D2A" w:rsidRPr="004B7C4D" w:rsidRDefault="00091D2A" w:rsidP="00EF61B8">
      <w:pPr>
        <w:pStyle w:val="FooterTableFigure"/>
        <w:contextualSpacing w:val="0"/>
      </w:pPr>
      <w:r w:rsidRPr="004B7C4D">
        <w:rPr>
          <w:rStyle w:val="CommentReference"/>
          <w:b w:val="0"/>
          <w:bCs/>
          <w:sz w:val="18"/>
          <w:szCs w:val="18"/>
          <w:shd w:val="clear" w:color="auto" w:fill="B8CCE4" w:themeFill="accent1" w:themeFillTint="66"/>
        </w:rPr>
        <w:t>Blue shading</w:t>
      </w:r>
      <w:r w:rsidRPr="004B7C4D">
        <w:rPr>
          <w:rStyle w:val="CommentReference"/>
          <w:b w:val="0"/>
          <w:bCs/>
          <w:sz w:val="18"/>
          <w:szCs w:val="18"/>
        </w:rPr>
        <w:t xml:space="preserve"> indicates information previously seen by the PBAC.</w:t>
      </w:r>
    </w:p>
    <w:p w14:paraId="5B536D2E" w14:textId="4774D3AE" w:rsidR="00091D2A" w:rsidRPr="004B7C4D" w:rsidRDefault="00091D2A" w:rsidP="00091D2A">
      <w:pPr>
        <w:pStyle w:val="Caption"/>
        <w:jc w:val="left"/>
      </w:pPr>
      <w:bookmarkStart w:id="43" w:name="_Ref153568774"/>
      <w:bookmarkStart w:id="44" w:name="_Ref176357165"/>
      <w:r w:rsidRPr="004B7C4D">
        <w:lastRenderedPageBreak/>
        <w:t xml:space="preserve">Figure </w:t>
      </w:r>
      <w:r w:rsidR="001C19B6">
        <w:fldChar w:fldCharType="begin" w:fldLock="1"/>
      </w:r>
      <w:r w:rsidR="001C19B6">
        <w:instrText xml:space="preserve"> SEQ Figure \* ARABIC </w:instrText>
      </w:r>
      <w:r w:rsidR="001C19B6">
        <w:fldChar w:fldCharType="separate"/>
      </w:r>
      <w:r w:rsidR="001C19B6">
        <w:rPr>
          <w:noProof/>
        </w:rPr>
        <w:t>1</w:t>
      </w:r>
      <w:r w:rsidR="001C19B6">
        <w:rPr>
          <w:noProof/>
        </w:rPr>
        <w:fldChar w:fldCharType="end"/>
      </w:r>
      <w:bookmarkEnd w:id="43"/>
      <w:r w:rsidRPr="004B7C4D">
        <w:t>: Kaplan-Meier Curves of Overall Survival (ITT) in NAPOLI-3 trial</w:t>
      </w:r>
      <w:r w:rsidR="00B14025" w:rsidRPr="004B7C4D">
        <w:t xml:space="preserve"> (median follow up: 29.5 months)</w:t>
      </w:r>
      <w:bookmarkEnd w:id="44"/>
    </w:p>
    <w:p w14:paraId="2A905B13" w14:textId="77777777" w:rsidR="00091D2A" w:rsidRPr="004B7C4D" w:rsidRDefault="00091D2A" w:rsidP="00091D2A">
      <w:pPr>
        <w:pStyle w:val="In-tableHeading"/>
      </w:pPr>
      <w:r w:rsidRPr="004B7C4D">
        <w:rPr>
          <w:noProof/>
        </w:rPr>
        <w:drawing>
          <wp:inline distT="0" distB="0" distL="0" distR="0" wp14:anchorId="66F3101B" wp14:editId="1D8E3AE8">
            <wp:extent cx="4832350" cy="2821994"/>
            <wp:effectExtent l="0" t="0" r="6350" b="0"/>
            <wp:docPr id="751054558" name="Picture 751054558" descr="Figure 1: Kaplan-Meier Curves of Overall Survival (ITT) in NAPOLI-3 trial (median follow up: 29.5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54558" name="Picture 751054558" descr="Figure 1: Kaplan-Meier Curves of Overall Survival (ITT) in NAPOLI-3 trial (median follow up: 29.5 months)"/>
                    <pic:cNvPicPr/>
                  </pic:nvPicPr>
                  <pic:blipFill>
                    <a:blip r:embed="rId8"/>
                    <a:stretch>
                      <a:fillRect/>
                    </a:stretch>
                  </pic:blipFill>
                  <pic:spPr>
                    <a:xfrm>
                      <a:off x="0" y="0"/>
                      <a:ext cx="4835991" cy="2824120"/>
                    </a:xfrm>
                    <a:prstGeom prst="rect">
                      <a:avLst/>
                    </a:prstGeom>
                  </pic:spPr>
                </pic:pic>
              </a:graphicData>
            </a:graphic>
          </wp:inline>
        </w:drawing>
      </w:r>
    </w:p>
    <w:p w14:paraId="7F02A7D0" w14:textId="77777777" w:rsidR="00091D2A" w:rsidRPr="004B7C4D" w:rsidRDefault="00091D2A" w:rsidP="00B52755">
      <w:pPr>
        <w:pStyle w:val="TableFigureFooter"/>
      </w:pPr>
      <w:bookmarkStart w:id="45" w:name="_Ref153568793"/>
      <w:r w:rsidRPr="004B7C4D">
        <w:t>Source: Figure 2.3, p23 of resubmission.</w:t>
      </w:r>
    </w:p>
    <w:p w14:paraId="23ECD472" w14:textId="77777777" w:rsidR="00091D2A" w:rsidRPr="004B7C4D" w:rsidRDefault="00091D2A" w:rsidP="00B52755">
      <w:pPr>
        <w:pStyle w:val="TableFigureFooter"/>
      </w:pPr>
      <w:r w:rsidRPr="004B7C4D">
        <w:t>Abbreviations: CI, confidence interval; Gem+NabP, gemcitabine plus nanoparticle albumin-bound paclitaxel; HR, hazard ratio; ITT, intention to treat; NALIRIFOX, 5-fluorouracil, leucovorin/folinic acid, nanoliposomal irinotecan (nal-IRI), and oxaliplatin; OS, overall survival.</w:t>
      </w:r>
    </w:p>
    <w:p w14:paraId="4F9ED2E2" w14:textId="57D0AF67" w:rsidR="00091D2A" w:rsidRPr="004B7C4D" w:rsidRDefault="00091D2A" w:rsidP="00B52755">
      <w:pPr>
        <w:pStyle w:val="TableFigureHeading"/>
      </w:pPr>
      <w:bookmarkStart w:id="46" w:name="_Ref191975351"/>
      <w:r w:rsidRPr="004B7C4D">
        <w:rPr>
          <w:shd w:val="clear" w:color="auto" w:fill="B8CCE4" w:themeFill="accent1" w:themeFillTint="66"/>
        </w:rPr>
        <w:t xml:space="preserve">Figure </w:t>
      </w:r>
      <w:r w:rsidRPr="004B7C4D">
        <w:rPr>
          <w:shd w:val="clear" w:color="auto" w:fill="B8CCE4" w:themeFill="accent1" w:themeFillTint="66"/>
        </w:rPr>
        <w:fldChar w:fldCharType="begin" w:fldLock="1"/>
      </w:r>
      <w:r w:rsidRPr="004B7C4D">
        <w:rPr>
          <w:shd w:val="clear" w:color="auto" w:fill="B8CCE4" w:themeFill="accent1" w:themeFillTint="66"/>
        </w:rPr>
        <w:instrText xml:space="preserve"> SEQ Figure \* ARABIC </w:instrText>
      </w:r>
      <w:r w:rsidRPr="004B7C4D">
        <w:rPr>
          <w:shd w:val="clear" w:color="auto" w:fill="B8CCE4" w:themeFill="accent1" w:themeFillTint="66"/>
        </w:rPr>
        <w:fldChar w:fldCharType="separate"/>
      </w:r>
      <w:r w:rsidR="001C19B6">
        <w:rPr>
          <w:noProof/>
          <w:shd w:val="clear" w:color="auto" w:fill="B8CCE4" w:themeFill="accent1" w:themeFillTint="66"/>
        </w:rPr>
        <w:t>2</w:t>
      </w:r>
      <w:r w:rsidRPr="004B7C4D">
        <w:rPr>
          <w:shd w:val="clear" w:color="auto" w:fill="B8CCE4" w:themeFill="accent1" w:themeFillTint="66"/>
        </w:rPr>
        <w:fldChar w:fldCharType="end"/>
      </w:r>
      <w:bookmarkEnd w:id="45"/>
      <w:bookmarkEnd w:id="46"/>
      <w:r w:rsidRPr="004B7C4D">
        <w:rPr>
          <w:shd w:val="clear" w:color="auto" w:fill="B8CCE4" w:themeFill="accent1" w:themeFillTint="66"/>
        </w:rPr>
        <w:t>: Kaplan-Meier Curves of Progression-Free Survival (ITT) in NAPOLI-3 trial</w:t>
      </w:r>
      <w:r w:rsidR="00B14025" w:rsidRPr="004B7C4D">
        <w:rPr>
          <w:shd w:val="clear" w:color="auto" w:fill="B8CCE4" w:themeFill="accent1" w:themeFillTint="66"/>
        </w:rPr>
        <w:t xml:space="preserve"> (median follow-up: 16.</w:t>
      </w:r>
      <w:r w:rsidR="00153581" w:rsidRPr="004B7C4D">
        <w:rPr>
          <w:shd w:val="clear" w:color="auto" w:fill="B8CCE4" w:themeFill="accent1" w:themeFillTint="66"/>
        </w:rPr>
        <w:t>1</w:t>
      </w:r>
      <w:r w:rsidR="00B14025" w:rsidRPr="004B7C4D">
        <w:rPr>
          <w:shd w:val="clear" w:color="auto" w:fill="B8CCE4" w:themeFill="accent1" w:themeFillTint="66"/>
        </w:rPr>
        <w:t xml:space="preserve"> months)</w:t>
      </w:r>
    </w:p>
    <w:p w14:paraId="1B0D0E28" w14:textId="77777777" w:rsidR="00091D2A" w:rsidRPr="004B7C4D" w:rsidRDefault="00091D2A" w:rsidP="00091D2A">
      <w:pPr>
        <w:keepNext/>
        <w:keepLines/>
      </w:pPr>
      <w:r w:rsidRPr="004B7C4D">
        <w:rPr>
          <w:noProof/>
        </w:rPr>
        <w:drawing>
          <wp:inline distT="0" distB="0" distL="0" distR="0" wp14:anchorId="2ADFE81D" wp14:editId="6AD87906">
            <wp:extent cx="5643728" cy="2818765"/>
            <wp:effectExtent l="0" t="0" r="0" b="635"/>
            <wp:docPr id="2054364195" name="Picture 2054364195" descr="Figure 2: Kaplan-Meier Curves of Progression-Free Survival (ITT) in NAPOLI-3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64195" name="Picture 2054364195" descr="Figure 2: Kaplan-Meier Curves of Progression-Free Survival (ITT) in NAPOLI-3 trial."/>
                    <pic:cNvPicPr/>
                  </pic:nvPicPr>
                  <pic:blipFill rotWithShape="1">
                    <a:blip r:embed="rId9"/>
                    <a:srcRect l="1532"/>
                    <a:stretch/>
                  </pic:blipFill>
                  <pic:spPr bwMode="auto">
                    <a:xfrm>
                      <a:off x="0" y="0"/>
                      <a:ext cx="5643728" cy="2818765"/>
                    </a:xfrm>
                    <a:prstGeom prst="rect">
                      <a:avLst/>
                    </a:prstGeom>
                    <a:ln>
                      <a:noFill/>
                    </a:ln>
                    <a:extLst>
                      <a:ext uri="{53640926-AAD7-44D8-BBD7-CCE9431645EC}">
                        <a14:shadowObscured xmlns:a14="http://schemas.microsoft.com/office/drawing/2010/main"/>
                      </a:ext>
                    </a:extLst>
                  </pic:spPr>
                </pic:pic>
              </a:graphicData>
            </a:graphic>
          </wp:inline>
        </w:drawing>
      </w:r>
    </w:p>
    <w:p w14:paraId="5EE4D724" w14:textId="77777777" w:rsidR="00091D2A" w:rsidRPr="004B7C4D" w:rsidRDefault="00091D2A" w:rsidP="00091D2A">
      <w:pPr>
        <w:pStyle w:val="FooterTableFigure"/>
      </w:pPr>
      <w:r w:rsidRPr="004B7C4D">
        <w:t>Source: Figure 2.2, p22 of resubmission.</w:t>
      </w:r>
    </w:p>
    <w:p w14:paraId="0C1E6C47" w14:textId="77777777" w:rsidR="00091D2A" w:rsidRPr="004B7C4D" w:rsidRDefault="00091D2A" w:rsidP="00091D2A">
      <w:pPr>
        <w:pStyle w:val="FooterTableFigure"/>
      </w:pPr>
      <w:r w:rsidRPr="004B7C4D">
        <w:t>Abbreviations: CI, confidence interval; Gem+NabP, gemcitabine plus nanoparticle albumin-bound paclitaxel; HR, hazard ratio; ITT, intention to treat; NALIRIFOX, 5-fluorouracil, leucovorin/folinic acid, nanoliposomal irinotecan (nal-IRI), and oxaliplatin.</w:t>
      </w:r>
    </w:p>
    <w:p w14:paraId="062C9E5D" w14:textId="77777777" w:rsidR="00091D2A" w:rsidRPr="004B7C4D" w:rsidRDefault="00091D2A" w:rsidP="00091D2A">
      <w:pPr>
        <w:pStyle w:val="FooterTableFigure"/>
        <w:rPr>
          <w:szCs w:val="18"/>
        </w:rPr>
      </w:pPr>
      <w:r w:rsidRPr="004B7C4D">
        <w:rPr>
          <w:rFonts w:eastAsiaTheme="majorEastAsia" w:cstheme="majorBidi"/>
          <w:snapToGrid/>
          <w:szCs w:val="18"/>
          <w:shd w:val="clear" w:color="auto" w:fill="B8CCE4" w:themeFill="accent1" w:themeFillTint="66"/>
        </w:rPr>
        <w:t>Blue shading</w:t>
      </w:r>
      <w:r w:rsidRPr="004B7C4D">
        <w:rPr>
          <w:szCs w:val="18"/>
        </w:rPr>
        <w:t xml:space="preserve"> indicates data previously seen by the PBAC.</w:t>
      </w:r>
    </w:p>
    <w:p w14:paraId="78C3FC98" w14:textId="1F9E0B9C" w:rsidR="00091D2A" w:rsidRPr="00552B0C" w:rsidRDefault="00091D2A" w:rsidP="00552B0C">
      <w:pPr>
        <w:pStyle w:val="3-BodyText"/>
        <w:numPr>
          <w:ilvl w:val="1"/>
          <w:numId w:val="5"/>
        </w:numPr>
      </w:pPr>
      <w:bookmarkStart w:id="47" w:name="_Ref177479932"/>
      <w:r w:rsidRPr="004B7C4D">
        <w:t>NALIRIFOX showed a statistically significant improvement in OS compared with Gem+NabP (</w:t>
      </w:r>
      <w:r w:rsidR="008E341D" w:rsidRPr="004B7C4D">
        <w:t>Hazard ratio [</w:t>
      </w:r>
      <w:r w:rsidRPr="004B7C4D">
        <w:t>HR</w:t>
      </w:r>
      <w:r w:rsidR="008E341D" w:rsidRPr="004B7C4D">
        <w:t>]</w:t>
      </w:r>
      <w:r w:rsidRPr="004B7C4D">
        <w:t xml:space="preserve"> 0.84; 95% </w:t>
      </w:r>
      <w:r w:rsidR="00CD4B48" w:rsidRPr="004B7C4D">
        <w:t>confidence interval [</w:t>
      </w:r>
      <w:r w:rsidRPr="004B7C4D">
        <w:t>CI</w:t>
      </w:r>
      <w:r w:rsidR="00CD4B48" w:rsidRPr="004B7C4D">
        <w:t>]</w:t>
      </w:r>
      <w:r w:rsidRPr="004B7C4D">
        <w:t>: 0.72, 0.98; p-value = 0.026). The median OS was 11.1 months (95% CI: 10.0, 12.1) for the NALIRIFOX arm and 9.2 months (95% CI: 8.3, 10.6) for the Gem+NabP arm, with a difference of 1.9</w:t>
      </w:r>
      <w:r w:rsidR="003F5C46">
        <w:t> </w:t>
      </w:r>
      <w:r w:rsidRPr="004B7C4D">
        <w:t>months in median OS. The difference of 1.9 months between NALIRIFOX and</w:t>
      </w:r>
      <w:r w:rsidRPr="00552B0C">
        <w:t xml:space="preserve"> Gem+NabP is similar to the OS results presented in the March 2024 submission </w:t>
      </w:r>
      <w:r w:rsidRPr="00552B0C">
        <w:lastRenderedPageBreak/>
        <w:t>(1.9</w:t>
      </w:r>
      <w:r w:rsidR="003F5C46">
        <w:t> </w:t>
      </w:r>
      <w:r w:rsidRPr="00552B0C">
        <w:t>months gain [HR 0.83; 95% CI: 0.70, 0.99; p-value = 0.04]), which the PBAC considered to be small and may not be clinically meaningful (para 7.8, irinotecan (nanoliposomal), PSD, March 2024 PBAC meeting).</w:t>
      </w:r>
      <w:bookmarkEnd w:id="47"/>
    </w:p>
    <w:p w14:paraId="3F1B4B00" w14:textId="2D9C4E80" w:rsidR="00C75BBC" w:rsidRPr="00C75BBC" w:rsidRDefault="00091D2A">
      <w:pPr>
        <w:pStyle w:val="3-BodyText"/>
        <w:rPr>
          <w:color w:val="0066FF"/>
        </w:rPr>
      </w:pPr>
      <w:r w:rsidRPr="00552B0C">
        <w:t>The resubmission contend</w:t>
      </w:r>
      <w:r w:rsidR="00BA2C08" w:rsidRPr="00552B0C">
        <w:t>ed</w:t>
      </w:r>
      <w:r w:rsidRPr="00552B0C">
        <w:t xml:space="preserve"> that an almost 2-month improvement in PFS and OS is highly probable</w:t>
      </w:r>
      <w:r w:rsidR="4C3FCAA5" w:rsidRPr="00552B0C">
        <w:t>,</w:t>
      </w:r>
      <w:r w:rsidR="008D0998">
        <w:t xml:space="preserve"> </w:t>
      </w:r>
      <w:r w:rsidRPr="00552B0C">
        <w:t xml:space="preserve">meaningful and of high value to patients and their families. The resubmission argued that the ASCO minimal clinically important difference (MCID) referenced in the March 2024 PBAC </w:t>
      </w:r>
      <w:r w:rsidR="008565D9">
        <w:t>PSD</w:t>
      </w:r>
      <w:r w:rsidR="008565D9" w:rsidRPr="00552B0C">
        <w:t xml:space="preserve"> </w:t>
      </w:r>
      <w:r w:rsidRPr="00552B0C">
        <w:t>(a range of 3 to 5 months as the MCID in OS and PFS over standard therapy for mPAC)</w:t>
      </w:r>
      <w:r w:rsidR="008D0998">
        <w:t xml:space="preserve"> </w:t>
      </w:r>
      <w:r w:rsidRPr="00552B0C">
        <w:t>are aspirational rather than intended to serve as rigid thresholds to apply in decision-making given the following statement from ASCO: “The conclusions reached by the working groups are not intended to set standards for regulatory approval or insurance coverage but rather to encourage patients and investigators to demand more from clinical trials”.</w:t>
      </w:r>
      <w:r w:rsidRPr="00552B0C">
        <w:rPr>
          <w:rStyle w:val="FootnoteReference"/>
        </w:rPr>
        <w:footnoteReference w:id="28"/>
      </w:r>
      <w:r w:rsidRPr="00552B0C">
        <w:t xml:space="preserve"> The resubmission argued that survival improvements of NALIRIFOX over Gem+NabP observed in the NAPOLI-3 trial, </w:t>
      </w:r>
      <w:r w:rsidR="00913BA2" w:rsidRPr="00552B0C">
        <w:t xml:space="preserve">was </w:t>
      </w:r>
      <w:r w:rsidRPr="00552B0C">
        <w:t>considered meaningful by Australian medical oncologists</w:t>
      </w:r>
      <w:r w:rsidR="00913BA2" w:rsidRPr="00552B0C">
        <w:t xml:space="preserve"> (</w:t>
      </w:r>
      <w:r w:rsidR="00C75BBC" w:rsidRPr="00552B0C">
        <w:t xml:space="preserve"> (Cooray and Zalcberg 2024)</w:t>
      </w:r>
      <w:r w:rsidR="00C75BBC" w:rsidRPr="00552B0C">
        <w:rPr>
          <w:vertAlign w:val="superscript"/>
        </w:rPr>
        <w:footnoteReference w:id="29"/>
      </w:r>
      <w:r w:rsidR="00C75BBC" w:rsidRPr="00552B0C">
        <w:t>.</w:t>
      </w:r>
      <w:r w:rsidR="00C75BBC">
        <w:t xml:space="preserve"> </w:t>
      </w:r>
    </w:p>
    <w:p w14:paraId="7218AF82" w14:textId="7FB5FE94" w:rsidR="00091D2A" w:rsidRPr="00552B0C" w:rsidRDefault="00091D2A" w:rsidP="4E6EDD58">
      <w:pPr>
        <w:pStyle w:val="3-BodyText"/>
      </w:pPr>
      <w:r w:rsidRPr="00552B0C">
        <w:t>The clinical relevance of the improvements observed in</w:t>
      </w:r>
      <w:r w:rsidR="352C92F4" w:rsidRPr="00552B0C">
        <w:t xml:space="preserve"> the</w:t>
      </w:r>
      <w:r w:rsidRPr="00552B0C">
        <w:t xml:space="preserve"> NAPOLI-3 trial was raised in a commentary published in the Lancet Journal,</w:t>
      </w:r>
      <w:r w:rsidRPr="00552B0C">
        <w:rPr>
          <w:rStyle w:val="FootnoteReference"/>
        </w:rPr>
        <w:footnoteReference w:id="30"/>
      </w:r>
      <w:r w:rsidRPr="00552B0C">
        <w:t xml:space="preserve"> which indicated that the ESMO identified a minimum 3-month benefit in overall survival, and by the World Health Organization (WHO), which recommended a 4–6-month threshold for benefit in overall survival without detriment to quality of life.</w:t>
      </w:r>
      <w:r w:rsidRPr="00552B0C">
        <w:rPr>
          <w:rStyle w:val="FootnoteReference"/>
        </w:rPr>
        <w:footnoteReference w:id="31"/>
      </w:r>
      <w:r w:rsidRPr="00552B0C">
        <w:t xml:space="preserve"> </w:t>
      </w:r>
      <w:r w:rsidRPr="00552B0C">
        <w:rPr>
          <w:rStyle w:val="FootnoteReference"/>
        </w:rPr>
        <w:footnoteReference w:id="32"/>
      </w:r>
      <w:r w:rsidRPr="00552B0C">
        <w:t xml:space="preserve"> These </w:t>
      </w:r>
      <w:r w:rsidR="3AE754BE" w:rsidRPr="00552B0C">
        <w:t>thresholds</w:t>
      </w:r>
      <w:r w:rsidRPr="00552B0C">
        <w:t xml:space="preserve"> were not met in NAPOLI-3 trial. The magnitude of improvement in PFS and OS presented in the resubmission continues to be small and previous concerns raised in the March 2024 PBAC meeting about the clinical meaningfulness of these improvements remain.</w:t>
      </w:r>
    </w:p>
    <w:p w14:paraId="598CEBAD" w14:textId="7B2967DE" w:rsidR="0006382F" w:rsidRDefault="0006382F" w:rsidP="4E6EDD58">
      <w:pPr>
        <w:pStyle w:val="3-BodyText"/>
      </w:pPr>
      <w:r w:rsidRPr="00552B0C">
        <w:t>The PSCR</w:t>
      </w:r>
      <w:bookmarkStart w:id="48" w:name="_Hlk180098188"/>
      <w:r w:rsidRPr="00552B0C">
        <w:t xml:space="preserve"> </w:t>
      </w:r>
      <w:bookmarkEnd w:id="48"/>
      <w:r w:rsidRPr="00552B0C">
        <w:t xml:space="preserve">argued that in a condition like mPAC where patient prognosis is poor, that the observed benefit of almost 2 months improvement in PFS and OS will be meaningful to patients, and argued the ASCO MCID referenced previously by the PBAC was 'aspirational'. The PSCR further noted the </w:t>
      </w:r>
      <w:r w:rsidR="0023090E" w:rsidRPr="00552B0C">
        <w:t>resubmission</w:t>
      </w:r>
      <w:r w:rsidRPr="00552B0C">
        <w:t xml:space="preserve"> included a statement from two oncologists (</w:t>
      </w:r>
      <w:r w:rsidR="00385EF6" w:rsidRPr="00552B0C">
        <w:t xml:space="preserve">see paragraph </w:t>
      </w:r>
      <w:r w:rsidR="00385EF6" w:rsidRPr="00552B0C">
        <w:fldChar w:fldCharType="begin" w:fldLock="1"/>
      </w:r>
      <w:r w:rsidR="00385EF6" w:rsidRPr="00552B0C">
        <w:instrText xml:space="preserve"> REF _Ref179893994 \r \h </w:instrText>
      </w:r>
      <w:r w:rsidR="00552B0C" w:rsidRPr="00552B0C">
        <w:instrText xml:space="preserve"> \* MERGEFORMAT </w:instrText>
      </w:r>
      <w:r w:rsidR="00385EF6" w:rsidRPr="00552B0C">
        <w:fldChar w:fldCharType="separate"/>
      </w:r>
      <w:r w:rsidR="001C19B6">
        <w:t>1.1</w:t>
      </w:r>
      <w:r w:rsidR="00385EF6" w:rsidRPr="00552B0C">
        <w:fldChar w:fldCharType="end"/>
      </w:r>
      <w:r w:rsidRPr="00552B0C">
        <w:t>) stating the improvement in OS, as</w:t>
      </w:r>
      <w:r w:rsidR="00385EF6" w:rsidRPr="00552B0C">
        <w:t>-</w:t>
      </w:r>
      <w:r w:rsidRPr="00552B0C">
        <w:t xml:space="preserve">observed </w:t>
      </w:r>
      <w:r w:rsidRPr="00552B0C">
        <w:lastRenderedPageBreak/>
        <w:t xml:space="preserve">in NAPOLI-3, was a clinically meaningful result. The ESC considered the question of whether such an improvement in PFS and OS would be clinically meaningful to patients, when balanced with the adverse event profiles of NALIRIFOX and Gem+NabP and quality of life considerations, was complex and multifaceted. However, the ESC reiterated issues with comparator selection and comparative effectiveness and safety to FOLFIRINOX were the more substantive issues with the </w:t>
      </w:r>
      <w:r w:rsidR="0023090E" w:rsidRPr="00552B0C">
        <w:t>resubmission</w:t>
      </w:r>
      <w:r w:rsidRPr="00552B0C">
        <w:t>.</w:t>
      </w:r>
      <w:r w:rsidR="00E2103A">
        <w:t xml:space="preserve"> </w:t>
      </w:r>
      <w:r w:rsidR="006D0A2E">
        <w:t>The Pre-PBAC Response stated that based on the extended follow-up data from NAPOLI-3, for every 100 patients treated with NALIRIFOX over Gem+NabP, an additional 5 patients would be alive at 36 months, and argued that in conjunction with an improvement in quality of life, is meaningful for people living with mPAC.</w:t>
      </w:r>
    </w:p>
    <w:p w14:paraId="5D1BC512" w14:textId="77777777" w:rsidR="004B7C4D" w:rsidRPr="004B7C4D" w:rsidRDefault="004B7C4D" w:rsidP="004B7C4D">
      <w:pPr>
        <w:pStyle w:val="3-BodyText"/>
      </w:pPr>
      <w:r w:rsidRPr="004B7C4D">
        <w:t xml:space="preserve">Patient-reported outcomes were presented using the EuroQol 5-dimension health status questionnaire 5 level (EQ-5D-5L) Visual Analogue Scale (VAS) for health and EQ-5D-5L index scores for each treatment arms and unchanged from the previous submission. At most time points, the EQ-5D-5L VAS and EQ-5D-5L index scores appear to numerically favour NALIRIFOX over Gem+NabP, although the difference was not statistically significant . </w:t>
      </w:r>
    </w:p>
    <w:p w14:paraId="27F9E11F" w14:textId="77777777" w:rsidR="00091D2A" w:rsidRPr="00552B0C" w:rsidRDefault="00091D2A" w:rsidP="00091D2A">
      <w:pPr>
        <w:pStyle w:val="5-SubsectionSubheading"/>
        <w:rPr>
          <w:b w:val="0"/>
          <w:color w:val="0066FF"/>
        </w:rPr>
      </w:pPr>
      <w:bookmarkStart w:id="49" w:name="_Toc177546223"/>
      <w:r w:rsidRPr="00552B0C">
        <w:t>NALIRIFOX versus FOLFIRINOX</w:t>
      </w:r>
      <w:bookmarkEnd w:id="49"/>
    </w:p>
    <w:p w14:paraId="383E3CED" w14:textId="77777777" w:rsidR="00091D2A" w:rsidRPr="00552B0C" w:rsidRDefault="00091D2A" w:rsidP="00552B0C">
      <w:pPr>
        <w:pStyle w:val="3-BodyText"/>
        <w:numPr>
          <w:ilvl w:val="1"/>
          <w:numId w:val="5"/>
        </w:numPr>
      </w:pPr>
      <w:r w:rsidRPr="00552B0C">
        <w:t>The resubmission presented a single-step ITC of the efficacy (OS and PFS) using the Bucher method and a MAIC of NALIRIFOX and FOLFIRINOX using RCT evidence from NAPOLI-3 (updated data) and GENERATE trials.</w:t>
      </w:r>
    </w:p>
    <w:p w14:paraId="1BAB7763" w14:textId="19123617" w:rsidR="006014CA" w:rsidRPr="00552B0C" w:rsidRDefault="006014CA" w:rsidP="00552B0C">
      <w:pPr>
        <w:pStyle w:val="3-BodyText"/>
        <w:numPr>
          <w:ilvl w:val="1"/>
          <w:numId w:val="5"/>
        </w:numPr>
      </w:pPr>
      <w:r w:rsidRPr="00552B0C">
        <w:t xml:space="preserve">The </w:t>
      </w:r>
      <w:r w:rsidR="00AA3998" w:rsidRPr="00552B0C">
        <w:t>methodology</w:t>
      </w:r>
      <w:r w:rsidRPr="00552B0C">
        <w:t xml:space="preserve"> for the MAIC </w:t>
      </w:r>
      <w:r w:rsidR="00AD1DCB" w:rsidRPr="00552B0C">
        <w:t xml:space="preserve">was </w:t>
      </w:r>
      <w:r w:rsidR="00AA3998" w:rsidRPr="00552B0C">
        <w:t>based on the National Institute for Health and Care Excellence (NICE) guidance</w:t>
      </w:r>
      <w:r w:rsidR="00C2185F" w:rsidRPr="00552B0C">
        <w:rPr>
          <w:rStyle w:val="FootnoteReference"/>
        </w:rPr>
        <w:footnoteReference w:id="33"/>
      </w:r>
      <w:r w:rsidR="00AA3998" w:rsidRPr="00552B0C">
        <w:t xml:space="preserve"> </w:t>
      </w:r>
      <w:r w:rsidR="00230861" w:rsidRPr="00552B0C">
        <w:t>which involved</w:t>
      </w:r>
      <w:r w:rsidR="00C36224" w:rsidRPr="00552B0C">
        <w:t xml:space="preserve"> using logistic propensity score model to reweight </w:t>
      </w:r>
      <w:r w:rsidR="00230861" w:rsidRPr="00552B0C">
        <w:t>individual patient-level data (IPD) for OS from the NAPOLI-3 trial to mimic the population recruited to the GENERATE trial for which only aggregate results are available</w:t>
      </w:r>
      <w:r w:rsidR="00151E25" w:rsidRPr="00552B0C">
        <w:t>.</w:t>
      </w:r>
      <w:r w:rsidR="00220436" w:rsidRPr="00552B0C">
        <w:t xml:space="preserve"> Using these weights, HRs comparing PFS and OS for NALIRIFOX vs Gem+NabP were predicted for the population in the GENERATE trial</w:t>
      </w:r>
      <w:r w:rsidR="008D07B9" w:rsidRPr="00552B0C">
        <w:t xml:space="preserve"> and were used in the MAIC</w:t>
      </w:r>
      <w:r w:rsidR="003C300A" w:rsidRPr="00552B0C">
        <w:t xml:space="preserve"> against results from the NAPOLI-3 trial</w:t>
      </w:r>
      <w:r w:rsidR="00220436" w:rsidRPr="00552B0C">
        <w:t>. The covariates included in the model were patient age group (&lt; 65 and ≥ 65), ECOG PS (0 or 1) and absence/presence of liver metastases.</w:t>
      </w:r>
      <w:r w:rsidR="00304098" w:rsidRPr="00552B0C">
        <w:t xml:space="preserve"> </w:t>
      </w:r>
    </w:p>
    <w:p w14:paraId="71A9DDDB" w14:textId="22969C8E" w:rsidR="00236474" w:rsidRPr="00552B0C" w:rsidRDefault="00091D2A" w:rsidP="00552B0C">
      <w:pPr>
        <w:pStyle w:val="3-BodyText"/>
        <w:numPr>
          <w:ilvl w:val="1"/>
          <w:numId w:val="5"/>
        </w:numPr>
      </w:pPr>
      <w:r w:rsidRPr="00552B0C">
        <w:fldChar w:fldCharType="begin" w:fldLock="1"/>
      </w:r>
      <w:r w:rsidRPr="00552B0C">
        <w:instrText xml:space="preserve"> REF _Ref176361650 \h </w:instrText>
      </w:r>
      <w:r w:rsidR="00B87FAE" w:rsidRPr="00552B0C">
        <w:instrText xml:space="preserve"> \* MERGEFORMAT </w:instrText>
      </w:r>
      <w:r w:rsidRPr="00552B0C">
        <w:fldChar w:fldCharType="separate"/>
      </w:r>
      <w:r w:rsidR="001C19B6" w:rsidRPr="00552B0C">
        <w:t xml:space="preserve">Table </w:t>
      </w:r>
      <w:r w:rsidR="001C19B6">
        <w:rPr>
          <w:noProof/>
        </w:rPr>
        <w:t>7</w:t>
      </w:r>
      <w:r w:rsidRPr="00552B0C">
        <w:fldChar w:fldCharType="end"/>
      </w:r>
      <w:r w:rsidRPr="00552B0C">
        <w:t xml:space="preserve"> summarises the results of the single-step ITC and MAIC using the reweighted population.</w:t>
      </w:r>
      <w:r w:rsidR="008D0998">
        <w:t xml:space="preserve"> </w:t>
      </w:r>
    </w:p>
    <w:p w14:paraId="077D7C17" w14:textId="357EBA99" w:rsidR="00091D2A" w:rsidRPr="00552B0C" w:rsidRDefault="00E16AD8" w:rsidP="00C81C2F">
      <w:pPr>
        <w:pStyle w:val="Caption"/>
      </w:pPr>
      <w:bookmarkStart w:id="50" w:name="_Ref176361650"/>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7</w:t>
      </w:r>
      <w:r w:rsidR="001C19B6">
        <w:rPr>
          <w:noProof/>
        </w:rPr>
        <w:fldChar w:fldCharType="end"/>
      </w:r>
      <w:bookmarkEnd w:id="50"/>
      <w:r w:rsidR="00091D2A" w:rsidRPr="00552B0C">
        <w:t>: Indirect comparisons of PFS and OS using updated data from the NAPOLI-3 and GENERATE trials</w:t>
      </w:r>
    </w:p>
    <w:tbl>
      <w:tblPr>
        <w:tblStyle w:val="TableGrid"/>
        <w:tblW w:w="0" w:type="auto"/>
        <w:tblLook w:val="04A0" w:firstRow="1" w:lastRow="0" w:firstColumn="1" w:lastColumn="0" w:noHBand="0" w:noVBand="1"/>
        <w:tblCaption w:val="Table 7: Indirect comparisons of PFS and OS using updated data from the NAPOLI-3 and GENERATE trials"/>
      </w:tblPr>
      <w:tblGrid>
        <w:gridCol w:w="2972"/>
        <w:gridCol w:w="1559"/>
        <w:gridCol w:w="1387"/>
        <w:gridCol w:w="1549"/>
        <w:gridCol w:w="1549"/>
      </w:tblGrid>
      <w:tr w:rsidR="00091D2A" w:rsidRPr="00552B0C" w14:paraId="76280839" w14:textId="77777777" w:rsidTr="00FA7A35">
        <w:tc>
          <w:tcPr>
            <w:tcW w:w="2972" w:type="dxa"/>
            <w:vMerge w:val="restart"/>
            <w:shd w:val="clear" w:color="auto" w:fill="FFFFFF" w:themeFill="background1"/>
          </w:tcPr>
          <w:p w14:paraId="740E2A56" w14:textId="77777777" w:rsidR="00091D2A" w:rsidRPr="00552B0C" w:rsidRDefault="00091D2A" w:rsidP="00C81C2F">
            <w:pPr>
              <w:pStyle w:val="In-tableHeading"/>
              <w:keepLines/>
            </w:pPr>
            <w:r w:rsidRPr="00552B0C">
              <w:t>ITCs</w:t>
            </w:r>
          </w:p>
        </w:tc>
        <w:tc>
          <w:tcPr>
            <w:tcW w:w="2946" w:type="dxa"/>
            <w:gridSpan w:val="2"/>
            <w:shd w:val="clear" w:color="auto" w:fill="auto"/>
          </w:tcPr>
          <w:p w14:paraId="5E7B16FB" w14:textId="77777777" w:rsidR="00091D2A" w:rsidRPr="00552B0C" w:rsidRDefault="00091D2A" w:rsidP="00C81C2F">
            <w:pPr>
              <w:pStyle w:val="In-tableHeading"/>
              <w:keepLines/>
              <w:jc w:val="center"/>
            </w:pPr>
            <w:r w:rsidRPr="00552B0C">
              <w:t>NAPOLI-3</w:t>
            </w:r>
          </w:p>
        </w:tc>
        <w:tc>
          <w:tcPr>
            <w:tcW w:w="3098" w:type="dxa"/>
            <w:gridSpan w:val="2"/>
            <w:shd w:val="clear" w:color="auto" w:fill="auto"/>
          </w:tcPr>
          <w:p w14:paraId="332D9132" w14:textId="77777777" w:rsidR="00091D2A" w:rsidRPr="00552B0C" w:rsidRDefault="00091D2A" w:rsidP="00C81C2F">
            <w:pPr>
              <w:pStyle w:val="In-tableHeading"/>
              <w:keepLines/>
              <w:jc w:val="center"/>
            </w:pPr>
            <w:r w:rsidRPr="00552B0C">
              <w:t>GENERATE</w:t>
            </w:r>
          </w:p>
        </w:tc>
      </w:tr>
      <w:tr w:rsidR="00091D2A" w:rsidRPr="00552B0C" w14:paraId="73897141" w14:textId="77777777">
        <w:tc>
          <w:tcPr>
            <w:tcW w:w="2972" w:type="dxa"/>
            <w:vMerge/>
            <w:shd w:val="clear" w:color="auto" w:fill="FFFFFF" w:themeFill="background1"/>
          </w:tcPr>
          <w:p w14:paraId="78D06379" w14:textId="77777777" w:rsidR="00091D2A" w:rsidRPr="00552B0C" w:rsidRDefault="00091D2A" w:rsidP="00C81C2F">
            <w:pPr>
              <w:pStyle w:val="Tabletext"/>
              <w:keepNext/>
              <w:keepLines/>
              <w:rPr>
                <w:rFonts w:eastAsiaTheme="majorEastAsia"/>
              </w:rPr>
            </w:pPr>
          </w:p>
        </w:tc>
        <w:tc>
          <w:tcPr>
            <w:tcW w:w="1559" w:type="dxa"/>
            <w:shd w:val="clear" w:color="auto" w:fill="B8CCE4" w:themeFill="accent1" w:themeFillTint="66"/>
          </w:tcPr>
          <w:p w14:paraId="6D850108" w14:textId="77777777" w:rsidR="00091D2A" w:rsidRPr="00552B0C" w:rsidRDefault="00091D2A" w:rsidP="00C81C2F">
            <w:pPr>
              <w:pStyle w:val="In-tableHeading"/>
              <w:keepLines/>
              <w:jc w:val="center"/>
            </w:pPr>
            <w:r w:rsidRPr="00552B0C">
              <w:t>NALIRIFOX</w:t>
            </w:r>
          </w:p>
          <w:p w14:paraId="22857549" w14:textId="77777777" w:rsidR="00091D2A" w:rsidRPr="00552B0C" w:rsidRDefault="00091D2A" w:rsidP="00C81C2F">
            <w:pPr>
              <w:pStyle w:val="In-tableHeading"/>
              <w:keepLines/>
              <w:jc w:val="center"/>
            </w:pPr>
            <w:r w:rsidRPr="00552B0C">
              <w:t>N= 383</w:t>
            </w:r>
          </w:p>
        </w:tc>
        <w:tc>
          <w:tcPr>
            <w:tcW w:w="1387" w:type="dxa"/>
            <w:shd w:val="clear" w:color="auto" w:fill="B8CCE4" w:themeFill="accent1" w:themeFillTint="66"/>
          </w:tcPr>
          <w:p w14:paraId="74F14237" w14:textId="77777777" w:rsidR="00091D2A" w:rsidRPr="00552B0C" w:rsidRDefault="00091D2A" w:rsidP="00C81C2F">
            <w:pPr>
              <w:pStyle w:val="In-tableHeading"/>
              <w:keepLines/>
              <w:jc w:val="center"/>
            </w:pPr>
            <w:r w:rsidRPr="00552B0C">
              <w:t>Gem+NabP</w:t>
            </w:r>
          </w:p>
          <w:p w14:paraId="668629DF" w14:textId="77777777" w:rsidR="00091D2A" w:rsidRPr="00552B0C" w:rsidRDefault="00091D2A" w:rsidP="00C81C2F">
            <w:pPr>
              <w:pStyle w:val="In-tableHeading"/>
              <w:keepLines/>
              <w:jc w:val="center"/>
            </w:pPr>
            <w:r w:rsidRPr="00552B0C">
              <w:t>N = 387</w:t>
            </w:r>
          </w:p>
        </w:tc>
        <w:tc>
          <w:tcPr>
            <w:tcW w:w="1549" w:type="dxa"/>
            <w:shd w:val="clear" w:color="auto" w:fill="B8CCE4" w:themeFill="accent1" w:themeFillTint="66"/>
          </w:tcPr>
          <w:p w14:paraId="44012D73" w14:textId="6B61A812" w:rsidR="00091D2A" w:rsidRPr="00552B0C" w:rsidRDefault="00B4448A" w:rsidP="00C81C2F">
            <w:pPr>
              <w:pStyle w:val="In-tableHeading"/>
              <w:keepLines/>
              <w:jc w:val="center"/>
            </w:pPr>
            <w:r w:rsidRPr="00552B0C">
              <w:t>m</w:t>
            </w:r>
            <w:r w:rsidR="00091D2A" w:rsidRPr="00552B0C">
              <w:t>FOLFIRINOX</w:t>
            </w:r>
          </w:p>
          <w:p w14:paraId="7C395BA8" w14:textId="77777777" w:rsidR="00091D2A" w:rsidRPr="00552B0C" w:rsidRDefault="00091D2A" w:rsidP="00C81C2F">
            <w:pPr>
              <w:pStyle w:val="In-tableHeading"/>
              <w:keepLines/>
              <w:jc w:val="center"/>
            </w:pPr>
            <w:r w:rsidRPr="00552B0C">
              <w:t>N = 171</w:t>
            </w:r>
          </w:p>
        </w:tc>
        <w:tc>
          <w:tcPr>
            <w:tcW w:w="1549" w:type="dxa"/>
            <w:shd w:val="clear" w:color="auto" w:fill="B8CCE4" w:themeFill="accent1" w:themeFillTint="66"/>
          </w:tcPr>
          <w:p w14:paraId="3F7E35CA" w14:textId="77777777" w:rsidR="00091D2A" w:rsidRPr="00552B0C" w:rsidRDefault="00091D2A" w:rsidP="00C81C2F">
            <w:pPr>
              <w:pStyle w:val="In-tableHeading"/>
              <w:keepLines/>
              <w:jc w:val="center"/>
            </w:pPr>
            <w:r w:rsidRPr="00552B0C">
              <w:t>Gem+NabP</w:t>
            </w:r>
          </w:p>
          <w:p w14:paraId="67E266AA" w14:textId="77777777" w:rsidR="00091D2A" w:rsidRPr="00552B0C" w:rsidRDefault="00091D2A" w:rsidP="00C81C2F">
            <w:pPr>
              <w:pStyle w:val="In-tableHeading"/>
              <w:keepLines/>
              <w:jc w:val="center"/>
            </w:pPr>
            <w:r w:rsidRPr="00552B0C">
              <w:t>N = 174</w:t>
            </w:r>
          </w:p>
        </w:tc>
      </w:tr>
      <w:tr w:rsidR="00091D2A" w:rsidRPr="00552B0C" w14:paraId="39E4E80A" w14:textId="77777777">
        <w:tc>
          <w:tcPr>
            <w:tcW w:w="2972" w:type="dxa"/>
          </w:tcPr>
          <w:p w14:paraId="7ACAC139" w14:textId="77777777" w:rsidR="00091D2A" w:rsidRPr="00552B0C" w:rsidRDefault="00091D2A" w:rsidP="00C81C2F">
            <w:pPr>
              <w:pStyle w:val="Tabletext"/>
              <w:keepNext/>
              <w:keepLines/>
              <w:rPr>
                <w:rFonts w:eastAsiaTheme="majorEastAsia"/>
              </w:rPr>
            </w:pPr>
            <w:r w:rsidRPr="00552B0C">
              <w:rPr>
                <w:rFonts w:eastAsiaTheme="majorEastAsia"/>
              </w:rPr>
              <w:t>Median PFS, in months (95% CI)</w:t>
            </w:r>
          </w:p>
        </w:tc>
        <w:tc>
          <w:tcPr>
            <w:tcW w:w="1559" w:type="dxa"/>
            <w:shd w:val="clear" w:color="auto" w:fill="B8CCE4" w:themeFill="accent1" w:themeFillTint="66"/>
          </w:tcPr>
          <w:p w14:paraId="4F63963A" w14:textId="77777777" w:rsidR="00091D2A" w:rsidRPr="00552B0C" w:rsidRDefault="00091D2A" w:rsidP="00C81C2F">
            <w:pPr>
              <w:pStyle w:val="Tabletext"/>
              <w:keepNext/>
              <w:keepLines/>
              <w:jc w:val="center"/>
              <w:rPr>
                <w:rFonts w:eastAsiaTheme="majorEastAsia"/>
              </w:rPr>
            </w:pPr>
            <w:r w:rsidRPr="00552B0C">
              <w:rPr>
                <w:rFonts w:eastAsiaTheme="majorEastAsia"/>
              </w:rPr>
              <w:t>7.4 (6.0, 7.7)</w:t>
            </w:r>
          </w:p>
        </w:tc>
        <w:tc>
          <w:tcPr>
            <w:tcW w:w="1387" w:type="dxa"/>
            <w:shd w:val="clear" w:color="auto" w:fill="B8CCE4" w:themeFill="accent1" w:themeFillTint="66"/>
          </w:tcPr>
          <w:p w14:paraId="3A8705EA" w14:textId="77777777" w:rsidR="00091D2A" w:rsidRPr="00552B0C" w:rsidRDefault="00091D2A" w:rsidP="00C81C2F">
            <w:pPr>
              <w:pStyle w:val="Tabletext"/>
              <w:keepNext/>
              <w:keepLines/>
              <w:jc w:val="center"/>
              <w:rPr>
                <w:rFonts w:eastAsiaTheme="majorEastAsia"/>
              </w:rPr>
            </w:pPr>
            <w:r w:rsidRPr="00552B0C">
              <w:rPr>
                <w:rFonts w:eastAsiaTheme="majorEastAsia"/>
              </w:rPr>
              <w:t>5.6 (5.3, 5.8)</w:t>
            </w:r>
          </w:p>
        </w:tc>
        <w:tc>
          <w:tcPr>
            <w:tcW w:w="1549" w:type="dxa"/>
            <w:shd w:val="clear" w:color="auto" w:fill="B8CCE4" w:themeFill="accent1" w:themeFillTint="66"/>
          </w:tcPr>
          <w:p w14:paraId="68FAA97D" w14:textId="77777777" w:rsidR="00091D2A" w:rsidRPr="00552B0C" w:rsidRDefault="00091D2A" w:rsidP="00C81C2F">
            <w:pPr>
              <w:pStyle w:val="Tabletext"/>
              <w:keepNext/>
              <w:keepLines/>
              <w:jc w:val="center"/>
              <w:rPr>
                <w:rFonts w:eastAsiaTheme="majorEastAsia"/>
              </w:rPr>
            </w:pPr>
            <w:r w:rsidRPr="00552B0C">
              <w:rPr>
                <w:rFonts w:eastAsiaTheme="majorEastAsia"/>
              </w:rPr>
              <w:t>5.8 (5.1, 6.9)</w:t>
            </w:r>
          </w:p>
        </w:tc>
        <w:tc>
          <w:tcPr>
            <w:tcW w:w="1549" w:type="dxa"/>
            <w:shd w:val="clear" w:color="auto" w:fill="B8CCE4" w:themeFill="accent1" w:themeFillTint="66"/>
          </w:tcPr>
          <w:p w14:paraId="73450530" w14:textId="77777777" w:rsidR="00091D2A" w:rsidRPr="00552B0C" w:rsidRDefault="00091D2A" w:rsidP="00C81C2F">
            <w:pPr>
              <w:pStyle w:val="Tabletext"/>
              <w:keepNext/>
              <w:keepLines/>
              <w:jc w:val="center"/>
              <w:rPr>
                <w:rFonts w:eastAsiaTheme="majorEastAsia"/>
              </w:rPr>
            </w:pPr>
            <w:r w:rsidRPr="00552B0C">
              <w:rPr>
                <w:rFonts w:eastAsiaTheme="majorEastAsia"/>
              </w:rPr>
              <w:t>6.7 (5.7, 7.4)</w:t>
            </w:r>
          </w:p>
        </w:tc>
      </w:tr>
      <w:tr w:rsidR="00091D2A" w:rsidRPr="00552B0C" w14:paraId="46C3136E" w14:textId="77777777">
        <w:tc>
          <w:tcPr>
            <w:tcW w:w="2972" w:type="dxa"/>
          </w:tcPr>
          <w:p w14:paraId="1DA6AD2A" w14:textId="3C91C0E3" w:rsidR="00FA457A" w:rsidRPr="00552B0C" w:rsidRDefault="00091D2A" w:rsidP="00C81C2F">
            <w:pPr>
              <w:pStyle w:val="Tabletext"/>
              <w:keepNext/>
              <w:keepLines/>
              <w:rPr>
                <w:rFonts w:eastAsiaTheme="majorEastAsia"/>
              </w:rPr>
            </w:pPr>
            <w:r w:rsidRPr="00552B0C">
              <w:rPr>
                <w:rFonts w:eastAsiaTheme="majorEastAsia"/>
              </w:rPr>
              <w:t>Median OS, in months (95% CI)</w:t>
            </w:r>
          </w:p>
        </w:tc>
        <w:tc>
          <w:tcPr>
            <w:tcW w:w="1559" w:type="dxa"/>
          </w:tcPr>
          <w:p w14:paraId="463340C1" w14:textId="3CDDDD4F" w:rsidR="00A211AD" w:rsidRPr="00552B0C" w:rsidRDefault="00A211AD" w:rsidP="00C81C2F">
            <w:pPr>
              <w:pStyle w:val="Tabletext"/>
              <w:keepNext/>
              <w:keepLines/>
              <w:jc w:val="center"/>
              <w:rPr>
                <w:rFonts w:eastAsiaTheme="majorEastAsia"/>
              </w:rPr>
            </w:pPr>
            <w:r w:rsidRPr="00552B0C">
              <w:rPr>
                <w:rFonts w:eastAsiaTheme="majorEastAsia"/>
              </w:rPr>
              <w:t>11.1 (10.0, 12.1)</w:t>
            </w:r>
            <w:r w:rsidRPr="00552B0C">
              <w:rPr>
                <w:vertAlign w:val="superscript"/>
              </w:rPr>
              <w:t>a</w:t>
            </w:r>
          </w:p>
          <w:p w14:paraId="1E4DDC75" w14:textId="4EDB19E5" w:rsidR="00091D2A" w:rsidRPr="00552B0C" w:rsidRDefault="00091D2A" w:rsidP="00C81C2F">
            <w:pPr>
              <w:pStyle w:val="Tabletext"/>
              <w:keepNext/>
              <w:keepLines/>
              <w:jc w:val="center"/>
              <w:rPr>
                <w:rFonts w:eastAsiaTheme="majorEastAsia"/>
                <w:vertAlign w:val="superscript"/>
              </w:rPr>
            </w:pPr>
            <w:r w:rsidRPr="00552B0C">
              <w:rPr>
                <w:rFonts w:eastAsiaTheme="majorEastAsia"/>
              </w:rPr>
              <w:t>11.1 (10.0, 12.1)</w:t>
            </w:r>
            <w:r w:rsidR="00864B45" w:rsidRPr="00552B0C">
              <w:rPr>
                <w:rFonts w:eastAsiaTheme="majorEastAsia"/>
                <w:vertAlign w:val="superscript"/>
              </w:rPr>
              <w:t>b</w:t>
            </w:r>
          </w:p>
        </w:tc>
        <w:tc>
          <w:tcPr>
            <w:tcW w:w="1387" w:type="dxa"/>
          </w:tcPr>
          <w:p w14:paraId="1F31BF52" w14:textId="71A3AD31" w:rsidR="00A211AD" w:rsidRPr="00552B0C" w:rsidRDefault="00A211AD" w:rsidP="00C81C2F">
            <w:pPr>
              <w:pStyle w:val="Tabletext"/>
              <w:keepNext/>
              <w:keepLines/>
              <w:jc w:val="center"/>
              <w:rPr>
                <w:rFonts w:eastAsiaTheme="majorEastAsia"/>
              </w:rPr>
            </w:pPr>
            <w:r w:rsidRPr="00552B0C">
              <w:rPr>
                <w:rFonts w:eastAsiaTheme="majorEastAsia"/>
              </w:rPr>
              <w:t>9.2 (8.3, 10.6)</w:t>
            </w:r>
            <w:r w:rsidRPr="00552B0C">
              <w:rPr>
                <w:vertAlign w:val="superscript"/>
              </w:rPr>
              <w:t>a</w:t>
            </w:r>
          </w:p>
          <w:p w14:paraId="2C0F30D3" w14:textId="22DA2FF1" w:rsidR="00091D2A" w:rsidRPr="00552B0C" w:rsidRDefault="00091D2A" w:rsidP="00C81C2F">
            <w:pPr>
              <w:pStyle w:val="Tabletext"/>
              <w:keepNext/>
              <w:keepLines/>
              <w:jc w:val="center"/>
              <w:rPr>
                <w:rFonts w:eastAsiaTheme="majorEastAsia"/>
                <w:vertAlign w:val="superscript"/>
              </w:rPr>
            </w:pPr>
            <w:r w:rsidRPr="00552B0C">
              <w:rPr>
                <w:rFonts w:eastAsiaTheme="majorEastAsia"/>
              </w:rPr>
              <w:t>9.2 (8.3, 10.6)</w:t>
            </w:r>
            <w:r w:rsidR="00864B45" w:rsidRPr="00552B0C">
              <w:rPr>
                <w:rFonts w:eastAsiaTheme="majorEastAsia"/>
                <w:vertAlign w:val="superscript"/>
              </w:rPr>
              <w:t>b</w:t>
            </w:r>
          </w:p>
        </w:tc>
        <w:tc>
          <w:tcPr>
            <w:tcW w:w="1549" w:type="dxa"/>
            <w:shd w:val="clear" w:color="auto" w:fill="B8CCE4" w:themeFill="accent1" w:themeFillTint="66"/>
          </w:tcPr>
          <w:p w14:paraId="5DD0CA98" w14:textId="77777777" w:rsidR="00091D2A" w:rsidRPr="00552B0C" w:rsidRDefault="00091D2A" w:rsidP="00C81C2F">
            <w:pPr>
              <w:pStyle w:val="Tabletext"/>
              <w:keepNext/>
              <w:keepLines/>
              <w:jc w:val="center"/>
              <w:rPr>
                <w:rFonts w:eastAsiaTheme="majorEastAsia"/>
              </w:rPr>
            </w:pPr>
            <w:r w:rsidRPr="00552B0C">
              <w:rPr>
                <w:rFonts w:eastAsiaTheme="majorEastAsia"/>
              </w:rPr>
              <w:t>14.0 (11.4, 16.3)</w:t>
            </w:r>
          </w:p>
        </w:tc>
        <w:tc>
          <w:tcPr>
            <w:tcW w:w="1549" w:type="dxa"/>
            <w:shd w:val="clear" w:color="auto" w:fill="B8CCE4" w:themeFill="accent1" w:themeFillTint="66"/>
          </w:tcPr>
          <w:p w14:paraId="2DF90F0C" w14:textId="77777777" w:rsidR="00091D2A" w:rsidRPr="00552B0C" w:rsidRDefault="00091D2A" w:rsidP="00C81C2F">
            <w:pPr>
              <w:pStyle w:val="Tabletext"/>
              <w:keepNext/>
              <w:keepLines/>
              <w:jc w:val="center"/>
              <w:rPr>
                <w:rFonts w:eastAsiaTheme="majorEastAsia"/>
              </w:rPr>
            </w:pPr>
            <w:r w:rsidRPr="00552B0C">
              <w:rPr>
                <w:rFonts w:eastAsiaTheme="majorEastAsia"/>
              </w:rPr>
              <w:t>17.0 (14.5, 18.9)</w:t>
            </w:r>
          </w:p>
        </w:tc>
      </w:tr>
      <w:tr w:rsidR="00091D2A" w:rsidRPr="00552B0C" w14:paraId="6E3E9EEB" w14:textId="77777777">
        <w:tc>
          <w:tcPr>
            <w:tcW w:w="2972" w:type="dxa"/>
          </w:tcPr>
          <w:p w14:paraId="44CD3528" w14:textId="6A6A158D" w:rsidR="00091D2A" w:rsidRPr="00552B0C" w:rsidRDefault="00091D2A" w:rsidP="00C81C2F">
            <w:pPr>
              <w:pStyle w:val="In-tableHeading"/>
              <w:keepLines/>
            </w:pPr>
            <w:r w:rsidRPr="00552B0C">
              <w:t xml:space="preserve">NALIRIFOX vs </w:t>
            </w:r>
            <w:r w:rsidR="00AC3CC1" w:rsidRPr="00552B0C">
              <w:t>m</w:t>
            </w:r>
            <w:r w:rsidRPr="00552B0C">
              <w:t>FOLFIRINOX</w:t>
            </w:r>
          </w:p>
        </w:tc>
        <w:tc>
          <w:tcPr>
            <w:tcW w:w="2946" w:type="dxa"/>
            <w:gridSpan w:val="2"/>
          </w:tcPr>
          <w:p w14:paraId="0F7D2357" w14:textId="77777777" w:rsidR="00091D2A" w:rsidRPr="00552B0C" w:rsidRDefault="00091D2A" w:rsidP="00C81C2F">
            <w:pPr>
              <w:pStyle w:val="In-tableHeading"/>
              <w:keepLines/>
              <w:jc w:val="center"/>
              <w:rPr>
                <w:bCs/>
              </w:rPr>
            </w:pPr>
            <w:r w:rsidRPr="00552B0C">
              <w:t>Single-step ITC</w:t>
            </w:r>
          </w:p>
        </w:tc>
        <w:tc>
          <w:tcPr>
            <w:tcW w:w="3098" w:type="dxa"/>
            <w:gridSpan w:val="2"/>
            <w:shd w:val="clear" w:color="auto" w:fill="FFFFFF" w:themeFill="background1"/>
          </w:tcPr>
          <w:p w14:paraId="4EC171FC" w14:textId="16D81AB3" w:rsidR="00091D2A" w:rsidRPr="00552B0C" w:rsidRDefault="00091D2A" w:rsidP="00C81C2F">
            <w:pPr>
              <w:pStyle w:val="In-tableHeading"/>
              <w:keepLines/>
              <w:jc w:val="center"/>
              <w:rPr>
                <w:bCs/>
              </w:rPr>
            </w:pPr>
            <w:r w:rsidRPr="00552B0C">
              <w:t>MAIC</w:t>
            </w:r>
          </w:p>
        </w:tc>
      </w:tr>
      <w:tr w:rsidR="00091D2A" w:rsidRPr="00552B0C" w14:paraId="1613D0D4" w14:textId="77777777">
        <w:tc>
          <w:tcPr>
            <w:tcW w:w="2972" w:type="dxa"/>
          </w:tcPr>
          <w:p w14:paraId="73639D6C" w14:textId="77777777" w:rsidR="00091D2A" w:rsidRPr="00552B0C" w:rsidRDefault="00091D2A" w:rsidP="00C81C2F">
            <w:pPr>
              <w:pStyle w:val="Tabletext"/>
              <w:keepNext/>
              <w:keepLines/>
              <w:rPr>
                <w:rFonts w:eastAsiaTheme="majorEastAsia"/>
              </w:rPr>
            </w:pPr>
            <w:r w:rsidRPr="00552B0C">
              <w:t>PFS HR (95% CI)</w:t>
            </w:r>
          </w:p>
        </w:tc>
        <w:tc>
          <w:tcPr>
            <w:tcW w:w="2946" w:type="dxa"/>
            <w:gridSpan w:val="2"/>
          </w:tcPr>
          <w:p w14:paraId="4F9B2268" w14:textId="77777777" w:rsidR="00091D2A" w:rsidRPr="00552B0C" w:rsidRDefault="00091D2A" w:rsidP="00C81C2F">
            <w:pPr>
              <w:pStyle w:val="Tabletext"/>
              <w:keepNext/>
              <w:keepLines/>
              <w:jc w:val="center"/>
              <w:rPr>
                <w:rFonts w:eastAsiaTheme="majorEastAsia"/>
                <w:b/>
                <w:bCs/>
              </w:rPr>
            </w:pPr>
            <w:r w:rsidRPr="00552B0C">
              <w:rPr>
                <w:b/>
                <w:bCs/>
              </w:rPr>
              <w:t>0.60 (0.45, 0.81)</w:t>
            </w:r>
          </w:p>
        </w:tc>
        <w:tc>
          <w:tcPr>
            <w:tcW w:w="3098" w:type="dxa"/>
            <w:gridSpan w:val="2"/>
            <w:shd w:val="clear" w:color="auto" w:fill="FFFFFF" w:themeFill="background1"/>
          </w:tcPr>
          <w:p w14:paraId="0D83D876" w14:textId="77777777" w:rsidR="00091D2A" w:rsidRPr="00552B0C" w:rsidRDefault="00091D2A" w:rsidP="00C81C2F">
            <w:pPr>
              <w:pStyle w:val="Tabletext"/>
              <w:keepNext/>
              <w:keepLines/>
              <w:jc w:val="center"/>
              <w:rPr>
                <w:rFonts w:eastAsiaTheme="majorEastAsia"/>
                <w:b/>
                <w:bCs/>
              </w:rPr>
            </w:pPr>
            <w:r w:rsidRPr="00552B0C">
              <w:rPr>
                <w:b/>
                <w:bCs/>
              </w:rPr>
              <w:t>0.53 (0.39, 0.72)</w:t>
            </w:r>
          </w:p>
        </w:tc>
      </w:tr>
      <w:tr w:rsidR="00091D2A" w:rsidRPr="00552B0C" w14:paraId="109820AF" w14:textId="77777777">
        <w:tc>
          <w:tcPr>
            <w:tcW w:w="2972" w:type="dxa"/>
          </w:tcPr>
          <w:p w14:paraId="113F2411" w14:textId="77777777" w:rsidR="00091D2A" w:rsidRPr="00552B0C" w:rsidRDefault="00091D2A" w:rsidP="00C81C2F">
            <w:pPr>
              <w:pStyle w:val="Tabletext"/>
              <w:keepNext/>
              <w:keepLines/>
              <w:rPr>
                <w:rFonts w:eastAsiaTheme="majorEastAsia"/>
              </w:rPr>
            </w:pPr>
            <w:r w:rsidRPr="00552B0C">
              <w:t>OS HR (95% CI)</w:t>
            </w:r>
          </w:p>
        </w:tc>
        <w:tc>
          <w:tcPr>
            <w:tcW w:w="2946" w:type="dxa"/>
            <w:gridSpan w:val="2"/>
          </w:tcPr>
          <w:p w14:paraId="3E576BDB" w14:textId="77777777" w:rsidR="00091D2A" w:rsidRPr="00552B0C" w:rsidRDefault="00091D2A" w:rsidP="00C81C2F">
            <w:pPr>
              <w:pStyle w:val="Tabletext"/>
              <w:keepNext/>
              <w:keepLines/>
              <w:jc w:val="center"/>
              <w:rPr>
                <w:rFonts w:eastAsiaTheme="majorEastAsia"/>
                <w:b/>
                <w:bCs/>
              </w:rPr>
            </w:pPr>
            <w:r w:rsidRPr="00552B0C">
              <w:rPr>
                <w:b/>
                <w:bCs/>
              </w:rPr>
              <w:t>0.65 (0.48, 0.89)</w:t>
            </w:r>
          </w:p>
        </w:tc>
        <w:tc>
          <w:tcPr>
            <w:tcW w:w="3098" w:type="dxa"/>
            <w:gridSpan w:val="2"/>
            <w:shd w:val="clear" w:color="auto" w:fill="FFFFFF" w:themeFill="background1"/>
          </w:tcPr>
          <w:p w14:paraId="3AD17591" w14:textId="77777777" w:rsidR="00091D2A" w:rsidRPr="00552B0C" w:rsidRDefault="00091D2A" w:rsidP="00C81C2F">
            <w:pPr>
              <w:pStyle w:val="Tabletext"/>
              <w:keepNext/>
              <w:keepLines/>
              <w:jc w:val="center"/>
              <w:rPr>
                <w:rFonts w:eastAsiaTheme="majorEastAsia"/>
                <w:b/>
                <w:bCs/>
              </w:rPr>
            </w:pPr>
            <w:r w:rsidRPr="00552B0C">
              <w:rPr>
                <w:b/>
                <w:bCs/>
              </w:rPr>
              <w:t>0.66 (0.47, 0.92)</w:t>
            </w:r>
          </w:p>
        </w:tc>
      </w:tr>
    </w:tbl>
    <w:p w14:paraId="372A875B" w14:textId="77777777" w:rsidR="00091D2A" w:rsidRPr="00552B0C" w:rsidRDefault="00091D2A" w:rsidP="006C554D">
      <w:pPr>
        <w:pStyle w:val="TableFigureFooter"/>
      </w:pPr>
      <w:r w:rsidRPr="00552B0C">
        <w:t>Source: Table 2.10, p45 of resubmission.</w:t>
      </w:r>
    </w:p>
    <w:p w14:paraId="75978738" w14:textId="1D29AF50" w:rsidR="00091D2A" w:rsidRPr="00552B0C" w:rsidRDefault="00091D2A" w:rsidP="006C554D">
      <w:pPr>
        <w:pStyle w:val="TableFigureFooter"/>
      </w:pPr>
      <w:r w:rsidRPr="00552B0C">
        <w:t xml:space="preserve">Abbreviations; CI, confidence interval; </w:t>
      </w:r>
      <w:r w:rsidR="00B4448A" w:rsidRPr="00552B0C">
        <w:t>m</w:t>
      </w:r>
      <w:r w:rsidRPr="00552B0C">
        <w:t>FOLFIRINOX,</w:t>
      </w:r>
      <w:r w:rsidR="00B4448A" w:rsidRPr="00552B0C">
        <w:t xml:space="preserve"> modified</w:t>
      </w:r>
      <w:r w:rsidRPr="00552B0C">
        <w:t xml:space="preserve"> 5-fluorouracil, leucovorin/folinic acid, standard irinotecan, and oxaliplatin; Gem+NabP, gemcitabine plus nanoparticle albumin-bound paclitaxel; HR, hazard ratio; ITC, indirect treatment comparison; MAIC, matching-adjusted indirect treatment comparison; NALIRIFOX, 5-fluorouracil, leucovorin/folinic acid, nanoliposomal irinotecan (nal-IRI), and oxaliplatin; OS, overall survival; PFS, progression free survival.</w:t>
      </w:r>
    </w:p>
    <w:p w14:paraId="30E5CBC2" w14:textId="31125DF0" w:rsidR="005C1F5B" w:rsidRPr="00552B0C" w:rsidRDefault="005C1F5B" w:rsidP="006C554D">
      <w:pPr>
        <w:pStyle w:val="TableFigureFooter"/>
        <w:rPr>
          <w:rFonts w:eastAsiaTheme="majorEastAsia"/>
        </w:rPr>
      </w:pPr>
      <w:r w:rsidRPr="00552B0C">
        <w:rPr>
          <w:vertAlign w:val="superscript"/>
        </w:rPr>
        <w:t xml:space="preserve">a </w:t>
      </w:r>
      <w:r w:rsidRPr="00552B0C">
        <w:t xml:space="preserve">Based on </w:t>
      </w:r>
      <w:r w:rsidRPr="00552B0C">
        <w:rPr>
          <w:rFonts w:eastAsiaTheme="majorEastAsia"/>
        </w:rPr>
        <w:t>median follow-up: 16.1 months</w:t>
      </w:r>
    </w:p>
    <w:p w14:paraId="1418ACC9" w14:textId="47A19B2C" w:rsidR="00A211AD" w:rsidRPr="00552B0C" w:rsidRDefault="00A211AD" w:rsidP="006C554D">
      <w:pPr>
        <w:pStyle w:val="TableFigureFooter"/>
      </w:pPr>
      <w:r w:rsidRPr="00552B0C">
        <w:rPr>
          <w:rFonts w:eastAsiaTheme="majorEastAsia"/>
          <w:vertAlign w:val="superscript"/>
        </w:rPr>
        <w:t>b</w:t>
      </w:r>
      <w:r w:rsidRPr="00552B0C">
        <w:rPr>
          <w:rFonts w:eastAsiaTheme="majorEastAsia"/>
        </w:rPr>
        <w:t xml:space="preserve"> Based on median follow-up: 29.5 months</w:t>
      </w:r>
    </w:p>
    <w:p w14:paraId="512B7564" w14:textId="77777777" w:rsidR="00091D2A" w:rsidRPr="00552B0C" w:rsidRDefault="00091D2A" w:rsidP="006C554D">
      <w:pPr>
        <w:pStyle w:val="TableFigureFooter"/>
      </w:pPr>
      <w:r w:rsidRPr="00552B0C">
        <w:t xml:space="preserve">Note: Results in </w:t>
      </w:r>
      <w:r w:rsidRPr="00552B0C">
        <w:rPr>
          <w:b/>
          <w:bCs/>
        </w:rPr>
        <w:t>bold</w:t>
      </w:r>
      <w:r w:rsidRPr="00552B0C">
        <w:t xml:space="preserve"> indicate statistically significant difference.</w:t>
      </w:r>
    </w:p>
    <w:p w14:paraId="0B435586" w14:textId="095A5223" w:rsidR="00091D2A" w:rsidRPr="00552B0C" w:rsidRDefault="00091D2A" w:rsidP="006C554D">
      <w:pPr>
        <w:pStyle w:val="TableFigureFooter"/>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w:t>
      </w:r>
    </w:p>
    <w:p w14:paraId="3134A124" w14:textId="64AFD42B" w:rsidR="00091D2A" w:rsidRPr="00552B0C" w:rsidRDefault="00091D2A" w:rsidP="4E6EDD58">
      <w:pPr>
        <w:pStyle w:val="3-BodyText"/>
      </w:pPr>
      <w:r w:rsidRPr="00552B0C">
        <w:t xml:space="preserve">Based on the single-step ITC and MAIC presented by the resubmission, NALIRIFOX showed a statistically significant improvement for NALIRIFOX in OS (HR 0.65; 95% CI: 0.48, 0.89 and HR 0.66; 95% CI: 0.47, 0.92, respectively) and in PFS (HR 0.60; 95% CI: 0.45, 0.81 and HR 0.53; 95% CI: 0.39, 0.72, respectively) compared with </w:t>
      </w:r>
      <w:r w:rsidR="00AC3CC1" w:rsidRPr="00552B0C">
        <w:t>m</w:t>
      </w:r>
      <w:r w:rsidRPr="00552B0C">
        <w:t xml:space="preserve">FOLFIRINOX. </w:t>
      </w:r>
    </w:p>
    <w:p w14:paraId="1D4D6814" w14:textId="5D4BB506" w:rsidR="00236474" w:rsidRPr="00552B0C" w:rsidRDefault="1F47143D">
      <w:pPr>
        <w:pStyle w:val="3-BodyText"/>
        <w:rPr>
          <w:rFonts w:ascii="Calibri" w:hAnsi="Calibri" w:cs="Calibri"/>
        </w:rPr>
      </w:pPr>
      <w:bookmarkStart w:id="51" w:name="_Ref184130851"/>
      <w:r w:rsidRPr="00552B0C">
        <w:rPr>
          <w:rFonts w:ascii="Calibri" w:hAnsi="Calibri" w:cs="Calibri"/>
        </w:rPr>
        <w:t xml:space="preserve">Previous concerns of the GENERATE trial raised by the PBAC regarding the comparability due to differences in patient and disease characteristics, </w:t>
      </w:r>
      <w:r w:rsidRPr="00552B0C">
        <w:rPr>
          <w:rFonts w:ascii="Calibri" w:eastAsiaTheme="majorEastAsia" w:hAnsi="Calibri" w:cs="Calibri"/>
        </w:rPr>
        <w:t xml:space="preserve">the higher proportion of patients discontinuing due to AEs with </w:t>
      </w:r>
      <w:r w:rsidR="00FB7A93" w:rsidRPr="00552B0C">
        <w:rPr>
          <w:rFonts w:ascii="Calibri" w:eastAsiaTheme="majorEastAsia" w:hAnsi="Calibri" w:cs="Calibri"/>
        </w:rPr>
        <w:t>m</w:t>
      </w:r>
      <w:r w:rsidRPr="00552B0C">
        <w:rPr>
          <w:rFonts w:ascii="Calibri" w:eastAsiaTheme="majorEastAsia" w:hAnsi="Calibri" w:cs="Calibri"/>
        </w:rPr>
        <w:t xml:space="preserve">FOLFIRINOX, </w:t>
      </w:r>
      <w:r w:rsidRPr="00552B0C">
        <w:rPr>
          <w:rFonts w:ascii="Calibri" w:hAnsi="Calibri" w:cs="Calibri"/>
        </w:rPr>
        <w:t>the substantially longer median OS reported with Gem+NabP compared to other trials</w:t>
      </w:r>
      <w:r w:rsidR="343914DB" w:rsidRPr="00552B0C">
        <w:rPr>
          <w:rFonts w:ascii="Calibri" w:hAnsi="Calibri" w:cs="Calibri"/>
        </w:rPr>
        <w:t xml:space="preserve"> (e.g</w:t>
      </w:r>
      <w:r w:rsidR="00593018" w:rsidRPr="00552B0C">
        <w:rPr>
          <w:rFonts w:ascii="Calibri" w:hAnsi="Calibri" w:cs="Calibri"/>
        </w:rPr>
        <w:t>.</w:t>
      </w:r>
      <w:r w:rsidR="343914DB" w:rsidRPr="00552B0C">
        <w:rPr>
          <w:rFonts w:ascii="Calibri" w:hAnsi="Calibri" w:cs="Calibri"/>
        </w:rPr>
        <w:t xml:space="preserve"> 17.0</w:t>
      </w:r>
      <w:r w:rsidR="00FA7A35">
        <w:rPr>
          <w:rFonts w:ascii="Calibri" w:hAnsi="Calibri" w:cs="Calibri"/>
        </w:rPr>
        <w:t> </w:t>
      </w:r>
      <w:r w:rsidR="343914DB" w:rsidRPr="00552B0C">
        <w:rPr>
          <w:rFonts w:ascii="Calibri" w:hAnsi="Calibri" w:cs="Calibri"/>
        </w:rPr>
        <w:t>months in GENERATE versus 9.2 months in NAPOLI-3)</w:t>
      </w:r>
      <w:r w:rsidRPr="00552B0C">
        <w:rPr>
          <w:rFonts w:ascii="Calibri" w:hAnsi="Calibri" w:cs="Calibri"/>
        </w:rPr>
        <w:t>, and inadequate</w:t>
      </w:r>
      <w:r w:rsidRPr="00552B0C">
        <w:rPr>
          <w:rFonts w:eastAsia="Calibri"/>
        </w:rPr>
        <w:t xml:space="preserve"> reporting of details of the trial </w:t>
      </w:r>
      <w:r w:rsidRPr="00552B0C">
        <w:rPr>
          <w:rFonts w:ascii="Calibri" w:hAnsi="Calibri" w:cs="Calibri"/>
        </w:rPr>
        <w:t>remain (para 7.12, irinotecan (nanoliposomal), PSD, March</w:t>
      </w:r>
      <w:r w:rsidR="00FA7A35">
        <w:rPr>
          <w:rFonts w:ascii="Calibri" w:hAnsi="Calibri" w:cs="Calibri"/>
        </w:rPr>
        <w:t> </w:t>
      </w:r>
      <w:r w:rsidRPr="00552B0C">
        <w:rPr>
          <w:rFonts w:ascii="Calibri" w:hAnsi="Calibri" w:cs="Calibri"/>
        </w:rPr>
        <w:t>2024 PBAC meeting).</w:t>
      </w:r>
      <w:r w:rsidR="6BCBB998" w:rsidRPr="00552B0C">
        <w:rPr>
          <w:rFonts w:ascii="Calibri" w:hAnsi="Calibri" w:cs="Calibri"/>
        </w:rPr>
        <w:t xml:space="preserve"> </w:t>
      </w:r>
      <w:r w:rsidR="00236474" w:rsidRPr="00552B0C">
        <w:rPr>
          <w:rFonts w:ascii="Calibri" w:hAnsi="Calibri" w:cs="Calibri"/>
        </w:rPr>
        <w:t xml:space="preserve">Another concern was that </w:t>
      </w:r>
      <w:r w:rsidR="00236474" w:rsidRPr="00552B0C">
        <w:t xml:space="preserve">the improvement in median OS of approximately 3 months for Gem+NabP compared with FOLFIRINOX that was reported for the GENERATE trial, was longer than the improvement in median PFS of approximately one month, which the PBAC previously considered may reflect the OS results being impacted by subsequent treatments </w:t>
      </w:r>
      <w:r w:rsidR="00236474" w:rsidRPr="00552B0C">
        <w:rPr>
          <w:rFonts w:ascii="Calibri" w:hAnsi="Calibri" w:cs="Calibri"/>
        </w:rPr>
        <w:t>(para 7.12, irinotecan (nanoliposomal), PSD, March 2024 PBAC meeting).</w:t>
      </w:r>
      <w:bookmarkEnd w:id="51"/>
    </w:p>
    <w:p w14:paraId="4B16A30A" w14:textId="5788F493" w:rsidR="00091D2A" w:rsidRPr="00552B0C" w:rsidRDefault="4559AFD6" w:rsidP="4E6EDD58">
      <w:pPr>
        <w:pStyle w:val="3-BodyText"/>
      </w:pPr>
      <w:bookmarkStart w:id="52" w:name="_Ref176364538"/>
      <w:r w:rsidRPr="00552B0C">
        <w:t>In addition to the issues and uncertainties identified with the GENERATE trial, t</w:t>
      </w:r>
      <w:r w:rsidR="00091D2A" w:rsidRPr="00552B0C">
        <w:t>here are</w:t>
      </w:r>
      <w:r w:rsidR="1F132A12" w:rsidRPr="00552B0C">
        <w:t xml:space="preserve"> also</w:t>
      </w:r>
      <w:r w:rsidR="00091D2A" w:rsidRPr="00552B0C">
        <w:t xml:space="preserve"> important differences between NAPOLI-3 and GENERATE that may impact the </w:t>
      </w:r>
      <w:r w:rsidR="3FC5A8D3" w:rsidRPr="00552B0C">
        <w:t>robustness</w:t>
      </w:r>
      <w:r w:rsidR="00091D2A" w:rsidRPr="00552B0C">
        <w:t xml:space="preserve"> of these indirect comparisons:</w:t>
      </w:r>
      <w:bookmarkEnd w:id="52"/>
    </w:p>
    <w:p w14:paraId="3E79A2FB" w14:textId="77777777" w:rsidR="00091D2A" w:rsidRPr="00552B0C" w:rsidRDefault="00091D2A" w:rsidP="00552B0C">
      <w:pPr>
        <w:pStyle w:val="3-BodyText"/>
        <w:numPr>
          <w:ilvl w:val="0"/>
          <w:numId w:val="14"/>
        </w:numPr>
        <w:spacing w:before="60" w:after="60"/>
      </w:pPr>
      <w:r w:rsidRPr="00552B0C">
        <w:t>Different trial settings and eligibility criteria were not accounted for, possibly leading to potential confounding.</w:t>
      </w:r>
    </w:p>
    <w:p w14:paraId="5B6E43AF" w14:textId="77777777" w:rsidR="00091D2A" w:rsidRPr="00552B0C" w:rsidRDefault="00091D2A" w:rsidP="00552B0C">
      <w:pPr>
        <w:pStyle w:val="3-BodyText"/>
        <w:numPr>
          <w:ilvl w:val="0"/>
          <w:numId w:val="14"/>
        </w:numPr>
        <w:spacing w:before="60" w:after="60"/>
      </w:pPr>
      <w:r w:rsidRPr="00552B0C">
        <w:t xml:space="preserve">The MAIC did not adequately account for differences in baseline characteristics and included only three out of six variables in the weights. Asian heritage, CA 19-9 levels, and number of metastatic sites remained unadjusted and this increases the possibility of residual confounding. </w:t>
      </w:r>
    </w:p>
    <w:p w14:paraId="30277BDF" w14:textId="77777777" w:rsidR="00091D2A" w:rsidRPr="00552B0C" w:rsidRDefault="00091D2A" w:rsidP="00552B0C">
      <w:pPr>
        <w:pStyle w:val="3-BodyText"/>
        <w:numPr>
          <w:ilvl w:val="0"/>
          <w:numId w:val="14"/>
        </w:numPr>
        <w:spacing w:before="60" w:after="60"/>
      </w:pPr>
      <w:r w:rsidRPr="00552B0C">
        <w:t xml:space="preserve">The resubmission did not report all baseline characteristics and distributions of weights after weighting (including means as well as standard deviations and/or </w:t>
      </w:r>
      <w:r w:rsidRPr="00552B0C">
        <w:lastRenderedPageBreak/>
        <w:t>ranges), which would be useful to assess if study populations of NAPOLI-3 and GENERATE trial are comparable/balanced after weighting.</w:t>
      </w:r>
    </w:p>
    <w:p w14:paraId="1383BCA1" w14:textId="3247DBCB" w:rsidR="00091D2A" w:rsidRPr="00552B0C" w:rsidRDefault="00091D2A" w:rsidP="4E6EDD58">
      <w:pPr>
        <w:pStyle w:val="3-BodyText"/>
      </w:pPr>
      <w:r w:rsidRPr="00552B0C">
        <w:fldChar w:fldCharType="begin" w:fldLock="1"/>
      </w:r>
      <w:r w:rsidRPr="00552B0C">
        <w:instrText xml:space="preserve"> REF _Ref176360627 \h </w:instrText>
      </w:r>
      <w:r w:rsidR="00B87FAE" w:rsidRPr="00552B0C">
        <w:instrText xml:space="preserve"> \* MERGEFORMAT </w:instrText>
      </w:r>
      <w:r w:rsidRPr="00552B0C">
        <w:fldChar w:fldCharType="separate"/>
      </w:r>
      <w:r w:rsidR="001C19B6" w:rsidRPr="00552B0C">
        <w:t xml:space="preserve">Table </w:t>
      </w:r>
      <w:r w:rsidR="001C19B6">
        <w:rPr>
          <w:noProof/>
        </w:rPr>
        <w:t>8</w:t>
      </w:r>
      <w:r w:rsidRPr="00552B0C">
        <w:fldChar w:fldCharType="end"/>
      </w:r>
      <w:r w:rsidRPr="00552B0C">
        <w:t xml:space="preserve"> summarise</w:t>
      </w:r>
      <w:r w:rsidR="2B5EFB3A" w:rsidRPr="00552B0C">
        <w:t>s</w:t>
      </w:r>
      <w:r w:rsidRPr="00552B0C">
        <w:t xml:space="preserve"> the OS and PFS results from the multi-step ITC conducted during the evaluation of the March 2024 submission using NAPOLI-3, MPACT and ACCORD11/PRODIGE4 trials along with Nichetti et al. (2024) results presented in the March 2024 PSCR and pre-PBAC response and compares this to the results of the single-step ITC and MAIC presented in the resubmission using the GENERATE trial.</w:t>
      </w:r>
    </w:p>
    <w:p w14:paraId="3FE81F11" w14:textId="7394CDF3" w:rsidR="00091D2A" w:rsidRPr="00552B0C" w:rsidRDefault="00E16AD8" w:rsidP="000D5DFD">
      <w:pPr>
        <w:pStyle w:val="Caption"/>
      </w:pPr>
      <w:bookmarkStart w:id="53" w:name="_Ref176360627"/>
      <w:bookmarkStart w:id="54" w:name="_Ref176360596"/>
      <w:r w:rsidRPr="00552B0C">
        <w:t xml:space="preserve">Table </w:t>
      </w:r>
      <w:r w:rsidR="001C19B6">
        <w:fldChar w:fldCharType="begin" w:fldLock="1"/>
      </w:r>
      <w:r w:rsidR="001C19B6">
        <w:instrText xml:space="preserve"> SEQ Table \* ARABIC </w:instrText>
      </w:r>
      <w:r w:rsidR="001C19B6">
        <w:fldChar w:fldCharType="separate"/>
      </w:r>
      <w:r w:rsidR="001C19B6">
        <w:rPr>
          <w:noProof/>
        </w:rPr>
        <w:t>8</w:t>
      </w:r>
      <w:r w:rsidR="001C19B6">
        <w:rPr>
          <w:noProof/>
        </w:rPr>
        <w:fldChar w:fldCharType="end"/>
      </w:r>
      <w:bookmarkEnd w:id="53"/>
      <w:r w:rsidR="00091D2A" w:rsidRPr="00552B0C">
        <w:t xml:space="preserve">: </w:t>
      </w:r>
      <w:r w:rsidR="009E1535" w:rsidRPr="00552B0C">
        <w:t xml:space="preserve">Comparison </w:t>
      </w:r>
      <w:r w:rsidR="00091D2A" w:rsidRPr="00552B0C">
        <w:t>of ITC results</w:t>
      </w:r>
      <w:r w:rsidR="009E1535" w:rsidRPr="00552B0C">
        <w:t>:</w:t>
      </w:r>
      <w:r w:rsidR="00091D2A" w:rsidRPr="00552B0C">
        <w:t xml:space="preserve"> March 2024 </w:t>
      </w:r>
      <w:r w:rsidR="009E1535" w:rsidRPr="00552B0C">
        <w:t>submission</w:t>
      </w:r>
      <w:r w:rsidR="00091D2A" w:rsidRPr="00552B0C">
        <w:t xml:space="preserve"> and </w:t>
      </w:r>
      <w:r w:rsidR="009E1535" w:rsidRPr="00552B0C">
        <w:t xml:space="preserve">current </w:t>
      </w:r>
      <w:r w:rsidR="00091D2A" w:rsidRPr="00552B0C">
        <w:t>resubmission</w:t>
      </w:r>
      <w:bookmarkEnd w:id="54"/>
    </w:p>
    <w:tbl>
      <w:tblPr>
        <w:tblStyle w:val="TableGrid"/>
        <w:tblW w:w="5000" w:type="pct"/>
        <w:tblLook w:val="04A0" w:firstRow="1" w:lastRow="0" w:firstColumn="1" w:lastColumn="0" w:noHBand="0" w:noVBand="1"/>
        <w:tblCaption w:val="Table 8: Comparison of ITC results: March 2024 submission and current resubmission"/>
      </w:tblPr>
      <w:tblGrid>
        <w:gridCol w:w="1505"/>
        <w:gridCol w:w="1933"/>
        <w:gridCol w:w="2186"/>
        <w:gridCol w:w="1656"/>
        <w:gridCol w:w="1737"/>
      </w:tblGrid>
      <w:tr w:rsidR="007C55AF" w:rsidRPr="00552B0C" w14:paraId="0AD1CDCD" w14:textId="77777777" w:rsidTr="00FA7A35">
        <w:tc>
          <w:tcPr>
            <w:tcW w:w="835" w:type="pct"/>
            <w:vMerge w:val="restart"/>
            <w:shd w:val="clear" w:color="auto" w:fill="FFFFFF" w:themeFill="background1"/>
          </w:tcPr>
          <w:p w14:paraId="46FC99F4" w14:textId="77777777" w:rsidR="007C55AF" w:rsidRPr="00552B0C" w:rsidRDefault="007C55AF" w:rsidP="000D5DFD">
            <w:pPr>
              <w:pStyle w:val="Tabletext"/>
              <w:keepNext/>
              <w:keepLines/>
            </w:pPr>
          </w:p>
        </w:tc>
        <w:tc>
          <w:tcPr>
            <w:tcW w:w="2284" w:type="pct"/>
            <w:gridSpan w:val="2"/>
            <w:shd w:val="clear" w:color="auto" w:fill="auto"/>
          </w:tcPr>
          <w:p w14:paraId="33B010FE" w14:textId="5DE428D5" w:rsidR="007C55AF" w:rsidRPr="00552B0C" w:rsidRDefault="007C55AF" w:rsidP="000D5DFD">
            <w:pPr>
              <w:pStyle w:val="In-tableHeading"/>
              <w:keepLines/>
              <w:jc w:val="center"/>
            </w:pPr>
            <w:r w:rsidRPr="00552B0C">
              <w:t xml:space="preserve">March 2024 PBAC </w:t>
            </w:r>
            <w:r w:rsidR="00BF4F7A" w:rsidRPr="00552B0C">
              <w:t>consideration</w:t>
            </w:r>
          </w:p>
        </w:tc>
        <w:tc>
          <w:tcPr>
            <w:tcW w:w="1881" w:type="pct"/>
            <w:gridSpan w:val="2"/>
            <w:shd w:val="clear" w:color="auto" w:fill="FFFFFF" w:themeFill="background1"/>
          </w:tcPr>
          <w:p w14:paraId="0488AFED" w14:textId="77777777" w:rsidR="007C55AF" w:rsidRPr="00552B0C" w:rsidRDefault="007C55AF" w:rsidP="000D5DFD">
            <w:pPr>
              <w:pStyle w:val="In-tableHeading"/>
              <w:keepLines/>
              <w:jc w:val="center"/>
            </w:pPr>
            <w:r w:rsidRPr="00552B0C">
              <w:t>November 2024 Resubmission</w:t>
            </w:r>
          </w:p>
        </w:tc>
      </w:tr>
      <w:tr w:rsidR="00091D2A" w:rsidRPr="00297E86" w14:paraId="61E69D22" w14:textId="77777777" w:rsidTr="007C55AF">
        <w:tc>
          <w:tcPr>
            <w:tcW w:w="835" w:type="pct"/>
            <w:vMerge/>
            <w:shd w:val="clear" w:color="auto" w:fill="FFFFFF" w:themeFill="background1"/>
          </w:tcPr>
          <w:p w14:paraId="2DD0D584" w14:textId="77777777" w:rsidR="00091D2A" w:rsidRPr="00552B0C" w:rsidRDefault="00091D2A" w:rsidP="000D5DFD">
            <w:pPr>
              <w:pStyle w:val="In-tableHeading"/>
              <w:keepLines/>
            </w:pPr>
          </w:p>
        </w:tc>
        <w:tc>
          <w:tcPr>
            <w:tcW w:w="1072" w:type="pct"/>
            <w:shd w:val="clear" w:color="auto" w:fill="B8CCE4" w:themeFill="accent1" w:themeFillTint="66"/>
          </w:tcPr>
          <w:p w14:paraId="3F9BEA97" w14:textId="77777777" w:rsidR="00091D2A" w:rsidRPr="00552B0C" w:rsidRDefault="00091D2A" w:rsidP="000D5DFD">
            <w:pPr>
              <w:pStyle w:val="In-tableHeading"/>
              <w:keepLines/>
              <w:jc w:val="center"/>
            </w:pPr>
            <w:r w:rsidRPr="00552B0C">
              <w:t>NALIRIFOX vs FOLFIRINOX</w:t>
            </w:r>
          </w:p>
          <w:p w14:paraId="5B838130" w14:textId="77777777" w:rsidR="00091D2A" w:rsidRPr="00552B0C" w:rsidRDefault="00091D2A" w:rsidP="000D5DFD">
            <w:pPr>
              <w:pStyle w:val="In-tableHeading"/>
              <w:keepLines/>
              <w:jc w:val="center"/>
              <w:rPr>
                <w:vertAlign w:val="superscript"/>
              </w:rPr>
            </w:pPr>
            <w:r w:rsidRPr="00552B0C">
              <w:t xml:space="preserve">(multistep ITC) </w:t>
            </w:r>
            <w:r w:rsidRPr="00552B0C">
              <w:rPr>
                <w:vertAlign w:val="superscript"/>
              </w:rPr>
              <w:t>a</w:t>
            </w:r>
          </w:p>
        </w:tc>
        <w:tc>
          <w:tcPr>
            <w:tcW w:w="1212" w:type="pct"/>
            <w:shd w:val="clear" w:color="auto" w:fill="B8CCE4" w:themeFill="accent1" w:themeFillTint="66"/>
          </w:tcPr>
          <w:p w14:paraId="5F000293" w14:textId="77777777" w:rsidR="00091D2A" w:rsidRPr="00552B0C" w:rsidRDefault="00091D2A" w:rsidP="000D5DFD">
            <w:pPr>
              <w:pStyle w:val="In-tableHeading"/>
              <w:keepLines/>
              <w:jc w:val="center"/>
            </w:pPr>
            <w:r w:rsidRPr="00552B0C">
              <w:t>FOLFIRINOX vs NALIRIFOX</w:t>
            </w:r>
          </w:p>
          <w:p w14:paraId="1E6FB013" w14:textId="77777777" w:rsidR="00091D2A" w:rsidRPr="00552B0C" w:rsidRDefault="00091D2A" w:rsidP="000D5DFD">
            <w:pPr>
              <w:pStyle w:val="In-tableHeading"/>
              <w:keepLines/>
              <w:jc w:val="center"/>
            </w:pPr>
            <w:r w:rsidRPr="00552B0C">
              <w:t xml:space="preserve">(Nichetti et al. 2024) </w:t>
            </w:r>
            <w:r w:rsidRPr="00552B0C">
              <w:rPr>
                <w:vertAlign w:val="superscript"/>
              </w:rPr>
              <w:t>b</w:t>
            </w:r>
          </w:p>
        </w:tc>
        <w:tc>
          <w:tcPr>
            <w:tcW w:w="918" w:type="pct"/>
            <w:shd w:val="clear" w:color="auto" w:fill="FFFFFF" w:themeFill="background1"/>
          </w:tcPr>
          <w:p w14:paraId="3DC2873E" w14:textId="1A82DE7E" w:rsidR="00091D2A" w:rsidRPr="00552B0C" w:rsidRDefault="00091D2A" w:rsidP="000D5DFD">
            <w:pPr>
              <w:pStyle w:val="In-tableHeading"/>
              <w:keepLines/>
              <w:jc w:val="center"/>
            </w:pPr>
            <w:r w:rsidRPr="00552B0C">
              <w:t xml:space="preserve">NALIRIFOX vs </w:t>
            </w:r>
            <w:r w:rsidR="00B3467A" w:rsidRPr="00552B0C">
              <w:t>m</w:t>
            </w:r>
            <w:r w:rsidRPr="00552B0C">
              <w:t>FOLFIRINOX</w:t>
            </w:r>
          </w:p>
          <w:p w14:paraId="6ACB3428" w14:textId="77777777" w:rsidR="00091D2A" w:rsidRPr="00552B0C" w:rsidRDefault="00091D2A" w:rsidP="000D5DFD">
            <w:pPr>
              <w:pStyle w:val="In-tableHeading"/>
              <w:keepLines/>
              <w:jc w:val="center"/>
            </w:pPr>
            <w:r w:rsidRPr="00552B0C">
              <w:t xml:space="preserve">(single-step ITC) </w:t>
            </w:r>
            <w:r w:rsidRPr="00552B0C">
              <w:rPr>
                <w:vertAlign w:val="superscript"/>
              </w:rPr>
              <w:t>c</w:t>
            </w:r>
          </w:p>
        </w:tc>
        <w:tc>
          <w:tcPr>
            <w:tcW w:w="963" w:type="pct"/>
            <w:shd w:val="clear" w:color="auto" w:fill="FFFFFF" w:themeFill="background1"/>
          </w:tcPr>
          <w:p w14:paraId="109CCC2F" w14:textId="7863ADED" w:rsidR="00091D2A" w:rsidRPr="00552B0C" w:rsidRDefault="00091D2A" w:rsidP="000D5DFD">
            <w:pPr>
              <w:pStyle w:val="In-tableHeading"/>
              <w:keepLines/>
              <w:jc w:val="center"/>
              <w:rPr>
                <w:lang w:val="pt-BR"/>
              </w:rPr>
            </w:pPr>
            <w:r w:rsidRPr="00552B0C">
              <w:rPr>
                <w:lang w:val="pt-BR"/>
              </w:rPr>
              <w:t xml:space="preserve">NALIRIFOX vs </w:t>
            </w:r>
            <w:r w:rsidR="007770A5" w:rsidRPr="00552B0C">
              <w:rPr>
                <w:lang w:val="pt-BR"/>
              </w:rPr>
              <w:t>m</w:t>
            </w:r>
            <w:r w:rsidRPr="00552B0C">
              <w:rPr>
                <w:lang w:val="pt-BR"/>
              </w:rPr>
              <w:t>FOLFIRINOX</w:t>
            </w:r>
          </w:p>
          <w:p w14:paraId="6A51DF0B" w14:textId="77777777" w:rsidR="00091D2A" w:rsidRPr="00552B0C" w:rsidRDefault="00091D2A" w:rsidP="000D5DFD">
            <w:pPr>
              <w:pStyle w:val="In-tableHeading"/>
              <w:keepLines/>
              <w:jc w:val="center"/>
              <w:rPr>
                <w:lang w:val="pt-BR"/>
              </w:rPr>
            </w:pPr>
            <w:r w:rsidRPr="00552B0C">
              <w:rPr>
                <w:lang w:val="pt-BR"/>
              </w:rPr>
              <w:t xml:space="preserve">(MAIC) </w:t>
            </w:r>
            <w:r w:rsidRPr="00552B0C">
              <w:rPr>
                <w:vertAlign w:val="superscript"/>
                <w:lang w:val="pt-BR"/>
              </w:rPr>
              <w:t>c</w:t>
            </w:r>
          </w:p>
        </w:tc>
      </w:tr>
      <w:tr w:rsidR="00091D2A" w:rsidRPr="00552B0C" w14:paraId="4845255C" w14:textId="77777777" w:rsidTr="007C55AF">
        <w:tc>
          <w:tcPr>
            <w:tcW w:w="835" w:type="pct"/>
            <w:vMerge/>
            <w:shd w:val="clear" w:color="auto" w:fill="FFFFFF" w:themeFill="background1"/>
          </w:tcPr>
          <w:p w14:paraId="67271005" w14:textId="77777777" w:rsidR="00091D2A" w:rsidRPr="00552B0C" w:rsidRDefault="00091D2A" w:rsidP="000D5DFD">
            <w:pPr>
              <w:pStyle w:val="In-tableHeading"/>
              <w:keepLines/>
              <w:rPr>
                <w:lang w:val="pt-BR"/>
              </w:rPr>
            </w:pPr>
          </w:p>
        </w:tc>
        <w:tc>
          <w:tcPr>
            <w:tcW w:w="1072" w:type="pct"/>
            <w:shd w:val="clear" w:color="auto" w:fill="B8CCE4" w:themeFill="accent1" w:themeFillTint="66"/>
          </w:tcPr>
          <w:p w14:paraId="609E7485" w14:textId="77777777" w:rsidR="00091D2A" w:rsidRPr="00552B0C" w:rsidRDefault="00091D2A" w:rsidP="000D5DFD">
            <w:pPr>
              <w:pStyle w:val="In-tableHeading"/>
              <w:keepLines/>
              <w:jc w:val="center"/>
            </w:pPr>
            <w:r w:rsidRPr="00552B0C">
              <w:t>HR&gt;1 favour FOLFIRINOX</w:t>
            </w:r>
          </w:p>
        </w:tc>
        <w:tc>
          <w:tcPr>
            <w:tcW w:w="1212" w:type="pct"/>
            <w:shd w:val="clear" w:color="auto" w:fill="B8CCE4" w:themeFill="accent1" w:themeFillTint="66"/>
          </w:tcPr>
          <w:p w14:paraId="39E8F0F4" w14:textId="77777777" w:rsidR="00091D2A" w:rsidRPr="00552B0C" w:rsidRDefault="00091D2A" w:rsidP="000D5DFD">
            <w:pPr>
              <w:pStyle w:val="In-tableHeading"/>
              <w:keepLines/>
              <w:jc w:val="center"/>
            </w:pPr>
            <w:r w:rsidRPr="00552B0C">
              <w:t>HR&gt;1 favour NALIRIFOX</w:t>
            </w:r>
          </w:p>
        </w:tc>
        <w:tc>
          <w:tcPr>
            <w:tcW w:w="918" w:type="pct"/>
            <w:shd w:val="clear" w:color="auto" w:fill="FFFFFF" w:themeFill="background1"/>
          </w:tcPr>
          <w:p w14:paraId="387083ED" w14:textId="77777777" w:rsidR="00091D2A" w:rsidRPr="00552B0C" w:rsidRDefault="00091D2A" w:rsidP="000D5DFD">
            <w:pPr>
              <w:pStyle w:val="In-tableHeading"/>
              <w:keepLines/>
              <w:jc w:val="center"/>
            </w:pPr>
            <w:r w:rsidRPr="00552B0C">
              <w:t>HR&lt;1 favour NALIRIFOX</w:t>
            </w:r>
          </w:p>
        </w:tc>
        <w:tc>
          <w:tcPr>
            <w:tcW w:w="963" w:type="pct"/>
            <w:shd w:val="clear" w:color="auto" w:fill="FFFFFF" w:themeFill="background1"/>
          </w:tcPr>
          <w:p w14:paraId="4F81F948" w14:textId="77777777" w:rsidR="00091D2A" w:rsidRPr="00552B0C" w:rsidRDefault="00091D2A" w:rsidP="000D5DFD">
            <w:pPr>
              <w:pStyle w:val="In-tableHeading"/>
              <w:keepLines/>
              <w:jc w:val="center"/>
            </w:pPr>
            <w:r w:rsidRPr="00552B0C">
              <w:t>HR&lt;1 favour NALIRIFOX</w:t>
            </w:r>
          </w:p>
        </w:tc>
      </w:tr>
      <w:tr w:rsidR="00091D2A" w:rsidRPr="00552B0C" w14:paraId="63BC82A2" w14:textId="77777777" w:rsidTr="007C55AF">
        <w:trPr>
          <w:trHeight w:val="50"/>
        </w:trPr>
        <w:tc>
          <w:tcPr>
            <w:tcW w:w="835" w:type="pct"/>
          </w:tcPr>
          <w:p w14:paraId="1FB70AF9" w14:textId="77777777" w:rsidR="00091D2A" w:rsidRPr="00552B0C" w:rsidRDefault="00091D2A" w:rsidP="000D5DFD">
            <w:pPr>
              <w:pStyle w:val="Tabletext"/>
              <w:keepNext/>
              <w:keepLines/>
            </w:pPr>
            <w:r w:rsidRPr="00552B0C">
              <w:t>PFS HR (95% CI)</w:t>
            </w:r>
          </w:p>
        </w:tc>
        <w:tc>
          <w:tcPr>
            <w:tcW w:w="1072" w:type="pct"/>
            <w:shd w:val="clear" w:color="auto" w:fill="B8CCE4" w:themeFill="accent1" w:themeFillTint="66"/>
          </w:tcPr>
          <w:p w14:paraId="4C2CB00C" w14:textId="77777777" w:rsidR="00091D2A" w:rsidRPr="00552B0C" w:rsidRDefault="00091D2A" w:rsidP="000D5DFD">
            <w:pPr>
              <w:pStyle w:val="Tabletext"/>
              <w:keepNext/>
              <w:keepLines/>
              <w:jc w:val="center"/>
            </w:pPr>
            <w:r w:rsidRPr="00552B0C">
              <w:t>1.01 (0.72, 1.43)</w:t>
            </w:r>
          </w:p>
        </w:tc>
        <w:tc>
          <w:tcPr>
            <w:tcW w:w="1212" w:type="pct"/>
            <w:shd w:val="clear" w:color="auto" w:fill="B8CCE4" w:themeFill="accent1" w:themeFillTint="66"/>
          </w:tcPr>
          <w:p w14:paraId="696AA209" w14:textId="77777777" w:rsidR="00091D2A" w:rsidRPr="00552B0C" w:rsidRDefault="00091D2A" w:rsidP="000D5DFD">
            <w:pPr>
              <w:pStyle w:val="Tabletext"/>
              <w:keepNext/>
              <w:keepLines/>
              <w:jc w:val="center"/>
            </w:pPr>
            <w:r w:rsidRPr="00552B0C">
              <w:t>1.21 (0.86, 1.70)</w:t>
            </w:r>
          </w:p>
        </w:tc>
        <w:tc>
          <w:tcPr>
            <w:tcW w:w="918" w:type="pct"/>
            <w:shd w:val="clear" w:color="auto" w:fill="auto"/>
          </w:tcPr>
          <w:p w14:paraId="3AD71FC4" w14:textId="77777777" w:rsidR="00091D2A" w:rsidRPr="00552B0C" w:rsidRDefault="00091D2A" w:rsidP="000D5DFD">
            <w:pPr>
              <w:pStyle w:val="Tabletext"/>
              <w:keepNext/>
              <w:keepLines/>
              <w:jc w:val="center"/>
              <w:rPr>
                <w:b/>
                <w:bCs/>
              </w:rPr>
            </w:pPr>
            <w:r w:rsidRPr="00552B0C">
              <w:rPr>
                <w:b/>
                <w:bCs/>
              </w:rPr>
              <w:t>0.60 (0.45, 0.81)</w:t>
            </w:r>
          </w:p>
        </w:tc>
        <w:tc>
          <w:tcPr>
            <w:tcW w:w="963" w:type="pct"/>
            <w:shd w:val="clear" w:color="auto" w:fill="auto"/>
          </w:tcPr>
          <w:p w14:paraId="69EA7CA4" w14:textId="77777777" w:rsidR="00091D2A" w:rsidRPr="00552B0C" w:rsidRDefault="00091D2A" w:rsidP="000D5DFD">
            <w:pPr>
              <w:pStyle w:val="Tabletext"/>
              <w:keepNext/>
              <w:keepLines/>
              <w:jc w:val="center"/>
              <w:rPr>
                <w:b/>
                <w:bCs/>
              </w:rPr>
            </w:pPr>
            <w:r w:rsidRPr="00552B0C">
              <w:rPr>
                <w:b/>
                <w:bCs/>
              </w:rPr>
              <w:t>0.53 (0.39, 0.72)</w:t>
            </w:r>
          </w:p>
        </w:tc>
      </w:tr>
      <w:tr w:rsidR="00091D2A" w:rsidRPr="00552B0C" w14:paraId="75B790BB" w14:textId="77777777" w:rsidTr="007C55AF">
        <w:tc>
          <w:tcPr>
            <w:tcW w:w="835" w:type="pct"/>
          </w:tcPr>
          <w:p w14:paraId="51EC5FA3" w14:textId="77777777" w:rsidR="00091D2A" w:rsidRPr="00552B0C" w:rsidRDefault="00091D2A" w:rsidP="000D5DFD">
            <w:pPr>
              <w:pStyle w:val="Tabletext"/>
              <w:keepNext/>
              <w:keepLines/>
            </w:pPr>
            <w:r w:rsidRPr="00552B0C">
              <w:t>OS HR (95% CI)</w:t>
            </w:r>
          </w:p>
        </w:tc>
        <w:tc>
          <w:tcPr>
            <w:tcW w:w="1072" w:type="pct"/>
            <w:shd w:val="clear" w:color="auto" w:fill="B8CCE4" w:themeFill="accent1" w:themeFillTint="66"/>
          </w:tcPr>
          <w:p w14:paraId="741DC16F" w14:textId="77777777" w:rsidR="00091D2A" w:rsidRPr="00552B0C" w:rsidRDefault="00091D2A" w:rsidP="000D5DFD">
            <w:pPr>
              <w:pStyle w:val="Tabletext"/>
              <w:keepNext/>
              <w:keepLines/>
              <w:jc w:val="center"/>
            </w:pPr>
            <w:r w:rsidRPr="00552B0C">
              <w:t>1.05 (0.76, 1.46)</w:t>
            </w:r>
          </w:p>
        </w:tc>
        <w:tc>
          <w:tcPr>
            <w:tcW w:w="1212" w:type="pct"/>
            <w:shd w:val="clear" w:color="auto" w:fill="B8CCE4" w:themeFill="accent1" w:themeFillTint="66"/>
          </w:tcPr>
          <w:p w14:paraId="3492BBA2" w14:textId="77777777" w:rsidR="00091D2A" w:rsidRPr="00552B0C" w:rsidRDefault="00091D2A" w:rsidP="000D5DFD">
            <w:pPr>
              <w:pStyle w:val="Tabletext"/>
              <w:keepNext/>
              <w:keepLines/>
              <w:jc w:val="center"/>
            </w:pPr>
            <w:r w:rsidRPr="00552B0C">
              <w:t>1.06 (0.81, 1.39)</w:t>
            </w:r>
          </w:p>
        </w:tc>
        <w:tc>
          <w:tcPr>
            <w:tcW w:w="918" w:type="pct"/>
            <w:shd w:val="clear" w:color="auto" w:fill="auto"/>
          </w:tcPr>
          <w:p w14:paraId="7C34F683" w14:textId="77777777" w:rsidR="00091D2A" w:rsidRPr="00552B0C" w:rsidRDefault="00091D2A" w:rsidP="000D5DFD">
            <w:pPr>
              <w:pStyle w:val="Tabletext"/>
              <w:keepNext/>
              <w:keepLines/>
              <w:jc w:val="center"/>
              <w:rPr>
                <w:b/>
                <w:bCs/>
              </w:rPr>
            </w:pPr>
            <w:r w:rsidRPr="00552B0C">
              <w:rPr>
                <w:b/>
                <w:bCs/>
              </w:rPr>
              <w:t>0.65 (0.48, 0.89)</w:t>
            </w:r>
          </w:p>
        </w:tc>
        <w:tc>
          <w:tcPr>
            <w:tcW w:w="963" w:type="pct"/>
            <w:shd w:val="clear" w:color="auto" w:fill="auto"/>
          </w:tcPr>
          <w:p w14:paraId="16E1F66E" w14:textId="77777777" w:rsidR="00091D2A" w:rsidRPr="00552B0C" w:rsidRDefault="00091D2A" w:rsidP="000D5DFD">
            <w:pPr>
              <w:pStyle w:val="Tabletext"/>
              <w:keepNext/>
              <w:keepLines/>
              <w:jc w:val="center"/>
              <w:rPr>
                <w:b/>
                <w:bCs/>
              </w:rPr>
            </w:pPr>
            <w:r w:rsidRPr="00552B0C">
              <w:rPr>
                <w:b/>
                <w:bCs/>
              </w:rPr>
              <w:t>0.66 (0.47, 0.92)</w:t>
            </w:r>
          </w:p>
        </w:tc>
      </w:tr>
    </w:tbl>
    <w:p w14:paraId="1E384DAC" w14:textId="2239706F" w:rsidR="00091D2A" w:rsidRPr="00552B0C" w:rsidRDefault="00091D2A" w:rsidP="000D5DFD">
      <w:pPr>
        <w:pStyle w:val="FooterTableFigure"/>
        <w:keepNext/>
        <w:keepLines/>
        <w:rPr>
          <w:rFonts w:eastAsiaTheme="minorEastAsia"/>
        </w:rPr>
      </w:pPr>
      <w:r w:rsidRPr="00552B0C">
        <w:t xml:space="preserve">Source: Compiled during the evaluation using Table 2.13, p49 of resubmission, Nichetti et al 2024 and Table 6, </w:t>
      </w:r>
      <w:r w:rsidR="00A77C44" w:rsidRPr="00552B0C">
        <w:t>para</w:t>
      </w:r>
      <w:r w:rsidR="008D399E" w:rsidRPr="00552B0C">
        <w:t xml:space="preserve"> 6.35 of the March 2024 meeting PSD</w:t>
      </w:r>
      <w:r w:rsidRPr="00552B0C">
        <w:t>.</w:t>
      </w:r>
    </w:p>
    <w:p w14:paraId="71087D26" w14:textId="16012FD8" w:rsidR="00091D2A" w:rsidRPr="00552B0C" w:rsidRDefault="00091D2A" w:rsidP="000D5DFD">
      <w:pPr>
        <w:pStyle w:val="FooterTableFigure"/>
        <w:keepNext/>
        <w:keepLines/>
      </w:pPr>
      <w:r w:rsidRPr="00552B0C">
        <w:t xml:space="preserve">Abbreviations: </w:t>
      </w:r>
      <w:r w:rsidR="00B3467A" w:rsidRPr="00552B0C">
        <w:t>(m)</w:t>
      </w:r>
      <w:r w:rsidRPr="00552B0C">
        <w:t xml:space="preserve">FOLFIRINOX, </w:t>
      </w:r>
      <w:r w:rsidR="00B3467A" w:rsidRPr="00552B0C">
        <w:t xml:space="preserve">(modified) </w:t>
      </w:r>
      <w:r w:rsidRPr="00552B0C">
        <w:t xml:space="preserve">5-flurouracil, Leucovorin/folinic acid; irinotecan and oxaliplatin; HR, hazard ratio; ITC, indirect treatment comparison; NALIRIFOX, 5-fluorouracil, Leucovorin/folinic acid, nanoliposomal irinotecan (nal-IRI), and oxaliplatin; OS, overall survival; PFS, progression-free survival. </w:t>
      </w:r>
    </w:p>
    <w:p w14:paraId="6DB60773" w14:textId="77777777" w:rsidR="00091D2A" w:rsidRPr="00552B0C" w:rsidRDefault="00091D2A" w:rsidP="000D5DFD">
      <w:pPr>
        <w:pStyle w:val="FooterTableFigure"/>
        <w:keepNext/>
        <w:keepLines/>
      </w:pPr>
      <w:r w:rsidRPr="00552B0C">
        <w:t xml:space="preserve">Statistically significant differences shown in </w:t>
      </w:r>
      <w:r w:rsidRPr="00552B0C">
        <w:rPr>
          <w:b/>
          <w:bCs/>
        </w:rPr>
        <w:t>bold</w:t>
      </w:r>
      <w:r w:rsidRPr="00552B0C">
        <w:t xml:space="preserve"> (p&lt;0.05). </w:t>
      </w:r>
    </w:p>
    <w:p w14:paraId="7B48AF4D" w14:textId="610FAF8B" w:rsidR="00091D2A" w:rsidRPr="00552B0C" w:rsidRDefault="00091D2A" w:rsidP="000D5DFD">
      <w:pPr>
        <w:pStyle w:val="FooterTableFigure"/>
        <w:keepNext/>
        <w:keepLines/>
      </w:pPr>
      <w:r w:rsidRPr="00552B0C">
        <w:rPr>
          <w:vertAlign w:val="superscript"/>
        </w:rPr>
        <w:t>a</w:t>
      </w:r>
      <w:r w:rsidRPr="00552B0C">
        <w:t> Multistep ITC using NAPOLI-3, MPACT and ACCORD11/PRODIGE4 trials.</w:t>
      </w:r>
    </w:p>
    <w:p w14:paraId="2E7A05CC" w14:textId="77777777" w:rsidR="00091D2A" w:rsidRPr="00552B0C" w:rsidRDefault="00091D2A" w:rsidP="000D5DFD">
      <w:pPr>
        <w:pStyle w:val="FooterTableFigure"/>
        <w:keepNext/>
        <w:keepLines/>
      </w:pPr>
      <w:r w:rsidRPr="00552B0C">
        <w:rPr>
          <w:vertAlign w:val="superscript"/>
        </w:rPr>
        <w:t>b</w:t>
      </w:r>
      <w:r w:rsidRPr="00552B0C">
        <w:t xml:space="preserve"> Nichetti et al. (2024) conducted an ITC using NAPOLI-3, MPACT, ACCORD11/PRODIGE4, HALO, RESOLVE, AVENGER500 and CanStem111P trials.</w:t>
      </w:r>
    </w:p>
    <w:p w14:paraId="1A3D4172" w14:textId="77777777" w:rsidR="00091D2A" w:rsidRPr="00552B0C" w:rsidRDefault="00091D2A" w:rsidP="000D5DFD">
      <w:pPr>
        <w:pStyle w:val="FooterTableFigure"/>
        <w:keepNext/>
        <w:keepLines/>
      </w:pPr>
      <w:r w:rsidRPr="00552B0C">
        <w:rPr>
          <w:vertAlign w:val="superscript"/>
        </w:rPr>
        <w:t>c</w:t>
      </w:r>
      <w:r w:rsidRPr="00552B0C">
        <w:t xml:space="preserve"> Based on NAPOLI-3 and GENERATE trials.</w:t>
      </w:r>
    </w:p>
    <w:p w14:paraId="3B048031" w14:textId="77777777" w:rsidR="00091D2A" w:rsidRPr="00552B0C" w:rsidRDefault="00091D2A" w:rsidP="00FA7A35">
      <w:pPr>
        <w:pStyle w:val="FooterTableFigure"/>
        <w:keepLines/>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w:t>
      </w:r>
    </w:p>
    <w:p w14:paraId="36B6A01C" w14:textId="15392AF6" w:rsidR="00091D2A" w:rsidRPr="00552B0C" w:rsidRDefault="00091D2A" w:rsidP="00552B0C">
      <w:pPr>
        <w:pStyle w:val="3-BodyText"/>
        <w:numPr>
          <w:ilvl w:val="1"/>
          <w:numId w:val="5"/>
        </w:numPr>
      </w:pPr>
      <w:r w:rsidRPr="00552B0C">
        <w:t>The results of the multistep ITC and Nichetti et al. (2024) presented in the March</w:t>
      </w:r>
      <w:r w:rsidR="00FA7A35">
        <w:t> </w:t>
      </w:r>
      <w:r w:rsidRPr="00552B0C">
        <w:t xml:space="preserve">2024 PBAC meeting suggested no statistically significant difference for OS (HR 1.05; 95% CI: 0.76, 1.46 and HR 1.06; 95% CI: 0.81-1.39, respectively) and PFS (HR 1.01; 95% CI: 0.72, 1.43 and HR 1.21; 95% CI: 0.86-1.70, respectively) between NALIRIFOX and FOLFIRINOX. This differed from the results of the single-step ITC and MAIC presented in the resubmission (using GENERATE trial results) which suggest a statistically significant improvement for NALIRIFOX in OS and in PFS compared with </w:t>
      </w:r>
      <w:r w:rsidR="00B3467A" w:rsidRPr="00552B0C">
        <w:t>m</w:t>
      </w:r>
      <w:r w:rsidRPr="00552B0C">
        <w:t>FOLFIRINOX.</w:t>
      </w:r>
    </w:p>
    <w:p w14:paraId="17291084" w14:textId="1C8B9F66" w:rsidR="00091D2A" w:rsidRPr="00552B0C" w:rsidRDefault="00091D2A" w:rsidP="00552B0C">
      <w:pPr>
        <w:pStyle w:val="3-BodyText"/>
        <w:numPr>
          <w:ilvl w:val="1"/>
          <w:numId w:val="5"/>
        </w:numPr>
      </w:pPr>
      <w:bookmarkStart w:id="55" w:name="_Ref176369938"/>
      <w:r w:rsidRPr="00552B0C">
        <w:t>While the MAIC methodology is theoretically more robust than the methodologies applied in March 2024 and the single step ITC presented in the resubmission, there are important limitations that may impact the ITC results:</w:t>
      </w:r>
      <w:bookmarkEnd w:id="55"/>
    </w:p>
    <w:p w14:paraId="1D6B503A" w14:textId="59A13C5B" w:rsidR="00091D2A" w:rsidRPr="00552B0C" w:rsidRDefault="00091D2A" w:rsidP="00552B0C">
      <w:pPr>
        <w:pStyle w:val="ListParagraph"/>
        <w:numPr>
          <w:ilvl w:val="0"/>
          <w:numId w:val="17"/>
        </w:numPr>
      </w:pPr>
      <w:r w:rsidRPr="00552B0C">
        <w:t xml:space="preserve">As described in paragraph </w:t>
      </w:r>
      <w:r w:rsidRPr="00552B0C">
        <w:fldChar w:fldCharType="begin" w:fldLock="1"/>
      </w:r>
      <w:r w:rsidRPr="00552B0C">
        <w:instrText xml:space="preserve"> REF _Ref176364538 \r \h </w:instrText>
      </w:r>
      <w:r w:rsidR="00B87FAE" w:rsidRPr="00552B0C">
        <w:instrText xml:space="preserve"> \* MERGEFORMAT </w:instrText>
      </w:r>
      <w:r w:rsidRPr="00552B0C">
        <w:fldChar w:fldCharType="separate"/>
      </w:r>
      <w:r w:rsidR="001C19B6">
        <w:t>6.32</w:t>
      </w:r>
      <w:r w:rsidRPr="00552B0C">
        <w:fldChar w:fldCharType="end"/>
      </w:r>
      <w:r w:rsidRPr="00552B0C">
        <w:t xml:space="preserve">, there are many differences (e.g. study design, patient characteristics) between the GENERATE and NAPOLI-3 trials with some important differences not accounted for in the MAIC and single-step ITCs presented in this resubmission and in the March 2024 PSCR, which </w:t>
      </w:r>
      <w:r w:rsidR="1F280F5C" w:rsidRPr="00552B0C">
        <w:t>represent</w:t>
      </w:r>
      <w:r w:rsidRPr="00552B0C">
        <w:t xml:space="preserve"> transitivity issues and may lead to confounding. </w:t>
      </w:r>
    </w:p>
    <w:p w14:paraId="38F1845B" w14:textId="2BDB70D2" w:rsidR="00091D2A" w:rsidRPr="00552B0C" w:rsidRDefault="00AA5555" w:rsidP="00552B0C">
      <w:pPr>
        <w:pStyle w:val="ListParagraph"/>
        <w:numPr>
          <w:ilvl w:val="0"/>
          <w:numId w:val="17"/>
        </w:numPr>
      </w:pPr>
      <w:r w:rsidRPr="00552B0C">
        <w:t>Key issues relating to the use of the GENE</w:t>
      </w:r>
      <w:r w:rsidR="00353F22">
        <w:t>R</w:t>
      </w:r>
      <w:r w:rsidRPr="00552B0C">
        <w:t xml:space="preserve">ATE trial (para </w:t>
      </w:r>
      <w:r w:rsidR="004C77FE" w:rsidRPr="00552B0C">
        <w:fldChar w:fldCharType="begin" w:fldLock="1"/>
      </w:r>
      <w:r w:rsidR="004C77FE" w:rsidRPr="00552B0C">
        <w:instrText xml:space="preserve"> REF _Ref177540791 \r \h </w:instrText>
      </w:r>
      <w:r w:rsidR="00B87FAE" w:rsidRPr="00552B0C">
        <w:instrText xml:space="preserve"> \* MERGEFORMAT </w:instrText>
      </w:r>
      <w:r w:rsidR="004C77FE" w:rsidRPr="00552B0C">
        <w:fldChar w:fldCharType="separate"/>
      </w:r>
      <w:r w:rsidR="001C19B6">
        <w:t>6.10</w:t>
      </w:r>
      <w:r w:rsidR="004C77FE" w:rsidRPr="00552B0C">
        <w:fldChar w:fldCharType="end"/>
      </w:r>
      <w:r w:rsidR="004C77FE" w:rsidRPr="00552B0C">
        <w:t xml:space="preserve">). </w:t>
      </w:r>
      <w:r w:rsidR="008A1FF5" w:rsidRPr="00552B0C">
        <w:t>Given that the ITCs</w:t>
      </w:r>
      <w:r w:rsidR="00BF38D7" w:rsidRPr="00552B0C">
        <w:t xml:space="preserve"> </w:t>
      </w:r>
      <w:r w:rsidR="001754D6" w:rsidRPr="00552B0C">
        <w:t xml:space="preserve">relied upon the GENERATE trial, </w:t>
      </w:r>
      <w:r w:rsidR="00BF38D7" w:rsidRPr="00552B0C">
        <w:t>the robustness of the results of the ITC</w:t>
      </w:r>
      <w:r w:rsidR="001754D6" w:rsidRPr="00552B0C">
        <w:t>s</w:t>
      </w:r>
      <w:r w:rsidR="0025122C" w:rsidRPr="00552B0C">
        <w:t xml:space="preserve"> is uncertain. </w:t>
      </w:r>
    </w:p>
    <w:p w14:paraId="246F753F" w14:textId="1810B3C5" w:rsidR="00091D2A" w:rsidRPr="00552B0C" w:rsidRDefault="00091D2A" w:rsidP="00552B0C">
      <w:pPr>
        <w:pStyle w:val="3-BodyText"/>
        <w:numPr>
          <w:ilvl w:val="0"/>
          <w:numId w:val="13"/>
        </w:numPr>
        <w:spacing w:before="60" w:after="60"/>
      </w:pPr>
      <w:r w:rsidRPr="00552B0C">
        <w:lastRenderedPageBreak/>
        <w:t>For the multistep ITC</w:t>
      </w:r>
      <w:r w:rsidR="001754D6" w:rsidRPr="00552B0C">
        <w:t xml:space="preserve"> considered by the PBAC in March 2024</w:t>
      </w:r>
      <w:r w:rsidRPr="00552B0C">
        <w:t>, there were potential transitivity issues related to the differences in trial design, setting and baseline characteristics such as age, performance status, metastatic disease burden and liver metastases between NAPOLI-3, MPACT and ACCORD11/PRODIGE4 trials. The combined impact of the identified differences on observed outcomes are uncertain.</w:t>
      </w:r>
    </w:p>
    <w:p w14:paraId="62F1B1B9" w14:textId="635DC6D5" w:rsidR="00091D2A" w:rsidRPr="00552B0C" w:rsidRDefault="00091D2A" w:rsidP="00552B0C">
      <w:pPr>
        <w:pStyle w:val="3-BodyText"/>
        <w:numPr>
          <w:ilvl w:val="0"/>
          <w:numId w:val="13"/>
        </w:numPr>
        <w:spacing w:before="60" w:after="60"/>
      </w:pPr>
      <w:r w:rsidRPr="00552B0C">
        <w:t xml:space="preserve">The ITC conducted by Nichetti et al (2024) involved reconstruction of IPD from the included trials and there was no adjustment for differences in patient-level covariates. The </w:t>
      </w:r>
      <w:r w:rsidR="001754D6" w:rsidRPr="00552B0C">
        <w:t xml:space="preserve">authors </w:t>
      </w:r>
      <w:r w:rsidRPr="00552B0C">
        <w:t>acknowledged that heterogeneity among the populations of the different trials may affect the pooled results.</w:t>
      </w:r>
    </w:p>
    <w:p w14:paraId="37972977" w14:textId="6CB425D0" w:rsidR="00B34A03" w:rsidRPr="00552B0C" w:rsidRDefault="00B34A03" w:rsidP="00552B0C">
      <w:pPr>
        <w:pStyle w:val="3-BodyText"/>
        <w:numPr>
          <w:ilvl w:val="1"/>
          <w:numId w:val="5"/>
        </w:numPr>
      </w:pPr>
      <w:r w:rsidRPr="00552B0C">
        <w:t xml:space="preserve">The PSCR argued the </w:t>
      </w:r>
      <w:r w:rsidR="0023090E" w:rsidRPr="00552B0C">
        <w:t>resubmission</w:t>
      </w:r>
      <w:r w:rsidR="004F72B3" w:rsidRPr="00552B0C">
        <w:t>’s</w:t>
      </w:r>
      <w:r w:rsidRPr="00552B0C">
        <w:t xml:space="preserve"> approach of presenting a one-step ITC and MAIC of NALIRIFOX and FOLFIRINOX using the NAPOLI-3 and GENERATE trials (with Gem+NabP as the common comparator) was valid and that factors such as differences in race between these studies and other variables were prognostic variables rather than treatment effect modifiers; therefore, relative treatment effect measures like hazard ratios would remain stable. Further, the PSCR argued the inherent limitations of ITCs are further compounded when a multi-step ITC (as-presented in Table 8) is conducted, and that there are extensive differences between NAPOLI-3, MPACT and ACCORD11/PRODIGE4 that contribute to high uncertainty in that analysis. The PSCR also argued the methodology of Nichetti 2024 also undermined the validity of the outcomes of that analysis.</w:t>
      </w:r>
    </w:p>
    <w:p w14:paraId="69BFDF26" w14:textId="030914C8" w:rsidR="00BD1DA7" w:rsidRPr="00552B0C" w:rsidRDefault="00B34A03" w:rsidP="00552B0C">
      <w:pPr>
        <w:pStyle w:val="3-BodyText"/>
        <w:numPr>
          <w:ilvl w:val="1"/>
          <w:numId w:val="5"/>
        </w:numPr>
      </w:pPr>
      <w:bookmarkStart w:id="56" w:name="_Hlk184130596"/>
      <w:r w:rsidRPr="00552B0C">
        <w:t xml:space="preserve">The ESC acknowledged there were methodological weaknesses with the ITCs presented, however was of the view that there was insufficient information available to conclude the GENERATE study was either sufficiently exchangeable with NAPOLI-3 (and the existing evidence base) for a reliable ITC to be conducted, or generalisable to the Australian mPAC population. </w:t>
      </w:r>
      <w:bookmarkEnd w:id="56"/>
      <w:r w:rsidRPr="00552B0C">
        <w:t>The ESC noted GENERATE remained available only as a conference abstract, and the issues identified above, as well as being carried out in a single country with known differences to the Australian context, the notably longer OS outcome</w:t>
      </w:r>
      <w:r w:rsidR="008D0998">
        <w:t xml:space="preserve"> </w:t>
      </w:r>
      <w:r w:rsidR="004F72B3" w:rsidRPr="00552B0C">
        <w:t xml:space="preserve">reported for </w:t>
      </w:r>
      <w:r w:rsidRPr="00552B0C">
        <w:t xml:space="preserve">the Gem+NabP arm compared to the existing evidence base and the use of a different FOLFIRINOX regimen to Australian practice all substantially undermined the exchangeability of GENERATE to the other available trial evidence. Therefore, the ESC did not </w:t>
      </w:r>
      <w:r w:rsidR="00772A94">
        <w:t>consider</w:t>
      </w:r>
      <w:r w:rsidRPr="00552B0C">
        <w:t xml:space="preserve"> the results of the ITC of NALIRIFOX and FOLFIRINOX using the GENERATE trial</w:t>
      </w:r>
      <w:r w:rsidR="00772A94">
        <w:t xml:space="preserve"> to be reliable</w:t>
      </w:r>
      <w:r w:rsidRPr="00552B0C">
        <w:t>.</w:t>
      </w:r>
      <w:r w:rsidR="008D0998">
        <w:t xml:space="preserve"> </w:t>
      </w:r>
      <w:r w:rsidR="00BD1DA7" w:rsidRPr="00552B0C">
        <w:t>The ESC also noted that the ITCs presented in the resubmission included less patients than the ITCs considered by the PBAC in March 2024.</w:t>
      </w:r>
    </w:p>
    <w:p w14:paraId="033E2ADB" w14:textId="722F641E" w:rsidR="00415645" w:rsidRDefault="00415645" w:rsidP="00552B0C">
      <w:pPr>
        <w:pStyle w:val="3-BodyText"/>
        <w:numPr>
          <w:ilvl w:val="1"/>
          <w:numId w:val="5"/>
        </w:numPr>
      </w:pPr>
      <w:r w:rsidRPr="00552B0C">
        <w:t xml:space="preserve">The ESC recalled that the March 2024 submission </w:t>
      </w:r>
      <w:bookmarkStart w:id="57" w:name="_Ref164241674"/>
      <w:r w:rsidRPr="00552B0C">
        <w:t>did not present a formal statistical comparison between NALIRIFOX and FOLFIRINOX however an unanchored indirect comparison of OS based on the NALIRIFOX arm of the NAPOLI-3 trial, and the FOLFIRINOX arm of the ACCORD11/PRODIGE4 trial prepared during the evaluation, suggested no difference in efficacy between the treatments (median OS of 11.1</w:t>
      </w:r>
      <w:r w:rsidR="0037620A">
        <w:t> </w:t>
      </w:r>
      <w:r w:rsidRPr="00552B0C">
        <w:t>months for both treatments).</w:t>
      </w:r>
      <w:r w:rsidR="008D0998">
        <w:t xml:space="preserve"> </w:t>
      </w:r>
      <w:r w:rsidRPr="00552B0C">
        <w:t xml:space="preserve">A multistep ITC (with both gemcitabine and Gem+NabP as common comparators) also suggested no difference between </w:t>
      </w:r>
      <w:r w:rsidRPr="00552B0C">
        <w:lastRenderedPageBreak/>
        <w:t>NALIRIFOX and FOLFIRINOX for OS (HR 1.05; 95% CI 0.76, 1.46), which was a similar result to the analysis by Nichetti et al (2024) described above (HR 1.06; 95% CI 0.81, 1.39). Based on these analyses, the ESC considered that the submission’s clinical claim of superior effectiveness of NALIRIFOX over FOLFIRINOX was not supported.</w:t>
      </w:r>
      <w:bookmarkEnd w:id="57"/>
      <w:r w:rsidR="006D0A2E">
        <w:t xml:space="preserve"> </w:t>
      </w:r>
    </w:p>
    <w:p w14:paraId="0242FC13" w14:textId="3A6777CF" w:rsidR="006D0A2E" w:rsidRPr="00552B0C" w:rsidRDefault="006D0A2E" w:rsidP="00487E01">
      <w:pPr>
        <w:pStyle w:val="3-BodyText"/>
        <w:numPr>
          <w:ilvl w:val="1"/>
          <w:numId w:val="5"/>
        </w:numPr>
        <w:autoSpaceDE w:val="0"/>
        <w:autoSpaceDN w:val="0"/>
        <w:adjustRightInd w:val="0"/>
      </w:pPr>
      <w:r>
        <w:t>The Pre-PBAC Response noted the results of another RCT of Gem+NabP vs. FOLFIRINOX (PASS-01) had become available, with early results presented a</w:t>
      </w:r>
      <w:r w:rsidR="00353F22">
        <w:t>t</w:t>
      </w:r>
      <w:r>
        <w:t xml:space="preserve"> the ASCO Gastrointestinal Cancers Symposium in June 2024, which, like GENERATE, found </w:t>
      </w:r>
      <w:r w:rsidR="00353F22">
        <w:t xml:space="preserve">a modest improvement in </w:t>
      </w:r>
      <w:r w:rsidRPr="009C49C2">
        <w:t>outcomes for Gem+NabP over FOLFIRINOX</w:t>
      </w:r>
      <w:r w:rsidR="00353F22">
        <w:t xml:space="preserve"> (</w:t>
      </w:r>
      <w:r w:rsidR="00353F22" w:rsidRPr="00353F22">
        <w:rPr>
          <w:lang w:val="en-US"/>
        </w:rPr>
        <w:t>PFS 5.1 vs 4</w:t>
      </w:r>
      <w:r w:rsidR="0037620A">
        <w:rPr>
          <w:lang w:val="en-US"/>
        </w:rPr>
        <w:t> </w:t>
      </w:r>
      <w:r w:rsidR="00353F22" w:rsidRPr="00353F22">
        <w:rPr>
          <w:lang w:val="en-US"/>
        </w:rPr>
        <w:t>mo (</w:t>
      </w:r>
      <w:r w:rsidR="00353F22">
        <w:rPr>
          <w:lang w:val="en-US"/>
        </w:rPr>
        <w:t>p=0.14</w:t>
      </w:r>
      <w:r w:rsidR="00353F22" w:rsidRPr="00353F22">
        <w:rPr>
          <w:lang w:val="en-US"/>
        </w:rPr>
        <w:t>), OS 9.7 vs 8.4mo (p=0.04)</w:t>
      </w:r>
      <w:r w:rsidRPr="009C49C2">
        <w:t xml:space="preserve">. The </w:t>
      </w:r>
      <w:r w:rsidR="00353F22">
        <w:t xml:space="preserve">Response provided data including a conference </w:t>
      </w:r>
      <w:r w:rsidRPr="009C49C2">
        <w:t xml:space="preserve">abstract </w:t>
      </w:r>
      <w:r w:rsidR="00AF13ED" w:rsidRPr="009C49C2">
        <w:t>(Knox 2024)</w:t>
      </w:r>
      <w:r w:rsidR="00AF13ED" w:rsidRPr="009C49C2">
        <w:rPr>
          <w:vertAlign w:val="superscript"/>
        </w:rPr>
        <w:footnoteReference w:id="34"/>
      </w:r>
      <w:r w:rsidR="00AF13ED" w:rsidRPr="009C49C2">
        <w:t xml:space="preserve"> and</w:t>
      </w:r>
      <w:r w:rsidR="00353F22">
        <w:t xml:space="preserve"> a</w:t>
      </w:r>
      <w:r w:rsidR="00AF13ED" w:rsidRPr="009C49C2">
        <w:t xml:space="preserve"> link to a recording of the ASCO symposium presentation</w:t>
      </w:r>
      <w:r w:rsidR="00AF13ED" w:rsidRPr="009C49C2">
        <w:rPr>
          <w:vertAlign w:val="superscript"/>
        </w:rPr>
        <w:footnoteReference w:id="35"/>
      </w:r>
      <w:r w:rsidR="00353F22">
        <w:t xml:space="preserve"> however this </w:t>
      </w:r>
      <w:r w:rsidR="00353F22" w:rsidRPr="00552B0C">
        <w:t>lack</w:t>
      </w:r>
      <w:r w:rsidR="00E11C5F">
        <w:t>ed</w:t>
      </w:r>
      <w:r w:rsidR="00353F22" w:rsidRPr="00552B0C">
        <w:t xml:space="preserve"> sufficient details</w:t>
      </w:r>
      <w:r w:rsidR="00353F22">
        <w:t xml:space="preserve"> for further evaluation</w:t>
      </w:r>
      <w:r w:rsidR="00353F22" w:rsidRPr="00552B0C">
        <w:t>.</w:t>
      </w:r>
      <w:r w:rsidR="008D0998">
        <w:t xml:space="preserve"> </w:t>
      </w:r>
    </w:p>
    <w:p w14:paraId="316A4BDB" w14:textId="2701442A" w:rsidR="00091D2A" w:rsidRPr="00C9624D" w:rsidRDefault="00091D2A" w:rsidP="00091D2A">
      <w:pPr>
        <w:pStyle w:val="4-SubsectionHeading"/>
      </w:pPr>
      <w:bookmarkStart w:id="58" w:name="_Toc22897642"/>
      <w:bookmarkStart w:id="59" w:name="_Toc177546224"/>
      <w:r w:rsidRPr="00C9624D">
        <w:t>Comparative harms</w:t>
      </w:r>
      <w:bookmarkEnd w:id="58"/>
      <w:bookmarkEnd w:id="59"/>
    </w:p>
    <w:p w14:paraId="55ECD006" w14:textId="77777777" w:rsidR="00091D2A" w:rsidRPr="0053035C" w:rsidRDefault="00091D2A" w:rsidP="00091D2A">
      <w:pPr>
        <w:pStyle w:val="5-SubsectionSubheading"/>
        <w:rPr>
          <w:b w:val="0"/>
        </w:rPr>
      </w:pPr>
      <w:bookmarkStart w:id="60" w:name="_Toc177546225"/>
      <w:r w:rsidRPr="0053035C">
        <w:t>NALIRIFOX versus Gem+NabP</w:t>
      </w:r>
      <w:bookmarkEnd w:id="60"/>
      <w:r w:rsidRPr="0053035C">
        <w:t xml:space="preserve"> </w:t>
      </w:r>
    </w:p>
    <w:p w14:paraId="78F54A3F" w14:textId="70503A9F" w:rsidR="00091D2A" w:rsidRPr="00552B0C" w:rsidRDefault="00A20A89" w:rsidP="00552B0C">
      <w:pPr>
        <w:pStyle w:val="3-BodyText"/>
        <w:numPr>
          <w:ilvl w:val="1"/>
          <w:numId w:val="5"/>
        </w:numPr>
      </w:pPr>
      <w:r w:rsidRPr="00552B0C">
        <w:t>While overall rates of adverse events were similar across both arms in NAPOLI</w:t>
      </w:r>
      <w:r w:rsidR="003029C6" w:rsidRPr="00552B0C">
        <w:noBreakHyphen/>
      </w:r>
      <w:r w:rsidRPr="00552B0C">
        <w:t>3, t</w:t>
      </w:r>
      <w:r w:rsidRPr="00552B0C">
        <w:rPr>
          <w:szCs w:val="20"/>
        </w:rPr>
        <w:t>he PBAC considered in March 2024, that the claim of non-inferior comparative safety of NALIRIFOX versus Gem+NabP was not adequately supported by the data, due to increased rates of drug</w:t>
      </w:r>
      <w:r w:rsidRPr="00552B0C">
        <w:rPr>
          <w:szCs w:val="20"/>
        </w:rPr>
        <w:noBreakHyphen/>
        <w:t>related serious adverse events, as well as all-cause and drug-related TEAEs leading to interruption of treatment, for NALIRIFOX patients in NAPOLI-3 compared with Gem+NabP.</w:t>
      </w:r>
      <w:r w:rsidR="008D0998">
        <w:rPr>
          <w:szCs w:val="20"/>
        </w:rPr>
        <w:t xml:space="preserve"> </w:t>
      </w:r>
      <w:r w:rsidR="00091D2A" w:rsidRPr="00552B0C">
        <w:t>Safety data presented in the resubmission remain unchanged from the March 2024 submission.</w:t>
      </w:r>
    </w:p>
    <w:p w14:paraId="752E4B72" w14:textId="079AEAC5" w:rsidR="00091D2A" w:rsidRPr="00552B0C" w:rsidRDefault="00091D2A" w:rsidP="00552B0C">
      <w:pPr>
        <w:pStyle w:val="3-BodyText"/>
        <w:numPr>
          <w:ilvl w:val="1"/>
          <w:numId w:val="5"/>
        </w:numPr>
      </w:pPr>
      <w:r w:rsidRPr="00552B0C">
        <w:rPr>
          <w:shd w:val="clear" w:color="auto" w:fill="FFFFFF" w:themeFill="background1"/>
        </w:rPr>
        <w:fldChar w:fldCharType="begin" w:fldLock="1"/>
      </w:r>
      <w:r w:rsidRPr="00552B0C">
        <w:rPr>
          <w:shd w:val="clear" w:color="auto" w:fill="FFFFFF" w:themeFill="background1"/>
        </w:rPr>
        <w:instrText xml:space="preserve"> REF _Ref176366807 \h  \* MERGEFORMAT </w:instrText>
      </w:r>
      <w:r w:rsidRPr="00552B0C">
        <w:rPr>
          <w:shd w:val="clear" w:color="auto" w:fill="FFFFFF" w:themeFill="background1"/>
        </w:rPr>
      </w:r>
      <w:r w:rsidRPr="00552B0C">
        <w:rPr>
          <w:shd w:val="clear" w:color="auto" w:fill="FFFFFF" w:themeFill="background1"/>
        </w:rPr>
        <w:fldChar w:fldCharType="separate"/>
      </w:r>
      <w:r w:rsidR="001C19B6" w:rsidRPr="001C19B6">
        <w:rPr>
          <w:shd w:val="clear" w:color="auto" w:fill="FFFFFF" w:themeFill="background1"/>
        </w:rPr>
        <w:t>Table 9</w:t>
      </w:r>
      <w:r w:rsidRPr="00552B0C">
        <w:rPr>
          <w:shd w:val="clear" w:color="auto" w:fill="FFFFFF" w:themeFill="background1"/>
        </w:rPr>
        <w:fldChar w:fldCharType="end"/>
      </w:r>
      <w:r w:rsidRPr="00552B0C">
        <w:rPr>
          <w:shd w:val="clear" w:color="auto" w:fill="FFFFFF" w:themeFill="background1"/>
        </w:rPr>
        <w:t xml:space="preserve"> presents a summary of the frequency of treatment emergent adverse events (TEAEs).</w:t>
      </w:r>
      <w:r w:rsidR="008D0998">
        <w:rPr>
          <w:shd w:val="clear" w:color="auto" w:fill="FFFFFF" w:themeFill="background1"/>
        </w:rPr>
        <w:t xml:space="preserve"> </w:t>
      </w:r>
      <w:r w:rsidRPr="00552B0C">
        <w:rPr>
          <w:shd w:val="clear" w:color="auto" w:fill="FFFFFF" w:themeFill="background1"/>
        </w:rPr>
        <w:t xml:space="preserve">A summary of the most frequently reported all-cause Grade 3-4 TEAEs (incidence of ≥2%) and drug-related Grade 3-4 TEAEs (incidence of ≥5%) in the NAPOLI-3 trial are presented in </w:t>
      </w:r>
      <w:r w:rsidRPr="00552B0C">
        <w:rPr>
          <w:shd w:val="clear" w:color="auto" w:fill="FFFFFF" w:themeFill="background1"/>
        </w:rPr>
        <w:fldChar w:fldCharType="begin" w:fldLock="1"/>
      </w:r>
      <w:r w:rsidRPr="00552B0C">
        <w:rPr>
          <w:shd w:val="clear" w:color="auto" w:fill="FFFFFF" w:themeFill="background1"/>
        </w:rPr>
        <w:instrText xml:space="preserve"> REF _Ref176366862 \h  \* MERGEFORMAT </w:instrText>
      </w:r>
      <w:r w:rsidRPr="00552B0C">
        <w:rPr>
          <w:shd w:val="clear" w:color="auto" w:fill="FFFFFF" w:themeFill="background1"/>
        </w:rPr>
      </w:r>
      <w:r w:rsidRPr="00552B0C">
        <w:rPr>
          <w:shd w:val="clear" w:color="auto" w:fill="FFFFFF" w:themeFill="background1"/>
        </w:rPr>
        <w:fldChar w:fldCharType="separate"/>
      </w:r>
      <w:r w:rsidR="001C19B6" w:rsidRPr="001C19B6">
        <w:rPr>
          <w:shd w:val="clear" w:color="auto" w:fill="FFFFFF" w:themeFill="background1"/>
        </w:rPr>
        <w:t>Table 10</w:t>
      </w:r>
      <w:r w:rsidRPr="00552B0C">
        <w:rPr>
          <w:shd w:val="clear" w:color="auto" w:fill="FFFFFF" w:themeFill="background1"/>
        </w:rPr>
        <w:fldChar w:fldCharType="end"/>
      </w:r>
      <w:r w:rsidRPr="00552B0C">
        <w:rPr>
          <w:shd w:val="clear" w:color="auto" w:fill="FFFFFF" w:themeFill="background1"/>
        </w:rPr>
        <w:t xml:space="preserve"> and </w:t>
      </w:r>
      <w:r w:rsidRPr="00552B0C">
        <w:rPr>
          <w:shd w:val="clear" w:color="auto" w:fill="FFFFFF" w:themeFill="background1"/>
        </w:rPr>
        <w:fldChar w:fldCharType="begin" w:fldLock="1"/>
      </w:r>
      <w:r w:rsidRPr="00552B0C">
        <w:rPr>
          <w:shd w:val="clear" w:color="auto" w:fill="FFFFFF" w:themeFill="background1"/>
        </w:rPr>
        <w:instrText xml:space="preserve"> REF _Ref176366868 \h  \* MERGEFORMAT </w:instrText>
      </w:r>
      <w:r w:rsidRPr="00552B0C">
        <w:rPr>
          <w:shd w:val="clear" w:color="auto" w:fill="FFFFFF" w:themeFill="background1"/>
        </w:rPr>
      </w:r>
      <w:r w:rsidRPr="00552B0C">
        <w:rPr>
          <w:shd w:val="clear" w:color="auto" w:fill="FFFFFF" w:themeFill="background1"/>
        </w:rPr>
        <w:fldChar w:fldCharType="separate"/>
      </w:r>
      <w:r w:rsidR="001C19B6" w:rsidRPr="001C19B6">
        <w:rPr>
          <w:shd w:val="clear" w:color="auto" w:fill="FFFFFF" w:themeFill="background1"/>
        </w:rPr>
        <w:t>Table 11</w:t>
      </w:r>
      <w:r w:rsidRPr="00552B0C">
        <w:rPr>
          <w:shd w:val="clear" w:color="auto" w:fill="FFFFFF" w:themeFill="background1"/>
        </w:rPr>
        <w:fldChar w:fldCharType="end"/>
      </w:r>
      <w:r w:rsidRPr="00552B0C">
        <w:rPr>
          <w:shd w:val="clear" w:color="auto" w:fill="FFFFFF" w:themeFill="background1"/>
        </w:rPr>
        <w:t>, respectively</w:t>
      </w:r>
      <w:r w:rsidRPr="00552B0C">
        <w:t>.</w:t>
      </w:r>
    </w:p>
    <w:p w14:paraId="1D670083" w14:textId="6C9BEEA1" w:rsidR="00C70D11" w:rsidRPr="00552B0C" w:rsidRDefault="00D010A3" w:rsidP="00737181">
      <w:pPr>
        <w:pStyle w:val="3-BodyText"/>
      </w:pPr>
      <w:r w:rsidRPr="00552B0C">
        <w:t>The resubmission contend</w:t>
      </w:r>
      <w:r w:rsidR="00847034" w:rsidRPr="00552B0C">
        <w:t>ed</w:t>
      </w:r>
      <w:r w:rsidRPr="00552B0C">
        <w:t xml:space="preserve"> that the PBAC's </w:t>
      </w:r>
      <w:r w:rsidR="00A22217">
        <w:t xml:space="preserve">March 2024 </w:t>
      </w:r>
      <w:r w:rsidRPr="00552B0C">
        <w:t xml:space="preserve">conclusion </w:t>
      </w:r>
      <w:r w:rsidR="00847034" w:rsidRPr="00552B0C">
        <w:t>was</w:t>
      </w:r>
      <w:r w:rsidRPr="00552B0C">
        <w:t xml:space="preserve"> not appropriate and maintain</w:t>
      </w:r>
      <w:r w:rsidR="005228BF" w:rsidRPr="00552B0C">
        <w:t>ed</w:t>
      </w:r>
      <w:r w:rsidRPr="00552B0C">
        <w:t xml:space="preserve"> that NALIRIFOX and Gem+NabP have different safety profiles and that, overall, it cannot be concluded that one safety profile is superior or inferior to the other.</w:t>
      </w:r>
      <w:r w:rsidR="007A5073" w:rsidRPr="00552B0C">
        <w:t xml:space="preserve"> The resubmission stated that it was important to consider the spectrum of </w:t>
      </w:r>
      <w:r w:rsidR="00A033BA" w:rsidRPr="00552B0C">
        <w:t>AEs</w:t>
      </w:r>
      <w:r w:rsidR="00F67979" w:rsidRPr="00552B0C">
        <w:t xml:space="preserve"> in each of the arms of the NAPOLI-3 trial</w:t>
      </w:r>
      <w:r w:rsidR="00E202CA" w:rsidRPr="00552B0C">
        <w:t xml:space="preserve"> given the</w:t>
      </w:r>
      <w:r w:rsidR="00A033BA" w:rsidRPr="00552B0C">
        <w:t xml:space="preserve"> difference in AE profiles. </w:t>
      </w:r>
      <w:r w:rsidR="008A64C5" w:rsidRPr="00552B0C">
        <w:t>Based on the</w:t>
      </w:r>
      <w:r w:rsidR="00565744" w:rsidRPr="00552B0C">
        <w:t xml:space="preserve"> Grade 3/4</w:t>
      </w:r>
      <w:r w:rsidR="008A64C5" w:rsidRPr="00552B0C">
        <w:t xml:space="preserve"> TEAEs reported in the NAPOLI-3 trial (</w:t>
      </w:r>
      <w:r w:rsidR="00565744" w:rsidRPr="00552B0C">
        <w:fldChar w:fldCharType="begin" w:fldLock="1"/>
      </w:r>
      <w:r w:rsidR="00565744" w:rsidRPr="00552B0C">
        <w:instrText xml:space="preserve"> REF _Ref176366862 \h </w:instrText>
      </w:r>
      <w:r w:rsidR="00B87FAE" w:rsidRPr="00552B0C">
        <w:instrText xml:space="preserve"> \* MERGEFORMAT </w:instrText>
      </w:r>
      <w:r w:rsidR="00565744" w:rsidRPr="00552B0C">
        <w:fldChar w:fldCharType="separate"/>
      </w:r>
      <w:r w:rsidR="001C19B6" w:rsidRPr="00552B0C">
        <w:t xml:space="preserve">Table </w:t>
      </w:r>
      <w:r w:rsidR="001C19B6">
        <w:rPr>
          <w:noProof/>
        </w:rPr>
        <w:t>10</w:t>
      </w:r>
      <w:r w:rsidR="00565744" w:rsidRPr="00552B0C">
        <w:fldChar w:fldCharType="end"/>
      </w:r>
      <w:r w:rsidR="006459B2" w:rsidRPr="00552B0C">
        <w:t xml:space="preserve"> and </w:t>
      </w:r>
      <w:r w:rsidR="006459B2" w:rsidRPr="00552B0C">
        <w:fldChar w:fldCharType="begin" w:fldLock="1"/>
      </w:r>
      <w:r w:rsidR="006459B2" w:rsidRPr="00552B0C">
        <w:instrText xml:space="preserve"> REF _Ref176366868 \h </w:instrText>
      </w:r>
      <w:r w:rsidR="00B87FAE" w:rsidRPr="00552B0C">
        <w:instrText xml:space="preserve"> \* MERGEFORMAT </w:instrText>
      </w:r>
      <w:r w:rsidR="006459B2" w:rsidRPr="00552B0C">
        <w:fldChar w:fldCharType="separate"/>
      </w:r>
      <w:r w:rsidR="001C19B6" w:rsidRPr="00552B0C">
        <w:t xml:space="preserve">Table </w:t>
      </w:r>
      <w:r w:rsidR="001C19B6">
        <w:rPr>
          <w:noProof/>
        </w:rPr>
        <w:t>11</w:t>
      </w:r>
      <w:r w:rsidR="006459B2" w:rsidRPr="00552B0C">
        <w:fldChar w:fldCharType="end"/>
      </w:r>
      <w:r w:rsidR="00565744" w:rsidRPr="00552B0C">
        <w:t xml:space="preserve">), </w:t>
      </w:r>
      <w:r w:rsidR="002F0A13" w:rsidRPr="00552B0C">
        <w:t>there</w:t>
      </w:r>
      <w:r w:rsidR="00CB6C69" w:rsidRPr="00552B0C">
        <w:t xml:space="preserve"> is a higher risk of </w:t>
      </w:r>
      <w:r w:rsidR="00E52B7C" w:rsidRPr="00552B0C">
        <w:t xml:space="preserve">diarrhoea, nausea, vomiting, </w:t>
      </w:r>
      <w:r w:rsidR="00F440A7" w:rsidRPr="00552B0C">
        <w:t xml:space="preserve">mucosal inflammation, </w:t>
      </w:r>
      <w:r w:rsidR="00CB6C69" w:rsidRPr="00552B0C">
        <w:t>asthenia,</w:t>
      </w:r>
      <w:r w:rsidR="005F2502" w:rsidRPr="00552B0C">
        <w:t xml:space="preserve"> decreased appetite</w:t>
      </w:r>
      <w:r w:rsidR="00E4277C" w:rsidRPr="00552B0C">
        <w:t xml:space="preserve">, </w:t>
      </w:r>
      <w:r w:rsidR="00E4277C" w:rsidRPr="00552B0C">
        <w:rPr>
          <w:rFonts w:cstheme="minorHAnsi"/>
        </w:rPr>
        <w:t>≥</w:t>
      </w:r>
      <w:r w:rsidR="00E4277C" w:rsidRPr="00552B0C">
        <w:t>20% body weight loss</w:t>
      </w:r>
      <w:r w:rsidR="00CB6C69" w:rsidRPr="00552B0C">
        <w:t xml:space="preserve"> and hypokalaemia but there is a lower risk of </w:t>
      </w:r>
      <w:r w:rsidR="008B31F5" w:rsidRPr="00552B0C">
        <w:t>anaemia, neutropenia, thrombocytopenia, leukopenia and decreased white blood cell count</w:t>
      </w:r>
      <w:r w:rsidR="00CB6C69" w:rsidRPr="00552B0C">
        <w:t xml:space="preserve"> in the NALIRIFOX arm compared to the Gem+NabP arm. Gastrointestinal toxicity can impact quality of life, hydration and nutritional status and </w:t>
      </w:r>
      <w:r w:rsidR="00CB6C69" w:rsidRPr="00552B0C">
        <w:lastRenderedPageBreak/>
        <w:t>haematologic toxicity can lead to infections, fatigue and bleeding issues. Haematological toxicities and peripheral neuropathy often represent treatment-limiting adverse events</w:t>
      </w:r>
      <w:r w:rsidR="004E3F22" w:rsidRPr="00552B0C">
        <w:rPr>
          <w:rStyle w:val="FootnoteReference"/>
        </w:rPr>
        <w:footnoteReference w:id="36"/>
      </w:r>
      <w:r w:rsidR="00CB6C69" w:rsidRPr="00552B0C">
        <w:t>.</w:t>
      </w:r>
      <w:r w:rsidR="00920060" w:rsidRPr="00552B0C">
        <w:t xml:space="preserve"> </w:t>
      </w:r>
    </w:p>
    <w:p w14:paraId="5D05EE6C" w14:textId="182EED4E" w:rsidR="00A20A89" w:rsidRPr="00552B0C" w:rsidRDefault="00241FB7" w:rsidP="00446838">
      <w:pPr>
        <w:pStyle w:val="3-BodyText"/>
      </w:pPr>
      <w:r w:rsidRPr="00552B0C">
        <w:t>It is acknowledged that</w:t>
      </w:r>
      <w:r w:rsidR="00A205D3" w:rsidRPr="00552B0C">
        <w:t xml:space="preserve"> NALIRIFOX and Gem+NabP have different AE profiles</w:t>
      </w:r>
      <w:r w:rsidR="00076037" w:rsidRPr="00552B0C">
        <w:t>.</w:t>
      </w:r>
      <w:r w:rsidR="002B4326" w:rsidRPr="00552B0C">
        <w:t xml:space="preserve"> However, ga</w:t>
      </w:r>
      <w:r w:rsidR="00076037" w:rsidRPr="00552B0C">
        <w:t xml:space="preserve">strointestinal Grade 3-4 TEAEs, such as diarrhoea and vomiting, </w:t>
      </w:r>
      <w:r w:rsidR="002B4326" w:rsidRPr="00552B0C">
        <w:t xml:space="preserve">are likely to be more </w:t>
      </w:r>
      <w:r w:rsidR="006D4E59" w:rsidRPr="00552B0C">
        <w:t>crit</w:t>
      </w:r>
      <w:r w:rsidR="00182953" w:rsidRPr="00552B0C">
        <w:t>ical AEs t</w:t>
      </w:r>
      <w:r w:rsidR="00076037" w:rsidRPr="00552B0C">
        <w:t>hat may require hospitalisations</w:t>
      </w:r>
      <w:r w:rsidR="00182953" w:rsidRPr="00552B0C">
        <w:t xml:space="preserve"> and impact on </w:t>
      </w:r>
      <w:r w:rsidR="005A5374" w:rsidRPr="00552B0C">
        <w:t>patient’s quality-of-life</w:t>
      </w:r>
      <w:r w:rsidR="00076037" w:rsidRPr="00552B0C">
        <w:t xml:space="preserve"> compared to blood and lymphatic system Grade 3-4 TEAEs such as neutropenia and anaemia, which may not necessarily present symptoms and this will most likely be detected during regular screening/blood testing where patients can receive more timely treatment.</w:t>
      </w:r>
      <w:r w:rsidR="00C70D11" w:rsidRPr="00552B0C">
        <w:t xml:space="preserve"> </w:t>
      </w:r>
    </w:p>
    <w:p w14:paraId="0C11384C" w14:textId="4D2A9F75" w:rsidR="00091D2A" w:rsidRPr="00552B0C" w:rsidRDefault="00091D2A" w:rsidP="00091D2A">
      <w:pPr>
        <w:pStyle w:val="Caption"/>
      </w:pPr>
      <w:bookmarkStart w:id="61" w:name="_Ref176366807"/>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9</w:t>
      </w:r>
      <w:r w:rsidR="001C19B6">
        <w:rPr>
          <w:noProof/>
        </w:rPr>
        <w:fldChar w:fldCharType="end"/>
      </w:r>
      <w:bookmarkEnd w:id="61"/>
      <w:r w:rsidRPr="00552B0C">
        <w:t>: Summary of key adverse events in the NAPOLI-3 trial</w:t>
      </w:r>
    </w:p>
    <w:tbl>
      <w:tblPr>
        <w:tblStyle w:val="TableGrid"/>
        <w:tblW w:w="5000" w:type="pct"/>
        <w:shd w:val="clear" w:color="auto" w:fill="B8CCE4" w:themeFill="accent1" w:themeFillTint="66"/>
        <w:tblLook w:val="04A0" w:firstRow="1" w:lastRow="0" w:firstColumn="1" w:lastColumn="0" w:noHBand="0" w:noVBand="1"/>
        <w:tblCaption w:val="Table 9: Summary of key adverse events in the NAPOLI-3 trial"/>
      </w:tblPr>
      <w:tblGrid>
        <w:gridCol w:w="2546"/>
        <w:gridCol w:w="1295"/>
        <w:gridCol w:w="1295"/>
        <w:gridCol w:w="1295"/>
        <w:gridCol w:w="1295"/>
        <w:gridCol w:w="1291"/>
      </w:tblGrid>
      <w:tr w:rsidR="00091D2A" w:rsidRPr="00552B0C" w14:paraId="3959D079" w14:textId="77777777" w:rsidTr="0000231D">
        <w:trPr>
          <w:trHeight w:val="255"/>
          <w:tblHeader/>
        </w:trPr>
        <w:tc>
          <w:tcPr>
            <w:tcW w:w="1412" w:type="pct"/>
            <w:vMerge w:val="restart"/>
            <w:shd w:val="clear" w:color="auto" w:fill="auto"/>
          </w:tcPr>
          <w:p w14:paraId="0BA97409" w14:textId="77777777" w:rsidR="00091D2A" w:rsidRPr="00552B0C" w:rsidRDefault="00091D2A">
            <w:pPr>
              <w:pStyle w:val="In-tableHeading"/>
            </w:pPr>
            <w:r w:rsidRPr="00552B0C">
              <w:t>AEs</w:t>
            </w:r>
          </w:p>
        </w:tc>
        <w:tc>
          <w:tcPr>
            <w:tcW w:w="718" w:type="pct"/>
            <w:shd w:val="clear" w:color="auto" w:fill="auto"/>
          </w:tcPr>
          <w:p w14:paraId="7ED52820" w14:textId="77777777" w:rsidR="00091D2A" w:rsidRPr="00552B0C" w:rsidRDefault="00091D2A">
            <w:pPr>
              <w:pStyle w:val="In-tableHeading"/>
              <w:jc w:val="center"/>
            </w:pPr>
            <w:r w:rsidRPr="00552B0C">
              <w:t>NALIRIFOX</w:t>
            </w:r>
          </w:p>
          <w:p w14:paraId="52714FEE" w14:textId="77777777" w:rsidR="00091D2A" w:rsidRPr="00552B0C" w:rsidRDefault="00091D2A">
            <w:pPr>
              <w:pStyle w:val="In-tableHeading"/>
              <w:jc w:val="center"/>
            </w:pPr>
            <w:r w:rsidRPr="00552B0C">
              <w:t>N=370</w:t>
            </w:r>
          </w:p>
        </w:tc>
        <w:tc>
          <w:tcPr>
            <w:tcW w:w="718" w:type="pct"/>
            <w:shd w:val="clear" w:color="auto" w:fill="auto"/>
          </w:tcPr>
          <w:p w14:paraId="6014447C" w14:textId="77777777" w:rsidR="00091D2A" w:rsidRPr="00552B0C" w:rsidRDefault="00091D2A">
            <w:pPr>
              <w:pStyle w:val="In-tableHeading"/>
              <w:jc w:val="center"/>
            </w:pPr>
            <w:r w:rsidRPr="00552B0C">
              <w:t>Gem+NabP</w:t>
            </w:r>
          </w:p>
          <w:p w14:paraId="04943FE3" w14:textId="77777777" w:rsidR="00091D2A" w:rsidRPr="00552B0C" w:rsidRDefault="00091D2A">
            <w:pPr>
              <w:pStyle w:val="In-tableHeading"/>
              <w:jc w:val="center"/>
            </w:pPr>
            <w:r w:rsidRPr="00552B0C">
              <w:t>N=379</w:t>
            </w:r>
          </w:p>
        </w:tc>
        <w:tc>
          <w:tcPr>
            <w:tcW w:w="718" w:type="pct"/>
            <w:shd w:val="clear" w:color="auto" w:fill="auto"/>
          </w:tcPr>
          <w:p w14:paraId="46639E16" w14:textId="77777777" w:rsidR="00091D2A" w:rsidRPr="00552B0C" w:rsidRDefault="00091D2A">
            <w:pPr>
              <w:pStyle w:val="In-tableHeading"/>
              <w:jc w:val="center"/>
            </w:pPr>
            <w:r w:rsidRPr="00552B0C">
              <w:t>OR</w:t>
            </w:r>
          </w:p>
          <w:p w14:paraId="76B49BCA" w14:textId="77777777" w:rsidR="00091D2A" w:rsidRPr="00552B0C" w:rsidRDefault="00091D2A">
            <w:pPr>
              <w:pStyle w:val="In-tableHeading"/>
              <w:jc w:val="center"/>
            </w:pPr>
            <w:r w:rsidRPr="00552B0C">
              <w:t>[95% CI]</w:t>
            </w:r>
          </w:p>
        </w:tc>
        <w:tc>
          <w:tcPr>
            <w:tcW w:w="718" w:type="pct"/>
            <w:shd w:val="clear" w:color="auto" w:fill="auto"/>
          </w:tcPr>
          <w:p w14:paraId="09C98082" w14:textId="77777777" w:rsidR="00091D2A" w:rsidRPr="00552B0C" w:rsidRDefault="00091D2A">
            <w:pPr>
              <w:pStyle w:val="In-tableHeading"/>
              <w:jc w:val="center"/>
            </w:pPr>
            <w:r w:rsidRPr="00552B0C">
              <w:t>RR</w:t>
            </w:r>
          </w:p>
          <w:p w14:paraId="1253B2E7" w14:textId="77777777" w:rsidR="00091D2A" w:rsidRPr="00552B0C" w:rsidRDefault="00091D2A">
            <w:pPr>
              <w:pStyle w:val="In-tableHeading"/>
              <w:jc w:val="center"/>
            </w:pPr>
            <w:r w:rsidRPr="00552B0C">
              <w:t>[95% CI]</w:t>
            </w:r>
          </w:p>
        </w:tc>
        <w:tc>
          <w:tcPr>
            <w:tcW w:w="716" w:type="pct"/>
            <w:shd w:val="clear" w:color="auto" w:fill="auto"/>
          </w:tcPr>
          <w:p w14:paraId="3002F9D2" w14:textId="77777777" w:rsidR="00091D2A" w:rsidRPr="00552B0C" w:rsidRDefault="00091D2A">
            <w:pPr>
              <w:pStyle w:val="In-tableHeading"/>
              <w:jc w:val="center"/>
            </w:pPr>
            <w:r w:rsidRPr="00552B0C">
              <w:t>RD</w:t>
            </w:r>
          </w:p>
          <w:p w14:paraId="7D36C613" w14:textId="77777777" w:rsidR="00091D2A" w:rsidRPr="00552B0C" w:rsidRDefault="00091D2A">
            <w:pPr>
              <w:pStyle w:val="In-tableHeading"/>
              <w:jc w:val="center"/>
            </w:pPr>
            <w:r w:rsidRPr="00552B0C">
              <w:t>[95% CI]</w:t>
            </w:r>
          </w:p>
        </w:tc>
      </w:tr>
      <w:tr w:rsidR="00091D2A" w:rsidRPr="00552B0C" w14:paraId="45863D30" w14:textId="77777777" w:rsidTr="0000231D">
        <w:trPr>
          <w:trHeight w:val="255"/>
        </w:trPr>
        <w:tc>
          <w:tcPr>
            <w:tcW w:w="1412" w:type="pct"/>
            <w:vMerge/>
            <w:shd w:val="clear" w:color="auto" w:fill="auto"/>
          </w:tcPr>
          <w:p w14:paraId="459F7851" w14:textId="77777777" w:rsidR="00091D2A" w:rsidRPr="00552B0C" w:rsidRDefault="00091D2A">
            <w:pPr>
              <w:pStyle w:val="TableText0"/>
            </w:pPr>
          </w:p>
        </w:tc>
        <w:tc>
          <w:tcPr>
            <w:tcW w:w="718" w:type="pct"/>
            <w:shd w:val="clear" w:color="auto" w:fill="auto"/>
          </w:tcPr>
          <w:p w14:paraId="11D78469" w14:textId="77777777" w:rsidR="00091D2A" w:rsidRPr="00552B0C" w:rsidRDefault="00091D2A">
            <w:pPr>
              <w:pStyle w:val="In-tableHeading"/>
              <w:jc w:val="center"/>
            </w:pPr>
            <w:r w:rsidRPr="00552B0C">
              <w:t>n/N (%)</w:t>
            </w:r>
          </w:p>
        </w:tc>
        <w:tc>
          <w:tcPr>
            <w:tcW w:w="718" w:type="pct"/>
            <w:shd w:val="clear" w:color="auto" w:fill="auto"/>
          </w:tcPr>
          <w:p w14:paraId="13FF607A" w14:textId="77777777" w:rsidR="00091D2A" w:rsidRPr="00552B0C" w:rsidRDefault="00091D2A">
            <w:pPr>
              <w:pStyle w:val="In-tableHeading"/>
              <w:jc w:val="center"/>
            </w:pPr>
            <w:r w:rsidRPr="00552B0C">
              <w:t>n/N (%)</w:t>
            </w:r>
          </w:p>
        </w:tc>
        <w:tc>
          <w:tcPr>
            <w:tcW w:w="1436" w:type="pct"/>
            <w:gridSpan w:val="2"/>
            <w:shd w:val="clear" w:color="auto" w:fill="auto"/>
          </w:tcPr>
          <w:p w14:paraId="4724E1DD" w14:textId="77777777" w:rsidR="00091D2A" w:rsidRPr="00552B0C" w:rsidRDefault="00091D2A">
            <w:pPr>
              <w:pStyle w:val="In-tableHeading"/>
              <w:jc w:val="center"/>
            </w:pPr>
            <w:r w:rsidRPr="00552B0C">
              <w:t>OR and RR&lt;1 favour NALIRIFOX</w:t>
            </w:r>
          </w:p>
        </w:tc>
        <w:tc>
          <w:tcPr>
            <w:tcW w:w="716" w:type="pct"/>
            <w:shd w:val="clear" w:color="auto" w:fill="auto"/>
          </w:tcPr>
          <w:p w14:paraId="6CF9C84E" w14:textId="77777777" w:rsidR="00091D2A" w:rsidRPr="00552B0C" w:rsidRDefault="00091D2A">
            <w:pPr>
              <w:pStyle w:val="In-tableHeading"/>
              <w:jc w:val="center"/>
            </w:pPr>
            <w:r w:rsidRPr="00552B0C">
              <w:t>RD&lt;0 favour NALIRIFOX</w:t>
            </w:r>
          </w:p>
        </w:tc>
      </w:tr>
      <w:tr w:rsidR="00091D2A" w:rsidRPr="00552B0C" w14:paraId="2244B8E0" w14:textId="77777777">
        <w:trPr>
          <w:trHeight w:val="255"/>
        </w:trPr>
        <w:tc>
          <w:tcPr>
            <w:tcW w:w="5000" w:type="pct"/>
            <w:gridSpan w:val="6"/>
            <w:shd w:val="clear" w:color="auto" w:fill="B8CCE4" w:themeFill="accent1" w:themeFillTint="66"/>
          </w:tcPr>
          <w:p w14:paraId="49E64728" w14:textId="77777777" w:rsidR="00091D2A" w:rsidRPr="00552B0C" w:rsidRDefault="00091D2A">
            <w:pPr>
              <w:pStyle w:val="In-tableHeading"/>
            </w:pPr>
            <w:r w:rsidRPr="00552B0C">
              <w:t>Any cause of TEAEs</w:t>
            </w:r>
          </w:p>
        </w:tc>
      </w:tr>
      <w:tr w:rsidR="00091D2A" w:rsidRPr="00552B0C" w14:paraId="7EA2C860" w14:textId="77777777">
        <w:trPr>
          <w:trHeight w:val="255"/>
        </w:trPr>
        <w:tc>
          <w:tcPr>
            <w:tcW w:w="1412" w:type="pct"/>
            <w:shd w:val="clear" w:color="auto" w:fill="B8CCE4" w:themeFill="accent1" w:themeFillTint="66"/>
          </w:tcPr>
          <w:p w14:paraId="41754011" w14:textId="77777777" w:rsidR="00091D2A" w:rsidRPr="00552B0C" w:rsidRDefault="00091D2A">
            <w:pPr>
              <w:pStyle w:val="TableText0"/>
            </w:pPr>
            <w:r w:rsidRPr="00552B0C">
              <w:t>Any cause TEAEs</w:t>
            </w:r>
          </w:p>
        </w:tc>
        <w:tc>
          <w:tcPr>
            <w:tcW w:w="718" w:type="pct"/>
            <w:shd w:val="clear" w:color="auto" w:fill="B8CCE4" w:themeFill="accent1" w:themeFillTint="66"/>
          </w:tcPr>
          <w:p w14:paraId="4A27AC15" w14:textId="77777777" w:rsidR="00091D2A" w:rsidRPr="00552B0C" w:rsidRDefault="00091D2A">
            <w:pPr>
              <w:pStyle w:val="Tabletext"/>
              <w:jc w:val="center"/>
            </w:pPr>
            <w:r w:rsidRPr="00552B0C">
              <w:t>369/370 (99.73%)</w:t>
            </w:r>
          </w:p>
        </w:tc>
        <w:tc>
          <w:tcPr>
            <w:tcW w:w="718" w:type="pct"/>
            <w:shd w:val="clear" w:color="auto" w:fill="B8CCE4" w:themeFill="accent1" w:themeFillTint="66"/>
          </w:tcPr>
          <w:p w14:paraId="6F018EA6" w14:textId="77777777" w:rsidR="00091D2A" w:rsidRPr="00552B0C" w:rsidRDefault="00091D2A">
            <w:pPr>
              <w:pStyle w:val="Tabletext"/>
              <w:jc w:val="center"/>
            </w:pPr>
            <w:r w:rsidRPr="00552B0C">
              <w:t>376/379 (99.21%)</w:t>
            </w:r>
          </w:p>
        </w:tc>
        <w:tc>
          <w:tcPr>
            <w:tcW w:w="718" w:type="pct"/>
            <w:shd w:val="clear" w:color="auto" w:fill="B8CCE4" w:themeFill="accent1" w:themeFillTint="66"/>
          </w:tcPr>
          <w:p w14:paraId="29CA5B29" w14:textId="77777777" w:rsidR="00091D2A" w:rsidRPr="00552B0C" w:rsidRDefault="00091D2A">
            <w:pPr>
              <w:pStyle w:val="Tabletext"/>
              <w:jc w:val="center"/>
            </w:pPr>
            <w:r w:rsidRPr="00552B0C">
              <w:t>2.94</w:t>
            </w:r>
          </w:p>
          <w:p w14:paraId="5317FA40" w14:textId="77777777" w:rsidR="00091D2A" w:rsidRPr="00552B0C" w:rsidRDefault="00091D2A">
            <w:pPr>
              <w:pStyle w:val="Tabletext"/>
              <w:jc w:val="center"/>
            </w:pPr>
            <w:r w:rsidRPr="00552B0C">
              <w:t>[0.30, 28.43]</w:t>
            </w:r>
          </w:p>
        </w:tc>
        <w:tc>
          <w:tcPr>
            <w:tcW w:w="718" w:type="pct"/>
            <w:shd w:val="clear" w:color="auto" w:fill="B8CCE4" w:themeFill="accent1" w:themeFillTint="66"/>
          </w:tcPr>
          <w:p w14:paraId="59E85898" w14:textId="77777777" w:rsidR="00091D2A" w:rsidRPr="00552B0C" w:rsidRDefault="00091D2A">
            <w:pPr>
              <w:pStyle w:val="Tabletext"/>
              <w:jc w:val="center"/>
            </w:pPr>
            <w:r w:rsidRPr="00552B0C">
              <w:t>1.01</w:t>
            </w:r>
          </w:p>
          <w:p w14:paraId="419B95E9" w14:textId="77777777" w:rsidR="00091D2A" w:rsidRPr="00552B0C" w:rsidRDefault="00091D2A">
            <w:pPr>
              <w:pStyle w:val="Tabletext"/>
              <w:jc w:val="center"/>
            </w:pPr>
            <w:r w:rsidRPr="00552B0C">
              <w:t>[0.99, 1.02]</w:t>
            </w:r>
          </w:p>
        </w:tc>
        <w:tc>
          <w:tcPr>
            <w:tcW w:w="716" w:type="pct"/>
            <w:shd w:val="clear" w:color="auto" w:fill="B8CCE4" w:themeFill="accent1" w:themeFillTint="66"/>
          </w:tcPr>
          <w:p w14:paraId="08D2EB8E" w14:textId="77777777" w:rsidR="00091D2A" w:rsidRPr="00552B0C" w:rsidRDefault="00091D2A">
            <w:pPr>
              <w:pStyle w:val="Tabletext"/>
              <w:jc w:val="center"/>
            </w:pPr>
            <w:r w:rsidRPr="00552B0C">
              <w:t>0.01</w:t>
            </w:r>
          </w:p>
          <w:p w14:paraId="1EA36D3F" w14:textId="77777777" w:rsidR="00091D2A" w:rsidRPr="00552B0C" w:rsidRDefault="00091D2A">
            <w:pPr>
              <w:pStyle w:val="Tabletext"/>
              <w:jc w:val="center"/>
            </w:pPr>
            <w:r w:rsidRPr="00552B0C">
              <w:t>[-0.01, 0.02]</w:t>
            </w:r>
          </w:p>
        </w:tc>
      </w:tr>
      <w:tr w:rsidR="00091D2A" w:rsidRPr="00552B0C" w14:paraId="4C361EA0" w14:textId="77777777">
        <w:trPr>
          <w:trHeight w:val="255"/>
        </w:trPr>
        <w:tc>
          <w:tcPr>
            <w:tcW w:w="1412" w:type="pct"/>
            <w:shd w:val="clear" w:color="auto" w:fill="B8CCE4" w:themeFill="accent1" w:themeFillTint="66"/>
          </w:tcPr>
          <w:p w14:paraId="45EDF772" w14:textId="77777777" w:rsidR="00091D2A" w:rsidRPr="00552B0C" w:rsidRDefault="00091D2A">
            <w:pPr>
              <w:pStyle w:val="TableText0"/>
            </w:pPr>
            <w:r w:rsidRPr="00552B0C">
              <w:t>Grade ≥ 3 TEAEs</w:t>
            </w:r>
          </w:p>
        </w:tc>
        <w:tc>
          <w:tcPr>
            <w:tcW w:w="718" w:type="pct"/>
            <w:shd w:val="clear" w:color="auto" w:fill="B8CCE4" w:themeFill="accent1" w:themeFillTint="66"/>
          </w:tcPr>
          <w:p w14:paraId="553AB1E5" w14:textId="77777777" w:rsidR="00091D2A" w:rsidRPr="00552B0C" w:rsidRDefault="00091D2A">
            <w:pPr>
              <w:pStyle w:val="Tabletext"/>
              <w:jc w:val="center"/>
            </w:pPr>
            <w:r w:rsidRPr="00552B0C">
              <w:t>322/370 (87.03%)</w:t>
            </w:r>
          </w:p>
        </w:tc>
        <w:tc>
          <w:tcPr>
            <w:tcW w:w="718" w:type="pct"/>
            <w:shd w:val="clear" w:color="auto" w:fill="B8CCE4" w:themeFill="accent1" w:themeFillTint="66"/>
          </w:tcPr>
          <w:p w14:paraId="47C78418" w14:textId="77777777" w:rsidR="00091D2A" w:rsidRPr="00552B0C" w:rsidRDefault="00091D2A">
            <w:pPr>
              <w:pStyle w:val="Tabletext"/>
              <w:jc w:val="center"/>
            </w:pPr>
            <w:r w:rsidRPr="00552B0C">
              <w:t>326/379 (86.02%)</w:t>
            </w:r>
          </w:p>
        </w:tc>
        <w:tc>
          <w:tcPr>
            <w:tcW w:w="718" w:type="pct"/>
            <w:shd w:val="clear" w:color="auto" w:fill="B8CCE4" w:themeFill="accent1" w:themeFillTint="66"/>
          </w:tcPr>
          <w:p w14:paraId="4C2367C2" w14:textId="77777777" w:rsidR="00091D2A" w:rsidRPr="00552B0C" w:rsidRDefault="00091D2A">
            <w:pPr>
              <w:pStyle w:val="Tabletext"/>
              <w:jc w:val="center"/>
            </w:pPr>
            <w:r w:rsidRPr="00552B0C">
              <w:t>1.09</w:t>
            </w:r>
          </w:p>
          <w:p w14:paraId="05504B8E" w14:textId="77777777" w:rsidR="00091D2A" w:rsidRPr="00552B0C" w:rsidRDefault="00091D2A">
            <w:pPr>
              <w:pStyle w:val="Tabletext"/>
              <w:jc w:val="center"/>
            </w:pPr>
            <w:r w:rsidRPr="00552B0C">
              <w:t>[0.72, 1.66]</w:t>
            </w:r>
          </w:p>
        </w:tc>
        <w:tc>
          <w:tcPr>
            <w:tcW w:w="718" w:type="pct"/>
            <w:shd w:val="clear" w:color="auto" w:fill="B8CCE4" w:themeFill="accent1" w:themeFillTint="66"/>
          </w:tcPr>
          <w:p w14:paraId="746F4466" w14:textId="77777777" w:rsidR="00091D2A" w:rsidRPr="00552B0C" w:rsidRDefault="00091D2A">
            <w:pPr>
              <w:pStyle w:val="Tabletext"/>
              <w:jc w:val="center"/>
            </w:pPr>
            <w:r w:rsidRPr="00552B0C">
              <w:t>1.01</w:t>
            </w:r>
          </w:p>
          <w:p w14:paraId="6B9FF7A3" w14:textId="77777777" w:rsidR="00091D2A" w:rsidRPr="00552B0C" w:rsidRDefault="00091D2A">
            <w:pPr>
              <w:pStyle w:val="Tabletext"/>
              <w:jc w:val="center"/>
            </w:pPr>
            <w:r w:rsidRPr="00552B0C">
              <w:t>[0.96, 1.07]</w:t>
            </w:r>
          </w:p>
        </w:tc>
        <w:tc>
          <w:tcPr>
            <w:tcW w:w="716" w:type="pct"/>
            <w:shd w:val="clear" w:color="auto" w:fill="B8CCE4" w:themeFill="accent1" w:themeFillTint="66"/>
          </w:tcPr>
          <w:p w14:paraId="72EC0858" w14:textId="77777777" w:rsidR="00091D2A" w:rsidRPr="00552B0C" w:rsidRDefault="00091D2A">
            <w:pPr>
              <w:pStyle w:val="Tabletext"/>
              <w:jc w:val="center"/>
            </w:pPr>
            <w:r w:rsidRPr="00552B0C">
              <w:t>0.01</w:t>
            </w:r>
          </w:p>
          <w:p w14:paraId="640919F8" w14:textId="77777777" w:rsidR="00091D2A" w:rsidRPr="00552B0C" w:rsidRDefault="00091D2A">
            <w:pPr>
              <w:pStyle w:val="Tabletext"/>
              <w:jc w:val="center"/>
            </w:pPr>
            <w:r w:rsidRPr="00552B0C">
              <w:t>[-0.04, 0.06]</w:t>
            </w:r>
          </w:p>
        </w:tc>
      </w:tr>
      <w:tr w:rsidR="00091D2A" w:rsidRPr="00552B0C" w14:paraId="42A4CE55" w14:textId="77777777">
        <w:trPr>
          <w:trHeight w:val="255"/>
        </w:trPr>
        <w:tc>
          <w:tcPr>
            <w:tcW w:w="1412" w:type="pct"/>
            <w:shd w:val="clear" w:color="auto" w:fill="B8CCE4" w:themeFill="accent1" w:themeFillTint="66"/>
          </w:tcPr>
          <w:p w14:paraId="5341D0AB" w14:textId="77777777" w:rsidR="00091D2A" w:rsidRPr="00552B0C" w:rsidRDefault="00091D2A">
            <w:pPr>
              <w:pStyle w:val="TableText0"/>
            </w:pPr>
            <w:r w:rsidRPr="00552B0C">
              <w:t>SAEs</w:t>
            </w:r>
          </w:p>
        </w:tc>
        <w:tc>
          <w:tcPr>
            <w:tcW w:w="718" w:type="pct"/>
            <w:shd w:val="clear" w:color="auto" w:fill="B8CCE4" w:themeFill="accent1" w:themeFillTint="66"/>
          </w:tcPr>
          <w:p w14:paraId="1EEF0338" w14:textId="77777777" w:rsidR="00091D2A" w:rsidRPr="00552B0C" w:rsidRDefault="00091D2A">
            <w:pPr>
              <w:pStyle w:val="Tabletext"/>
              <w:jc w:val="center"/>
            </w:pPr>
            <w:r w:rsidRPr="00552B0C">
              <w:t>201/370 (54.32%)</w:t>
            </w:r>
          </w:p>
        </w:tc>
        <w:tc>
          <w:tcPr>
            <w:tcW w:w="718" w:type="pct"/>
            <w:shd w:val="clear" w:color="auto" w:fill="B8CCE4" w:themeFill="accent1" w:themeFillTint="66"/>
          </w:tcPr>
          <w:p w14:paraId="525B3FAD" w14:textId="77777777" w:rsidR="00091D2A" w:rsidRPr="00552B0C" w:rsidRDefault="00091D2A">
            <w:pPr>
              <w:pStyle w:val="Tabletext"/>
              <w:jc w:val="center"/>
            </w:pPr>
            <w:r w:rsidRPr="00552B0C">
              <w:t>195/379 (51.45%)</w:t>
            </w:r>
          </w:p>
        </w:tc>
        <w:tc>
          <w:tcPr>
            <w:tcW w:w="718" w:type="pct"/>
            <w:shd w:val="clear" w:color="auto" w:fill="B8CCE4" w:themeFill="accent1" w:themeFillTint="66"/>
          </w:tcPr>
          <w:p w14:paraId="11A6C2DE" w14:textId="77777777" w:rsidR="00091D2A" w:rsidRPr="00552B0C" w:rsidRDefault="00091D2A">
            <w:pPr>
              <w:pStyle w:val="Tabletext"/>
              <w:jc w:val="center"/>
            </w:pPr>
            <w:r w:rsidRPr="00552B0C">
              <w:t>1.12</w:t>
            </w:r>
          </w:p>
          <w:p w14:paraId="458E6B28" w14:textId="77777777" w:rsidR="00091D2A" w:rsidRPr="00552B0C" w:rsidRDefault="00091D2A">
            <w:pPr>
              <w:pStyle w:val="Tabletext"/>
              <w:jc w:val="center"/>
            </w:pPr>
            <w:r w:rsidRPr="00552B0C">
              <w:t>[0.84, 1.50]</w:t>
            </w:r>
          </w:p>
        </w:tc>
        <w:tc>
          <w:tcPr>
            <w:tcW w:w="718" w:type="pct"/>
            <w:shd w:val="clear" w:color="auto" w:fill="B8CCE4" w:themeFill="accent1" w:themeFillTint="66"/>
          </w:tcPr>
          <w:p w14:paraId="03B1B354" w14:textId="77777777" w:rsidR="00091D2A" w:rsidRPr="00552B0C" w:rsidRDefault="00091D2A">
            <w:pPr>
              <w:pStyle w:val="Tabletext"/>
              <w:jc w:val="center"/>
            </w:pPr>
            <w:r w:rsidRPr="00552B0C">
              <w:t>1.06</w:t>
            </w:r>
          </w:p>
          <w:p w14:paraId="5339502B" w14:textId="77777777" w:rsidR="00091D2A" w:rsidRPr="00552B0C" w:rsidRDefault="00091D2A">
            <w:pPr>
              <w:pStyle w:val="Tabletext"/>
              <w:jc w:val="center"/>
            </w:pPr>
            <w:r w:rsidRPr="00552B0C">
              <w:t>[0.92, 1.21]</w:t>
            </w:r>
          </w:p>
        </w:tc>
        <w:tc>
          <w:tcPr>
            <w:tcW w:w="716" w:type="pct"/>
            <w:shd w:val="clear" w:color="auto" w:fill="B8CCE4" w:themeFill="accent1" w:themeFillTint="66"/>
          </w:tcPr>
          <w:p w14:paraId="58C5535E" w14:textId="77777777" w:rsidR="00091D2A" w:rsidRPr="00552B0C" w:rsidRDefault="00091D2A">
            <w:pPr>
              <w:pStyle w:val="Tabletext"/>
              <w:jc w:val="center"/>
            </w:pPr>
            <w:r w:rsidRPr="00552B0C">
              <w:t>0.03</w:t>
            </w:r>
          </w:p>
          <w:p w14:paraId="251C1D82" w14:textId="77777777" w:rsidR="00091D2A" w:rsidRPr="00552B0C" w:rsidRDefault="00091D2A">
            <w:pPr>
              <w:pStyle w:val="Tabletext"/>
              <w:jc w:val="center"/>
            </w:pPr>
            <w:r w:rsidRPr="00552B0C">
              <w:t>[-0.04, 0.10]</w:t>
            </w:r>
          </w:p>
        </w:tc>
      </w:tr>
      <w:tr w:rsidR="00091D2A" w:rsidRPr="00552B0C" w14:paraId="71C1B9EB" w14:textId="77777777">
        <w:trPr>
          <w:trHeight w:val="255"/>
        </w:trPr>
        <w:tc>
          <w:tcPr>
            <w:tcW w:w="1412" w:type="pct"/>
            <w:shd w:val="clear" w:color="auto" w:fill="B8CCE4" w:themeFill="accent1" w:themeFillTint="66"/>
          </w:tcPr>
          <w:p w14:paraId="478C5F02" w14:textId="77777777" w:rsidR="00091D2A" w:rsidRPr="00552B0C" w:rsidRDefault="00091D2A">
            <w:pPr>
              <w:pStyle w:val="TableText0"/>
            </w:pPr>
            <w:r w:rsidRPr="00552B0C">
              <w:t>TEAEs leading to treatment discontinuation</w:t>
            </w:r>
          </w:p>
        </w:tc>
        <w:tc>
          <w:tcPr>
            <w:tcW w:w="718" w:type="pct"/>
            <w:shd w:val="clear" w:color="auto" w:fill="B8CCE4" w:themeFill="accent1" w:themeFillTint="66"/>
          </w:tcPr>
          <w:p w14:paraId="6F25982E" w14:textId="77777777" w:rsidR="00091D2A" w:rsidRPr="00552B0C" w:rsidRDefault="00091D2A">
            <w:pPr>
              <w:pStyle w:val="Tabletext"/>
              <w:jc w:val="center"/>
            </w:pPr>
            <w:r w:rsidRPr="00552B0C">
              <w:t>118/370 (31.89%)</w:t>
            </w:r>
          </w:p>
        </w:tc>
        <w:tc>
          <w:tcPr>
            <w:tcW w:w="718" w:type="pct"/>
            <w:shd w:val="clear" w:color="auto" w:fill="B8CCE4" w:themeFill="accent1" w:themeFillTint="66"/>
          </w:tcPr>
          <w:p w14:paraId="104C0F5B" w14:textId="77777777" w:rsidR="00091D2A" w:rsidRPr="00552B0C" w:rsidRDefault="00091D2A">
            <w:pPr>
              <w:pStyle w:val="Tabletext"/>
              <w:jc w:val="center"/>
            </w:pPr>
            <w:r w:rsidRPr="00552B0C">
              <w:t>112/379 (29.55%)</w:t>
            </w:r>
          </w:p>
        </w:tc>
        <w:tc>
          <w:tcPr>
            <w:tcW w:w="718" w:type="pct"/>
            <w:shd w:val="clear" w:color="auto" w:fill="B8CCE4" w:themeFill="accent1" w:themeFillTint="66"/>
          </w:tcPr>
          <w:p w14:paraId="50F5C63D" w14:textId="77777777" w:rsidR="00091D2A" w:rsidRPr="00552B0C" w:rsidRDefault="00091D2A">
            <w:pPr>
              <w:pStyle w:val="Tabletext"/>
              <w:jc w:val="center"/>
            </w:pPr>
            <w:r w:rsidRPr="00552B0C">
              <w:t>1.12</w:t>
            </w:r>
          </w:p>
          <w:p w14:paraId="7FC2E421" w14:textId="77777777" w:rsidR="00091D2A" w:rsidRPr="00552B0C" w:rsidRDefault="00091D2A">
            <w:pPr>
              <w:pStyle w:val="Tabletext"/>
              <w:jc w:val="center"/>
            </w:pPr>
            <w:r w:rsidRPr="00552B0C">
              <w:t>[0.82, 1.52]</w:t>
            </w:r>
          </w:p>
        </w:tc>
        <w:tc>
          <w:tcPr>
            <w:tcW w:w="718" w:type="pct"/>
            <w:shd w:val="clear" w:color="auto" w:fill="B8CCE4" w:themeFill="accent1" w:themeFillTint="66"/>
          </w:tcPr>
          <w:p w14:paraId="72B6BB40" w14:textId="77777777" w:rsidR="00091D2A" w:rsidRPr="00552B0C" w:rsidRDefault="00091D2A">
            <w:pPr>
              <w:pStyle w:val="Tabletext"/>
              <w:jc w:val="center"/>
            </w:pPr>
            <w:r w:rsidRPr="00552B0C">
              <w:t>1.08</w:t>
            </w:r>
          </w:p>
          <w:p w14:paraId="673A6A6D" w14:textId="77777777" w:rsidR="00091D2A" w:rsidRPr="00552B0C" w:rsidRDefault="00091D2A">
            <w:pPr>
              <w:pStyle w:val="Tabletext"/>
              <w:jc w:val="center"/>
            </w:pPr>
            <w:r w:rsidRPr="00552B0C">
              <w:t>[0.87, 1.34]</w:t>
            </w:r>
          </w:p>
        </w:tc>
        <w:tc>
          <w:tcPr>
            <w:tcW w:w="716" w:type="pct"/>
            <w:shd w:val="clear" w:color="auto" w:fill="B8CCE4" w:themeFill="accent1" w:themeFillTint="66"/>
          </w:tcPr>
          <w:p w14:paraId="4711D241" w14:textId="77777777" w:rsidR="00091D2A" w:rsidRPr="00552B0C" w:rsidRDefault="00091D2A">
            <w:pPr>
              <w:pStyle w:val="Tabletext"/>
              <w:jc w:val="center"/>
            </w:pPr>
            <w:r w:rsidRPr="00552B0C">
              <w:t>0.02</w:t>
            </w:r>
          </w:p>
          <w:p w14:paraId="11BBEEB8" w14:textId="77777777" w:rsidR="00091D2A" w:rsidRPr="00552B0C" w:rsidRDefault="00091D2A">
            <w:pPr>
              <w:pStyle w:val="Tabletext"/>
              <w:jc w:val="center"/>
            </w:pPr>
            <w:r w:rsidRPr="00552B0C">
              <w:t>[-0.04, 0.09]</w:t>
            </w:r>
          </w:p>
        </w:tc>
      </w:tr>
      <w:tr w:rsidR="00091D2A" w:rsidRPr="00552B0C" w14:paraId="10FFE4B1" w14:textId="77777777">
        <w:trPr>
          <w:trHeight w:val="255"/>
        </w:trPr>
        <w:tc>
          <w:tcPr>
            <w:tcW w:w="1412" w:type="pct"/>
            <w:shd w:val="clear" w:color="auto" w:fill="B8CCE4" w:themeFill="accent1" w:themeFillTint="66"/>
          </w:tcPr>
          <w:p w14:paraId="30066B9A" w14:textId="77777777" w:rsidR="00091D2A" w:rsidRPr="00552B0C" w:rsidRDefault="00091D2A">
            <w:pPr>
              <w:pStyle w:val="TableText0"/>
            </w:pPr>
            <w:r w:rsidRPr="00552B0C">
              <w:t>TEAEs leading to discontinuation of nal-IRI</w:t>
            </w:r>
          </w:p>
        </w:tc>
        <w:tc>
          <w:tcPr>
            <w:tcW w:w="718" w:type="pct"/>
            <w:shd w:val="clear" w:color="auto" w:fill="B8CCE4" w:themeFill="accent1" w:themeFillTint="66"/>
          </w:tcPr>
          <w:p w14:paraId="015AB6E9" w14:textId="77777777" w:rsidR="00091D2A" w:rsidRPr="00552B0C" w:rsidRDefault="00091D2A">
            <w:pPr>
              <w:pStyle w:val="Tabletext"/>
              <w:jc w:val="center"/>
            </w:pPr>
            <w:r w:rsidRPr="00552B0C">
              <w:t>63/370 (17.03%)</w:t>
            </w:r>
          </w:p>
        </w:tc>
        <w:tc>
          <w:tcPr>
            <w:tcW w:w="718" w:type="pct"/>
            <w:shd w:val="clear" w:color="auto" w:fill="B8CCE4" w:themeFill="accent1" w:themeFillTint="66"/>
          </w:tcPr>
          <w:p w14:paraId="1027B275" w14:textId="77777777" w:rsidR="00091D2A" w:rsidRPr="00552B0C" w:rsidRDefault="00091D2A">
            <w:pPr>
              <w:pStyle w:val="Tabletext"/>
              <w:jc w:val="center"/>
            </w:pPr>
            <w:r w:rsidRPr="00552B0C">
              <w:t>NA</w:t>
            </w:r>
          </w:p>
        </w:tc>
        <w:tc>
          <w:tcPr>
            <w:tcW w:w="718" w:type="pct"/>
            <w:shd w:val="clear" w:color="auto" w:fill="B8CCE4" w:themeFill="accent1" w:themeFillTint="66"/>
          </w:tcPr>
          <w:p w14:paraId="5DF5F39E" w14:textId="77777777" w:rsidR="00091D2A" w:rsidRPr="00552B0C" w:rsidRDefault="00091D2A">
            <w:pPr>
              <w:pStyle w:val="Tabletext"/>
              <w:jc w:val="center"/>
            </w:pPr>
            <w:r w:rsidRPr="00552B0C">
              <w:t>NE</w:t>
            </w:r>
          </w:p>
        </w:tc>
        <w:tc>
          <w:tcPr>
            <w:tcW w:w="718" w:type="pct"/>
            <w:shd w:val="clear" w:color="auto" w:fill="B8CCE4" w:themeFill="accent1" w:themeFillTint="66"/>
          </w:tcPr>
          <w:p w14:paraId="3F8FD3D2" w14:textId="77777777" w:rsidR="00091D2A" w:rsidRPr="00552B0C" w:rsidRDefault="00091D2A">
            <w:pPr>
              <w:pStyle w:val="Tabletext"/>
              <w:jc w:val="center"/>
            </w:pPr>
            <w:r w:rsidRPr="00552B0C">
              <w:t>NE</w:t>
            </w:r>
          </w:p>
        </w:tc>
        <w:tc>
          <w:tcPr>
            <w:tcW w:w="716" w:type="pct"/>
            <w:shd w:val="clear" w:color="auto" w:fill="B8CCE4" w:themeFill="accent1" w:themeFillTint="66"/>
          </w:tcPr>
          <w:p w14:paraId="0BBDF22A" w14:textId="77777777" w:rsidR="00091D2A" w:rsidRPr="00552B0C" w:rsidRDefault="00091D2A">
            <w:pPr>
              <w:pStyle w:val="Tabletext"/>
              <w:jc w:val="center"/>
            </w:pPr>
            <w:r w:rsidRPr="00552B0C">
              <w:t>NE</w:t>
            </w:r>
          </w:p>
        </w:tc>
      </w:tr>
      <w:tr w:rsidR="00091D2A" w:rsidRPr="00552B0C" w14:paraId="0E4F6D9E" w14:textId="77777777">
        <w:trPr>
          <w:trHeight w:val="255"/>
        </w:trPr>
        <w:tc>
          <w:tcPr>
            <w:tcW w:w="1412" w:type="pct"/>
            <w:shd w:val="clear" w:color="auto" w:fill="B8CCE4" w:themeFill="accent1" w:themeFillTint="66"/>
          </w:tcPr>
          <w:p w14:paraId="43F50CF4" w14:textId="77777777" w:rsidR="00091D2A" w:rsidRPr="00552B0C" w:rsidRDefault="00091D2A">
            <w:pPr>
              <w:pStyle w:val="TableText0"/>
            </w:pPr>
            <w:r w:rsidRPr="00552B0C">
              <w:t>TEAEs leading to reduction of any IMP</w:t>
            </w:r>
          </w:p>
        </w:tc>
        <w:tc>
          <w:tcPr>
            <w:tcW w:w="718" w:type="pct"/>
            <w:shd w:val="clear" w:color="auto" w:fill="B8CCE4" w:themeFill="accent1" w:themeFillTint="66"/>
          </w:tcPr>
          <w:p w14:paraId="2AFEBE64" w14:textId="77777777" w:rsidR="00091D2A" w:rsidRPr="00552B0C" w:rsidRDefault="00091D2A">
            <w:pPr>
              <w:pStyle w:val="Tabletext"/>
              <w:jc w:val="center"/>
            </w:pPr>
            <w:r w:rsidRPr="00552B0C">
              <w:t>208/370 (56.22%)</w:t>
            </w:r>
          </w:p>
        </w:tc>
        <w:tc>
          <w:tcPr>
            <w:tcW w:w="718" w:type="pct"/>
            <w:shd w:val="clear" w:color="auto" w:fill="B8CCE4" w:themeFill="accent1" w:themeFillTint="66"/>
          </w:tcPr>
          <w:p w14:paraId="09DABC54" w14:textId="77777777" w:rsidR="00091D2A" w:rsidRPr="00552B0C" w:rsidRDefault="00091D2A">
            <w:pPr>
              <w:pStyle w:val="Tabletext"/>
              <w:jc w:val="center"/>
            </w:pPr>
            <w:r w:rsidRPr="00552B0C">
              <w:t>190/379 (50.13%)</w:t>
            </w:r>
          </w:p>
        </w:tc>
        <w:tc>
          <w:tcPr>
            <w:tcW w:w="718" w:type="pct"/>
            <w:shd w:val="clear" w:color="auto" w:fill="B8CCE4" w:themeFill="accent1" w:themeFillTint="66"/>
          </w:tcPr>
          <w:p w14:paraId="27778642" w14:textId="77777777" w:rsidR="00091D2A" w:rsidRPr="00552B0C" w:rsidRDefault="00091D2A">
            <w:pPr>
              <w:pStyle w:val="Tabletext"/>
              <w:jc w:val="center"/>
            </w:pPr>
            <w:r w:rsidRPr="00552B0C">
              <w:t>1.28</w:t>
            </w:r>
          </w:p>
          <w:p w14:paraId="2F665E1B" w14:textId="77777777" w:rsidR="00091D2A" w:rsidRPr="00552B0C" w:rsidRDefault="00091D2A">
            <w:pPr>
              <w:pStyle w:val="Tabletext"/>
              <w:jc w:val="center"/>
            </w:pPr>
            <w:r w:rsidRPr="00552B0C">
              <w:t>[0.96, 1.70]</w:t>
            </w:r>
          </w:p>
        </w:tc>
        <w:tc>
          <w:tcPr>
            <w:tcW w:w="718" w:type="pct"/>
            <w:shd w:val="clear" w:color="auto" w:fill="B8CCE4" w:themeFill="accent1" w:themeFillTint="66"/>
          </w:tcPr>
          <w:p w14:paraId="0534FA45" w14:textId="77777777" w:rsidR="00091D2A" w:rsidRPr="00552B0C" w:rsidRDefault="00091D2A">
            <w:pPr>
              <w:pStyle w:val="Tabletext"/>
              <w:jc w:val="center"/>
            </w:pPr>
            <w:r w:rsidRPr="00552B0C">
              <w:t>1.12</w:t>
            </w:r>
          </w:p>
          <w:p w14:paraId="5C71CEFB" w14:textId="77777777" w:rsidR="00091D2A" w:rsidRPr="00552B0C" w:rsidRDefault="00091D2A">
            <w:pPr>
              <w:pStyle w:val="Tabletext"/>
              <w:jc w:val="center"/>
            </w:pPr>
            <w:r w:rsidRPr="00552B0C">
              <w:t>[0.98, 1.28]</w:t>
            </w:r>
          </w:p>
        </w:tc>
        <w:tc>
          <w:tcPr>
            <w:tcW w:w="716" w:type="pct"/>
            <w:shd w:val="clear" w:color="auto" w:fill="B8CCE4" w:themeFill="accent1" w:themeFillTint="66"/>
          </w:tcPr>
          <w:p w14:paraId="151E4994" w14:textId="77777777" w:rsidR="00091D2A" w:rsidRPr="00552B0C" w:rsidRDefault="00091D2A">
            <w:pPr>
              <w:pStyle w:val="Tabletext"/>
              <w:jc w:val="center"/>
            </w:pPr>
            <w:r w:rsidRPr="00552B0C">
              <w:t>0.06</w:t>
            </w:r>
          </w:p>
          <w:p w14:paraId="45F976CD" w14:textId="77777777" w:rsidR="00091D2A" w:rsidRPr="00552B0C" w:rsidRDefault="00091D2A">
            <w:pPr>
              <w:pStyle w:val="Tabletext"/>
              <w:jc w:val="center"/>
            </w:pPr>
            <w:r w:rsidRPr="00552B0C">
              <w:t>[-0.01, 0.13]</w:t>
            </w:r>
          </w:p>
        </w:tc>
      </w:tr>
      <w:tr w:rsidR="00091D2A" w:rsidRPr="00552B0C" w14:paraId="73E8C2CF" w14:textId="77777777">
        <w:trPr>
          <w:trHeight w:val="255"/>
        </w:trPr>
        <w:tc>
          <w:tcPr>
            <w:tcW w:w="1412" w:type="pct"/>
            <w:shd w:val="clear" w:color="auto" w:fill="B8CCE4" w:themeFill="accent1" w:themeFillTint="66"/>
          </w:tcPr>
          <w:p w14:paraId="182D0365" w14:textId="77777777" w:rsidR="00091D2A" w:rsidRPr="00552B0C" w:rsidRDefault="00091D2A">
            <w:pPr>
              <w:pStyle w:val="TableText0"/>
            </w:pPr>
            <w:r w:rsidRPr="00552B0C">
              <w:t>TEAEs leading to reduction of nal-IRI</w:t>
            </w:r>
          </w:p>
        </w:tc>
        <w:tc>
          <w:tcPr>
            <w:tcW w:w="718" w:type="pct"/>
            <w:shd w:val="clear" w:color="auto" w:fill="B8CCE4" w:themeFill="accent1" w:themeFillTint="66"/>
          </w:tcPr>
          <w:p w14:paraId="11E7E7A0" w14:textId="77777777" w:rsidR="00091D2A" w:rsidRPr="00552B0C" w:rsidRDefault="00091D2A">
            <w:pPr>
              <w:pStyle w:val="Tabletext"/>
              <w:jc w:val="center"/>
            </w:pPr>
            <w:r w:rsidRPr="00552B0C">
              <w:t>194/370 (52.43%)</w:t>
            </w:r>
          </w:p>
        </w:tc>
        <w:tc>
          <w:tcPr>
            <w:tcW w:w="718" w:type="pct"/>
            <w:shd w:val="clear" w:color="auto" w:fill="B8CCE4" w:themeFill="accent1" w:themeFillTint="66"/>
          </w:tcPr>
          <w:p w14:paraId="08ADA5DE" w14:textId="77777777" w:rsidR="00091D2A" w:rsidRPr="00552B0C" w:rsidRDefault="00091D2A">
            <w:pPr>
              <w:pStyle w:val="Tabletext"/>
              <w:jc w:val="center"/>
            </w:pPr>
            <w:r w:rsidRPr="00552B0C">
              <w:t>NA</w:t>
            </w:r>
          </w:p>
        </w:tc>
        <w:tc>
          <w:tcPr>
            <w:tcW w:w="718" w:type="pct"/>
            <w:shd w:val="clear" w:color="auto" w:fill="B8CCE4" w:themeFill="accent1" w:themeFillTint="66"/>
          </w:tcPr>
          <w:p w14:paraId="08C0E6BB" w14:textId="77777777" w:rsidR="00091D2A" w:rsidRPr="00552B0C" w:rsidRDefault="00091D2A">
            <w:pPr>
              <w:pStyle w:val="Tabletext"/>
              <w:jc w:val="center"/>
            </w:pPr>
            <w:r w:rsidRPr="00552B0C">
              <w:t>NE</w:t>
            </w:r>
          </w:p>
        </w:tc>
        <w:tc>
          <w:tcPr>
            <w:tcW w:w="718" w:type="pct"/>
            <w:shd w:val="clear" w:color="auto" w:fill="B8CCE4" w:themeFill="accent1" w:themeFillTint="66"/>
          </w:tcPr>
          <w:p w14:paraId="6B60466F" w14:textId="77777777" w:rsidR="00091D2A" w:rsidRPr="00552B0C" w:rsidRDefault="00091D2A">
            <w:pPr>
              <w:pStyle w:val="Tabletext"/>
              <w:jc w:val="center"/>
            </w:pPr>
            <w:r w:rsidRPr="00552B0C">
              <w:t>NE</w:t>
            </w:r>
          </w:p>
        </w:tc>
        <w:tc>
          <w:tcPr>
            <w:tcW w:w="716" w:type="pct"/>
            <w:shd w:val="clear" w:color="auto" w:fill="B8CCE4" w:themeFill="accent1" w:themeFillTint="66"/>
          </w:tcPr>
          <w:p w14:paraId="677AFA7F" w14:textId="77777777" w:rsidR="00091D2A" w:rsidRPr="00552B0C" w:rsidRDefault="00091D2A">
            <w:pPr>
              <w:pStyle w:val="Tabletext"/>
              <w:jc w:val="center"/>
            </w:pPr>
            <w:r w:rsidRPr="00552B0C">
              <w:t>NE</w:t>
            </w:r>
          </w:p>
        </w:tc>
      </w:tr>
      <w:tr w:rsidR="00091D2A" w:rsidRPr="00552B0C" w14:paraId="2F0C48E5" w14:textId="77777777">
        <w:trPr>
          <w:trHeight w:val="255"/>
        </w:trPr>
        <w:tc>
          <w:tcPr>
            <w:tcW w:w="1412" w:type="pct"/>
            <w:shd w:val="clear" w:color="auto" w:fill="B8CCE4" w:themeFill="accent1" w:themeFillTint="66"/>
          </w:tcPr>
          <w:p w14:paraId="438675E3" w14:textId="77777777" w:rsidR="00091D2A" w:rsidRPr="00552B0C" w:rsidRDefault="00091D2A">
            <w:pPr>
              <w:pStyle w:val="TableText0"/>
            </w:pPr>
            <w:r w:rsidRPr="00552B0C">
              <w:t>TEAEs leading to interruption of any IMP</w:t>
            </w:r>
          </w:p>
        </w:tc>
        <w:tc>
          <w:tcPr>
            <w:tcW w:w="718" w:type="pct"/>
            <w:shd w:val="clear" w:color="auto" w:fill="B8CCE4" w:themeFill="accent1" w:themeFillTint="66"/>
          </w:tcPr>
          <w:p w14:paraId="18655484" w14:textId="77777777" w:rsidR="00091D2A" w:rsidRPr="00552B0C" w:rsidRDefault="00091D2A">
            <w:pPr>
              <w:pStyle w:val="Tabletext"/>
              <w:jc w:val="center"/>
            </w:pPr>
            <w:r w:rsidRPr="00552B0C">
              <w:t>16/370 (4.32%)</w:t>
            </w:r>
          </w:p>
        </w:tc>
        <w:tc>
          <w:tcPr>
            <w:tcW w:w="718" w:type="pct"/>
            <w:shd w:val="clear" w:color="auto" w:fill="B8CCE4" w:themeFill="accent1" w:themeFillTint="66"/>
          </w:tcPr>
          <w:p w14:paraId="026817A3" w14:textId="77777777" w:rsidR="00091D2A" w:rsidRPr="00552B0C" w:rsidRDefault="00091D2A">
            <w:pPr>
              <w:pStyle w:val="Tabletext"/>
              <w:jc w:val="center"/>
            </w:pPr>
            <w:r w:rsidRPr="00552B0C">
              <w:t>4/379</w:t>
            </w:r>
          </w:p>
          <w:p w14:paraId="6E5F66DC" w14:textId="77777777" w:rsidR="00091D2A" w:rsidRPr="00552B0C" w:rsidRDefault="00091D2A">
            <w:pPr>
              <w:pStyle w:val="Tabletext"/>
              <w:jc w:val="center"/>
            </w:pPr>
            <w:r w:rsidRPr="00552B0C">
              <w:t>(1.06%)</w:t>
            </w:r>
          </w:p>
        </w:tc>
        <w:tc>
          <w:tcPr>
            <w:tcW w:w="718" w:type="pct"/>
            <w:shd w:val="clear" w:color="auto" w:fill="B8CCE4" w:themeFill="accent1" w:themeFillTint="66"/>
          </w:tcPr>
          <w:p w14:paraId="5CF9EAED" w14:textId="77777777" w:rsidR="00091D2A" w:rsidRPr="00552B0C" w:rsidRDefault="00091D2A">
            <w:pPr>
              <w:pStyle w:val="Tabletext"/>
              <w:jc w:val="center"/>
              <w:rPr>
                <w:b/>
                <w:bCs/>
              </w:rPr>
            </w:pPr>
            <w:r w:rsidRPr="00552B0C">
              <w:rPr>
                <w:b/>
                <w:bCs/>
              </w:rPr>
              <w:t>4.24</w:t>
            </w:r>
          </w:p>
          <w:p w14:paraId="7AB67151" w14:textId="77777777" w:rsidR="00091D2A" w:rsidRPr="00552B0C" w:rsidRDefault="00091D2A">
            <w:pPr>
              <w:pStyle w:val="Tabletext"/>
              <w:jc w:val="center"/>
              <w:rPr>
                <w:b/>
                <w:bCs/>
              </w:rPr>
            </w:pPr>
            <w:r w:rsidRPr="00552B0C">
              <w:rPr>
                <w:b/>
                <w:bCs/>
              </w:rPr>
              <w:t>[1.40, 12.80]</w:t>
            </w:r>
          </w:p>
        </w:tc>
        <w:tc>
          <w:tcPr>
            <w:tcW w:w="718" w:type="pct"/>
            <w:shd w:val="clear" w:color="auto" w:fill="B8CCE4" w:themeFill="accent1" w:themeFillTint="66"/>
          </w:tcPr>
          <w:p w14:paraId="44262DDB" w14:textId="77777777" w:rsidR="00091D2A" w:rsidRPr="00552B0C" w:rsidRDefault="00091D2A">
            <w:pPr>
              <w:pStyle w:val="Tabletext"/>
              <w:jc w:val="center"/>
              <w:rPr>
                <w:b/>
                <w:bCs/>
              </w:rPr>
            </w:pPr>
            <w:r w:rsidRPr="00552B0C">
              <w:rPr>
                <w:b/>
                <w:bCs/>
              </w:rPr>
              <w:t>4.10</w:t>
            </w:r>
          </w:p>
          <w:p w14:paraId="07BA0719" w14:textId="77777777" w:rsidR="00091D2A" w:rsidRPr="00552B0C" w:rsidRDefault="00091D2A">
            <w:pPr>
              <w:pStyle w:val="Tabletext"/>
              <w:jc w:val="center"/>
              <w:rPr>
                <w:b/>
                <w:bCs/>
              </w:rPr>
            </w:pPr>
            <w:r w:rsidRPr="00552B0C">
              <w:rPr>
                <w:b/>
                <w:bCs/>
              </w:rPr>
              <w:t>[1.38, 12.14]</w:t>
            </w:r>
          </w:p>
        </w:tc>
        <w:tc>
          <w:tcPr>
            <w:tcW w:w="716" w:type="pct"/>
            <w:shd w:val="clear" w:color="auto" w:fill="B8CCE4" w:themeFill="accent1" w:themeFillTint="66"/>
          </w:tcPr>
          <w:p w14:paraId="06AF0A13" w14:textId="77777777" w:rsidR="00091D2A" w:rsidRPr="00552B0C" w:rsidRDefault="00091D2A">
            <w:pPr>
              <w:pStyle w:val="Tabletext"/>
              <w:jc w:val="center"/>
              <w:rPr>
                <w:b/>
                <w:bCs/>
              </w:rPr>
            </w:pPr>
            <w:r w:rsidRPr="00552B0C">
              <w:rPr>
                <w:b/>
                <w:bCs/>
              </w:rPr>
              <w:t>0.03</w:t>
            </w:r>
          </w:p>
          <w:p w14:paraId="04223307" w14:textId="77777777" w:rsidR="00091D2A" w:rsidRPr="00552B0C" w:rsidRDefault="00091D2A">
            <w:pPr>
              <w:pStyle w:val="Tabletext"/>
              <w:jc w:val="center"/>
              <w:rPr>
                <w:b/>
                <w:bCs/>
              </w:rPr>
            </w:pPr>
            <w:r w:rsidRPr="00552B0C">
              <w:rPr>
                <w:b/>
                <w:bCs/>
              </w:rPr>
              <w:t>[0.01, 0.06]</w:t>
            </w:r>
          </w:p>
        </w:tc>
      </w:tr>
      <w:tr w:rsidR="00091D2A" w:rsidRPr="00552B0C" w14:paraId="7BC58167" w14:textId="77777777">
        <w:trPr>
          <w:trHeight w:val="255"/>
        </w:trPr>
        <w:tc>
          <w:tcPr>
            <w:tcW w:w="1412" w:type="pct"/>
            <w:shd w:val="clear" w:color="auto" w:fill="B8CCE4" w:themeFill="accent1" w:themeFillTint="66"/>
          </w:tcPr>
          <w:p w14:paraId="05553942" w14:textId="77777777" w:rsidR="00091D2A" w:rsidRPr="00552B0C" w:rsidRDefault="00091D2A">
            <w:pPr>
              <w:pStyle w:val="TableText0"/>
            </w:pPr>
            <w:r w:rsidRPr="00552B0C">
              <w:t>TEAEs leading to interruption of nal-IRI</w:t>
            </w:r>
          </w:p>
        </w:tc>
        <w:tc>
          <w:tcPr>
            <w:tcW w:w="718" w:type="pct"/>
            <w:shd w:val="clear" w:color="auto" w:fill="B8CCE4" w:themeFill="accent1" w:themeFillTint="66"/>
          </w:tcPr>
          <w:p w14:paraId="31825811" w14:textId="77777777" w:rsidR="00091D2A" w:rsidRPr="00552B0C" w:rsidRDefault="00091D2A">
            <w:pPr>
              <w:pStyle w:val="Tabletext"/>
              <w:jc w:val="center"/>
            </w:pPr>
            <w:r w:rsidRPr="00552B0C">
              <w:t>7/370</w:t>
            </w:r>
          </w:p>
          <w:p w14:paraId="70795BC4" w14:textId="77777777" w:rsidR="00091D2A" w:rsidRPr="00552B0C" w:rsidRDefault="00091D2A">
            <w:pPr>
              <w:pStyle w:val="Tabletext"/>
              <w:jc w:val="center"/>
            </w:pPr>
            <w:r w:rsidRPr="00552B0C">
              <w:t>(1.89%)</w:t>
            </w:r>
          </w:p>
        </w:tc>
        <w:tc>
          <w:tcPr>
            <w:tcW w:w="718" w:type="pct"/>
            <w:shd w:val="clear" w:color="auto" w:fill="B8CCE4" w:themeFill="accent1" w:themeFillTint="66"/>
          </w:tcPr>
          <w:p w14:paraId="7AC25500" w14:textId="77777777" w:rsidR="00091D2A" w:rsidRPr="00552B0C" w:rsidRDefault="00091D2A">
            <w:pPr>
              <w:pStyle w:val="Tabletext"/>
              <w:jc w:val="center"/>
            </w:pPr>
            <w:r w:rsidRPr="00552B0C">
              <w:t>NA</w:t>
            </w:r>
          </w:p>
        </w:tc>
        <w:tc>
          <w:tcPr>
            <w:tcW w:w="718" w:type="pct"/>
            <w:shd w:val="clear" w:color="auto" w:fill="B8CCE4" w:themeFill="accent1" w:themeFillTint="66"/>
          </w:tcPr>
          <w:p w14:paraId="0C43E94C" w14:textId="77777777" w:rsidR="00091D2A" w:rsidRPr="00552B0C" w:rsidRDefault="00091D2A">
            <w:pPr>
              <w:pStyle w:val="Tabletext"/>
              <w:jc w:val="center"/>
            </w:pPr>
            <w:r w:rsidRPr="00552B0C">
              <w:t>NE</w:t>
            </w:r>
          </w:p>
        </w:tc>
        <w:tc>
          <w:tcPr>
            <w:tcW w:w="718" w:type="pct"/>
            <w:shd w:val="clear" w:color="auto" w:fill="B8CCE4" w:themeFill="accent1" w:themeFillTint="66"/>
          </w:tcPr>
          <w:p w14:paraId="2459CBAC" w14:textId="77777777" w:rsidR="00091D2A" w:rsidRPr="00552B0C" w:rsidRDefault="00091D2A">
            <w:pPr>
              <w:pStyle w:val="Tabletext"/>
              <w:jc w:val="center"/>
            </w:pPr>
            <w:r w:rsidRPr="00552B0C">
              <w:t>NE</w:t>
            </w:r>
          </w:p>
        </w:tc>
        <w:tc>
          <w:tcPr>
            <w:tcW w:w="716" w:type="pct"/>
            <w:shd w:val="clear" w:color="auto" w:fill="B8CCE4" w:themeFill="accent1" w:themeFillTint="66"/>
          </w:tcPr>
          <w:p w14:paraId="23E74EC4" w14:textId="77777777" w:rsidR="00091D2A" w:rsidRPr="00552B0C" w:rsidRDefault="00091D2A">
            <w:pPr>
              <w:pStyle w:val="Tabletext"/>
              <w:jc w:val="center"/>
            </w:pPr>
            <w:r w:rsidRPr="00552B0C">
              <w:t>NE</w:t>
            </w:r>
          </w:p>
        </w:tc>
      </w:tr>
      <w:tr w:rsidR="00091D2A" w:rsidRPr="00552B0C" w14:paraId="1479203C" w14:textId="77777777">
        <w:trPr>
          <w:trHeight w:val="255"/>
        </w:trPr>
        <w:tc>
          <w:tcPr>
            <w:tcW w:w="1412" w:type="pct"/>
            <w:shd w:val="clear" w:color="auto" w:fill="B8CCE4" w:themeFill="accent1" w:themeFillTint="66"/>
          </w:tcPr>
          <w:p w14:paraId="63024234" w14:textId="77777777" w:rsidR="00091D2A" w:rsidRPr="00552B0C" w:rsidRDefault="00091D2A">
            <w:pPr>
              <w:pStyle w:val="TableText0"/>
            </w:pPr>
            <w:r w:rsidRPr="00552B0C">
              <w:t>TEAEs leading to death</w:t>
            </w:r>
          </w:p>
        </w:tc>
        <w:tc>
          <w:tcPr>
            <w:tcW w:w="718" w:type="pct"/>
            <w:shd w:val="clear" w:color="auto" w:fill="B8CCE4" w:themeFill="accent1" w:themeFillTint="66"/>
          </w:tcPr>
          <w:p w14:paraId="68B2B368" w14:textId="77777777" w:rsidR="00091D2A" w:rsidRPr="00552B0C" w:rsidRDefault="00091D2A">
            <w:pPr>
              <w:pStyle w:val="Tabletext"/>
              <w:jc w:val="center"/>
            </w:pPr>
            <w:r w:rsidRPr="00552B0C">
              <w:t>22/370 (5.95%)</w:t>
            </w:r>
          </w:p>
        </w:tc>
        <w:tc>
          <w:tcPr>
            <w:tcW w:w="718" w:type="pct"/>
            <w:shd w:val="clear" w:color="auto" w:fill="B8CCE4" w:themeFill="accent1" w:themeFillTint="66"/>
          </w:tcPr>
          <w:p w14:paraId="2A9999EA" w14:textId="77777777" w:rsidR="00091D2A" w:rsidRPr="00552B0C" w:rsidRDefault="00091D2A">
            <w:pPr>
              <w:pStyle w:val="Tabletext"/>
              <w:jc w:val="center"/>
            </w:pPr>
            <w:r w:rsidRPr="00552B0C">
              <w:t>23/379 (6.07%)</w:t>
            </w:r>
          </w:p>
        </w:tc>
        <w:tc>
          <w:tcPr>
            <w:tcW w:w="718" w:type="pct"/>
            <w:shd w:val="clear" w:color="auto" w:fill="B8CCE4" w:themeFill="accent1" w:themeFillTint="66"/>
          </w:tcPr>
          <w:p w14:paraId="61B26685" w14:textId="77777777" w:rsidR="00091D2A" w:rsidRPr="00552B0C" w:rsidRDefault="00091D2A">
            <w:pPr>
              <w:pStyle w:val="Tabletext"/>
              <w:jc w:val="center"/>
            </w:pPr>
            <w:r w:rsidRPr="00552B0C">
              <w:t>0.98</w:t>
            </w:r>
          </w:p>
          <w:p w14:paraId="1413E538" w14:textId="77777777" w:rsidR="00091D2A" w:rsidRPr="00552B0C" w:rsidRDefault="00091D2A">
            <w:pPr>
              <w:pStyle w:val="Tabletext"/>
              <w:jc w:val="center"/>
            </w:pPr>
            <w:r w:rsidRPr="00552B0C">
              <w:t>[0.54, 1.79]</w:t>
            </w:r>
          </w:p>
        </w:tc>
        <w:tc>
          <w:tcPr>
            <w:tcW w:w="718" w:type="pct"/>
            <w:shd w:val="clear" w:color="auto" w:fill="B8CCE4" w:themeFill="accent1" w:themeFillTint="66"/>
          </w:tcPr>
          <w:p w14:paraId="5A4D5435" w14:textId="77777777" w:rsidR="00091D2A" w:rsidRPr="00552B0C" w:rsidRDefault="00091D2A">
            <w:pPr>
              <w:pStyle w:val="Tabletext"/>
              <w:jc w:val="center"/>
            </w:pPr>
            <w:r w:rsidRPr="00552B0C">
              <w:t>0.98</w:t>
            </w:r>
          </w:p>
          <w:p w14:paraId="63A45E4D" w14:textId="77777777" w:rsidR="00091D2A" w:rsidRPr="00552B0C" w:rsidRDefault="00091D2A">
            <w:pPr>
              <w:pStyle w:val="Tabletext"/>
              <w:jc w:val="center"/>
            </w:pPr>
            <w:r w:rsidRPr="00552B0C">
              <w:t>[0.56, 1.73]</w:t>
            </w:r>
          </w:p>
        </w:tc>
        <w:tc>
          <w:tcPr>
            <w:tcW w:w="716" w:type="pct"/>
            <w:shd w:val="clear" w:color="auto" w:fill="B8CCE4" w:themeFill="accent1" w:themeFillTint="66"/>
          </w:tcPr>
          <w:p w14:paraId="33C2A323" w14:textId="77777777" w:rsidR="00091D2A" w:rsidRPr="00552B0C" w:rsidRDefault="00091D2A">
            <w:pPr>
              <w:pStyle w:val="Tabletext"/>
              <w:jc w:val="center"/>
            </w:pPr>
            <w:r w:rsidRPr="00552B0C">
              <w:t>0.00</w:t>
            </w:r>
          </w:p>
          <w:p w14:paraId="4CF95686" w14:textId="77777777" w:rsidR="00091D2A" w:rsidRPr="00552B0C" w:rsidRDefault="00091D2A">
            <w:pPr>
              <w:pStyle w:val="Tabletext"/>
              <w:jc w:val="center"/>
            </w:pPr>
            <w:r w:rsidRPr="00552B0C">
              <w:t>[-0.04, 0.03]</w:t>
            </w:r>
          </w:p>
        </w:tc>
      </w:tr>
      <w:tr w:rsidR="00091D2A" w:rsidRPr="00552B0C" w14:paraId="09F5DC3C" w14:textId="77777777">
        <w:trPr>
          <w:trHeight w:val="242"/>
        </w:trPr>
        <w:tc>
          <w:tcPr>
            <w:tcW w:w="5000" w:type="pct"/>
            <w:gridSpan w:val="6"/>
            <w:shd w:val="clear" w:color="auto" w:fill="B8CCE4" w:themeFill="accent1" w:themeFillTint="66"/>
          </w:tcPr>
          <w:p w14:paraId="05D65134" w14:textId="77777777" w:rsidR="00091D2A" w:rsidRPr="00552B0C" w:rsidRDefault="00091D2A">
            <w:pPr>
              <w:pStyle w:val="In-tableHeading"/>
            </w:pPr>
            <w:r w:rsidRPr="00552B0C">
              <w:t>Drug-related TEAEs</w:t>
            </w:r>
          </w:p>
        </w:tc>
      </w:tr>
      <w:tr w:rsidR="00091D2A" w:rsidRPr="00552B0C" w14:paraId="2CA2D5CD" w14:textId="77777777">
        <w:trPr>
          <w:trHeight w:val="255"/>
        </w:trPr>
        <w:tc>
          <w:tcPr>
            <w:tcW w:w="1412" w:type="pct"/>
            <w:shd w:val="clear" w:color="auto" w:fill="B8CCE4" w:themeFill="accent1" w:themeFillTint="66"/>
          </w:tcPr>
          <w:p w14:paraId="380EA0F2" w14:textId="77777777" w:rsidR="00091D2A" w:rsidRPr="00552B0C" w:rsidRDefault="00091D2A">
            <w:pPr>
              <w:pStyle w:val="TableText0"/>
            </w:pPr>
            <w:r w:rsidRPr="00552B0C">
              <w:t>Any Drug-related TEAEs</w:t>
            </w:r>
          </w:p>
        </w:tc>
        <w:tc>
          <w:tcPr>
            <w:tcW w:w="718" w:type="pct"/>
            <w:shd w:val="clear" w:color="auto" w:fill="B8CCE4" w:themeFill="accent1" w:themeFillTint="66"/>
          </w:tcPr>
          <w:p w14:paraId="244131C4" w14:textId="77777777" w:rsidR="00091D2A" w:rsidRPr="00552B0C" w:rsidRDefault="00091D2A">
            <w:pPr>
              <w:pStyle w:val="Tabletext"/>
              <w:jc w:val="center"/>
            </w:pPr>
            <w:r w:rsidRPr="00552B0C">
              <w:t>352/370 (95.14%)</w:t>
            </w:r>
          </w:p>
        </w:tc>
        <w:tc>
          <w:tcPr>
            <w:tcW w:w="718" w:type="pct"/>
            <w:shd w:val="clear" w:color="auto" w:fill="B8CCE4" w:themeFill="accent1" w:themeFillTint="66"/>
          </w:tcPr>
          <w:p w14:paraId="741EFB79" w14:textId="77777777" w:rsidR="00091D2A" w:rsidRPr="00552B0C" w:rsidRDefault="00091D2A">
            <w:pPr>
              <w:pStyle w:val="Tabletext"/>
              <w:jc w:val="center"/>
            </w:pPr>
            <w:r w:rsidRPr="00552B0C">
              <w:t>352/379 (92.88%)</w:t>
            </w:r>
          </w:p>
        </w:tc>
        <w:tc>
          <w:tcPr>
            <w:tcW w:w="718" w:type="pct"/>
            <w:shd w:val="clear" w:color="auto" w:fill="B8CCE4" w:themeFill="accent1" w:themeFillTint="66"/>
          </w:tcPr>
          <w:p w14:paraId="63A257E7" w14:textId="77777777" w:rsidR="00091D2A" w:rsidRPr="00552B0C" w:rsidRDefault="00091D2A">
            <w:pPr>
              <w:pStyle w:val="Tabletext"/>
              <w:jc w:val="center"/>
            </w:pPr>
            <w:r w:rsidRPr="00552B0C">
              <w:t>1.50</w:t>
            </w:r>
          </w:p>
          <w:p w14:paraId="66131800" w14:textId="77777777" w:rsidR="00091D2A" w:rsidRPr="00552B0C" w:rsidRDefault="00091D2A">
            <w:pPr>
              <w:pStyle w:val="Tabletext"/>
              <w:jc w:val="center"/>
            </w:pPr>
            <w:r w:rsidRPr="00552B0C">
              <w:t>[0.81, 2.77]</w:t>
            </w:r>
          </w:p>
        </w:tc>
        <w:tc>
          <w:tcPr>
            <w:tcW w:w="718" w:type="pct"/>
            <w:shd w:val="clear" w:color="auto" w:fill="B8CCE4" w:themeFill="accent1" w:themeFillTint="66"/>
          </w:tcPr>
          <w:p w14:paraId="058CA519" w14:textId="77777777" w:rsidR="00091D2A" w:rsidRPr="00552B0C" w:rsidRDefault="00091D2A">
            <w:pPr>
              <w:pStyle w:val="Tabletext"/>
              <w:jc w:val="center"/>
            </w:pPr>
            <w:r w:rsidRPr="00552B0C">
              <w:t>1.02</w:t>
            </w:r>
          </w:p>
          <w:p w14:paraId="7FA67589" w14:textId="77777777" w:rsidR="00091D2A" w:rsidRPr="00552B0C" w:rsidRDefault="00091D2A">
            <w:pPr>
              <w:pStyle w:val="Tabletext"/>
              <w:jc w:val="center"/>
            </w:pPr>
            <w:r w:rsidRPr="00552B0C">
              <w:t>[0.99, 1.06]</w:t>
            </w:r>
          </w:p>
        </w:tc>
        <w:tc>
          <w:tcPr>
            <w:tcW w:w="716" w:type="pct"/>
            <w:shd w:val="clear" w:color="auto" w:fill="B8CCE4" w:themeFill="accent1" w:themeFillTint="66"/>
          </w:tcPr>
          <w:p w14:paraId="2FF81796" w14:textId="77777777" w:rsidR="00091D2A" w:rsidRPr="00552B0C" w:rsidRDefault="00091D2A">
            <w:pPr>
              <w:pStyle w:val="Tabletext"/>
              <w:jc w:val="center"/>
            </w:pPr>
            <w:r w:rsidRPr="00552B0C">
              <w:t>0.02</w:t>
            </w:r>
          </w:p>
          <w:p w14:paraId="5BAD910F" w14:textId="77777777" w:rsidR="00091D2A" w:rsidRPr="00552B0C" w:rsidRDefault="00091D2A">
            <w:pPr>
              <w:pStyle w:val="Tabletext"/>
              <w:jc w:val="center"/>
            </w:pPr>
            <w:r w:rsidRPr="00552B0C">
              <w:t>[-0.01, 0.06]</w:t>
            </w:r>
          </w:p>
        </w:tc>
      </w:tr>
      <w:tr w:rsidR="00091D2A" w:rsidRPr="00552B0C" w14:paraId="12E05B5A" w14:textId="77777777">
        <w:trPr>
          <w:trHeight w:val="255"/>
        </w:trPr>
        <w:tc>
          <w:tcPr>
            <w:tcW w:w="1412" w:type="pct"/>
            <w:shd w:val="clear" w:color="auto" w:fill="B8CCE4" w:themeFill="accent1" w:themeFillTint="66"/>
          </w:tcPr>
          <w:p w14:paraId="7DF0DBC8" w14:textId="77777777" w:rsidR="00091D2A" w:rsidRPr="00552B0C" w:rsidRDefault="00091D2A">
            <w:pPr>
              <w:pStyle w:val="TableText0"/>
            </w:pPr>
            <w:r w:rsidRPr="00552B0C">
              <w:t>Drug-related Grade ≥ 3 TEAEs</w:t>
            </w:r>
          </w:p>
        </w:tc>
        <w:tc>
          <w:tcPr>
            <w:tcW w:w="718" w:type="pct"/>
            <w:shd w:val="clear" w:color="auto" w:fill="B8CCE4" w:themeFill="accent1" w:themeFillTint="66"/>
          </w:tcPr>
          <w:p w14:paraId="1C2C7E58" w14:textId="77777777" w:rsidR="00091D2A" w:rsidRPr="00552B0C" w:rsidRDefault="00091D2A">
            <w:pPr>
              <w:pStyle w:val="Tabletext"/>
              <w:jc w:val="center"/>
            </w:pPr>
            <w:r w:rsidRPr="00552B0C">
              <w:t>262/370 (70.81%)</w:t>
            </w:r>
          </w:p>
        </w:tc>
        <w:tc>
          <w:tcPr>
            <w:tcW w:w="718" w:type="pct"/>
            <w:shd w:val="clear" w:color="auto" w:fill="B8CCE4" w:themeFill="accent1" w:themeFillTint="66"/>
          </w:tcPr>
          <w:p w14:paraId="71F7C504" w14:textId="77777777" w:rsidR="00091D2A" w:rsidRPr="00552B0C" w:rsidRDefault="00091D2A">
            <w:pPr>
              <w:pStyle w:val="Tabletext"/>
              <w:jc w:val="center"/>
            </w:pPr>
            <w:r w:rsidRPr="00552B0C">
              <w:t>258/379 (68.07%)</w:t>
            </w:r>
          </w:p>
        </w:tc>
        <w:tc>
          <w:tcPr>
            <w:tcW w:w="718" w:type="pct"/>
            <w:shd w:val="clear" w:color="auto" w:fill="B8CCE4" w:themeFill="accent1" w:themeFillTint="66"/>
          </w:tcPr>
          <w:p w14:paraId="494E1C7E" w14:textId="77777777" w:rsidR="00091D2A" w:rsidRPr="00552B0C" w:rsidRDefault="00091D2A">
            <w:pPr>
              <w:pStyle w:val="Tabletext"/>
              <w:jc w:val="center"/>
            </w:pPr>
            <w:r w:rsidRPr="00552B0C">
              <w:t>1.14</w:t>
            </w:r>
          </w:p>
          <w:p w14:paraId="54A7F94B" w14:textId="77777777" w:rsidR="00091D2A" w:rsidRPr="00552B0C" w:rsidRDefault="00091D2A">
            <w:pPr>
              <w:pStyle w:val="Tabletext"/>
              <w:jc w:val="center"/>
            </w:pPr>
            <w:r w:rsidRPr="00552B0C">
              <w:t>[0.83, 1.55]</w:t>
            </w:r>
          </w:p>
        </w:tc>
        <w:tc>
          <w:tcPr>
            <w:tcW w:w="718" w:type="pct"/>
            <w:shd w:val="clear" w:color="auto" w:fill="B8CCE4" w:themeFill="accent1" w:themeFillTint="66"/>
          </w:tcPr>
          <w:p w14:paraId="4B13A530" w14:textId="77777777" w:rsidR="00091D2A" w:rsidRPr="00552B0C" w:rsidRDefault="00091D2A">
            <w:pPr>
              <w:pStyle w:val="Tabletext"/>
              <w:jc w:val="center"/>
            </w:pPr>
            <w:r w:rsidRPr="00552B0C">
              <w:t>1.04</w:t>
            </w:r>
          </w:p>
          <w:p w14:paraId="4BB4EE57" w14:textId="77777777" w:rsidR="00091D2A" w:rsidRPr="00552B0C" w:rsidRDefault="00091D2A">
            <w:pPr>
              <w:pStyle w:val="Tabletext"/>
              <w:jc w:val="center"/>
            </w:pPr>
            <w:r w:rsidRPr="00552B0C">
              <w:t>[0.95, 1.14]</w:t>
            </w:r>
          </w:p>
        </w:tc>
        <w:tc>
          <w:tcPr>
            <w:tcW w:w="716" w:type="pct"/>
            <w:shd w:val="clear" w:color="auto" w:fill="B8CCE4" w:themeFill="accent1" w:themeFillTint="66"/>
          </w:tcPr>
          <w:p w14:paraId="77285984" w14:textId="77777777" w:rsidR="00091D2A" w:rsidRPr="00552B0C" w:rsidRDefault="00091D2A">
            <w:pPr>
              <w:pStyle w:val="Tabletext"/>
              <w:jc w:val="center"/>
            </w:pPr>
            <w:r w:rsidRPr="00552B0C">
              <w:t>0.03</w:t>
            </w:r>
          </w:p>
          <w:p w14:paraId="61FF1BF4" w14:textId="77777777" w:rsidR="00091D2A" w:rsidRPr="00552B0C" w:rsidRDefault="00091D2A">
            <w:pPr>
              <w:pStyle w:val="Tabletext"/>
              <w:jc w:val="center"/>
            </w:pPr>
            <w:r w:rsidRPr="00552B0C">
              <w:t>[-0.04, 0.09]</w:t>
            </w:r>
          </w:p>
        </w:tc>
      </w:tr>
      <w:tr w:rsidR="00091D2A" w:rsidRPr="00552B0C" w14:paraId="35DBC610" w14:textId="77777777">
        <w:trPr>
          <w:trHeight w:val="255"/>
        </w:trPr>
        <w:tc>
          <w:tcPr>
            <w:tcW w:w="1412" w:type="pct"/>
            <w:shd w:val="clear" w:color="auto" w:fill="B8CCE4" w:themeFill="accent1" w:themeFillTint="66"/>
          </w:tcPr>
          <w:p w14:paraId="441D3AE6" w14:textId="77777777" w:rsidR="00091D2A" w:rsidRPr="00552B0C" w:rsidRDefault="00091D2A">
            <w:pPr>
              <w:pStyle w:val="TableText0"/>
            </w:pPr>
            <w:r w:rsidRPr="00552B0C">
              <w:t>Drug-related SAEs</w:t>
            </w:r>
          </w:p>
        </w:tc>
        <w:tc>
          <w:tcPr>
            <w:tcW w:w="718" w:type="pct"/>
            <w:shd w:val="clear" w:color="auto" w:fill="B8CCE4" w:themeFill="accent1" w:themeFillTint="66"/>
          </w:tcPr>
          <w:p w14:paraId="30697407" w14:textId="77777777" w:rsidR="00091D2A" w:rsidRPr="00552B0C" w:rsidRDefault="00091D2A">
            <w:pPr>
              <w:pStyle w:val="Tabletext"/>
              <w:jc w:val="center"/>
            </w:pPr>
            <w:r w:rsidRPr="00552B0C">
              <w:t>98/370 (26.49%)</w:t>
            </w:r>
          </w:p>
        </w:tc>
        <w:tc>
          <w:tcPr>
            <w:tcW w:w="718" w:type="pct"/>
            <w:shd w:val="clear" w:color="auto" w:fill="B8CCE4" w:themeFill="accent1" w:themeFillTint="66"/>
          </w:tcPr>
          <w:p w14:paraId="58950EA7" w14:textId="77777777" w:rsidR="00091D2A" w:rsidRPr="00552B0C" w:rsidRDefault="00091D2A">
            <w:pPr>
              <w:pStyle w:val="Tabletext"/>
              <w:jc w:val="center"/>
            </w:pPr>
            <w:r w:rsidRPr="00552B0C">
              <w:t>72/379 (19.00%)</w:t>
            </w:r>
          </w:p>
        </w:tc>
        <w:tc>
          <w:tcPr>
            <w:tcW w:w="718" w:type="pct"/>
            <w:shd w:val="clear" w:color="auto" w:fill="B8CCE4" w:themeFill="accent1" w:themeFillTint="66"/>
          </w:tcPr>
          <w:p w14:paraId="695FFBE6" w14:textId="77777777" w:rsidR="00091D2A" w:rsidRPr="00552B0C" w:rsidRDefault="00091D2A">
            <w:pPr>
              <w:pStyle w:val="Tabletext"/>
              <w:jc w:val="center"/>
              <w:rPr>
                <w:b/>
                <w:bCs/>
              </w:rPr>
            </w:pPr>
            <w:r w:rsidRPr="00552B0C">
              <w:rPr>
                <w:b/>
                <w:bCs/>
              </w:rPr>
              <w:t>1.54</w:t>
            </w:r>
          </w:p>
          <w:p w14:paraId="224FA197" w14:textId="77777777" w:rsidR="00091D2A" w:rsidRPr="00552B0C" w:rsidRDefault="00091D2A">
            <w:pPr>
              <w:pStyle w:val="Tabletext"/>
              <w:jc w:val="center"/>
              <w:rPr>
                <w:b/>
                <w:bCs/>
              </w:rPr>
            </w:pPr>
            <w:r w:rsidRPr="00552B0C">
              <w:rPr>
                <w:b/>
                <w:bCs/>
              </w:rPr>
              <w:t>[1.09, 2.17]</w:t>
            </w:r>
          </w:p>
        </w:tc>
        <w:tc>
          <w:tcPr>
            <w:tcW w:w="718" w:type="pct"/>
            <w:shd w:val="clear" w:color="auto" w:fill="B8CCE4" w:themeFill="accent1" w:themeFillTint="66"/>
          </w:tcPr>
          <w:p w14:paraId="63F6DB12" w14:textId="77777777" w:rsidR="00091D2A" w:rsidRPr="00552B0C" w:rsidRDefault="00091D2A">
            <w:pPr>
              <w:pStyle w:val="Tabletext"/>
              <w:jc w:val="center"/>
              <w:rPr>
                <w:b/>
                <w:bCs/>
              </w:rPr>
            </w:pPr>
            <w:r w:rsidRPr="00552B0C">
              <w:rPr>
                <w:b/>
                <w:bCs/>
              </w:rPr>
              <w:t>1.39</w:t>
            </w:r>
          </w:p>
          <w:p w14:paraId="103F2ABE" w14:textId="77777777" w:rsidR="00091D2A" w:rsidRPr="00552B0C" w:rsidRDefault="00091D2A">
            <w:pPr>
              <w:pStyle w:val="Tabletext"/>
              <w:jc w:val="center"/>
              <w:rPr>
                <w:b/>
                <w:bCs/>
              </w:rPr>
            </w:pPr>
            <w:r w:rsidRPr="00552B0C">
              <w:rPr>
                <w:b/>
                <w:bCs/>
              </w:rPr>
              <w:t>[1.07, 1.82]</w:t>
            </w:r>
          </w:p>
        </w:tc>
        <w:tc>
          <w:tcPr>
            <w:tcW w:w="716" w:type="pct"/>
            <w:shd w:val="clear" w:color="auto" w:fill="B8CCE4" w:themeFill="accent1" w:themeFillTint="66"/>
          </w:tcPr>
          <w:p w14:paraId="62576F66" w14:textId="77777777" w:rsidR="00091D2A" w:rsidRPr="00552B0C" w:rsidRDefault="00091D2A">
            <w:pPr>
              <w:pStyle w:val="Tabletext"/>
              <w:jc w:val="center"/>
              <w:rPr>
                <w:b/>
                <w:bCs/>
              </w:rPr>
            </w:pPr>
            <w:r w:rsidRPr="00552B0C">
              <w:rPr>
                <w:b/>
                <w:bCs/>
              </w:rPr>
              <w:t>0.07</w:t>
            </w:r>
          </w:p>
          <w:p w14:paraId="4F59749F" w14:textId="77777777" w:rsidR="00091D2A" w:rsidRPr="00552B0C" w:rsidRDefault="00091D2A">
            <w:pPr>
              <w:pStyle w:val="Tabletext"/>
              <w:jc w:val="center"/>
              <w:rPr>
                <w:b/>
                <w:bCs/>
              </w:rPr>
            </w:pPr>
            <w:r w:rsidRPr="00552B0C">
              <w:rPr>
                <w:b/>
                <w:bCs/>
              </w:rPr>
              <w:t>[0.01, 0.13]</w:t>
            </w:r>
          </w:p>
        </w:tc>
      </w:tr>
      <w:tr w:rsidR="00091D2A" w:rsidRPr="00552B0C" w14:paraId="7048C8C0" w14:textId="77777777">
        <w:trPr>
          <w:trHeight w:val="242"/>
        </w:trPr>
        <w:tc>
          <w:tcPr>
            <w:tcW w:w="1412" w:type="pct"/>
            <w:shd w:val="clear" w:color="auto" w:fill="B8CCE4" w:themeFill="accent1" w:themeFillTint="66"/>
          </w:tcPr>
          <w:p w14:paraId="4B4A2688" w14:textId="77777777" w:rsidR="00091D2A" w:rsidRPr="00552B0C" w:rsidRDefault="00091D2A">
            <w:pPr>
              <w:pStyle w:val="TableText0"/>
            </w:pPr>
            <w:r w:rsidRPr="00552B0C">
              <w:t>Drug-related TEAEs leading to treatment discontinuation</w:t>
            </w:r>
          </w:p>
        </w:tc>
        <w:tc>
          <w:tcPr>
            <w:tcW w:w="718" w:type="pct"/>
            <w:shd w:val="clear" w:color="auto" w:fill="B8CCE4" w:themeFill="accent1" w:themeFillTint="66"/>
          </w:tcPr>
          <w:p w14:paraId="76B51D9F" w14:textId="77777777" w:rsidR="00091D2A" w:rsidRPr="00552B0C" w:rsidRDefault="00091D2A">
            <w:pPr>
              <w:pStyle w:val="Tabletext"/>
              <w:jc w:val="center"/>
            </w:pPr>
            <w:r w:rsidRPr="00552B0C">
              <w:t>94/370 (25.41%)</w:t>
            </w:r>
          </w:p>
        </w:tc>
        <w:tc>
          <w:tcPr>
            <w:tcW w:w="718" w:type="pct"/>
            <w:shd w:val="clear" w:color="auto" w:fill="B8CCE4" w:themeFill="accent1" w:themeFillTint="66"/>
          </w:tcPr>
          <w:p w14:paraId="1D3E6462" w14:textId="77777777" w:rsidR="00091D2A" w:rsidRPr="00552B0C" w:rsidRDefault="00091D2A">
            <w:pPr>
              <w:pStyle w:val="Tabletext"/>
              <w:jc w:val="center"/>
            </w:pPr>
            <w:r w:rsidRPr="00552B0C">
              <w:t>88/379 (23.22%)</w:t>
            </w:r>
          </w:p>
        </w:tc>
        <w:tc>
          <w:tcPr>
            <w:tcW w:w="718" w:type="pct"/>
            <w:shd w:val="clear" w:color="auto" w:fill="B8CCE4" w:themeFill="accent1" w:themeFillTint="66"/>
          </w:tcPr>
          <w:p w14:paraId="7D9DD4BF" w14:textId="77777777" w:rsidR="00091D2A" w:rsidRPr="00552B0C" w:rsidRDefault="00091D2A">
            <w:pPr>
              <w:pStyle w:val="Tabletext"/>
              <w:jc w:val="center"/>
            </w:pPr>
            <w:r w:rsidRPr="00552B0C">
              <w:t>1.13</w:t>
            </w:r>
          </w:p>
          <w:p w14:paraId="2AF798BA" w14:textId="77777777" w:rsidR="00091D2A" w:rsidRPr="00552B0C" w:rsidRDefault="00091D2A">
            <w:pPr>
              <w:pStyle w:val="Tabletext"/>
              <w:jc w:val="center"/>
            </w:pPr>
            <w:r w:rsidRPr="00552B0C">
              <w:t>[0.81, 1.57]</w:t>
            </w:r>
          </w:p>
        </w:tc>
        <w:tc>
          <w:tcPr>
            <w:tcW w:w="718" w:type="pct"/>
            <w:shd w:val="clear" w:color="auto" w:fill="B8CCE4" w:themeFill="accent1" w:themeFillTint="66"/>
          </w:tcPr>
          <w:p w14:paraId="77AADC6D" w14:textId="77777777" w:rsidR="00091D2A" w:rsidRPr="00552B0C" w:rsidRDefault="00091D2A">
            <w:pPr>
              <w:pStyle w:val="Tabletext"/>
              <w:jc w:val="center"/>
            </w:pPr>
            <w:r w:rsidRPr="00552B0C">
              <w:t>1.09</w:t>
            </w:r>
          </w:p>
          <w:p w14:paraId="70D73F06" w14:textId="77777777" w:rsidR="00091D2A" w:rsidRPr="00552B0C" w:rsidRDefault="00091D2A">
            <w:pPr>
              <w:pStyle w:val="Tabletext"/>
              <w:jc w:val="center"/>
            </w:pPr>
            <w:r w:rsidRPr="00552B0C">
              <w:t>[0.85, 1.41]</w:t>
            </w:r>
          </w:p>
        </w:tc>
        <w:tc>
          <w:tcPr>
            <w:tcW w:w="716" w:type="pct"/>
            <w:shd w:val="clear" w:color="auto" w:fill="B8CCE4" w:themeFill="accent1" w:themeFillTint="66"/>
          </w:tcPr>
          <w:p w14:paraId="0C99CC15" w14:textId="77777777" w:rsidR="00091D2A" w:rsidRPr="00552B0C" w:rsidRDefault="00091D2A">
            <w:pPr>
              <w:pStyle w:val="Tabletext"/>
              <w:jc w:val="center"/>
            </w:pPr>
            <w:r w:rsidRPr="00552B0C">
              <w:t>0.02</w:t>
            </w:r>
          </w:p>
          <w:p w14:paraId="033701B2" w14:textId="77777777" w:rsidR="00091D2A" w:rsidRPr="00552B0C" w:rsidRDefault="00091D2A">
            <w:pPr>
              <w:pStyle w:val="Tabletext"/>
              <w:jc w:val="center"/>
            </w:pPr>
            <w:r w:rsidRPr="00552B0C">
              <w:t>[-0.04, 0.08]</w:t>
            </w:r>
          </w:p>
        </w:tc>
      </w:tr>
      <w:tr w:rsidR="00091D2A" w:rsidRPr="00552B0C" w14:paraId="0BAC269D" w14:textId="77777777">
        <w:trPr>
          <w:trHeight w:val="50"/>
        </w:trPr>
        <w:tc>
          <w:tcPr>
            <w:tcW w:w="1412" w:type="pct"/>
            <w:shd w:val="clear" w:color="auto" w:fill="B8CCE4" w:themeFill="accent1" w:themeFillTint="66"/>
          </w:tcPr>
          <w:p w14:paraId="334A6BB5" w14:textId="77777777" w:rsidR="00091D2A" w:rsidRPr="00552B0C" w:rsidRDefault="00091D2A">
            <w:pPr>
              <w:pStyle w:val="TableText0"/>
            </w:pPr>
            <w:r w:rsidRPr="00552B0C">
              <w:t>Drug-related TEAEs leading to discontinuation of nal-IRI</w:t>
            </w:r>
          </w:p>
        </w:tc>
        <w:tc>
          <w:tcPr>
            <w:tcW w:w="718" w:type="pct"/>
            <w:shd w:val="clear" w:color="auto" w:fill="B8CCE4" w:themeFill="accent1" w:themeFillTint="66"/>
          </w:tcPr>
          <w:p w14:paraId="4912D632" w14:textId="77777777" w:rsidR="00091D2A" w:rsidRPr="00552B0C" w:rsidRDefault="00091D2A">
            <w:pPr>
              <w:pStyle w:val="Tabletext"/>
              <w:jc w:val="center"/>
            </w:pPr>
            <w:r w:rsidRPr="00552B0C">
              <w:t>40/370 (10.81%)</w:t>
            </w:r>
          </w:p>
        </w:tc>
        <w:tc>
          <w:tcPr>
            <w:tcW w:w="718" w:type="pct"/>
            <w:shd w:val="clear" w:color="auto" w:fill="B8CCE4" w:themeFill="accent1" w:themeFillTint="66"/>
          </w:tcPr>
          <w:p w14:paraId="72B01507" w14:textId="77777777" w:rsidR="00091D2A" w:rsidRPr="00552B0C" w:rsidRDefault="00091D2A">
            <w:pPr>
              <w:pStyle w:val="Tabletext"/>
              <w:jc w:val="center"/>
            </w:pPr>
            <w:r w:rsidRPr="00552B0C">
              <w:t>NA</w:t>
            </w:r>
          </w:p>
        </w:tc>
        <w:tc>
          <w:tcPr>
            <w:tcW w:w="718" w:type="pct"/>
            <w:shd w:val="clear" w:color="auto" w:fill="B8CCE4" w:themeFill="accent1" w:themeFillTint="66"/>
          </w:tcPr>
          <w:p w14:paraId="682397B7" w14:textId="77777777" w:rsidR="00091D2A" w:rsidRPr="00552B0C" w:rsidRDefault="00091D2A">
            <w:pPr>
              <w:pStyle w:val="Tabletext"/>
              <w:jc w:val="center"/>
            </w:pPr>
            <w:r w:rsidRPr="00552B0C">
              <w:t>NE</w:t>
            </w:r>
          </w:p>
        </w:tc>
        <w:tc>
          <w:tcPr>
            <w:tcW w:w="718" w:type="pct"/>
            <w:shd w:val="clear" w:color="auto" w:fill="B8CCE4" w:themeFill="accent1" w:themeFillTint="66"/>
          </w:tcPr>
          <w:p w14:paraId="38803028" w14:textId="77777777" w:rsidR="00091D2A" w:rsidRPr="00552B0C" w:rsidRDefault="00091D2A">
            <w:pPr>
              <w:pStyle w:val="Tabletext"/>
              <w:jc w:val="center"/>
            </w:pPr>
            <w:r w:rsidRPr="00552B0C">
              <w:t>NE</w:t>
            </w:r>
          </w:p>
        </w:tc>
        <w:tc>
          <w:tcPr>
            <w:tcW w:w="716" w:type="pct"/>
            <w:shd w:val="clear" w:color="auto" w:fill="B8CCE4" w:themeFill="accent1" w:themeFillTint="66"/>
          </w:tcPr>
          <w:p w14:paraId="28C43EDB" w14:textId="77777777" w:rsidR="00091D2A" w:rsidRPr="00552B0C" w:rsidRDefault="00091D2A">
            <w:pPr>
              <w:pStyle w:val="Tabletext"/>
              <w:jc w:val="center"/>
            </w:pPr>
            <w:r w:rsidRPr="00552B0C">
              <w:t>NE</w:t>
            </w:r>
          </w:p>
        </w:tc>
      </w:tr>
      <w:tr w:rsidR="00091D2A" w:rsidRPr="00552B0C" w14:paraId="4AD54ECA" w14:textId="77777777">
        <w:trPr>
          <w:trHeight w:val="255"/>
        </w:trPr>
        <w:tc>
          <w:tcPr>
            <w:tcW w:w="1412" w:type="pct"/>
            <w:shd w:val="clear" w:color="auto" w:fill="B8CCE4" w:themeFill="accent1" w:themeFillTint="66"/>
          </w:tcPr>
          <w:p w14:paraId="6651FA59" w14:textId="77777777" w:rsidR="00091D2A" w:rsidRPr="00552B0C" w:rsidRDefault="00091D2A">
            <w:pPr>
              <w:pStyle w:val="TableText0"/>
            </w:pPr>
            <w:r w:rsidRPr="00552B0C">
              <w:t>Drug-related TEAEs leading to reduction of any IMP</w:t>
            </w:r>
          </w:p>
        </w:tc>
        <w:tc>
          <w:tcPr>
            <w:tcW w:w="718" w:type="pct"/>
            <w:shd w:val="clear" w:color="auto" w:fill="B8CCE4" w:themeFill="accent1" w:themeFillTint="66"/>
          </w:tcPr>
          <w:p w14:paraId="71FE13B4" w14:textId="77777777" w:rsidR="00091D2A" w:rsidRPr="00552B0C" w:rsidRDefault="00091D2A">
            <w:pPr>
              <w:pStyle w:val="Tabletext"/>
              <w:jc w:val="center"/>
            </w:pPr>
            <w:r w:rsidRPr="00552B0C">
              <w:t>198/370 (53.51%)</w:t>
            </w:r>
          </w:p>
        </w:tc>
        <w:tc>
          <w:tcPr>
            <w:tcW w:w="718" w:type="pct"/>
            <w:shd w:val="clear" w:color="auto" w:fill="B8CCE4" w:themeFill="accent1" w:themeFillTint="66"/>
          </w:tcPr>
          <w:p w14:paraId="3B46C565" w14:textId="77777777" w:rsidR="00091D2A" w:rsidRPr="00552B0C" w:rsidRDefault="00091D2A">
            <w:pPr>
              <w:pStyle w:val="Tabletext"/>
              <w:jc w:val="center"/>
            </w:pPr>
            <w:r w:rsidRPr="00552B0C">
              <w:t>184/379 (48.55%)</w:t>
            </w:r>
          </w:p>
        </w:tc>
        <w:tc>
          <w:tcPr>
            <w:tcW w:w="718" w:type="pct"/>
            <w:shd w:val="clear" w:color="auto" w:fill="B8CCE4" w:themeFill="accent1" w:themeFillTint="66"/>
          </w:tcPr>
          <w:p w14:paraId="250F87D6" w14:textId="77777777" w:rsidR="00091D2A" w:rsidRPr="00552B0C" w:rsidRDefault="00091D2A">
            <w:pPr>
              <w:pStyle w:val="Tabletext"/>
              <w:jc w:val="center"/>
            </w:pPr>
            <w:r w:rsidRPr="00552B0C">
              <w:t>1.22</w:t>
            </w:r>
          </w:p>
          <w:p w14:paraId="5FDAF5E8" w14:textId="77777777" w:rsidR="00091D2A" w:rsidRPr="00552B0C" w:rsidRDefault="00091D2A">
            <w:pPr>
              <w:pStyle w:val="Tabletext"/>
              <w:jc w:val="center"/>
            </w:pPr>
            <w:r w:rsidRPr="00552B0C">
              <w:t>[0.92, 1.63]</w:t>
            </w:r>
          </w:p>
        </w:tc>
        <w:tc>
          <w:tcPr>
            <w:tcW w:w="718" w:type="pct"/>
            <w:shd w:val="clear" w:color="auto" w:fill="B8CCE4" w:themeFill="accent1" w:themeFillTint="66"/>
          </w:tcPr>
          <w:p w14:paraId="6E18A4F6" w14:textId="77777777" w:rsidR="00091D2A" w:rsidRPr="00552B0C" w:rsidRDefault="00091D2A">
            <w:pPr>
              <w:pStyle w:val="Tabletext"/>
              <w:jc w:val="center"/>
            </w:pPr>
            <w:r w:rsidRPr="00552B0C">
              <w:t>1.10</w:t>
            </w:r>
          </w:p>
          <w:p w14:paraId="427D6FD9" w14:textId="77777777" w:rsidR="00091D2A" w:rsidRPr="00552B0C" w:rsidRDefault="00091D2A">
            <w:pPr>
              <w:pStyle w:val="Tabletext"/>
              <w:jc w:val="center"/>
            </w:pPr>
            <w:r w:rsidRPr="00552B0C">
              <w:t>[0.96, 1.27]</w:t>
            </w:r>
          </w:p>
        </w:tc>
        <w:tc>
          <w:tcPr>
            <w:tcW w:w="716" w:type="pct"/>
            <w:shd w:val="clear" w:color="auto" w:fill="B8CCE4" w:themeFill="accent1" w:themeFillTint="66"/>
          </w:tcPr>
          <w:p w14:paraId="6138A2AF" w14:textId="77777777" w:rsidR="00091D2A" w:rsidRPr="00552B0C" w:rsidRDefault="00091D2A">
            <w:pPr>
              <w:pStyle w:val="Tabletext"/>
              <w:jc w:val="center"/>
            </w:pPr>
            <w:r w:rsidRPr="00552B0C">
              <w:t>0.05</w:t>
            </w:r>
          </w:p>
          <w:p w14:paraId="54C5FF05" w14:textId="77777777" w:rsidR="00091D2A" w:rsidRPr="00552B0C" w:rsidRDefault="00091D2A">
            <w:pPr>
              <w:pStyle w:val="Tabletext"/>
              <w:jc w:val="center"/>
            </w:pPr>
            <w:r w:rsidRPr="00552B0C">
              <w:t>[-0.02, 0.12]</w:t>
            </w:r>
          </w:p>
        </w:tc>
      </w:tr>
      <w:tr w:rsidR="00091D2A" w:rsidRPr="00552B0C" w14:paraId="2468B6FC" w14:textId="77777777">
        <w:trPr>
          <w:trHeight w:val="255"/>
        </w:trPr>
        <w:tc>
          <w:tcPr>
            <w:tcW w:w="1412" w:type="pct"/>
            <w:shd w:val="clear" w:color="auto" w:fill="B8CCE4" w:themeFill="accent1" w:themeFillTint="66"/>
          </w:tcPr>
          <w:p w14:paraId="743C6B67" w14:textId="77777777" w:rsidR="00091D2A" w:rsidRPr="00552B0C" w:rsidRDefault="00091D2A">
            <w:pPr>
              <w:pStyle w:val="TableText0"/>
            </w:pPr>
            <w:r w:rsidRPr="00552B0C">
              <w:t>Drug-related TEAEs leading to interruption of any IMP</w:t>
            </w:r>
          </w:p>
        </w:tc>
        <w:tc>
          <w:tcPr>
            <w:tcW w:w="718" w:type="pct"/>
            <w:shd w:val="clear" w:color="auto" w:fill="B8CCE4" w:themeFill="accent1" w:themeFillTint="66"/>
          </w:tcPr>
          <w:p w14:paraId="4CF14E52" w14:textId="77777777" w:rsidR="00091D2A" w:rsidRPr="00552B0C" w:rsidRDefault="00091D2A">
            <w:pPr>
              <w:pStyle w:val="Tabletext"/>
              <w:jc w:val="center"/>
            </w:pPr>
            <w:r w:rsidRPr="00552B0C">
              <w:t>12/370 (3.24%)</w:t>
            </w:r>
          </w:p>
        </w:tc>
        <w:tc>
          <w:tcPr>
            <w:tcW w:w="718" w:type="pct"/>
            <w:shd w:val="clear" w:color="auto" w:fill="B8CCE4" w:themeFill="accent1" w:themeFillTint="66"/>
          </w:tcPr>
          <w:p w14:paraId="60567C06" w14:textId="77777777" w:rsidR="00091D2A" w:rsidRPr="00552B0C" w:rsidRDefault="00091D2A">
            <w:pPr>
              <w:pStyle w:val="Tabletext"/>
              <w:jc w:val="center"/>
            </w:pPr>
            <w:r w:rsidRPr="00552B0C">
              <w:t>3/379</w:t>
            </w:r>
          </w:p>
          <w:p w14:paraId="70E0E305" w14:textId="77777777" w:rsidR="00091D2A" w:rsidRPr="00552B0C" w:rsidRDefault="00091D2A">
            <w:pPr>
              <w:pStyle w:val="Tabletext"/>
              <w:jc w:val="center"/>
            </w:pPr>
            <w:r w:rsidRPr="00552B0C">
              <w:t>(0.79%)</w:t>
            </w:r>
          </w:p>
        </w:tc>
        <w:tc>
          <w:tcPr>
            <w:tcW w:w="718" w:type="pct"/>
            <w:shd w:val="clear" w:color="auto" w:fill="B8CCE4" w:themeFill="accent1" w:themeFillTint="66"/>
          </w:tcPr>
          <w:p w14:paraId="7E7225C8" w14:textId="77777777" w:rsidR="00091D2A" w:rsidRPr="00552B0C" w:rsidRDefault="00091D2A">
            <w:pPr>
              <w:pStyle w:val="Tabletext"/>
              <w:jc w:val="center"/>
              <w:rPr>
                <w:b/>
                <w:bCs/>
              </w:rPr>
            </w:pPr>
            <w:r w:rsidRPr="00552B0C">
              <w:rPr>
                <w:b/>
                <w:bCs/>
              </w:rPr>
              <w:t>4.20</w:t>
            </w:r>
          </w:p>
          <w:p w14:paraId="7C206A4E" w14:textId="77777777" w:rsidR="00091D2A" w:rsidRPr="00552B0C" w:rsidRDefault="00091D2A">
            <w:pPr>
              <w:pStyle w:val="Tabletext"/>
              <w:jc w:val="center"/>
              <w:rPr>
                <w:b/>
                <w:bCs/>
              </w:rPr>
            </w:pPr>
            <w:r w:rsidRPr="00552B0C">
              <w:rPr>
                <w:b/>
                <w:bCs/>
              </w:rPr>
              <w:t>[1.18, 15.01]</w:t>
            </w:r>
          </w:p>
        </w:tc>
        <w:tc>
          <w:tcPr>
            <w:tcW w:w="718" w:type="pct"/>
            <w:shd w:val="clear" w:color="auto" w:fill="B8CCE4" w:themeFill="accent1" w:themeFillTint="66"/>
          </w:tcPr>
          <w:p w14:paraId="029B2DE6" w14:textId="77777777" w:rsidR="00091D2A" w:rsidRPr="00552B0C" w:rsidRDefault="00091D2A">
            <w:pPr>
              <w:pStyle w:val="Tabletext"/>
              <w:jc w:val="center"/>
              <w:rPr>
                <w:b/>
                <w:bCs/>
              </w:rPr>
            </w:pPr>
            <w:r w:rsidRPr="00552B0C">
              <w:rPr>
                <w:b/>
                <w:bCs/>
              </w:rPr>
              <w:t>4.10</w:t>
            </w:r>
          </w:p>
          <w:p w14:paraId="163C71E7" w14:textId="77777777" w:rsidR="00091D2A" w:rsidRPr="00552B0C" w:rsidRDefault="00091D2A">
            <w:pPr>
              <w:pStyle w:val="Tabletext"/>
              <w:jc w:val="center"/>
              <w:rPr>
                <w:b/>
                <w:bCs/>
              </w:rPr>
            </w:pPr>
            <w:r w:rsidRPr="00552B0C">
              <w:rPr>
                <w:b/>
                <w:bCs/>
              </w:rPr>
              <w:t>[1.17, 14.40]</w:t>
            </w:r>
          </w:p>
        </w:tc>
        <w:tc>
          <w:tcPr>
            <w:tcW w:w="716" w:type="pct"/>
            <w:shd w:val="clear" w:color="auto" w:fill="B8CCE4" w:themeFill="accent1" w:themeFillTint="66"/>
          </w:tcPr>
          <w:p w14:paraId="27EA57E1" w14:textId="77777777" w:rsidR="00091D2A" w:rsidRPr="00552B0C" w:rsidRDefault="00091D2A">
            <w:pPr>
              <w:pStyle w:val="Tabletext"/>
              <w:jc w:val="center"/>
              <w:rPr>
                <w:b/>
                <w:bCs/>
              </w:rPr>
            </w:pPr>
            <w:r w:rsidRPr="00552B0C">
              <w:rPr>
                <w:b/>
                <w:bCs/>
              </w:rPr>
              <w:t>0.02</w:t>
            </w:r>
          </w:p>
          <w:p w14:paraId="643A1C9E" w14:textId="77777777" w:rsidR="00091D2A" w:rsidRPr="00552B0C" w:rsidRDefault="00091D2A">
            <w:pPr>
              <w:pStyle w:val="Tabletext"/>
              <w:jc w:val="center"/>
              <w:rPr>
                <w:b/>
                <w:bCs/>
              </w:rPr>
            </w:pPr>
            <w:r w:rsidRPr="00552B0C">
              <w:rPr>
                <w:b/>
                <w:bCs/>
              </w:rPr>
              <w:t>[0.00, 0.04]</w:t>
            </w:r>
          </w:p>
        </w:tc>
      </w:tr>
      <w:tr w:rsidR="00091D2A" w:rsidRPr="00552B0C" w14:paraId="19E10968" w14:textId="77777777">
        <w:trPr>
          <w:trHeight w:val="255"/>
        </w:trPr>
        <w:tc>
          <w:tcPr>
            <w:tcW w:w="1412" w:type="pct"/>
            <w:shd w:val="clear" w:color="auto" w:fill="B8CCE4" w:themeFill="accent1" w:themeFillTint="66"/>
          </w:tcPr>
          <w:p w14:paraId="6040B65D" w14:textId="77777777" w:rsidR="00091D2A" w:rsidRPr="00552B0C" w:rsidRDefault="00091D2A">
            <w:pPr>
              <w:pStyle w:val="TableText0"/>
            </w:pPr>
            <w:r w:rsidRPr="00552B0C">
              <w:t>Drug-related TEAEs leading to death</w:t>
            </w:r>
          </w:p>
        </w:tc>
        <w:tc>
          <w:tcPr>
            <w:tcW w:w="718" w:type="pct"/>
            <w:shd w:val="clear" w:color="auto" w:fill="B8CCE4" w:themeFill="accent1" w:themeFillTint="66"/>
          </w:tcPr>
          <w:p w14:paraId="2DA0FF4E" w14:textId="77777777" w:rsidR="00091D2A" w:rsidRPr="00552B0C" w:rsidRDefault="00091D2A">
            <w:pPr>
              <w:pStyle w:val="Tabletext"/>
              <w:jc w:val="center"/>
            </w:pPr>
            <w:r w:rsidRPr="00552B0C">
              <w:t>6/370</w:t>
            </w:r>
          </w:p>
          <w:p w14:paraId="146F0DEF" w14:textId="77777777" w:rsidR="00091D2A" w:rsidRPr="00552B0C" w:rsidRDefault="00091D2A">
            <w:pPr>
              <w:pStyle w:val="Tabletext"/>
              <w:jc w:val="center"/>
            </w:pPr>
            <w:r w:rsidRPr="00552B0C">
              <w:t>(1.62%)</w:t>
            </w:r>
          </w:p>
        </w:tc>
        <w:tc>
          <w:tcPr>
            <w:tcW w:w="718" w:type="pct"/>
            <w:shd w:val="clear" w:color="auto" w:fill="B8CCE4" w:themeFill="accent1" w:themeFillTint="66"/>
          </w:tcPr>
          <w:p w14:paraId="03763EF4" w14:textId="77777777" w:rsidR="00091D2A" w:rsidRPr="00552B0C" w:rsidRDefault="00091D2A">
            <w:pPr>
              <w:pStyle w:val="Tabletext"/>
              <w:jc w:val="center"/>
            </w:pPr>
            <w:r w:rsidRPr="00552B0C">
              <w:t>8/379</w:t>
            </w:r>
          </w:p>
          <w:p w14:paraId="6A59C1CC" w14:textId="77777777" w:rsidR="00091D2A" w:rsidRPr="00552B0C" w:rsidRDefault="00091D2A">
            <w:pPr>
              <w:pStyle w:val="Tabletext"/>
              <w:jc w:val="center"/>
            </w:pPr>
            <w:r w:rsidRPr="00552B0C">
              <w:t>(2.11%)</w:t>
            </w:r>
          </w:p>
        </w:tc>
        <w:tc>
          <w:tcPr>
            <w:tcW w:w="718" w:type="pct"/>
            <w:shd w:val="clear" w:color="auto" w:fill="B8CCE4" w:themeFill="accent1" w:themeFillTint="66"/>
          </w:tcPr>
          <w:p w14:paraId="106CA0EE" w14:textId="77777777" w:rsidR="00091D2A" w:rsidRPr="00552B0C" w:rsidRDefault="00091D2A">
            <w:pPr>
              <w:pStyle w:val="Tabletext"/>
              <w:jc w:val="center"/>
            </w:pPr>
            <w:r w:rsidRPr="00552B0C">
              <w:t>0.76</w:t>
            </w:r>
          </w:p>
          <w:p w14:paraId="32667A91" w14:textId="77777777" w:rsidR="00091D2A" w:rsidRPr="00552B0C" w:rsidRDefault="00091D2A">
            <w:pPr>
              <w:pStyle w:val="Tabletext"/>
              <w:jc w:val="center"/>
            </w:pPr>
            <w:r w:rsidRPr="00552B0C">
              <w:t>[0.26, 2.22]</w:t>
            </w:r>
          </w:p>
        </w:tc>
        <w:tc>
          <w:tcPr>
            <w:tcW w:w="718" w:type="pct"/>
            <w:shd w:val="clear" w:color="auto" w:fill="B8CCE4" w:themeFill="accent1" w:themeFillTint="66"/>
          </w:tcPr>
          <w:p w14:paraId="2078D7AE" w14:textId="77777777" w:rsidR="00091D2A" w:rsidRPr="00552B0C" w:rsidRDefault="00091D2A">
            <w:pPr>
              <w:pStyle w:val="Tabletext"/>
              <w:jc w:val="center"/>
            </w:pPr>
            <w:r w:rsidRPr="00552B0C">
              <w:t>0.77</w:t>
            </w:r>
          </w:p>
          <w:p w14:paraId="56F7013B" w14:textId="77777777" w:rsidR="00091D2A" w:rsidRPr="00552B0C" w:rsidRDefault="00091D2A">
            <w:pPr>
              <w:pStyle w:val="Tabletext"/>
              <w:jc w:val="center"/>
            </w:pPr>
            <w:r w:rsidRPr="00552B0C">
              <w:t>[0.27, 2.19]</w:t>
            </w:r>
          </w:p>
        </w:tc>
        <w:tc>
          <w:tcPr>
            <w:tcW w:w="716" w:type="pct"/>
            <w:shd w:val="clear" w:color="auto" w:fill="B8CCE4" w:themeFill="accent1" w:themeFillTint="66"/>
          </w:tcPr>
          <w:p w14:paraId="5CF71829" w14:textId="77777777" w:rsidR="00091D2A" w:rsidRPr="00552B0C" w:rsidRDefault="00091D2A">
            <w:pPr>
              <w:pStyle w:val="Tabletext"/>
              <w:jc w:val="center"/>
            </w:pPr>
            <w:r w:rsidRPr="00552B0C">
              <w:t>0.00</w:t>
            </w:r>
          </w:p>
          <w:p w14:paraId="0E66D409" w14:textId="77777777" w:rsidR="00091D2A" w:rsidRPr="00552B0C" w:rsidRDefault="00091D2A">
            <w:pPr>
              <w:pStyle w:val="Tabletext"/>
              <w:jc w:val="center"/>
            </w:pPr>
            <w:r w:rsidRPr="00552B0C">
              <w:t>[-0.02, 0.01]</w:t>
            </w:r>
          </w:p>
        </w:tc>
      </w:tr>
    </w:tbl>
    <w:p w14:paraId="69328DBB" w14:textId="77777777" w:rsidR="00091D2A" w:rsidRPr="00552B0C" w:rsidRDefault="00091D2A" w:rsidP="00091D2A">
      <w:pPr>
        <w:pStyle w:val="FooterTableFigure"/>
      </w:pPr>
      <w:r w:rsidRPr="00552B0C">
        <w:t>Source: Table 33 (adapted), p76 of March 2024 submission.</w:t>
      </w:r>
    </w:p>
    <w:p w14:paraId="53742C8E" w14:textId="77777777" w:rsidR="00091D2A" w:rsidRPr="00552B0C" w:rsidRDefault="00091D2A" w:rsidP="00091D2A">
      <w:pPr>
        <w:pStyle w:val="FooterTableFigure"/>
      </w:pPr>
      <w:r w:rsidRPr="00552B0C">
        <w:t>Abbreviations; AE, adverse event; CI, confidence interval; Gem+NabP, gemcitabine plus nanoparticle albumin-bound paclitaxel; IMP, investigational medicinal product; NA, not applicable; nal-IRI, nanoliposomal irinotecan; NALIRIFOX, 5-fluorouracil, leucovorin/folinic acid, nanoliposomal irinotecan (nal-IRI), and oxaliplatin; NE, not evaluable; OR, odds ratio; RD, risk difference; RR, relative risk; SAE, serious adverse event; TEAE, treatment emergent adverse event.</w:t>
      </w:r>
    </w:p>
    <w:p w14:paraId="2ADE1376" w14:textId="77777777" w:rsidR="00091D2A" w:rsidRPr="00552B0C" w:rsidRDefault="00091D2A" w:rsidP="00091D2A">
      <w:pPr>
        <w:pStyle w:val="FooterTableFigure"/>
      </w:pPr>
      <w:r w:rsidRPr="00552B0C">
        <w:t xml:space="preserve">Note: Results in </w:t>
      </w:r>
      <w:r w:rsidRPr="00552B0C">
        <w:rPr>
          <w:b/>
          <w:bCs/>
        </w:rPr>
        <w:t>bold</w:t>
      </w:r>
      <w:r w:rsidRPr="00552B0C">
        <w:t xml:space="preserve"> indicate statistically significant difference (p &lt; 0.05) based on post hoc analyses.</w:t>
      </w:r>
    </w:p>
    <w:p w14:paraId="44B11CFF" w14:textId="1DD6D366" w:rsidR="00091D2A" w:rsidRPr="00552B0C" w:rsidRDefault="00091D2A" w:rsidP="00091D2A">
      <w:pPr>
        <w:pStyle w:val="FooterTableFigure"/>
        <w:rPr>
          <w:rStyle w:val="CommentReference"/>
          <w:b w:val="0"/>
          <w:bCs/>
          <w:sz w:val="18"/>
          <w:szCs w:val="18"/>
        </w:rPr>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w:t>
      </w:r>
    </w:p>
    <w:p w14:paraId="59B24BC3" w14:textId="7D46FF33" w:rsidR="00091D2A" w:rsidRPr="00552B0C" w:rsidRDefault="00E16AD8" w:rsidP="00091D2A">
      <w:pPr>
        <w:pStyle w:val="Caption"/>
      </w:pPr>
      <w:bookmarkStart w:id="62" w:name="_Ref176366862"/>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10</w:t>
      </w:r>
      <w:r w:rsidR="001C19B6">
        <w:rPr>
          <w:noProof/>
        </w:rPr>
        <w:fldChar w:fldCharType="end"/>
      </w:r>
      <w:bookmarkEnd w:id="62"/>
      <w:r w:rsidR="00091D2A" w:rsidRPr="00552B0C">
        <w:t>: Summary of all-cause Grade 3-4 TEAEs with an incidence of ≥ 2% in the NAPOLI-3 trial (Safety Population)</w:t>
      </w:r>
    </w:p>
    <w:tbl>
      <w:tblPr>
        <w:tblStyle w:val="TableGrid"/>
        <w:tblW w:w="0" w:type="auto"/>
        <w:tblLook w:val="04A0" w:firstRow="1" w:lastRow="0" w:firstColumn="1" w:lastColumn="0" w:noHBand="0" w:noVBand="1"/>
        <w:tblCaption w:val="Table 10: Summary of all-cause Grade 3-4 TEAEs with an incidence of ≥ 2% in the NAPOLI-3 trial (Safety Population"/>
      </w:tblPr>
      <w:tblGrid>
        <w:gridCol w:w="2088"/>
        <w:gridCol w:w="1494"/>
        <w:gridCol w:w="1492"/>
        <w:gridCol w:w="1224"/>
        <w:gridCol w:w="1224"/>
        <w:gridCol w:w="1495"/>
      </w:tblGrid>
      <w:tr w:rsidR="00091D2A" w:rsidRPr="00552B0C" w14:paraId="4DB695BA" w14:textId="77777777" w:rsidTr="0000231D">
        <w:trPr>
          <w:trHeight w:val="195"/>
          <w:tblHeader/>
        </w:trPr>
        <w:tc>
          <w:tcPr>
            <w:tcW w:w="2088" w:type="dxa"/>
            <w:vMerge w:val="restart"/>
            <w:shd w:val="clear" w:color="auto" w:fill="auto"/>
          </w:tcPr>
          <w:p w14:paraId="28114B9D" w14:textId="77777777" w:rsidR="00091D2A" w:rsidRPr="00552B0C" w:rsidRDefault="00091D2A">
            <w:pPr>
              <w:pStyle w:val="PBACTabletext"/>
              <w:keepNext w:val="0"/>
              <w:keepLines w:val="0"/>
              <w:spacing w:after="0"/>
              <w:rPr>
                <w:b/>
                <w:bCs/>
              </w:rPr>
            </w:pPr>
            <w:r w:rsidRPr="00552B0C">
              <w:rPr>
                <w:b/>
                <w:bCs/>
              </w:rPr>
              <w:t>AEs</w:t>
            </w:r>
          </w:p>
        </w:tc>
        <w:tc>
          <w:tcPr>
            <w:tcW w:w="1494" w:type="dxa"/>
            <w:shd w:val="clear" w:color="auto" w:fill="auto"/>
          </w:tcPr>
          <w:p w14:paraId="3A8E7C5C" w14:textId="77777777" w:rsidR="00091D2A" w:rsidRPr="00552B0C" w:rsidRDefault="00091D2A">
            <w:pPr>
              <w:pStyle w:val="PBACTabletext"/>
              <w:keepNext w:val="0"/>
              <w:keepLines w:val="0"/>
              <w:spacing w:after="0"/>
              <w:jc w:val="center"/>
              <w:rPr>
                <w:b/>
                <w:bCs/>
              </w:rPr>
            </w:pPr>
            <w:r w:rsidRPr="00552B0C">
              <w:rPr>
                <w:b/>
                <w:bCs/>
              </w:rPr>
              <w:t>NALIRIFOX</w:t>
            </w:r>
          </w:p>
        </w:tc>
        <w:tc>
          <w:tcPr>
            <w:tcW w:w="1492" w:type="dxa"/>
            <w:shd w:val="clear" w:color="auto" w:fill="auto"/>
          </w:tcPr>
          <w:p w14:paraId="0745A35A" w14:textId="77777777" w:rsidR="00091D2A" w:rsidRPr="00552B0C" w:rsidRDefault="00091D2A">
            <w:pPr>
              <w:pStyle w:val="PBACTabletext"/>
              <w:keepNext w:val="0"/>
              <w:keepLines w:val="0"/>
              <w:spacing w:after="0"/>
              <w:jc w:val="center"/>
              <w:rPr>
                <w:b/>
                <w:bCs/>
              </w:rPr>
            </w:pPr>
            <w:r w:rsidRPr="00552B0C">
              <w:rPr>
                <w:b/>
                <w:bCs/>
              </w:rPr>
              <w:t>Gem+NabP</w:t>
            </w:r>
          </w:p>
        </w:tc>
        <w:tc>
          <w:tcPr>
            <w:tcW w:w="1224" w:type="dxa"/>
            <w:shd w:val="clear" w:color="auto" w:fill="auto"/>
          </w:tcPr>
          <w:p w14:paraId="15986394" w14:textId="77777777" w:rsidR="00091D2A" w:rsidRPr="00552B0C" w:rsidRDefault="00091D2A">
            <w:pPr>
              <w:pStyle w:val="PBACTabletext"/>
              <w:keepNext w:val="0"/>
              <w:keepLines w:val="0"/>
              <w:spacing w:after="0"/>
              <w:jc w:val="center"/>
              <w:rPr>
                <w:b/>
                <w:bCs/>
              </w:rPr>
            </w:pPr>
            <w:r w:rsidRPr="00552B0C">
              <w:rPr>
                <w:b/>
                <w:bCs/>
              </w:rPr>
              <w:t>OR [95% CI]</w:t>
            </w:r>
          </w:p>
        </w:tc>
        <w:tc>
          <w:tcPr>
            <w:tcW w:w="1224" w:type="dxa"/>
            <w:shd w:val="clear" w:color="auto" w:fill="auto"/>
          </w:tcPr>
          <w:p w14:paraId="1230DADE" w14:textId="77777777" w:rsidR="00091D2A" w:rsidRPr="00552B0C" w:rsidRDefault="00091D2A">
            <w:pPr>
              <w:pStyle w:val="PBACTabletext"/>
              <w:keepNext w:val="0"/>
              <w:keepLines w:val="0"/>
              <w:spacing w:after="0"/>
              <w:jc w:val="center"/>
              <w:rPr>
                <w:b/>
                <w:bCs/>
              </w:rPr>
            </w:pPr>
            <w:r w:rsidRPr="00552B0C">
              <w:rPr>
                <w:b/>
                <w:bCs/>
              </w:rPr>
              <w:t>RR [95% CI]</w:t>
            </w:r>
          </w:p>
        </w:tc>
        <w:tc>
          <w:tcPr>
            <w:tcW w:w="1495" w:type="dxa"/>
            <w:shd w:val="clear" w:color="auto" w:fill="auto"/>
          </w:tcPr>
          <w:p w14:paraId="77492FAA" w14:textId="77777777" w:rsidR="00091D2A" w:rsidRPr="00552B0C" w:rsidRDefault="00091D2A">
            <w:pPr>
              <w:pStyle w:val="PBACTabletext"/>
              <w:keepNext w:val="0"/>
              <w:keepLines w:val="0"/>
              <w:spacing w:after="0"/>
              <w:jc w:val="center"/>
              <w:rPr>
                <w:b/>
                <w:bCs/>
              </w:rPr>
            </w:pPr>
            <w:r w:rsidRPr="00552B0C">
              <w:rPr>
                <w:b/>
                <w:bCs/>
              </w:rPr>
              <w:t>RD [95% CI]</w:t>
            </w:r>
          </w:p>
        </w:tc>
      </w:tr>
      <w:tr w:rsidR="00091D2A" w:rsidRPr="00552B0C" w14:paraId="0E5788A4" w14:textId="77777777" w:rsidTr="0000231D">
        <w:trPr>
          <w:trHeight w:val="185"/>
          <w:tblHeader/>
        </w:trPr>
        <w:tc>
          <w:tcPr>
            <w:tcW w:w="2088" w:type="dxa"/>
            <w:vMerge/>
            <w:shd w:val="clear" w:color="auto" w:fill="auto"/>
          </w:tcPr>
          <w:p w14:paraId="709ADBE8" w14:textId="77777777" w:rsidR="00091D2A" w:rsidRPr="00552B0C" w:rsidRDefault="00091D2A">
            <w:pPr>
              <w:pStyle w:val="PBACTabletext"/>
              <w:keepNext w:val="0"/>
              <w:keepLines w:val="0"/>
              <w:spacing w:after="0"/>
              <w:rPr>
                <w:b/>
                <w:bCs/>
              </w:rPr>
            </w:pPr>
          </w:p>
        </w:tc>
        <w:tc>
          <w:tcPr>
            <w:tcW w:w="1494" w:type="dxa"/>
            <w:shd w:val="clear" w:color="auto" w:fill="auto"/>
          </w:tcPr>
          <w:p w14:paraId="7FF33D3A" w14:textId="77777777" w:rsidR="00091D2A" w:rsidRPr="00552B0C" w:rsidRDefault="00091D2A">
            <w:pPr>
              <w:pStyle w:val="PBACTabletext"/>
              <w:keepNext w:val="0"/>
              <w:keepLines w:val="0"/>
              <w:spacing w:after="0"/>
              <w:jc w:val="center"/>
              <w:rPr>
                <w:b/>
                <w:bCs/>
              </w:rPr>
            </w:pPr>
            <w:r w:rsidRPr="00552B0C">
              <w:rPr>
                <w:b/>
                <w:bCs/>
              </w:rPr>
              <w:t>n /N (%)</w:t>
            </w:r>
          </w:p>
        </w:tc>
        <w:tc>
          <w:tcPr>
            <w:tcW w:w="1492" w:type="dxa"/>
            <w:shd w:val="clear" w:color="auto" w:fill="auto"/>
          </w:tcPr>
          <w:p w14:paraId="3180D448" w14:textId="77777777" w:rsidR="00091D2A" w:rsidRPr="00552B0C" w:rsidRDefault="00091D2A">
            <w:pPr>
              <w:pStyle w:val="PBACTabletext"/>
              <w:keepNext w:val="0"/>
              <w:keepLines w:val="0"/>
              <w:spacing w:after="0"/>
              <w:jc w:val="center"/>
              <w:rPr>
                <w:b/>
                <w:bCs/>
              </w:rPr>
            </w:pPr>
            <w:r w:rsidRPr="00552B0C">
              <w:rPr>
                <w:b/>
                <w:bCs/>
              </w:rPr>
              <w:t>n /N (%)</w:t>
            </w:r>
          </w:p>
        </w:tc>
        <w:tc>
          <w:tcPr>
            <w:tcW w:w="2448" w:type="dxa"/>
            <w:gridSpan w:val="2"/>
            <w:shd w:val="clear" w:color="auto" w:fill="auto"/>
          </w:tcPr>
          <w:p w14:paraId="365C8B86" w14:textId="77777777" w:rsidR="00091D2A" w:rsidRPr="00552B0C" w:rsidRDefault="00091D2A">
            <w:pPr>
              <w:pStyle w:val="PBACTabletext"/>
              <w:keepNext w:val="0"/>
              <w:keepLines w:val="0"/>
              <w:spacing w:after="0"/>
              <w:jc w:val="center"/>
              <w:rPr>
                <w:b/>
                <w:bCs/>
              </w:rPr>
            </w:pPr>
            <w:r w:rsidRPr="00552B0C">
              <w:rPr>
                <w:b/>
                <w:bCs/>
              </w:rPr>
              <w:t>OR and RR &lt; 1 favours NALIRIFOX</w:t>
            </w:r>
          </w:p>
        </w:tc>
        <w:tc>
          <w:tcPr>
            <w:tcW w:w="1495" w:type="dxa"/>
            <w:shd w:val="clear" w:color="auto" w:fill="auto"/>
          </w:tcPr>
          <w:p w14:paraId="17616475" w14:textId="77777777" w:rsidR="00091D2A" w:rsidRPr="00552B0C" w:rsidRDefault="00091D2A">
            <w:pPr>
              <w:pStyle w:val="PBACTabletext"/>
              <w:keepNext w:val="0"/>
              <w:keepLines w:val="0"/>
              <w:spacing w:after="0"/>
              <w:jc w:val="center"/>
              <w:rPr>
                <w:b/>
                <w:bCs/>
              </w:rPr>
            </w:pPr>
            <w:r w:rsidRPr="00552B0C">
              <w:rPr>
                <w:b/>
                <w:bCs/>
              </w:rPr>
              <w:t>RD &lt; 0 favours NALIRIFOX</w:t>
            </w:r>
          </w:p>
        </w:tc>
      </w:tr>
      <w:tr w:rsidR="00091D2A" w:rsidRPr="00552B0C" w14:paraId="21256682" w14:textId="77777777">
        <w:trPr>
          <w:trHeight w:val="199"/>
        </w:trPr>
        <w:tc>
          <w:tcPr>
            <w:tcW w:w="2088" w:type="dxa"/>
            <w:shd w:val="clear" w:color="auto" w:fill="B8CCE4" w:themeFill="accent1" w:themeFillTint="66"/>
          </w:tcPr>
          <w:p w14:paraId="4F21AE87" w14:textId="77777777" w:rsidR="00091D2A" w:rsidRPr="00552B0C" w:rsidRDefault="00091D2A">
            <w:pPr>
              <w:pStyle w:val="TableText0"/>
              <w:keepNext w:val="0"/>
            </w:pPr>
            <w:r w:rsidRPr="00552B0C">
              <w:t>Any Grade 3-4 TEAEs</w:t>
            </w:r>
          </w:p>
        </w:tc>
        <w:tc>
          <w:tcPr>
            <w:tcW w:w="1494" w:type="dxa"/>
            <w:shd w:val="clear" w:color="auto" w:fill="B8CCE4" w:themeFill="accent1" w:themeFillTint="66"/>
          </w:tcPr>
          <w:p w14:paraId="5A315EA9" w14:textId="77777777" w:rsidR="00091D2A" w:rsidRPr="00552B0C" w:rsidRDefault="00091D2A">
            <w:pPr>
              <w:pStyle w:val="TableText0"/>
              <w:keepNext w:val="0"/>
              <w:jc w:val="center"/>
            </w:pPr>
            <w:r w:rsidRPr="00552B0C">
              <w:t>322/370 (87.03%)</w:t>
            </w:r>
          </w:p>
        </w:tc>
        <w:tc>
          <w:tcPr>
            <w:tcW w:w="1492" w:type="dxa"/>
            <w:shd w:val="clear" w:color="auto" w:fill="B8CCE4" w:themeFill="accent1" w:themeFillTint="66"/>
          </w:tcPr>
          <w:p w14:paraId="33096FA2" w14:textId="77777777" w:rsidR="00091D2A" w:rsidRPr="00552B0C" w:rsidRDefault="00091D2A">
            <w:pPr>
              <w:pStyle w:val="TableText0"/>
              <w:keepNext w:val="0"/>
              <w:jc w:val="center"/>
            </w:pPr>
            <w:r w:rsidRPr="00552B0C">
              <w:t>326/379 (86.02%)</w:t>
            </w:r>
          </w:p>
        </w:tc>
        <w:tc>
          <w:tcPr>
            <w:tcW w:w="1224" w:type="dxa"/>
            <w:shd w:val="clear" w:color="auto" w:fill="B8CCE4" w:themeFill="accent1" w:themeFillTint="66"/>
          </w:tcPr>
          <w:p w14:paraId="0C0C6575" w14:textId="77777777" w:rsidR="00091D2A" w:rsidRPr="00552B0C" w:rsidRDefault="00091D2A">
            <w:pPr>
              <w:pStyle w:val="TableText0"/>
              <w:keepNext w:val="0"/>
              <w:jc w:val="center"/>
            </w:pPr>
            <w:r w:rsidRPr="00552B0C">
              <w:t>1.09</w:t>
            </w:r>
          </w:p>
          <w:p w14:paraId="529CF78B" w14:textId="77777777" w:rsidR="00091D2A" w:rsidRPr="00552B0C" w:rsidRDefault="00091D2A">
            <w:pPr>
              <w:pStyle w:val="TableText0"/>
              <w:keepNext w:val="0"/>
              <w:jc w:val="center"/>
            </w:pPr>
            <w:r w:rsidRPr="00552B0C">
              <w:t>[0.72, 1.66]</w:t>
            </w:r>
          </w:p>
        </w:tc>
        <w:tc>
          <w:tcPr>
            <w:tcW w:w="1224" w:type="dxa"/>
            <w:shd w:val="clear" w:color="auto" w:fill="B8CCE4" w:themeFill="accent1" w:themeFillTint="66"/>
          </w:tcPr>
          <w:p w14:paraId="6AD1789E" w14:textId="77777777" w:rsidR="00091D2A" w:rsidRPr="00552B0C" w:rsidRDefault="00091D2A">
            <w:pPr>
              <w:pStyle w:val="TableText0"/>
              <w:keepNext w:val="0"/>
              <w:jc w:val="center"/>
            </w:pPr>
            <w:r w:rsidRPr="00552B0C">
              <w:t>1.01</w:t>
            </w:r>
          </w:p>
          <w:p w14:paraId="010D3F89" w14:textId="77777777" w:rsidR="00091D2A" w:rsidRPr="00552B0C" w:rsidRDefault="00091D2A">
            <w:pPr>
              <w:pStyle w:val="TableText0"/>
              <w:keepNext w:val="0"/>
              <w:jc w:val="center"/>
            </w:pPr>
            <w:r w:rsidRPr="00552B0C">
              <w:t>[0.96, 1.07]</w:t>
            </w:r>
          </w:p>
        </w:tc>
        <w:tc>
          <w:tcPr>
            <w:tcW w:w="1495" w:type="dxa"/>
            <w:shd w:val="clear" w:color="auto" w:fill="B8CCE4" w:themeFill="accent1" w:themeFillTint="66"/>
          </w:tcPr>
          <w:p w14:paraId="744B213D" w14:textId="77777777" w:rsidR="00091D2A" w:rsidRPr="00552B0C" w:rsidRDefault="00091D2A">
            <w:pPr>
              <w:pStyle w:val="TableText0"/>
              <w:keepNext w:val="0"/>
              <w:jc w:val="center"/>
            </w:pPr>
            <w:r w:rsidRPr="00552B0C">
              <w:t>0.01</w:t>
            </w:r>
          </w:p>
          <w:p w14:paraId="01472364" w14:textId="77777777" w:rsidR="00091D2A" w:rsidRPr="00552B0C" w:rsidRDefault="00091D2A">
            <w:pPr>
              <w:pStyle w:val="TableText0"/>
              <w:keepNext w:val="0"/>
              <w:jc w:val="center"/>
            </w:pPr>
            <w:r w:rsidRPr="00552B0C">
              <w:t>[-0.04, 0.06]</w:t>
            </w:r>
          </w:p>
        </w:tc>
      </w:tr>
      <w:tr w:rsidR="00091D2A" w:rsidRPr="00552B0C" w14:paraId="79B0BE8D" w14:textId="77777777">
        <w:trPr>
          <w:trHeight w:val="195"/>
        </w:trPr>
        <w:tc>
          <w:tcPr>
            <w:tcW w:w="9017" w:type="dxa"/>
            <w:gridSpan w:val="6"/>
            <w:shd w:val="clear" w:color="auto" w:fill="B8CCE4" w:themeFill="accent1" w:themeFillTint="66"/>
          </w:tcPr>
          <w:p w14:paraId="32DA3F07" w14:textId="77777777" w:rsidR="00091D2A" w:rsidRPr="00552B0C" w:rsidRDefault="00091D2A">
            <w:pPr>
              <w:pStyle w:val="TableText0"/>
              <w:keepNext w:val="0"/>
              <w:rPr>
                <w:b/>
                <w:bCs w:val="0"/>
              </w:rPr>
            </w:pPr>
            <w:r w:rsidRPr="00552B0C">
              <w:rPr>
                <w:b/>
                <w:bCs w:val="0"/>
              </w:rPr>
              <w:t>Gastrointestinal disorders</w:t>
            </w:r>
          </w:p>
        </w:tc>
      </w:tr>
      <w:tr w:rsidR="00091D2A" w:rsidRPr="00552B0C" w14:paraId="08F40B63" w14:textId="77777777">
        <w:trPr>
          <w:trHeight w:val="195"/>
        </w:trPr>
        <w:tc>
          <w:tcPr>
            <w:tcW w:w="2088" w:type="dxa"/>
            <w:shd w:val="clear" w:color="auto" w:fill="B8CCE4" w:themeFill="accent1" w:themeFillTint="66"/>
          </w:tcPr>
          <w:p w14:paraId="0C8B28F7" w14:textId="77777777" w:rsidR="00091D2A" w:rsidRPr="00552B0C" w:rsidRDefault="00091D2A">
            <w:pPr>
              <w:pStyle w:val="TableText0"/>
              <w:keepNext w:val="0"/>
            </w:pPr>
            <w:r w:rsidRPr="00552B0C">
              <w:t>Diarrhoea</w:t>
            </w:r>
          </w:p>
        </w:tc>
        <w:tc>
          <w:tcPr>
            <w:tcW w:w="1494" w:type="dxa"/>
            <w:shd w:val="clear" w:color="auto" w:fill="B8CCE4" w:themeFill="accent1" w:themeFillTint="66"/>
          </w:tcPr>
          <w:p w14:paraId="51AF3FA8" w14:textId="77777777" w:rsidR="00091D2A" w:rsidRPr="00552B0C" w:rsidRDefault="00091D2A">
            <w:pPr>
              <w:pStyle w:val="TableText0"/>
              <w:keepNext w:val="0"/>
              <w:jc w:val="center"/>
            </w:pPr>
            <w:r w:rsidRPr="00552B0C">
              <w:t>75/370</w:t>
            </w:r>
          </w:p>
          <w:p w14:paraId="4B29E526" w14:textId="77777777" w:rsidR="00091D2A" w:rsidRPr="00552B0C" w:rsidRDefault="00091D2A">
            <w:pPr>
              <w:pStyle w:val="TableText0"/>
              <w:keepNext w:val="0"/>
              <w:jc w:val="center"/>
            </w:pPr>
            <w:r w:rsidRPr="00552B0C">
              <w:t>(20.27%)</w:t>
            </w:r>
          </w:p>
        </w:tc>
        <w:tc>
          <w:tcPr>
            <w:tcW w:w="1492" w:type="dxa"/>
            <w:shd w:val="clear" w:color="auto" w:fill="B8CCE4" w:themeFill="accent1" w:themeFillTint="66"/>
          </w:tcPr>
          <w:p w14:paraId="2148C9D5" w14:textId="77777777" w:rsidR="00091D2A" w:rsidRPr="00552B0C" w:rsidRDefault="00091D2A">
            <w:pPr>
              <w:pStyle w:val="TableText0"/>
              <w:keepNext w:val="0"/>
              <w:jc w:val="center"/>
            </w:pPr>
            <w:r w:rsidRPr="00552B0C">
              <w:t>17/379</w:t>
            </w:r>
          </w:p>
          <w:p w14:paraId="0073C0DB" w14:textId="77777777" w:rsidR="00091D2A" w:rsidRPr="00552B0C" w:rsidRDefault="00091D2A">
            <w:pPr>
              <w:pStyle w:val="TableText0"/>
              <w:keepNext w:val="0"/>
              <w:jc w:val="center"/>
            </w:pPr>
            <w:r w:rsidRPr="00552B0C">
              <w:t>(4.49%)</w:t>
            </w:r>
          </w:p>
        </w:tc>
        <w:tc>
          <w:tcPr>
            <w:tcW w:w="1224" w:type="dxa"/>
            <w:shd w:val="clear" w:color="auto" w:fill="B8CCE4" w:themeFill="accent1" w:themeFillTint="66"/>
          </w:tcPr>
          <w:p w14:paraId="73BA482E" w14:textId="77777777" w:rsidR="00091D2A" w:rsidRPr="00552B0C" w:rsidRDefault="00091D2A">
            <w:pPr>
              <w:pStyle w:val="TableText0"/>
              <w:keepNext w:val="0"/>
              <w:jc w:val="center"/>
              <w:rPr>
                <w:b/>
                <w:bCs w:val="0"/>
              </w:rPr>
            </w:pPr>
            <w:r w:rsidRPr="00552B0C">
              <w:rPr>
                <w:b/>
                <w:bCs w:val="0"/>
              </w:rPr>
              <w:t>5.41</w:t>
            </w:r>
          </w:p>
          <w:p w14:paraId="4C6FF683" w14:textId="77777777" w:rsidR="00091D2A" w:rsidRPr="00552B0C" w:rsidRDefault="00091D2A">
            <w:pPr>
              <w:pStyle w:val="TableText0"/>
              <w:keepNext w:val="0"/>
              <w:jc w:val="center"/>
              <w:rPr>
                <w:b/>
                <w:bCs w:val="0"/>
              </w:rPr>
            </w:pPr>
            <w:r w:rsidRPr="00552B0C">
              <w:rPr>
                <w:b/>
                <w:bCs w:val="0"/>
              </w:rPr>
              <w:t>[3.13, 9.37]</w:t>
            </w:r>
          </w:p>
        </w:tc>
        <w:tc>
          <w:tcPr>
            <w:tcW w:w="1224" w:type="dxa"/>
            <w:shd w:val="clear" w:color="auto" w:fill="B8CCE4" w:themeFill="accent1" w:themeFillTint="66"/>
          </w:tcPr>
          <w:p w14:paraId="7E50D0E2" w14:textId="77777777" w:rsidR="00091D2A" w:rsidRPr="00552B0C" w:rsidRDefault="00091D2A">
            <w:pPr>
              <w:pStyle w:val="TableText0"/>
              <w:keepNext w:val="0"/>
              <w:jc w:val="center"/>
              <w:rPr>
                <w:b/>
                <w:bCs w:val="0"/>
              </w:rPr>
            </w:pPr>
            <w:r w:rsidRPr="00552B0C">
              <w:rPr>
                <w:b/>
                <w:bCs w:val="0"/>
              </w:rPr>
              <w:t>4.52</w:t>
            </w:r>
          </w:p>
          <w:p w14:paraId="7D6A715F" w14:textId="77777777" w:rsidR="00091D2A" w:rsidRPr="00552B0C" w:rsidRDefault="00091D2A">
            <w:pPr>
              <w:pStyle w:val="TableText0"/>
              <w:keepNext w:val="0"/>
              <w:jc w:val="center"/>
              <w:rPr>
                <w:b/>
                <w:bCs w:val="0"/>
              </w:rPr>
            </w:pPr>
            <w:r w:rsidRPr="00552B0C">
              <w:rPr>
                <w:b/>
                <w:bCs w:val="0"/>
              </w:rPr>
              <w:t>[2.72, 7.50]</w:t>
            </w:r>
          </w:p>
        </w:tc>
        <w:tc>
          <w:tcPr>
            <w:tcW w:w="1495" w:type="dxa"/>
            <w:shd w:val="clear" w:color="auto" w:fill="B8CCE4" w:themeFill="accent1" w:themeFillTint="66"/>
          </w:tcPr>
          <w:p w14:paraId="778C52B4" w14:textId="77777777" w:rsidR="00091D2A" w:rsidRPr="00552B0C" w:rsidRDefault="00091D2A">
            <w:pPr>
              <w:pStyle w:val="TableText0"/>
              <w:keepNext w:val="0"/>
              <w:jc w:val="center"/>
              <w:rPr>
                <w:b/>
                <w:bCs w:val="0"/>
              </w:rPr>
            </w:pPr>
            <w:r w:rsidRPr="00552B0C">
              <w:rPr>
                <w:b/>
                <w:bCs w:val="0"/>
              </w:rPr>
              <w:t>0.16</w:t>
            </w:r>
          </w:p>
          <w:p w14:paraId="5D4DB3B5" w14:textId="77777777" w:rsidR="00091D2A" w:rsidRPr="00552B0C" w:rsidRDefault="00091D2A">
            <w:pPr>
              <w:pStyle w:val="TableText0"/>
              <w:keepNext w:val="0"/>
              <w:jc w:val="center"/>
              <w:rPr>
                <w:b/>
                <w:bCs w:val="0"/>
              </w:rPr>
            </w:pPr>
            <w:r w:rsidRPr="00552B0C">
              <w:rPr>
                <w:b/>
                <w:bCs w:val="0"/>
              </w:rPr>
              <w:t>[0.11, 0.20]</w:t>
            </w:r>
          </w:p>
        </w:tc>
      </w:tr>
      <w:tr w:rsidR="00091D2A" w:rsidRPr="00552B0C" w14:paraId="2AA77767" w14:textId="77777777">
        <w:trPr>
          <w:trHeight w:val="195"/>
        </w:trPr>
        <w:tc>
          <w:tcPr>
            <w:tcW w:w="2088" w:type="dxa"/>
            <w:shd w:val="clear" w:color="auto" w:fill="B8CCE4" w:themeFill="accent1" w:themeFillTint="66"/>
          </w:tcPr>
          <w:p w14:paraId="15658645" w14:textId="77777777" w:rsidR="00091D2A" w:rsidRPr="00552B0C" w:rsidRDefault="00091D2A">
            <w:pPr>
              <w:pStyle w:val="TableText0"/>
              <w:keepNext w:val="0"/>
            </w:pPr>
            <w:r w:rsidRPr="00552B0C">
              <w:t>Nausea</w:t>
            </w:r>
          </w:p>
        </w:tc>
        <w:tc>
          <w:tcPr>
            <w:tcW w:w="1494" w:type="dxa"/>
            <w:shd w:val="clear" w:color="auto" w:fill="B8CCE4" w:themeFill="accent1" w:themeFillTint="66"/>
          </w:tcPr>
          <w:p w14:paraId="72DCCC78" w14:textId="77777777" w:rsidR="00091D2A" w:rsidRPr="00552B0C" w:rsidRDefault="00091D2A">
            <w:pPr>
              <w:pStyle w:val="TableText0"/>
              <w:keepNext w:val="0"/>
              <w:jc w:val="center"/>
            </w:pPr>
            <w:r w:rsidRPr="00552B0C">
              <w:t xml:space="preserve">44/370 </w:t>
            </w:r>
          </w:p>
          <w:p w14:paraId="1B9D1BC5" w14:textId="77777777" w:rsidR="00091D2A" w:rsidRPr="00552B0C" w:rsidRDefault="00091D2A">
            <w:pPr>
              <w:pStyle w:val="TableText0"/>
              <w:keepNext w:val="0"/>
              <w:jc w:val="center"/>
            </w:pPr>
            <w:r w:rsidRPr="00552B0C">
              <w:t>(11.89%)</w:t>
            </w:r>
          </w:p>
        </w:tc>
        <w:tc>
          <w:tcPr>
            <w:tcW w:w="1492" w:type="dxa"/>
            <w:shd w:val="clear" w:color="auto" w:fill="B8CCE4" w:themeFill="accent1" w:themeFillTint="66"/>
          </w:tcPr>
          <w:p w14:paraId="753F17ED" w14:textId="77777777" w:rsidR="00091D2A" w:rsidRPr="00552B0C" w:rsidRDefault="00091D2A">
            <w:pPr>
              <w:pStyle w:val="TableText0"/>
              <w:keepNext w:val="0"/>
              <w:jc w:val="center"/>
            </w:pPr>
            <w:r w:rsidRPr="00552B0C">
              <w:t xml:space="preserve">10/379 </w:t>
            </w:r>
          </w:p>
          <w:p w14:paraId="1085C441" w14:textId="77777777" w:rsidR="00091D2A" w:rsidRPr="00552B0C" w:rsidRDefault="00091D2A">
            <w:pPr>
              <w:pStyle w:val="TableText0"/>
              <w:keepNext w:val="0"/>
              <w:jc w:val="center"/>
            </w:pPr>
            <w:r w:rsidRPr="00552B0C">
              <w:t>(2.64%)</w:t>
            </w:r>
          </w:p>
        </w:tc>
        <w:tc>
          <w:tcPr>
            <w:tcW w:w="1224" w:type="dxa"/>
            <w:shd w:val="clear" w:color="auto" w:fill="B8CCE4" w:themeFill="accent1" w:themeFillTint="66"/>
          </w:tcPr>
          <w:p w14:paraId="76C6AD7A" w14:textId="77777777" w:rsidR="00091D2A" w:rsidRPr="00552B0C" w:rsidRDefault="00091D2A">
            <w:pPr>
              <w:pStyle w:val="TableText0"/>
              <w:keepNext w:val="0"/>
              <w:jc w:val="center"/>
              <w:rPr>
                <w:b/>
                <w:bCs w:val="0"/>
              </w:rPr>
            </w:pPr>
            <w:r w:rsidRPr="00552B0C">
              <w:rPr>
                <w:b/>
                <w:bCs w:val="0"/>
              </w:rPr>
              <w:t xml:space="preserve">4.98 </w:t>
            </w:r>
          </w:p>
          <w:p w14:paraId="3EFA268B" w14:textId="77777777" w:rsidR="00091D2A" w:rsidRPr="00552B0C" w:rsidRDefault="00091D2A">
            <w:pPr>
              <w:pStyle w:val="TableText0"/>
              <w:keepNext w:val="0"/>
              <w:jc w:val="center"/>
              <w:rPr>
                <w:b/>
                <w:bCs w:val="0"/>
              </w:rPr>
            </w:pPr>
            <w:r w:rsidRPr="00552B0C">
              <w:rPr>
                <w:b/>
                <w:bCs w:val="0"/>
              </w:rPr>
              <w:t>[2.47, 10.06]</w:t>
            </w:r>
          </w:p>
        </w:tc>
        <w:tc>
          <w:tcPr>
            <w:tcW w:w="1224" w:type="dxa"/>
            <w:shd w:val="clear" w:color="auto" w:fill="B8CCE4" w:themeFill="accent1" w:themeFillTint="66"/>
          </w:tcPr>
          <w:p w14:paraId="1DA57AD7" w14:textId="77777777" w:rsidR="00091D2A" w:rsidRPr="00552B0C" w:rsidRDefault="00091D2A">
            <w:pPr>
              <w:pStyle w:val="TableText0"/>
              <w:keepNext w:val="0"/>
              <w:jc w:val="center"/>
              <w:rPr>
                <w:b/>
                <w:bCs w:val="0"/>
              </w:rPr>
            </w:pPr>
            <w:r w:rsidRPr="00552B0C">
              <w:rPr>
                <w:b/>
                <w:bCs w:val="0"/>
              </w:rPr>
              <w:t xml:space="preserve">4.51 </w:t>
            </w:r>
          </w:p>
          <w:p w14:paraId="7066437F" w14:textId="77777777" w:rsidR="00091D2A" w:rsidRPr="00552B0C" w:rsidRDefault="00091D2A">
            <w:pPr>
              <w:pStyle w:val="TableText0"/>
              <w:keepNext w:val="0"/>
              <w:jc w:val="center"/>
              <w:rPr>
                <w:b/>
                <w:bCs w:val="0"/>
              </w:rPr>
            </w:pPr>
            <w:r w:rsidRPr="00552B0C">
              <w:rPr>
                <w:b/>
                <w:bCs w:val="0"/>
              </w:rPr>
              <w:t>[2.30, 8.82]</w:t>
            </w:r>
          </w:p>
        </w:tc>
        <w:tc>
          <w:tcPr>
            <w:tcW w:w="1495" w:type="dxa"/>
            <w:shd w:val="clear" w:color="auto" w:fill="B8CCE4" w:themeFill="accent1" w:themeFillTint="66"/>
          </w:tcPr>
          <w:p w14:paraId="1E386496" w14:textId="77777777" w:rsidR="00091D2A" w:rsidRPr="00552B0C" w:rsidRDefault="00091D2A">
            <w:pPr>
              <w:pStyle w:val="TableText0"/>
              <w:keepNext w:val="0"/>
              <w:jc w:val="center"/>
              <w:rPr>
                <w:b/>
                <w:bCs w:val="0"/>
              </w:rPr>
            </w:pPr>
            <w:r w:rsidRPr="00552B0C">
              <w:rPr>
                <w:b/>
                <w:bCs w:val="0"/>
              </w:rPr>
              <w:t xml:space="preserve">0.09 </w:t>
            </w:r>
          </w:p>
          <w:p w14:paraId="7477954C" w14:textId="77777777" w:rsidR="00091D2A" w:rsidRPr="00552B0C" w:rsidRDefault="00091D2A">
            <w:pPr>
              <w:pStyle w:val="TableText0"/>
              <w:keepNext w:val="0"/>
              <w:jc w:val="center"/>
              <w:rPr>
                <w:b/>
                <w:bCs w:val="0"/>
              </w:rPr>
            </w:pPr>
            <w:r w:rsidRPr="00552B0C">
              <w:rPr>
                <w:b/>
                <w:bCs w:val="0"/>
              </w:rPr>
              <w:t>[0.06, 0.13]</w:t>
            </w:r>
          </w:p>
        </w:tc>
      </w:tr>
      <w:tr w:rsidR="00091D2A" w:rsidRPr="00552B0C" w14:paraId="026A7FAB" w14:textId="77777777">
        <w:trPr>
          <w:trHeight w:val="185"/>
        </w:trPr>
        <w:tc>
          <w:tcPr>
            <w:tcW w:w="2088" w:type="dxa"/>
            <w:shd w:val="clear" w:color="auto" w:fill="B8CCE4" w:themeFill="accent1" w:themeFillTint="66"/>
          </w:tcPr>
          <w:p w14:paraId="759C6861" w14:textId="77777777" w:rsidR="00091D2A" w:rsidRPr="00552B0C" w:rsidRDefault="00091D2A">
            <w:pPr>
              <w:pStyle w:val="TableText0"/>
              <w:keepNext w:val="0"/>
            </w:pPr>
            <w:r w:rsidRPr="00552B0C">
              <w:t>Vomiting</w:t>
            </w:r>
          </w:p>
        </w:tc>
        <w:tc>
          <w:tcPr>
            <w:tcW w:w="1494" w:type="dxa"/>
            <w:shd w:val="clear" w:color="auto" w:fill="B8CCE4" w:themeFill="accent1" w:themeFillTint="66"/>
          </w:tcPr>
          <w:p w14:paraId="0C5D59C3" w14:textId="77777777" w:rsidR="00091D2A" w:rsidRPr="00552B0C" w:rsidRDefault="00091D2A">
            <w:pPr>
              <w:pStyle w:val="TableText0"/>
              <w:keepNext w:val="0"/>
              <w:jc w:val="center"/>
            </w:pPr>
            <w:r w:rsidRPr="00552B0C">
              <w:t xml:space="preserve">26/370 </w:t>
            </w:r>
          </w:p>
          <w:p w14:paraId="74493F84" w14:textId="77777777" w:rsidR="00091D2A" w:rsidRPr="00552B0C" w:rsidRDefault="00091D2A">
            <w:pPr>
              <w:pStyle w:val="TableText0"/>
              <w:keepNext w:val="0"/>
              <w:jc w:val="center"/>
            </w:pPr>
            <w:r w:rsidRPr="00552B0C">
              <w:t>(7.03%)</w:t>
            </w:r>
          </w:p>
        </w:tc>
        <w:tc>
          <w:tcPr>
            <w:tcW w:w="1492" w:type="dxa"/>
            <w:shd w:val="clear" w:color="auto" w:fill="B8CCE4" w:themeFill="accent1" w:themeFillTint="66"/>
          </w:tcPr>
          <w:p w14:paraId="39169534" w14:textId="77777777" w:rsidR="00091D2A" w:rsidRPr="00552B0C" w:rsidRDefault="00091D2A">
            <w:pPr>
              <w:pStyle w:val="TableText0"/>
              <w:keepNext w:val="0"/>
              <w:jc w:val="center"/>
            </w:pPr>
            <w:r w:rsidRPr="00552B0C">
              <w:t xml:space="preserve">8/379 </w:t>
            </w:r>
          </w:p>
          <w:p w14:paraId="3266B53F" w14:textId="77777777" w:rsidR="00091D2A" w:rsidRPr="00552B0C" w:rsidRDefault="00091D2A">
            <w:pPr>
              <w:pStyle w:val="TableText0"/>
              <w:keepNext w:val="0"/>
              <w:jc w:val="center"/>
            </w:pPr>
            <w:r w:rsidRPr="00552B0C">
              <w:t>(2.11%)</w:t>
            </w:r>
          </w:p>
        </w:tc>
        <w:tc>
          <w:tcPr>
            <w:tcW w:w="1224" w:type="dxa"/>
            <w:shd w:val="clear" w:color="auto" w:fill="B8CCE4" w:themeFill="accent1" w:themeFillTint="66"/>
          </w:tcPr>
          <w:p w14:paraId="2944050F" w14:textId="77777777" w:rsidR="00091D2A" w:rsidRPr="00552B0C" w:rsidRDefault="00091D2A">
            <w:pPr>
              <w:pStyle w:val="TableText0"/>
              <w:keepNext w:val="0"/>
              <w:jc w:val="center"/>
              <w:rPr>
                <w:b/>
                <w:bCs w:val="0"/>
              </w:rPr>
            </w:pPr>
            <w:r w:rsidRPr="00552B0C">
              <w:rPr>
                <w:b/>
                <w:bCs w:val="0"/>
              </w:rPr>
              <w:t xml:space="preserve">3.51 </w:t>
            </w:r>
          </w:p>
          <w:p w14:paraId="3182DBC1" w14:textId="77777777" w:rsidR="00091D2A" w:rsidRPr="00552B0C" w:rsidRDefault="00091D2A">
            <w:pPr>
              <w:pStyle w:val="TableText0"/>
              <w:keepNext w:val="0"/>
              <w:jc w:val="center"/>
              <w:rPr>
                <w:b/>
                <w:bCs w:val="0"/>
              </w:rPr>
            </w:pPr>
            <w:r w:rsidRPr="00552B0C">
              <w:rPr>
                <w:b/>
                <w:bCs w:val="0"/>
              </w:rPr>
              <w:t>[1.57, 7.85]</w:t>
            </w:r>
          </w:p>
        </w:tc>
        <w:tc>
          <w:tcPr>
            <w:tcW w:w="1224" w:type="dxa"/>
            <w:shd w:val="clear" w:color="auto" w:fill="B8CCE4" w:themeFill="accent1" w:themeFillTint="66"/>
          </w:tcPr>
          <w:p w14:paraId="043543A6" w14:textId="77777777" w:rsidR="00091D2A" w:rsidRPr="00552B0C" w:rsidRDefault="00091D2A">
            <w:pPr>
              <w:pStyle w:val="TableText0"/>
              <w:keepNext w:val="0"/>
              <w:jc w:val="center"/>
              <w:rPr>
                <w:b/>
                <w:bCs w:val="0"/>
              </w:rPr>
            </w:pPr>
            <w:r w:rsidRPr="00552B0C">
              <w:rPr>
                <w:b/>
                <w:bCs w:val="0"/>
              </w:rPr>
              <w:t xml:space="preserve">3.33 </w:t>
            </w:r>
          </w:p>
          <w:p w14:paraId="0A70E431" w14:textId="77777777" w:rsidR="00091D2A" w:rsidRPr="00552B0C" w:rsidRDefault="00091D2A">
            <w:pPr>
              <w:pStyle w:val="TableText0"/>
              <w:keepNext w:val="0"/>
              <w:jc w:val="center"/>
              <w:rPr>
                <w:b/>
                <w:bCs w:val="0"/>
              </w:rPr>
            </w:pPr>
            <w:r w:rsidRPr="00552B0C">
              <w:rPr>
                <w:b/>
                <w:bCs w:val="0"/>
              </w:rPr>
              <w:t>[1.53, 7.26]</w:t>
            </w:r>
          </w:p>
        </w:tc>
        <w:tc>
          <w:tcPr>
            <w:tcW w:w="1495" w:type="dxa"/>
            <w:shd w:val="clear" w:color="auto" w:fill="B8CCE4" w:themeFill="accent1" w:themeFillTint="66"/>
          </w:tcPr>
          <w:p w14:paraId="27EED7B6" w14:textId="77777777" w:rsidR="00091D2A" w:rsidRPr="00552B0C" w:rsidRDefault="00091D2A">
            <w:pPr>
              <w:pStyle w:val="TableText0"/>
              <w:keepNext w:val="0"/>
              <w:jc w:val="center"/>
              <w:rPr>
                <w:b/>
                <w:bCs w:val="0"/>
              </w:rPr>
            </w:pPr>
            <w:r w:rsidRPr="00552B0C">
              <w:rPr>
                <w:b/>
                <w:bCs w:val="0"/>
              </w:rPr>
              <w:t xml:space="preserve">0.05 </w:t>
            </w:r>
          </w:p>
          <w:p w14:paraId="10D62588" w14:textId="77777777" w:rsidR="00091D2A" w:rsidRPr="00552B0C" w:rsidRDefault="00091D2A">
            <w:pPr>
              <w:pStyle w:val="TableText0"/>
              <w:keepNext w:val="0"/>
              <w:jc w:val="center"/>
              <w:rPr>
                <w:b/>
                <w:bCs w:val="0"/>
              </w:rPr>
            </w:pPr>
            <w:r w:rsidRPr="00552B0C">
              <w:rPr>
                <w:b/>
                <w:bCs w:val="0"/>
              </w:rPr>
              <w:t>[0.02, 0.08]</w:t>
            </w:r>
          </w:p>
        </w:tc>
      </w:tr>
      <w:tr w:rsidR="00091D2A" w:rsidRPr="00552B0C" w14:paraId="6D193065" w14:textId="77777777">
        <w:trPr>
          <w:trHeight w:val="195"/>
        </w:trPr>
        <w:tc>
          <w:tcPr>
            <w:tcW w:w="9017" w:type="dxa"/>
            <w:gridSpan w:val="6"/>
            <w:shd w:val="clear" w:color="auto" w:fill="B8CCE4" w:themeFill="accent1" w:themeFillTint="66"/>
          </w:tcPr>
          <w:p w14:paraId="4AB06B82" w14:textId="77777777" w:rsidR="00091D2A" w:rsidRPr="00552B0C" w:rsidRDefault="00091D2A">
            <w:pPr>
              <w:pStyle w:val="TableText0"/>
              <w:keepNext w:val="0"/>
              <w:rPr>
                <w:b/>
                <w:bCs w:val="0"/>
              </w:rPr>
            </w:pPr>
            <w:r w:rsidRPr="00552B0C">
              <w:rPr>
                <w:b/>
                <w:bCs w:val="0"/>
              </w:rPr>
              <w:t>General disorders and administration site conditions</w:t>
            </w:r>
          </w:p>
        </w:tc>
      </w:tr>
      <w:tr w:rsidR="00091D2A" w:rsidRPr="00552B0C" w14:paraId="0B079968" w14:textId="77777777">
        <w:trPr>
          <w:trHeight w:val="195"/>
        </w:trPr>
        <w:tc>
          <w:tcPr>
            <w:tcW w:w="2088" w:type="dxa"/>
            <w:shd w:val="clear" w:color="auto" w:fill="B8CCE4" w:themeFill="accent1" w:themeFillTint="66"/>
          </w:tcPr>
          <w:p w14:paraId="7A627F2F" w14:textId="77777777" w:rsidR="00091D2A" w:rsidRPr="00552B0C" w:rsidRDefault="00091D2A">
            <w:pPr>
              <w:pStyle w:val="TableText0"/>
              <w:keepNext w:val="0"/>
            </w:pPr>
            <w:r w:rsidRPr="00552B0C">
              <w:t>Fatigue</w:t>
            </w:r>
          </w:p>
        </w:tc>
        <w:tc>
          <w:tcPr>
            <w:tcW w:w="1494" w:type="dxa"/>
            <w:shd w:val="clear" w:color="auto" w:fill="B8CCE4" w:themeFill="accent1" w:themeFillTint="66"/>
          </w:tcPr>
          <w:p w14:paraId="2FB62EE1" w14:textId="77777777" w:rsidR="00091D2A" w:rsidRPr="00552B0C" w:rsidRDefault="00091D2A">
            <w:pPr>
              <w:pStyle w:val="TableText0"/>
              <w:keepNext w:val="0"/>
              <w:jc w:val="center"/>
            </w:pPr>
            <w:r w:rsidRPr="00552B0C">
              <w:t xml:space="preserve">23/370 </w:t>
            </w:r>
          </w:p>
          <w:p w14:paraId="7B312A80" w14:textId="77777777" w:rsidR="00091D2A" w:rsidRPr="00552B0C" w:rsidRDefault="00091D2A">
            <w:pPr>
              <w:pStyle w:val="TableText0"/>
              <w:keepNext w:val="0"/>
              <w:jc w:val="center"/>
            </w:pPr>
            <w:r w:rsidRPr="00552B0C">
              <w:t>(6.22%)</w:t>
            </w:r>
          </w:p>
        </w:tc>
        <w:tc>
          <w:tcPr>
            <w:tcW w:w="1492" w:type="dxa"/>
            <w:shd w:val="clear" w:color="auto" w:fill="B8CCE4" w:themeFill="accent1" w:themeFillTint="66"/>
          </w:tcPr>
          <w:p w14:paraId="28387C9E" w14:textId="77777777" w:rsidR="00091D2A" w:rsidRPr="00552B0C" w:rsidRDefault="00091D2A">
            <w:pPr>
              <w:pStyle w:val="TableText0"/>
              <w:keepNext w:val="0"/>
              <w:jc w:val="center"/>
            </w:pPr>
            <w:r w:rsidRPr="00552B0C">
              <w:t xml:space="preserve">20/379 </w:t>
            </w:r>
          </w:p>
          <w:p w14:paraId="1A1186A7" w14:textId="77777777" w:rsidR="00091D2A" w:rsidRPr="00552B0C" w:rsidRDefault="00091D2A">
            <w:pPr>
              <w:pStyle w:val="TableText0"/>
              <w:keepNext w:val="0"/>
              <w:jc w:val="center"/>
            </w:pPr>
            <w:r w:rsidRPr="00552B0C">
              <w:t>(5.28%)</w:t>
            </w:r>
          </w:p>
        </w:tc>
        <w:tc>
          <w:tcPr>
            <w:tcW w:w="1224" w:type="dxa"/>
            <w:shd w:val="clear" w:color="auto" w:fill="B8CCE4" w:themeFill="accent1" w:themeFillTint="66"/>
          </w:tcPr>
          <w:p w14:paraId="2D67728F" w14:textId="77777777" w:rsidR="00091D2A" w:rsidRPr="00552B0C" w:rsidRDefault="00091D2A">
            <w:pPr>
              <w:pStyle w:val="TableText0"/>
              <w:keepNext w:val="0"/>
              <w:jc w:val="center"/>
            </w:pPr>
            <w:r w:rsidRPr="00552B0C">
              <w:t xml:space="preserve">1.19 </w:t>
            </w:r>
          </w:p>
          <w:p w14:paraId="74A2B322" w14:textId="77777777" w:rsidR="00091D2A" w:rsidRPr="00552B0C" w:rsidRDefault="00091D2A">
            <w:pPr>
              <w:pStyle w:val="TableText0"/>
              <w:keepNext w:val="0"/>
              <w:jc w:val="center"/>
            </w:pPr>
            <w:r w:rsidRPr="00552B0C">
              <w:t>[0.64, 2.21]</w:t>
            </w:r>
          </w:p>
        </w:tc>
        <w:tc>
          <w:tcPr>
            <w:tcW w:w="1224" w:type="dxa"/>
            <w:shd w:val="clear" w:color="auto" w:fill="B8CCE4" w:themeFill="accent1" w:themeFillTint="66"/>
          </w:tcPr>
          <w:p w14:paraId="20BF21BB" w14:textId="77777777" w:rsidR="00091D2A" w:rsidRPr="00552B0C" w:rsidRDefault="00091D2A">
            <w:pPr>
              <w:pStyle w:val="TableText0"/>
              <w:keepNext w:val="0"/>
              <w:jc w:val="center"/>
            </w:pPr>
            <w:r w:rsidRPr="00552B0C">
              <w:t xml:space="preserve">1.18 </w:t>
            </w:r>
          </w:p>
          <w:p w14:paraId="5F7DB881" w14:textId="77777777" w:rsidR="00091D2A" w:rsidRPr="00552B0C" w:rsidRDefault="00091D2A">
            <w:pPr>
              <w:pStyle w:val="TableText0"/>
              <w:keepNext w:val="0"/>
              <w:jc w:val="center"/>
            </w:pPr>
            <w:r w:rsidRPr="00552B0C">
              <w:t>[0.66, 2.11]</w:t>
            </w:r>
          </w:p>
        </w:tc>
        <w:tc>
          <w:tcPr>
            <w:tcW w:w="1495" w:type="dxa"/>
            <w:shd w:val="clear" w:color="auto" w:fill="B8CCE4" w:themeFill="accent1" w:themeFillTint="66"/>
          </w:tcPr>
          <w:p w14:paraId="751C2831" w14:textId="77777777" w:rsidR="00091D2A" w:rsidRPr="00552B0C" w:rsidRDefault="00091D2A">
            <w:pPr>
              <w:pStyle w:val="TableText0"/>
              <w:keepNext w:val="0"/>
              <w:jc w:val="center"/>
            </w:pPr>
            <w:r w:rsidRPr="00552B0C">
              <w:t xml:space="preserve">0.01 </w:t>
            </w:r>
          </w:p>
          <w:p w14:paraId="543EDF41" w14:textId="77777777" w:rsidR="00091D2A" w:rsidRPr="00552B0C" w:rsidRDefault="00091D2A">
            <w:pPr>
              <w:pStyle w:val="TableText0"/>
              <w:keepNext w:val="0"/>
              <w:jc w:val="center"/>
            </w:pPr>
            <w:r w:rsidRPr="00552B0C">
              <w:t>[-0.02, 0.04]</w:t>
            </w:r>
          </w:p>
        </w:tc>
      </w:tr>
      <w:tr w:rsidR="00091D2A" w:rsidRPr="00552B0C" w14:paraId="52B08D6B" w14:textId="77777777">
        <w:trPr>
          <w:trHeight w:val="185"/>
        </w:trPr>
        <w:tc>
          <w:tcPr>
            <w:tcW w:w="2088" w:type="dxa"/>
            <w:shd w:val="clear" w:color="auto" w:fill="B8CCE4" w:themeFill="accent1" w:themeFillTint="66"/>
          </w:tcPr>
          <w:p w14:paraId="3D94E7A0" w14:textId="77777777" w:rsidR="00091D2A" w:rsidRPr="00552B0C" w:rsidRDefault="00091D2A">
            <w:pPr>
              <w:pStyle w:val="TableText0"/>
              <w:keepNext w:val="0"/>
            </w:pPr>
            <w:r w:rsidRPr="00552B0C">
              <w:t>Asthenia</w:t>
            </w:r>
          </w:p>
        </w:tc>
        <w:tc>
          <w:tcPr>
            <w:tcW w:w="1494" w:type="dxa"/>
            <w:shd w:val="clear" w:color="auto" w:fill="B8CCE4" w:themeFill="accent1" w:themeFillTint="66"/>
          </w:tcPr>
          <w:p w14:paraId="1486AB7C" w14:textId="77777777" w:rsidR="00091D2A" w:rsidRPr="00552B0C" w:rsidRDefault="00091D2A">
            <w:pPr>
              <w:pStyle w:val="TableText0"/>
              <w:keepNext w:val="0"/>
              <w:jc w:val="center"/>
            </w:pPr>
            <w:r w:rsidRPr="00552B0C">
              <w:t xml:space="preserve">33/370 </w:t>
            </w:r>
          </w:p>
          <w:p w14:paraId="0D6D7D08" w14:textId="77777777" w:rsidR="00091D2A" w:rsidRPr="00552B0C" w:rsidRDefault="00091D2A">
            <w:pPr>
              <w:pStyle w:val="TableText0"/>
              <w:keepNext w:val="0"/>
              <w:jc w:val="center"/>
            </w:pPr>
            <w:r w:rsidRPr="00552B0C">
              <w:t>(8.92%)</w:t>
            </w:r>
          </w:p>
        </w:tc>
        <w:tc>
          <w:tcPr>
            <w:tcW w:w="1492" w:type="dxa"/>
            <w:shd w:val="clear" w:color="auto" w:fill="B8CCE4" w:themeFill="accent1" w:themeFillTint="66"/>
          </w:tcPr>
          <w:p w14:paraId="3C624C3C" w14:textId="77777777" w:rsidR="00091D2A" w:rsidRPr="00552B0C" w:rsidRDefault="00091D2A">
            <w:pPr>
              <w:pStyle w:val="TableText0"/>
              <w:keepNext w:val="0"/>
              <w:jc w:val="center"/>
            </w:pPr>
            <w:r w:rsidRPr="00552B0C">
              <w:t xml:space="preserve">19/379 </w:t>
            </w:r>
          </w:p>
          <w:p w14:paraId="221379B5" w14:textId="77777777" w:rsidR="00091D2A" w:rsidRPr="00552B0C" w:rsidRDefault="00091D2A">
            <w:pPr>
              <w:pStyle w:val="TableText0"/>
              <w:keepNext w:val="0"/>
              <w:jc w:val="center"/>
            </w:pPr>
            <w:r w:rsidRPr="00552B0C">
              <w:t>(5.01%)</w:t>
            </w:r>
          </w:p>
        </w:tc>
        <w:tc>
          <w:tcPr>
            <w:tcW w:w="1224" w:type="dxa"/>
            <w:shd w:val="clear" w:color="auto" w:fill="B8CCE4" w:themeFill="accent1" w:themeFillTint="66"/>
          </w:tcPr>
          <w:p w14:paraId="6030DB69" w14:textId="77777777" w:rsidR="00091D2A" w:rsidRPr="00552B0C" w:rsidRDefault="00091D2A">
            <w:pPr>
              <w:pStyle w:val="TableText0"/>
              <w:keepNext w:val="0"/>
              <w:jc w:val="center"/>
              <w:rPr>
                <w:b/>
                <w:bCs w:val="0"/>
              </w:rPr>
            </w:pPr>
            <w:r w:rsidRPr="00552B0C">
              <w:rPr>
                <w:b/>
                <w:bCs w:val="0"/>
              </w:rPr>
              <w:t xml:space="preserve">1.86 </w:t>
            </w:r>
          </w:p>
          <w:p w14:paraId="4D5E2FFF" w14:textId="77777777" w:rsidR="00091D2A" w:rsidRPr="00552B0C" w:rsidRDefault="00091D2A">
            <w:pPr>
              <w:pStyle w:val="TableText0"/>
              <w:keepNext w:val="0"/>
              <w:jc w:val="center"/>
              <w:rPr>
                <w:b/>
                <w:bCs w:val="0"/>
              </w:rPr>
            </w:pPr>
            <w:r w:rsidRPr="00552B0C">
              <w:rPr>
                <w:b/>
                <w:bCs w:val="0"/>
              </w:rPr>
              <w:t>[1.04, 3.33]</w:t>
            </w:r>
          </w:p>
        </w:tc>
        <w:tc>
          <w:tcPr>
            <w:tcW w:w="1224" w:type="dxa"/>
            <w:shd w:val="clear" w:color="auto" w:fill="B8CCE4" w:themeFill="accent1" w:themeFillTint="66"/>
          </w:tcPr>
          <w:p w14:paraId="31643636" w14:textId="77777777" w:rsidR="00091D2A" w:rsidRPr="00552B0C" w:rsidRDefault="00091D2A">
            <w:pPr>
              <w:pStyle w:val="TableText0"/>
              <w:keepNext w:val="0"/>
              <w:jc w:val="center"/>
              <w:rPr>
                <w:b/>
                <w:bCs w:val="0"/>
              </w:rPr>
            </w:pPr>
            <w:r w:rsidRPr="00552B0C">
              <w:rPr>
                <w:b/>
                <w:bCs w:val="0"/>
              </w:rPr>
              <w:t xml:space="preserve">1.78 </w:t>
            </w:r>
          </w:p>
          <w:p w14:paraId="6C8070A9" w14:textId="77777777" w:rsidR="00091D2A" w:rsidRPr="00552B0C" w:rsidRDefault="00091D2A">
            <w:pPr>
              <w:pStyle w:val="TableText0"/>
              <w:keepNext w:val="0"/>
              <w:jc w:val="center"/>
              <w:rPr>
                <w:b/>
                <w:bCs w:val="0"/>
              </w:rPr>
            </w:pPr>
            <w:r w:rsidRPr="00552B0C">
              <w:rPr>
                <w:b/>
                <w:bCs w:val="0"/>
              </w:rPr>
              <w:t>[1.03, 3.07]</w:t>
            </w:r>
          </w:p>
        </w:tc>
        <w:tc>
          <w:tcPr>
            <w:tcW w:w="1495" w:type="dxa"/>
            <w:shd w:val="clear" w:color="auto" w:fill="B8CCE4" w:themeFill="accent1" w:themeFillTint="66"/>
          </w:tcPr>
          <w:p w14:paraId="166EE255" w14:textId="77777777" w:rsidR="00091D2A" w:rsidRPr="00552B0C" w:rsidRDefault="00091D2A">
            <w:pPr>
              <w:pStyle w:val="TableText0"/>
              <w:keepNext w:val="0"/>
              <w:jc w:val="center"/>
              <w:rPr>
                <w:b/>
                <w:bCs w:val="0"/>
              </w:rPr>
            </w:pPr>
            <w:r w:rsidRPr="00552B0C">
              <w:rPr>
                <w:b/>
                <w:bCs w:val="0"/>
              </w:rPr>
              <w:t xml:space="preserve">0.04 </w:t>
            </w:r>
          </w:p>
          <w:p w14:paraId="36ED8FC0" w14:textId="77777777" w:rsidR="00091D2A" w:rsidRPr="00552B0C" w:rsidRDefault="00091D2A">
            <w:pPr>
              <w:pStyle w:val="TableText0"/>
              <w:keepNext w:val="0"/>
              <w:jc w:val="center"/>
              <w:rPr>
                <w:b/>
                <w:bCs w:val="0"/>
              </w:rPr>
            </w:pPr>
            <w:r w:rsidRPr="00552B0C">
              <w:rPr>
                <w:b/>
                <w:bCs w:val="0"/>
              </w:rPr>
              <w:t>[0.00, 0.08]</w:t>
            </w:r>
          </w:p>
        </w:tc>
      </w:tr>
      <w:tr w:rsidR="00091D2A" w:rsidRPr="00552B0C" w14:paraId="0387C1E7" w14:textId="77777777">
        <w:trPr>
          <w:trHeight w:val="185"/>
        </w:trPr>
        <w:tc>
          <w:tcPr>
            <w:tcW w:w="2088" w:type="dxa"/>
            <w:shd w:val="clear" w:color="auto" w:fill="B8CCE4" w:themeFill="accent1" w:themeFillTint="66"/>
          </w:tcPr>
          <w:p w14:paraId="5A2E2573" w14:textId="77777777" w:rsidR="00091D2A" w:rsidRPr="00552B0C" w:rsidRDefault="00091D2A">
            <w:pPr>
              <w:pStyle w:val="TableText0"/>
              <w:keepNext w:val="0"/>
            </w:pPr>
            <w:r w:rsidRPr="00552B0C">
              <w:t>Mucosal inflammation</w:t>
            </w:r>
          </w:p>
        </w:tc>
        <w:tc>
          <w:tcPr>
            <w:tcW w:w="1494" w:type="dxa"/>
            <w:shd w:val="clear" w:color="auto" w:fill="B8CCE4" w:themeFill="accent1" w:themeFillTint="66"/>
          </w:tcPr>
          <w:p w14:paraId="375F95FA" w14:textId="77777777" w:rsidR="00091D2A" w:rsidRPr="00552B0C" w:rsidRDefault="00091D2A">
            <w:pPr>
              <w:pStyle w:val="TableText0"/>
              <w:keepNext w:val="0"/>
              <w:jc w:val="center"/>
            </w:pPr>
            <w:r w:rsidRPr="00552B0C">
              <w:t xml:space="preserve">8/370 </w:t>
            </w:r>
          </w:p>
          <w:p w14:paraId="6909728E" w14:textId="77777777" w:rsidR="00091D2A" w:rsidRPr="00552B0C" w:rsidRDefault="00091D2A">
            <w:pPr>
              <w:pStyle w:val="TableText0"/>
              <w:keepNext w:val="0"/>
              <w:jc w:val="center"/>
            </w:pPr>
            <w:r w:rsidRPr="00552B0C">
              <w:t>(2.16%)</w:t>
            </w:r>
          </w:p>
        </w:tc>
        <w:tc>
          <w:tcPr>
            <w:tcW w:w="1492" w:type="dxa"/>
            <w:shd w:val="clear" w:color="auto" w:fill="B8CCE4" w:themeFill="accent1" w:themeFillTint="66"/>
          </w:tcPr>
          <w:p w14:paraId="2A7CB084" w14:textId="77777777" w:rsidR="00091D2A" w:rsidRPr="00552B0C" w:rsidRDefault="00091D2A">
            <w:pPr>
              <w:pStyle w:val="TableText0"/>
              <w:keepNext w:val="0"/>
              <w:jc w:val="center"/>
            </w:pPr>
            <w:r w:rsidRPr="00552B0C">
              <w:t xml:space="preserve">1/379 </w:t>
            </w:r>
          </w:p>
          <w:p w14:paraId="0C8C8642" w14:textId="77777777" w:rsidR="00091D2A" w:rsidRPr="00552B0C" w:rsidRDefault="00091D2A">
            <w:pPr>
              <w:pStyle w:val="TableText0"/>
              <w:keepNext w:val="0"/>
              <w:jc w:val="center"/>
            </w:pPr>
            <w:r w:rsidRPr="00552B0C">
              <w:t>(0.26%)</w:t>
            </w:r>
          </w:p>
        </w:tc>
        <w:tc>
          <w:tcPr>
            <w:tcW w:w="1224" w:type="dxa"/>
            <w:shd w:val="clear" w:color="auto" w:fill="B8CCE4" w:themeFill="accent1" w:themeFillTint="66"/>
          </w:tcPr>
          <w:p w14:paraId="06073E57" w14:textId="77777777" w:rsidR="00091D2A" w:rsidRPr="00552B0C" w:rsidRDefault="00091D2A">
            <w:pPr>
              <w:pStyle w:val="TableText0"/>
              <w:keepNext w:val="0"/>
              <w:jc w:val="center"/>
              <w:rPr>
                <w:b/>
                <w:bCs w:val="0"/>
              </w:rPr>
            </w:pPr>
            <w:r w:rsidRPr="00552B0C">
              <w:rPr>
                <w:b/>
                <w:bCs w:val="0"/>
              </w:rPr>
              <w:t xml:space="preserve">8.35 </w:t>
            </w:r>
          </w:p>
          <w:p w14:paraId="5EEF3119" w14:textId="77777777" w:rsidR="00091D2A" w:rsidRPr="00552B0C" w:rsidRDefault="00091D2A">
            <w:pPr>
              <w:pStyle w:val="TableText0"/>
              <w:keepNext w:val="0"/>
              <w:jc w:val="center"/>
              <w:rPr>
                <w:b/>
                <w:bCs w:val="0"/>
              </w:rPr>
            </w:pPr>
            <w:r w:rsidRPr="00552B0C">
              <w:rPr>
                <w:b/>
                <w:bCs w:val="0"/>
              </w:rPr>
              <w:t>[1.04, 67.13]</w:t>
            </w:r>
          </w:p>
        </w:tc>
        <w:tc>
          <w:tcPr>
            <w:tcW w:w="1224" w:type="dxa"/>
            <w:shd w:val="clear" w:color="auto" w:fill="B8CCE4" w:themeFill="accent1" w:themeFillTint="66"/>
          </w:tcPr>
          <w:p w14:paraId="193B6D57" w14:textId="77777777" w:rsidR="00091D2A" w:rsidRPr="00552B0C" w:rsidRDefault="00091D2A">
            <w:pPr>
              <w:pStyle w:val="TableText0"/>
              <w:keepNext w:val="0"/>
              <w:jc w:val="center"/>
              <w:rPr>
                <w:b/>
                <w:bCs w:val="0"/>
              </w:rPr>
            </w:pPr>
            <w:r w:rsidRPr="00552B0C">
              <w:rPr>
                <w:b/>
                <w:bCs w:val="0"/>
              </w:rPr>
              <w:t xml:space="preserve">8.19 </w:t>
            </w:r>
          </w:p>
          <w:p w14:paraId="17DE739B" w14:textId="77777777" w:rsidR="00091D2A" w:rsidRPr="00552B0C" w:rsidRDefault="00091D2A">
            <w:pPr>
              <w:pStyle w:val="TableText0"/>
              <w:keepNext w:val="0"/>
              <w:jc w:val="center"/>
              <w:rPr>
                <w:b/>
                <w:bCs w:val="0"/>
              </w:rPr>
            </w:pPr>
            <w:r w:rsidRPr="00552B0C">
              <w:rPr>
                <w:b/>
                <w:bCs w:val="0"/>
              </w:rPr>
              <w:t>[1.03, 65.20]</w:t>
            </w:r>
          </w:p>
        </w:tc>
        <w:tc>
          <w:tcPr>
            <w:tcW w:w="1495" w:type="dxa"/>
            <w:shd w:val="clear" w:color="auto" w:fill="B8CCE4" w:themeFill="accent1" w:themeFillTint="66"/>
          </w:tcPr>
          <w:p w14:paraId="4C05C259" w14:textId="77777777" w:rsidR="00091D2A" w:rsidRPr="00552B0C" w:rsidRDefault="00091D2A">
            <w:pPr>
              <w:pStyle w:val="TableText0"/>
              <w:keepNext w:val="0"/>
              <w:jc w:val="center"/>
              <w:rPr>
                <w:b/>
                <w:bCs w:val="0"/>
              </w:rPr>
            </w:pPr>
            <w:r w:rsidRPr="00552B0C">
              <w:rPr>
                <w:b/>
                <w:bCs w:val="0"/>
              </w:rPr>
              <w:t xml:space="preserve">0.02 </w:t>
            </w:r>
          </w:p>
          <w:p w14:paraId="13FD9D49" w14:textId="77777777" w:rsidR="00091D2A" w:rsidRPr="00552B0C" w:rsidRDefault="00091D2A">
            <w:pPr>
              <w:pStyle w:val="TableText0"/>
              <w:keepNext w:val="0"/>
              <w:jc w:val="center"/>
              <w:rPr>
                <w:b/>
                <w:bCs w:val="0"/>
              </w:rPr>
            </w:pPr>
            <w:r w:rsidRPr="00552B0C">
              <w:rPr>
                <w:b/>
                <w:bCs w:val="0"/>
              </w:rPr>
              <w:t>[0.00, 0.03]</w:t>
            </w:r>
          </w:p>
        </w:tc>
      </w:tr>
      <w:tr w:rsidR="00091D2A" w:rsidRPr="00552B0C" w14:paraId="02120B96" w14:textId="77777777">
        <w:trPr>
          <w:trHeight w:val="195"/>
        </w:trPr>
        <w:tc>
          <w:tcPr>
            <w:tcW w:w="9017" w:type="dxa"/>
            <w:gridSpan w:val="6"/>
            <w:shd w:val="clear" w:color="auto" w:fill="B8CCE4" w:themeFill="accent1" w:themeFillTint="66"/>
          </w:tcPr>
          <w:p w14:paraId="0A26803B" w14:textId="77777777" w:rsidR="00091D2A" w:rsidRPr="00552B0C" w:rsidRDefault="00091D2A">
            <w:pPr>
              <w:pStyle w:val="TableText0"/>
              <w:keepNext w:val="0"/>
              <w:rPr>
                <w:b/>
                <w:bCs w:val="0"/>
              </w:rPr>
            </w:pPr>
            <w:r w:rsidRPr="00552B0C">
              <w:rPr>
                <w:b/>
                <w:bCs w:val="0"/>
              </w:rPr>
              <w:t>Blood and lymphatic system disorders</w:t>
            </w:r>
          </w:p>
        </w:tc>
      </w:tr>
      <w:tr w:rsidR="00091D2A" w:rsidRPr="00552B0C" w14:paraId="6EE03599" w14:textId="77777777">
        <w:trPr>
          <w:trHeight w:val="195"/>
        </w:trPr>
        <w:tc>
          <w:tcPr>
            <w:tcW w:w="2088" w:type="dxa"/>
            <w:shd w:val="clear" w:color="auto" w:fill="B8CCE4" w:themeFill="accent1" w:themeFillTint="66"/>
          </w:tcPr>
          <w:p w14:paraId="09533D28" w14:textId="77777777" w:rsidR="00091D2A" w:rsidRPr="00552B0C" w:rsidRDefault="00091D2A">
            <w:pPr>
              <w:pStyle w:val="TableText0"/>
              <w:keepNext w:val="0"/>
            </w:pPr>
            <w:r w:rsidRPr="00552B0C">
              <w:t>Anaemia</w:t>
            </w:r>
          </w:p>
        </w:tc>
        <w:tc>
          <w:tcPr>
            <w:tcW w:w="1494" w:type="dxa"/>
            <w:shd w:val="clear" w:color="auto" w:fill="B8CCE4" w:themeFill="accent1" w:themeFillTint="66"/>
          </w:tcPr>
          <w:p w14:paraId="595DDBD5" w14:textId="77777777" w:rsidR="00091D2A" w:rsidRPr="00552B0C" w:rsidRDefault="00091D2A">
            <w:pPr>
              <w:pStyle w:val="TableText0"/>
              <w:keepNext w:val="0"/>
              <w:jc w:val="center"/>
            </w:pPr>
            <w:r w:rsidRPr="00552B0C">
              <w:t xml:space="preserve">39/370 </w:t>
            </w:r>
          </w:p>
          <w:p w14:paraId="00C762F9" w14:textId="77777777" w:rsidR="00091D2A" w:rsidRPr="00552B0C" w:rsidRDefault="00091D2A">
            <w:pPr>
              <w:pStyle w:val="TableText0"/>
              <w:keepNext w:val="0"/>
              <w:jc w:val="center"/>
            </w:pPr>
            <w:r w:rsidRPr="00552B0C">
              <w:t>(10.54%)</w:t>
            </w:r>
          </w:p>
        </w:tc>
        <w:tc>
          <w:tcPr>
            <w:tcW w:w="1492" w:type="dxa"/>
            <w:shd w:val="clear" w:color="auto" w:fill="B8CCE4" w:themeFill="accent1" w:themeFillTint="66"/>
          </w:tcPr>
          <w:p w14:paraId="7C2CA486" w14:textId="77777777" w:rsidR="00091D2A" w:rsidRPr="00552B0C" w:rsidRDefault="00091D2A">
            <w:pPr>
              <w:pStyle w:val="TableText0"/>
              <w:keepNext w:val="0"/>
              <w:jc w:val="center"/>
            </w:pPr>
            <w:r w:rsidRPr="00552B0C">
              <w:t xml:space="preserve">66/379 </w:t>
            </w:r>
          </w:p>
          <w:p w14:paraId="57B0A01E" w14:textId="77777777" w:rsidR="00091D2A" w:rsidRPr="00552B0C" w:rsidRDefault="00091D2A">
            <w:pPr>
              <w:pStyle w:val="TableText0"/>
              <w:keepNext w:val="0"/>
              <w:jc w:val="center"/>
            </w:pPr>
            <w:r w:rsidRPr="00552B0C">
              <w:t>(17.41%)</w:t>
            </w:r>
          </w:p>
        </w:tc>
        <w:tc>
          <w:tcPr>
            <w:tcW w:w="1224" w:type="dxa"/>
            <w:shd w:val="clear" w:color="auto" w:fill="B8CCE4" w:themeFill="accent1" w:themeFillTint="66"/>
          </w:tcPr>
          <w:p w14:paraId="2DFB7272" w14:textId="77777777" w:rsidR="00091D2A" w:rsidRPr="00552B0C" w:rsidRDefault="00091D2A">
            <w:pPr>
              <w:pStyle w:val="TableText0"/>
              <w:keepNext w:val="0"/>
              <w:jc w:val="center"/>
              <w:rPr>
                <w:b/>
                <w:bCs w:val="0"/>
              </w:rPr>
            </w:pPr>
            <w:r w:rsidRPr="00552B0C">
              <w:rPr>
                <w:b/>
                <w:bCs w:val="0"/>
              </w:rPr>
              <w:t xml:space="preserve">0.56 </w:t>
            </w:r>
          </w:p>
          <w:p w14:paraId="22624733" w14:textId="77777777" w:rsidR="00091D2A" w:rsidRPr="00552B0C" w:rsidRDefault="00091D2A">
            <w:pPr>
              <w:pStyle w:val="TableText0"/>
              <w:keepNext w:val="0"/>
              <w:jc w:val="center"/>
              <w:rPr>
                <w:b/>
                <w:bCs w:val="0"/>
              </w:rPr>
            </w:pPr>
            <w:r w:rsidRPr="00552B0C">
              <w:rPr>
                <w:b/>
                <w:bCs w:val="0"/>
              </w:rPr>
              <w:t>[0.37, 0.85]</w:t>
            </w:r>
          </w:p>
        </w:tc>
        <w:tc>
          <w:tcPr>
            <w:tcW w:w="1224" w:type="dxa"/>
            <w:shd w:val="clear" w:color="auto" w:fill="B8CCE4" w:themeFill="accent1" w:themeFillTint="66"/>
          </w:tcPr>
          <w:p w14:paraId="2F522374" w14:textId="77777777" w:rsidR="00091D2A" w:rsidRPr="00552B0C" w:rsidRDefault="00091D2A">
            <w:pPr>
              <w:pStyle w:val="TableText0"/>
              <w:keepNext w:val="0"/>
              <w:jc w:val="center"/>
              <w:rPr>
                <w:b/>
                <w:bCs w:val="0"/>
              </w:rPr>
            </w:pPr>
            <w:r w:rsidRPr="00552B0C">
              <w:rPr>
                <w:b/>
                <w:bCs w:val="0"/>
              </w:rPr>
              <w:t xml:space="preserve">0.61 </w:t>
            </w:r>
          </w:p>
          <w:p w14:paraId="7D26EE41" w14:textId="77777777" w:rsidR="00091D2A" w:rsidRPr="00552B0C" w:rsidRDefault="00091D2A">
            <w:pPr>
              <w:pStyle w:val="TableText0"/>
              <w:keepNext w:val="0"/>
              <w:jc w:val="center"/>
              <w:rPr>
                <w:b/>
                <w:bCs w:val="0"/>
              </w:rPr>
            </w:pPr>
            <w:r w:rsidRPr="00552B0C">
              <w:rPr>
                <w:b/>
                <w:bCs w:val="0"/>
              </w:rPr>
              <w:t>[0.42, 0.88]</w:t>
            </w:r>
          </w:p>
        </w:tc>
        <w:tc>
          <w:tcPr>
            <w:tcW w:w="1495" w:type="dxa"/>
            <w:shd w:val="clear" w:color="auto" w:fill="B8CCE4" w:themeFill="accent1" w:themeFillTint="66"/>
          </w:tcPr>
          <w:p w14:paraId="598F4100" w14:textId="77777777" w:rsidR="00091D2A" w:rsidRPr="00552B0C" w:rsidRDefault="00091D2A">
            <w:pPr>
              <w:pStyle w:val="TableText0"/>
              <w:keepNext w:val="0"/>
              <w:jc w:val="center"/>
              <w:rPr>
                <w:b/>
                <w:bCs w:val="0"/>
              </w:rPr>
            </w:pPr>
            <w:r w:rsidRPr="00552B0C">
              <w:rPr>
                <w:b/>
                <w:bCs w:val="0"/>
              </w:rPr>
              <w:t xml:space="preserve">-0.07 </w:t>
            </w:r>
          </w:p>
          <w:p w14:paraId="67BD93E9" w14:textId="77777777" w:rsidR="00091D2A" w:rsidRPr="00552B0C" w:rsidRDefault="00091D2A">
            <w:pPr>
              <w:pStyle w:val="TableText0"/>
              <w:keepNext w:val="0"/>
              <w:jc w:val="center"/>
              <w:rPr>
                <w:b/>
                <w:bCs w:val="0"/>
              </w:rPr>
            </w:pPr>
            <w:r w:rsidRPr="00552B0C">
              <w:rPr>
                <w:b/>
                <w:bCs w:val="0"/>
              </w:rPr>
              <w:t>[-0.12, -0.02]</w:t>
            </w:r>
          </w:p>
        </w:tc>
      </w:tr>
      <w:tr w:rsidR="00091D2A" w:rsidRPr="00552B0C" w14:paraId="5C895818" w14:textId="77777777">
        <w:trPr>
          <w:trHeight w:val="195"/>
        </w:trPr>
        <w:tc>
          <w:tcPr>
            <w:tcW w:w="2088" w:type="dxa"/>
            <w:shd w:val="clear" w:color="auto" w:fill="B8CCE4" w:themeFill="accent1" w:themeFillTint="66"/>
          </w:tcPr>
          <w:p w14:paraId="2A751443" w14:textId="77777777" w:rsidR="00091D2A" w:rsidRPr="00552B0C" w:rsidRDefault="00091D2A">
            <w:pPr>
              <w:pStyle w:val="TableText0"/>
            </w:pPr>
            <w:r w:rsidRPr="00552B0C">
              <w:t>Neutropenia</w:t>
            </w:r>
          </w:p>
        </w:tc>
        <w:tc>
          <w:tcPr>
            <w:tcW w:w="1494" w:type="dxa"/>
            <w:shd w:val="clear" w:color="auto" w:fill="B8CCE4" w:themeFill="accent1" w:themeFillTint="66"/>
          </w:tcPr>
          <w:p w14:paraId="6897148C" w14:textId="77777777" w:rsidR="00091D2A" w:rsidRPr="00552B0C" w:rsidRDefault="00091D2A">
            <w:pPr>
              <w:pStyle w:val="TableText0"/>
              <w:jc w:val="center"/>
            </w:pPr>
            <w:r w:rsidRPr="00552B0C">
              <w:t xml:space="preserve">52/370 </w:t>
            </w:r>
          </w:p>
          <w:p w14:paraId="06FC2045" w14:textId="77777777" w:rsidR="00091D2A" w:rsidRPr="00552B0C" w:rsidRDefault="00091D2A">
            <w:pPr>
              <w:pStyle w:val="TableText0"/>
              <w:jc w:val="center"/>
            </w:pPr>
            <w:r w:rsidRPr="00552B0C">
              <w:t>(14.05%)</w:t>
            </w:r>
          </w:p>
        </w:tc>
        <w:tc>
          <w:tcPr>
            <w:tcW w:w="1492" w:type="dxa"/>
            <w:shd w:val="clear" w:color="auto" w:fill="B8CCE4" w:themeFill="accent1" w:themeFillTint="66"/>
          </w:tcPr>
          <w:p w14:paraId="116EAFA4" w14:textId="77777777" w:rsidR="00091D2A" w:rsidRPr="00552B0C" w:rsidRDefault="00091D2A">
            <w:pPr>
              <w:pStyle w:val="TableText0"/>
              <w:jc w:val="center"/>
            </w:pPr>
            <w:r w:rsidRPr="00552B0C">
              <w:t xml:space="preserve">93/379 </w:t>
            </w:r>
          </w:p>
          <w:p w14:paraId="5E54DF5F" w14:textId="77777777" w:rsidR="00091D2A" w:rsidRPr="00552B0C" w:rsidRDefault="00091D2A">
            <w:pPr>
              <w:pStyle w:val="TableText0"/>
              <w:jc w:val="center"/>
            </w:pPr>
            <w:r w:rsidRPr="00552B0C">
              <w:t>(24.54%)</w:t>
            </w:r>
          </w:p>
        </w:tc>
        <w:tc>
          <w:tcPr>
            <w:tcW w:w="1224" w:type="dxa"/>
            <w:shd w:val="clear" w:color="auto" w:fill="B8CCE4" w:themeFill="accent1" w:themeFillTint="66"/>
          </w:tcPr>
          <w:p w14:paraId="790A3393" w14:textId="77777777" w:rsidR="00091D2A" w:rsidRPr="00552B0C" w:rsidRDefault="00091D2A">
            <w:pPr>
              <w:pStyle w:val="TableText0"/>
              <w:jc w:val="center"/>
              <w:rPr>
                <w:b/>
                <w:bCs w:val="0"/>
              </w:rPr>
            </w:pPr>
            <w:r w:rsidRPr="00552B0C">
              <w:rPr>
                <w:b/>
                <w:bCs w:val="0"/>
              </w:rPr>
              <w:t xml:space="preserve">0.50 </w:t>
            </w:r>
          </w:p>
          <w:p w14:paraId="1769761B" w14:textId="77777777" w:rsidR="00091D2A" w:rsidRPr="00552B0C" w:rsidRDefault="00091D2A">
            <w:pPr>
              <w:pStyle w:val="TableText0"/>
              <w:jc w:val="center"/>
              <w:rPr>
                <w:b/>
                <w:bCs w:val="0"/>
              </w:rPr>
            </w:pPr>
            <w:r w:rsidRPr="00552B0C">
              <w:rPr>
                <w:b/>
                <w:bCs w:val="0"/>
              </w:rPr>
              <w:t>[0.35, 0.73]</w:t>
            </w:r>
          </w:p>
        </w:tc>
        <w:tc>
          <w:tcPr>
            <w:tcW w:w="1224" w:type="dxa"/>
            <w:shd w:val="clear" w:color="auto" w:fill="B8CCE4" w:themeFill="accent1" w:themeFillTint="66"/>
          </w:tcPr>
          <w:p w14:paraId="43E4AC45" w14:textId="77777777" w:rsidR="00091D2A" w:rsidRPr="00552B0C" w:rsidRDefault="00091D2A">
            <w:pPr>
              <w:pStyle w:val="TableText0"/>
              <w:jc w:val="center"/>
              <w:rPr>
                <w:b/>
                <w:bCs w:val="0"/>
              </w:rPr>
            </w:pPr>
            <w:r w:rsidRPr="00552B0C">
              <w:rPr>
                <w:b/>
                <w:bCs w:val="0"/>
              </w:rPr>
              <w:t xml:space="preserve">0.57 </w:t>
            </w:r>
          </w:p>
          <w:p w14:paraId="36B1B154" w14:textId="77777777" w:rsidR="00091D2A" w:rsidRPr="00552B0C" w:rsidRDefault="00091D2A">
            <w:pPr>
              <w:pStyle w:val="TableText0"/>
              <w:jc w:val="center"/>
              <w:rPr>
                <w:b/>
                <w:bCs w:val="0"/>
              </w:rPr>
            </w:pPr>
            <w:r w:rsidRPr="00552B0C">
              <w:rPr>
                <w:b/>
                <w:bCs w:val="0"/>
              </w:rPr>
              <w:t>[0.42, 0.78]</w:t>
            </w:r>
          </w:p>
        </w:tc>
        <w:tc>
          <w:tcPr>
            <w:tcW w:w="1495" w:type="dxa"/>
            <w:shd w:val="clear" w:color="auto" w:fill="B8CCE4" w:themeFill="accent1" w:themeFillTint="66"/>
          </w:tcPr>
          <w:p w14:paraId="59ECAA52" w14:textId="77777777" w:rsidR="00091D2A" w:rsidRPr="00552B0C" w:rsidRDefault="00091D2A">
            <w:pPr>
              <w:pStyle w:val="TableText0"/>
              <w:jc w:val="center"/>
              <w:rPr>
                <w:b/>
                <w:bCs w:val="0"/>
              </w:rPr>
            </w:pPr>
            <w:r w:rsidRPr="00552B0C">
              <w:rPr>
                <w:b/>
                <w:bCs w:val="0"/>
              </w:rPr>
              <w:t xml:space="preserve">-0.10 </w:t>
            </w:r>
          </w:p>
          <w:p w14:paraId="674EFE94" w14:textId="77777777" w:rsidR="00091D2A" w:rsidRPr="00552B0C" w:rsidRDefault="00091D2A">
            <w:pPr>
              <w:pStyle w:val="TableText0"/>
              <w:jc w:val="center"/>
              <w:rPr>
                <w:b/>
                <w:bCs w:val="0"/>
              </w:rPr>
            </w:pPr>
            <w:r w:rsidRPr="00552B0C">
              <w:rPr>
                <w:b/>
                <w:bCs w:val="0"/>
              </w:rPr>
              <w:t>[-0.16, -0.05]</w:t>
            </w:r>
          </w:p>
        </w:tc>
      </w:tr>
      <w:tr w:rsidR="00091D2A" w:rsidRPr="00552B0C" w14:paraId="3D129629" w14:textId="77777777">
        <w:trPr>
          <w:trHeight w:val="185"/>
        </w:trPr>
        <w:tc>
          <w:tcPr>
            <w:tcW w:w="2088" w:type="dxa"/>
            <w:shd w:val="clear" w:color="auto" w:fill="B8CCE4" w:themeFill="accent1" w:themeFillTint="66"/>
          </w:tcPr>
          <w:p w14:paraId="1C0572E1" w14:textId="77777777" w:rsidR="00091D2A" w:rsidRPr="00552B0C" w:rsidRDefault="00091D2A">
            <w:pPr>
              <w:pStyle w:val="TableText0"/>
              <w:keepNext w:val="0"/>
            </w:pPr>
            <w:r w:rsidRPr="00552B0C">
              <w:t>Thrombocytopenia</w:t>
            </w:r>
          </w:p>
        </w:tc>
        <w:tc>
          <w:tcPr>
            <w:tcW w:w="1494" w:type="dxa"/>
            <w:shd w:val="clear" w:color="auto" w:fill="B8CCE4" w:themeFill="accent1" w:themeFillTint="66"/>
          </w:tcPr>
          <w:p w14:paraId="1814D345" w14:textId="77777777" w:rsidR="00091D2A" w:rsidRPr="00552B0C" w:rsidRDefault="00091D2A">
            <w:pPr>
              <w:pStyle w:val="TableText0"/>
              <w:keepNext w:val="0"/>
              <w:jc w:val="center"/>
            </w:pPr>
            <w:r w:rsidRPr="00552B0C">
              <w:t xml:space="preserve">3/370 </w:t>
            </w:r>
          </w:p>
          <w:p w14:paraId="71F9B403" w14:textId="77777777" w:rsidR="00091D2A" w:rsidRPr="00552B0C" w:rsidRDefault="00091D2A">
            <w:pPr>
              <w:pStyle w:val="TableText0"/>
              <w:keepNext w:val="0"/>
              <w:jc w:val="center"/>
            </w:pPr>
            <w:r w:rsidRPr="00552B0C">
              <w:t>(0.81%)</w:t>
            </w:r>
          </w:p>
        </w:tc>
        <w:tc>
          <w:tcPr>
            <w:tcW w:w="1492" w:type="dxa"/>
            <w:shd w:val="clear" w:color="auto" w:fill="B8CCE4" w:themeFill="accent1" w:themeFillTint="66"/>
          </w:tcPr>
          <w:p w14:paraId="137BCEE7" w14:textId="77777777" w:rsidR="00091D2A" w:rsidRPr="00552B0C" w:rsidRDefault="00091D2A">
            <w:pPr>
              <w:pStyle w:val="TableText0"/>
              <w:keepNext w:val="0"/>
              <w:jc w:val="center"/>
            </w:pPr>
            <w:r w:rsidRPr="00552B0C">
              <w:t xml:space="preserve">14/379 </w:t>
            </w:r>
          </w:p>
          <w:p w14:paraId="0FBD387B" w14:textId="77777777" w:rsidR="00091D2A" w:rsidRPr="00552B0C" w:rsidRDefault="00091D2A">
            <w:pPr>
              <w:pStyle w:val="TableText0"/>
              <w:keepNext w:val="0"/>
              <w:jc w:val="center"/>
            </w:pPr>
            <w:r w:rsidRPr="00552B0C">
              <w:t>(3.69%)</w:t>
            </w:r>
          </w:p>
        </w:tc>
        <w:tc>
          <w:tcPr>
            <w:tcW w:w="1224" w:type="dxa"/>
            <w:shd w:val="clear" w:color="auto" w:fill="B8CCE4" w:themeFill="accent1" w:themeFillTint="66"/>
          </w:tcPr>
          <w:p w14:paraId="692C81E0" w14:textId="77777777" w:rsidR="00091D2A" w:rsidRPr="00552B0C" w:rsidRDefault="00091D2A">
            <w:pPr>
              <w:pStyle w:val="TableText0"/>
              <w:keepNext w:val="0"/>
              <w:jc w:val="center"/>
              <w:rPr>
                <w:b/>
                <w:bCs w:val="0"/>
              </w:rPr>
            </w:pPr>
            <w:r w:rsidRPr="00552B0C">
              <w:rPr>
                <w:b/>
                <w:bCs w:val="0"/>
              </w:rPr>
              <w:t xml:space="preserve">0.21 </w:t>
            </w:r>
          </w:p>
          <w:p w14:paraId="6B7F5B3E" w14:textId="77777777" w:rsidR="00091D2A" w:rsidRPr="00552B0C" w:rsidRDefault="00091D2A">
            <w:pPr>
              <w:pStyle w:val="TableText0"/>
              <w:keepNext w:val="0"/>
              <w:jc w:val="center"/>
              <w:rPr>
                <w:b/>
                <w:bCs w:val="0"/>
              </w:rPr>
            </w:pPr>
            <w:r w:rsidRPr="00552B0C">
              <w:rPr>
                <w:b/>
                <w:bCs w:val="0"/>
              </w:rPr>
              <w:t>[0.06, 0.75]</w:t>
            </w:r>
          </w:p>
        </w:tc>
        <w:tc>
          <w:tcPr>
            <w:tcW w:w="1224" w:type="dxa"/>
            <w:shd w:val="clear" w:color="auto" w:fill="B8CCE4" w:themeFill="accent1" w:themeFillTint="66"/>
          </w:tcPr>
          <w:p w14:paraId="0FDC56CF" w14:textId="77777777" w:rsidR="00091D2A" w:rsidRPr="00552B0C" w:rsidRDefault="00091D2A">
            <w:pPr>
              <w:pStyle w:val="TableText0"/>
              <w:keepNext w:val="0"/>
              <w:jc w:val="center"/>
              <w:rPr>
                <w:b/>
                <w:bCs w:val="0"/>
              </w:rPr>
            </w:pPr>
            <w:r w:rsidRPr="00552B0C">
              <w:rPr>
                <w:b/>
                <w:bCs w:val="0"/>
              </w:rPr>
              <w:t xml:space="preserve">0.22 </w:t>
            </w:r>
          </w:p>
          <w:p w14:paraId="12FAEB4A" w14:textId="77777777" w:rsidR="00091D2A" w:rsidRPr="00552B0C" w:rsidRDefault="00091D2A">
            <w:pPr>
              <w:pStyle w:val="TableText0"/>
              <w:keepNext w:val="0"/>
              <w:jc w:val="center"/>
              <w:rPr>
                <w:b/>
                <w:bCs w:val="0"/>
              </w:rPr>
            </w:pPr>
            <w:r w:rsidRPr="00552B0C">
              <w:rPr>
                <w:b/>
                <w:bCs w:val="0"/>
              </w:rPr>
              <w:t>[0.06, 0.76]</w:t>
            </w:r>
          </w:p>
        </w:tc>
        <w:tc>
          <w:tcPr>
            <w:tcW w:w="1495" w:type="dxa"/>
            <w:shd w:val="clear" w:color="auto" w:fill="B8CCE4" w:themeFill="accent1" w:themeFillTint="66"/>
          </w:tcPr>
          <w:p w14:paraId="3F21302D" w14:textId="77777777" w:rsidR="00091D2A" w:rsidRPr="00552B0C" w:rsidRDefault="00091D2A">
            <w:pPr>
              <w:pStyle w:val="TableText0"/>
              <w:keepNext w:val="0"/>
              <w:jc w:val="center"/>
              <w:rPr>
                <w:b/>
                <w:bCs w:val="0"/>
              </w:rPr>
            </w:pPr>
            <w:r w:rsidRPr="00552B0C">
              <w:rPr>
                <w:b/>
                <w:bCs w:val="0"/>
              </w:rPr>
              <w:t xml:space="preserve">-0.03 </w:t>
            </w:r>
          </w:p>
          <w:p w14:paraId="77421452" w14:textId="77777777" w:rsidR="00091D2A" w:rsidRPr="00552B0C" w:rsidRDefault="00091D2A">
            <w:pPr>
              <w:pStyle w:val="TableText0"/>
              <w:keepNext w:val="0"/>
              <w:jc w:val="center"/>
              <w:rPr>
                <w:b/>
                <w:bCs w:val="0"/>
              </w:rPr>
            </w:pPr>
            <w:r w:rsidRPr="00552B0C">
              <w:rPr>
                <w:b/>
                <w:bCs w:val="0"/>
              </w:rPr>
              <w:t>[-0.05, -0.01]</w:t>
            </w:r>
          </w:p>
        </w:tc>
      </w:tr>
      <w:tr w:rsidR="00091D2A" w:rsidRPr="00552B0C" w14:paraId="53DB0106" w14:textId="77777777">
        <w:trPr>
          <w:trHeight w:val="195"/>
        </w:trPr>
        <w:tc>
          <w:tcPr>
            <w:tcW w:w="2088" w:type="dxa"/>
            <w:shd w:val="clear" w:color="auto" w:fill="B8CCE4" w:themeFill="accent1" w:themeFillTint="66"/>
          </w:tcPr>
          <w:p w14:paraId="0D176CDA" w14:textId="77777777" w:rsidR="00091D2A" w:rsidRPr="00552B0C" w:rsidRDefault="00091D2A">
            <w:pPr>
              <w:pStyle w:val="TableText0"/>
              <w:keepNext w:val="0"/>
            </w:pPr>
            <w:r w:rsidRPr="00552B0C">
              <w:t>Leukopenia</w:t>
            </w:r>
          </w:p>
        </w:tc>
        <w:tc>
          <w:tcPr>
            <w:tcW w:w="1494" w:type="dxa"/>
            <w:shd w:val="clear" w:color="auto" w:fill="B8CCE4" w:themeFill="accent1" w:themeFillTint="66"/>
          </w:tcPr>
          <w:p w14:paraId="56B7A562" w14:textId="77777777" w:rsidR="00091D2A" w:rsidRPr="00552B0C" w:rsidRDefault="00091D2A">
            <w:pPr>
              <w:pStyle w:val="TableText0"/>
              <w:keepNext w:val="0"/>
              <w:jc w:val="center"/>
            </w:pPr>
            <w:r w:rsidRPr="00552B0C">
              <w:t xml:space="preserve">4/370 </w:t>
            </w:r>
          </w:p>
          <w:p w14:paraId="5E5097A9" w14:textId="77777777" w:rsidR="00091D2A" w:rsidRPr="00552B0C" w:rsidRDefault="00091D2A">
            <w:pPr>
              <w:pStyle w:val="TableText0"/>
              <w:keepNext w:val="0"/>
              <w:jc w:val="center"/>
            </w:pPr>
            <w:r w:rsidRPr="00552B0C">
              <w:t>(1.08%)</w:t>
            </w:r>
          </w:p>
        </w:tc>
        <w:tc>
          <w:tcPr>
            <w:tcW w:w="1492" w:type="dxa"/>
            <w:shd w:val="clear" w:color="auto" w:fill="B8CCE4" w:themeFill="accent1" w:themeFillTint="66"/>
          </w:tcPr>
          <w:p w14:paraId="54D72049" w14:textId="77777777" w:rsidR="00091D2A" w:rsidRPr="00552B0C" w:rsidRDefault="00091D2A">
            <w:pPr>
              <w:pStyle w:val="TableText0"/>
              <w:keepNext w:val="0"/>
              <w:jc w:val="center"/>
            </w:pPr>
            <w:r w:rsidRPr="00552B0C">
              <w:t xml:space="preserve">17/379 </w:t>
            </w:r>
          </w:p>
          <w:p w14:paraId="5BFE6DF4" w14:textId="77777777" w:rsidR="00091D2A" w:rsidRPr="00552B0C" w:rsidRDefault="00091D2A">
            <w:pPr>
              <w:pStyle w:val="TableText0"/>
              <w:keepNext w:val="0"/>
              <w:jc w:val="center"/>
            </w:pPr>
            <w:r w:rsidRPr="00552B0C">
              <w:t>(4.49%)</w:t>
            </w:r>
          </w:p>
        </w:tc>
        <w:tc>
          <w:tcPr>
            <w:tcW w:w="1224" w:type="dxa"/>
            <w:shd w:val="clear" w:color="auto" w:fill="B8CCE4" w:themeFill="accent1" w:themeFillTint="66"/>
          </w:tcPr>
          <w:p w14:paraId="4ACD16E3" w14:textId="77777777" w:rsidR="00091D2A" w:rsidRPr="00552B0C" w:rsidRDefault="00091D2A">
            <w:pPr>
              <w:pStyle w:val="TableText0"/>
              <w:keepNext w:val="0"/>
              <w:jc w:val="center"/>
              <w:rPr>
                <w:b/>
                <w:bCs w:val="0"/>
              </w:rPr>
            </w:pPr>
            <w:r w:rsidRPr="00552B0C">
              <w:rPr>
                <w:b/>
                <w:bCs w:val="0"/>
              </w:rPr>
              <w:t xml:space="preserve">0.23 </w:t>
            </w:r>
          </w:p>
          <w:p w14:paraId="38F3D5DC" w14:textId="77777777" w:rsidR="00091D2A" w:rsidRPr="00552B0C" w:rsidRDefault="00091D2A">
            <w:pPr>
              <w:pStyle w:val="TableText0"/>
              <w:keepNext w:val="0"/>
              <w:jc w:val="center"/>
              <w:rPr>
                <w:b/>
                <w:bCs w:val="0"/>
              </w:rPr>
            </w:pPr>
            <w:r w:rsidRPr="00552B0C">
              <w:rPr>
                <w:b/>
                <w:bCs w:val="0"/>
              </w:rPr>
              <w:t>[0.08, 0.70]</w:t>
            </w:r>
          </w:p>
        </w:tc>
        <w:tc>
          <w:tcPr>
            <w:tcW w:w="1224" w:type="dxa"/>
            <w:shd w:val="clear" w:color="auto" w:fill="B8CCE4" w:themeFill="accent1" w:themeFillTint="66"/>
          </w:tcPr>
          <w:p w14:paraId="7D603920" w14:textId="77777777" w:rsidR="00091D2A" w:rsidRPr="00552B0C" w:rsidRDefault="00091D2A">
            <w:pPr>
              <w:pStyle w:val="TableText0"/>
              <w:keepNext w:val="0"/>
              <w:jc w:val="center"/>
              <w:rPr>
                <w:b/>
                <w:bCs w:val="0"/>
              </w:rPr>
            </w:pPr>
            <w:r w:rsidRPr="00552B0C">
              <w:rPr>
                <w:b/>
                <w:bCs w:val="0"/>
              </w:rPr>
              <w:t xml:space="preserve">0.24 </w:t>
            </w:r>
          </w:p>
          <w:p w14:paraId="6F7C8984" w14:textId="77777777" w:rsidR="00091D2A" w:rsidRPr="00552B0C" w:rsidRDefault="00091D2A">
            <w:pPr>
              <w:pStyle w:val="TableText0"/>
              <w:keepNext w:val="0"/>
              <w:jc w:val="center"/>
              <w:rPr>
                <w:b/>
                <w:bCs w:val="0"/>
              </w:rPr>
            </w:pPr>
            <w:r w:rsidRPr="00552B0C">
              <w:rPr>
                <w:b/>
                <w:bCs w:val="0"/>
              </w:rPr>
              <w:t>[0.08, 0.71]</w:t>
            </w:r>
          </w:p>
        </w:tc>
        <w:tc>
          <w:tcPr>
            <w:tcW w:w="1495" w:type="dxa"/>
            <w:shd w:val="clear" w:color="auto" w:fill="B8CCE4" w:themeFill="accent1" w:themeFillTint="66"/>
          </w:tcPr>
          <w:p w14:paraId="17B487C3" w14:textId="77777777" w:rsidR="00091D2A" w:rsidRPr="00552B0C" w:rsidRDefault="00091D2A">
            <w:pPr>
              <w:pStyle w:val="TableText0"/>
              <w:keepNext w:val="0"/>
              <w:jc w:val="center"/>
              <w:rPr>
                <w:b/>
                <w:bCs w:val="0"/>
              </w:rPr>
            </w:pPr>
            <w:r w:rsidRPr="00552B0C">
              <w:rPr>
                <w:b/>
                <w:bCs w:val="0"/>
              </w:rPr>
              <w:t xml:space="preserve">-0.03 </w:t>
            </w:r>
          </w:p>
          <w:p w14:paraId="03C91298" w14:textId="77777777" w:rsidR="00091D2A" w:rsidRPr="00552B0C" w:rsidRDefault="00091D2A">
            <w:pPr>
              <w:pStyle w:val="TableText0"/>
              <w:keepNext w:val="0"/>
              <w:jc w:val="center"/>
              <w:rPr>
                <w:b/>
                <w:bCs w:val="0"/>
              </w:rPr>
            </w:pPr>
            <w:r w:rsidRPr="00552B0C">
              <w:rPr>
                <w:b/>
                <w:bCs w:val="0"/>
              </w:rPr>
              <w:t>[-0.06, -0.01]</w:t>
            </w:r>
          </w:p>
        </w:tc>
      </w:tr>
      <w:tr w:rsidR="00091D2A" w:rsidRPr="00552B0C" w14:paraId="3E9661FD" w14:textId="77777777">
        <w:trPr>
          <w:trHeight w:val="195"/>
        </w:trPr>
        <w:tc>
          <w:tcPr>
            <w:tcW w:w="9017" w:type="dxa"/>
            <w:gridSpan w:val="6"/>
            <w:shd w:val="clear" w:color="auto" w:fill="B8CCE4" w:themeFill="accent1" w:themeFillTint="66"/>
          </w:tcPr>
          <w:p w14:paraId="13C318AD" w14:textId="77777777" w:rsidR="00091D2A" w:rsidRPr="00552B0C" w:rsidRDefault="00091D2A">
            <w:pPr>
              <w:pStyle w:val="TableText0"/>
              <w:keepNext w:val="0"/>
              <w:rPr>
                <w:b/>
                <w:bCs w:val="0"/>
              </w:rPr>
            </w:pPr>
            <w:r w:rsidRPr="00552B0C">
              <w:rPr>
                <w:b/>
                <w:bCs w:val="0"/>
              </w:rPr>
              <w:t>Metabolism and nutrition disorders</w:t>
            </w:r>
          </w:p>
        </w:tc>
      </w:tr>
      <w:tr w:rsidR="00091D2A" w:rsidRPr="00552B0C" w14:paraId="74EF9A00" w14:textId="77777777">
        <w:trPr>
          <w:trHeight w:val="185"/>
        </w:trPr>
        <w:tc>
          <w:tcPr>
            <w:tcW w:w="2088" w:type="dxa"/>
            <w:shd w:val="clear" w:color="auto" w:fill="B8CCE4" w:themeFill="accent1" w:themeFillTint="66"/>
          </w:tcPr>
          <w:p w14:paraId="2A3A0925" w14:textId="77777777" w:rsidR="00091D2A" w:rsidRPr="00552B0C" w:rsidRDefault="00091D2A">
            <w:pPr>
              <w:pStyle w:val="TableText0"/>
              <w:keepNext w:val="0"/>
            </w:pPr>
            <w:r w:rsidRPr="00552B0C">
              <w:t>Decreased appetite</w:t>
            </w:r>
          </w:p>
        </w:tc>
        <w:tc>
          <w:tcPr>
            <w:tcW w:w="1494" w:type="dxa"/>
            <w:shd w:val="clear" w:color="auto" w:fill="B8CCE4" w:themeFill="accent1" w:themeFillTint="66"/>
          </w:tcPr>
          <w:p w14:paraId="0F7D88F1" w14:textId="77777777" w:rsidR="00091D2A" w:rsidRPr="00552B0C" w:rsidRDefault="00091D2A">
            <w:pPr>
              <w:pStyle w:val="TableText0"/>
              <w:keepNext w:val="0"/>
              <w:jc w:val="center"/>
            </w:pPr>
            <w:r w:rsidRPr="00552B0C">
              <w:t xml:space="preserve">32/370 </w:t>
            </w:r>
          </w:p>
          <w:p w14:paraId="5DFB3760" w14:textId="77777777" w:rsidR="00091D2A" w:rsidRPr="00552B0C" w:rsidRDefault="00091D2A">
            <w:pPr>
              <w:pStyle w:val="TableText0"/>
              <w:keepNext w:val="0"/>
              <w:jc w:val="center"/>
            </w:pPr>
            <w:r w:rsidRPr="00552B0C">
              <w:t>(8.65%)</w:t>
            </w:r>
          </w:p>
        </w:tc>
        <w:tc>
          <w:tcPr>
            <w:tcW w:w="1492" w:type="dxa"/>
            <w:shd w:val="clear" w:color="auto" w:fill="B8CCE4" w:themeFill="accent1" w:themeFillTint="66"/>
          </w:tcPr>
          <w:p w14:paraId="09885610" w14:textId="77777777" w:rsidR="00091D2A" w:rsidRPr="00552B0C" w:rsidRDefault="00091D2A">
            <w:pPr>
              <w:pStyle w:val="TableText0"/>
              <w:keepNext w:val="0"/>
              <w:jc w:val="center"/>
            </w:pPr>
            <w:r w:rsidRPr="00552B0C">
              <w:t xml:space="preserve">10/379 </w:t>
            </w:r>
          </w:p>
          <w:p w14:paraId="4E5A64C6" w14:textId="77777777" w:rsidR="00091D2A" w:rsidRPr="00552B0C" w:rsidRDefault="00091D2A">
            <w:pPr>
              <w:pStyle w:val="TableText0"/>
              <w:keepNext w:val="0"/>
              <w:jc w:val="center"/>
            </w:pPr>
            <w:r w:rsidRPr="00552B0C">
              <w:t>(2.64%)</w:t>
            </w:r>
          </w:p>
        </w:tc>
        <w:tc>
          <w:tcPr>
            <w:tcW w:w="1224" w:type="dxa"/>
            <w:shd w:val="clear" w:color="auto" w:fill="B8CCE4" w:themeFill="accent1" w:themeFillTint="66"/>
          </w:tcPr>
          <w:p w14:paraId="7CD8EC46" w14:textId="77777777" w:rsidR="00091D2A" w:rsidRPr="00552B0C" w:rsidRDefault="00091D2A">
            <w:pPr>
              <w:pStyle w:val="TableText0"/>
              <w:keepNext w:val="0"/>
              <w:jc w:val="center"/>
              <w:rPr>
                <w:b/>
                <w:bCs w:val="0"/>
              </w:rPr>
            </w:pPr>
            <w:r w:rsidRPr="00552B0C">
              <w:rPr>
                <w:b/>
                <w:bCs w:val="0"/>
              </w:rPr>
              <w:t xml:space="preserve">3.49 </w:t>
            </w:r>
          </w:p>
          <w:p w14:paraId="28ED2C4C" w14:textId="77777777" w:rsidR="00091D2A" w:rsidRPr="00552B0C" w:rsidRDefault="00091D2A">
            <w:pPr>
              <w:pStyle w:val="TableText0"/>
              <w:keepNext w:val="0"/>
              <w:jc w:val="center"/>
              <w:rPr>
                <w:b/>
                <w:bCs w:val="0"/>
              </w:rPr>
            </w:pPr>
            <w:r w:rsidRPr="00552B0C">
              <w:rPr>
                <w:b/>
                <w:bCs w:val="0"/>
              </w:rPr>
              <w:t>[1.69, 7.21]</w:t>
            </w:r>
          </w:p>
        </w:tc>
        <w:tc>
          <w:tcPr>
            <w:tcW w:w="1224" w:type="dxa"/>
            <w:shd w:val="clear" w:color="auto" w:fill="B8CCE4" w:themeFill="accent1" w:themeFillTint="66"/>
          </w:tcPr>
          <w:p w14:paraId="2DC9249F" w14:textId="77777777" w:rsidR="00091D2A" w:rsidRPr="00552B0C" w:rsidRDefault="00091D2A">
            <w:pPr>
              <w:pStyle w:val="TableText0"/>
              <w:keepNext w:val="0"/>
              <w:jc w:val="center"/>
              <w:rPr>
                <w:b/>
                <w:bCs w:val="0"/>
              </w:rPr>
            </w:pPr>
            <w:r w:rsidRPr="00552B0C">
              <w:rPr>
                <w:b/>
                <w:bCs w:val="0"/>
              </w:rPr>
              <w:t xml:space="preserve">3.28 </w:t>
            </w:r>
          </w:p>
          <w:p w14:paraId="188EA668" w14:textId="77777777" w:rsidR="00091D2A" w:rsidRPr="00552B0C" w:rsidRDefault="00091D2A">
            <w:pPr>
              <w:pStyle w:val="TableText0"/>
              <w:keepNext w:val="0"/>
              <w:jc w:val="center"/>
              <w:rPr>
                <w:b/>
                <w:bCs w:val="0"/>
              </w:rPr>
            </w:pPr>
            <w:r w:rsidRPr="00552B0C">
              <w:rPr>
                <w:b/>
                <w:bCs w:val="0"/>
              </w:rPr>
              <w:t>[1.64, 6.57]</w:t>
            </w:r>
          </w:p>
        </w:tc>
        <w:tc>
          <w:tcPr>
            <w:tcW w:w="1495" w:type="dxa"/>
            <w:shd w:val="clear" w:color="auto" w:fill="B8CCE4" w:themeFill="accent1" w:themeFillTint="66"/>
          </w:tcPr>
          <w:p w14:paraId="33929190" w14:textId="77777777" w:rsidR="00091D2A" w:rsidRPr="00552B0C" w:rsidRDefault="00091D2A">
            <w:pPr>
              <w:pStyle w:val="TableText0"/>
              <w:keepNext w:val="0"/>
              <w:jc w:val="center"/>
              <w:rPr>
                <w:b/>
                <w:bCs w:val="0"/>
              </w:rPr>
            </w:pPr>
            <w:r w:rsidRPr="00552B0C">
              <w:rPr>
                <w:b/>
                <w:bCs w:val="0"/>
              </w:rPr>
              <w:t xml:space="preserve">0.06 </w:t>
            </w:r>
          </w:p>
          <w:p w14:paraId="18E71A7B" w14:textId="77777777" w:rsidR="00091D2A" w:rsidRPr="00552B0C" w:rsidRDefault="00091D2A">
            <w:pPr>
              <w:pStyle w:val="TableText0"/>
              <w:keepNext w:val="0"/>
              <w:jc w:val="center"/>
              <w:rPr>
                <w:b/>
                <w:bCs w:val="0"/>
              </w:rPr>
            </w:pPr>
            <w:r w:rsidRPr="00552B0C">
              <w:rPr>
                <w:b/>
                <w:bCs w:val="0"/>
              </w:rPr>
              <w:t>[0.03, 0.09]</w:t>
            </w:r>
          </w:p>
        </w:tc>
      </w:tr>
      <w:tr w:rsidR="00091D2A" w:rsidRPr="00552B0C" w14:paraId="5D496891" w14:textId="77777777">
        <w:trPr>
          <w:trHeight w:val="195"/>
        </w:trPr>
        <w:tc>
          <w:tcPr>
            <w:tcW w:w="2088" w:type="dxa"/>
            <w:shd w:val="clear" w:color="auto" w:fill="B8CCE4" w:themeFill="accent1" w:themeFillTint="66"/>
          </w:tcPr>
          <w:p w14:paraId="26F3F07B" w14:textId="77777777" w:rsidR="00091D2A" w:rsidRPr="00552B0C" w:rsidRDefault="00091D2A">
            <w:pPr>
              <w:pStyle w:val="TableText0"/>
              <w:keepNext w:val="0"/>
            </w:pPr>
            <w:r w:rsidRPr="00552B0C">
              <w:t>Hypokalaemia</w:t>
            </w:r>
          </w:p>
        </w:tc>
        <w:tc>
          <w:tcPr>
            <w:tcW w:w="1494" w:type="dxa"/>
            <w:shd w:val="clear" w:color="auto" w:fill="B8CCE4" w:themeFill="accent1" w:themeFillTint="66"/>
          </w:tcPr>
          <w:p w14:paraId="775D6989" w14:textId="77777777" w:rsidR="00091D2A" w:rsidRPr="00552B0C" w:rsidRDefault="00091D2A">
            <w:pPr>
              <w:pStyle w:val="TableText0"/>
              <w:keepNext w:val="0"/>
              <w:jc w:val="center"/>
            </w:pPr>
            <w:r w:rsidRPr="00552B0C">
              <w:t xml:space="preserve">56/370 </w:t>
            </w:r>
          </w:p>
          <w:p w14:paraId="55A69837" w14:textId="77777777" w:rsidR="00091D2A" w:rsidRPr="00552B0C" w:rsidRDefault="00091D2A">
            <w:pPr>
              <w:pStyle w:val="TableText0"/>
              <w:keepNext w:val="0"/>
              <w:jc w:val="center"/>
            </w:pPr>
            <w:r w:rsidRPr="00552B0C">
              <w:t>(15.14%)</w:t>
            </w:r>
          </w:p>
        </w:tc>
        <w:tc>
          <w:tcPr>
            <w:tcW w:w="1492" w:type="dxa"/>
            <w:shd w:val="clear" w:color="auto" w:fill="B8CCE4" w:themeFill="accent1" w:themeFillTint="66"/>
          </w:tcPr>
          <w:p w14:paraId="732A6219" w14:textId="77777777" w:rsidR="00091D2A" w:rsidRPr="00552B0C" w:rsidRDefault="00091D2A">
            <w:pPr>
              <w:pStyle w:val="TableText0"/>
              <w:keepNext w:val="0"/>
              <w:jc w:val="center"/>
            </w:pPr>
            <w:r w:rsidRPr="00552B0C">
              <w:t xml:space="preserve">15/379 </w:t>
            </w:r>
          </w:p>
          <w:p w14:paraId="3C025D68" w14:textId="77777777" w:rsidR="00091D2A" w:rsidRPr="00552B0C" w:rsidRDefault="00091D2A">
            <w:pPr>
              <w:pStyle w:val="TableText0"/>
              <w:keepNext w:val="0"/>
              <w:jc w:val="center"/>
            </w:pPr>
            <w:r w:rsidRPr="00552B0C">
              <w:t>(3.96%)</w:t>
            </w:r>
          </w:p>
        </w:tc>
        <w:tc>
          <w:tcPr>
            <w:tcW w:w="1224" w:type="dxa"/>
            <w:shd w:val="clear" w:color="auto" w:fill="B8CCE4" w:themeFill="accent1" w:themeFillTint="66"/>
          </w:tcPr>
          <w:p w14:paraId="41C6303B" w14:textId="77777777" w:rsidR="00091D2A" w:rsidRPr="00552B0C" w:rsidRDefault="00091D2A">
            <w:pPr>
              <w:pStyle w:val="TableText0"/>
              <w:keepNext w:val="0"/>
              <w:jc w:val="center"/>
              <w:rPr>
                <w:b/>
                <w:bCs w:val="0"/>
              </w:rPr>
            </w:pPr>
            <w:r w:rsidRPr="00552B0C">
              <w:rPr>
                <w:b/>
                <w:bCs w:val="0"/>
              </w:rPr>
              <w:t xml:space="preserve">4.33 </w:t>
            </w:r>
          </w:p>
          <w:p w14:paraId="6B350BEA" w14:textId="77777777" w:rsidR="00091D2A" w:rsidRPr="00552B0C" w:rsidRDefault="00091D2A">
            <w:pPr>
              <w:pStyle w:val="TableText0"/>
              <w:keepNext w:val="0"/>
              <w:jc w:val="center"/>
              <w:rPr>
                <w:b/>
                <w:bCs w:val="0"/>
              </w:rPr>
            </w:pPr>
            <w:r w:rsidRPr="00552B0C">
              <w:rPr>
                <w:b/>
                <w:bCs w:val="0"/>
              </w:rPr>
              <w:t>[2.40, 7.80]</w:t>
            </w:r>
          </w:p>
        </w:tc>
        <w:tc>
          <w:tcPr>
            <w:tcW w:w="1224" w:type="dxa"/>
            <w:shd w:val="clear" w:color="auto" w:fill="B8CCE4" w:themeFill="accent1" w:themeFillTint="66"/>
          </w:tcPr>
          <w:p w14:paraId="6D1710F5" w14:textId="77777777" w:rsidR="00091D2A" w:rsidRPr="00552B0C" w:rsidRDefault="00091D2A">
            <w:pPr>
              <w:pStyle w:val="TableText0"/>
              <w:keepNext w:val="0"/>
              <w:jc w:val="center"/>
              <w:rPr>
                <w:b/>
                <w:bCs w:val="0"/>
              </w:rPr>
            </w:pPr>
            <w:r w:rsidRPr="00552B0C">
              <w:rPr>
                <w:b/>
                <w:bCs w:val="0"/>
              </w:rPr>
              <w:t xml:space="preserve">3.82 </w:t>
            </w:r>
          </w:p>
          <w:p w14:paraId="28F27813" w14:textId="77777777" w:rsidR="00091D2A" w:rsidRPr="00552B0C" w:rsidRDefault="00091D2A">
            <w:pPr>
              <w:pStyle w:val="TableText0"/>
              <w:keepNext w:val="0"/>
              <w:jc w:val="center"/>
              <w:rPr>
                <w:b/>
                <w:bCs w:val="0"/>
              </w:rPr>
            </w:pPr>
            <w:r w:rsidRPr="00552B0C">
              <w:rPr>
                <w:b/>
                <w:bCs w:val="0"/>
              </w:rPr>
              <w:t>[2.20, 6.64]</w:t>
            </w:r>
          </w:p>
        </w:tc>
        <w:tc>
          <w:tcPr>
            <w:tcW w:w="1495" w:type="dxa"/>
            <w:shd w:val="clear" w:color="auto" w:fill="B8CCE4" w:themeFill="accent1" w:themeFillTint="66"/>
          </w:tcPr>
          <w:p w14:paraId="78F5281F" w14:textId="77777777" w:rsidR="00091D2A" w:rsidRPr="00552B0C" w:rsidRDefault="00091D2A">
            <w:pPr>
              <w:pStyle w:val="TableText0"/>
              <w:keepNext w:val="0"/>
              <w:jc w:val="center"/>
              <w:rPr>
                <w:b/>
                <w:bCs w:val="0"/>
              </w:rPr>
            </w:pPr>
            <w:r w:rsidRPr="00552B0C">
              <w:rPr>
                <w:b/>
                <w:bCs w:val="0"/>
              </w:rPr>
              <w:t xml:space="preserve">0.11 </w:t>
            </w:r>
          </w:p>
          <w:p w14:paraId="70112871" w14:textId="77777777" w:rsidR="00091D2A" w:rsidRPr="00552B0C" w:rsidRDefault="00091D2A">
            <w:pPr>
              <w:pStyle w:val="TableText0"/>
              <w:keepNext w:val="0"/>
              <w:jc w:val="center"/>
              <w:rPr>
                <w:b/>
                <w:bCs w:val="0"/>
              </w:rPr>
            </w:pPr>
            <w:r w:rsidRPr="00552B0C">
              <w:rPr>
                <w:b/>
                <w:bCs w:val="0"/>
              </w:rPr>
              <w:t>[0.07, 0.15]</w:t>
            </w:r>
          </w:p>
        </w:tc>
      </w:tr>
      <w:tr w:rsidR="00091D2A" w:rsidRPr="00552B0C" w14:paraId="2226F936" w14:textId="77777777">
        <w:trPr>
          <w:trHeight w:val="195"/>
        </w:trPr>
        <w:tc>
          <w:tcPr>
            <w:tcW w:w="9017" w:type="dxa"/>
            <w:gridSpan w:val="6"/>
            <w:shd w:val="clear" w:color="auto" w:fill="B8CCE4" w:themeFill="accent1" w:themeFillTint="66"/>
          </w:tcPr>
          <w:p w14:paraId="643D63B5" w14:textId="77777777" w:rsidR="00091D2A" w:rsidRPr="00552B0C" w:rsidRDefault="00091D2A">
            <w:pPr>
              <w:pStyle w:val="TableText0"/>
              <w:keepNext w:val="0"/>
              <w:rPr>
                <w:b/>
                <w:bCs w:val="0"/>
              </w:rPr>
            </w:pPr>
            <w:r w:rsidRPr="00552B0C">
              <w:rPr>
                <w:b/>
                <w:bCs w:val="0"/>
              </w:rPr>
              <w:t>Investigations</w:t>
            </w:r>
          </w:p>
        </w:tc>
      </w:tr>
      <w:tr w:rsidR="00091D2A" w:rsidRPr="00552B0C" w14:paraId="40C9C6AB" w14:textId="77777777">
        <w:trPr>
          <w:trHeight w:val="185"/>
        </w:trPr>
        <w:tc>
          <w:tcPr>
            <w:tcW w:w="2088" w:type="dxa"/>
            <w:shd w:val="clear" w:color="auto" w:fill="B8CCE4" w:themeFill="accent1" w:themeFillTint="66"/>
          </w:tcPr>
          <w:p w14:paraId="4C335A05" w14:textId="77777777" w:rsidR="00091D2A" w:rsidRPr="00552B0C" w:rsidRDefault="00091D2A">
            <w:pPr>
              <w:pStyle w:val="TableText0"/>
              <w:keepNext w:val="0"/>
            </w:pPr>
            <w:r w:rsidRPr="00552B0C">
              <w:t>Neutrophil count decreased</w:t>
            </w:r>
          </w:p>
        </w:tc>
        <w:tc>
          <w:tcPr>
            <w:tcW w:w="1494" w:type="dxa"/>
            <w:shd w:val="clear" w:color="auto" w:fill="B8CCE4" w:themeFill="accent1" w:themeFillTint="66"/>
          </w:tcPr>
          <w:p w14:paraId="69113DA4" w14:textId="77777777" w:rsidR="00091D2A" w:rsidRPr="00552B0C" w:rsidRDefault="00091D2A">
            <w:pPr>
              <w:pStyle w:val="TableText0"/>
              <w:keepNext w:val="0"/>
              <w:jc w:val="center"/>
            </w:pPr>
            <w:r w:rsidRPr="00552B0C">
              <w:t xml:space="preserve">36/370 </w:t>
            </w:r>
          </w:p>
          <w:p w14:paraId="5576B5E3" w14:textId="77777777" w:rsidR="00091D2A" w:rsidRPr="00552B0C" w:rsidRDefault="00091D2A">
            <w:pPr>
              <w:pStyle w:val="TableText0"/>
              <w:keepNext w:val="0"/>
              <w:jc w:val="center"/>
            </w:pPr>
            <w:r w:rsidRPr="00552B0C">
              <w:t>(9.73%)</w:t>
            </w:r>
          </w:p>
        </w:tc>
        <w:tc>
          <w:tcPr>
            <w:tcW w:w="1492" w:type="dxa"/>
            <w:shd w:val="clear" w:color="auto" w:fill="B8CCE4" w:themeFill="accent1" w:themeFillTint="66"/>
          </w:tcPr>
          <w:p w14:paraId="462CA23A" w14:textId="77777777" w:rsidR="00091D2A" w:rsidRPr="00552B0C" w:rsidRDefault="00091D2A">
            <w:pPr>
              <w:pStyle w:val="TableText0"/>
              <w:keepNext w:val="0"/>
              <w:jc w:val="center"/>
            </w:pPr>
            <w:r w:rsidRPr="00552B0C">
              <w:t xml:space="preserve">51/379 </w:t>
            </w:r>
          </w:p>
          <w:p w14:paraId="39585FF7" w14:textId="77777777" w:rsidR="00091D2A" w:rsidRPr="00552B0C" w:rsidRDefault="00091D2A">
            <w:pPr>
              <w:pStyle w:val="TableText0"/>
              <w:keepNext w:val="0"/>
              <w:jc w:val="center"/>
            </w:pPr>
            <w:r w:rsidRPr="00552B0C">
              <w:t>(13.46%)</w:t>
            </w:r>
          </w:p>
        </w:tc>
        <w:tc>
          <w:tcPr>
            <w:tcW w:w="1224" w:type="dxa"/>
            <w:shd w:val="clear" w:color="auto" w:fill="B8CCE4" w:themeFill="accent1" w:themeFillTint="66"/>
          </w:tcPr>
          <w:p w14:paraId="0E6658DB" w14:textId="77777777" w:rsidR="00091D2A" w:rsidRPr="00552B0C" w:rsidRDefault="00091D2A">
            <w:pPr>
              <w:pStyle w:val="TableText0"/>
              <w:keepNext w:val="0"/>
              <w:jc w:val="center"/>
            </w:pPr>
            <w:r w:rsidRPr="00552B0C">
              <w:t xml:space="preserve">0.69 </w:t>
            </w:r>
          </w:p>
          <w:p w14:paraId="076B8009" w14:textId="77777777" w:rsidR="00091D2A" w:rsidRPr="00552B0C" w:rsidRDefault="00091D2A">
            <w:pPr>
              <w:pStyle w:val="TableText0"/>
              <w:keepNext w:val="0"/>
              <w:jc w:val="center"/>
            </w:pPr>
            <w:r w:rsidRPr="00552B0C">
              <w:t>[0.44, 1.09]</w:t>
            </w:r>
          </w:p>
        </w:tc>
        <w:tc>
          <w:tcPr>
            <w:tcW w:w="1224" w:type="dxa"/>
            <w:shd w:val="clear" w:color="auto" w:fill="B8CCE4" w:themeFill="accent1" w:themeFillTint="66"/>
          </w:tcPr>
          <w:p w14:paraId="421B8EC5" w14:textId="77777777" w:rsidR="00091D2A" w:rsidRPr="00552B0C" w:rsidRDefault="00091D2A">
            <w:pPr>
              <w:pStyle w:val="TableText0"/>
              <w:keepNext w:val="0"/>
              <w:jc w:val="center"/>
            </w:pPr>
            <w:r w:rsidRPr="00552B0C">
              <w:t xml:space="preserve">0.72 </w:t>
            </w:r>
          </w:p>
          <w:p w14:paraId="3640E991" w14:textId="77777777" w:rsidR="00091D2A" w:rsidRPr="00552B0C" w:rsidRDefault="00091D2A">
            <w:pPr>
              <w:pStyle w:val="TableText0"/>
              <w:keepNext w:val="0"/>
              <w:jc w:val="center"/>
            </w:pPr>
            <w:r w:rsidRPr="00552B0C">
              <w:t>[0.48, 1.08]</w:t>
            </w:r>
          </w:p>
        </w:tc>
        <w:tc>
          <w:tcPr>
            <w:tcW w:w="1495" w:type="dxa"/>
            <w:shd w:val="clear" w:color="auto" w:fill="B8CCE4" w:themeFill="accent1" w:themeFillTint="66"/>
          </w:tcPr>
          <w:p w14:paraId="734D3CE2" w14:textId="77777777" w:rsidR="00091D2A" w:rsidRPr="00552B0C" w:rsidRDefault="00091D2A">
            <w:pPr>
              <w:pStyle w:val="TableText0"/>
              <w:keepNext w:val="0"/>
              <w:jc w:val="center"/>
            </w:pPr>
            <w:r w:rsidRPr="00552B0C">
              <w:t xml:space="preserve">-0.04 </w:t>
            </w:r>
          </w:p>
          <w:p w14:paraId="7525A8CD" w14:textId="77777777" w:rsidR="00091D2A" w:rsidRPr="00552B0C" w:rsidRDefault="00091D2A">
            <w:pPr>
              <w:pStyle w:val="TableText0"/>
              <w:keepNext w:val="0"/>
              <w:jc w:val="center"/>
            </w:pPr>
            <w:r w:rsidRPr="00552B0C">
              <w:t>[-0.08, 0.01]</w:t>
            </w:r>
          </w:p>
        </w:tc>
      </w:tr>
      <w:tr w:rsidR="00091D2A" w:rsidRPr="00552B0C" w14:paraId="3DE6943E" w14:textId="77777777">
        <w:trPr>
          <w:trHeight w:val="195"/>
        </w:trPr>
        <w:tc>
          <w:tcPr>
            <w:tcW w:w="2088" w:type="dxa"/>
            <w:shd w:val="clear" w:color="auto" w:fill="B8CCE4" w:themeFill="accent1" w:themeFillTint="66"/>
          </w:tcPr>
          <w:p w14:paraId="17D77440" w14:textId="77777777" w:rsidR="00091D2A" w:rsidRPr="00552B0C" w:rsidRDefault="00091D2A">
            <w:pPr>
              <w:pStyle w:val="TableText0"/>
              <w:keepNext w:val="0"/>
            </w:pPr>
            <w:r w:rsidRPr="00552B0C">
              <w:t>Weight decreased</w:t>
            </w:r>
          </w:p>
        </w:tc>
        <w:tc>
          <w:tcPr>
            <w:tcW w:w="1494" w:type="dxa"/>
            <w:shd w:val="clear" w:color="auto" w:fill="B8CCE4" w:themeFill="accent1" w:themeFillTint="66"/>
          </w:tcPr>
          <w:p w14:paraId="3F9384D4" w14:textId="77777777" w:rsidR="00091D2A" w:rsidRPr="00552B0C" w:rsidRDefault="00091D2A">
            <w:pPr>
              <w:pStyle w:val="TableText0"/>
              <w:keepNext w:val="0"/>
              <w:jc w:val="center"/>
            </w:pPr>
            <w:r w:rsidRPr="00552B0C">
              <w:t xml:space="preserve">11/370 </w:t>
            </w:r>
          </w:p>
          <w:p w14:paraId="195BA118" w14:textId="77777777" w:rsidR="00091D2A" w:rsidRPr="00552B0C" w:rsidRDefault="00091D2A">
            <w:pPr>
              <w:pStyle w:val="TableText0"/>
              <w:keepNext w:val="0"/>
              <w:jc w:val="center"/>
            </w:pPr>
            <w:r w:rsidRPr="00552B0C">
              <w:t>(2.97%)</w:t>
            </w:r>
          </w:p>
        </w:tc>
        <w:tc>
          <w:tcPr>
            <w:tcW w:w="1492" w:type="dxa"/>
            <w:shd w:val="clear" w:color="auto" w:fill="B8CCE4" w:themeFill="accent1" w:themeFillTint="66"/>
          </w:tcPr>
          <w:p w14:paraId="6B3FD4A8" w14:textId="77777777" w:rsidR="00091D2A" w:rsidRPr="00552B0C" w:rsidRDefault="00091D2A">
            <w:pPr>
              <w:pStyle w:val="TableText0"/>
              <w:keepNext w:val="0"/>
              <w:jc w:val="center"/>
            </w:pPr>
            <w:r w:rsidRPr="00552B0C">
              <w:t xml:space="preserve">1/379 </w:t>
            </w:r>
          </w:p>
          <w:p w14:paraId="0ACE210D" w14:textId="77777777" w:rsidR="00091D2A" w:rsidRPr="00552B0C" w:rsidRDefault="00091D2A">
            <w:pPr>
              <w:pStyle w:val="TableText0"/>
              <w:keepNext w:val="0"/>
              <w:jc w:val="center"/>
            </w:pPr>
            <w:r w:rsidRPr="00552B0C">
              <w:t>(0.26%)</w:t>
            </w:r>
          </w:p>
        </w:tc>
        <w:tc>
          <w:tcPr>
            <w:tcW w:w="1224" w:type="dxa"/>
            <w:shd w:val="clear" w:color="auto" w:fill="B8CCE4" w:themeFill="accent1" w:themeFillTint="66"/>
          </w:tcPr>
          <w:p w14:paraId="20D6B87B" w14:textId="77777777" w:rsidR="00091D2A" w:rsidRPr="00552B0C" w:rsidRDefault="00091D2A">
            <w:pPr>
              <w:pStyle w:val="TableText0"/>
              <w:keepNext w:val="0"/>
              <w:jc w:val="center"/>
              <w:rPr>
                <w:b/>
                <w:bCs w:val="0"/>
              </w:rPr>
            </w:pPr>
            <w:r w:rsidRPr="00552B0C">
              <w:rPr>
                <w:b/>
                <w:bCs w:val="0"/>
              </w:rPr>
              <w:t xml:space="preserve">11.58 </w:t>
            </w:r>
          </w:p>
          <w:p w14:paraId="68700878" w14:textId="77777777" w:rsidR="00091D2A" w:rsidRPr="00552B0C" w:rsidRDefault="00091D2A">
            <w:pPr>
              <w:pStyle w:val="TableText0"/>
              <w:keepNext w:val="0"/>
              <w:jc w:val="center"/>
              <w:rPr>
                <w:b/>
                <w:bCs w:val="0"/>
              </w:rPr>
            </w:pPr>
            <w:r w:rsidRPr="00552B0C">
              <w:rPr>
                <w:b/>
                <w:bCs w:val="0"/>
              </w:rPr>
              <w:t>[1.49, 90.17]</w:t>
            </w:r>
          </w:p>
        </w:tc>
        <w:tc>
          <w:tcPr>
            <w:tcW w:w="1224" w:type="dxa"/>
            <w:shd w:val="clear" w:color="auto" w:fill="B8CCE4" w:themeFill="accent1" w:themeFillTint="66"/>
          </w:tcPr>
          <w:p w14:paraId="2D01CFDE" w14:textId="77777777" w:rsidR="00091D2A" w:rsidRPr="00552B0C" w:rsidRDefault="00091D2A">
            <w:pPr>
              <w:pStyle w:val="TableText0"/>
              <w:keepNext w:val="0"/>
              <w:jc w:val="center"/>
              <w:rPr>
                <w:b/>
                <w:bCs w:val="0"/>
              </w:rPr>
            </w:pPr>
            <w:r w:rsidRPr="00552B0C">
              <w:rPr>
                <w:b/>
                <w:bCs w:val="0"/>
              </w:rPr>
              <w:t xml:space="preserve">11.27 </w:t>
            </w:r>
          </w:p>
          <w:p w14:paraId="39903D2F" w14:textId="77777777" w:rsidR="00091D2A" w:rsidRPr="00552B0C" w:rsidRDefault="00091D2A">
            <w:pPr>
              <w:pStyle w:val="TableText0"/>
              <w:keepNext w:val="0"/>
              <w:jc w:val="center"/>
              <w:rPr>
                <w:b/>
                <w:bCs w:val="0"/>
              </w:rPr>
            </w:pPr>
            <w:r w:rsidRPr="00552B0C">
              <w:rPr>
                <w:b/>
                <w:bCs w:val="0"/>
              </w:rPr>
              <w:t>[1.46, 86.84]</w:t>
            </w:r>
          </w:p>
        </w:tc>
        <w:tc>
          <w:tcPr>
            <w:tcW w:w="1495" w:type="dxa"/>
            <w:shd w:val="clear" w:color="auto" w:fill="B8CCE4" w:themeFill="accent1" w:themeFillTint="66"/>
          </w:tcPr>
          <w:p w14:paraId="6D87FD20" w14:textId="77777777" w:rsidR="00091D2A" w:rsidRPr="00552B0C" w:rsidRDefault="00091D2A">
            <w:pPr>
              <w:pStyle w:val="TableText0"/>
              <w:keepNext w:val="0"/>
              <w:jc w:val="center"/>
              <w:rPr>
                <w:b/>
                <w:bCs w:val="0"/>
              </w:rPr>
            </w:pPr>
            <w:r w:rsidRPr="00552B0C">
              <w:rPr>
                <w:b/>
                <w:bCs w:val="0"/>
              </w:rPr>
              <w:t xml:space="preserve">0.03 </w:t>
            </w:r>
          </w:p>
          <w:p w14:paraId="1506B8A7" w14:textId="77777777" w:rsidR="00091D2A" w:rsidRPr="00552B0C" w:rsidRDefault="00091D2A">
            <w:pPr>
              <w:pStyle w:val="TableText0"/>
              <w:keepNext w:val="0"/>
              <w:jc w:val="center"/>
              <w:rPr>
                <w:b/>
                <w:bCs w:val="0"/>
              </w:rPr>
            </w:pPr>
            <w:r w:rsidRPr="00552B0C">
              <w:rPr>
                <w:b/>
                <w:bCs w:val="0"/>
              </w:rPr>
              <w:t>[0.01, 0.05]</w:t>
            </w:r>
          </w:p>
        </w:tc>
      </w:tr>
      <w:tr w:rsidR="00091D2A" w:rsidRPr="00552B0C" w14:paraId="565DC937" w14:textId="77777777">
        <w:trPr>
          <w:trHeight w:val="195"/>
        </w:trPr>
        <w:tc>
          <w:tcPr>
            <w:tcW w:w="2088" w:type="dxa"/>
            <w:shd w:val="clear" w:color="auto" w:fill="B8CCE4" w:themeFill="accent1" w:themeFillTint="66"/>
          </w:tcPr>
          <w:p w14:paraId="51D1E37E" w14:textId="77777777" w:rsidR="00091D2A" w:rsidRPr="00552B0C" w:rsidRDefault="00091D2A">
            <w:pPr>
              <w:pStyle w:val="TableText0"/>
              <w:keepNext w:val="0"/>
            </w:pPr>
            <w:r w:rsidRPr="00552B0C">
              <w:t>White blood cell count decreased</w:t>
            </w:r>
          </w:p>
        </w:tc>
        <w:tc>
          <w:tcPr>
            <w:tcW w:w="1494" w:type="dxa"/>
            <w:shd w:val="clear" w:color="auto" w:fill="B8CCE4" w:themeFill="accent1" w:themeFillTint="66"/>
          </w:tcPr>
          <w:p w14:paraId="7C1131DC" w14:textId="77777777" w:rsidR="00091D2A" w:rsidRPr="00552B0C" w:rsidRDefault="00091D2A">
            <w:pPr>
              <w:pStyle w:val="TableText0"/>
              <w:keepNext w:val="0"/>
              <w:jc w:val="center"/>
            </w:pPr>
            <w:r w:rsidRPr="00552B0C">
              <w:t xml:space="preserve">6/370 </w:t>
            </w:r>
          </w:p>
          <w:p w14:paraId="3AB2C400" w14:textId="77777777" w:rsidR="00091D2A" w:rsidRPr="00552B0C" w:rsidRDefault="00091D2A">
            <w:pPr>
              <w:pStyle w:val="TableText0"/>
              <w:keepNext w:val="0"/>
              <w:jc w:val="center"/>
            </w:pPr>
            <w:r w:rsidRPr="00552B0C">
              <w:t>(1.62%)</w:t>
            </w:r>
          </w:p>
        </w:tc>
        <w:tc>
          <w:tcPr>
            <w:tcW w:w="1492" w:type="dxa"/>
            <w:shd w:val="clear" w:color="auto" w:fill="B8CCE4" w:themeFill="accent1" w:themeFillTint="66"/>
          </w:tcPr>
          <w:p w14:paraId="7716103C" w14:textId="77777777" w:rsidR="00091D2A" w:rsidRPr="00552B0C" w:rsidRDefault="00091D2A">
            <w:pPr>
              <w:pStyle w:val="TableText0"/>
              <w:keepNext w:val="0"/>
              <w:jc w:val="center"/>
            </w:pPr>
            <w:r w:rsidRPr="00552B0C">
              <w:t xml:space="preserve">18/379 </w:t>
            </w:r>
          </w:p>
          <w:p w14:paraId="2479BEA4" w14:textId="77777777" w:rsidR="00091D2A" w:rsidRPr="00552B0C" w:rsidRDefault="00091D2A">
            <w:pPr>
              <w:pStyle w:val="TableText0"/>
              <w:keepNext w:val="0"/>
              <w:jc w:val="center"/>
            </w:pPr>
            <w:r w:rsidRPr="00552B0C">
              <w:t>(4.75%)</w:t>
            </w:r>
          </w:p>
        </w:tc>
        <w:tc>
          <w:tcPr>
            <w:tcW w:w="1224" w:type="dxa"/>
            <w:shd w:val="clear" w:color="auto" w:fill="B8CCE4" w:themeFill="accent1" w:themeFillTint="66"/>
          </w:tcPr>
          <w:p w14:paraId="6D936255" w14:textId="77777777" w:rsidR="00091D2A" w:rsidRPr="00552B0C" w:rsidRDefault="00091D2A">
            <w:pPr>
              <w:pStyle w:val="TableText0"/>
              <w:keepNext w:val="0"/>
              <w:jc w:val="center"/>
              <w:rPr>
                <w:b/>
                <w:bCs w:val="0"/>
              </w:rPr>
            </w:pPr>
            <w:r w:rsidRPr="00552B0C">
              <w:rPr>
                <w:b/>
                <w:bCs w:val="0"/>
              </w:rPr>
              <w:t xml:space="preserve">0.33 </w:t>
            </w:r>
          </w:p>
          <w:p w14:paraId="4A303F07" w14:textId="77777777" w:rsidR="00091D2A" w:rsidRPr="00552B0C" w:rsidRDefault="00091D2A">
            <w:pPr>
              <w:pStyle w:val="TableText0"/>
              <w:keepNext w:val="0"/>
              <w:jc w:val="center"/>
              <w:rPr>
                <w:b/>
                <w:bCs w:val="0"/>
              </w:rPr>
            </w:pPr>
            <w:r w:rsidRPr="00552B0C">
              <w:rPr>
                <w:b/>
                <w:bCs w:val="0"/>
              </w:rPr>
              <w:t>[0.13, 0.84]</w:t>
            </w:r>
          </w:p>
        </w:tc>
        <w:tc>
          <w:tcPr>
            <w:tcW w:w="1224" w:type="dxa"/>
            <w:shd w:val="clear" w:color="auto" w:fill="B8CCE4" w:themeFill="accent1" w:themeFillTint="66"/>
          </w:tcPr>
          <w:p w14:paraId="37EEDBF7" w14:textId="77777777" w:rsidR="00091D2A" w:rsidRPr="00552B0C" w:rsidRDefault="00091D2A">
            <w:pPr>
              <w:pStyle w:val="TableText0"/>
              <w:keepNext w:val="0"/>
              <w:jc w:val="center"/>
              <w:rPr>
                <w:b/>
                <w:bCs w:val="0"/>
              </w:rPr>
            </w:pPr>
            <w:r w:rsidRPr="00552B0C">
              <w:rPr>
                <w:b/>
                <w:bCs w:val="0"/>
              </w:rPr>
              <w:t xml:space="preserve">0.34 </w:t>
            </w:r>
          </w:p>
          <w:p w14:paraId="61796633" w14:textId="77777777" w:rsidR="00091D2A" w:rsidRPr="00552B0C" w:rsidRDefault="00091D2A">
            <w:pPr>
              <w:pStyle w:val="TableText0"/>
              <w:keepNext w:val="0"/>
              <w:jc w:val="center"/>
              <w:rPr>
                <w:b/>
                <w:bCs w:val="0"/>
              </w:rPr>
            </w:pPr>
            <w:r w:rsidRPr="00552B0C">
              <w:rPr>
                <w:b/>
                <w:bCs w:val="0"/>
              </w:rPr>
              <w:t>[0.14, 0.85]</w:t>
            </w:r>
          </w:p>
        </w:tc>
        <w:tc>
          <w:tcPr>
            <w:tcW w:w="1495" w:type="dxa"/>
            <w:shd w:val="clear" w:color="auto" w:fill="B8CCE4" w:themeFill="accent1" w:themeFillTint="66"/>
          </w:tcPr>
          <w:p w14:paraId="095299B5" w14:textId="77777777" w:rsidR="00091D2A" w:rsidRPr="00552B0C" w:rsidRDefault="00091D2A">
            <w:pPr>
              <w:pStyle w:val="TableText0"/>
              <w:keepNext w:val="0"/>
              <w:jc w:val="center"/>
              <w:rPr>
                <w:b/>
                <w:bCs w:val="0"/>
              </w:rPr>
            </w:pPr>
            <w:r w:rsidRPr="00552B0C">
              <w:rPr>
                <w:b/>
                <w:bCs w:val="0"/>
              </w:rPr>
              <w:t xml:space="preserve">-0.03 </w:t>
            </w:r>
          </w:p>
          <w:p w14:paraId="40DF6CCD" w14:textId="77777777" w:rsidR="00091D2A" w:rsidRPr="00552B0C" w:rsidRDefault="00091D2A">
            <w:pPr>
              <w:pStyle w:val="TableText0"/>
              <w:keepNext w:val="0"/>
              <w:jc w:val="center"/>
              <w:rPr>
                <w:b/>
                <w:bCs w:val="0"/>
              </w:rPr>
            </w:pPr>
            <w:r w:rsidRPr="00552B0C">
              <w:rPr>
                <w:b/>
                <w:bCs w:val="0"/>
              </w:rPr>
              <w:t>[-0.06, -0.01]</w:t>
            </w:r>
          </w:p>
        </w:tc>
      </w:tr>
      <w:tr w:rsidR="00091D2A" w:rsidRPr="00552B0C" w14:paraId="19C87920" w14:textId="77777777">
        <w:trPr>
          <w:trHeight w:val="195"/>
        </w:trPr>
        <w:tc>
          <w:tcPr>
            <w:tcW w:w="9017" w:type="dxa"/>
            <w:gridSpan w:val="6"/>
            <w:shd w:val="clear" w:color="auto" w:fill="B8CCE4" w:themeFill="accent1" w:themeFillTint="66"/>
          </w:tcPr>
          <w:p w14:paraId="66FD2D87" w14:textId="77777777" w:rsidR="00091D2A" w:rsidRPr="00552B0C" w:rsidRDefault="00091D2A">
            <w:pPr>
              <w:pStyle w:val="TableText0"/>
              <w:keepNext w:val="0"/>
              <w:rPr>
                <w:b/>
                <w:bCs w:val="0"/>
              </w:rPr>
            </w:pPr>
            <w:r w:rsidRPr="00552B0C">
              <w:rPr>
                <w:b/>
                <w:bCs w:val="0"/>
              </w:rPr>
              <w:t>Nervous system disorders</w:t>
            </w:r>
          </w:p>
        </w:tc>
      </w:tr>
      <w:tr w:rsidR="00091D2A" w:rsidRPr="00552B0C" w14:paraId="57A5DFC7" w14:textId="77777777">
        <w:trPr>
          <w:trHeight w:val="195"/>
        </w:trPr>
        <w:tc>
          <w:tcPr>
            <w:tcW w:w="2088" w:type="dxa"/>
            <w:shd w:val="clear" w:color="auto" w:fill="B8CCE4" w:themeFill="accent1" w:themeFillTint="66"/>
          </w:tcPr>
          <w:p w14:paraId="3ADB7560" w14:textId="77777777" w:rsidR="00091D2A" w:rsidRPr="00552B0C" w:rsidRDefault="00091D2A">
            <w:pPr>
              <w:pStyle w:val="TableText0"/>
              <w:keepNext w:val="0"/>
            </w:pPr>
            <w:r w:rsidRPr="00552B0C">
              <w:t>Neuropathy peripheral</w:t>
            </w:r>
          </w:p>
        </w:tc>
        <w:tc>
          <w:tcPr>
            <w:tcW w:w="1494" w:type="dxa"/>
            <w:shd w:val="clear" w:color="auto" w:fill="B8CCE4" w:themeFill="accent1" w:themeFillTint="66"/>
          </w:tcPr>
          <w:p w14:paraId="1032B8EC" w14:textId="77777777" w:rsidR="00091D2A" w:rsidRPr="00552B0C" w:rsidRDefault="00091D2A">
            <w:pPr>
              <w:pStyle w:val="TableText0"/>
              <w:keepNext w:val="0"/>
              <w:jc w:val="center"/>
            </w:pPr>
            <w:r w:rsidRPr="00552B0C">
              <w:t xml:space="preserve">12/370 </w:t>
            </w:r>
          </w:p>
          <w:p w14:paraId="04ECEF6F" w14:textId="77777777" w:rsidR="00091D2A" w:rsidRPr="00552B0C" w:rsidRDefault="00091D2A">
            <w:pPr>
              <w:pStyle w:val="TableText0"/>
              <w:keepNext w:val="0"/>
              <w:jc w:val="center"/>
            </w:pPr>
            <w:r w:rsidRPr="00552B0C">
              <w:t>(3.24%)</w:t>
            </w:r>
          </w:p>
        </w:tc>
        <w:tc>
          <w:tcPr>
            <w:tcW w:w="1492" w:type="dxa"/>
            <w:shd w:val="clear" w:color="auto" w:fill="B8CCE4" w:themeFill="accent1" w:themeFillTint="66"/>
          </w:tcPr>
          <w:p w14:paraId="10AA238F" w14:textId="77777777" w:rsidR="00091D2A" w:rsidRPr="00552B0C" w:rsidRDefault="00091D2A">
            <w:pPr>
              <w:pStyle w:val="TableText0"/>
              <w:keepNext w:val="0"/>
              <w:jc w:val="center"/>
            </w:pPr>
            <w:r w:rsidRPr="00552B0C">
              <w:t xml:space="preserve">22/379 </w:t>
            </w:r>
          </w:p>
          <w:p w14:paraId="6A22DB32" w14:textId="77777777" w:rsidR="00091D2A" w:rsidRPr="00552B0C" w:rsidRDefault="00091D2A">
            <w:pPr>
              <w:pStyle w:val="TableText0"/>
              <w:keepNext w:val="0"/>
              <w:jc w:val="center"/>
            </w:pPr>
            <w:r w:rsidRPr="00552B0C">
              <w:t>(5.80%)</w:t>
            </w:r>
          </w:p>
        </w:tc>
        <w:tc>
          <w:tcPr>
            <w:tcW w:w="1224" w:type="dxa"/>
            <w:shd w:val="clear" w:color="auto" w:fill="B8CCE4" w:themeFill="accent1" w:themeFillTint="66"/>
          </w:tcPr>
          <w:p w14:paraId="563FFA7C" w14:textId="77777777" w:rsidR="00091D2A" w:rsidRPr="00552B0C" w:rsidRDefault="00091D2A">
            <w:pPr>
              <w:pStyle w:val="TableText0"/>
              <w:keepNext w:val="0"/>
              <w:jc w:val="center"/>
            </w:pPr>
            <w:r w:rsidRPr="00552B0C">
              <w:t xml:space="preserve">0.54 </w:t>
            </w:r>
          </w:p>
          <w:p w14:paraId="6F794168" w14:textId="77777777" w:rsidR="00091D2A" w:rsidRPr="00552B0C" w:rsidRDefault="00091D2A">
            <w:pPr>
              <w:pStyle w:val="TableText0"/>
              <w:keepNext w:val="0"/>
              <w:jc w:val="center"/>
            </w:pPr>
            <w:r w:rsidRPr="00552B0C">
              <w:t>[0.27, 1.12]</w:t>
            </w:r>
          </w:p>
        </w:tc>
        <w:tc>
          <w:tcPr>
            <w:tcW w:w="1224" w:type="dxa"/>
            <w:shd w:val="clear" w:color="auto" w:fill="B8CCE4" w:themeFill="accent1" w:themeFillTint="66"/>
          </w:tcPr>
          <w:p w14:paraId="19CF353C" w14:textId="77777777" w:rsidR="00091D2A" w:rsidRPr="00552B0C" w:rsidRDefault="00091D2A">
            <w:pPr>
              <w:pStyle w:val="TableText0"/>
              <w:keepNext w:val="0"/>
              <w:jc w:val="center"/>
            </w:pPr>
            <w:r w:rsidRPr="00552B0C">
              <w:t xml:space="preserve">0.56 </w:t>
            </w:r>
          </w:p>
          <w:p w14:paraId="3D39FB6A" w14:textId="77777777" w:rsidR="00091D2A" w:rsidRPr="00552B0C" w:rsidRDefault="00091D2A">
            <w:pPr>
              <w:pStyle w:val="TableText0"/>
              <w:keepNext w:val="0"/>
              <w:jc w:val="center"/>
            </w:pPr>
            <w:r w:rsidRPr="00552B0C">
              <w:t>[0.28, 1.11]</w:t>
            </w:r>
          </w:p>
        </w:tc>
        <w:tc>
          <w:tcPr>
            <w:tcW w:w="1495" w:type="dxa"/>
            <w:shd w:val="clear" w:color="auto" w:fill="B8CCE4" w:themeFill="accent1" w:themeFillTint="66"/>
          </w:tcPr>
          <w:p w14:paraId="746EE952" w14:textId="77777777" w:rsidR="00091D2A" w:rsidRPr="00552B0C" w:rsidRDefault="00091D2A">
            <w:pPr>
              <w:pStyle w:val="TableText0"/>
              <w:keepNext w:val="0"/>
              <w:jc w:val="center"/>
            </w:pPr>
            <w:r w:rsidRPr="00552B0C">
              <w:t xml:space="preserve">-0.03 </w:t>
            </w:r>
          </w:p>
          <w:p w14:paraId="5DF9EA7F" w14:textId="77777777" w:rsidR="00091D2A" w:rsidRPr="00552B0C" w:rsidRDefault="00091D2A">
            <w:pPr>
              <w:pStyle w:val="TableText0"/>
              <w:keepNext w:val="0"/>
              <w:jc w:val="center"/>
            </w:pPr>
            <w:r w:rsidRPr="00552B0C">
              <w:t>[-0.06, 0.00]</w:t>
            </w:r>
          </w:p>
        </w:tc>
      </w:tr>
    </w:tbl>
    <w:p w14:paraId="1186C6BD" w14:textId="77777777" w:rsidR="00091D2A" w:rsidRPr="00552B0C" w:rsidRDefault="00091D2A" w:rsidP="006C554D">
      <w:pPr>
        <w:pStyle w:val="TableFigureFooter"/>
      </w:pPr>
      <w:r w:rsidRPr="00552B0C">
        <w:t>Source: Table 35, p81-82 of the March 2024 submission.</w:t>
      </w:r>
    </w:p>
    <w:p w14:paraId="7A82F448" w14:textId="77777777" w:rsidR="00091D2A" w:rsidRPr="00552B0C" w:rsidRDefault="00091D2A" w:rsidP="006C554D">
      <w:pPr>
        <w:pStyle w:val="TableFigureFooter"/>
      </w:pPr>
      <w:r w:rsidRPr="00552B0C">
        <w:t>Abbreviations: AEs, adverse events; CI, confidence interval; Gem+NabP, gemcitabine plus nanoparticle albumin-bound paclitaxel; NALIRIFOX, 5-fluorouracil, leucovorin/folinic acid, nanoliposomal irinotecan (nal-IRI), and oxaliplatin; OR, odds ratio; RD, risk difference; RR, relative risk; TEAE, treatment emergent adverse event.</w:t>
      </w:r>
    </w:p>
    <w:p w14:paraId="0CE27422" w14:textId="77777777" w:rsidR="00091D2A" w:rsidRPr="00552B0C" w:rsidRDefault="00091D2A" w:rsidP="006C554D">
      <w:pPr>
        <w:pStyle w:val="TableFigureFooter"/>
      </w:pPr>
      <w:r w:rsidRPr="00552B0C">
        <w:t xml:space="preserve">Note: Results in </w:t>
      </w:r>
      <w:r w:rsidRPr="00552B0C">
        <w:rPr>
          <w:b/>
          <w:bCs/>
        </w:rPr>
        <w:t>bold</w:t>
      </w:r>
      <w:r w:rsidRPr="00552B0C">
        <w:t xml:space="preserve"> indicate statistically significant difference (p &lt; 0.05) based on post hoc analyses. </w:t>
      </w:r>
    </w:p>
    <w:p w14:paraId="6CE8F8B0" w14:textId="1464B572" w:rsidR="00091D2A" w:rsidRPr="00552B0C" w:rsidRDefault="00091D2A" w:rsidP="0000231D">
      <w:pPr>
        <w:pStyle w:val="TableFigureFooter"/>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w:t>
      </w:r>
    </w:p>
    <w:p w14:paraId="40996303" w14:textId="5D230D58" w:rsidR="00091D2A" w:rsidRPr="00552B0C" w:rsidRDefault="00091D2A" w:rsidP="00091D2A">
      <w:pPr>
        <w:pStyle w:val="Caption"/>
      </w:pPr>
      <w:bookmarkStart w:id="63" w:name="_Ref176366868"/>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11</w:t>
      </w:r>
      <w:r w:rsidR="001C19B6">
        <w:rPr>
          <w:noProof/>
        </w:rPr>
        <w:fldChar w:fldCharType="end"/>
      </w:r>
      <w:bookmarkEnd w:id="63"/>
      <w:r w:rsidRPr="00552B0C">
        <w:t>: Summary of most frequently reported drug-related Grade 3-4 TEAEs with an incidence of ≥ 5% (Safety Population).</w:t>
      </w:r>
    </w:p>
    <w:tbl>
      <w:tblPr>
        <w:tblStyle w:val="TableGrid"/>
        <w:tblW w:w="0" w:type="auto"/>
        <w:shd w:val="clear" w:color="auto" w:fill="B8CCE4" w:themeFill="accent1" w:themeFillTint="66"/>
        <w:tblLook w:val="04A0" w:firstRow="1" w:lastRow="0" w:firstColumn="1" w:lastColumn="0" w:noHBand="0" w:noVBand="1"/>
        <w:tblCaption w:val="Table 11: Summary of most frequently reported drug-related Grade 3-4 TEAEs with an incidence of ≥ 5% (Safety Population)."/>
      </w:tblPr>
      <w:tblGrid>
        <w:gridCol w:w="2188"/>
        <w:gridCol w:w="1472"/>
        <w:gridCol w:w="1470"/>
        <w:gridCol w:w="1207"/>
        <w:gridCol w:w="1207"/>
        <w:gridCol w:w="1473"/>
      </w:tblGrid>
      <w:tr w:rsidR="00091D2A" w:rsidRPr="00552B0C" w14:paraId="20123EC6" w14:textId="77777777" w:rsidTr="0000231D">
        <w:trPr>
          <w:trHeight w:val="199"/>
          <w:tblHeader/>
        </w:trPr>
        <w:tc>
          <w:tcPr>
            <w:tcW w:w="2188" w:type="dxa"/>
            <w:vMerge w:val="restart"/>
            <w:shd w:val="clear" w:color="auto" w:fill="auto"/>
          </w:tcPr>
          <w:p w14:paraId="5778334B" w14:textId="77777777" w:rsidR="00091D2A" w:rsidRPr="00552B0C" w:rsidRDefault="00091D2A">
            <w:pPr>
              <w:pStyle w:val="PBACTabletext"/>
              <w:keepNext w:val="0"/>
              <w:keepLines w:val="0"/>
              <w:widowControl w:val="0"/>
              <w:suppressLineNumbers w:val="0"/>
              <w:rPr>
                <w:b/>
                <w:bCs/>
              </w:rPr>
            </w:pPr>
            <w:r w:rsidRPr="00552B0C">
              <w:rPr>
                <w:b/>
                <w:bCs/>
              </w:rPr>
              <w:t>AEs</w:t>
            </w:r>
          </w:p>
        </w:tc>
        <w:tc>
          <w:tcPr>
            <w:tcW w:w="1472" w:type="dxa"/>
            <w:shd w:val="clear" w:color="auto" w:fill="auto"/>
          </w:tcPr>
          <w:p w14:paraId="3954AFD8" w14:textId="77777777" w:rsidR="00091D2A" w:rsidRPr="00552B0C" w:rsidRDefault="00091D2A">
            <w:pPr>
              <w:pStyle w:val="PBACTabletext"/>
              <w:keepNext w:val="0"/>
              <w:keepLines w:val="0"/>
              <w:widowControl w:val="0"/>
              <w:suppressLineNumbers w:val="0"/>
              <w:jc w:val="center"/>
              <w:rPr>
                <w:b/>
                <w:bCs/>
              </w:rPr>
            </w:pPr>
            <w:r w:rsidRPr="00552B0C">
              <w:rPr>
                <w:b/>
                <w:bCs/>
              </w:rPr>
              <w:t>NALIRIFOX</w:t>
            </w:r>
          </w:p>
          <w:p w14:paraId="00EAC505" w14:textId="77777777" w:rsidR="00091D2A" w:rsidRPr="00552B0C" w:rsidRDefault="00091D2A">
            <w:pPr>
              <w:pStyle w:val="PBACTabletext"/>
              <w:keepNext w:val="0"/>
              <w:keepLines w:val="0"/>
              <w:widowControl w:val="0"/>
              <w:suppressLineNumbers w:val="0"/>
              <w:jc w:val="center"/>
              <w:rPr>
                <w:b/>
                <w:bCs/>
              </w:rPr>
            </w:pPr>
            <w:r w:rsidRPr="00552B0C">
              <w:rPr>
                <w:b/>
                <w:bCs/>
              </w:rPr>
              <w:t>N=370</w:t>
            </w:r>
          </w:p>
        </w:tc>
        <w:tc>
          <w:tcPr>
            <w:tcW w:w="1470" w:type="dxa"/>
            <w:shd w:val="clear" w:color="auto" w:fill="auto"/>
          </w:tcPr>
          <w:p w14:paraId="4994F23C" w14:textId="77777777" w:rsidR="00091D2A" w:rsidRPr="00552B0C" w:rsidRDefault="00091D2A">
            <w:pPr>
              <w:pStyle w:val="PBACTabletext"/>
              <w:keepNext w:val="0"/>
              <w:keepLines w:val="0"/>
              <w:widowControl w:val="0"/>
              <w:suppressLineNumbers w:val="0"/>
              <w:jc w:val="center"/>
              <w:rPr>
                <w:b/>
                <w:bCs/>
              </w:rPr>
            </w:pPr>
            <w:r w:rsidRPr="00552B0C">
              <w:rPr>
                <w:b/>
                <w:bCs/>
              </w:rPr>
              <w:t>Gem+NabP</w:t>
            </w:r>
          </w:p>
          <w:p w14:paraId="721DC215" w14:textId="77777777" w:rsidR="00091D2A" w:rsidRPr="00552B0C" w:rsidRDefault="00091D2A">
            <w:pPr>
              <w:pStyle w:val="PBACTabletext"/>
              <w:keepNext w:val="0"/>
              <w:keepLines w:val="0"/>
              <w:widowControl w:val="0"/>
              <w:suppressLineNumbers w:val="0"/>
              <w:jc w:val="center"/>
              <w:rPr>
                <w:b/>
                <w:bCs/>
              </w:rPr>
            </w:pPr>
            <w:r w:rsidRPr="00552B0C">
              <w:rPr>
                <w:b/>
                <w:bCs/>
              </w:rPr>
              <w:t>N=379</w:t>
            </w:r>
          </w:p>
        </w:tc>
        <w:tc>
          <w:tcPr>
            <w:tcW w:w="1207" w:type="dxa"/>
            <w:shd w:val="clear" w:color="auto" w:fill="auto"/>
          </w:tcPr>
          <w:p w14:paraId="7AABA692" w14:textId="77777777" w:rsidR="00091D2A" w:rsidRPr="00552B0C" w:rsidRDefault="00091D2A">
            <w:pPr>
              <w:pStyle w:val="PBACTabletext"/>
              <w:keepNext w:val="0"/>
              <w:keepLines w:val="0"/>
              <w:widowControl w:val="0"/>
              <w:suppressLineNumbers w:val="0"/>
              <w:jc w:val="center"/>
              <w:rPr>
                <w:b/>
                <w:bCs/>
              </w:rPr>
            </w:pPr>
            <w:r w:rsidRPr="00552B0C">
              <w:rPr>
                <w:b/>
                <w:bCs/>
              </w:rPr>
              <w:t>OR [95% CI]</w:t>
            </w:r>
          </w:p>
        </w:tc>
        <w:tc>
          <w:tcPr>
            <w:tcW w:w="1207" w:type="dxa"/>
            <w:shd w:val="clear" w:color="auto" w:fill="auto"/>
          </w:tcPr>
          <w:p w14:paraId="2622347D" w14:textId="77777777" w:rsidR="00091D2A" w:rsidRPr="00552B0C" w:rsidRDefault="00091D2A">
            <w:pPr>
              <w:pStyle w:val="PBACTabletext"/>
              <w:keepNext w:val="0"/>
              <w:keepLines w:val="0"/>
              <w:widowControl w:val="0"/>
              <w:suppressLineNumbers w:val="0"/>
              <w:jc w:val="center"/>
              <w:rPr>
                <w:b/>
                <w:bCs/>
              </w:rPr>
            </w:pPr>
            <w:r w:rsidRPr="00552B0C">
              <w:rPr>
                <w:b/>
                <w:bCs/>
              </w:rPr>
              <w:t>RR [95% CI]</w:t>
            </w:r>
          </w:p>
        </w:tc>
        <w:tc>
          <w:tcPr>
            <w:tcW w:w="1473" w:type="dxa"/>
            <w:shd w:val="clear" w:color="auto" w:fill="auto"/>
          </w:tcPr>
          <w:p w14:paraId="09446639" w14:textId="77777777" w:rsidR="00091D2A" w:rsidRPr="00552B0C" w:rsidRDefault="00091D2A">
            <w:pPr>
              <w:pStyle w:val="PBACTabletext"/>
              <w:keepNext w:val="0"/>
              <w:keepLines w:val="0"/>
              <w:widowControl w:val="0"/>
              <w:suppressLineNumbers w:val="0"/>
              <w:jc w:val="center"/>
              <w:rPr>
                <w:b/>
                <w:bCs/>
              </w:rPr>
            </w:pPr>
            <w:r w:rsidRPr="00552B0C">
              <w:rPr>
                <w:b/>
                <w:bCs/>
              </w:rPr>
              <w:t>RD [95% CI]</w:t>
            </w:r>
          </w:p>
        </w:tc>
      </w:tr>
      <w:tr w:rsidR="00091D2A" w:rsidRPr="00552B0C" w14:paraId="2B09AD56" w14:textId="77777777" w:rsidTr="0000231D">
        <w:trPr>
          <w:trHeight w:val="189"/>
          <w:tblHeader/>
        </w:trPr>
        <w:tc>
          <w:tcPr>
            <w:tcW w:w="2188" w:type="dxa"/>
            <w:vMerge/>
            <w:shd w:val="clear" w:color="auto" w:fill="auto"/>
          </w:tcPr>
          <w:p w14:paraId="76FEEFE4" w14:textId="77777777" w:rsidR="00091D2A" w:rsidRPr="00552B0C" w:rsidRDefault="00091D2A">
            <w:pPr>
              <w:pStyle w:val="PBACTabletext"/>
              <w:keepNext w:val="0"/>
              <w:keepLines w:val="0"/>
              <w:widowControl w:val="0"/>
              <w:suppressLineNumbers w:val="0"/>
              <w:rPr>
                <w:b/>
                <w:bCs/>
              </w:rPr>
            </w:pPr>
          </w:p>
        </w:tc>
        <w:tc>
          <w:tcPr>
            <w:tcW w:w="1472" w:type="dxa"/>
            <w:shd w:val="clear" w:color="auto" w:fill="auto"/>
          </w:tcPr>
          <w:p w14:paraId="2D460659" w14:textId="77777777" w:rsidR="00091D2A" w:rsidRPr="00552B0C" w:rsidRDefault="00091D2A">
            <w:pPr>
              <w:pStyle w:val="PBACTabletext"/>
              <w:keepNext w:val="0"/>
              <w:keepLines w:val="0"/>
              <w:widowControl w:val="0"/>
              <w:suppressLineNumbers w:val="0"/>
              <w:jc w:val="center"/>
              <w:rPr>
                <w:b/>
                <w:bCs/>
              </w:rPr>
            </w:pPr>
            <w:r w:rsidRPr="00552B0C">
              <w:rPr>
                <w:b/>
                <w:bCs/>
              </w:rPr>
              <w:t>n /N (%)</w:t>
            </w:r>
          </w:p>
        </w:tc>
        <w:tc>
          <w:tcPr>
            <w:tcW w:w="1470" w:type="dxa"/>
            <w:shd w:val="clear" w:color="auto" w:fill="auto"/>
          </w:tcPr>
          <w:p w14:paraId="726E5C5F" w14:textId="77777777" w:rsidR="00091D2A" w:rsidRPr="00552B0C" w:rsidRDefault="00091D2A">
            <w:pPr>
              <w:pStyle w:val="PBACTabletext"/>
              <w:keepNext w:val="0"/>
              <w:keepLines w:val="0"/>
              <w:widowControl w:val="0"/>
              <w:suppressLineNumbers w:val="0"/>
              <w:jc w:val="center"/>
              <w:rPr>
                <w:b/>
                <w:bCs/>
              </w:rPr>
            </w:pPr>
            <w:r w:rsidRPr="00552B0C">
              <w:rPr>
                <w:b/>
                <w:bCs/>
              </w:rPr>
              <w:t>n /N (%)</w:t>
            </w:r>
          </w:p>
        </w:tc>
        <w:tc>
          <w:tcPr>
            <w:tcW w:w="2414" w:type="dxa"/>
            <w:gridSpan w:val="2"/>
            <w:shd w:val="clear" w:color="auto" w:fill="auto"/>
          </w:tcPr>
          <w:p w14:paraId="0EDA92C3" w14:textId="77777777" w:rsidR="00091D2A" w:rsidRPr="00552B0C" w:rsidRDefault="00091D2A">
            <w:pPr>
              <w:pStyle w:val="PBACTabletext"/>
              <w:keepNext w:val="0"/>
              <w:keepLines w:val="0"/>
              <w:widowControl w:val="0"/>
              <w:suppressLineNumbers w:val="0"/>
              <w:jc w:val="center"/>
              <w:rPr>
                <w:b/>
                <w:bCs/>
              </w:rPr>
            </w:pPr>
            <w:r w:rsidRPr="00552B0C">
              <w:rPr>
                <w:b/>
                <w:bCs/>
              </w:rPr>
              <w:t>OR and RR &lt; 1 favours NALIRIFOX</w:t>
            </w:r>
          </w:p>
        </w:tc>
        <w:tc>
          <w:tcPr>
            <w:tcW w:w="1473" w:type="dxa"/>
            <w:shd w:val="clear" w:color="auto" w:fill="auto"/>
          </w:tcPr>
          <w:p w14:paraId="723D0C31" w14:textId="77777777" w:rsidR="00091D2A" w:rsidRPr="00552B0C" w:rsidRDefault="00091D2A">
            <w:pPr>
              <w:pStyle w:val="PBACTabletext"/>
              <w:keepNext w:val="0"/>
              <w:keepLines w:val="0"/>
              <w:widowControl w:val="0"/>
              <w:suppressLineNumbers w:val="0"/>
              <w:jc w:val="center"/>
              <w:rPr>
                <w:b/>
                <w:bCs/>
              </w:rPr>
            </w:pPr>
            <w:r w:rsidRPr="00552B0C">
              <w:rPr>
                <w:b/>
                <w:bCs/>
              </w:rPr>
              <w:t>RD &lt; 0 favours NALIRIFOX</w:t>
            </w:r>
          </w:p>
        </w:tc>
      </w:tr>
      <w:tr w:rsidR="00091D2A" w:rsidRPr="00552B0C" w14:paraId="7E919104" w14:textId="77777777">
        <w:trPr>
          <w:trHeight w:val="199"/>
        </w:trPr>
        <w:tc>
          <w:tcPr>
            <w:tcW w:w="2188" w:type="dxa"/>
            <w:shd w:val="clear" w:color="auto" w:fill="B8CCE4" w:themeFill="accent1" w:themeFillTint="66"/>
          </w:tcPr>
          <w:p w14:paraId="2D4B87B2" w14:textId="77777777" w:rsidR="00091D2A" w:rsidRPr="00552B0C" w:rsidRDefault="00091D2A">
            <w:pPr>
              <w:pStyle w:val="TableText0"/>
            </w:pPr>
            <w:r w:rsidRPr="00552B0C">
              <w:t>Any drug-related Grade 3-4 TEAEs</w:t>
            </w:r>
          </w:p>
        </w:tc>
        <w:tc>
          <w:tcPr>
            <w:tcW w:w="1472" w:type="dxa"/>
            <w:shd w:val="clear" w:color="auto" w:fill="B8CCE4" w:themeFill="accent1" w:themeFillTint="66"/>
          </w:tcPr>
          <w:p w14:paraId="45A18E22" w14:textId="77777777" w:rsidR="00091D2A" w:rsidRPr="00552B0C" w:rsidRDefault="00091D2A">
            <w:pPr>
              <w:pStyle w:val="TableText0"/>
              <w:jc w:val="center"/>
            </w:pPr>
            <w:r w:rsidRPr="00552B0C">
              <w:t>259/370 (70.00%)</w:t>
            </w:r>
          </w:p>
        </w:tc>
        <w:tc>
          <w:tcPr>
            <w:tcW w:w="1470" w:type="dxa"/>
            <w:shd w:val="clear" w:color="auto" w:fill="B8CCE4" w:themeFill="accent1" w:themeFillTint="66"/>
          </w:tcPr>
          <w:p w14:paraId="61D6795A" w14:textId="77777777" w:rsidR="00091D2A" w:rsidRPr="00552B0C" w:rsidRDefault="00091D2A">
            <w:pPr>
              <w:pStyle w:val="TableText0"/>
              <w:jc w:val="center"/>
            </w:pPr>
            <w:r w:rsidRPr="00552B0C">
              <w:t>255/379 (67.28%)</w:t>
            </w:r>
          </w:p>
        </w:tc>
        <w:tc>
          <w:tcPr>
            <w:tcW w:w="1207" w:type="dxa"/>
            <w:shd w:val="clear" w:color="auto" w:fill="B8CCE4" w:themeFill="accent1" w:themeFillTint="66"/>
          </w:tcPr>
          <w:p w14:paraId="7BFA6B13" w14:textId="77777777" w:rsidR="00091D2A" w:rsidRPr="00552B0C" w:rsidRDefault="00091D2A">
            <w:pPr>
              <w:pStyle w:val="TableText0"/>
              <w:jc w:val="center"/>
            </w:pPr>
            <w:r w:rsidRPr="00552B0C">
              <w:t>1.13</w:t>
            </w:r>
          </w:p>
          <w:p w14:paraId="50EAC1FF" w14:textId="77777777" w:rsidR="00091D2A" w:rsidRPr="00552B0C" w:rsidRDefault="00091D2A">
            <w:pPr>
              <w:pStyle w:val="TableText0"/>
              <w:jc w:val="center"/>
            </w:pPr>
            <w:r w:rsidRPr="00552B0C">
              <w:t>[0.83, 1.55]</w:t>
            </w:r>
          </w:p>
        </w:tc>
        <w:tc>
          <w:tcPr>
            <w:tcW w:w="1207" w:type="dxa"/>
            <w:shd w:val="clear" w:color="auto" w:fill="B8CCE4" w:themeFill="accent1" w:themeFillTint="66"/>
          </w:tcPr>
          <w:p w14:paraId="5921247C" w14:textId="77777777" w:rsidR="00091D2A" w:rsidRPr="00552B0C" w:rsidRDefault="00091D2A">
            <w:pPr>
              <w:pStyle w:val="TableText0"/>
              <w:jc w:val="center"/>
            </w:pPr>
            <w:r w:rsidRPr="00552B0C">
              <w:t>1.04</w:t>
            </w:r>
          </w:p>
          <w:p w14:paraId="67818282" w14:textId="77777777" w:rsidR="00091D2A" w:rsidRPr="00552B0C" w:rsidRDefault="00091D2A">
            <w:pPr>
              <w:pStyle w:val="TableText0"/>
              <w:jc w:val="center"/>
            </w:pPr>
            <w:r w:rsidRPr="00552B0C">
              <w:t>[0.94, 1.15]</w:t>
            </w:r>
          </w:p>
        </w:tc>
        <w:tc>
          <w:tcPr>
            <w:tcW w:w="1473" w:type="dxa"/>
            <w:shd w:val="clear" w:color="auto" w:fill="B8CCE4" w:themeFill="accent1" w:themeFillTint="66"/>
          </w:tcPr>
          <w:p w14:paraId="6E78B0C8" w14:textId="77777777" w:rsidR="00091D2A" w:rsidRPr="00552B0C" w:rsidRDefault="00091D2A">
            <w:pPr>
              <w:pStyle w:val="TableText0"/>
              <w:jc w:val="center"/>
            </w:pPr>
            <w:r w:rsidRPr="00552B0C">
              <w:t>0.03</w:t>
            </w:r>
          </w:p>
          <w:p w14:paraId="2722D6A7" w14:textId="77777777" w:rsidR="00091D2A" w:rsidRPr="00552B0C" w:rsidRDefault="00091D2A">
            <w:pPr>
              <w:pStyle w:val="TableText0"/>
              <w:jc w:val="center"/>
            </w:pPr>
            <w:r w:rsidRPr="00552B0C">
              <w:t>[-0.04, 0.09]</w:t>
            </w:r>
          </w:p>
        </w:tc>
      </w:tr>
      <w:tr w:rsidR="00091D2A" w:rsidRPr="00552B0C" w14:paraId="7BAB86C5" w14:textId="77777777">
        <w:trPr>
          <w:trHeight w:val="199"/>
        </w:trPr>
        <w:tc>
          <w:tcPr>
            <w:tcW w:w="9017" w:type="dxa"/>
            <w:gridSpan w:val="6"/>
            <w:shd w:val="clear" w:color="auto" w:fill="B8CCE4" w:themeFill="accent1" w:themeFillTint="66"/>
          </w:tcPr>
          <w:p w14:paraId="31754A2E" w14:textId="77777777" w:rsidR="00091D2A" w:rsidRPr="00552B0C" w:rsidRDefault="00091D2A">
            <w:pPr>
              <w:pStyle w:val="In-tableHeading"/>
            </w:pPr>
            <w:r w:rsidRPr="00552B0C">
              <w:t>Gastrointestinal disorders</w:t>
            </w:r>
          </w:p>
        </w:tc>
      </w:tr>
      <w:tr w:rsidR="00091D2A" w:rsidRPr="00552B0C" w14:paraId="2BE1745F" w14:textId="77777777">
        <w:trPr>
          <w:trHeight w:val="199"/>
        </w:trPr>
        <w:tc>
          <w:tcPr>
            <w:tcW w:w="2188" w:type="dxa"/>
            <w:shd w:val="clear" w:color="auto" w:fill="B8CCE4" w:themeFill="accent1" w:themeFillTint="66"/>
          </w:tcPr>
          <w:p w14:paraId="7E5E3F61" w14:textId="77777777" w:rsidR="00091D2A" w:rsidRPr="00552B0C" w:rsidRDefault="00091D2A">
            <w:pPr>
              <w:pStyle w:val="TableText0"/>
            </w:pPr>
            <w:r w:rsidRPr="00552B0C">
              <w:t>Diarrhoea</w:t>
            </w:r>
          </w:p>
        </w:tc>
        <w:tc>
          <w:tcPr>
            <w:tcW w:w="1472" w:type="dxa"/>
            <w:shd w:val="clear" w:color="auto" w:fill="B8CCE4" w:themeFill="accent1" w:themeFillTint="66"/>
          </w:tcPr>
          <w:p w14:paraId="00B26A59" w14:textId="77777777" w:rsidR="00091D2A" w:rsidRPr="00552B0C" w:rsidRDefault="00091D2A">
            <w:pPr>
              <w:pStyle w:val="TableText0"/>
              <w:jc w:val="center"/>
            </w:pPr>
            <w:r w:rsidRPr="00552B0C">
              <w:t>72/370</w:t>
            </w:r>
          </w:p>
          <w:p w14:paraId="57A6806B" w14:textId="77777777" w:rsidR="00091D2A" w:rsidRPr="00552B0C" w:rsidRDefault="00091D2A">
            <w:pPr>
              <w:pStyle w:val="TableText0"/>
              <w:jc w:val="center"/>
            </w:pPr>
            <w:r w:rsidRPr="00552B0C">
              <w:t>(19.46%)</w:t>
            </w:r>
          </w:p>
        </w:tc>
        <w:tc>
          <w:tcPr>
            <w:tcW w:w="1470" w:type="dxa"/>
            <w:shd w:val="clear" w:color="auto" w:fill="B8CCE4" w:themeFill="accent1" w:themeFillTint="66"/>
          </w:tcPr>
          <w:p w14:paraId="29996988" w14:textId="77777777" w:rsidR="00091D2A" w:rsidRPr="00552B0C" w:rsidRDefault="00091D2A">
            <w:pPr>
              <w:pStyle w:val="TableText0"/>
              <w:jc w:val="center"/>
            </w:pPr>
            <w:r w:rsidRPr="00552B0C">
              <w:t>12/379</w:t>
            </w:r>
          </w:p>
          <w:p w14:paraId="7D72517B" w14:textId="77777777" w:rsidR="00091D2A" w:rsidRPr="00552B0C" w:rsidRDefault="00091D2A">
            <w:pPr>
              <w:pStyle w:val="TableText0"/>
              <w:jc w:val="center"/>
            </w:pPr>
            <w:r w:rsidRPr="00552B0C">
              <w:t>(3.17%)</w:t>
            </w:r>
          </w:p>
        </w:tc>
        <w:tc>
          <w:tcPr>
            <w:tcW w:w="1207" w:type="dxa"/>
            <w:shd w:val="clear" w:color="auto" w:fill="B8CCE4" w:themeFill="accent1" w:themeFillTint="66"/>
          </w:tcPr>
          <w:p w14:paraId="25ACDC0A" w14:textId="77777777" w:rsidR="00091D2A" w:rsidRPr="00552B0C" w:rsidRDefault="00091D2A">
            <w:pPr>
              <w:pStyle w:val="TableText0"/>
              <w:jc w:val="center"/>
              <w:rPr>
                <w:b/>
                <w:bCs w:val="0"/>
              </w:rPr>
            </w:pPr>
            <w:r w:rsidRPr="00552B0C">
              <w:rPr>
                <w:b/>
                <w:bCs w:val="0"/>
              </w:rPr>
              <w:t>7.39</w:t>
            </w:r>
          </w:p>
          <w:p w14:paraId="738224F3" w14:textId="77777777" w:rsidR="00091D2A" w:rsidRPr="00552B0C" w:rsidRDefault="00091D2A">
            <w:pPr>
              <w:pStyle w:val="TableText0"/>
              <w:jc w:val="center"/>
              <w:rPr>
                <w:b/>
                <w:bCs w:val="0"/>
              </w:rPr>
            </w:pPr>
            <w:r w:rsidRPr="00552B0C">
              <w:rPr>
                <w:b/>
                <w:bCs w:val="0"/>
              </w:rPr>
              <w:t>[3.94, 13.87]</w:t>
            </w:r>
          </w:p>
        </w:tc>
        <w:tc>
          <w:tcPr>
            <w:tcW w:w="1207" w:type="dxa"/>
            <w:shd w:val="clear" w:color="auto" w:fill="B8CCE4" w:themeFill="accent1" w:themeFillTint="66"/>
          </w:tcPr>
          <w:p w14:paraId="62D07CC1" w14:textId="77777777" w:rsidR="00091D2A" w:rsidRPr="00552B0C" w:rsidRDefault="00091D2A">
            <w:pPr>
              <w:pStyle w:val="TableText0"/>
              <w:jc w:val="center"/>
              <w:rPr>
                <w:b/>
                <w:bCs w:val="0"/>
              </w:rPr>
            </w:pPr>
            <w:r w:rsidRPr="00552B0C">
              <w:rPr>
                <w:b/>
                <w:bCs w:val="0"/>
              </w:rPr>
              <w:t>6.15</w:t>
            </w:r>
          </w:p>
          <w:p w14:paraId="734EE954" w14:textId="77777777" w:rsidR="00091D2A" w:rsidRPr="00552B0C" w:rsidRDefault="00091D2A">
            <w:pPr>
              <w:pStyle w:val="TableText0"/>
              <w:jc w:val="center"/>
              <w:rPr>
                <w:b/>
                <w:bCs w:val="0"/>
              </w:rPr>
            </w:pPr>
            <w:r w:rsidRPr="00552B0C">
              <w:rPr>
                <w:b/>
                <w:bCs w:val="0"/>
              </w:rPr>
              <w:t>[3.39, 11.13]</w:t>
            </w:r>
          </w:p>
        </w:tc>
        <w:tc>
          <w:tcPr>
            <w:tcW w:w="1473" w:type="dxa"/>
            <w:shd w:val="clear" w:color="auto" w:fill="B8CCE4" w:themeFill="accent1" w:themeFillTint="66"/>
          </w:tcPr>
          <w:p w14:paraId="355A26F7" w14:textId="77777777" w:rsidR="00091D2A" w:rsidRPr="00552B0C" w:rsidRDefault="00091D2A">
            <w:pPr>
              <w:pStyle w:val="TableText0"/>
              <w:jc w:val="center"/>
              <w:rPr>
                <w:b/>
                <w:bCs w:val="0"/>
              </w:rPr>
            </w:pPr>
            <w:r w:rsidRPr="00552B0C">
              <w:rPr>
                <w:b/>
                <w:bCs w:val="0"/>
              </w:rPr>
              <w:t>0.16</w:t>
            </w:r>
          </w:p>
          <w:p w14:paraId="5E95977D" w14:textId="77777777" w:rsidR="00091D2A" w:rsidRPr="00552B0C" w:rsidRDefault="00091D2A">
            <w:pPr>
              <w:pStyle w:val="TableText0"/>
              <w:jc w:val="center"/>
              <w:rPr>
                <w:b/>
                <w:bCs w:val="0"/>
              </w:rPr>
            </w:pPr>
            <w:r w:rsidRPr="00552B0C">
              <w:rPr>
                <w:b/>
                <w:bCs w:val="0"/>
              </w:rPr>
              <w:t>[0.12, 0.21]</w:t>
            </w:r>
          </w:p>
        </w:tc>
      </w:tr>
      <w:tr w:rsidR="00091D2A" w:rsidRPr="00552B0C" w14:paraId="74317E53" w14:textId="77777777">
        <w:trPr>
          <w:trHeight w:val="189"/>
        </w:trPr>
        <w:tc>
          <w:tcPr>
            <w:tcW w:w="2188" w:type="dxa"/>
            <w:shd w:val="clear" w:color="auto" w:fill="B8CCE4" w:themeFill="accent1" w:themeFillTint="66"/>
          </w:tcPr>
          <w:p w14:paraId="033A31D0" w14:textId="77777777" w:rsidR="00091D2A" w:rsidRPr="00552B0C" w:rsidRDefault="00091D2A">
            <w:pPr>
              <w:pStyle w:val="TableText0"/>
            </w:pPr>
            <w:r w:rsidRPr="00552B0C">
              <w:t>Nausea</w:t>
            </w:r>
          </w:p>
        </w:tc>
        <w:tc>
          <w:tcPr>
            <w:tcW w:w="1472" w:type="dxa"/>
            <w:shd w:val="clear" w:color="auto" w:fill="B8CCE4" w:themeFill="accent1" w:themeFillTint="66"/>
          </w:tcPr>
          <w:p w14:paraId="6A95AF1C" w14:textId="77777777" w:rsidR="00091D2A" w:rsidRPr="00552B0C" w:rsidRDefault="00091D2A">
            <w:pPr>
              <w:pStyle w:val="TableText0"/>
              <w:jc w:val="center"/>
            </w:pPr>
            <w:r w:rsidRPr="00552B0C">
              <w:t>42/370</w:t>
            </w:r>
          </w:p>
          <w:p w14:paraId="0B6BA802" w14:textId="77777777" w:rsidR="00091D2A" w:rsidRPr="00552B0C" w:rsidRDefault="00091D2A">
            <w:pPr>
              <w:pStyle w:val="TableText0"/>
              <w:jc w:val="center"/>
            </w:pPr>
            <w:r w:rsidRPr="00552B0C">
              <w:t>(11.35%)</w:t>
            </w:r>
          </w:p>
        </w:tc>
        <w:tc>
          <w:tcPr>
            <w:tcW w:w="1470" w:type="dxa"/>
            <w:shd w:val="clear" w:color="auto" w:fill="B8CCE4" w:themeFill="accent1" w:themeFillTint="66"/>
          </w:tcPr>
          <w:p w14:paraId="3C190F3F" w14:textId="77777777" w:rsidR="00091D2A" w:rsidRPr="00552B0C" w:rsidRDefault="00091D2A">
            <w:pPr>
              <w:pStyle w:val="TableText0"/>
              <w:jc w:val="center"/>
            </w:pPr>
            <w:r w:rsidRPr="00552B0C">
              <w:t>8/379</w:t>
            </w:r>
          </w:p>
          <w:p w14:paraId="286AB868" w14:textId="77777777" w:rsidR="00091D2A" w:rsidRPr="00552B0C" w:rsidRDefault="00091D2A">
            <w:pPr>
              <w:pStyle w:val="TableText0"/>
              <w:jc w:val="center"/>
            </w:pPr>
            <w:r w:rsidRPr="00552B0C">
              <w:t>(2.11%)</w:t>
            </w:r>
          </w:p>
        </w:tc>
        <w:tc>
          <w:tcPr>
            <w:tcW w:w="1207" w:type="dxa"/>
            <w:shd w:val="clear" w:color="auto" w:fill="B8CCE4" w:themeFill="accent1" w:themeFillTint="66"/>
          </w:tcPr>
          <w:p w14:paraId="2131436D" w14:textId="77777777" w:rsidR="00091D2A" w:rsidRPr="00552B0C" w:rsidRDefault="00091D2A">
            <w:pPr>
              <w:pStyle w:val="TableText0"/>
              <w:jc w:val="center"/>
              <w:rPr>
                <w:b/>
                <w:bCs w:val="0"/>
              </w:rPr>
            </w:pPr>
            <w:r w:rsidRPr="00552B0C">
              <w:rPr>
                <w:b/>
                <w:bCs w:val="0"/>
              </w:rPr>
              <w:t>5.94</w:t>
            </w:r>
          </w:p>
          <w:p w14:paraId="79F477AC" w14:textId="77777777" w:rsidR="00091D2A" w:rsidRPr="00552B0C" w:rsidRDefault="00091D2A">
            <w:pPr>
              <w:pStyle w:val="TableText0"/>
              <w:jc w:val="center"/>
              <w:rPr>
                <w:b/>
                <w:bCs w:val="0"/>
              </w:rPr>
            </w:pPr>
            <w:r w:rsidRPr="00552B0C">
              <w:rPr>
                <w:b/>
                <w:bCs w:val="0"/>
              </w:rPr>
              <w:t>[2.75, 12.83]</w:t>
            </w:r>
          </w:p>
        </w:tc>
        <w:tc>
          <w:tcPr>
            <w:tcW w:w="1207" w:type="dxa"/>
            <w:shd w:val="clear" w:color="auto" w:fill="B8CCE4" w:themeFill="accent1" w:themeFillTint="66"/>
          </w:tcPr>
          <w:p w14:paraId="32A001D6" w14:textId="77777777" w:rsidR="00091D2A" w:rsidRPr="00552B0C" w:rsidRDefault="00091D2A">
            <w:pPr>
              <w:pStyle w:val="TableText0"/>
              <w:jc w:val="center"/>
              <w:rPr>
                <w:b/>
                <w:bCs w:val="0"/>
              </w:rPr>
            </w:pPr>
            <w:r w:rsidRPr="00552B0C">
              <w:rPr>
                <w:b/>
                <w:bCs w:val="0"/>
              </w:rPr>
              <w:t>5.38</w:t>
            </w:r>
          </w:p>
          <w:p w14:paraId="3F734E6D" w14:textId="77777777" w:rsidR="00091D2A" w:rsidRPr="00552B0C" w:rsidRDefault="00091D2A">
            <w:pPr>
              <w:pStyle w:val="TableText0"/>
              <w:jc w:val="center"/>
              <w:rPr>
                <w:b/>
                <w:bCs w:val="0"/>
              </w:rPr>
            </w:pPr>
            <w:r w:rsidRPr="00552B0C">
              <w:rPr>
                <w:b/>
                <w:bCs w:val="0"/>
              </w:rPr>
              <w:t>[2.56, 11.30]</w:t>
            </w:r>
          </w:p>
        </w:tc>
        <w:tc>
          <w:tcPr>
            <w:tcW w:w="1473" w:type="dxa"/>
            <w:shd w:val="clear" w:color="auto" w:fill="B8CCE4" w:themeFill="accent1" w:themeFillTint="66"/>
          </w:tcPr>
          <w:p w14:paraId="459483B7" w14:textId="77777777" w:rsidR="00091D2A" w:rsidRPr="00552B0C" w:rsidRDefault="00091D2A">
            <w:pPr>
              <w:pStyle w:val="TableText0"/>
              <w:jc w:val="center"/>
              <w:rPr>
                <w:b/>
                <w:bCs w:val="0"/>
              </w:rPr>
            </w:pPr>
            <w:r w:rsidRPr="00552B0C">
              <w:rPr>
                <w:b/>
                <w:bCs w:val="0"/>
              </w:rPr>
              <w:t>0.09</w:t>
            </w:r>
          </w:p>
          <w:p w14:paraId="6D8DCE55" w14:textId="77777777" w:rsidR="00091D2A" w:rsidRPr="00552B0C" w:rsidRDefault="00091D2A">
            <w:pPr>
              <w:pStyle w:val="TableText0"/>
              <w:jc w:val="center"/>
              <w:rPr>
                <w:b/>
                <w:bCs w:val="0"/>
              </w:rPr>
            </w:pPr>
            <w:r w:rsidRPr="00552B0C">
              <w:rPr>
                <w:b/>
                <w:bCs w:val="0"/>
              </w:rPr>
              <w:t>[0.06, 0.13]</w:t>
            </w:r>
          </w:p>
        </w:tc>
      </w:tr>
      <w:tr w:rsidR="00091D2A" w:rsidRPr="00552B0C" w14:paraId="0F4CC315" w14:textId="77777777">
        <w:trPr>
          <w:trHeight w:val="199"/>
        </w:trPr>
        <w:tc>
          <w:tcPr>
            <w:tcW w:w="2188" w:type="dxa"/>
            <w:shd w:val="clear" w:color="auto" w:fill="B8CCE4" w:themeFill="accent1" w:themeFillTint="66"/>
          </w:tcPr>
          <w:p w14:paraId="29C82247" w14:textId="77777777" w:rsidR="00091D2A" w:rsidRPr="00552B0C" w:rsidRDefault="00091D2A">
            <w:pPr>
              <w:pStyle w:val="TableText0"/>
            </w:pPr>
            <w:r w:rsidRPr="00552B0C">
              <w:t>Vomiting</w:t>
            </w:r>
          </w:p>
        </w:tc>
        <w:tc>
          <w:tcPr>
            <w:tcW w:w="1472" w:type="dxa"/>
            <w:shd w:val="clear" w:color="auto" w:fill="B8CCE4" w:themeFill="accent1" w:themeFillTint="66"/>
          </w:tcPr>
          <w:p w14:paraId="7DD7B576" w14:textId="77777777" w:rsidR="00091D2A" w:rsidRPr="00552B0C" w:rsidRDefault="00091D2A">
            <w:pPr>
              <w:pStyle w:val="TableText0"/>
              <w:jc w:val="center"/>
            </w:pPr>
            <w:r w:rsidRPr="00552B0C">
              <w:t>20/370</w:t>
            </w:r>
          </w:p>
          <w:p w14:paraId="57596E7F" w14:textId="77777777" w:rsidR="00091D2A" w:rsidRPr="00552B0C" w:rsidRDefault="00091D2A">
            <w:pPr>
              <w:pStyle w:val="TableText0"/>
              <w:jc w:val="center"/>
            </w:pPr>
            <w:r w:rsidRPr="00552B0C">
              <w:t>(5.41%)</w:t>
            </w:r>
          </w:p>
        </w:tc>
        <w:tc>
          <w:tcPr>
            <w:tcW w:w="1470" w:type="dxa"/>
            <w:shd w:val="clear" w:color="auto" w:fill="B8CCE4" w:themeFill="accent1" w:themeFillTint="66"/>
          </w:tcPr>
          <w:p w14:paraId="1CF0D714" w14:textId="77777777" w:rsidR="00091D2A" w:rsidRPr="00552B0C" w:rsidRDefault="00091D2A">
            <w:pPr>
              <w:pStyle w:val="TableText0"/>
              <w:jc w:val="center"/>
            </w:pPr>
            <w:r w:rsidRPr="00552B0C">
              <w:t>5/379</w:t>
            </w:r>
          </w:p>
          <w:p w14:paraId="5E77E50B" w14:textId="77777777" w:rsidR="00091D2A" w:rsidRPr="00552B0C" w:rsidRDefault="00091D2A">
            <w:pPr>
              <w:pStyle w:val="TableText0"/>
              <w:jc w:val="center"/>
            </w:pPr>
            <w:r w:rsidRPr="00552B0C">
              <w:t>(1.32%)</w:t>
            </w:r>
          </w:p>
        </w:tc>
        <w:tc>
          <w:tcPr>
            <w:tcW w:w="1207" w:type="dxa"/>
            <w:shd w:val="clear" w:color="auto" w:fill="B8CCE4" w:themeFill="accent1" w:themeFillTint="66"/>
          </w:tcPr>
          <w:p w14:paraId="389ABB7A" w14:textId="77777777" w:rsidR="00091D2A" w:rsidRPr="00552B0C" w:rsidRDefault="00091D2A">
            <w:pPr>
              <w:pStyle w:val="TableText0"/>
              <w:jc w:val="center"/>
              <w:rPr>
                <w:b/>
                <w:bCs w:val="0"/>
              </w:rPr>
            </w:pPr>
            <w:r w:rsidRPr="00552B0C">
              <w:rPr>
                <w:b/>
                <w:bCs w:val="0"/>
              </w:rPr>
              <w:t>4.27</w:t>
            </w:r>
          </w:p>
          <w:p w14:paraId="2317010D" w14:textId="77777777" w:rsidR="00091D2A" w:rsidRPr="00552B0C" w:rsidRDefault="00091D2A">
            <w:pPr>
              <w:pStyle w:val="TableText0"/>
              <w:jc w:val="center"/>
              <w:rPr>
                <w:b/>
                <w:bCs w:val="0"/>
              </w:rPr>
            </w:pPr>
            <w:r w:rsidRPr="00552B0C">
              <w:rPr>
                <w:b/>
                <w:bCs w:val="0"/>
              </w:rPr>
              <w:t>[1.59, 11.51]</w:t>
            </w:r>
          </w:p>
        </w:tc>
        <w:tc>
          <w:tcPr>
            <w:tcW w:w="1207" w:type="dxa"/>
            <w:shd w:val="clear" w:color="auto" w:fill="B8CCE4" w:themeFill="accent1" w:themeFillTint="66"/>
          </w:tcPr>
          <w:p w14:paraId="44901F5F" w14:textId="77777777" w:rsidR="00091D2A" w:rsidRPr="00552B0C" w:rsidRDefault="00091D2A">
            <w:pPr>
              <w:pStyle w:val="TableText0"/>
              <w:jc w:val="center"/>
              <w:rPr>
                <w:b/>
                <w:bCs w:val="0"/>
              </w:rPr>
            </w:pPr>
            <w:r w:rsidRPr="00552B0C">
              <w:rPr>
                <w:b/>
                <w:bCs w:val="0"/>
              </w:rPr>
              <w:t>4.10</w:t>
            </w:r>
          </w:p>
          <w:p w14:paraId="68105C92" w14:textId="77777777" w:rsidR="00091D2A" w:rsidRPr="00552B0C" w:rsidRDefault="00091D2A">
            <w:pPr>
              <w:pStyle w:val="TableText0"/>
              <w:jc w:val="center"/>
              <w:rPr>
                <w:b/>
                <w:bCs w:val="0"/>
              </w:rPr>
            </w:pPr>
            <w:r w:rsidRPr="00552B0C">
              <w:rPr>
                <w:b/>
                <w:bCs w:val="0"/>
              </w:rPr>
              <w:t>[1.55, 10.80]</w:t>
            </w:r>
          </w:p>
        </w:tc>
        <w:tc>
          <w:tcPr>
            <w:tcW w:w="1473" w:type="dxa"/>
            <w:shd w:val="clear" w:color="auto" w:fill="B8CCE4" w:themeFill="accent1" w:themeFillTint="66"/>
          </w:tcPr>
          <w:p w14:paraId="56BC3DCE" w14:textId="77777777" w:rsidR="00091D2A" w:rsidRPr="00552B0C" w:rsidRDefault="00091D2A">
            <w:pPr>
              <w:pStyle w:val="TableText0"/>
              <w:jc w:val="center"/>
              <w:rPr>
                <w:b/>
                <w:bCs w:val="0"/>
              </w:rPr>
            </w:pPr>
            <w:r w:rsidRPr="00552B0C">
              <w:rPr>
                <w:b/>
                <w:bCs w:val="0"/>
              </w:rPr>
              <w:t>0.04</w:t>
            </w:r>
          </w:p>
          <w:p w14:paraId="0E9BEFD7" w14:textId="77777777" w:rsidR="00091D2A" w:rsidRPr="00552B0C" w:rsidRDefault="00091D2A">
            <w:pPr>
              <w:pStyle w:val="TableText0"/>
              <w:jc w:val="center"/>
              <w:rPr>
                <w:b/>
                <w:bCs w:val="0"/>
              </w:rPr>
            </w:pPr>
            <w:r w:rsidRPr="00552B0C">
              <w:rPr>
                <w:b/>
                <w:bCs w:val="0"/>
              </w:rPr>
              <w:t>[0.02, 0.07]</w:t>
            </w:r>
          </w:p>
        </w:tc>
      </w:tr>
      <w:tr w:rsidR="00091D2A" w:rsidRPr="00552B0C" w14:paraId="7476024D" w14:textId="77777777">
        <w:trPr>
          <w:trHeight w:val="199"/>
        </w:trPr>
        <w:tc>
          <w:tcPr>
            <w:tcW w:w="9017" w:type="dxa"/>
            <w:gridSpan w:val="6"/>
            <w:shd w:val="clear" w:color="auto" w:fill="B8CCE4" w:themeFill="accent1" w:themeFillTint="66"/>
          </w:tcPr>
          <w:p w14:paraId="0EE4A40B" w14:textId="77777777" w:rsidR="00091D2A" w:rsidRPr="00552B0C" w:rsidRDefault="00091D2A">
            <w:pPr>
              <w:pStyle w:val="In-tableHeading"/>
            </w:pPr>
            <w:r w:rsidRPr="00552B0C">
              <w:t>General disorders and administration site conditions</w:t>
            </w:r>
          </w:p>
        </w:tc>
      </w:tr>
      <w:tr w:rsidR="00091D2A" w:rsidRPr="00552B0C" w14:paraId="57F6189E" w14:textId="77777777">
        <w:trPr>
          <w:trHeight w:val="189"/>
        </w:trPr>
        <w:tc>
          <w:tcPr>
            <w:tcW w:w="2188" w:type="dxa"/>
            <w:shd w:val="clear" w:color="auto" w:fill="B8CCE4" w:themeFill="accent1" w:themeFillTint="66"/>
          </w:tcPr>
          <w:p w14:paraId="6E4328AC" w14:textId="77777777" w:rsidR="00091D2A" w:rsidRPr="00552B0C" w:rsidRDefault="00091D2A">
            <w:pPr>
              <w:pStyle w:val="TableText0"/>
            </w:pPr>
            <w:r w:rsidRPr="00552B0C">
              <w:t>Fatigue</w:t>
            </w:r>
          </w:p>
        </w:tc>
        <w:tc>
          <w:tcPr>
            <w:tcW w:w="1472" w:type="dxa"/>
            <w:shd w:val="clear" w:color="auto" w:fill="B8CCE4" w:themeFill="accent1" w:themeFillTint="66"/>
          </w:tcPr>
          <w:p w14:paraId="217C537C" w14:textId="77777777" w:rsidR="00091D2A" w:rsidRPr="00552B0C" w:rsidRDefault="00091D2A">
            <w:pPr>
              <w:pStyle w:val="TableText0"/>
              <w:jc w:val="center"/>
            </w:pPr>
            <w:r w:rsidRPr="00552B0C">
              <w:t>20/370</w:t>
            </w:r>
          </w:p>
          <w:p w14:paraId="399B7F68" w14:textId="77777777" w:rsidR="00091D2A" w:rsidRPr="00552B0C" w:rsidRDefault="00091D2A">
            <w:pPr>
              <w:pStyle w:val="TableText0"/>
              <w:jc w:val="center"/>
            </w:pPr>
            <w:r w:rsidRPr="00552B0C">
              <w:t>(5.41%)</w:t>
            </w:r>
          </w:p>
        </w:tc>
        <w:tc>
          <w:tcPr>
            <w:tcW w:w="1470" w:type="dxa"/>
            <w:shd w:val="clear" w:color="auto" w:fill="B8CCE4" w:themeFill="accent1" w:themeFillTint="66"/>
          </w:tcPr>
          <w:p w14:paraId="1D739DF0" w14:textId="77777777" w:rsidR="00091D2A" w:rsidRPr="00552B0C" w:rsidRDefault="00091D2A">
            <w:pPr>
              <w:pStyle w:val="TableText0"/>
              <w:jc w:val="center"/>
            </w:pPr>
            <w:r w:rsidRPr="00552B0C">
              <w:t>14/379</w:t>
            </w:r>
          </w:p>
          <w:p w14:paraId="777EBBE7" w14:textId="77777777" w:rsidR="00091D2A" w:rsidRPr="00552B0C" w:rsidRDefault="00091D2A">
            <w:pPr>
              <w:pStyle w:val="TableText0"/>
              <w:jc w:val="center"/>
            </w:pPr>
            <w:r w:rsidRPr="00552B0C">
              <w:t>(3.69%)</w:t>
            </w:r>
          </w:p>
        </w:tc>
        <w:tc>
          <w:tcPr>
            <w:tcW w:w="1207" w:type="dxa"/>
            <w:shd w:val="clear" w:color="auto" w:fill="B8CCE4" w:themeFill="accent1" w:themeFillTint="66"/>
          </w:tcPr>
          <w:p w14:paraId="53FB8434" w14:textId="77777777" w:rsidR="00091D2A" w:rsidRPr="00552B0C" w:rsidRDefault="00091D2A">
            <w:pPr>
              <w:pStyle w:val="TableText0"/>
              <w:jc w:val="center"/>
            </w:pPr>
            <w:r w:rsidRPr="00552B0C">
              <w:t>1.49 [0.74, 3.00]</w:t>
            </w:r>
          </w:p>
        </w:tc>
        <w:tc>
          <w:tcPr>
            <w:tcW w:w="1207" w:type="dxa"/>
            <w:shd w:val="clear" w:color="auto" w:fill="B8CCE4" w:themeFill="accent1" w:themeFillTint="66"/>
          </w:tcPr>
          <w:p w14:paraId="730B9F52" w14:textId="77777777" w:rsidR="00091D2A" w:rsidRPr="00552B0C" w:rsidRDefault="00091D2A">
            <w:pPr>
              <w:pStyle w:val="TableText0"/>
              <w:jc w:val="center"/>
            </w:pPr>
            <w:r w:rsidRPr="00552B0C">
              <w:t>1.46</w:t>
            </w:r>
          </w:p>
          <w:p w14:paraId="1FEC043A" w14:textId="77777777" w:rsidR="00091D2A" w:rsidRPr="00552B0C" w:rsidRDefault="00091D2A">
            <w:pPr>
              <w:pStyle w:val="TableText0"/>
              <w:jc w:val="center"/>
            </w:pPr>
            <w:r w:rsidRPr="00552B0C">
              <w:t>[0.75, 2.85]</w:t>
            </w:r>
          </w:p>
        </w:tc>
        <w:tc>
          <w:tcPr>
            <w:tcW w:w="1473" w:type="dxa"/>
            <w:shd w:val="clear" w:color="auto" w:fill="B8CCE4" w:themeFill="accent1" w:themeFillTint="66"/>
          </w:tcPr>
          <w:p w14:paraId="3C6AED3A" w14:textId="77777777" w:rsidR="00091D2A" w:rsidRPr="00552B0C" w:rsidRDefault="00091D2A">
            <w:pPr>
              <w:pStyle w:val="TableText0"/>
              <w:jc w:val="center"/>
            </w:pPr>
            <w:r w:rsidRPr="00552B0C">
              <w:t>0.02</w:t>
            </w:r>
          </w:p>
          <w:p w14:paraId="6D1BA0D6" w14:textId="77777777" w:rsidR="00091D2A" w:rsidRPr="00552B0C" w:rsidRDefault="00091D2A">
            <w:pPr>
              <w:pStyle w:val="TableText0"/>
              <w:jc w:val="center"/>
            </w:pPr>
            <w:r w:rsidRPr="00552B0C">
              <w:t>[-0.01, 0.05]</w:t>
            </w:r>
          </w:p>
        </w:tc>
      </w:tr>
      <w:tr w:rsidR="00091D2A" w:rsidRPr="00552B0C" w14:paraId="1AC71439" w14:textId="77777777">
        <w:trPr>
          <w:trHeight w:val="199"/>
        </w:trPr>
        <w:tc>
          <w:tcPr>
            <w:tcW w:w="2188" w:type="dxa"/>
            <w:shd w:val="clear" w:color="auto" w:fill="B8CCE4" w:themeFill="accent1" w:themeFillTint="66"/>
          </w:tcPr>
          <w:p w14:paraId="171B4E60" w14:textId="77777777" w:rsidR="00091D2A" w:rsidRPr="00552B0C" w:rsidRDefault="00091D2A">
            <w:pPr>
              <w:pStyle w:val="TableText0"/>
            </w:pPr>
            <w:r w:rsidRPr="00552B0C">
              <w:t>Asthenia</w:t>
            </w:r>
          </w:p>
        </w:tc>
        <w:tc>
          <w:tcPr>
            <w:tcW w:w="1472" w:type="dxa"/>
            <w:shd w:val="clear" w:color="auto" w:fill="B8CCE4" w:themeFill="accent1" w:themeFillTint="66"/>
          </w:tcPr>
          <w:p w14:paraId="0D9A7EB6" w14:textId="77777777" w:rsidR="00091D2A" w:rsidRPr="00552B0C" w:rsidRDefault="00091D2A">
            <w:pPr>
              <w:pStyle w:val="TableText0"/>
              <w:jc w:val="center"/>
            </w:pPr>
            <w:r w:rsidRPr="00552B0C">
              <w:t>27/370</w:t>
            </w:r>
          </w:p>
          <w:p w14:paraId="7AFBCAAE" w14:textId="77777777" w:rsidR="00091D2A" w:rsidRPr="00552B0C" w:rsidRDefault="00091D2A">
            <w:pPr>
              <w:pStyle w:val="TableText0"/>
              <w:jc w:val="center"/>
            </w:pPr>
            <w:r w:rsidRPr="00552B0C">
              <w:t>(7.30%)</w:t>
            </w:r>
          </w:p>
        </w:tc>
        <w:tc>
          <w:tcPr>
            <w:tcW w:w="1470" w:type="dxa"/>
            <w:shd w:val="clear" w:color="auto" w:fill="B8CCE4" w:themeFill="accent1" w:themeFillTint="66"/>
          </w:tcPr>
          <w:p w14:paraId="289B68C1" w14:textId="77777777" w:rsidR="00091D2A" w:rsidRPr="00552B0C" w:rsidRDefault="00091D2A">
            <w:pPr>
              <w:pStyle w:val="TableText0"/>
              <w:jc w:val="center"/>
            </w:pPr>
            <w:r w:rsidRPr="00552B0C">
              <w:t>14/379</w:t>
            </w:r>
          </w:p>
          <w:p w14:paraId="6D0E6B2F" w14:textId="77777777" w:rsidR="00091D2A" w:rsidRPr="00552B0C" w:rsidRDefault="00091D2A">
            <w:pPr>
              <w:pStyle w:val="TableText0"/>
              <w:jc w:val="center"/>
            </w:pPr>
            <w:r w:rsidRPr="00552B0C">
              <w:t>(3.69%)</w:t>
            </w:r>
          </w:p>
        </w:tc>
        <w:tc>
          <w:tcPr>
            <w:tcW w:w="1207" w:type="dxa"/>
            <w:shd w:val="clear" w:color="auto" w:fill="B8CCE4" w:themeFill="accent1" w:themeFillTint="66"/>
          </w:tcPr>
          <w:p w14:paraId="5D32D751" w14:textId="77777777" w:rsidR="00091D2A" w:rsidRPr="00552B0C" w:rsidRDefault="00091D2A">
            <w:pPr>
              <w:pStyle w:val="TableText0"/>
              <w:jc w:val="center"/>
              <w:rPr>
                <w:b/>
                <w:bCs w:val="0"/>
              </w:rPr>
            </w:pPr>
            <w:r w:rsidRPr="00552B0C">
              <w:rPr>
                <w:b/>
                <w:bCs w:val="0"/>
              </w:rPr>
              <w:t>2.05</w:t>
            </w:r>
          </w:p>
          <w:p w14:paraId="027B3857" w14:textId="77777777" w:rsidR="00091D2A" w:rsidRPr="00552B0C" w:rsidRDefault="00091D2A">
            <w:pPr>
              <w:pStyle w:val="TableText0"/>
              <w:jc w:val="center"/>
              <w:rPr>
                <w:b/>
                <w:bCs w:val="0"/>
              </w:rPr>
            </w:pPr>
            <w:r w:rsidRPr="00552B0C">
              <w:rPr>
                <w:b/>
                <w:bCs w:val="0"/>
              </w:rPr>
              <w:t>[1.06, 3.98]</w:t>
            </w:r>
          </w:p>
        </w:tc>
        <w:tc>
          <w:tcPr>
            <w:tcW w:w="1207" w:type="dxa"/>
            <w:shd w:val="clear" w:color="auto" w:fill="B8CCE4" w:themeFill="accent1" w:themeFillTint="66"/>
          </w:tcPr>
          <w:p w14:paraId="4C2D0306" w14:textId="77777777" w:rsidR="00091D2A" w:rsidRPr="00552B0C" w:rsidRDefault="00091D2A">
            <w:pPr>
              <w:pStyle w:val="TableText0"/>
              <w:jc w:val="center"/>
              <w:rPr>
                <w:b/>
                <w:bCs w:val="0"/>
              </w:rPr>
            </w:pPr>
            <w:r w:rsidRPr="00552B0C">
              <w:rPr>
                <w:b/>
                <w:bCs w:val="0"/>
              </w:rPr>
              <w:t>1.98</w:t>
            </w:r>
          </w:p>
          <w:p w14:paraId="75D9D778" w14:textId="77777777" w:rsidR="00091D2A" w:rsidRPr="00552B0C" w:rsidRDefault="00091D2A">
            <w:pPr>
              <w:pStyle w:val="TableText0"/>
              <w:jc w:val="center"/>
              <w:rPr>
                <w:b/>
                <w:bCs w:val="0"/>
              </w:rPr>
            </w:pPr>
            <w:r w:rsidRPr="00552B0C">
              <w:rPr>
                <w:b/>
                <w:bCs w:val="0"/>
              </w:rPr>
              <w:t>[1.05, 3.71]</w:t>
            </w:r>
          </w:p>
        </w:tc>
        <w:tc>
          <w:tcPr>
            <w:tcW w:w="1473" w:type="dxa"/>
            <w:shd w:val="clear" w:color="auto" w:fill="B8CCE4" w:themeFill="accent1" w:themeFillTint="66"/>
          </w:tcPr>
          <w:p w14:paraId="412C02B7" w14:textId="77777777" w:rsidR="00091D2A" w:rsidRPr="00552B0C" w:rsidRDefault="00091D2A">
            <w:pPr>
              <w:pStyle w:val="TableText0"/>
              <w:jc w:val="center"/>
              <w:rPr>
                <w:b/>
                <w:bCs w:val="0"/>
              </w:rPr>
            </w:pPr>
            <w:r w:rsidRPr="00552B0C">
              <w:rPr>
                <w:b/>
                <w:bCs w:val="0"/>
              </w:rPr>
              <w:t>0.04</w:t>
            </w:r>
          </w:p>
          <w:p w14:paraId="50710484" w14:textId="77777777" w:rsidR="00091D2A" w:rsidRPr="00552B0C" w:rsidRDefault="00091D2A">
            <w:pPr>
              <w:pStyle w:val="TableText0"/>
              <w:jc w:val="center"/>
              <w:rPr>
                <w:b/>
                <w:bCs w:val="0"/>
              </w:rPr>
            </w:pPr>
            <w:r w:rsidRPr="00552B0C">
              <w:rPr>
                <w:b/>
                <w:bCs w:val="0"/>
              </w:rPr>
              <w:t>[0.00, 0.07]</w:t>
            </w:r>
          </w:p>
        </w:tc>
      </w:tr>
      <w:tr w:rsidR="00091D2A" w:rsidRPr="00552B0C" w14:paraId="005F4D18" w14:textId="77777777">
        <w:trPr>
          <w:trHeight w:val="199"/>
        </w:trPr>
        <w:tc>
          <w:tcPr>
            <w:tcW w:w="2188" w:type="dxa"/>
            <w:shd w:val="clear" w:color="auto" w:fill="B8CCE4" w:themeFill="accent1" w:themeFillTint="66"/>
          </w:tcPr>
          <w:p w14:paraId="625F8122" w14:textId="77777777" w:rsidR="00091D2A" w:rsidRPr="00552B0C" w:rsidRDefault="00091D2A">
            <w:pPr>
              <w:pStyle w:val="TableText0"/>
            </w:pPr>
            <w:r w:rsidRPr="00552B0C">
              <w:t>Mucosal inflammation</w:t>
            </w:r>
          </w:p>
        </w:tc>
        <w:tc>
          <w:tcPr>
            <w:tcW w:w="1472" w:type="dxa"/>
            <w:shd w:val="clear" w:color="auto" w:fill="B8CCE4" w:themeFill="accent1" w:themeFillTint="66"/>
          </w:tcPr>
          <w:p w14:paraId="04E9D890" w14:textId="77777777" w:rsidR="00091D2A" w:rsidRPr="00552B0C" w:rsidRDefault="00091D2A">
            <w:pPr>
              <w:pStyle w:val="TableText0"/>
              <w:jc w:val="center"/>
            </w:pPr>
            <w:r w:rsidRPr="00552B0C">
              <w:t>7/370</w:t>
            </w:r>
          </w:p>
          <w:p w14:paraId="1A25AC4F" w14:textId="77777777" w:rsidR="00091D2A" w:rsidRPr="00552B0C" w:rsidRDefault="00091D2A">
            <w:pPr>
              <w:pStyle w:val="TableText0"/>
              <w:jc w:val="center"/>
            </w:pPr>
            <w:r w:rsidRPr="00552B0C">
              <w:t>(1.89%)</w:t>
            </w:r>
          </w:p>
        </w:tc>
        <w:tc>
          <w:tcPr>
            <w:tcW w:w="1470" w:type="dxa"/>
            <w:shd w:val="clear" w:color="auto" w:fill="B8CCE4" w:themeFill="accent1" w:themeFillTint="66"/>
          </w:tcPr>
          <w:p w14:paraId="32501BAE" w14:textId="77777777" w:rsidR="00091D2A" w:rsidRPr="00552B0C" w:rsidRDefault="00091D2A">
            <w:pPr>
              <w:pStyle w:val="TableText0"/>
              <w:jc w:val="center"/>
            </w:pPr>
            <w:r w:rsidRPr="00552B0C">
              <w:t>1/379</w:t>
            </w:r>
          </w:p>
          <w:p w14:paraId="4642B8E7" w14:textId="77777777" w:rsidR="00091D2A" w:rsidRPr="00552B0C" w:rsidRDefault="00091D2A">
            <w:pPr>
              <w:pStyle w:val="TableText0"/>
              <w:jc w:val="center"/>
            </w:pPr>
            <w:r w:rsidRPr="00552B0C">
              <w:t>(0.26%)</w:t>
            </w:r>
          </w:p>
        </w:tc>
        <w:tc>
          <w:tcPr>
            <w:tcW w:w="1207" w:type="dxa"/>
            <w:shd w:val="clear" w:color="auto" w:fill="B8CCE4" w:themeFill="accent1" w:themeFillTint="66"/>
          </w:tcPr>
          <w:p w14:paraId="08BC55D4" w14:textId="77777777" w:rsidR="00091D2A" w:rsidRPr="00552B0C" w:rsidRDefault="00091D2A">
            <w:pPr>
              <w:pStyle w:val="TableText0"/>
              <w:jc w:val="center"/>
            </w:pPr>
            <w:r w:rsidRPr="00552B0C">
              <w:t>7.29</w:t>
            </w:r>
          </w:p>
          <w:p w14:paraId="3C356CAC" w14:textId="77777777" w:rsidR="00091D2A" w:rsidRPr="00552B0C" w:rsidRDefault="00091D2A">
            <w:pPr>
              <w:pStyle w:val="TableText0"/>
              <w:jc w:val="center"/>
              <w:rPr>
                <w:b/>
              </w:rPr>
            </w:pPr>
            <w:r w:rsidRPr="00552B0C">
              <w:t>[0.89, 59.54]</w:t>
            </w:r>
          </w:p>
        </w:tc>
        <w:tc>
          <w:tcPr>
            <w:tcW w:w="1207" w:type="dxa"/>
            <w:shd w:val="clear" w:color="auto" w:fill="B8CCE4" w:themeFill="accent1" w:themeFillTint="66"/>
          </w:tcPr>
          <w:p w14:paraId="6896E756" w14:textId="77777777" w:rsidR="00091D2A" w:rsidRPr="00552B0C" w:rsidRDefault="00091D2A">
            <w:pPr>
              <w:pStyle w:val="TableText0"/>
              <w:jc w:val="center"/>
            </w:pPr>
            <w:r w:rsidRPr="00552B0C">
              <w:t>7.17</w:t>
            </w:r>
          </w:p>
          <w:p w14:paraId="0035BAD1" w14:textId="77777777" w:rsidR="00091D2A" w:rsidRPr="00552B0C" w:rsidRDefault="00091D2A">
            <w:pPr>
              <w:pStyle w:val="TableText0"/>
              <w:jc w:val="center"/>
              <w:rPr>
                <w:b/>
              </w:rPr>
            </w:pPr>
            <w:r w:rsidRPr="00552B0C">
              <w:t>[0.89, 58.00]</w:t>
            </w:r>
          </w:p>
        </w:tc>
        <w:tc>
          <w:tcPr>
            <w:tcW w:w="1473" w:type="dxa"/>
            <w:shd w:val="clear" w:color="auto" w:fill="B8CCE4" w:themeFill="accent1" w:themeFillTint="66"/>
          </w:tcPr>
          <w:p w14:paraId="284C9EF9" w14:textId="77777777" w:rsidR="00091D2A" w:rsidRPr="00552B0C" w:rsidRDefault="00091D2A">
            <w:pPr>
              <w:pStyle w:val="TableText0"/>
              <w:jc w:val="center"/>
            </w:pPr>
            <w:r w:rsidRPr="00552B0C">
              <w:t>0.02</w:t>
            </w:r>
          </w:p>
          <w:p w14:paraId="1E7B6F08" w14:textId="77777777" w:rsidR="00091D2A" w:rsidRPr="00552B0C" w:rsidRDefault="00091D2A">
            <w:pPr>
              <w:pStyle w:val="TableText0"/>
              <w:jc w:val="center"/>
              <w:rPr>
                <w:b/>
              </w:rPr>
            </w:pPr>
            <w:r w:rsidRPr="00552B0C">
              <w:t>[0.00, 0.03]</w:t>
            </w:r>
          </w:p>
        </w:tc>
      </w:tr>
      <w:tr w:rsidR="00091D2A" w:rsidRPr="00552B0C" w14:paraId="726ABE10" w14:textId="77777777">
        <w:trPr>
          <w:trHeight w:val="199"/>
        </w:trPr>
        <w:tc>
          <w:tcPr>
            <w:tcW w:w="9017" w:type="dxa"/>
            <w:gridSpan w:val="6"/>
            <w:shd w:val="clear" w:color="auto" w:fill="B8CCE4" w:themeFill="accent1" w:themeFillTint="66"/>
          </w:tcPr>
          <w:p w14:paraId="631D3442" w14:textId="77777777" w:rsidR="00091D2A" w:rsidRPr="00552B0C" w:rsidRDefault="00091D2A">
            <w:pPr>
              <w:pStyle w:val="In-tableHeading"/>
            </w:pPr>
            <w:r w:rsidRPr="00552B0C">
              <w:t>Nervous system disorders</w:t>
            </w:r>
          </w:p>
        </w:tc>
      </w:tr>
      <w:tr w:rsidR="00091D2A" w:rsidRPr="00552B0C" w14:paraId="4EFB628F" w14:textId="77777777">
        <w:trPr>
          <w:trHeight w:val="199"/>
        </w:trPr>
        <w:tc>
          <w:tcPr>
            <w:tcW w:w="2188" w:type="dxa"/>
            <w:shd w:val="clear" w:color="auto" w:fill="B8CCE4" w:themeFill="accent1" w:themeFillTint="66"/>
          </w:tcPr>
          <w:p w14:paraId="040A5E3B" w14:textId="77777777" w:rsidR="00091D2A" w:rsidRPr="00552B0C" w:rsidRDefault="00091D2A">
            <w:pPr>
              <w:pStyle w:val="TableText0"/>
            </w:pPr>
            <w:r w:rsidRPr="00552B0C">
              <w:t>Neuropathy peripheral</w:t>
            </w:r>
          </w:p>
        </w:tc>
        <w:tc>
          <w:tcPr>
            <w:tcW w:w="1472" w:type="dxa"/>
            <w:shd w:val="clear" w:color="auto" w:fill="B8CCE4" w:themeFill="accent1" w:themeFillTint="66"/>
          </w:tcPr>
          <w:p w14:paraId="1CCDBF00" w14:textId="77777777" w:rsidR="00091D2A" w:rsidRPr="00552B0C" w:rsidRDefault="00091D2A">
            <w:pPr>
              <w:pStyle w:val="TableText0"/>
              <w:jc w:val="center"/>
            </w:pPr>
            <w:r w:rsidRPr="00552B0C">
              <w:t>12/370</w:t>
            </w:r>
          </w:p>
          <w:p w14:paraId="1C251401" w14:textId="77777777" w:rsidR="00091D2A" w:rsidRPr="00552B0C" w:rsidRDefault="00091D2A">
            <w:pPr>
              <w:pStyle w:val="TableText0"/>
              <w:jc w:val="center"/>
            </w:pPr>
            <w:r w:rsidRPr="00552B0C">
              <w:t>(3.24%)</w:t>
            </w:r>
          </w:p>
        </w:tc>
        <w:tc>
          <w:tcPr>
            <w:tcW w:w="1470" w:type="dxa"/>
            <w:shd w:val="clear" w:color="auto" w:fill="B8CCE4" w:themeFill="accent1" w:themeFillTint="66"/>
          </w:tcPr>
          <w:p w14:paraId="557D3C42" w14:textId="77777777" w:rsidR="00091D2A" w:rsidRPr="00552B0C" w:rsidRDefault="00091D2A">
            <w:pPr>
              <w:pStyle w:val="TableText0"/>
              <w:jc w:val="center"/>
            </w:pPr>
            <w:r w:rsidRPr="00552B0C">
              <w:t>22/379</w:t>
            </w:r>
          </w:p>
          <w:p w14:paraId="407D9E45" w14:textId="77777777" w:rsidR="00091D2A" w:rsidRPr="00552B0C" w:rsidRDefault="00091D2A">
            <w:pPr>
              <w:pStyle w:val="TableText0"/>
              <w:jc w:val="center"/>
            </w:pPr>
            <w:r w:rsidRPr="00552B0C">
              <w:t>(5.80%)</w:t>
            </w:r>
          </w:p>
        </w:tc>
        <w:tc>
          <w:tcPr>
            <w:tcW w:w="1207" w:type="dxa"/>
            <w:shd w:val="clear" w:color="auto" w:fill="B8CCE4" w:themeFill="accent1" w:themeFillTint="66"/>
          </w:tcPr>
          <w:p w14:paraId="2E2DA54B" w14:textId="77777777" w:rsidR="00091D2A" w:rsidRPr="00552B0C" w:rsidRDefault="00091D2A">
            <w:pPr>
              <w:pStyle w:val="TableText0"/>
              <w:jc w:val="center"/>
            </w:pPr>
            <w:r w:rsidRPr="00552B0C">
              <w:t>0.54</w:t>
            </w:r>
          </w:p>
          <w:p w14:paraId="282AFB20" w14:textId="77777777" w:rsidR="00091D2A" w:rsidRPr="00552B0C" w:rsidRDefault="00091D2A">
            <w:pPr>
              <w:pStyle w:val="TableText0"/>
              <w:jc w:val="center"/>
            </w:pPr>
            <w:r w:rsidRPr="00552B0C">
              <w:t>[0.27, 1.12]</w:t>
            </w:r>
          </w:p>
        </w:tc>
        <w:tc>
          <w:tcPr>
            <w:tcW w:w="1207" w:type="dxa"/>
            <w:shd w:val="clear" w:color="auto" w:fill="B8CCE4" w:themeFill="accent1" w:themeFillTint="66"/>
          </w:tcPr>
          <w:p w14:paraId="13F0BC0A" w14:textId="77777777" w:rsidR="00091D2A" w:rsidRPr="00552B0C" w:rsidRDefault="00091D2A">
            <w:pPr>
              <w:pStyle w:val="TableText0"/>
              <w:jc w:val="center"/>
            </w:pPr>
            <w:r w:rsidRPr="00552B0C">
              <w:t>0.56</w:t>
            </w:r>
          </w:p>
          <w:p w14:paraId="156A9511" w14:textId="77777777" w:rsidR="00091D2A" w:rsidRPr="00552B0C" w:rsidRDefault="00091D2A">
            <w:pPr>
              <w:pStyle w:val="TableText0"/>
              <w:jc w:val="center"/>
            </w:pPr>
            <w:r w:rsidRPr="00552B0C">
              <w:t>[0.28, 1.11]</w:t>
            </w:r>
          </w:p>
        </w:tc>
        <w:tc>
          <w:tcPr>
            <w:tcW w:w="1473" w:type="dxa"/>
            <w:shd w:val="clear" w:color="auto" w:fill="B8CCE4" w:themeFill="accent1" w:themeFillTint="66"/>
          </w:tcPr>
          <w:p w14:paraId="34E560F4" w14:textId="77777777" w:rsidR="00091D2A" w:rsidRPr="00552B0C" w:rsidRDefault="00091D2A">
            <w:pPr>
              <w:pStyle w:val="TableText0"/>
              <w:jc w:val="center"/>
            </w:pPr>
            <w:r w:rsidRPr="00552B0C">
              <w:t>-0.03</w:t>
            </w:r>
          </w:p>
          <w:p w14:paraId="5EC537D2" w14:textId="77777777" w:rsidR="00091D2A" w:rsidRPr="00552B0C" w:rsidRDefault="00091D2A">
            <w:pPr>
              <w:pStyle w:val="TableText0"/>
              <w:jc w:val="center"/>
            </w:pPr>
            <w:r w:rsidRPr="00552B0C">
              <w:t>[-0.06, 0.00]</w:t>
            </w:r>
          </w:p>
        </w:tc>
      </w:tr>
      <w:tr w:rsidR="00091D2A" w:rsidRPr="00552B0C" w14:paraId="445EC584" w14:textId="77777777">
        <w:trPr>
          <w:trHeight w:val="199"/>
        </w:trPr>
        <w:tc>
          <w:tcPr>
            <w:tcW w:w="9017" w:type="dxa"/>
            <w:gridSpan w:val="6"/>
            <w:shd w:val="clear" w:color="auto" w:fill="B8CCE4" w:themeFill="accent1" w:themeFillTint="66"/>
          </w:tcPr>
          <w:p w14:paraId="1D00D7AD" w14:textId="77777777" w:rsidR="00091D2A" w:rsidRPr="00552B0C" w:rsidRDefault="00091D2A">
            <w:pPr>
              <w:pStyle w:val="In-tableHeading"/>
            </w:pPr>
            <w:r w:rsidRPr="00552B0C">
              <w:t>Blood and lymphatic system disorders</w:t>
            </w:r>
          </w:p>
        </w:tc>
      </w:tr>
      <w:tr w:rsidR="00091D2A" w:rsidRPr="00552B0C" w14:paraId="1A11AE21" w14:textId="77777777">
        <w:trPr>
          <w:trHeight w:val="189"/>
        </w:trPr>
        <w:tc>
          <w:tcPr>
            <w:tcW w:w="2188" w:type="dxa"/>
            <w:shd w:val="clear" w:color="auto" w:fill="B8CCE4" w:themeFill="accent1" w:themeFillTint="66"/>
          </w:tcPr>
          <w:p w14:paraId="02CC1F3D" w14:textId="77777777" w:rsidR="00091D2A" w:rsidRPr="00552B0C" w:rsidRDefault="00091D2A">
            <w:pPr>
              <w:pStyle w:val="TableText0"/>
            </w:pPr>
            <w:r w:rsidRPr="00552B0C">
              <w:t>Neutropenia</w:t>
            </w:r>
          </w:p>
        </w:tc>
        <w:tc>
          <w:tcPr>
            <w:tcW w:w="1472" w:type="dxa"/>
            <w:shd w:val="clear" w:color="auto" w:fill="B8CCE4" w:themeFill="accent1" w:themeFillTint="66"/>
          </w:tcPr>
          <w:p w14:paraId="6BD7292B" w14:textId="77777777" w:rsidR="00091D2A" w:rsidRPr="00552B0C" w:rsidRDefault="00091D2A">
            <w:pPr>
              <w:pStyle w:val="TableText0"/>
              <w:jc w:val="center"/>
            </w:pPr>
            <w:r w:rsidRPr="00552B0C">
              <w:t>52/370</w:t>
            </w:r>
          </w:p>
          <w:p w14:paraId="385357CD" w14:textId="77777777" w:rsidR="00091D2A" w:rsidRPr="00552B0C" w:rsidRDefault="00091D2A">
            <w:pPr>
              <w:pStyle w:val="TableText0"/>
              <w:jc w:val="center"/>
            </w:pPr>
            <w:r w:rsidRPr="00552B0C">
              <w:t>(14.05%)</w:t>
            </w:r>
          </w:p>
        </w:tc>
        <w:tc>
          <w:tcPr>
            <w:tcW w:w="1470" w:type="dxa"/>
            <w:shd w:val="clear" w:color="auto" w:fill="B8CCE4" w:themeFill="accent1" w:themeFillTint="66"/>
          </w:tcPr>
          <w:p w14:paraId="705C23B8" w14:textId="77777777" w:rsidR="00091D2A" w:rsidRPr="00552B0C" w:rsidRDefault="00091D2A">
            <w:pPr>
              <w:pStyle w:val="TableText0"/>
              <w:jc w:val="center"/>
            </w:pPr>
            <w:r w:rsidRPr="00552B0C">
              <w:t>88/379</w:t>
            </w:r>
          </w:p>
          <w:p w14:paraId="19D3384A" w14:textId="77777777" w:rsidR="00091D2A" w:rsidRPr="00552B0C" w:rsidRDefault="00091D2A">
            <w:pPr>
              <w:pStyle w:val="TableText0"/>
              <w:jc w:val="center"/>
            </w:pPr>
            <w:r w:rsidRPr="00552B0C">
              <w:t>(23.22%)</w:t>
            </w:r>
          </w:p>
        </w:tc>
        <w:tc>
          <w:tcPr>
            <w:tcW w:w="1207" w:type="dxa"/>
            <w:shd w:val="clear" w:color="auto" w:fill="B8CCE4" w:themeFill="accent1" w:themeFillTint="66"/>
          </w:tcPr>
          <w:p w14:paraId="57233ED5" w14:textId="77777777" w:rsidR="00091D2A" w:rsidRPr="00552B0C" w:rsidRDefault="00091D2A">
            <w:pPr>
              <w:pStyle w:val="TableText0"/>
              <w:jc w:val="center"/>
              <w:rPr>
                <w:b/>
                <w:bCs w:val="0"/>
              </w:rPr>
            </w:pPr>
            <w:r w:rsidRPr="00552B0C">
              <w:rPr>
                <w:b/>
                <w:bCs w:val="0"/>
              </w:rPr>
              <w:t>0.54</w:t>
            </w:r>
          </w:p>
          <w:p w14:paraId="7E2E43F2" w14:textId="77777777" w:rsidR="00091D2A" w:rsidRPr="00552B0C" w:rsidRDefault="00091D2A">
            <w:pPr>
              <w:pStyle w:val="TableText0"/>
              <w:jc w:val="center"/>
              <w:rPr>
                <w:b/>
                <w:bCs w:val="0"/>
              </w:rPr>
            </w:pPr>
            <w:r w:rsidRPr="00552B0C">
              <w:rPr>
                <w:b/>
                <w:bCs w:val="0"/>
              </w:rPr>
              <w:t>[0.37, 0.79]</w:t>
            </w:r>
          </w:p>
        </w:tc>
        <w:tc>
          <w:tcPr>
            <w:tcW w:w="1207" w:type="dxa"/>
            <w:shd w:val="clear" w:color="auto" w:fill="B8CCE4" w:themeFill="accent1" w:themeFillTint="66"/>
          </w:tcPr>
          <w:p w14:paraId="4FF1A18F" w14:textId="77777777" w:rsidR="00091D2A" w:rsidRPr="00552B0C" w:rsidRDefault="00091D2A">
            <w:pPr>
              <w:pStyle w:val="TableText0"/>
              <w:jc w:val="center"/>
              <w:rPr>
                <w:b/>
                <w:bCs w:val="0"/>
              </w:rPr>
            </w:pPr>
            <w:r w:rsidRPr="00552B0C">
              <w:rPr>
                <w:b/>
                <w:bCs w:val="0"/>
              </w:rPr>
              <w:t>0.61</w:t>
            </w:r>
          </w:p>
          <w:p w14:paraId="03CFD487" w14:textId="77777777" w:rsidR="00091D2A" w:rsidRPr="00552B0C" w:rsidRDefault="00091D2A">
            <w:pPr>
              <w:pStyle w:val="TableText0"/>
              <w:jc w:val="center"/>
              <w:rPr>
                <w:b/>
                <w:bCs w:val="0"/>
              </w:rPr>
            </w:pPr>
            <w:r w:rsidRPr="00552B0C">
              <w:rPr>
                <w:b/>
                <w:bCs w:val="0"/>
              </w:rPr>
              <w:t>[0.44, 0.83]</w:t>
            </w:r>
          </w:p>
        </w:tc>
        <w:tc>
          <w:tcPr>
            <w:tcW w:w="1473" w:type="dxa"/>
            <w:shd w:val="clear" w:color="auto" w:fill="B8CCE4" w:themeFill="accent1" w:themeFillTint="66"/>
          </w:tcPr>
          <w:p w14:paraId="5718EFE5" w14:textId="77777777" w:rsidR="00091D2A" w:rsidRPr="00552B0C" w:rsidRDefault="00091D2A">
            <w:pPr>
              <w:pStyle w:val="TableText0"/>
              <w:jc w:val="center"/>
              <w:rPr>
                <w:b/>
                <w:bCs w:val="0"/>
              </w:rPr>
            </w:pPr>
            <w:r w:rsidRPr="00552B0C">
              <w:rPr>
                <w:b/>
                <w:bCs w:val="0"/>
              </w:rPr>
              <w:t>-0.09</w:t>
            </w:r>
          </w:p>
          <w:p w14:paraId="72B80E83" w14:textId="77777777" w:rsidR="00091D2A" w:rsidRPr="00552B0C" w:rsidRDefault="00091D2A">
            <w:pPr>
              <w:pStyle w:val="TableText0"/>
              <w:jc w:val="center"/>
              <w:rPr>
                <w:b/>
                <w:bCs w:val="0"/>
              </w:rPr>
            </w:pPr>
            <w:r w:rsidRPr="00552B0C">
              <w:rPr>
                <w:b/>
                <w:bCs w:val="0"/>
              </w:rPr>
              <w:t>[-0.15, -0.04]</w:t>
            </w:r>
          </w:p>
        </w:tc>
      </w:tr>
      <w:tr w:rsidR="00091D2A" w:rsidRPr="00552B0C" w14:paraId="411A5114" w14:textId="77777777">
        <w:trPr>
          <w:trHeight w:val="199"/>
        </w:trPr>
        <w:tc>
          <w:tcPr>
            <w:tcW w:w="2188" w:type="dxa"/>
            <w:shd w:val="clear" w:color="auto" w:fill="B8CCE4" w:themeFill="accent1" w:themeFillTint="66"/>
          </w:tcPr>
          <w:p w14:paraId="3351E940" w14:textId="77777777" w:rsidR="00091D2A" w:rsidRPr="00552B0C" w:rsidRDefault="00091D2A">
            <w:pPr>
              <w:pStyle w:val="TableText0"/>
            </w:pPr>
            <w:r w:rsidRPr="00552B0C">
              <w:t>Anaemia</w:t>
            </w:r>
          </w:p>
        </w:tc>
        <w:tc>
          <w:tcPr>
            <w:tcW w:w="1472" w:type="dxa"/>
            <w:shd w:val="clear" w:color="auto" w:fill="B8CCE4" w:themeFill="accent1" w:themeFillTint="66"/>
          </w:tcPr>
          <w:p w14:paraId="686E1E1B" w14:textId="77777777" w:rsidR="00091D2A" w:rsidRPr="00552B0C" w:rsidRDefault="00091D2A">
            <w:pPr>
              <w:pStyle w:val="TableText0"/>
              <w:jc w:val="center"/>
            </w:pPr>
            <w:r w:rsidRPr="00552B0C">
              <w:t>27/370</w:t>
            </w:r>
          </w:p>
          <w:p w14:paraId="6385D430" w14:textId="77777777" w:rsidR="00091D2A" w:rsidRPr="00552B0C" w:rsidRDefault="00091D2A">
            <w:pPr>
              <w:pStyle w:val="TableText0"/>
              <w:jc w:val="center"/>
            </w:pPr>
            <w:r w:rsidRPr="00552B0C">
              <w:t>(7.30%)</w:t>
            </w:r>
          </w:p>
        </w:tc>
        <w:tc>
          <w:tcPr>
            <w:tcW w:w="1470" w:type="dxa"/>
            <w:shd w:val="clear" w:color="auto" w:fill="B8CCE4" w:themeFill="accent1" w:themeFillTint="66"/>
          </w:tcPr>
          <w:p w14:paraId="202A223C" w14:textId="77777777" w:rsidR="00091D2A" w:rsidRPr="00552B0C" w:rsidRDefault="00091D2A">
            <w:pPr>
              <w:pStyle w:val="TableText0"/>
              <w:jc w:val="center"/>
            </w:pPr>
            <w:r w:rsidRPr="00552B0C">
              <w:t>55/379</w:t>
            </w:r>
          </w:p>
          <w:p w14:paraId="0B7027C0" w14:textId="77777777" w:rsidR="00091D2A" w:rsidRPr="00552B0C" w:rsidRDefault="00091D2A">
            <w:pPr>
              <w:pStyle w:val="TableText0"/>
              <w:jc w:val="center"/>
            </w:pPr>
            <w:r w:rsidRPr="00552B0C">
              <w:t>(14.51%)</w:t>
            </w:r>
          </w:p>
        </w:tc>
        <w:tc>
          <w:tcPr>
            <w:tcW w:w="1207" w:type="dxa"/>
            <w:shd w:val="clear" w:color="auto" w:fill="B8CCE4" w:themeFill="accent1" w:themeFillTint="66"/>
          </w:tcPr>
          <w:p w14:paraId="68B19CF5" w14:textId="77777777" w:rsidR="00091D2A" w:rsidRPr="00552B0C" w:rsidRDefault="00091D2A">
            <w:pPr>
              <w:pStyle w:val="TableText0"/>
              <w:jc w:val="center"/>
              <w:rPr>
                <w:b/>
                <w:bCs w:val="0"/>
              </w:rPr>
            </w:pPr>
            <w:r w:rsidRPr="00552B0C">
              <w:rPr>
                <w:b/>
                <w:bCs w:val="0"/>
              </w:rPr>
              <w:t>0.46</w:t>
            </w:r>
          </w:p>
          <w:p w14:paraId="00DF434A" w14:textId="77777777" w:rsidR="00091D2A" w:rsidRPr="00552B0C" w:rsidRDefault="00091D2A">
            <w:pPr>
              <w:pStyle w:val="TableText0"/>
              <w:jc w:val="center"/>
              <w:rPr>
                <w:b/>
                <w:bCs w:val="0"/>
              </w:rPr>
            </w:pPr>
            <w:r w:rsidRPr="00552B0C">
              <w:rPr>
                <w:b/>
                <w:bCs w:val="0"/>
              </w:rPr>
              <w:t>[0.29, 0.75]</w:t>
            </w:r>
          </w:p>
        </w:tc>
        <w:tc>
          <w:tcPr>
            <w:tcW w:w="1207" w:type="dxa"/>
            <w:shd w:val="clear" w:color="auto" w:fill="B8CCE4" w:themeFill="accent1" w:themeFillTint="66"/>
          </w:tcPr>
          <w:p w14:paraId="10253106" w14:textId="77777777" w:rsidR="00091D2A" w:rsidRPr="00552B0C" w:rsidRDefault="00091D2A">
            <w:pPr>
              <w:pStyle w:val="TableText0"/>
              <w:jc w:val="center"/>
              <w:rPr>
                <w:b/>
                <w:bCs w:val="0"/>
              </w:rPr>
            </w:pPr>
            <w:r w:rsidRPr="00552B0C">
              <w:rPr>
                <w:b/>
                <w:bCs w:val="0"/>
              </w:rPr>
              <w:t>0.50</w:t>
            </w:r>
          </w:p>
          <w:p w14:paraId="7DD65D10" w14:textId="77777777" w:rsidR="00091D2A" w:rsidRPr="00552B0C" w:rsidRDefault="00091D2A">
            <w:pPr>
              <w:pStyle w:val="TableText0"/>
              <w:jc w:val="center"/>
              <w:rPr>
                <w:b/>
                <w:bCs w:val="0"/>
              </w:rPr>
            </w:pPr>
            <w:r w:rsidRPr="00552B0C">
              <w:rPr>
                <w:b/>
                <w:bCs w:val="0"/>
              </w:rPr>
              <w:t>[0.32, 0.78]</w:t>
            </w:r>
          </w:p>
        </w:tc>
        <w:tc>
          <w:tcPr>
            <w:tcW w:w="1473" w:type="dxa"/>
            <w:shd w:val="clear" w:color="auto" w:fill="B8CCE4" w:themeFill="accent1" w:themeFillTint="66"/>
          </w:tcPr>
          <w:p w14:paraId="23BD28C3" w14:textId="77777777" w:rsidR="00091D2A" w:rsidRPr="00552B0C" w:rsidRDefault="00091D2A">
            <w:pPr>
              <w:pStyle w:val="TableText0"/>
              <w:jc w:val="center"/>
              <w:rPr>
                <w:b/>
                <w:bCs w:val="0"/>
              </w:rPr>
            </w:pPr>
            <w:r w:rsidRPr="00552B0C">
              <w:rPr>
                <w:b/>
                <w:bCs w:val="0"/>
              </w:rPr>
              <w:t>-0.07</w:t>
            </w:r>
          </w:p>
          <w:p w14:paraId="2AD178F6" w14:textId="77777777" w:rsidR="00091D2A" w:rsidRPr="00552B0C" w:rsidRDefault="00091D2A">
            <w:pPr>
              <w:pStyle w:val="TableText0"/>
              <w:jc w:val="center"/>
              <w:rPr>
                <w:b/>
                <w:bCs w:val="0"/>
              </w:rPr>
            </w:pPr>
            <w:r w:rsidRPr="00552B0C">
              <w:rPr>
                <w:b/>
                <w:bCs w:val="0"/>
              </w:rPr>
              <w:t>[-0.12, -0.03]</w:t>
            </w:r>
          </w:p>
        </w:tc>
      </w:tr>
      <w:tr w:rsidR="00091D2A" w:rsidRPr="00552B0C" w14:paraId="617263B5" w14:textId="77777777">
        <w:trPr>
          <w:trHeight w:val="199"/>
        </w:trPr>
        <w:tc>
          <w:tcPr>
            <w:tcW w:w="2188" w:type="dxa"/>
            <w:shd w:val="clear" w:color="auto" w:fill="B8CCE4" w:themeFill="accent1" w:themeFillTint="66"/>
          </w:tcPr>
          <w:p w14:paraId="29A552B2" w14:textId="77777777" w:rsidR="00091D2A" w:rsidRPr="00552B0C" w:rsidRDefault="00091D2A">
            <w:pPr>
              <w:pStyle w:val="TableText0"/>
            </w:pPr>
            <w:r w:rsidRPr="00552B0C">
              <w:t>Thrombocytopenia</w:t>
            </w:r>
          </w:p>
        </w:tc>
        <w:tc>
          <w:tcPr>
            <w:tcW w:w="1472" w:type="dxa"/>
            <w:shd w:val="clear" w:color="auto" w:fill="B8CCE4" w:themeFill="accent1" w:themeFillTint="66"/>
          </w:tcPr>
          <w:p w14:paraId="466235C1" w14:textId="77777777" w:rsidR="00091D2A" w:rsidRPr="00552B0C" w:rsidRDefault="00091D2A">
            <w:pPr>
              <w:pStyle w:val="TableText0"/>
              <w:jc w:val="center"/>
            </w:pPr>
            <w:r w:rsidRPr="00552B0C">
              <w:t>2/370</w:t>
            </w:r>
          </w:p>
          <w:p w14:paraId="40B504B4" w14:textId="77777777" w:rsidR="00091D2A" w:rsidRPr="00552B0C" w:rsidRDefault="00091D2A">
            <w:pPr>
              <w:pStyle w:val="TableText0"/>
              <w:jc w:val="center"/>
            </w:pPr>
            <w:r w:rsidRPr="00552B0C">
              <w:t>(0.54%)</w:t>
            </w:r>
          </w:p>
        </w:tc>
        <w:tc>
          <w:tcPr>
            <w:tcW w:w="1470" w:type="dxa"/>
            <w:shd w:val="clear" w:color="auto" w:fill="B8CCE4" w:themeFill="accent1" w:themeFillTint="66"/>
          </w:tcPr>
          <w:p w14:paraId="7B825430" w14:textId="77777777" w:rsidR="00091D2A" w:rsidRPr="00552B0C" w:rsidRDefault="00091D2A">
            <w:pPr>
              <w:pStyle w:val="TableText0"/>
              <w:jc w:val="center"/>
            </w:pPr>
            <w:r w:rsidRPr="00552B0C">
              <w:t>13/379</w:t>
            </w:r>
          </w:p>
          <w:p w14:paraId="51E4BDBB" w14:textId="77777777" w:rsidR="00091D2A" w:rsidRPr="00552B0C" w:rsidRDefault="00091D2A">
            <w:pPr>
              <w:pStyle w:val="TableText0"/>
              <w:jc w:val="center"/>
            </w:pPr>
            <w:r w:rsidRPr="00552B0C">
              <w:t>(3.43%)</w:t>
            </w:r>
          </w:p>
        </w:tc>
        <w:tc>
          <w:tcPr>
            <w:tcW w:w="1207" w:type="dxa"/>
            <w:shd w:val="clear" w:color="auto" w:fill="B8CCE4" w:themeFill="accent1" w:themeFillTint="66"/>
          </w:tcPr>
          <w:p w14:paraId="4F4F985B" w14:textId="77777777" w:rsidR="00091D2A" w:rsidRPr="00552B0C" w:rsidRDefault="00091D2A">
            <w:pPr>
              <w:pStyle w:val="TableText0"/>
              <w:jc w:val="center"/>
              <w:rPr>
                <w:b/>
                <w:bCs w:val="0"/>
              </w:rPr>
            </w:pPr>
            <w:r w:rsidRPr="00552B0C">
              <w:rPr>
                <w:b/>
                <w:bCs w:val="0"/>
              </w:rPr>
              <w:t>0.15</w:t>
            </w:r>
          </w:p>
          <w:p w14:paraId="3B94CAB4" w14:textId="77777777" w:rsidR="00091D2A" w:rsidRPr="00552B0C" w:rsidRDefault="00091D2A">
            <w:pPr>
              <w:pStyle w:val="TableText0"/>
              <w:jc w:val="center"/>
              <w:rPr>
                <w:b/>
                <w:bCs w:val="0"/>
              </w:rPr>
            </w:pPr>
            <w:r w:rsidRPr="00552B0C">
              <w:rPr>
                <w:b/>
                <w:bCs w:val="0"/>
              </w:rPr>
              <w:t>[0.03, 0.68]</w:t>
            </w:r>
          </w:p>
        </w:tc>
        <w:tc>
          <w:tcPr>
            <w:tcW w:w="1207" w:type="dxa"/>
            <w:shd w:val="clear" w:color="auto" w:fill="B8CCE4" w:themeFill="accent1" w:themeFillTint="66"/>
          </w:tcPr>
          <w:p w14:paraId="56312797" w14:textId="77777777" w:rsidR="00091D2A" w:rsidRPr="00552B0C" w:rsidRDefault="00091D2A">
            <w:pPr>
              <w:pStyle w:val="TableText0"/>
              <w:jc w:val="center"/>
              <w:rPr>
                <w:b/>
                <w:bCs w:val="0"/>
              </w:rPr>
            </w:pPr>
            <w:r w:rsidRPr="00552B0C">
              <w:rPr>
                <w:b/>
                <w:bCs w:val="0"/>
              </w:rPr>
              <w:t>0.16</w:t>
            </w:r>
          </w:p>
          <w:p w14:paraId="36C8C1A5" w14:textId="77777777" w:rsidR="00091D2A" w:rsidRPr="00552B0C" w:rsidRDefault="00091D2A">
            <w:pPr>
              <w:pStyle w:val="TableText0"/>
              <w:jc w:val="center"/>
              <w:rPr>
                <w:b/>
                <w:bCs w:val="0"/>
              </w:rPr>
            </w:pPr>
            <w:r w:rsidRPr="00552B0C">
              <w:rPr>
                <w:b/>
                <w:bCs w:val="0"/>
              </w:rPr>
              <w:t>[0.04, 0.69]</w:t>
            </w:r>
          </w:p>
        </w:tc>
        <w:tc>
          <w:tcPr>
            <w:tcW w:w="1473" w:type="dxa"/>
            <w:shd w:val="clear" w:color="auto" w:fill="B8CCE4" w:themeFill="accent1" w:themeFillTint="66"/>
          </w:tcPr>
          <w:p w14:paraId="4EB99F19" w14:textId="77777777" w:rsidR="00091D2A" w:rsidRPr="00552B0C" w:rsidRDefault="00091D2A">
            <w:pPr>
              <w:pStyle w:val="TableText0"/>
              <w:jc w:val="center"/>
              <w:rPr>
                <w:b/>
                <w:bCs w:val="0"/>
              </w:rPr>
            </w:pPr>
            <w:r w:rsidRPr="00552B0C">
              <w:rPr>
                <w:b/>
                <w:bCs w:val="0"/>
              </w:rPr>
              <w:t>-0.03</w:t>
            </w:r>
          </w:p>
          <w:p w14:paraId="421958D9" w14:textId="77777777" w:rsidR="00091D2A" w:rsidRPr="00552B0C" w:rsidRDefault="00091D2A">
            <w:pPr>
              <w:pStyle w:val="TableText0"/>
              <w:jc w:val="center"/>
              <w:rPr>
                <w:b/>
                <w:bCs w:val="0"/>
              </w:rPr>
            </w:pPr>
            <w:r w:rsidRPr="00552B0C">
              <w:rPr>
                <w:b/>
                <w:bCs w:val="0"/>
              </w:rPr>
              <w:t>[-0.05, -0.01]</w:t>
            </w:r>
          </w:p>
        </w:tc>
      </w:tr>
      <w:tr w:rsidR="00091D2A" w:rsidRPr="00552B0C" w14:paraId="7176DA80" w14:textId="77777777">
        <w:trPr>
          <w:trHeight w:val="199"/>
        </w:trPr>
        <w:tc>
          <w:tcPr>
            <w:tcW w:w="2188" w:type="dxa"/>
            <w:shd w:val="clear" w:color="auto" w:fill="B8CCE4" w:themeFill="accent1" w:themeFillTint="66"/>
          </w:tcPr>
          <w:p w14:paraId="7C67FFA6" w14:textId="77777777" w:rsidR="00091D2A" w:rsidRPr="00552B0C" w:rsidRDefault="00091D2A">
            <w:pPr>
              <w:pStyle w:val="TableText0"/>
            </w:pPr>
            <w:r w:rsidRPr="00552B0C">
              <w:t>Leukopenia</w:t>
            </w:r>
          </w:p>
        </w:tc>
        <w:tc>
          <w:tcPr>
            <w:tcW w:w="1472" w:type="dxa"/>
            <w:shd w:val="clear" w:color="auto" w:fill="B8CCE4" w:themeFill="accent1" w:themeFillTint="66"/>
          </w:tcPr>
          <w:p w14:paraId="3CC78EE6" w14:textId="77777777" w:rsidR="00091D2A" w:rsidRPr="00552B0C" w:rsidRDefault="00091D2A">
            <w:pPr>
              <w:pStyle w:val="TableText0"/>
              <w:jc w:val="center"/>
            </w:pPr>
            <w:r w:rsidRPr="00552B0C">
              <w:t>3/370</w:t>
            </w:r>
          </w:p>
          <w:p w14:paraId="4EC1D051" w14:textId="77777777" w:rsidR="00091D2A" w:rsidRPr="00552B0C" w:rsidRDefault="00091D2A">
            <w:pPr>
              <w:pStyle w:val="TableText0"/>
              <w:jc w:val="center"/>
            </w:pPr>
            <w:r w:rsidRPr="00552B0C">
              <w:t>(0.81%)</w:t>
            </w:r>
          </w:p>
        </w:tc>
        <w:tc>
          <w:tcPr>
            <w:tcW w:w="1470" w:type="dxa"/>
            <w:shd w:val="clear" w:color="auto" w:fill="B8CCE4" w:themeFill="accent1" w:themeFillTint="66"/>
          </w:tcPr>
          <w:p w14:paraId="7C618731" w14:textId="77777777" w:rsidR="00091D2A" w:rsidRPr="00552B0C" w:rsidRDefault="00091D2A">
            <w:pPr>
              <w:pStyle w:val="TableText0"/>
              <w:jc w:val="center"/>
            </w:pPr>
            <w:r w:rsidRPr="00552B0C">
              <w:t>17/379</w:t>
            </w:r>
          </w:p>
          <w:p w14:paraId="448C65DA" w14:textId="77777777" w:rsidR="00091D2A" w:rsidRPr="00552B0C" w:rsidRDefault="00091D2A">
            <w:pPr>
              <w:pStyle w:val="TableText0"/>
              <w:jc w:val="center"/>
            </w:pPr>
            <w:r w:rsidRPr="00552B0C">
              <w:t>(4.49%)</w:t>
            </w:r>
          </w:p>
        </w:tc>
        <w:tc>
          <w:tcPr>
            <w:tcW w:w="1207" w:type="dxa"/>
            <w:shd w:val="clear" w:color="auto" w:fill="B8CCE4" w:themeFill="accent1" w:themeFillTint="66"/>
          </w:tcPr>
          <w:p w14:paraId="592C2A32" w14:textId="77777777" w:rsidR="00091D2A" w:rsidRPr="00552B0C" w:rsidRDefault="00091D2A">
            <w:pPr>
              <w:pStyle w:val="TableText0"/>
              <w:jc w:val="center"/>
              <w:rPr>
                <w:b/>
                <w:bCs w:val="0"/>
              </w:rPr>
            </w:pPr>
            <w:r w:rsidRPr="00552B0C">
              <w:rPr>
                <w:b/>
                <w:bCs w:val="0"/>
              </w:rPr>
              <w:t>0.17</w:t>
            </w:r>
          </w:p>
          <w:p w14:paraId="0E5B9D61" w14:textId="77777777" w:rsidR="00091D2A" w:rsidRPr="00552B0C" w:rsidRDefault="00091D2A">
            <w:pPr>
              <w:pStyle w:val="TableText0"/>
              <w:jc w:val="center"/>
              <w:rPr>
                <w:b/>
                <w:bCs w:val="0"/>
              </w:rPr>
            </w:pPr>
            <w:r w:rsidRPr="00552B0C">
              <w:rPr>
                <w:b/>
                <w:bCs w:val="0"/>
              </w:rPr>
              <w:t>[0.05, 0.60]</w:t>
            </w:r>
          </w:p>
        </w:tc>
        <w:tc>
          <w:tcPr>
            <w:tcW w:w="1207" w:type="dxa"/>
            <w:shd w:val="clear" w:color="auto" w:fill="B8CCE4" w:themeFill="accent1" w:themeFillTint="66"/>
          </w:tcPr>
          <w:p w14:paraId="6BB14437" w14:textId="77777777" w:rsidR="00091D2A" w:rsidRPr="00552B0C" w:rsidRDefault="00091D2A">
            <w:pPr>
              <w:pStyle w:val="TableText0"/>
              <w:jc w:val="center"/>
              <w:rPr>
                <w:b/>
                <w:bCs w:val="0"/>
              </w:rPr>
            </w:pPr>
            <w:r w:rsidRPr="00552B0C">
              <w:rPr>
                <w:b/>
                <w:bCs w:val="0"/>
              </w:rPr>
              <w:t>0.18</w:t>
            </w:r>
          </w:p>
          <w:p w14:paraId="0A92D1BE" w14:textId="77777777" w:rsidR="00091D2A" w:rsidRPr="00552B0C" w:rsidRDefault="00091D2A">
            <w:pPr>
              <w:pStyle w:val="TableText0"/>
              <w:jc w:val="center"/>
              <w:rPr>
                <w:b/>
                <w:bCs w:val="0"/>
              </w:rPr>
            </w:pPr>
            <w:r w:rsidRPr="00552B0C">
              <w:rPr>
                <w:b/>
                <w:bCs w:val="0"/>
              </w:rPr>
              <w:t>[0.05, 0.61]</w:t>
            </w:r>
          </w:p>
        </w:tc>
        <w:tc>
          <w:tcPr>
            <w:tcW w:w="1473" w:type="dxa"/>
            <w:shd w:val="clear" w:color="auto" w:fill="B8CCE4" w:themeFill="accent1" w:themeFillTint="66"/>
          </w:tcPr>
          <w:p w14:paraId="3D851EE5" w14:textId="77777777" w:rsidR="00091D2A" w:rsidRPr="00552B0C" w:rsidRDefault="00091D2A">
            <w:pPr>
              <w:pStyle w:val="TableText0"/>
              <w:jc w:val="center"/>
              <w:rPr>
                <w:b/>
                <w:bCs w:val="0"/>
              </w:rPr>
            </w:pPr>
            <w:r w:rsidRPr="00552B0C">
              <w:rPr>
                <w:b/>
                <w:bCs w:val="0"/>
              </w:rPr>
              <w:t>-0.04</w:t>
            </w:r>
          </w:p>
          <w:p w14:paraId="36FF0BDC" w14:textId="77777777" w:rsidR="00091D2A" w:rsidRPr="00552B0C" w:rsidRDefault="00091D2A">
            <w:pPr>
              <w:pStyle w:val="TableText0"/>
              <w:jc w:val="center"/>
              <w:rPr>
                <w:b/>
                <w:bCs w:val="0"/>
              </w:rPr>
            </w:pPr>
            <w:r w:rsidRPr="00552B0C">
              <w:rPr>
                <w:b/>
                <w:bCs w:val="0"/>
              </w:rPr>
              <w:t>[-0.06, -0.01]</w:t>
            </w:r>
          </w:p>
        </w:tc>
      </w:tr>
      <w:tr w:rsidR="00091D2A" w:rsidRPr="00552B0C" w14:paraId="143221C7" w14:textId="77777777">
        <w:trPr>
          <w:trHeight w:val="199"/>
        </w:trPr>
        <w:tc>
          <w:tcPr>
            <w:tcW w:w="2188" w:type="dxa"/>
            <w:shd w:val="clear" w:color="auto" w:fill="B8CCE4" w:themeFill="accent1" w:themeFillTint="66"/>
          </w:tcPr>
          <w:p w14:paraId="77A949B2" w14:textId="77777777" w:rsidR="00091D2A" w:rsidRPr="00552B0C" w:rsidRDefault="00091D2A">
            <w:pPr>
              <w:pStyle w:val="TableText0"/>
            </w:pPr>
            <w:r w:rsidRPr="00552B0C">
              <w:t>Investigations</w:t>
            </w:r>
          </w:p>
        </w:tc>
        <w:tc>
          <w:tcPr>
            <w:tcW w:w="1472" w:type="dxa"/>
            <w:shd w:val="clear" w:color="auto" w:fill="B8CCE4" w:themeFill="accent1" w:themeFillTint="66"/>
          </w:tcPr>
          <w:p w14:paraId="347D32C4" w14:textId="77777777" w:rsidR="00091D2A" w:rsidRPr="00552B0C" w:rsidRDefault="00091D2A">
            <w:pPr>
              <w:pStyle w:val="TableText0"/>
              <w:jc w:val="center"/>
            </w:pPr>
          </w:p>
        </w:tc>
        <w:tc>
          <w:tcPr>
            <w:tcW w:w="1470" w:type="dxa"/>
            <w:shd w:val="clear" w:color="auto" w:fill="B8CCE4" w:themeFill="accent1" w:themeFillTint="66"/>
          </w:tcPr>
          <w:p w14:paraId="421161D8" w14:textId="77777777" w:rsidR="00091D2A" w:rsidRPr="00552B0C" w:rsidRDefault="00091D2A">
            <w:pPr>
              <w:pStyle w:val="TableText0"/>
              <w:jc w:val="center"/>
            </w:pPr>
          </w:p>
        </w:tc>
        <w:tc>
          <w:tcPr>
            <w:tcW w:w="1207" w:type="dxa"/>
            <w:shd w:val="clear" w:color="auto" w:fill="B8CCE4" w:themeFill="accent1" w:themeFillTint="66"/>
          </w:tcPr>
          <w:p w14:paraId="2FE370BD" w14:textId="77777777" w:rsidR="00091D2A" w:rsidRPr="00552B0C" w:rsidRDefault="00091D2A">
            <w:pPr>
              <w:pStyle w:val="TableText0"/>
              <w:jc w:val="center"/>
            </w:pPr>
          </w:p>
        </w:tc>
        <w:tc>
          <w:tcPr>
            <w:tcW w:w="1207" w:type="dxa"/>
            <w:shd w:val="clear" w:color="auto" w:fill="B8CCE4" w:themeFill="accent1" w:themeFillTint="66"/>
          </w:tcPr>
          <w:p w14:paraId="4368D143" w14:textId="77777777" w:rsidR="00091D2A" w:rsidRPr="00552B0C" w:rsidRDefault="00091D2A">
            <w:pPr>
              <w:pStyle w:val="TableText0"/>
              <w:jc w:val="center"/>
            </w:pPr>
          </w:p>
        </w:tc>
        <w:tc>
          <w:tcPr>
            <w:tcW w:w="1473" w:type="dxa"/>
            <w:shd w:val="clear" w:color="auto" w:fill="B8CCE4" w:themeFill="accent1" w:themeFillTint="66"/>
          </w:tcPr>
          <w:p w14:paraId="2730BF93" w14:textId="77777777" w:rsidR="00091D2A" w:rsidRPr="00552B0C" w:rsidRDefault="00091D2A">
            <w:pPr>
              <w:pStyle w:val="TableText0"/>
              <w:jc w:val="center"/>
            </w:pPr>
          </w:p>
        </w:tc>
      </w:tr>
      <w:tr w:rsidR="00091D2A" w:rsidRPr="00552B0C" w14:paraId="7E5545C0" w14:textId="77777777">
        <w:trPr>
          <w:trHeight w:val="199"/>
        </w:trPr>
        <w:tc>
          <w:tcPr>
            <w:tcW w:w="2188" w:type="dxa"/>
            <w:shd w:val="clear" w:color="auto" w:fill="B8CCE4" w:themeFill="accent1" w:themeFillTint="66"/>
          </w:tcPr>
          <w:p w14:paraId="62468BAF" w14:textId="77777777" w:rsidR="00091D2A" w:rsidRPr="00552B0C" w:rsidRDefault="00091D2A">
            <w:pPr>
              <w:pStyle w:val="TableText0"/>
            </w:pPr>
            <w:r w:rsidRPr="00552B0C">
              <w:t>Neutrophil count decreased</w:t>
            </w:r>
          </w:p>
        </w:tc>
        <w:tc>
          <w:tcPr>
            <w:tcW w:w="1472" w:type="dxa"/>
            <w:shd w:val="clear" w:color="auto" w:fill="B8CCE4" w:themeFill="accent1" w:themeFillTint="66"/>
          </w:tcPr>
          <w:p w14:paraId="4769A1D9" w14:textId="77777777" w:rsidR="00091D2A" w:rsidRPr="00552B0C" w:rsidRDefault="00091D2A">
            <w:pPr>
              <w:pStyle w:val="TableText0"/>
              <w:jc w:val="center"/>
            </w:pPr>
            <w:r w:rsidRPr="00552B0C">
              <w:t>36/370</w:t>
            </w:r>
          </w:p>
          <w:p w14:paraId="3A72E38A" w14:textId="77777777" w:rsidR="00091D2A" w:rsidRPr="00552B0C" w:rsidRDefault="00091D2A">
            <w:pPr>
              <w:pStyle w:val="TableText0"/>
              <w:jc w:val="center"/>
            </w:pPr>
            <w:r w:rsidRPr="00552B0C">
              <w:t>(9.73%)</w:t>
            </w:r>
          </w:p>
        </w:tc>
        <w:tc>
          <w:tcPr>
            <w:tcW w:w="1470" w:type="dxa"/>
            <w:shd w:val="clear" w:color="auto" w:fill="B8CCE4" w:themeFill="accent1" w:themeFillTint="66"/>
          </w:tcPr>
          <w:p w14:paraId="648FF993" w14:textId="77777777" w:rsidR="00091D2A" w:rsidRPr="00552B0C" w:rsidRDefault="00091D2A">
            <w:pPr>
              <w:pStyle w:val="TableText0"/>
              <w:jc w:val="center"/>
            </w:pPr>
            <w:r w:rsidRPr="00552B0C">
              <w:t>50/379</w:t>
            </w:r>
          </w:p>
          <w:p w14:paraId="02667172" w14:textId="77777777" w:rsidR="00091D2A" w:rsidRPr="00552B0C" w:rsidRDefault="00091D2A">
            <w:pPr>
              <w:pStyle w:val="TableText0"/>
              <w:jc w:val="center"/>
            </w:pPr>
            <w:r w:rsidRPr="00552B0C">
              <w:t>(13.19%)</w:t>
            </w:r>
          </w:p>
        </w:tc>
        <w:tc>
          <w:tcPr>
            <w:tcW w:w="1207" w:type="dxa"/>
            <w:shd w:val="clear" w:color="auto" w:fill="B8CCE4" w:themeFill="accent1" w:themeFillTint="66"/>
          </w:tcPr>
          <w:p w14:paraId="2F1ACB40" w14:textId="77777777" w:rsidR="00091D2A" w:rsidRPr="00552B0C" w:rsidRDefault="00091D2A">
            <w:pPr>
              <w:pStyle w:val="TableText0"/>
              <w:jc w:val="center"/>
            </w:pPr>
            <w:r w:rsidRPr="00552B0C">
              <w:t>0.71</w:t>
            </w:r>
          </w:p>
          <w:p w14:paraId="31F42FDE" w14:textId="77777777" w:rsidR="00091D2A" w:rsidRPr="00552B0C" w:rsidRDefault="00091D2A">
            <w:pPr>
              <w:pStyle w:val="TableText0"/>
              <w:jc w:val="center"/>
            </w:pPr>
            <w:r w:rsidRPr="00552B0C">
              <w:t>[0.45, 1.12]</w:t>
            </w:r>
          </w:p>
        </w:tc>
        <w:tc>
          <w:tcPr>
            <w:tcW w:w="1207" w:type="dxa"/>
            <w:shd w:val="clear" w:color="auto" w:fill="B8CCE4" w:themeFill="accent1" w:themeFillTint="66"/>
          </w:tcPr>
          <w:p w14:paraId="7FDD2B6A" w14:textId="77777777" w:rsidR="00091D2A" w:rsidRPr="00552B0C" w:rsidRDefault="00091D2A">
            <w:pPr>
              <w:pStyle w:val="TableText0"/>
              <w:jc w:val="center"/>
            </w:pPr>
            <w:r w:rsidRPr="00552B0C">
              <w:t>0.74</w:t>
            </w:r>
          </w:p>
          <w:p w14:paraId="62D7848E" w14:textId="77777777" w:rsidR="00091D2A" w:rsidRPr="00552B0C" w:rsidRDefault="00091D2A">
            <w:pPr>
              <w:pStyle w:val="TableText0"/>
              <w:jc w:val="center"/>
            </w:pPr>
            <w:r w:rsidRPr="00552B0C">
              <w:t>[0.49, 1.10]</w:t>
            </w:r>
          </w:p>
        </w:tc>
        <w:tc>
          <w:tcPr>
            <w:tcW w:w="1473" w:type="dxa"/>
            <w:shd w:val="clear" w:color="auto" w:fill="B8CCE4" w:themeFill="accent1" w:themeFillTint="66"/>
          </w:tcPr>
          <w:p w14:paraId="01052FF4" w14:textId="77777777" w:rsidR="00091D2A" w:rsidRPr="00552B0C" w:rsidRDefault="00091D2A">
            <w:pPr>
              <w:pStyle w:val="TableText0"/>
              <w:jc w:val="center"/>
            </w:pPr>
            <w:r w:rsidRPr="00552B0C">
              <w:t>-0.03</w:t>
            </w:r>
          </w:p>
          <w:p w14:paraId="3F0D5A7D" w14:textId="77777777" w:rsidR="00091D2A" w:rsidRPr="00552B0C" w:rsidRDefault="00091D2A">
            <w:pPr>
              <w:pStyle w:val="TableText0"/>
              <w:jc w:val="center"/>
            </w:pPr>
            <w:r w:rsidRPr="00552B0C">
              <w:t>[-0.08, 0.01]</w:t>
            </w:r>
          </w:p>
        </w:tc>
      </w:tr>
      <w:tr w:rsidR="00091D2A" w:rsidRPr="00552B0C" w14:paraId="0CAF4311" w14:textId="77777777">
        <w:trPr>
          <w:trHeight w:val="199"/>
        </w:trPr>
        <w:tc>
          <w:tcPr>
            <w:tcW w:w="2188" w:type="dxa"/>
            <w:shd w:val="clear" w:color="auto" w:fill="B8CCE4" w:themeFill="accent1" w:themeFillTint="66"/>
          </w:tcPr>
          <w:p w14:paraId="2861C1F9" w14:textId="77777777" w:rsidR="00091D2A" w:rsidRPr="00552B0C" w:rsidRDefault="00091D2A">
            <w:pPr>
              <w:pStyle w:val="TableText0"/>
            </w:pPr>
            <w:r w:rsidRPr="00552B0C">
              <w:t>WBC count decreased</w:t>
            </w:r>
          </w:p>
        </w:tc>
        <w:tc>
          <w:tcPr>
            <w:tcW w:w="1472" w:type="dxa"/>
            <w:shd w:val="clear" w:color="auto" w:fill="B8CCE4" w:themeFill="accent1" w:themeFillTint="66"/>
          </w:tcPr>
          <w:p w14:paraId="495B4499" w14:textId="77777777" w:rsidR="00091D2A" w:rsidRPr="00552B0C" w:rsidRDefault="00091D2A">
            <w:pPr>
              <w:pStyle w:val="TableText0"/>
              <w:jc w:val="center"/>
            </w:pPr>
            <w:r w:rsidRPr="00552B0C">
              <w:t>6/370</w:t>
            </w:r>
          </w:p>
          <w:p w14:paraId="4D6384F0" w14:textId="77777777" w:rsidR="00091D2A" w:rsidRPr="00552B0C" w:rsidRDefault="00091D2A">
            <w:pPr>
              <w:pStyle w:val="TableText0"/>
              <w:jc w:val="center"/>
            </w:pPr>
            <w:r w:rsidRPr="00552B0C">
              <w:t>(1.62%)</w:t>
            </w:r>
          </w:p>
        </w:tc>
        <w:tc>
          <w:tcPr>
            <w:tcW w:w="1470" w:type="dxa"/>
            <w:shd w:val="clear" w:color="auto" w:fill="B8CCE4" w:themeFill="accent1" w:themeFillTint="66"/>
          </w:tcPr>
          <w:p w14:paraId="7DEFBF7A" w14:textId="77777777" w:rsidR="00091D2A" w:rsidRPr="00552B0C" w:rsidRDefault="00091D2A">
            <w:pPr>
              <w:pStyle w:val="TableText0"/>
              <w:jc w:val="center"/>
            </w:pPr>
            <w:r w:rsidRPr="00552B0C">
              <w:t>18/379</w:t>
            </w:r>
          </w:p>
          <w:p w14:paraId="7191B8C8" w14:textId="77777777" w:rsidR="00091D2A" w:rsidRPr="00552B0C" w:rsidRDefault="00091D2A">
            <w:pPr>
              <w:pStyle w:val="TableText0"/>
              <w:jc w:val="center"/>
            </w:pPr>
            <w:r w:rsidRPr="00552B0C">
              <w:t>(4.75%)</w:t>
            </w:r>
          </w:p>
        </w:tc>
        <w:tc>
          <w:tcPr>
            <w:tcW w:w="1207" w:type="dxa"/>
            <w:shd w:val="clear" w:color="auto" w:fill="B8CCE4" w:themeFill="accent1" w:themeFillTint="66"/>
          </w:tcPr>
          <w:p w14:paraId="7E6ACE75" w14:textId="77777777" w:rsidR="00091D2A" w:rsidRPr="00552B0C" w:rsidRDefault="00091D2A">
            <w:pPr>
              <w:pStyle w:val="TableText0"/>
              <w:jc w:val="center"/>
              <w:rPr>
                <w:b/>
                <w:bCs w:val="0"/>
              </w:rPr>
            </w:pPr>
            <w:r w:rsidRPr="00552B0C">
              <w:rPr>
                <w:b/>
                <w:bCs w:val="0"/>
              </w:rPr>
              <w:t>0.33</w:t>
            </w:r>
          </w:p>
          <w:p w14:paraId="627F5DCE" w14:textId="77777777" w:rsidR="00091D2A" w:rsidRPr="00552B0C" w:rsidRDefault="00091D2A">
            <w:pPr>
              <w:pStyle w:val="TableText0"/>
              <w:jc w:val="center"/>
              <w:rPr>
                <w:b/>
                <w:bCs w:val="0"/>
              </w:rPr>
            </w:pPr>
            <w:r w:rsidRPr="00552B0C">
              <w:rPr>
                <w:b/>
                <w:bCs w:val="0"/>
              </w:rPr>
              <w:t>[0.13, 0.84]</w:t>
            </w:r>
          </w:p>
        </w:tc>
        <w:tc>
          <w:tcPr>
            <w:tcW w:w="1207" w:type="dxa"/>
            <w:shd w:val="clear" w:color="auto" w:fill="B8CCE4" w:themeFill="accent1" w:themeFillTint="66"/>
          </w:tcPr>
          <w:p w14:paraId="4B3E990D" w14:textId="77777777" w:rsidR="00091D2A" w:rsidRPr="00552B0C" w:rsidRDefault="00091D2A">
            <w:pPr>
              <w:pStyle w:val="TableText0"/>
              <w:jc w:val="center"/>
              <w:rPr>
                <w:b/>
                <w:bCs w:val="0"/>
              </w:rPr>
            </w:pPr>
            <w:r w:rsidRPr="00552B0C">
              <w:rPr>
                <w:b/>
                <w:bCs w:val="0"/>
              </w:rPr>
              <w:t>0.34</w:t>
            </w:r>
          </w:p>
          <w:p w14:paraId="3B82732C" w14:textId="77777777" w:rsidR="00091D2A" w:rsidRPr="00552B0C" w:rsidRDefault="00091D2A">
            <w:pPr>
              <w:pStyle w:val="TableText0"/>
              <w:jc w:val="center"/>
              <w:rPr>
                <w:b/>
                <w:bCs w:val="0"/>
              </w:rPr>
            </w:pPr>
            <w:r w:rsidRPr="00552B0C">
              <w:rPr>
                <w:b/>
                <w:bCs w:val="0"/>
              </w:rPr>
              <w:t>[0.14, 0.85]</w:t>
            </w:r>
          </w:p>
        </w:tc>
        <w:tc>
          <w:tcPr>
            <w:tcW w:w="1473" w:type="dxa"/>
            <w:shd w:val="clear" w:color="auto" w:fill="B8CCE4" w:themeFill="accent1" w:themeFillTint="66"/>
          </w:tcPr>
          <w:p w14:paraId="16892498" w14:textId="77777777" w:rsidR="00091D2A" w:rsidRPr="00552B0C" w:rsidRDefault="00091D2A">
            <w:pPr>
              <w:pStyle w:val="TableText0"/>
              <w:jc w:val="center"/>
              <w:rPr>
                <w:b/>
                <w:bCs w:val="0"/>
              </w:rPr>
            </w:pPr>
            <w:r w:rsidRPr="00552B0C">
              <w:rPr>
                <w:b/>
                <w:bCs w:val="0"/>
              </w:rPr>
              <w:t>-0.03</w:t>
            </w:r>
          </w:p>
          <w:p w14:paraId="264DAB3E" w14:textId="77777777" w:rsidR="00091D2A" w:rsidRPr="00552B0C" w:rsidRDefault="00091D2A">
            <w:pPr>
              <w:pStyle w:val="TableText0"/>
              <w:jc w:val="center"/>
              <w:rPr>
                <w:b/>
                <w:bCs w:val="0"/>
              </w:rPr>
            </w:pPr>
            <w:r w:rsidRPr="00552B0C">
              <w:rPr>
                <w:b/>
                <w:bCs w:val="0"/>
              </w:rPr>
              <w:t>[-0.06, -0.01]</w:t>
            </w:r>
          </w:p>
        </w:tc>
      </w:tr>
      <w:tr w:rsidR="00091D2A" w:rsidRPr="00552B0C" w14:paraId="0A757256" w14:textId="77777777">
        <w:trPr>
          <w:trHeight w:val="199"/>
        </w:trPr>
        <w:tc>
          <w:tcPr>
            <w:tcW w:w="9017" w:type="dxa"/>
            <w:gridSpan w:val="6"/>
            <w:shd w:val="clear" w:color="auto" w:fill="B8CCE4" w:themeFill="accent1" w:themeFillTint="66"/>
          </w:tcPr>
          <w:p w14:paraId="3AAC98FA" w14:textId="77777777" w:rsidR="00091D2A" w:rsidRPr="00552B0C" w:rsidRDefault="00091D2A">
            <w:pPr>
              <w:pStyle w:val="In-tableHeading"/>
            </w:pPr>
            <w:r w:rsidRPr="00552B0C">
              <w:t>Metabolism and nutrition disorders</w:t>
            </w:r>
          </w:p>
        </w:tc>
      </w:tr>
      <w:tr w:rsidR="00091D2A" w:rsidRPr="00552B0C" w14:paraId="1C494533" w14:textId="77777777">
        <w:trPr>
          <w:trHeight w:val="189"/>
        </w:trPr>
        <w:tc>
          <w:tcPr>
            <w:tcW w:w="2188" w:type="dxa"/>
            <w:shd w:val="clear" w:color="auto" w:fill="B8CCE4" w:themeFill="accent1" w:themeFillTint="66"/>
          </w:tcPr>
          <w:p w14:paraId="56AFF39B" w14:textId="77777777" w:rsidR="00091D2A" w:rsidRPr="00552B0C" w:rsidRDefault="00091D2A">
            <w:pPr>
              <w:pStyle w:val="TableText0"/>
            </w:pPr>
            <w:r w:rsidRPr="00552B0C">
              <w:t>Decreased appetite</w:t>
            </w:r>
          </w:p>
        </w:tc>
        <w:tc>
          <w:tcPr>
            <w:tcW w:w="1472" w:type="dxa"/>
            <w:shd w:val="clear" w:color="auto" w:fill="B8CCE4" w:themeFill="accent1" w:themeFillTint="66"/>
          </w:tcPr>
          <w:p w14:paraId="37215B26" w14:textId="77777777" w:rsidR="00091D2A" w:rsidRPr="00552B0C" w:rsidRDefault="00091D2A">
            <w:pPr>
              <w:pStyle w:val="TableText0"/>
              <w:jc w:val="center"/>
            </w:pPr>
            <w:r w:rsidRPr="00552B0C">
              <w:t>24/370</w:t>
            </w:r>
          </w:p>
          <w:p w14:paraId="15B2927B" w14:textId="77777777" w:rsidR="00091D2A" w:rsidRPr="00552B0C" w:rsidRDefault="00091D2A">
            <w:pPr>
              <w:pStyle w:val="TableText0"/>
              <w:jc w:val="center"/>
            </w:pPr>
            <w:r w:rsidRPr="00552B0C">
              <w:t>(6.49%)</w:t>
            </w:r>
          </w:p>
        </w:tc>
        <w:tc>
          <w:tcPr>
            <w:tcW w:w="1470" w:type="dxa"/>
            <w:shd w:val="clear" w:color="auto" w:fill="B8CCE4" w:themeFill="accent1" w:themeFillTint="66"/>
          </w:tcPr>
          <w:p w14:paraId="7EAA2BB5" w14:textId="77777777" w:rsidR="00091D2A" w:rsidRPr="00552B0C" w:rsidRDefault="00091D2A">
            <w:pPr>
              <w:pStyle w:val="TableText0"/>
              <w:jc w:val="center"/>
            </w:pPr>
            <w:r w:rsidRPr="00552B0C">
              <w:t>2/379</w:t>
            </w:r>
          </w:p>
          <w:p w14:paraId="615BB357" w14:textId="77777777" w:rsidR="00091D2A" w:rsidRPr="00552B0C" w:rsidRDefault="00091D2A">
            <w:pPr>
              <w:pStyle w:val="TableText0"/>
              <w:jc w:val="center"/>
            </w:pPr>
            <w:r w:rsidRPr="00552B0C">
              <w:t>(0.53%)</w:t>
            </w:r>
          </w:p>
        </w:tc>
        <w:tc>
          <w:tcPr>
            <w:tcW w:w="1207" w:type="dxa"/>
            <w:shd w:val="clear" w:color="auto" w:fill="B8CCE4" w:themeFill="accent1" w:themeFillTint="66"/>
          </w:tcPr>
          <w:p w14:paraId="15FC02B9" w14:textId="77777777" w:rsidR="00091D2A" w:rsidRPr="00552B0C" w:rsidRDefault="00091D2A">
            <w:pPr>
              <w:pStyle w:val="TableText0"/>
              <w:jc w:val="center"/>
              <w:rPr>
                <w:b/>
                <w:bCs w:val="0"/>
              </w:rPr>
            </w:pPr>
            <w:r w:rsidRPr="00552B0C">
              <w:rPr>
                <w:b/>
                <w:bCs w:val="0"/>
              </w:rPr>
              <w:t>13.08</w:t>
            </w:r>
          </w:p>
          <w:p w14:paraId="00013F30" w14:textId="77777777" w:rsidR="00091D2A" w:rsidRPr="00552B0C" w:rsidRDefault="00091D2A">
            <w:pPr>
              <w:pStyle w:val="TableText0"/>
              <w:jc w:val="center"/>
              <w:rPr>
                <w:b/>
                <w:bCs w:val="0"/>
              </w:rPr>
            </w:pPr>
            <w:r w:rsidRPr="00552B0C">
              <w:rPr>
                <w:b/>
                <w:bCs w:val="0"/>
              </w:rPr>
              <w:t>[3.07, 55.73]</w:t>
            </w:r>
          </w:p>
        </w:tc>
        <w:tc>
          <w:tcPr>
            <w:tcW w:w="1207" w:type="dxa"/>
            <w:shd w:val="clear" w:color="auto" w:fill="B8CCE4" w:themeFill="accent1" w:themeFillTint="66"/>
          </w:tcPr>
          <w:p w14:paraId="4AE1CEF5" w14:textId="77777777" w:rsidR="00091D2A" w:rsidRPr="00552B0C" w:rsidRDefault="00091D2A">
            <w:pPr>
              <w:pStyle w:val="TableText0"/>
              <w:jc w:val="center"/>
              <w:rPr>
                <w:b/>
                <w:bCs w:val="0"/>
              </w:rPr>
            </w:pPr>
            <w:r w:rsidRPr="00552B0C">
              <w:rPr>
                <w:b/>
                <w:bCs w:val="0"/>
              </w:rPr>
              <w:t>12.29</w:t>
            </w:r>
          </w:p>
          <w:p w14:paraId="53CD6186" w14:textId="77777777" w:rsidR="00091D2A" w:rsidRPr="00552B0C" w:rsidRDefault="00091D2A">
            <w:pPr>
              <w:pStyle w:val="TableText0"/>
              <w:jc w:val="center"/>
              <w:rPr>
                <w:b/>
                <w:bCs w:val="0"/>
              </w:rPr>
            </w:pPr>
            <w:r w:rsidRPr="00552B0C">
              <w:rPr>
                <w:b/>
                <w:bCs w:val="0"/>
              </w:rPr>
              <w:t>[2.93, 51.64]</w:t>
            </w:r>
          </w:p>
        </w:tc>
        <w:tc>
          <w:tcPr>
            <w:tcW w:w="1473" w:type="dxa"/>
            <w:shd w:val="clear" w:color="auto" w:fill="B8CCE4" w:themeFill="accent1" w:themeFillTint="66"/>
          </w:tcPr>
          <w:p w14:paraId="09233530" w14:textId="77777777" w:rsidR="00091D2A" w:rsidRPr="00552B0C" w:rsidRDefault="00091D2A">
            <w:pPr>
              <w:pStyle w:val="TableText0"/>
              <w:jc w:val="center"/>
              <w:rPr>
                <w:b/>
                <w:bCs w:val="0"/>
              </w:rPr>
            </w:pPr>
            <w:r w:rsidRPr="00552B0C">
              <w:rPr>
                <w:b/>
                <w:bCs w:val="0"/>
              </w:rPr>
              <w:t>0.06</w:t>
            </w:r>
          </w:p>
          <w:p w14:paraId="26BC2E4F" w14:textId="77777777" w:rsidR="00091D2A" w:rsidRPr="00552B0C" w:rsidRDefault="00091D2A">
            <w:pPr>
              <w:pStyle w:val="TableText0"/>
              <w:jc w:val="center"/>
              <w:rPr>
                <w:b/>
                <w:bCs w:val="0"/>
              </w:rPr>
            </w:pPr>
            <w:r w:rsidRPr="00552B0C">
              <w:rPr>
                <w:b/>
                <w:bCs w:val="0"/>
              </w:rPr>
              <w:t>[0.03, 0.09]</w:t>
            </w:r>
          </w:p>
        </w:tc>
      </w:tr>
      <w:tr w:rsidR="00091D2A" w:rsidRPr="00552B0C" w14:paraId="5C3BE05C" w14:textId="77777777">
        <w:trPr>
          <w:trHeight w:val="199"/>
        </w:trPr>
        <w:tc>
          <w:tcPr>
            <w:tcW w:w="2188" w:type="dxa"/>
            <w:shd w:val="clear" w:color="auto" w:fill="B8CCE4" w:themeFill="accent1" w:themeFillTint="66"/>
          </w:tcPr>
          <w:p w14:paraId="41F0675B" w14:textId="77777777" w:rsidR="00091D2A" w:rsidRPr="00552B0C" w:rsidRDefault="00091D2A">
            <w:pPr>
              <w:pStyle w:val="TableText0"/>
            </w:pPr>
            <w:r w:rsidRPr="00552B0C">
              <w:t>Hypokalaemia</w:t>
            </w:r>
          </w:p>
        </w:tc>
        <w:tc>
          <w:tcPr>
            <w:tcW w:w="1472" w:type="dxa"/>
            <w:shd w:val="clear" w:color="auto" w:fill="B8CCE4" w:themeFill="accent1" w:themeFillTint="66"/>
          </w:tcPr>
          <w:p w14:paraId="3EB9DFE1" w14:textId="77777777" w:rsidR="00091D2A" w:rsidRPr="00552B0C" w:rsidRDefault="00091D2A">
            <w:pPr>
              <w:pStyle w:val="TableText0"/>
              <w:jc w:val="center"/>
            </w:pPr>
            <w:r w:rsidRPr="00552B0C">
              <w:t>27/370</w:t>
            </w:r>
          </w:p>
          <w:p w14:paraId="7BCEA210" w14:textId="77777777" w:rsidR="00091D2A" w:rsidRPr="00552B0C" w:rsidRDefault="00091D2A">
            <w:pPr>
              <w:pStyle w:val="TableText0"/>
              <w:jc w:val="center"/>
            </w:pPr>
            <w:r w:rsidRPr="00552B0C">
              <w:t>(7.30%)</w:t>
            </w:r>
          </w:p>
        </w:tc>
        <w:tc>
          <w:tcPr>
            <w:tcW w:w="1470" w:type="dxa"/>
            <w:shd w:val="clear" w:color="auto" w:fill="B8CCE4" w:themeFill="accent1" w:themeFillTint="66"/>
          </w:tcPr>
          <w:p w14:paraId="412C2C29" w14:textId="77777777" w:rsidR="00091D2A" w:rsidRPr="00552B0C" w:rsidRDefault="00091D2A">
            <w:pPr>
              <w:pStyle w:val="TableText0"/>
              <w:jc w:val="center"/>
            </w:pPr>
            <w:r w:rsidRPr="00552B0C">
              <w:t>6/379</w:t>
            </w:r>
          </w:p>
          <w:p w14:paraId="56A6ED8C" w14:textId="77777777" w:rsidR="00091D2A" w:rsidRPr="00552B0C" w:rsidRDefault="00091D2A">
            <w:pPr>
              <w:pStyle w:val="TableText0"/>
              <w:jc w:val="center"/>
            </w:pPr>
            <w:r w:rsidRPr="00552B0C">
              <w:t>(1.58%)</w:t>
            </w:r>
          </w:p>
        </w:tc>
        <w:tc>
          <w:tcPr>
            <w:tcW w:w="1207" w:type="dxa"/>
            <w:shd w:val="clear" w:color="auto" w:fill="B8CCE4" w:themeFill="accent1" w:themeFillTint="66"/>
          </w:tcPr>
          <w:p w14:paraId="5CF3E6BB" w14:textId="77777777" w:rsidR="00091D2A" w:rsidRPr="00552B0C" w:rsidRDefault="00091D2A">
            <w:pPr>
              <w:pStyle w:val="TableText0"/>
              <w:jc w:val="center"/>
              <w:rPr>
                <w:b/>
                <w:bCs w:val="0"/>
              </w:rPr>
            </w:pPr>
            <w:r w:rsidRPr="00552B0C">
              <w:rPr>
                <w:b/>
                <w:bCs w:val="0"/>
              </w:rPr>
              <w:t>4.89</w:t>
            </w:r>
          </w:p>
          <w:p w14:paraId="13E769BB" w14:textId="77777777" w:rsidR="00091D2A" w:rsidRPr="00552B0C" w:rsidRDefault="00091D2A">
            <w:pPr>
              <w:pStyle w:val="TableText0"/>
              <w:jc w:val="center"/>
              <w:rPr>
                <w:b/>
                <w:bCs w:val="0"/>
              </w:rPr>
            </w:pPr>
            <w:r w:rsidRPr="00552B0C">
              <w:rPr>
                <w:b/>
                <w:bCs w:val="0"/>
              </w:rPr>
              <w:t>[2.00, 12.00]</w:t>
            </w:r>
          </w:p>
        </w:tc>
        <w:tc>
          <w:tcPr>
            <w:tcW w:w="1207" w:type="dxa"/>
            <w:shd w:val="clear" w:color="auto" w:fill="B8CCE4" w:themeFill="accent1" w:themeFillTint="66"/>
          </w:tcPr>
          <w:p w14:paraId="2FCFDD96" w14:textId="77777777" w:rsidR="00091D2A" w:rsidRPr="00552B0C" w:rsidRDefault="00091D2A">
            <w:pPr>
              <w:pStyle w:val="TableText0"/>
              <w:jc w:val="center"/>
              <w:rPr>
                <w:b/>
                <w:bCs w:val="0"/>
              </w:rPr>
            </w:pPr>
            <w:r w:rsidRPr="00552B0C">
              <w:rPr>
                <w:b/>
                <w:bCs w:val="0"/>
              </w:rPr>
              <w:t>4.61</w:t>
            </w:r>
          </w:p>
          <w:p w14:paraId="5474953D" w14:textId="77777777" w:rsidR="00091D2A" w:rsidRPr="00552B0C" w:rsidRDefault="00091D2A">
            <w:pPr>
              <w:pStyle w:val="TableText0"/>
              <w:jc w:val="center"/>
              <w:rPr>
                <w:b/>
                <w:bCs w:val="0"/>
              </w:rPr>
            </w:pPr>
            <w:r w:rsidRPr="00552B0C">
              <w:rPr>
                <w:b/>
                <w:bCs w:val="0"/>
              </w:rPr>
              <w:t>[1.93, 11.03]</w:t>
            </w:r>
          </w:p>
        </w:tc>
        <w:tc>
          <w:tcPr>
            <w:tcW w:w="1473" w:type="dxa"/>
            <w:shd w:val="clear" w:color="auto" w:fill="B8CCE4" w:themeFill="accent1" w:themeFillTint="66"/>
          </w:tcPr>
          <w:p w14:paraId="178E2585" w14:textId="77777777" w:rsidR="00091D2A" w:rsidRPr="00552B0C" w:rsidRDefault="00091D2A">
            <w:pPr>
              <w:pStyle w:val="TableText0"/>
              <w:jc w:val="center"/>
              <w:rPr>
                <w:b/>
                <w:bCs w:val="0"/>
              </w:rPr>
            </w:pPr>
            <w:r w:rsidRPr="00552B0C">
              <w:rPr>
                <w:b/>
                <w:bCs w:val="0"/>
              </w:rPr>
              <w:t>0.06</w:t>
            </w:r>
          </w:p>
          <w:p w14:paraId="4342296C" w14:textId="77777777" w:rsidR="00091D2A" w:rsidRPr="00552B0C" w:rsidRDefault="00091D2A">
            <w:pPr>
              <w:pStyle w:val="TableText0"/>
              <w:jc w:val="center"/>
              <w:rPr>
                <w:b/>
                <w:bCs w:val="0"/>
              </w:rPr>
            </w:pPr>
            <w:r w:rsidRPr="00552B0C">
              <w:rPr>
                <w:b/>
                <w:bCs w:val="0"/>
              </w:rPr>
              <w:t>[0.03, 0.09]</w:t>
            </w:r>
          </w:p>
        </w:tc>
      </w:tr>
    </w:tbl>
    <w:p w14:paraId="001B183F" w14:textId="77777777" w:rsidR="00091D2A" w:rsidRPr="00552B0C" w:rsidRDefault="00091D2A" w:rsidP="00091D2A">
      <w:pPr>
        <w:pStyle w:val="FooterTableFigure"/>
      </w:pPr>
      <w:r w:rsidRPr="00552B0C">
        <w:t>Source: Table 37, p87-88 of March 2024 submission.</w:t>
      </w:r>
    </w:p>
    <w:p w14:paraId="2A7DCECD" w14:textId="77777777" w:rsidR="00091D2A" w:rsidRPr="00552B0C" w:rsidRDefault="00091D2A" w:rsidP="00091D2A">
      <w:pPr>
        <w:pStyle w:val="FooterTableFigure"/>
      </w:pPr>
      <w:r w:rsidRPr="00552B0C">
        <w:t>Abbreviations; AE, adverse event; CI, confidence interval; Gem+NabP, gemcitabine plus nanoparticle albumin-bound paclitaxel; NALIRIFOX, 5-fluorouracil, leucovorin/folinic acid, nanoliposomal irinotecan (nal-IRI), and oxaliplatin; OR, odds ratio; RD, risk difference; RR, relative risk; TEAE, treatment emergent adverse event, WBC, white blood cell.</w:t>
      </w:r>
    </w:p>
    <w:p w14:paraId="377364DE" w14:textId="77777777" w:rsidR="00091D2A" w:rsidRPr="00552B0C" w:rsidRDefault="00091D2A" w:rsidP="00091D2A">
      <w:pPr>
        <w:pStyle w:val="FooterTableFigure"/>
      </w:pPr>
      <w:r w:rsidRPr="00552B0C">
        <w:t xml:space="preserve">Note: Results in </w:t>
      </w:r>
      <w:r w:rsidRPr="00552B0C">
        <w:rPr>
          <w:b/>
          <w:bCs/>
        </w:rPr>
        <w:t>bold</w:t>
      </w:r>
      <w:r w:rsidRPr="00552B0C">
        <w:t xml:space="preserve"> indicate statistically significant difference (p &lt; 0.05) based on post hoc analyses.</w:t>
      </w:r>
    </w:p>
    <w:p w14:paraId="60F16B11" w14:textId="013B7C31" w:rsidR="00091D2A" w:rsidRPr="00552B0C" w:rsidRDefault="00091D2A" w:rsidP="00091D2A">
      <w:pPr>
        <w:pStyle w:val="FooterTableFigure"/>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w:t>
      </w:r>
    </w:p>
    <w:p w14:paraId="28A563E3" w14:textId="77777777" w:rsidR="00091D2A" w:rsidRPr="00552B0C" w:rsidRDefault="00091D2A" w:rsidP="00552B0C">
      <w:pPr>
        <w:pStyle w:val="3-BodyText"/>
        <w:numPr>
          <w:ilvl w:val="1"/>
          <w:numId w:val="5"/>
        </w:numPr>
      </w:pPr>
      <w:bookmarkStart w:id="64" w:name="_Ref176370151"/>
      <w:r w:rsidRPr="00552B0C">
        <w:t>At March 2024 meeting, the PBAC considered that the claim of non-inferior comparative safety of NALIRIFOX versus Gem+NabP was not adequately supported by the data, due to increased rates of drug related serious adverse events, as well as all-</w:t>
      </w:r>
      <w:r w:rsidRPr="00552B0C">
        <w:lastRenderedPageBreak/>
        <w:t>cause and drug-related TEAEs leading to interruption of treatment, for NALIRIFOX patients in NAPOLI-3 compared with Gem+NabP (para 7.9, irinotecan (nanoliposomal), PSD, March 2024 PBAC meeting). The PBAC also noted that the safety profiles of NALIRIFOX and Gem+NabP were different. The PBAC considered that higher rates of gastrointestinal toxicities such as diarrhoea and nausea with NALIRIFOX would be significant for patients and impact quality of life (para 7.9, irinotecan (nanoliposomal), PSD, March 2024 PBAC meeting).</w:t>
      </w:r>
      <w:bookmarkEnd w:id="64"/>
    </w:p>
    <w:p w14:paraId="7C500851" w14:textId="615F8DAC" w:rsidR="00755116" w:rsidRPr="00552B0C" w:rsidRDefault="00091D2A">
      <w:pPr>
        <w:pStyle w:val="3-BodyText"/>
      </w:pPr>
      <w:r w:rsidRPr="00552B0C">
        <w:t>The resubmission acknowledged that the safety profiles of the two regime</w:t>
      </w:r>
      <w:r w:rsidR="00714F6D" w:rsidRPr="00552B0C">
        <w:t>n</w:t>
      </w:r>
      <w:r w:rsidRPr="00552B0C">
        <w:t xml:space="preserve">s are different and that there is a higher risk of gastrointestinal disorders, asthenia, and hypokalaemia but also a lower risk of haematologic toxicity in the NALIRIFOX arm compared to the Gem+NabP arm. The resubmission stated that gastrointestinal toxicity can impact quality of life, hydration and nutritional status, and haematologic toxicity often represent treatment-limiting adverse events and can lead to infections, fatigue and bleeding issues. The resubmission </w:t>
      </w:r>
      <w:r w:rsidR="71297CE8" w:rsidRPr="00552B0C">
        <w:t>argued</w:t>
      </w:r>
      <w:r w:rsidRPr="00552B0C">
        <w:t xml:space="preserve"> that, in clinical practice, individual patient factors will determine which toxicity profile is likely to be most problematic for a patient.</w:t>
      </w:r>
      <w:r w:rsidR="008D0998">
        <w:t xml:space="preserve"> </w:t>
      </w:r>
      <w:r w:rsidR="00755116" w:rsidRPr="00552B0C">
        <w:t>The PSCR suggested that NALIRIFOX may be preferred in patients who have a history of, or may be predisposed to, myelosuppression or peripheral neuropathy; and in patients who have received prior gemcitabine or radiation therapy.</w:t>
      </w:r>
    </w:p>
    <w:p w14:paraId="4EDA1BF8" w14:textId="49CEC497" w:rsidR="00091D2A" w:rsidRPr="00552B0C" w:rsidRDefault="00091D2A" w:rsidP="00552B0C">
      <w:pPr>
        <w:pStyle w:val="3-BodyText"/>
        <w:numPr>
          <w:ilvl w:val="1"/>
          <w:numId w:val="5"/>
        </w:numPr>
      </w:pPr>
      <w:r w:rsidRPr="00552B0C">
        <w:t xml:space="preserve">Thus, the resubmission claimed that NALIRIFOX and Gem+NabP have different safety profiles but that, overall, it cannot be concluded that one safety profile is superior or inferior to the other. No additional safety data was presented in the resubmission to </w:t>
      </w:r>
      <w:r w:rsidR="002F7293" w:rsidRPr="00552B0C">
        <w:t>further</w:t>
      </w:r>
      <w:r w:rsidRPr="00552B0C">
        <w:t xml:space="preserve"> support the safety claim. Previous concerns and limitations to safety data raised in the March 2024 PBAC meeting (see paragraph </w:t>
      </w:r>
      <w:r w:rsidRPr="00552B0C">
        <w:fldChar w:fldCharType="begin" w:fldLock="1"/>
      </w:r>
      <w:r w:rsidRPr="00552B0C">
        <w:instrText xml:space="preserve"> REF _Ref176370151 \r \h </w:instrText>
      </w:r>
      <w:r w:rsidR="00B87FAE" w:rsidRPr="00552B0C">
        <w:instrText xml:space="preserve"> \* MERGEFORMAT </w:instrText>
      </w:r>
      <w:r w:rsidRPr="00552B0C">
        <w:fldChar w:fldCharType="separate"/>
      </w:r>
      <w:r w:rsidR="001C19B6">
        <w:t>6.44</w:t>
      </w:r>
      <w:r w:rsidRPr="00552B0C">
        <w:fldChar w:fldCharType="end"/>
      </w:r>
      <w:r w:rsidRPr="00552B0C">
        <w:t>) remain.</w:t>
      </w:r>
      <w:r w:rsidR="008D0CB9" w:rsidRPr="00552B0C">
        <w:t xml:space="preserve"> </w:t>
      </w:r>
    </w:p>
    <w:p w14:paraId="081C377D" w14:textId="531195A6" w:rsidR="008D0CB9" w:rsidRPr="00552B0C" w:rsidRDefault="008D0CB9" w:rsidP="00552B0C">
      <w:pPr>
        <w:pStyle w:val="3-BodyText"/>
        <w:numPr>
          <w:ilvl w:val="1"/>
          <w:numId w:val="5"/>
        </w:numPr>
      </w:pPr>
      <w:bookmarkStart w:id="65" w:name="_Ref183597054"/>
      <w:r w:rsidRPr="00552B0C">
        <w:t xml:space="preserve">The PSCR reiterated the PBAC has previously acknowledged the safety profiles of the two regimens are different, and there is a higher risk of gastrointestinal disorders, asthenia, and hypokalaemia associated with NALIRIFOX but lower risk of haematologic toxicity and potentially neuropathy compared to Gem+NabP. The PSCR also argued the determination as to which AE profile will be better or worse tolerated for an individual patient is made on a case by case basis in clinical practice. The ESC acknowledged these decisions are made individually, however agreed with the evaluation and considered that in practice, gastrointestinal disorders tended to be the </w:t>
      </w:r>
      <w:bookmarkStart w:id="66" w:name="_Hlk184144715"/>
      <w:r w:rsidRPr="00552B0C">
        <w:t>types of events most likely to lead to hospitalisation</w:t>
      </w:r>
      <w:bookmarkEnd w:id="66"/>
      <w:r w:rsidRPr="00552B0C">
        <w:t>, with associated impacts on quality of life.</w:t>
      </w:r>
      <w:bookmarkEnd w:id="65"/>
    </w:p>
    <w:p w14:paraId="206FC84C" w14:textId="77777777" w:rsidR="00091D2A" w:rsidRPr="00552B0C" w:rsidRDefault="00091D2A" w:rsidP="00091D2A">
      <w:pPr>
        <w:pStyle w:val="5-SubsectionSubheading"/>
        <w:rPr>
          <w:b w:val="0"/>
        </w:rPr>
      </w:pPr>
      <w:bookmarkStart w:id="67" w:name="_Toc177546226"/>
      <w:r w:rsidRPr="00552B0C">
        <w:t>NALIRIFOX versus FOLFIRINOX</w:t>
      </w:r>
      <w:bookmarkEnd w:id="67"/>
    </w:p>
    <w:p w14:paraId="3C9DE10D" w14:textId="795D16D0" w:rsidR="00091D2A" w:rsidRPr="00DF6A0B" w:rsidRDefault="00091D2A" w:rsidP="00DF6A0B">
      <w:pPr>
        <w:pStyle w:val="3-BodyText"/>
        <w:numPr>
          <w:ilvl w:val="1"/>
          <w:numId w:val="5"/>
        </w:numPr>
      </w:pPr>
      <w:r w:rsidRPr="00552B0C">
        <w:fldChar w:fldCharType="begin" w:fldLock="1"/>
      </w:r>
      <w:r w:rsidRPr="00552B0C">
        <w:instrText xml:space="preserve"> REF _Ref176369727 \h </w:instrText>
      </w:r>
      <w:r w:rsidR="00B87FAE" w:rsidRPr="00552B0C">
        <w:instrText xml:space="preserve"> \* MERGEFORMAT </w:instrText>
      </w:r>
      <w:r w:rsidRPr="00552B0C">
        <w:fldChar w:fldCharType="separate"/>
      </w:r>
      <w:r w:rsidR="001C19B6" w:rsidRPr="00552B0C">
        <w:t xml:space="preserve">Table </w:t>
      </w:r>
      <w:r w:rsidR="001C19B6">
        <w:rPr>
          <w:noProof/>
        </w:rPr>
        <w:t>12</w:t>
      </w:r>
      <w:r w:rsidRPr="00552B0C">
        <w:fldChar w:fldCharType="end"/>
      </w:r>
      <w:r w:rsidRPr="00552B0C">
        <w:t xml:space="preserve"> presents an ITC of the incidence of Grade ≥3 AEs reported in the GENERATE and NAPOLI-3 trials which was newly presented in the resubmission. </w:t>
      </w:r>
    </w:p>
    <w:p w14:paraId="0FCF958E" w14:textId="4CC45BB8" w:rsidR="00091D2A" w:rsidRPr="00552B0C" w:rsidRDefault="00091D2A" w:rsidP="00B11CEB">
      <w:pPr>
        <w:pStyle w:val="Caption"/>
      </w:pPr>
      <w:bookmarkStart w:id="68" w:name="_Ref176369727"/>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12</w:t>
      </w:r>
      <w:r w:rsidR="001C19B6">
        <w:rPr>
          <w:noProof/>
        </w:rPr>
        <w:fldChar w:fldCharType="end"/>
      </w:r>
      <w:bookmarkEnd w:id="68"/>
      <w:r w:rsidRPr="00552B0C">
        <w:t>: ITC of incidence of Grade ≥3 AEs reported in the GENERATE and NAPOLI-3 trials</w:t>
      </w:r>
    </w:p>
    <w:tbl>
      <w:tblPr>
        <w:tblStyle w:val="TableGrid"/>
        <w:tblW w:w="5000" w:type="pct"/>
        <w:shd w:val="clear" w:color="auto" w:fill="FFFFFF" w:themeFill="background1"/>
        <w:tblCellMar>
          <w:left w:w="28" w:type="dxa"/>
          <w:right w:w="28" w:type="dxa"/>
        </w:tblCellMar>
        <w:tblLook w:val="04A0" w:firstRow="1" w:lastRow="0" w:firstColumn="1" w:lastColumn="0" w:noHBand="0" w:noVBand="1"/>
        <w:tblCaption w:val="Table 12: ITC of incidence of Grade ≥3 AEs reported in the GENERATE and NAPOLI-3 trials"/>
      </w:tblPr>
      <w:tblGrid>
        <w:gridCol w:w="1481"/>
        <w:gridCol w:w="1075"/>
        <w:gridCol w:w="1075"/>
        <w:gridCol w:w="940"/>
        <w:gridCol w:w="1195"/>
        <w:gridCol w:w="977"/>
        <w:gridCol w:w="1061"/>
        <w:gridCol w:w="1213"/>
      </w:tblGrid>
      <w:tr w:rsidR="00091D2A" w:rsidRPr="00552B0C" w14:paraId="7BA76FE3" w14:textId="77777777">
        <w:trPr>
          <w:cantSplit/>
        </w:trPr>
        <w:tc>
          <w:tcPr>
            <w:tcW w:w="831" w:type="pct"/>
            <w:vMerge w:val="restart"/>
            <w:shd w:val="clear" w:color="auto" w:fill="FFFFFF" w:themeFill="background1"/>
            <w:vAlign w:val="center"/>
          </w:tcPr>
          <w:p w14:paraId="29A9164B" w14:textId="77777777" w:rsidR="00091D2A" w:rsidRPr="00552B0C" w:rsidRDefault="00091D2A" w:rsidP="00B11CEB">
            <w:pPr>
              <w:pStyle w:val="In-tableHeading"/>
              <w:keepLines/>
            </w:pPr>
            <w:r w:rsidRPr="00552B0C">
              <w:t>Adverse event</w:t>
            </w:r>
          </w:p>
        </w:tc>
        <w:tc>
          <w:tcPr>
            <w:tcW w:w="1743" w:type="pct"/>
            <w:gridSpan w:val="3"/>
            <w:shd w:val="clear" w:color="auto" w:fill="FFFFFF" w:themeFill="background1"/>
          </w:tcPr>
          <w:p w14:paraId="56C90D71" w14:textId="77777777" w:rsidR="00091D2A" w:rsidRPr="00552B0C" w:rsidRDefault="00091D2A" w:rsidP="00B11CEB">
            <w:pPr>
              <w:pStyle w:val="In-tableHeading"/>
              <w:keepLines/>
              <w:jc w:val="center"/>
            </w:pPr>
            <w:r w:rsidRPr="00552B0C">
              <w:t>NAPOLI-3</w:t>
            </w:r>
          </w:p>
        </w:tc>
        <w:tc>
          <w:tcPr>
            <w:tcW w:w="1744" w:type="pct"/>
            <w:gridSpan w:val="3"/>
            <w:shd w:val="clear" w:color="auto" w:fill="FFFFFF" w:themeFill="background1"/>
          </w:tcPr>
          <w:p w14:paraId="7A158BDA" w14:textId="77777777" w:rsidR="00091D2A" w:rsidRPr="00552B0C" w:rsidRDefault="00091D2A" w:rsidP="00B11CEB">
            <w:pPr>
              <w:pStyle w:val="In-tableHeading"/>
              <w:keepLines/>
              <w:jc w:val="center"/>
            </w:pPr>
            <w:r w:rsidRPr="00552B0C">
              <w:t>GENERATE</w:t>
            </w:r>
          </w:p>
        </w:tc>
        <w:tc>
          <w:tcPr>
            <w:tcW w:w="682" w:type="pct"/>
            <w:vMerge w:val="restart"/>
            <w:shd w:val="clear" w:color="auto" w:fill="FFFFFF" w:themeFill="background1"/>
          </w:tcPr>
          <w:p w14:paraId="27A3284D" w14:textId="72B0FEA0" w:rsidR="00091D2A" w:rsidRPr="00552B0C" w:rsidRDefault="00091D2A" w:rsidP="00B11CEB">
            <w:pPr>
              <w:pStyle w:val="In-tableHeading"/>
              <w:keepLines/>
              <w:jc w:val="center"/>
            </w:pPr>
            <w:r w:rsidRPr="00552B0C">
              <w:t xml:space="preserve">NALIRIFOX vs </w:t>
            </w:r>
            <w:r w:rsidR="002F7293" w:rsidRPr="00552B0C">
              <w:t>m</w:t>
            </w:r>
            <w:r w:rsidRPr="00552B0C">
              <w:t>FOLFIRINOX</w:t>
            </w:r>
          </w:p>
          <w:p w14:paraId="394DE06C" w14:textId="77777777" w:rsidR="00091D2A" w:rsidRPr="00552B0C" w:rsidRDefault="00091D2A" w:rsidP="00B11CEB">
            <w:pPr>
              <w:pStyle w:val="In-tableHeading"/>
              <w:keepLines/>
              <w:jc w:val="center"/>
            </w:pPr>
            <w:r w:rsidRPr="00552B0C">
              <w:t>(95% CI)</w:t>
            </w:r>
          </w:p>
        </w:tc>
      </w:tr>
      <w:tr w:rsidR="00091D2A" w:rsidRPr="00552B0C" w14:paraId="14BB58AC" w14:textId="77777777">
        <w:trPr>
          <w:cantSplit/>
        </w:trPr>
        <w:tc>
          <w:tcPr>
            <w:tcW w:w="831" w:type="pct"/>
            <w:vMerge/>
            <w:shd w:val="clear" w:color="auto" w:fill="FFFFFF" w:themeFill="background1"/>
            <w:vAlign w:val="center"/>
          </w:tcPr>
          <w:p w14:paraId="617C63CE" w14:textId="77777777" w:rsidR="00091D2A" w:rsidRPr="00552B0C" w:rsidRDefault="00091D2A" w:rsidP="00B11CEB">
            <w:pPr>
              <w:pStyle w:val="Tabletext"/>
              <w:keepNext/>
              <w:keepLines/>
            </w:pPr>
          </w:p>
        </w:tc>
        <w:tc>
          <w:tcPr>
            <w:tcW w:w="606" w:type="pct"/>
            <w:shd w:val="clear" w:color="auto" w:fill="FFFFFF" w:themeFill="background1"/>
          </w:tcPr>
          <w:p w14:paraId="7C0DB7EA" w14:textId="77777777" w:rsidR="00091D2A" w:rsidRPr="00552B0C" w:rsidRDefault="00091D2A" w:rsidP="00B11CEB">
            <w:pPr>
              <w:pStyle w:val="In-tableHeading"/>
              <w:keepLines/>
              <w:jc w:val="center"/>
            </w:pPr>
            <w:r w:rsidRPr="00552B0C">
              <w:t>NALIRIFOX</w:t>
            </w:r>
          </w:p>
          <w:p w14:paraId="3555834B" w14:textId="77777777" w:rsidR="00091D2A" w:rsidRPr="00552B0C" w:rsidRDefault="00091D2A" w:rsidP="00B11CEB">
            <w:pPr>
              <w:pStyle w:val="In-tableHeading"/>
              <w:keepLines/>
              <w:jc w:val="center"/>
            </w:pPr>
            <w:r w:rsidRPr="00552B0C">
              <w:t>N= 383</w:t>
            </w:r>
          </w:p>
        </w:tc>
        <w:tc>
          <w:tcPr>
            <w:tcW w:w="606" w:type="pct"/>
            <w:shd w:val="clear" w:color="auto" w:fill="FFFFFF" w:themeFill="background1"/>
          </w:tcPr>
          <w:p w14:paraId="2C9AB4AE" w14:textId="77777777" w:rsidR="00091D2A" w:rsidRPr="00552B0C" w:rsidRDefault="00091D2A" w:rsidP="00B11CEB">
            <w:pPr>
              <w:pStyle w:val="In-tableHeading"/>
              <w:keepLines/>
              <w:jc w:val="center"/>
            </w:pPr>
            <w:r w:rsidRPr="00552B0C">
              <w:t>Gem+NabP</w:t>
            </w:r>
          </w:p>
          <w:p w14:paraId="46124849" w14:textId="77777777" w:rsidR="00091D2A" w:rsidRPr="00552B0C" w:rsidRDefault="00091D2A" w:rsidP="00B11CEB">
            <w:pPr>
              <w:pStyle w:val="In-tableHeading"/>
              <w:keepLines/>
              <w:jc w:val="center"/>
            </w:pPr>
            <w:r w:rsidRPr="00552B0C">
              <w:t>N = 387</w:t>
            </w:r>
          </w:p>
        </w:tc>
        <w:tc>
          <w:tcPr>
            <w:tcW w:w="531" w:type="pct"/>
            <w:shd w:val="clear" w:color="auto" w:fill="FFFFFF" w:themeFill="background1"/>
          </w:tcPr>
          <w:p w14:paraId="466BE087" w14:textId="77777777" w:rsidR="00091D2A" w:rsidRPr="00552B0C" w:rsidRDefault="00091D2A" w:rsidP="00B11CEB">
            <w:pPr>
              <w:pStyle w:val="In-tableHeading"/>
              <w:keepLines/>
              <w:jc w:val="center"/>
            </w:pPr>
            <w:r w:rsidRPr="00552B0C">
              <w:t>RR</w:t>
            </w:r>
          </w:p>
          <w:p w14:paraId="339163E0" w14:textId="77777777" w:rsidR="00091D2A" w:rsidRPr="00552B0C" w:rsidRDefault="00091D2A" w:rsidP="00B11CEB">
            <w:pPr>
              <w:pStyle w:val="In-tableHeading"/>
              <w:keepLines/>
              <w:jc w:val="center"/>
            </w:pPr>
            <w:r w:rsidRPr="00552B0C">
              <w:t>(95% CI)</w:t>
            </w:r>
          </w:p>
        </w:tc>
        <w:tc>
          <w:tcPr>
            <w:tcW w:w="595" w:type="pct"/>
            <w:shd w:val="clear" w:color="auto" w:fill="FFFFFF" w:themeFill="background1"/>
          </w:tcPr>
          <w:p w14:paraId="6BB15121" w14:textId="417074EA" w:rsidR="00091D2A" w:rsidRPr="00552B0C" w:rsidRDefault="00691166" w:rsidP="00B11CEB">
            <w:pPr>
              <w:pStyle w:val="In-tableHeading"/>
              <w:keepLines/>
              <w:jc w:val="center"/>
            </w:pPr>
            <w:r w:rsidRPr="00552B0C">
              <w:t>m</w:t>
            </w:r>
            <w:r w:rsidR="00091D2A" w:rsidRPr="00552B0C">
              <w:t>FOLFIRINOX</w:t>
            </w:r>
          </w:p>
          <w:p w14:paraId="0C824724" w14:textId="77777777" w:rsidR="00091D2A" w:rsidRPr="00552B0C" w:rsidRDefault="00091D2A" w:rsidP="00B11CEB">
            <w:pPr>
              <w:pStyle w:val="In-tableHeading"/>
              <w:keepLines/>
              <w:jc w:val="center"/>
            </w:pPr>
            <w:r w:rsidRPr="00552B0C">
              <w:t>N = 171</w:t>
            </w:r>
          </w:p>
        </w:tc>
        <w:tc>
          <w:tcPr>
            <w:tcW w:w="551" w:type="pct"/>
            <w:shd w:val="clear" w:color="auto" w:fill="FFFFFF" w:themeFill="background1"/>
          </w:tcPr>
          <w:p w14:paraId="7CEFF622" w14:textId="77777777" w:rsidR="00091D2A" w:rsidRPr="00552B0C" w:rsidRDefault="00091D2A" w:rsidP="00B11CEB">
            <w:pPr>
              <w:pStyle w:val="In-tableHeading"/>
              <w:keepLines/>
              <w:jc w:val="center"/>
            </w:pPr>
            <w:r w:rsidRPr="00552B0C">
              <w:t>Gem+NabP</w:t>
            </w:r>
          </w:p>
          <w:p w14:paraId="1CC27030" w14:textId="77777777" w:rsidR="00091D2A" w:rsidRPr="00552B0C" w:rsidRDefault="00091D2A" w:rsidP="00B11CEB">
            <w:pPr>
              <w:pStyle w:val="In-tableHeading"/>
              <w:keepLines/>
              <w:jc w:val="center"/>
            </w:pPr>
            <w:r w:rsidRPr="00552B0C">
              <w:t>N = 174</w:t>
            </w:r>
          </w:p>
        </w:tc>
        <w:tc>
          <w:tcPr>
            <w:tcW w:w="598" w:type="pct"/>
            <w:shd w:val="clear" w:color="auto" w:fill="FFFFFF" w:themeFill="background1"/>
          </w:tcPr>
          <w:p w14:paraId="6A56A266" w14:textId="77777777" w:rsidR="00091D2A" w:rsidRPr="00552B0C" w:rsidRDefault="00091D2A" w:rsidP="00B11CEB">
            <w:pPr>
              <w:pStyle w:val="In-tableHeading"/>
              <w:keepLines/>
              <w:jc w:val="center"/>
            </w:pPr>
            <w:r w:rsidRPr="00552B0C">
              <w:t>RR</w:t>
            </w:r>
          </w:p>
          <w:p w14:paraId="18A10F67" w14:textId="77777777" w:rsidR="00091D2A" w:rsidRPr="00552B0C" w:rsidRDefault="00091D2A" w:rsidP="00B11CEB">
            <w:pPr>
              <w:pStyle w:val="In-tableHeading"/>
              <w:keepLines/>
              <w:jc w:val="center"/>
            </w:pPr>
            <w:r w:rsidRPr="00552B0C">
              <w:t>(95% CI)</w:t>
            </w:r>
          </w:p>
        </w:tc>
        <w:tc>
          <w:tcPr>
            <w:tcW w:w="682" w:type="pct"/>
            <w:vMerge/>
            <w:shd w:val="clear" w:color="auto" w:fill="FFFFFF" w:themeFill="background1"/>
          </w:tcPr>
          <w:p w14:paraId="75D8AEEB" w14:textId="77777777" w:rsidR="00091D2A" w:rsidRPr="00552B0C" w:rsidRDefault="00091D2A" w:rsidP="00B11CEB">
            <w:pPr>
              <w:pStyle w:val="In-tableHeading"/>
              <w:keepLines/>
              <w:jc w:val="center"/>
            </w:pPr>
          </w:p>
        </w:tc>
      </w:tr>
      <w:tr w:rsidR="00091D2A" w:rsidRPr="00552B0C" w14:paraId="6DD2B4CB" w14:textId="77777777">
        <w:trPr>
          <w:cantSplit/>
        </w:trPr>
        <w:tc>
          <w:tcPr>
            <w:tcW w:w="5000" w:type="pct"/>
            <w:gridSpan w:val="8"/>
            <w:shd w:val="clear" w:color="auto" w:fill="FFFFFF" w:themeFill="background1"/>
            <w:vAlign w:val="center"/>
          </w:tcPr>
          <w:p w14:paraId="72457627" w14:textId="77777777" w:rsidR="00091D2A" w:rsidRPr="00552B0C" w:rsidRDefault="00091D2A" w:rsidP="00B11CEB">
            <w:pPr>
              <w:pStyle w:val="In-tableHeading"/>
              <w:keepLines/>
            </w:pPr>
            <w:r w:rsidRPr="00552B0C">
              <w:t>Gastrointestinal disorders</w:t>
            </w:r>
          </w:p>
        </w:tc>
      </w:tr>
      <w:tr w:rsidR="00091D2A" w:rsidRPr="00552B0C" w14:paraId="0D83968A" w14:textId="77777777">
        <w:trPr>
          <w:cantSplit/>
        </w:trPr>
        <w:tc>
          <w:tcPr>
            <w:tcW w:w="831" w:type="pct"/>
            <w:shd w:val="clear" w:color="auto" w:fill="FFFFFF" w:themeFill="background1"/>
            <w:vAlign w:val="center"/>
          </w:tcPr>
          <w:p w14:paraId="476ECF0D" w14:textId="77777777" w:rsidR="00091D2A" w:rsidRPr="00552B0C" w:rsidRDefault="00091D2A" w:rsidP="00B11CEB">
            <w:pPr>
              <w:pStyle w:val="Tabletext"/>
              <w:keepNext/>
              <w:keepLines/>
            </w:pPr>
            <w:r w:rsidRPr="00552B0C">
              <w:t>Diarrhoea</w:t>
            </w:r>
          </w:p>
        </w:tc>
        <w:tc>
          <w:tcPr>
            <w:tcW w:w="606" w:type="pct"/>
            <w:shd w:val="clear" w:color="auto" w:fill="FFFFFF" w:themeFill="background1"/>
          </w:tcPr>
          <w:p w14:paraId="0109F095" w14:textId="77777777" w:rsidR="00091D2A" w:rsidRPr="00552B0C" w:rsidRDefault="00091D2A" w:rsidP="00B11CEB">
            <w:pPr>
              <w:pStyle w:val="Tabletext"/>
              <w:keepNext/>
              <w:keepLines/>
              <w:jc w:val="center"/>
            </w:pPr>
            <w:r w:rsidRPr="00552B0C">
              <w:t>75/370 (20.3%)</w:t>
            </w:r>
          </w:p>
        </w:tc>
        <w:tc>
          <w:tcPr>
            <w:tcW w:w="606" w:type="pct"/>
            <w:shd w:val="clear" w:color="auto" w:fill="FFFFFF" w:themeFill="background1"/>
          </w:tcPr>
          <w:p w14:paraId="755F22D9" w14:textId="77777777" w:rsidR="00091D2A" w:rsidRPr="00552B0C" w:rsidRDefault="00091D2A" w:rsidP="00B11CEB">
            <w:pPr>
              <w:pStyle w:val="Tabletext"/>
              <w:keepNext/>
              <w:keepLines/>
              <w:jc w:val="center"/>
            </w:pPr>
            <w:r w:rsidRPr="00552B0C">
              <w:t xml:space="preserve">17/379 </w:t>
            </w:r>
          </w:p>
          <w:p w14:paraId="5DC8CACE" w14:textId="77777777" w:rsidR="00091D2A" w:rsidRPr="00552B0C" w:rsidRDefault="00091D2A" w:rsidP="00B11CEB">
            <w:pPr>
              <w:pStyle w:val="Tabletext"/>
              <w:keepNext/>
              <w:keepLines/>
              <w:jc w:val="center"/>
            </w:pPr>
            <w:r w:rsidRPr="00552B0C">
              <w:t>(4.5%)</w:t>
            </w:r>
          </w:p>
        </w:tc>
        <w:tc>
          <w:tcPr>
            <w:tcW w:w="531" w:type="pct"/>
            <w:shd w:val="clear" w:color="auto" w:fill="FFFFFF" w:themeFill="background1"/>
            <w:vAlign w:val="center"/>
          </w:tcPr>
          <w:p w14:paraId="7B191C78" w14:textId="77777777" w:rsidR="00091D2A" w:rsidRPr="00552B0C" w:rsidRDefault="00091D2A" w:rsidP="00B11CEB">
            <w:pPr>
              <w:pStyle w:val="Tabletext"/>
              <w:keepNext/>
              <w:keepLines/>
              <w:jc w:val="center"/>
              <w:rPr>
                <w:b/>
                <w:bCs/>
              </w:rPr>
            </w:pPr>
            <w:r w:rsidRPr="00552B0C">
              <w:rPr>
                <w:b/>
                <w:bCs/>
              </w:rPr>
              <w:t>4.52</w:t>
            </w:r>
          </w:p>
          <w:p w14:paraId="0D662D6B" w14:textId="77777777" w:rsidR="00091D2A" w:rsidRPr="00552B0C" w:rsidRDefault="00091D2A" w:rsidP="00B11CEB">
            <w:pPr>
              <w:pStyle w:val="Tabletext"/>
              <w:keepNext/>
              <w:keepLines/>
              <w:jc w:val="center"/>
              <w:rPr>
                <w:b/>
                <w:bCs/>
              </w:rPr>
            </w:pPr>
            <w:r w:rsidRPr="00552B0C">
              <w:rPr>
                <w:b/>
                <w:bCs/>
              </w:rPr>
              <w:t>(2.72, 7.50)</w:t>
            </w:r>
          </w:p>
        </w:tc>
        <w:tc>
          <w:tcPr>
            <w:tcW w:w="595" w:type="pct"/>
            <w:shd w:val="clear" w:color="auto" w:fill="FFFFFF" w:themeFill="background1"/>
            <w:vAlign w:val="center"/>
          </w:tcPr>
          <w:p w14:paraId="23E9253C" w14:textId="77777777" w:rsidR="00091D2A" w:rsidRPr="00552B0C" w:rsidRDefault="00091D2A" w:rsidP="00B11CEB">
            <w:pPr>
              <w:pStyle w:val="Tabletext"/>
              <w:keepNext/>
              <w:keepLines/>
              <w:jc w:val="center"/>
            </w:pPr>
            <w:r w:rsidRPr="00552B0C">
              <w:t>15/171</w:t>
            </w:r>
          </w:p>
          <w:p w14:paraId="42462D96" w14:textId="77777777" w:rsidR="00091D2A" w:rsidRPr="00552B0C" w:rsidRDefault="00091D2A" w:rsidP="00B11CEB">
            <w:pPr>
              <w:pStyle w:val="Tabletext"/>
              <w:keepNext/>
              <w:keepLines/>
              <w:jc w:val="center"/>
            </w:pPr>
            <w:r w:rsidRPr="00552B0C">
              <w:t>(8.8%)</w:t>
            </w:r>
          </w:p>
        </w:tc>
        <w:tc>
          <w:tcPr>
            <w:tcW w:w="551" w:type="pct"/>
            <w:shd w:val="clear" w:color="auto" w:fill="FFFFFF" w:themeFill="background1"/>
            <w:vAlign w:val="center"/>
          </w:tcPr>
          <w:p w14:paraId="194FB593" w14:textId="77777777" w:rsidR="00091D2A" w:rsidRPr="00552B0C" w:rsidRDefault="00091D2A" w:rsidP="00B11CEB">
            <w:pPr>
              <w:pStyle w:val="Tabletext"/>
              <w:keepNext/>
              <w:keepLines/>
              <w:jc w:val="center"/>
            </w:pPr>
            <w:r w:rsidRPr="00552B0C">
              <w:t>2/174</w:t>
            </w:r>
          </w:p>
          <w:p w14:paraId="21F59954" w14:textId="77777777" w:rsidR="00091D2A" w:rsidRPr="00552B0C" w:rsidRDefault="00091D2A" w:rsidP="00B11CEB">
            <w:pPr>
              <w:pStyle w:val="Tabletext"/>
              <w:keepNext/>
              <w:keepLines/>
              <w:jc w:val="center"/>
            </w:pPr>
            <w:r w:rsidRPr="00552B0C">
              <w:t>(1.1%)</w:t>
            </w:r>
          </w:p>
        </w:tc>
        <w:tc>
          <w:tcPr>
            <w:tcW w:w="598" w:type="pct"/>
            <w:shd w:val="clear" w:color="auto" w:fill="FFFFFF" w:themeFill="background1"/>
            <w:vAlign w:val="center"/>
          </w:tcPr>
          <w:p w14:paraId="6607E595" w14:textId="77777777" w:rsidR="00091D2A" w:rsidRPr="00552B0C" w:rsidRDefault="00091D2A" w:rsidP="00B11CEB">
            <w:pPr>
              <w:pStyle w:val="Tabletext"/>
              <w:keepNext/>
              <w:keepLines/>
              <w:jc w:val="center"/>
              <w:rPr>
                <w:b/>
                <w:bCs/>
              </w:rPr>
            </w:pPr>
            <w:r w:rsidRPr="00552B0C">
              <w:rPr>
                <w:b/>
                <w:bCs/>
              </w:rPr>
              <w:t>7.63</w:t>
            </w:r>
          </w:p>
          <w:p w14:paraId="57FF7C90" w14:textId="77777777" w:rsidR="00091D2A" w:rsidRPr="00552B0C" w:rsidRDefault="00091D2A" w:rsidP="00B11CEB">
            <w:pPr>
              <w:pStyle w:val="Tabletext"/>
              <w:keepNext/>
              <w:keepLines/>
              <w:jc w:val="center"/>
              <w:rPr>
                <w:b/>
                <w:bCs/>
              </w:rPr>
            </w:pPr>
            <w:r w:rsidRPr="00552B0C">
              <w:rPr>
                <w:b/>
                <w:bCs/>
              </w:rPr>
              <w:t>(1.77, 32.87)</w:t>
            </w:r>
          </w:p>
        </w:tc>
        <w:tc>
          <w:tcPr>
            <w:tcW w:w="682" w:type="pct"/>
            <w:shd w:val="clear" w:color="auto" w:fill="FFFFFF" w:themeFill="background1"/>
          </w:tcPr>
          <w:p w14:paraId="7F5A8EAE" w14:textId="77777777" w:rsidR="00091D2A" w:rsidRPr="00552B0C" w:rsidRDefault="00091D2A" w:rsidP="00B11CEB">
            <w:pPr>
              <w:pStyle w:val="Tabletext"/>
              <w:keepNext/>
              <w:keepLines/>
              <w:jc w:val="center"/>
            </w:pPr>
            <w:r w:rsidRPr="00552B0C">
              <w:t>0.59</w:t>
            </w:r>
          </w:p>
          <w:p w14:paraId="50209867" w14:textId="77777777" w:rsidR="00091D2A" w:rsidRPr="00552B0C" w:rsidRDefault="00091D2A" w:rsidP="00B11CEB">
            <w:pPr>
              <w:pStyle w:val="Tabletext"/>
              <w:keepNext/>
              <w:keepLines/>
              <w:jc w:val="center"/>
            </w:pPr>
            <w:r w:rsidRPr="00552B0C">
              <w:t>(0.13, 2.78)</w:t>
            </w:r>
          </w:p>
        </w:tc>
      </w:tr>
      <w:tr w:rsidR="00091D2A" w:rsidRPr="00552B0C" w14:paraId="3FF66E7C" w14:textId="77777777">
        <w:trPr>
          <w:cantSplit/>
        </w:trPr>
        <w:tc>
          <w:tcPr>
            <w:tcW w:w="831" w:type="pct"/>
            <w:shd w:val="clear" w:color="auto" w:fill="FFFFFF" w:themeFill="background1"/>
            <w:vAlign w:val="center"/>
          </w:tcPr>
          <w:p w14:paraId="0C32EDEC" w14:textId="77777777" w:rsidR="00091D2A" w:rsidRPr="00552B0C" w:rsidRDefault="00091D2A" w:rsidP="00B11CEB">
            <w:pPr>
              <w:pStyle w:val="Tabletext"/>
              <w:keepNext/>
              <w:keepLines/>
            </w:pPr>
            <w:r w:rsidRPr="00552B0C">
              <w:t>Nausea</w:t>
            </w:r>
          </w:p>
        </w:tc>
        <w:tc>
          <w:tcPr>
            <w:tcW w:w="606" w:type="pct"/>
            <w:shd w:val="clear" w:color="auto" w:fill="FFFFFF" w:themeFill="background1"/>
          </w:tcPr>
          <w:p w14:paraId="18DE3CA5" w14:textId="77777777" w:rsidR="00091D2A" w:rsidRPr="00552B0C" w:rsidRDefault="00091D2A" w:rsidP="00B11CEB">
            <w:pPr>
              <w:pStyle w:val="Tabletext"/>
              <w:keepNext/>
              <w:keepLines/>
              <w:jc w:val="center"/>
            </w:pPr>
            <w:r w:rsidRPr="00552B0C">
              <w:t>44/370 (11.9%)</w:t>
            </w:r>
          </w:p>
        </w:tc>
        <w:tc>
          <w:tcPr>
            <w:tcW w:w="606" w:type="pct"/>
            <w:shd w:val="clear" w:color="auto" w:fill="FFFFFF" w:themeFill="background1"/>
          </w:tcPr>
          <w:p w14:paraId="20C94B7A" w14:textId="77777777" w:rsidR="00091D2A" w:rsidRPr="00552B0C" w:rsidRDefault="00091D2A" w:rsidP="00B11CEB">
            <w:pPr>
              <w:pStyle w:val="Tabletext"/>
              <w:keepNext/>
              <w:keepLines/>
              <w:jc w:val="center"/>
            </w:pPr>
            <w:r w:rsidRPr="00552B0C">
              <w:t xml:space="preserve">10/379 </w:t>
            </w:r>
          </w:p>
          <w:p w14:paraId="65615060" w14:textId="77777777" w:rsidR="00091D2A" w:rsidRPr="00552B0C" w:rsidRDefault="00091D2A" w:rsidP="00B11CEB">
            <w:pPr>
              <w:pStyle w:val="Tabletext"/>
              <w:keepNext/>
              <w:keepLines/>
              <w:jc w:val="center"/>
            </w:pPr>
            <w:r w:rsidRPr="00552B0C">
              <w:t>(2.6%)</w:t>
            </w:r>
          </w:p>
        </w:tc>
        <w:tc>
          <w:tcPr>
            <w:tcW w:w="531" w:type="pct"/>
            <w:shd w:val="clear" w:color="auto" w:fill="FFFFFF" w:themeFill="background1"/>
            <w:vAlign w:val="center"/>
          </w:tcPr>
          <w:p w14:paraId="61555089" w14:textId="77777777" w:rsidR="00091D2A" w:rsidRPr="00552B0C" w:rsidRDefault="00091D2A" w:rsidP="00B11CEB">
            <w:pPr>
              <w:pStyle w:val="Tabletext"/>
              <w:keepNext/>
              <w:keepLines/>
              <w:jc w:val="center"/>
              <w:rPr>
                <w:b/>
                <w:bCs/>
              </w:rPr>
            </w:pPr>
            <w:r w:rsidRPr="00552B0C">
              <w:rPr>
                <w:b/>
                <w:bCs/>
              </w:rPr>
              <w:t>4.51</w:t>
            </w:r>
          </w:p>
          <w:p w14:paraId="20FF738F" w14:textId="77777777" w:rsidR="00091D2A" w:rsidRPr="00552B0C" w:rsidRDefault="00091D2A" w:rsidP="00B11CEB">
            <w:pPr>
              <w:pStyle w:val="Tabletext"/>
              <w:keepNext/>
              <w:keepLines/>
              <w:jc w:val="center"/>
              <w:rPr>
                <w:b/>
                <w:bCs/>
              </w:rPr>
            </w:pPr>
            <w:r w:rsidRPr="00552B0C">
              <w:rPr>
                <w:b/>
                <w:bCs/>
              </w:rPr>
              <w:t>(2.30, 8.82)</w:t>
            </w:r>
          </w:p>
        </w:tc>
        <w:tc>
          <w:tcPr>
            <w:tcW w:w="595" w:type="pct"/>
            <w:shd w:val="clear" w:color="auto" w:fill="FFFFFF" w:themeFill="background1"/>
            <w:vAlign w:val="center"/>
          </w:tcPr>
          <w:p w14:paraId="0300FBFC" w14:textId="77777777" w:rsidR="00091D2A" w:rsidRPr="00552B0C" w:rsidRDefault="00091D2A" w:rsidP="00B11CEB">
            <w:pPr>
              <w:pStyle w:val="Tabletext"/>
              <w:keepNext/>
              <w:keepLines/>
              <w:jc w:val="center"/>
            </w:pPr>
            <w:r w:rsidRPr="00552B0C">
              <w:t>15/171</w:t>
            </w:r>
          </w:p>
          <w:p w14:paraId="57CFAD84" w14:textId="77777777" w:rsidR="00091D2A" w:rsidRPr="00552B0C" w:rsidRDefault="00091D2A" w:rsidP="00B11CEB">
            <w:pPr>
              <w:pStyle w:val="Tabletext"/>
              <w:keepNext/>
              <w:keepLines/>
              <w:jc w:val="center"/>
            </w:pPr>
            <w:r w:rsidRPr="00552B0C">
              <w:t>(8.8%)</w:t>
            </w:r>
          </w:p>
        </w:tc>
        <w:tc>
          <w:tcPr>
            <w:tcW w:w="551" w:type="pct"/>
            <w:shd w:val="clear" w:color="auto" w:fill="FFFFFF" w:themeFill="background1"/>
            <w:vAlign w:val="center"/>
          </w:tcPr>
          <w:p w14:paraId="554078EC" w14:textId="77777777" w:rsidR="00091D2A" w:rsidRPr="00552B0C" w:rsidRDefault="00091D2A" w:rsidP="00B11CEB">
            <w:pPr>
              <w:pStyle w:val="Tabletext"/>
              <w:keepNext/>
              <w:keepLines/>
              <w:jc w:val="center"/>
            </w:pPr>
            <w:r w:rsidRPr="00552B0C">
              <w:t>4/174</w:t>
            </w:r>
          </w:p>
          <w:p w14:paraId="256BC9A8" w14:textId="77777777" w:rsidR="00091D2A" w:rsidRPr="00552B0C" w:rsidRDefault="00091D2A" w:rsidP="00B11CEB">
            <w:pPr>
              <w:pStyle w:val="Tabletext"/>
              <w:keepNext/>
              <w:keepLines/>
              <w:jc w:val="center"/>
            </w:pPr>
            <w:r w:rsidRPr="00552B0C">
              <w:t>(2.3%)</w:t>
            </w:r>
          </w:p>
        </w:tc>
        <w:tc>
          <w:tcPr>
            <w:tcW w:w="598" w:type="pct"/>
            <w:shd w:val="clear" w:color="auto" w:fill="FFFFFF" w:themeFill="background1"/>
            <w:vAlign w:val="center"/>
          </w:tcPr>
          <w:p w14:paraId="3323F64B" w14:textId="77777777" w:rsidR="00091D2A" w:rsidRPr="00552B0C" w:rsidRDefault="00091D2A" w:rsidP="00B11CEB">
            <w:pPr>
              <w:pStyle w:val="Tabletext"/>
              <w:keepNext/>
              <w:keepLines/>
              <w:jc w:val="center"/>
              <w:rPr>
                <w:b/>
                <w:bCs/>
              </w:rPr>
            </w:pPr>
            <w:r w:rsidRPr="00552B0C">
              <w:rPr>
                <w:b/>
                <w:bCs/>
              </w:rPr>
              <w:t>3.82</w:t>
            </w:r>
          </w:p>
          <w:p w14:paraId="05AC60EF" w14:textId="77777777" w:rsidR="00091D2A" w:rsidRPr="00552B0C" w:rsidRDefault="00091D2A" w:rsidP="00B11CEB">
            <w:pPr>
              <w:pStyle w:val="Tabletext"/>
              <w:keepNext/>
              <w:keepLines/>
              <w:jc w:val="center"/>
              <w:rPr>
                <w:b/>
                <w:bCs/>
              </w:rPr>
            </w:pPr>
            <w:r w:rsidRPr="00552B0C">
              <w:rPr>
                <w:b/>
                <w:bCs/>
              </w:rPr>
              <w:t>(1.29, 11.26)</w:t>
            </w:r>
          </w:p>
        </w:tc>
        <w:tc>
          <w:tcPr>
            <w:tcW w:w="682" w:type="pct"/>
            <w:shd w:val="clear" w:color="auto" w:fill="FFFFFF" w:themeFill="background1"/>
          </w:tcPr>
          <w:p w14:paraId="410F6174" w14:textId="77777777" w:rsidR="00091D2A" w:rsidRPr="00552B0C" w:rsidRDefault="00091D2A" w:rsidP="00B11CEB">
            <w:pPr>
              <w:pStyle w:val="Tabletext"/>
              <w:keepNext/>
              <w:keepLines/>
              <w:jc w:val="center"/>
            </w:pPr>
            <w:r w:rsidRPr="00552B0C">
              <w:t>1.18</w:t>
            </w:r>
          </w:p>
          <w:p w14:paraId="061A7490" w14:textId="77777777" w:rsidR="00091D2A" w:rsidRPr="00552B0C" w:rsidRDefault="00091D2A" w:rsidP="00B11CEB">
            <w:pPr>
              <w:pStyle w:val="Tabletext"/>
              <w:keepNext/>
              <w:keepLines/>
              <w:jc w:val="center"/>
            </w:pPr>
            <w:r w:rsidRPr="00552B0C">
              <w:t>(0.33, 4.22)</w:t>
            </w:r>
          </w:p>
        </w:tc>
      </w:tr>
      <w:tr w:rsidR="00091D2A" w:rsidRPr="00552B0C" w14:paraId="329F4786" w14:textId="77777777">
        <w:trPr>
          <w:cantSplit/>
        </w:trPr>
        <w:tc>
          <w:tcPr>
            <w:tcW w:w="831" w:type="pct"/>
            <w:shd w:val="clear" w:color="auto" w:fill="FFFFFF" w:themeFill="background1"/>
            <w:vAlign w:val="center"/>
          </w:tcPr>
          <w:p w14:paraId="6BF97166" w14:textId="77777777" w:rsidR="00091D2A" w:rsidRPr="00552B0C" w:rsidRDefault="00091D2A" w:rsidP="00B11CEB">
            <w:pPr>
              <w:pStyle w:val="Tabletext"/>
              <w:keepNext/>
              <w:keepLines/>
            </w:pPr>
            <w:r w:rsidRPr="00552B0C">
              <w:t>Anorexia</w:t>
            </w:r>
          </w:p>
        </w:tc>
        <w:tc>
          <w:tcPr>
            <w:tcW w:w="606" w:type="pct"/>
            <w:shd w:val="clear" w:color="auto" w:fill="FFFFFF" w:themeFill="background1"/>
          </w:tcPr>
          <w:p w14:paraId="5B80348A" w14:textId="77777777" w:rsidR="00091D2A" w:rsidRPr="00552B0C" w:rsidRDefault="00091D2A" w:rsidP="00B11CEB">
            <w:pPr>
              <w:pStyle w:val="Tabletext"/>
              <w:keepNext/>
              <w:keepLines/>
              <w:jc w:val="center"/>
            </w:pPr>
            <w:r w:rsidRPr="00552B0C">
              <w:t>NR</w:t>
            </w:r>
          </w:p>
        </w:tc>
        <w:tc>
          <w:tcPr>
            <w:tcW w:w="606" w:type="pct"/>
            <w:shd w:val="clear" w:color="auto" w:fill="FFFFFF" w:themeFill="background1"/>
          </w:tcPr>
          <w:p w14:paraId="606C6DEB" w14:textId="77777777" w:rsidR="00091D2A" w:rsidRPr="00552B0C" w:rsidRDefault="00091D2A" w:rsidP="00B11CEB">
            <w:pPr>
              <w:pStyle w:val="Tabletext"/>
              <w:keepNext/>
              <w:keepLines/>
              <w:jc w:val="center"/>
            </w:pPr>
            <w:r w:rsidRPr="00552B0C">
              <w:t>NR</w:t>
            </w:r>
          </w:p>
        </w:tc>
        <w:tc>
          <w:tcPr>
            <w:tcW w:w="531" w:type="pct"/>
            <w:shd w:val="clear" w:color="auto" w:fill="FFFFFF" w:themeFill="background1"/>
            <w:vAlign w:val="center"/>
          </w:tcPr>
          <w:p w14:paraId="3AC1BDC4" w14:textId="77777777" w:rsidR="00091D2A" w:rsidRPr="00552B0C" w:rsidRDefault="00091D2A" w:rsidP="00B11CEB">
            <w:pPr>
              <w:pStyle w:val="Tabletext"/>
              <w:keepNext/>
              <w:keepLines/>
              <w:jc w:val="center"/>
            </w:pPr>
            <w:r w:rsidRPr="00552B0C">
              <w:t>NC</w:t>
            </w:r>
          </w:p>
        </w:tc>
        <w:tc>
          <w:tcPr>
            <w:tcW w:w="595" w:type="pct"/>
            <w:shd w:val="clear" w:color="auto" w:fill="FFFFFF" w:themeFill="background1"/>
            <w:vAlign w:val="center"/>
          </w:tcPr>
          <w:p w14:paraId="3599E989" w14:textId="77777777" w:rsidR="00091D2A" w:rsidRPr="00552B0C" w:rsidRDefault="00091D2A" w:rsidP="00B11CEB">
            <w:pPr>
              <w:pStyle w:val="Tabletext"/>
              <w:keepNext/>
              <w:keepLines/>
              <w:jc w:val="center"/>
            </w:pPr>
            <w:r w:rsidRPr="00552B0C">
              <w:t>22.8%</w:t>
            </w:r>
          </w:p>
        </w:tc>
        <w:tc>
          <w:tcPr>
            <w:tcW w:w="551" w:type="pct"/>
            <w:shd w:val="clear" w:color="auto" w:fill="FFFFFF" w:themeFill="background1"/>
            <w:vAlign w:val="center"/>
          </w:tcPr>
          <w:p w14:paraId="6CA104BC" w14:textId="77777777" w:rsidR="00091D2A" w:rsidRPr="00552B0C" w:rsidRDefault="00091D2A" w:rsidP="00B11CEB">
            <w:pPr>
              <w:pStyle w:val="Tabletext"/>
              <w:keepNext/>
              <w:keepLines/>
              <w:jc w:val="center"/>
            </w:pPr>
            <w:r w:rsidRPr="00552B0C">
              <w:t>5.2%</w:t>
            </w:r>
          </w:p>
        </w:tc>
        <w:tc>
          <w:tcPr>
            <w:tcW w:w="598" w:type="pct"/>
            <w:shd w:val="clear" w:color="auto" w:fill="FFFFFF" w:themeFill="background1"/>
            <w:vAlign w:val="center"/>
          </w:tcPr>
          <w:p w14:paraId="783F8393" w14:textId="77777777" w:rsidR="00091D2A" w:rsidRPr="00552B0C" w:rsidRDefault="00091D2A" w:rsidP="00B11CEB">
            <w:pPr>
              <w:pStyle w:val="Tabletext"/>
              <w:keepNext/>
              <w:keepLines/>
              <w:jc w:val="center"/>
            </w:pPr>
            <w:r w:rsidRPr="00552B0C">
              <w:t>NC</w:t>
            </w:r>
          </w:p>
        </w:tc>
        <w:tc>
          <w:tcPr>
            <w:tcW w:w="682" w:type="pct"/>
            <w:shd w:val="clear" w:color="auto" w:fill="FFFFFF" w:themeFill="background1"/>
          </w:tcPr>
          <w:p w14:paraId="37A7922B" w14:textId="77777777" w:rsidR="00091D2A" w:rsidRPr="00552B0C" w:rsidRDefault="00091D2A" w:rsidP="00B11CEB">
            <w:pPr>
              <w:pStyle w:val="Tabletext"/>
              <w:keepNext/>
              <w:keepLines/>
              <w:jc w:val="center"/>
            </w:pPr>
            <w:r w:rsidRPr="00552B0C">
              <w:t>NC</w:t>
            </w:r>
          </w:p>
        </w:tc>
      </w:tr>
      <w:tr w:rsidR="00091D2A" w:rsidRPr="00552B0C" w14:paraId="28E7D4DC" w14:textId="77777777">
        <w:trPr>
          <w:cantSplit/>
        </w:trPr>
        <w:tc>
          <w:tcPr>
            <w:tcW w:w="5000" w:type="pct"/>
            <w:gridSpan w:val="8"/>
            <w:shd w:val="clear" w:color="auto" w:fill="FFFFFF" w:themeFill="background1"/>
            <w:vAlign w:val="center"/>
          </w:tcPr>
          <w:p w14:paraId="2387B998" w14:textId="77777777" w:rsidR="00091D2A" w:rsidRPr="00552B0C" w:rsidRDefault="00091D2A" w:rsidP="00B11CEB">
            <w:pPr>
              <w:pStyle w:val="In-tableHeading"/>
              <w:keepLines/>
            </w:pPr>
            <w:r w:rsidRPr="00552B0C">
              <w:t>General disorders and administration site conditions</w:t>
            </w:r>
          </w:p>
        </w:tc>
      </w:tr>
      <w:tr w:rsidR="00091D2A" w:rsidRPr="00552B0C" w14:paraId="39A99C5E" w14:textId="77777777">
        <w:trPr>
          <w:cantSplit/>
        </w:trPr>
        <w:tc>
          <w:tcPr>
            <w:tcW w:w="831" w:type="pct"/>
            <w:shd w:val="clear" w:color="auto" w:fill="FFFFFF" w:themeFill="background1"/>
            <w:vAlign w:val="center"/>
          </w:tcPr>
          <w:p w14:paraId="60DDD130" w14:textId="77777777" w:rsidR="00091D2A" w:rsidRPr="00552B0C" w:rsidRDefault="00091D2A" w:rsidP="00B11CEB">
            <w:pPr>
              <w:pStyle w:val="Tabletext"/>
              <w:keepNext/>
              <w:keepLines/>
            </w:pPr>
            <w:r w:rsidRPr="00552B0C">
              <w:t>Fatigue</w:t>
            </w:r>
          </w:p>
        </w:tc>
        <w:tc>
          <w:tcPr>
            <w:tcW w:w="606" w:type="pct"/>
            <w:shd w:val="clear" w:color="auto" w:fill="FFFFFF" w:themeFill="background1"/>
          </w:tcPr>
          <w:p w14:paraId="38AF1367" w14:textId="77777777" w:rsidR="00091D2A" w:rsidRPr="00552B0C" w:rsidRDefault="00091D2A" w:rsidP="00B11CEB">
            <w:pPr>
              <w:pStyle w:val="Tabletext"/>
              <w:keepNext/>
              <w:keepLines/>
              <w:jc w:val="center"/>
            </w:pPr>
            <w:r w:rsidRPr="00552B0C">
              <w:t xml:space="preserve">23/370 </w:t>
            </w:r>
          </w:p>
          <w:p w14:paraId="2F881EA6" w14:textId="77777777" w:rsidR="00091D2A" w:rsidRPr="00552B0C" w:rsidRDefault="00091D2A" w:rsidP="00B11CEB">
            <w:pPr>
              <w:pStyle w:val="Tabletext"/>
              <w:keepNext/>
              <w:keepLines/>
              <w:jc w:val="center"/>
            </w:pPr>
            <w:r w:rsidRPr="00552B0C">
              <w:t>(6.2%)</w:t>
            </w:r>
          </w:p>
        </w:tc>
        <w:tc>
          <w:tcPr>
            <w:tcW w:w="606" w:type="pct"/>
            <w:shd w:val="clear" w:color="auto" w:fill="FFFFFF" w:themeFill="background1"/>
          </w:tcPr>
          <w:p w14:paraId="140CA40B" w14:textId="77777777" w:rsidR="00091D2A" w:rsidRPr="00552B0C" w:rsidRDefault="00091D2A" w:rsidP="00B11CEB">
            <w:pPr>
              <w:pStyle w:val="Tabletext"/>
              <w:keepNext/>
              <w:keepLines/>
              <w:jc w:val="center"/>
            </w:pPr>
            <w:r w:rsidRPr="00552B0C">
              <w:t xml:space="preserve">20/379 </w:t>
            </w:r>
          </w:p>
          <w:p w14:paraId="43FDF663" w14:textId="77777777" w:rsidR="00091D2A" w:rsidRPr="00552B0C" w:rsidRDefault="00091D2A" w:rsidP="00B11CEB">
            <w:pPr>
              <w:pStyle w:val="Tabletext"/>
              <w:keepNext/>
              <w:keepLines/>
              <w:jc w:val="center"/>
            </w:pPr>
            <w:r w:rsidRPr="00552B0C">
              <w:t>(5.3%)</w:t>
            </w:r>
          </w:p>
        </w:tc>
        <w:tc>
          <w:tcPr>
            <w:tcW w:w="531" w:type="pct"/>
            <w:shd w:val="clear" w:color="auto" w:fill="FFFFFF" w:themeFill="background1"/>
          </w:tcPr>
          <w:p w14:paraId="00E21D3E" w14:textId="77777777" w:rsidR="00091D2A" w:rsidRPr="00552B0C" w:rsidRDefault="00091D2A" w:rsidP="00B11CEB">
            <w:pPr>
              <w:pStyle w:val="Tabletext"/>
              <w:keepNext/>
              <w:keepLines/>
              <w:jc w:val="center"/>
            </w:pPr>
            <w:r w:rsidRPr="00552B0C">
              <w:t>1.18</w:t>
            </w:r>
          </w:p>
          <w:p w14:paraId="7D888EDD" w14:textId="77777777" w:rsidR="00091D2A" w:rsidRPr="00552B0C" w:rsidRDefault="00091D2A" w:rsidP="00B11CEB">
            <w:pPr>
              <w:pStyle w:val="Tabletext"/>
              <w:keepNext/>
              <w:keepLines/>
              <w:jc w:val="center"/>
            </w:pPr>
            <w:r w:rsidRPr="00552B0C">
              <w:t>(0.66, 2.11)</w:t>
            </w:r>
          </w:p>
        </w:tc>
        <w:tc>
          <w:tcPr>
            <w:tcW w:w="595" w:type="pct"/>
            <w:shd w:val="clear" w:color="auto" w:fill="FFFFFF" w:themeFill="background1"/>
            <w:vAlign w:val="center"/>
          </w:tcPr>
          <w:p w14:paraId="7ADDAF17" w14:textId="77777777" w:rsidR="00091D2A" w:rsidRPr="00552B0C" w:rsidRDefault="00091D2A" w:rsidP="00B11CEB">
            <w:pPr>
              <w:pStyle w:val="Tabletext"/>
              <w:keepNext/>
              <w:keepLines/>
              <w:jc w:val="center"/>
            </w:pPr>
            <w:r w:rsidRPr="00552B0C">
              <w:t>7/171</w:t>
            </w:r>
          </w:p>
          <w:p w14:paraId="25930602" w14:textId="77777777" w:rsidR="00091D2A" w:rsidRPr="00552B0C" w:rsidRDefault="00091D2A" w:rsidP="00B11CEB">
            <w:pPr>
              <w:pStyle w:val="Tabletext"/>
              <w:keepNext/>
              <w:keepLines/>
              <w:jc w:val="center"/>
            </w:pPr>
            <w:r w:rsidRPr="00552B0C">
              <w:t>(4.1%)</w:t>
            </w:r>
          </w:p>
        </w:tc>
        <w:tc>
          <w:tcPr>
            <w:tcW w:w="551" w:type="pct"/>
            <w:shd w:val="clear" w:color="auto" w:fill="FFFFFF" w:themeFill="background1"/>
            <w:vAlign w:val="center"/>
          </w:tcPr>
          <w:p w14:paraId="145A4FEC" w14:textId="77777777" w:rsidR="00091D2A" w:rsidRPr="00552B0C" w:rsidRDefault="00091D2A" w:rsidP="00B11CEB">
            <w:pPr>
              <w:pStyle w:val="Tabletext"/>
              <w:keepNext/>
              <w:keepLines/>
              <w:jc w:val="center"/>
            </w:pPr>
            <w:r w:rsidRPr="00552B0C">
              <w:t>5/174</w:t>
            </w:r>
          </w:p>
          <w:p w14:paraId="67B8D85D" w14:textId="77777777" w:rsidR="00091D2A" w:rsidRPr="00552B0C" w:rsidRDefault="00091D2A" w:rsidP="00B11CEB">
            <w:pPr>
              <w:pStyle w:val="Tabletext"/>
              <w:keepNext/>
              <w:keepLines/>
              <w:jc w:val="center"/>
            </w:pPr>
            <w:r w:rsidRPr="00552B0C">
              <w:t>(2.9%)</w:t>
            </w:r>
          </w:p>
        </w:tc>
        <w:tc>
          <w:tcPr>
            <w:tcW w:w="598" w:type="pct"/>
            <w:shd w:val="clear" w:color="auto" w:fill="FFFFFF" w:themeFill="background1"/>
          </w:tcPr>
          <w:p w14:paraId="39515A80" w14:textId="77777777" w:rsidR="00091D2A" w:rsidRPr="00552B0C" w:rsidRDefault="00091D2A" w:rsidP="00B11CEB">
            <w:pPr>
              <w:pStyle w:val="Tabletext"/>
              <w:keepNext/>
              <w:keepLines/>
              <w:jc w:val="center"/>
            </w:pPr>
            <w:r w:rsidRPr="00552B0C">
              <w:t>1.42</w:t>
            </w:r>
          </w:p>
          <w:p w14:paraId="0109BDDD" w14:textId="77777777" w:rsidR="00091D2A" w:rsidRPr="00552B0C" w:rsidRDefault="00091D2A" w:rsidP="00B11CEB">
            <w:pPr>
              <w:pStyle w:val="Tabletext"/>
              <w:keepNext/>
              <w:keepLines/>
              <w:jc w:val="center"/>
            </w:pPr>
            <w:r w:rsidRPr="00552B0C">
              <w:t>(0.46, 4.40)</w:t>
            </w:r>
          </w:p>
        </w:tc>
        <w:tc>
          <w:tcPr>
            <w:tcW w:w="682" w:type="pct"/>
            <w:shd w:val="clear" w:color="auto" w:fill="FFFFFF" w:themeFill="background1"/>
          </w:tcPr>
          <w:p w14:paraId="6DC58732" w14:textId="77777777" w:rsidR="00091D2A" w:rsidRPr="00552B0C" w:rsidRDefault="00091D2A" w:rsidP="00B11CEB">
            <w:pPr>
              <w:pStyle w:val="Tabletext"/>
              <w:keepNext/>
              <w:keepLines/>
              <w:jc w:val="center"/>
            </w:pPr>
            <w:r w:rsidRPr="00552B0C">
              <w:t>0.83</w:t>
            </w:r>
          </w:p>
          <w:p w14:paraId="4DE0870B" w14:textId="77777777" w:rsidR="00091D2A" w:rsidRPr="00552B0C" w:rsidRDefault="00091D2A" w:rsidP="00B11CEB">
            <w:pPr>
              <w:pStyle w:val="Tabletext"/>
              <w:keepNext/>
              <w:keepLines/>
              <w:jc w:val="center"/>
            </w:pPr>
            <w:r w:rsidRPr="00552B0C">
              <w:t>(0.23, 2.96)</w:t>
            </w:r>
          </w:p>
        </w:tc>
      </w:tr>
      <w:tr w:rsidR="00091D2A" w:rsidRPr="00552B0C" w14:paraId="57795750" w14:textId="77777777">
        <w:trPr>
          <w:cantSplit/>
        </w:trPr>
        <w:tc>
          <w:tcPr>
            <w:tcW w:w="5000" w:type="pct"/>
            <w:gridSpan w:val="8"/>
            <w:shd w:val="clear" w:color="auto" w:fill="FFFFFF" w:themeFill="background1"/>
            <w:vAlign w:val="center"/>
          </w:tcPr>
          <w:p w14:paraId="3AE0A727" w14:textId="77777777" w:rsidR="00091D2A" w:rsidRPr="00552B0C" w:rsidRDefault="00091D2A" w:rsidP="00B11CEB">
            <w:pPr>
              <w:pStyle w:val="In-tableHeading"/>
              <w:keepLines/>
            </w:pPr>
            <w:r w:rsidRPr="00552B0C">
              <w:t>Blood and lymphatic system disorders</w:t>
            </w:r>
          </w:p>
        </w:tc>
      </w:tr>
      <w:tr w:rsidR="00091D2A" w:rsidRPr="00552B0C" w14:paraId="28831D5B" w14:textId="77777777">
        <w:trPr>
          <w:cantSplit/>
        </w:trPr>
        <w:tc>
          <w:tcPr>
            <w:tcW w:w="831" w:type="pct"/>
            <w:shd w:val="clear" w:color="auto" w:fill="FFFFFF" w:themeFill="background1"/>
            <w:vAlign w:val="center"/>
          </w:tcPr>
          <w:p w14:paraId="6517713A" w14:textId="77777777" w:rsidR="00091D2A" w:rsidRPr="00552B0C" w:rsidRDefault="00091D2A" w:rsidP="00B11CEB">
            <w:pPr>
              <w:pStyle w:val="Tabletext"/>
              <w:keepNext/>
              <w:keepLines/>
            </w:pPr>
            <w:r w:rsidRPr="00552B0C">
              <w:t>Anaemia</w:t>
            </w:r>
          </w:p>
        </w:tc>
        <w:tc>
          <w:tcPr>
            <w:tcW w:w="606" w:type="pct"/>
            <w:shd w:val="clear" w:color="auto" w:fill="FFFFFF" w:themeFill="background1"/>
          </w:tcPr>
          <w:p w14:paraId="4F5F9DC1" w14:textId="77777777" w:rsidR="00091D2A" w:rsidRPr="00552B0C" w:rsidRDefault="00091D2A" w:rsidP="00B11CEB">
            <w:pPr>
              <w:pStyle w:val="Tabletext"/>
              <w:keepNext/>
              <w:keepLines/>
              <w:jc w:val="center"/>
            </w:pPr>
            <w:r w:rsidRPr="00552B0C">
              <w:t>39/370 (10.5%)</w:t>
            </w:r>
          </w:p>
        </w:tc>
        <w:tc>
          <w:tcPr>
            <w:tcW w:w="606" w:type="pct"/>
            <w:shd w:val="clear" w:color="auto" w:fill="FFFFFF" w:themeFill="background1"/>
          </w:tcPr>
          <w:p w14:paraId="2233CD3B" w14:textId="77777777" w:rsidR="00091D2A" w:rsidRPr="00552B0C" w:rsidRDefault="00091D2A" w:rsidP="00B11CEB">
            <w:pPr>
              <w:pStyle w:val="Tabletext"/>
              <w:keepNext/>
              <w:keepLines/>
              <w:jc w:val="center"/>
            </w:pPr>
            <w:r w:rsidRPr="00552B0C">
              <w:t>66/379 (17.4%)</w:t>
            </w:r>
          </w:p>
        </w:tc>
        <w:tc>
          <w:tcPr>
            <w:tcW w:w="531" w:type="pct"/>
            <w:shd w:val="clear" w:color="auto" w:fill="FFFFFF" w:themeFill="background1"/>
          </w:tcPr>
          <w:p w14:paraId="38551B4A" w14:textId="77777777" w:rsidR="00091D2A" w:rsidRPr="00552B0C" w:rsidRDefault="00091D2A" w:rsidP="00B11CEB">
            <w:pPr>
              <w:pStyle w:val="Tabletext"/>
              <w:keepNext/>
              <w:keepLines/>
              <w:jc w:val="center"/>
              <w:rPr>
                <w:b/>
                <w:bCs/>
              </w:rPr>
            </w:pPr>
            <w:r w:rsidRPr="00552B0C">
              <w:rPr>
                <w:b/>
                <w:bCs/>
              </w:rPr>
              <w:t>0.61</w:t>
            </w:r>
          </w:p>
          <w:p w14:paraId="3404AAF8" w14:textId="77777777" w:rsidR="00091D2A" w:rsidRPr="00552B0C" w:rsidRDefault="00091D2A" w:rsidP="00B11CEB">
            <w:pPr>
              <w:pStyle w:val="Tabletext"/>
              <w:keepNext/>
              <w:keepLines/>
              <w:jc w:val="center"/>
              <w:rPr>
                <w:b/>
                <w:bCs/>
              </w:rPr>
            </w:pPr>
            <w:r w:rsidRPr="00552B0C">
              <w:rPr>
                <w:b/>
                <w:bCs/>
              </w:rPr>
              <w:t>(0.42, 0.88)</w:t>
            </w:r>
          </w:p>
        </w:tc>
        <w:tc>
          <w:tcPr>
            <w:tcW w:w="595" w:type="pct"/>
            <w:shd w:val="clear" w:color="auto" w:fill="FFFFFF" w:themeFill="background1"/>
            <w:vAlign w:val="center"/>
          </w:tcPr>
          <w:p w14:paraId="321FB1B4" w14:textId="77777777" w:rsidR="00091D2A" w:rsidRPr="00552B0C" w:rsidRDefault="00091D2A" w:rsidP="00B11CEB">
            <w:pPr>
              <w:pStyle w:val="Tabletext"/>
              <w:keepNext/>
              <w:keepLines/>
              <w:jc w:val="center"/>
            </w:pPr>
            <w:r w:rsidRPr="00552B0C">
              <w:t>18/171</w:t>
            </w:r>
          </w:p>
          <w:p w14:paraId="04F1166B" w14:textId="77777777" w:rsidR="00091D2A" w:rsidRPr="00552B0C" w:rsidRDefault="00091D2A" w:rsidP="00B11CEB">
            <w:pPr>
              <w:pStyle w:val="Tabletext"/>
              <w:keepNext/>
              <w:keepLines/>
              <w:jc w:val="center"/>
            </w:pPr>
            <w:r w:rsidRPr="00552B0C">
              <w:t>(10.5%)</w:t>
            </w:r>
          </w:p>
        </w:tc>
        <w:tc>
          <w:tcPr>
            <w:tcW w:w="551" w:type="pct"/>
            <w:shd w:val="clear" w:color="auto" w:fill="FFFFFF" w:themeFill="background1"/>
            <w:vAlign w:val="center"/>
          </w:tcPr>
          <w:p w14:paraId="2FF5BA0C" w14:textId="77777777" w:rsidR="00091D2A" w:rsidRPr="00552B0C" w:rsidRDefault="00091D2A" w:rsidP="00B11CEB">
            <w:pPr>
              <w:pStyle w:val="Tabletext"/>
              <w:keepNext/>
              <w:keepLines/>
              <w:jc w:val="center"/>
            </w:pPr>
            <w:r w:rsidRPr="00552B0C">
              <w:t>19/174</w:t>
            </w:r>
          </w:p>
          <w:p w14:paraId="00EF3A86" w14:textId="77777777" w:rsidR="00091D2A" w:rsidRPr="00552B0C" w:rsidRDefault="00091D2A" w:rsidP="00B11CEB">
            <w:pPr>
              <w:pStyle w:val="Tabletext"/>
              <w:keepNext/>
              <w:keepLines/>
              <w:jc w:val="center"/>
            </w:pPr>
            <w:r w:rsidRPr="00552B0C">
              <w:t>(10.9%)</w:t>
            </w:r>
          </w:p>
        </w:tc>
        <w:tc>
          <w:tcPr>
            <w:tcW w:w="598" w:type="pct"/>
            <w:shd w:val="clear" w:color="auto" w:fill="FFFFFF" w:themeFill="background1"/>
            <w:vAlign w:val="center"/>
          </w:tcPr>
          <w:p w14:paraId="74A4EA30" w14:textId="77777777" w:rsidR="00091D2A" w:rsidRPr="00552B0C" w:rsidRDefault="00091D2A" w:rsidP="00B11CEB">
            <w:pPr>
              <w:pStyle w:val="Tabletext"/>
              <w:keepNext/>
              <w:keepLines/>
              <w:jc w:val="center"/>
            </w:pPr>
            <w:r w:rsidRPr="00552B0C">
              <w:t>0.96</w:t>
            </w:r>
          </w:p>
          <w:p w14:paraId="75B92687" w14:textId="77777777" w:rsidR="00091D2A" w:rsidRPr="00552B0C" w:rsidRDefault="00091D2A" w:rsidP="00B11CEB">
            <w:pPr>
              <w:pStyle w:val="Tabletext"/>
              <w:keepNext/>
              <w:keepLines/>
              <w:jc w:val="center"/>
            </w:pPr>
            <w:r w:rsidRPr="00552B0C">
              <w:t>(0.52, 1.77)</w:t>
            </w:r>
          </w:p>
        </w:tc>
        <w:tc>
          <w:tcPr>
            <w:tcW w:w="682" w:type="pct"/>
            <w:shd w:val="clear" w:color="auto" w:fill="FFFFFF" w:themeFill="background1"/>
            <w:vAlign w:val="center"/>
          </w:tcPr>
          <w:p w14:paraId="5B07EE6B" w14:textId="77777777" w:rsidR="00091D2A" w:rsidRPr="00552B0C" w:rsidRDefault="00091D2A" w:rsidP="00B11CEB">
            <w:pPr>
              <w:pStyle w:val="Tabletext"/>
              <w:keepNext/>
              <w:keepLines/>
              <w:jc w:val="center"/>
            </w:pPr>
            <w:r w:rsidRPr="00552B0C">
              <w:t>0.64</w:t>
            </w:r>
          </w:p>
          <w:p w14:paraId="5A5275EE" w14:textId="77777777" w:rsidR="00091D2A" w:rsidRPr="00552B0C" w:rsidRDefault="00091D2A" w:rsidP="00B11CEB">
            <w:pPr>
              <w:pStyle w:val="Tabletext"/>
              <w:keepNext/>
              <w:keepLines/>
              <w:jc w:val="center"/>
            </w:pPr>
            <w:r w:rsidRPr="00552B0C">
              <w:t>(0.31, 1.30)</w:t>
            </w:r>
          </w:p>
        </w:tc>
      </w:tr>
      <w:tr w:rsidR="00091D2A" w:rsidRPr="00552B0C" w14:paraId="25CE0BA0" w14:textId="77777777">
        <w:trPr>
          <w:cantSplit/>
        </w:trPr>
        <w:tc>
          <w:tcPr>
            <w:tcW w:w="831" w:type="pct"/>
            <w:shd w:val="clear" w:color="auto" w:fill="FFFFFF" w:themeFill="background1"/>
            <w:vAlign w:val="center"/>
          </w:tcPr>
          <w:p w14:paraId="4909E321" w14:textId="77777777" w:rsidR="00091D2A" w:rsidRPr="00552B0C" w:rsidRDefault="00091D2A" w:rsidP="00B11CEB">
            <w:pPr>
              <w:pStyle w:val="Tabletext"/>
              <w:keepNext/>
              <w:keepLines/>
            </w:pPr>
            <w:r w:rsidRPr="00552B0C">
              <w:t>Neutropenia</w:t>
            </w:r>
          </w:p>
        </w:tc>
        <w:tc>
          <w:tcPr>
            <w:tcW w:w="606" w:type="pct"/>
            <w:shd w:val="clear" w:color="auto" w:fill="FFFFFF" w:themeFill="background1"/>
          </w:tcPr>
          <w:p w14:paraId="1B5B563C" w14:textId="77777777" w:rsidR="00091D2A" w:rsidRPr="00552B0C" w:rsidRDefault="00091D2A" w:rsidP="00B11CEB">
            <w:pPr>
              <w:pStyle w:val="Tabletext"/>
              <w:keepNext/>
              <w:keepLines/>
              <w:jc w:val="center"/>
            </w:pPr>
            <w:r w:rsidRPr="00552B0C">
              <w:t>52/370 (14.1%)</w:t>
            </w:r>
          </w:p>
        </w:tc>
        <w:tc>
          <w:tcPr>
            <w:tcW w:w="606" w:type="pct"/>
            <w:shd w:val="clear" w:color="auto" w:fill="FFFFFF" w:themeFill="background1"/>
          </w:tcPr>
          <w:p w14:paraId="1A080F32" w14:textId="77777777" w:rsidR="00091D2A" w:rsidRPr="00552B0C" w:rsidRDefault="00091D2A" w:rsidP="00B11CEB">
            <w:pPr>
              <w:pStyle w:val="Tabletext"/>
              <w:keepNext/>
              <w:keepLines/>
              <w:jc w:val="center"/>
            </w:pPr>
            <w:r w:rsidRPr="00552B0C">
              <w:t>93/379 (24.5%)</w:t>
            </w:r>
          </w:p>
        </w:tc>
        <w:tc>
          <w:tcPr>
            <w:tcW w:w="531" w:type="pct"/>
            <w:shd w:val="clear" w:color="auto" w:fill="FFFFFF" w:themeFill="background1"/>
          </w:tcPr>
          <w:p w14:paraId="423BAB02" w14:textId="77777777" w:rsidR="00091D2A" w:rsidRPr="00552B0C" w:rsidRDefault="00091D2A" w:rsidP="00B11CEB">
            <w:pPr>
              <w:pStyle w:val="Tabletext"/>
              <w:keepNext/>
              <w:keepLines/>
              <w:jc w:val="center"/>
              <w:rPr>
                <w:b/>
                <w:bCs/>
              </w:rPr>
            </w:pPr>
            <w:r w:rsidRPr="00552B0C">
              <w:rPr>
                <w:b/>
                <w:bCs/>
              </w:rPr>
              <w:t>0.57</w:t>
            </w:r>
          </w:p>
          <w:p w14:paraId="061C4E43" w14:textId="77777777" w:rsidR="00091D2A" w:rsidRPr="00552B0C" w:rsidRDefault="00091D2A" w:rsidP="00B11CEB">
            <w:pPr>
              <w:pStyle w:val="Tabletext"/>
              <w:keepNext/>
              <w:keepLines/>
              <w:jc w:val="center"/>
              <w:rPr>
                <w:b/>
                <w:bCs/>
              </w:rPr>
            </w:pPr>
            <w:r w:rsidRPr="00552B0C">
              <w:rPr>
                <w:b/>
                <w:bCs/>
              </w:rPr>
              <w:t>(0.42, 0.78)</w:t>
            </w:r>
          </w:p>
        </w:tc>
        <w:tc>
          <w:tcPr>
            <w:tcW w:w="595" w:type="pct"/>
            <w:shd w:val="clear" w:color="auto" w:fill="FFFFFF" w:themeFill="background1"/>
            <w:vAlign w:val="center"/>
          </w:tcPr>
          <w:p w14:paraId="06F30E5A" w14:textId="77777777" w:rsidR="00091D2A" w:rsidRPr="00552B0C" w:rsidRDefault="00091D2A" w:rsidP="00B11CEB">
            <w:pPr>
              <w:pStyle w:val="Tabletext"/>
              <w:keepNext/>
              <w:keepLines/>
              <w:jc w:val="center"/>
            </w:pPr>
            <w:r w:rsidRPr="00552B0C">
              <w:t>88/171</w:t>
            </w:r>
          </w:p>
          <w:p w14:paraId="357A340A" w14:textId="77777777" w:rsidR="00091D2A" w:rsidRPr="00552B0C" w:rsidRDefault="00091D2A" w:rsidP="00B11CEB">
            <w:pPr>
              <w:pStyle w:val="Tabletext"/>
              <w:keepNext/>
              <w:keepLines/>
              <w:jc w:val="center"/>
            </w:pPr>
            <w:r w:rsidRPr="00552B0C">
              <w:t>(51.5%)</w:t>
            </w:r>
          </w:p>
        </w:tc>
        <w:tc>
          <w:tcPr>
            <w:tcW w:w="551" w:type="pct"/>
            <w:shd w:val="clear" w:color="auto" w:fill="FFFFFF" w:themeFill="background1"/>
            <w:vAlign w:val="center"/>
          </w:tcPr>
          <w:p w14:paraId="2C2B36F4" w14:textId="77777777" w:rsidR="00091D2A" w:rsidRPr="00552B0C" w:rsidRDefault="00091D2A" w:rsidP="00B11CEB">
            <w:pPr>
              <w:pStyle w:val="Tabletext"/>
              <w:keepNext/>
              <w:keepLines/>
              <w:jc w:val="center"/>
            </w:pPr>
            <w:r w:rsidRPr="00552B0C">
              <w:t>105/174</w:t>
            </w:r>
          </w:p>
          <w:p w14:paraId="10E807E2" w14:textId="77777777" w:rsidR="00091D2A" w:rsidRPr="00552B0C" w:rsidRDefault="00091D2A" w:rsidP="00B11CEB">
            <w:pPr>
              <w:pStyle w:val="Tabletext"/>
              <w:keepNext/>
              <w:keepLines/>
              <w:jc w:val="center"/>
            </w:pPr>
            <w:r w:rsidRPr="00552B0C">
              <w:t>(60.3%)</w:t>
            </w:r>
          </w:p>
        </w:tc>
        <w:tc>
          <w:tcPr>
            <w:tcW w:w="598" w:type="pct"/>
            <w:shd w:val="clear" w:color="auto" w:fill="FFFFFF" w:themeFill="background1"/>
            <w:vAlign w:val="center"/>
          </w:tcPr>
          <w:p w14:paraId="30832964" w14:textId="77777777" w:rsidR="00091D2A" w:rsidRPr="00552B0C" w:rsidRDefault="00091D2A" w:rsidP="00B11CEB">
            <w:pPr>
              <w:pStyle w:val="Tabletext"/>
              <w:keepNext/>
              <w:keepLines/>
              <w:jc w:val="center"/>
            </w:pPr>
            <w:r w:rsidRPr="00552B0C">
              <w:t>0.85</w:t>
            </w:r>
          </w:p>
          <w:p w14:paraId="32D7B553" w14:textId="77777777" w:rsidR="00091D2A" w:rsidRPr="00552B0C" w:rsidRDefault="00091D2A" w:rsidP="00B11CEB">
            <w:pPr>
              <w:pStyle w:val="Tabletext"/>
              <w:keepNext/>
              <w:keepLines/>
              <w:jc w:val="center"/>
            </w:pPr>
            <w:r w:rsidRPr="00552B0C">
              <w:t>(0.71, 1.03)</w:t>
            </w:r>
          </w:p>
        </w:tc>
        <w:tc>
          <w:tcPr>
            <w:tcW w:w="682" w:type="pct"/>
            <w:shd w:val="clear" w:color="auto" w:fill="FFFFFF" w:themeFill="background1"/>
            <w:vAlign w:val="center"/>
          </w:tcPr>
          <w:p w14:paraId="1853FC62" w14:textId="77777777" w:rsidR="00091D2A" w:rsidRPr="00552B0C" w:rsidRDefault="00091D2A" w:rsidP="00B11CEB">
            <w:pPr>
              <w:pStyle w:val="Tabletext"/>
              <w:keepNext/>
              <w:keepLines/>
              <w:jc w:val="center"/>
              <w:rPr>
                <w:b/>
                <w:bCs/>
              </w:rPr>
            </w:pPr>
            <w:r w:rsidRPr="00552B0C">
              <w:rPr>
                <w:b/>
                <w:bCs/>
              </w:rPr>
              <w:t>0.67</w:t>
            </w:r>
          </w:p>
          <w:p w14:paraId="6905FD29" w14:textId="2BD8A54A" w:rsidR="00091D2A" w:rsidRPr="00552B0C" w:rsidRDefault="00091D2A" w:rsidP="00B11CEB">
            <w:pPr>
              <w:pStyle w:val="Tabletext"/>
              <w:keepNext/>
              <w:keepLines/>
              <w:jc w:val="center"/>
            </w:pPr>
            <w:r w:rsidRPr="00552B0C">
              <w:rPr>
                <w:b/>
                <w:bCs/>
              </w:rPr>
              <w:t>(0.47, 0.96)</w:t>
            </w:r>
          </w:p>
        </w:tc>
      </w:tr>
      <w:tr w:rsidR="00091D2A" w:rsidRPr="00552B0C" w14:paraId="058034C8" w14:textId="77777777">
        <w:trPr>
          <w:cantSplit/>
        </w:trPr>
        <w:tc>
          <w:tcPr>
            <w:tcW w:w="831" w:type="pct"/>
            <w:shd w:val="clear" w:color="auto" w:fill="FFFFFF" w:themeFill="background1"/>
            <w:vAlign w:val="center"/>
          </w:tcPr>
          <w:p w14:paraId="6CA0CB05" w14:textId="77777777" w:rsidR="00091D2A" w:rsidRPr="00552B0C" w:rsidRDefault="00091D2A" w:rsidP="00B11CEB">
            <w:pPr>
              <w:pStyle w:val="Tabletext"/>
              <w:keepNext/>
              <w:keepLines/>
            </w:pPr>
            <w:r w:rsidRPr="00552B0C">
              <w:t>Thrombocytopenia</w:t>
            </w:r>
          </w:p>
        </w:tc>
        <w:tc>
          <w:tcPr>
            <w:tcW w:w="606" w:type="pct"/>
            <w:shd w:val="clear" w:color="auto" w:fill="FFFFFF" w:themeFill="background1"/>
          </w:tcPr>
          <w:p w14:paraId="6F996D1C" w14:textId="77777777" w:rsidR="00091D2A" w:rsidRPr="00552B0C" w:rsidRDefault="00091D2A" w:rsidP="00B11CEB">
            <w:pPr>
              <w:pStyle w:val="Tabletext"/>
              <w:keepNext/>
              <w:keepLines/>
              <w:jc w:val="center"/>
            </w:pPr>
            <w:r w:rsidRPr="00552B0C">
              <w:t>3/370</w:t>
            </w:r>
          </w:p>
          <w:p w14:paraId="6BFBB365" w14:textId="77777777" w:rsidR="00091D2A" w:rsidRPr="00552B0C" w:rsidRDefault="00091D2A" w:rsidP="00B11CEB">
            <w:pPr>
              <w:pStyle w:val="Tabletext"/>
              <w:keepNext/>
              <w:keepLines/>
              <w:jc w:val="center"/>
            </w:pPr>
            <w:r w:rsidRPr="00552B0C">
              <w:t>(0.8%)</w:t>
            </w:r>
          </w:p>
        </w:tc>
        <w:tc>
          <w:tcPr>
            <w:tcW w:w="606" w:type="pct"/>
            <w:shd w:val="clear" w:color="auto" w:fill="FFFFFF" w:themeFill="background1"/>
          </w:tcPr>
          <w:p w14:paraId="321E1D02" w14:textId="77777777" w:rsidR="00091D2A" w:rsidRPr="00552B0C" w:rsidRDefault="00091D2A" w:rsidP="00B11CEB">
            <w:pPr>
              <w:pStyle w:val="Tabletext"/>
              <w:keepNext/>
              <w:keepLines/>
              <w:jc w:val="center"/>
            </w:pPr>
            <w:r w:rsidRPr="00552B0C">
              <w:t xml:space="preserve">14/379 </w:t>
            </w:r>
          </w:p>
          <w:p w14:paraId="484B9E2F" w14:textId="77777777" w:rsidR="00091D2A" w:rsidRPr="00552B0C" w:rsidRDefault="00091D2A" w:rsidP="00B11CEB">
            <w:pPr>
              <w:pStyle w:val="Tabletext"/>
              <w:keepNext/>
              <w:keepLines/>
              <w:jc w:val="center"/>
            </w:pPr>
            <w:r w:rsidRPr="00552B0C">
              <w:t>(3.7%)</w:t>
            </w:r>
          </w:p>
        </w:tc>
        <w:tc>
          <w:tcPr>
            <w:tcW w:w="531" w:type="pct"/>
            <w:shd w:val="clear" w:color="auto" w:fill="FFFFFF" w:themeFill="background1"/>
          </w:tcPr>
          <w:p w14:paraId="18003D5B" w14:textId="77777777" w:rsidR="00091D2A" w:rsidRPr="00552B0C" w:rsidRDefault="00091D2A" w:rsidP="00B11CEB">
            <w:pPr>
              <w:pStyle w:val="Tabletext"/>
              <w:keepNext/>
              <w:keepLines/>
              <w:jc w:val="center"/>
              <w:rPr>
                <w:b/>
                <w:bCs/>
              </w:rPr>
            </w:pPr>
            <w:r w:rsidRPr="00552B0C">
              <w:rPr>
                <w:b/>
                <w:bCs/>
              </w:rPr>
              <w:t>0.22</w:t>
            </w:r>
          </w:p>
          <w:p w14:paraId="5C3E7C16" w14:textId="77777777" w:rsidR="00091D2A" w:rsidRPr="00552B0C" w:rsidRDefault="00091D2A" w:rsidP="00B11CEB">
            <w:pPr>
              <w:pStyle w:val="Tabletext"/>
              <w:keepNext/>
              <w:keepLines/>
              <w:jc w:val="center"/>
              <w:rPr>
                <w:b/>
                <w:bCs/>
              </w:rPr>
            </w:pPr>
            <w:r w:rsidRPr="00552B0C">
              <w:rPr>
                <w:b/>
                <w:bCs/>
              </w:rPr>
              <w:t>(0.06, 0.76)</w:t>
            </w:r>
          </w:p>
        </w:tc>
        <w:tc>
          <w:tcPr>
            <w:tcW w:w="595" w:type="pct"/>
            <w:shd w:val="clear" w:color="auto" w:fill="FFFFFF" w:themeFill="background1"/>
            <w:vAlign w:val="center"/>
          </w:tcPr>
          <w:p w14:paraId="642B4263" w14:textId="77777777" w:rsidR="00091D2A" w:rsidRPr="00552B0C" w:rsidRDefault="00091D2A" w:rsidP="00B11CEB">
            <w:pPr>
              <w:pStyle w:val="Tabletext"/>
              <w:keepNext/>
              <w:keepLines/>
              <w:jc w:val="center"/>
            </w:pPr>
            <w:r w:rsidRPr="00552B0C">
              <w:t>8/171</w:t>
            </w:r>
          </w:p>
          <w:p w14:paraId="6A9ECD78" w14:textId="77777777" w:rsidR="00091D2A" w:rsidRPr="00552B0C" w:rsidRDefault="00091D2A" w:rsidP="00B11CEB">
            <w:pPr>
              <w:pStyle w:val="Tabletext"/>
              <w:keepNext/>
              <w:keepLines/>
              <w:jc w:val="center"/>
            </w:pPr>
            <w:r w:rsidRPr="00552B0C">
              <w:t>(4.7%)</w:t>
            </w:r>
          </w:p>
        </w:tc>
        <w:tc>
          <w:tcPr>
            <w:tcW w:w="551" w:type="pct"/>
            <w:shd w:val="clear" w:color="auto" w:fill="FFFFFF" w:themeFill="background1"/>
            <w:vAlign w:val="center"/>
          </w:tcPr>
          <w:p w14:paraId="693D57F2" w14:textId="77777777" w:rsidR="00091D2A" w:rsidRPr="00552B0C" w:rsidRDefault="00091D2A" w:rsidP="00B11CEB">
            <w:pPr>
              <w:pStyle w:val="Tabletext"/>
              <w:keepNext/>
              <w:keepLines/>
              <w:jc w:val="center"/>
            </w:pPr>
            <w:r w:rsidRPr="00552B0C">
              <w:t>8/174</w:t>
            </w:r>
          </w:p>
          <w:p w14:paraId="7163D992" w14:textId="77777777" w:rsidR="00091D2A" w:rsidRPr="00552B0C" w:rsidRDefault="00091D2A" w:rsidP="00B11CEB">
            <w:pPr>
              <w:pStyle w:val="Tabletext"/>
              <w:keepNext/>
              <w:keepLines/>
              <w:jc w:val="center"/>
            </w:pPr>
            <w:r w:rsidRPr="00552B0C">
              <w:t>(4.6%)</w:t>
            </w:r>
          </w:p>
        </w:tc>
        <w:tc>
          <w:tcPr>
            <w:tcW w:w="598" w:type="pct"/>
            <w:shd w:val="clear" w:color="auto" w:fill="FFFFFF" w:themeFill="background1"/>
            <w:vAlign w:val="center"/>
          </w:tcPr>
          <w:p w14:paraId="1E9E9D25" w14:textId="77777777" w:rsidR="00091D2A" w:rsidRPr="00552B0C" w:rsidRDefault="00091D2A" w:rsidP="00B11CEB">
            <w:pPr>
              <w:pStyle w:val="Tabletext"/>
              <w:keepNext/>
              <w:keepLines/>
              <w:jc w:val="center"/>
            </w:pPr>
            <w:r w:rsidRPr="00552B0C">
              <w:t>1.01</w:t>
            </w:r>
          </w:p>
          <w:p w14:paraId="45FF4585" w14:textId="77777777" w:rsidR="00091D2A" w:rsidRPr="00552B0C" w:rsidRDefault="00091D2A" w:rsidP="00B11CEB">
            <w:pPr>
              <w:pStyle w:val="Tabletext"/>
              <w:keepNext/>
              <w:keepLines/>
              <w:jc w:val="center"/>
            </w:pPr>
            <w:r w:rsidRPr="00552B0C">
              <w:t>(0.39, 2.65)</w:t>
            </w:r>
          </w:p>
        </w:tc>
        <w:tc>
          <w:tcPr>
            <w:tcW w:w="682" w:type="pct"/>
            <w:shd w:val="clear" w:color="auto" w:fill="FFFFFF" w:themeFill="background1"/>
            <w:vAlign w:val="center"/>
          </w:tcPr>
          <w:p w14:paraId="6D1AD82E" w14:textId="77777777" w:rsidR="00091D2A" w:rsidRPr="00552B0C" w:rsidRDefault="00091D2A" w:rsidP="00B11CEB">
            <w:pPr>
              <w:pStyle w:val="Tabletext"/>
              <w:keepNext/>
              <w:keepLines/>
              <w:jc w:val="center"/>
            </w:pPr>
            <w:r w:rsidRPr="00552B0C">
              <w:t>0.22</w:t>
            </w:r>
          </w:p>
          <w:p w14:paraId="39E446E3" w14:textId="77777777" w:rsidR="00091D2A" w:rsidRPr="00552B0C" w:rsidRDefault="00091D2A" w:rsidP="00B11CEB">
            <w:pPr>
              <w:pStyle w:val="Tabletext"/>
              <w:keepNext/>
              <w:keepLines/>
              <w:jc w:val="center"/>
            </w:pPr>
            <w:r w:rsidRPr="00552B0C">
              <w:t>(0.04, 1.07)</w:t>
            </w:r>
          </w:p>
        </w:tc>
      </w:tr>
      <w:tr w:rsidR="00091D2A" w:rsidRPr="00552B0C" w14:paraId="4BE687DA" w14:textId="77777777">
        <w:trPr>
          <w:cantSplit/>
        </w:trPr>
        <w:tc>
          <w:tcPr>
            <w:tcW w:w="831" w:type="pct"/>
            <w:shd w:val="clear" w:color="auto" w:fill="FFFFFF" w:themeFill="background1"/>
            <w:vAlign w:val="center"/>
          </w:tcPr>
          <w:p w14:paraId="2275869E" w14:textId="77777777" w:rsidR="00091D2A" w:rsidRPr="00552B0C" w:rsidRDefault="00091D2A" w:rsidP="00B11CEB">
            <w:pPr>
              <w:pStyle w:val="Tabletext"/>
              <w:keepNext/>
              <w:keepLines/>
            </w:pPr>
            <w:r w:rsidRPr="00552B0C">
              <w:t>Febrile neutropenia</w:t>
            </w:r>
          </w:p>
        </w:tc>
        <w:tc>
          <w:tcPr>
            <w:tcW w:w="606" w:type="pct"/>
            <w:shd w:val="clear" w:color="auto" w:fill="FFFFFF" w:themeFill="background1"/>
          </w:tcPr>
          <w:p w14:paraId="11BA2A73" w14:textId="77777777" w:rsidR="00091D2A" w:rsidRPr="00552B0C" w:rsidRDefault="00091D2A" w:rsidP="00B11CEB">
            <w:pPr>
              <w:pStyle w:val="Tabletext"/>
              <w:keepNext/>
              <w:keepLines/>
              <w:jc w:val="center"/>
            </w:pPr>
            <w:r w:rsidRPr="00552B0C">
              <w:t>9/370</w:t>
            </w:r>
          </w:p>
          <w:p w14:paraId="2DFB4975" w14:textId="77777777" w:rsidR="00091D2A" w:rsidRPr="00552B0C" w:rsidRDefault="00091D2A" w:rsidP="00B11CEB">
            <w:pPr>
              <w:pStyle w:val="Tabletext"/>
              <w:keepNext/>
              <w:keepLines/>
              <w:jc w:val="center"/>
            </w:pPr>
            <w:r w:rsidRPr="00552B0C">
              <w:t>(2.4%)</w:t>
            </w:r>
          </w:p>
        </w:tc>
        <w:tc>
          <w:tcPr>
            <w:tcW w:w="606" w:type="pct"/>
            <w:shd w:val="clear" w:color="auto" w:fill="FFFFFF" w:themeFill="background1"/>
          </w:tcPr>
          <w:p w14:paraId="1C3DD284" w14:textId="77777777" w:rsidR="00091D2A" w:rsidRPr="00552B0C" w:rsidRDefault="00091D2A" w:rsidP="00B11CEB">
            <w:pPr>
              <w:pStyle w:val="Tabletext"/>
              <w:keepNext/>
              <w:keepLines/>
              <w:jc w:val="center"/>
            </w:pPr>
            <w:r w:rsidRPr="00552B0C">
              <w:t>9/379</w:t>
            </w:r>
          </w:p>
          <w:p w14:paraId="0AC1D099" w14:textId="77777777" w:rsidR="00091D2A" w:rsidRPr="00552B0C" w:rsidRDefault="00091D2A" w:rsidP="00B11CEB">
            <w:pPr>
              <w:pStyle w:val="Tabletext"/>
              <w:keepNext/>
              <w:keepLines/>
              <w:jc w:val="center"/>
            </w:pPr>
            <w:r w:rsidRPr="00552B0C">
              <w:t>(2.4%)</w:t>
            </w:r>
          </w:p>
        </w:tc>
        <w:tc>
          <w:tcPr>
            <w:tcW w:w="531" w:type="pct"/>
            <w:shd w:val="clear" w:color="auto" w:fill="FFFFFF" w:themeFill="background1"/>
            <w:vAlign w:val="center"/>
          </w:tcPr>
          <w:p w14:paraId="486C2B5D" w14:textId="77777777" w:rsidR="00091D2A" w:rsidRPr="00552B0C" w:rsidRDefault="00091D2A" w:rsidP="00B11CEB">
            <w:pPr>
              <w:pStyle w:val="Tabletext"/>
              <w:keepNext/>
              <w:keepLines/>
              <w:jc w:val="center"/>
            </w:pPr>
            <w:r w:rsidRPr="00552B0C">
              <w:t>1.02</w:t>
            </w:r>
          </w:p>
          <w:p w14:paraId="78C867F2" w14:textId="77777777" w:rsidR="00091D2A" w:rsidRPr="00552B0C" w:rsidRDefault="00091D2A" w:rsidP="00B11CEB">
            <w:pPr>
              <w:pStyle w:val="Tabletext"/>
              <w:keepNext/>
              <w:keepLines/>
              <w:jc w:val="center"/>
            </w:pPr>
            <w:r w:rsidRPr="00552B0C">
              <w:t>(0.41, 2.55)</w:t>
            </w:r>
          </w:p>
        </w:tc>
        <w:tc>
          <w:tcPr>
            <w:tcW w:w="595" w:type="pct"/>
            <w:shd w:val="clear" w:color="auto" w:fill="FFFFFF" w:themeFill="background1"/>
            <w:vAlign w:val="center"/>
          </w:tcPr>
          <w:p w14:paraId="3B48B4F6" w14:textId="77777777" w:rsidR="00091D2A" w:rsidRPr="00552B0C" w:rsidRDefault="00091D2A" w:rsidP="00B11CEB">
            <w:pPr>
              <w:pStyle w:val="Tabletext"/>
              <w:keepNext/>
              <w:keepLines/>
              <w:jc w:val="center"/>
            </w:pPr>
            <w:r w:rsidRPr="00552B0C">
              <w:t>15/171</w:t>
            </w:r>
          </w:p>
          <w:p w14:paraId="6F53198E" w14:textId="77777777" w:rsidR="00091D2A" w:rsidRPr="00552B0C" w:rsidRDefault="00091D2A" w:rsidP="00B11CEB">
            <w:pPr>
              <w:pStyle w:val="Tabletext"/>
              <w:keepNext/>
              <w:keepLines/>
              <w:jc w:val="center"/>
            </w:pPr>
            <w:r w:rsidRPr="00552B0C">
              <w:t>(8.8%)</w:t>
            </w:r>
          </w:p>
        </w:tc>
        <w:tc>
          <w:tcPr>
            <w:tcW w:w="551" w:type="pct"/>
            <w:shd w:val="clear" w:color="auto" w:fill="FFFFFF" w:themeFill="background1"/>
            <w:vAlign w:val="center"/>
          </w:tcPr>
          <w:p w14:paraId="620854C5" w14:textId="77777777" w:rsidR="00091D2A" w:rsidRPr="00552B0C" w:rsidRDefault="00091D2A" w:rsidP="00B11CEB">
            <w:pPr>
              <w:pStyle w:val="Tabletext"/>
              <w:keepNext/>
              <w:keepLines/>
              <w:jc w:val="center"/>
            </w:pPr>
            <w:r w:rsidRPr="00552B0C">
              <w:t>6/174</w:t>
            </w:r>
          </w:p>
          <w:p w14:paraId="74A8F0E4" w14:textId="77777777" w:rsidR="00091D2A" w:rsidRPr="00552B0C" w:rsidRDefault="00091D2A" w:rsidP="00B11CEB">
            <w:pPr>
              <w:pStyle w:val="Tabletext"/>
              <w:keepNext/>
              <w:keepLines/>
              <w:jc w:val="center"/>
            </w:pPr>
            <w:r w:rsidRPr="00552B0C">
              <w:t>(3.4%)</w:t>
            </w:r>
          </w:p>
        </w:tc>
        <w:tc>
          <w:tcPr>
            <w:tcW w:w="598" w:type="pct"/>
            <w:shd w:val="clear" w:color="auto" w:fill="FFFFFF" w:themeFill="background1"/>
            <w:vAlign w:val="center"/>
          </w:tcPr>
          <w:p w14:paraId="102E472D" w14:textId="77777777" w:rsidR="00091D2A" w:rsidRPr="00552B0C" w:rsidRDefault="00091D2A" w:rsidP="00B11CEB">
            <w:pPr>
              <w:pStyle w:val="Tabletext"/>
              <w:keepNext/>
              <w:keepLines/>
              <w:jc w:val="center"/>
              <w:rPr>
                <w:b/>
                <w:bCs/>
              </w:rPr>
            </w:pPr>
            <w:r w:rsidRPr="00552B0C">
              <w:rPr>
                <w:b/>
                <w:bCs/>
              </w:rPr>
              <w:t>2.54</w:t>
            </w:r>
          </w:p>
          <w:p w14:paraId="5A6D55FF" w14:textId="77777777" w:rsidR="00091D2A" w:rsidRPr="00552B0C" w:rsidRDefault="00091D2A" w:rsidP="00B11CEB">
            <w:pPr>
              <w:pStyle w:val="Tabletext"/>
              <w:keepNext/>
              <w:keepLines/>
              <w:jc w:val="center"/>
            </w:pPr>
            <w:r w:rsidRPr="00552B0C">
              <w:rPr>
                <w:b/>
                <w:bCs/>
              </w:rPr>
              <w:t>(1.01, 6.40)</w:t>
            </w:r>
          </w:p>
        </w:tc>
        <w:tc>
          <w:tcPr>
            <w:tcW w:w="682" w:type="pct"/>
            <w:shd w:val="clear" w:color="auto" w:fill="FFFFFF" w:themeFill="background1"/>
            <w:vAlign w:val="center"/>
          </w:tcPr>
          <w:p w14:paraId="2F8910DF" w14:textId="77777777" w:rsidR="00091D2A" w:rsidRPr="00552B0C" w:rsidRDefault="00091D2A" w:rsidP="00B11CEB">
            <w:pPr>
              <w:pStyle w:val="Tabletext"/>
              <w:keepNext/>
              <w:keepLines/>
              <w:jc w:val="center"/>
            </w:pPr>
            <w:r w:rsidRPr="00552B0C">
              <w:t>0.40</w:t>
            </w:r>
          </w:p>
          <w:p w14:paraId="385910CE" w14:textId="77777777" w:rsidR="00091D2A" w:rsidRPr="00552B0C" w:rsidRDefault="00091D2A" w:rsidP="00B11CEB">
            <w:pPr>
              <w:pStyle w:val="Tabletext"/>
              <w:keepNext/>
              <w:keepLines/>
              <w:jc w:val="center"/>
            </w:pPr>
            <w:r w:rsidRPr="00552B0C">
              <w:t>(0.11, 1.47)</w:t>
            </w:r>
          </w:p>
        </w:tc>
      </w:tr>
      <w:tr w:rsidR="00091D2A" w:rsidRPr="00552B0C" w14:paraId="3DCA08E9" w14:textId="77777777">
        <w:trPr>
          <w:cantSplit/>
        </w:trPr>
        <w:tc>
          <w:tcPr>
            <w:tcW w:w="5000" w:type="pct"/>
            <w:gridSpan w:val="8"/>
            <w:shd w:val="clear" w:color="auto" w:fill="FFFFFF" w:themeFill="background1"/>
            <w:vAlign w:val="center"/>
          </w:tcPr>
          <w:p w14:paraId="65F687F1" w14:textId="77777777" w:rsidR="00091D2A" w:rsidRPr="00552B0C" w:rsidRDefault="00091D2A" w:rsidP="00B11CEB">
            <w:pPr>
              <w:pStyle w:val="In-tableHeading"/>
              <w:keepLines/>
            </w:pPr>
            <w:r w:rsidRPr="00552B0C">
              <w:t>Investigations</w:t>
            </w:r>
          </w:p>
        </w:tc>
      </w:tr>
      <w:tr w:rsidR="00091D2A" w:rsidRPr="00552B0C" w14:paraId="7D8B28EF" w14:textId="77777777">
        <w:trPr>
          <w:cantSplit/>
        </w:trPr>
        <w:tc>
          <w:tcPr>
            <w:tcW w:w="831" w:type="pct"/>
            <w:shd w:val="clear" w:color="auto" w:fill="FFFFFF" w:themeFill="background1"/>
            <w:vAlign w:val="center"/>
          </w:tcPr>
          <w:p w14:paraId="0AC49CC1" w14:textId="77777777" w:rsidR="00091D2A" w:rsidRPr="00552B0C" w:rsidRDefault="00091D2A" w:rsidP="00B11CEB">
            <w:pPr>
              <w:pStyle w:val="Tabletext"/>
              <w:keepNext/>
              <w:keepLines/>
            </w:pPr>
            <w:r w:rsidRPr="00552B0C">
              <w:t>Reduction in WBC</w:t>
            </w:r>
          </w:p>
        </w:tc>
        <w:tc>
          <w:tcPr>
            <w:tcW w:w="606" w:type="pct"/>
            <w:shd w:val="clear" w:color="auto" w:fill="FFFFFF" w:themeFill="background1"/>
          </w:tcPr>
          <w:p w14:paraId="33BE3DE1" w14:textId="77777777" w:rsidR="00091D2A" w:rsidRPr="00552B0C" w:rsidRDefault="00091D2A" w:rsidP="00B11CEB">
            <w:pPr>
              <w:pStyle w:val="Tabletext"/>
              <w:keepNext/>
              <w:keepLines/>
              <w:jc w:val="center"/>
            </w:pPr>
            <w:r w:rsidRPr="00552B0C">
              <w:t>6/370</w:t>
            </w:r>
          </w:p>
          <w:p w14:paraId="2458A932" w14:textId="77777777" w:rsidR="00091D2A" w:rsidRPr="00552B0C" w:rsidRDefault="00091D2A" w:rsidP="00B11CEB">
            <w:pPr>
              <w:pStyle w:val="Tabletext"/>
              <w:keepNext/>
              <w:keepLines/>
              <w:jc w:val="center"/>
            </w:pPr>
            <w:r w:rsidRPr="00552B0C">
              <w:t>(1.6%)</w:t>
            </w:r>
          </w:p>
        </w:tc>
        <w:tc>
          <w:tcPr>
            <w:tcW w:w="606" w:type="pct"/>
            <w:shd w:val="clear" w:color="auto" w:fill="FFFFFF" w:themeFill="background1"/>
          </w:tcPr>
          <w:p w14:paraId="785FAF70" w14:textId="77777777" w:rsidR="00091D2A" w:rsidRPr="00552B0C" w:rsidRDefault="00091D2A" w:rsidP="00B11CEB">
            <w:pPr>
              <w:pStyle w:val="Tabletext"/>
              <w:keepNext/>
              <w:keepLines/>
              <w:jc w:val="center"/>
            </w:pPr>
            <w:r w:rsidRPr="00552B0C">
              <w:t xml:space="preserve">18/379 </w:t>
            </w:r>
          </w:p>
          <w:p w14:paraId="09DA5872" w14:textId="77777777" w:rsidR="00091D2A" w:rsidRPr="00552B0C" w:rsidRDefault="00091D2A" w:rsidP="00B11CEB">
            <w:pPr>
              <w:pStyle w:val="Tabletext"/>
              <w:keepNext/>
              <w:keepLines/>
              <w:jc w:val="center"/>
            </w:pPr>
            <w:r w:rsidRPr="00552B0C">
              <w:t>(4.7%)</w:t>
            </w:r>
          </w:p>
        </w:tc>
        <w:tc>
          <w:tcPr>
            <w:tcW w:w="531" w:type="pct"/>
            <w:shd w:val="clear" w:color="auto" w:fill="FFFFFF" w:themeFill="background1"/>
            <w:vAlign w:val="center"/>
          </w:tcPr>
          <w:p w14:paraId="187FD187" w14:textId="77777777" w:rsidR="00091D2A" w:rsidRPr="00552B0C" w:rsidRDefault="00091D2A" w:rsidP="00B11CEB">
            <w:pPr>
              <w:pStyle w:val="Tabletext"/>
              <w:keepNext/>
              <w:keepLines/>
              <w:jc w:val="center"/>
              <w:rPr>
                <w:b/>
                <w:bCs/>
              </w:rPr>
            </w:pPr>
            <w:r w:rsidRPr="00552B0C">
              <w:rPr>
                <w:b/>
                <w:bCs/>
              </w:rPr>
              <w:t>0.34</w:t>
            </w:r>
          </w:p>
          <w:p w14:paraId="7A95DFC9" w14:textId="77777777" w:rsidR="00091D2A" w:rsidRPr="00552B0C" w:rsidRDefault="00091D2A" w:rsidP="00B11CEB">
            <w:pPr>
              <w:pStyle w:val="Tabletext"/>
              <w:keepNext/>
              <w:keepLines/>
              <w:jc w:val="center"/>
            </w:pPr>
            <w:r w:rsidRPr="00552B0C">
              <w:rPr>
                <w:b/>
                <w:bCs/>
              </w:rPr>
              <w:t>(0.14, 0.85)</w:t>
            </w:r>
          </w:p>
        </w:tc>
        <w:tc>
          <w:tcPr>
            <w:tcW w:w="595" w:type="pct"/>
            <w:shd w:val="clear" w:color="auto" w:fill="FFFFFF" w:themeFill="background1"/>
            <w:vAlign w:val="center"/>
          </w:tcPr>
          <w:p w14:paraId="62B7279D" w14:textId="77777777" w:rsidR="00091D2A" w:rsidRPr="00552B0C" w:rsidRDefault="00091D2A" w:rsidP="00B11CEB">
            <w:pPr>
              <w:pStyle w:val="Tabletext"/>
              <w:keepNext/>
              <w:keepLines/>
              <w:jc w:val="center"/>
            </w:pPr>
            <w:r w:rsidRPr="00552B0C">
              <w:t>38/171</w:t>
            </w:r>
          </w:p>
          <w:p w14:paraId="2777AD25" w14:textId="77777777" w:rsidR="00091D2A" w:rsidRPr="00552B0C" w:rsidRDefault="00091D2A" w:rsidP="00B11CEB">
            <w:pPr>
              <w:pStyle w:val="Tabletext"/>
              <w:keepNext/>
              <w:keepLines/>
              <w:jc w:val="center"/>
            </w:pPr>
            <w:r w:rsidRPr="00552B0C">
              <w:t>(22.2%)</w:t>
            </w:r>
          </w:p>
        </w:tc>
        <w:tc>
          <w:tcPr>
            <w:tcW w:w="551" w:type="pct"/>
            <w:shd w:val="clear" w:color="auto" w:fill="FFFFFF" w:themeFill="background1"/>
            <w:vAlign w:val="center"/>
          </w:tcPr>
          <w:p w14:paraId="353A28A1" w14:textId="77777777" w:rsidR="00091D2A" w:rsidRPr="00552B0C" w:rsidRDefault="00091D2A" w:rsidP="00B11CEB">
            <w:pPr>
              <w:pStyle w:val="Tabletext"/>
              <w:keepNext/>
              <w:keepLines/>
              <w:jc w:val="center"/>
            </w:pPr>
            <w:r w:rsidRPr="00552B0C">
              <w:t>60/174</w:t>
            </w:r>
          </w:p>
          <w:p w14:paraId="13356735" w14:textId="77777777" w:rsidR="00091D2A" w:rsidRPr="00552B0C" w:rsidRDefault="00091D2A" w:rsidP="00B11CEB">
            <w:pPr>
              <w:pStyle w:val="Tabletext"/>
              <w:keepNext/>
              <w:keepLines/>
              <w:jc w:val="center"/>
            </w:pPr>
            <w:r w:rsidRPr="00552B0C">
              <w:t>(34.5%)</w:t>
            </w:r>
          </w:p>
        </w:tc>
        <w:tc>
          <w:tcPr>
            <w:tcW w:w="598" w:type="pct"/>
            <w:shd w:val="clear" w:color="auto" w:fill="FFFFFF" w:themeFill="background1"/>
            <w:vAlign w:val="center"/>
          </w:tcPr>
          <w:p w14:paraId="02C51102" w14:textId="77777777" w:rsidR="00091D2A" w:rsidRPr="00552B0C" w:rsidRDefault="00091D2A" w:rsidP="00B11CEB">
            <w:pPr>
              <w:pStyle w:val="Tabletext"/>
              <w:keepNext/>
              <w:keepLines/>
              <w:jc w:val="center"/>
              <w:rPr>
                <w:b/>
                <w:bCs/>
              </w:rPr>
            </w:pPr>
            <w:r w:rsidRPr="00552B0C">
              <w:rPr>
                <w:b/>
                <w:bCs/>
              </w:rPr>
              <w:t>0.64</w:t>
            </w:r>
          </w:p>
          <w:p w14:paraId="5D2A2868" w14:textId="77777777" w:rsidR="00091D2A" w:rsidRPr="00552B0C" w:rsidRDefault="00091D2A" w:rsidP="00B11CEB">
            <w:pPr>
              <w:pStyle w:val="Tabletext"/>
              <w:keepNext/>
              <w:keepLines/>
              <w:jc w:val="center"/>
            </w:pPr>
            <w:r w:rsidRPr="00552B0C">
              <w:rPr>
                <w:b/>
                <w:bCs/>
              </w:rPr>
              <w:t>(0.46, 0.91)</w:t>
            </w:r>
          </w:p>
        </w:tc>
        <w:tc>
          <w:tcPr>
            <w:tcW w:w="682" w:type="pct"/>
            <w:shd w:val="clear" w:color="auto" w:fill="FFFFFF" w:themeFill="background1"/>
            <w:vAlign w:val="center"/>
          </w:tcPr>
          <w:p w14:paraId="355CFDD8" w14:textId="77777777" w:rsidR="00091D2A" w:rsidRPr="00552B0C" w:rsidRDefault="00091D2A" w:rsidP="00B11CEB">
            <w:pPr>
              <w:pStyle w:val="Tabletext"/>
              <w:keepNext/>
              <w:keepLines/>
              <w:jc w:val="center"/>
            </w:pPr>
            <w:r w:rsidRPr="00552B0C">
              <w:t>0.53</w:t>
            </w:r>
          </w:p>
          <w:p w14:paraId="4B830CB4" w14:textId="77777777" w:rsidR="00091D2A" w:rsidRPr="00552B0C" w:rsidRDefault="00091D2A" w:rsidP="00B11CEB">
            <w:pPr>
              <w:pStyle w:val="Tabletext"/>
              <w:keepNext/>
              <w:keepLines/>
              <w:jc w:val="center"/>
            </w:pPr>
            <w:r w:rsidRPr="00552B0C">
              <w:t>(0.20, 1.39)</w:t>
            </w:r>
          </w:p>
        </w:tc>
      </w:tr>
      <w:tr w:rsidR="00091D2A" w:rsidRPr="00552B0C" w14:paraId="1955E7EF" w14:textId="77777777">
        <w:trPr>
          <w:cantSplit/>
        </w:trPr>
        <w:tc>
          <w:tcPr>
            <w:tcW w:w="831" w:type="pct"/>
            <w:shd w:val="clear" w:color="auto" w:fill="FFFFFF" w:themeFill="background1"/>
            <w:vAlign w:val="center"/>
          </w:tcPr>
          <w:p w14:paraId="5EAE46F8" w14:textId="77777777" w:rsidR="00091D2A" w:rsidRPr="00552B0C" w:rsidRDefault="00091D2A" w:rsidP="00B11CEB">
            <w:pPr>
              <w:pStyle w:val="Tabletext"/>
              <w:keepNext/>
              <w:keepLines/>
            </w:pPr>
            <w:r w:rsidRPr="00552B0C">
              <w:t>ALT increased</w:t>
            </w:r>
          </w:p>
        </w:tc>
        <w:tc>
          <w:tcPr>
            <w:tcW w:w="606" w:type="pct"/>
            <w:shd w:val="clear" w:color="auto" w:fill="FFFFFF" w:themeFill="background1"/>
          </w:tcPr>
          <w:p w14:paraId="5EE57288" w14:textId="77777777" w:rsidR="00091D2A" w:rsidRPr="00552B0C" w:rsidRDefault="00091D2A" w:rsidP="00B11CEB">
            <w:pPr>
              <w:pStyle w:val="Tabletext"/>
              <w:keepNext/>
              <w:keepLines/>
              <w:jc w:val="center"/>
            </w:pPr>
            <w:r w:rsidRPr="00552B0C">
              <w:t xml:space="preserve">13/370 </w:t>
            </w:r>
          </w:p>
          <w:p w14:paraId="2367AE77" w14:textId="77777777" w:rsidR="00091D2A" w:rsidRPr="00552B0C" w:rsidRDefault="00091D2A" w:rsidP="00B11CEB">
            <w:pPr>
              <w:pStyle w:val="Tabletext"/>
              <w:keepNext/>
              <w:keepLines/>
              <w:jc w:val="center"/>
            </w:pPr>
            <w:r w:rsidRPr="00552B0C">
              <w:t>(3.5%)</w:t>
            </w:r>
          </w:p>
        </w:tc>
        <w:tc>
          <w:tcPr>
            <w:tcW w:w="606" w:type="pct"/>
            <w:shd w:val="clear" w:color="auto" w:fill="FFFFFF" w:themeFill="background1"/>
          </w:tcPr>
          <w:p w14:paraId="5B9CC3A6" w14:textId="77777777" w:rsidR="00091D2A" w:rsidRPr="00552B0C" w:rsidRDefault="00091D2A" w:rsidP="00B11CEB">
            <w:pPr>
              <w:pStyle w:val="Tabletext"/>
              <w:keepNext/>
              <w:keepLines/>
              <w:jc w:val="center"/>
            </w:pPr>
            <w:r w:rsidRPr="00552B0C">
              <w:t>12/379</w:t>
            </w:r>
          </w:p>
          <w:p w14:paraId="280AAEE4" w14:textId="77777777" w:rsidR="00091D2A" w:rsidRPr="00552B0C" w:rsidRDefault="00091D2A" w:rsidP="00B11CEB">
            <w:pPr>
              <w:pStyle w:val="Tabletext"/>
              <w:keepNext/>
              <w:keepLines/>
              <w:jc w:val="center"/>
            </w:pPr>
            <w:r w:rsidRPr="00552B0C">
              <w:t>(3.2%)</w:t>
            </w:r>
          </w:p>
        </w:tc>
        <w:tc>
          <w:tcPr>
            <w:tcW w:w="531" w:type="pct"/>
            <w:shd w:val="clear" w:color="auto" w:fill="FFFFFF" w:themeFill="background1"/>
            <w:vAlign w:val="center"/>
          </w:tcPr>
          <w:p w14:paraId="3CE436C5" w14:textId="77777777" w:rsidR="00091D2A" w:rsidRPr="00552B0C" w:rsidRDefault="00091D2A" w:rsidP="00B11CEB">
            <w:pPr>
              <w:pStyle w:val="Tabletext"/>
              <w:keepNext/>
              <w:keepLines/>
              <w:jc w:val="center"/>
            </w:pPr>
            <w:r w:rsidRPr="00552B0C">
              <w:t>0.95</w:t>
            </w:r>
          </w:p>
          <w:p w14:paraId="1A160A85" w14:textId="77777777" w:rsidR="00091D2A" w:rsidRPr="00552B0C" w:rsidRDefault="00091D2A" w:rsidP="00B11CEB">
            <w:pPr>
              <w:pStyle w:val="Tabletext"/>
              <w:keepNext/>
              <w:keepLines/>
              <w:jc w:val="center"/>
            </w:pPr>
            <w:r w:rsidRPr="00552B0C">
              <w:t>(0.44, 2.05)</w:t>
            </w:r>
          </w:p>
        </w:tc>
        <w:tc>
          <w:tcPr>
            <w:tcW w:w="595" w:type="pct"/>
            <w:shd w:val="clear" w:color="auto" w:fill="FFFFFF" w:themeFill="background1"/>
            <w:vAlign w:val="center"/>
          </w:tcPr>
          <w:p w14:paraId="5A9E59D2" w14:textId="77777777" w:rsidR="00091D2A" w:rsidRPr="00552B0C" w:rsidRDefault="00091D2A" w:rsidP="00B11CEB">
            <w:pPr>
              <w:pStyle w:val="Tabletext"/>
              <w:keepNext/>
              <w:keepLines/>
              <w:jc w:val="center"/>
            </w:pPr>
            <w:r w:rsidRPr="00552B0C">
              <w:t>20/171</w:t>
            </w:r>
          </w:p>
          <w:p w14:paraId="07E8AE66" w14:textId="77777777" w:rsidR="00091D2A" w:rsidRPr="00552B0C" w:rsidRDefault="00091D2A" w:rsidP="00B11CEB">
            <w:pPr>
              <w:pStyle w:val="Tabletext"/>
              <w:keepNext/>
              <w:keepLines/>
              <w:jc w:val="center"/>
            </w:pPr>
            <w:r w:rsidRPr="00552B0C">
              <w:t>(11.7%)</w:t>
            </w:r>
          </w:p>
        </w:tc>
        <w:tc>
          <w:tcPr>
            <w:tcW w:w="551" w:type="pct"/>
            <w:shd w:val="clear" w:color="auto" w:fill="FFFFFF" w:themeFill="background1"/>
            <w:vAlign w:val="center"/>
          </w:tcPr>
          <w:p w14:paraId="0477421F" w14:textId="77777777" w:rsidR="00091D2A" w:rsidRPr="00552B0C" w:rsidRDefault="00091D2A" w:rsidP="00B11CEB">
            <w:pPr>
              <w:pStyle w:val="Tabletext"/>
              <w:keepNext/>
              <w:keepLines/>
              <w:jc w:val="center"/>
            </w:pPr>
            <w:r w:rsidRPr="00552B0C">
              <w:t>19/174</w:t>
            </w:r>
          </w:p>
          <w:p w14:paraId="6E30422D" w14:textId="77777777" w:rsidR="00091D2A" w:rsidRPr="00552B0C" w:rsidRDefault="00091D2A" w:rsidP="00B11CEB">
            <w:pPr>
              <w:pStyle w:val="Tabletext"/>
              <w:keepNext/>
              <w:keepLines/>
              <w:jc w:val="center"/>
            </w:pPr>
            <w:r w:rsidRPr="00552B0C">
              <w:t>(10.9%)</w:t>
            </w:r>
          </w:p>
        </w:tc>
        <w:tc>
          <w:tcPr>
            <w:tcW w:w="598" w:type="pct"/>
            <w:shd w:val="clear" w:color="auto" w:fill="FFFFFF" w:themeFill="background1"/>
            <w:vAlign w:val="center"/>
          </w:tcPr>
          <w:p w14:paraId="4C67AAEA" w14:textId="77777777" w:rsidR="00091D2A" w:rsidRPr="00552B0C" w:rsidRDefault="00091D2A" w:rsidP="00B11CEB">
            <w:pPr>
              <w:pStyle w:val="Tabletext"/>
              <w:keepNext/>
              <w:keepLines/>
              <w:jc w:val="center"/>
            </w:pPr>
            <w:r w:rsidRPr="00552B0C">
              <w:t>1.07</w:t>
            </w:r>
          </w:p>
          <w:p w14:paraId="4014A282" w14:textId="77777777" w:rsidR="00091D2A" w:rsidRPr="00552B0C" w:rsidRDefault="00091D2A" w:rsidP="00B11CEB">
            <w:pPr>
              <w:pStyle w:val="Tabletext"/>
              <w:keepNext/>
              <w:keepLines/>
              <w:jc w:val="center"/>
            </w:pPr>
            <w:r w:rsidRPr="00552B0C">
              <w:t>(0.59, 1.93)</w:t>
            </w:r>
          </w:p>
        </w:tc>
        <w:tc>
          <w:tcPr>
            <w:tcW w:w="682" w:type="pct"/>
            <w:shd w:val="clear" w:color="auto" w:fill="FFFFFF" w:themeFill="background1"/>
            <w:vAlign w:val="center"/>
          </w:tcPr>
          <w:p w14:paraId="72AB2459" w14:textId="77777777" w:rsidR="00091D2A" w:rsidRPr="00552B0C" w:rsidRDefault="00091D2A" w:rsidP="00B11CEB">
            <w:pPr>
              <w:pStyle w:val="Tabletext"/>
              <w:keepNext/>
              <w:keepLines/>
              <w:jc w:val="center"/>
            </w:pPr>
            <w:r w:rsidRPr="00552B0C">
              <w:t>0.89</w:t>
            </w:r>
          </w:p>
          <w:p w14:paraId="2A9E6358" w14:textId="77777777" w:rsidR="00091D2A" w:rsidRPr="00552B0C" w:rsidRDefault="00091D2A" w:rsidP="00B11CEB">
            <w:pPr>
              <w:pStyle w:val="Tabletext"/>
              <w:keepNext/>
              <w:keepLines/>
              <w:jc w:val="center"/>
            </w:pPr>
            <w:r w:rsidRPr="00552B0C">
              <w:t>(0.34, 2.35)</w:t>
            </w:r>
          </w:p>
        </w:tc>
      </w:tr>
      <w:tr w:rsidR="00091D2A" w:rsidRPr="00552B0C" w14:paraId="3C6A88DD" w14:textId="77777777">
        <w:trPr>
          <w:cantSplit/>
        </w:trPr>
        <w:tc>
          <w:tcPr>
            <w:tcW w:w="831" w:type="pct"/>
            <w:shd w:val="clear" w:color="auto" w:fill="FFFFFF" w:themeFill="background1"/>
            <w:vAlign w:val="center"/>
          </w:tcPr>
          <w:p w14:paraId="0FAF81CF" w14:textId="77777777" w:rsidR="00091D2A" w:rsidRPr="00552B0C" w:rsidRDefault="00091D2A" w:rsidP="00B11CEB">
            <w:pPr>
              <w:pStyle w:val="Tabletext"/>
              <w:keepNext/>
              <w:keepLines/>
            </w:pPr>
            <w:r w:rsidRPr="00552B0C">
              <w:t>AST increased</w:t>
            </w:r>
          </w:p>
        </w:tc>
        <w:tc>
          <w:tcPr>
            <w:tcW w:w="606" w:type="pct"/>
            <w:shd w:val="clear" w:color="auto" w:fill="FFFFFF" w:themeFill="background1"/>
          </w:tcPr>
          <w:p w14:paraId="5B13AEB3" w14:textId="77777777" w:rsidR="00091D2A" w:rsidRPr="00552B0C" w:rsidRDefault="00091D2A" w:rsidP="00B11CEB">
            <w:pPr>
              <w:pStyle w:val="Tabletext"/>
              <w:keepNext/>
              <w:keepLines/>
              <w:jc w:val="center"/>
            </w:pPr>
            <w:r w:rsidRPr="00552B0C">
              <w:t xml:space="preserve">11/370 </w:t>
            </w:r>
          </w:p>
          <w:p w14:paraId="1D21F454" w14:textId="77777777" w:rsidR="00091D2A" w:rsidRPr="00552B0C" w:rsidRDefault="00091D2A" w:rsidP="00B11CEB">
            <w:pPr>
              <w:pStyle w:val="Tabletext"/>
              <w:keepNext/>
              <w:keepLines/>
              <w:jc w:val="center"/>
            </w:pPr>
            <w:r w:rsidRPr="00552B0C">
              <w:t>(3.0%)</w:t>
            </w:r>
          </w:p>
        </w:tc>
        <w:tc>
          <w:tcPr>
            <w:tcW w:w="606" w:type="pct"/>
            <w:shd w:val="clear" w:color="auto" w:fill="FFFFFF" w:themeFill="background1"/>
          </w:tcPr>
          <w:p w14:paraId="3AA6F230" w14:textId="77777777" w:rsidR="00091D2A" w:rsidRPr="00552B0C" w:rsidRDefault="00091D2A" w:rsidP="00B11CEB">
            <w:pPr>
              <w:pStyle w:val="Tabletext"/>
              <w:keepNext/>
              <w:keepLines/>
              <w:jc w:val="center"/>
            </w:pPr>
            <w:r w:rsidRPr="00552B0C">
              <w:t>8/379</w:t>
            </w:r>
          </w:p>
          <w:p w14:paraId="31A5F3B4" w14:textId="77777777" w:rsidR="00091D2A" w:rsidRPr="00552B0C" w:rsidRDefault="00091D2A" w:rsidP="00B11CEB">
            <w:pPr>
              <w:pStyle w:val="Tabletext"/>
              <w:keepNext/>
              <w:keepLines/>
              <w:jc w:val="center"/>
            </w:pPr>
            <w:r w:rsidRPr="00552B0C">
              <w:t>(2.1%)</w:t>
            </w:r>
          </w:p>
        </w:tc>
        <w:tc>
          <w:tcPr>
            <w:tcW w:w="531" w:type="pct"/>
            <w:shd w:val="clear" w:color="auto" w:fill="FFFFFF" w:themeFill="background1"/>
            <w:vAlign w:val="center"/>
          </w:tcPr>
          <w:p w14:paraId="4683192E" w14:textId="77777777" w:rsidR="00091D2A" w:rsidRPr="00552B0C" w:rsidRDefault="00091D2A" w:rsidP="00B11CEB">
            <w:pPr>
              <w:pStyle w:val="Tabletext"/>
              <w:keepNext/>
              <w:keepLines/>
              <w:jc w:val="center"/>
            </w:pPr>
            <w:r w:rsidRPr="00552B0C">
              <w:t>1.41</w:t>
            </w:r>
          </w:p>
          <w:p w14:paraId="2E69DCEB" w14:textId="77777777" w:rsidR="00091D2A" w:rsidRPr="00552B0C" w:rsidRDefault="00091D2A" w:rsidP="00B11CEB">
            <w:pPr>
              <w:pStyle w:val="Tabletext"/>
              <w:keepNext/>
              <w:keepLines/>
              <w:jc w:val="center"/>
            </w:pPr>
            <w:r w:rsidRPr="00552B0C">
              <w:t>(0.57, 3.46)</w:t>
            </w:r>
          </w:p>
        </w:tc>
        <w:tc>
          <w:tcPr>
            <w:tcW w:w="595" w:type="pct"/>
            <w:shd w:val="clear" w:color="auto" w:fill="FFFFFF" w:themeFill="background1"/>
            <w:vAlign w:val="center"/>
          </w:tcPr>
          <w:p w14:paraId="2E4CE9BB" w14:textId="77777777" w:rsidR="00091D2A" w:rsidRPr="00552B0C" w:rsidRDefault="00091D2A" w:rsidP="00B11CEB">
            <w:pPr>
              <w:pStyle w:val="Tabletext"/>
              <w:keepNext/>
              <w:keepLines/>
              <w:jc w:val="center"/>
            </w:pPr>
            <w:r w:rsidRPr="00552B0C">
              <w:t>16/171</w:t>
            </w:r>
          </w:p>
          <w:p w14:paraId="57AF73EA" w14:textId="77777777" w:rsidR="00091D2A" w:rsidRPr="00552B0C" w:rsidRDefault="00091D2A" w:rsidP="00B11CEB">
            <w:pPr>
              <w:pStyle w:val="Tabletext"/>
              <w:keepNext/>
              <w:keepLines/>
              <w:jc w:val="center"/>
            </w:pPr>
            <w:r w:rsidRPr="00552B0C">
              <w:t>(9.4%)</w:t>
            </w:r>
          </w:p>
        </w:tc>
        <w:tc>
          <w:tcPr>
            <w:tcW w:w="551" w:type="pct"/>
            <w:shd w:val="clear" w:color="auto" w:fill="FFFFFF" w:themeFill="background1"/>
            <w:vAlign w:val="center"/>
          </w:tcPr>
          <w:p w14:paraId="00FEAEB4" w14:textId="77777777" w:rsidR="00091D2A" w:rsidRPr="00552B0C" w:rsidRDefault="00091D2A" w:rsidP="00B11CEB">
            <w:pPr>
              <w:pStyle w:val="Tabletext"/>
              <w:keepNext/>
              <w:keepLines/>
              <w:jc w:val="center"/>
            </w:pPr>
            <w:r w:rsidRPr="00552B0C">
              <w:t>14/174</w:t>
            </w:r>
          </w:p>
          <w:p w14:paraId="4580E8EF" w14:textId="77777777" w:rsidR="00091D2A" w:rsidRPr="00552B0C" w:rsidRDefault="00091D2A" w:rsidP="00B11CEB">
            <w:pPr>
              <w:pStyle w:val="Tabletext"/>
              <w:keepNext/>
              <w:keepLines/>
              <w:jc w:val="center"/>
            </w:pPr>
            <w:r w:rsidRPr="00552B0C">
              <w:t>(8.1%)</w:t>
            </w:r>
          </w:p>
        </w:tc>
        <w:tc>
          <w:tcPr>
            <w:tcW w:w="598" w:type="pct"/>
            <w:shd w:val="clear" w:color="auto" w:fill="FFFFFF" w:themeFill="background1"/>
            <w:vAlign w:val="center"/>
          </w:tcPr>
          <w:p w14:paraId="7D7505D8" w14:textId="77777777" w:rsidR="00091D2A" w:rsidRPr="00552B0C" w:rsidRDefault="00091D2A" w:rsidP="00B11CEB">
            <w:pPr>
              <w:pStyle w:val="Tabletext"/>
              <w:keepNext/>
              <w:keepLines/>
              <w:jc w:val="center"/>
            </w:pPr>
            <w:r w:rsidRPr="00552B0C">
              <w:t>1.16</w:t>
            </w:r>
          </w:p>
          <w:p w14:paraId="0D6E1FCA" w14:textId="77777777" w:rsidR="00091D2A" w:rsidRPr="00552B0C" w:rsidRDefault="00091D2A" w:rsidP="00B11CEB">
            <w:pPr>
              <w:pStyle w:val="Tabletext"/>
              <w:keepNext/>
              <w:keepLines/>
              <w:jc w:val="center"/>
            </w:pPr>
            <w:r w:rsidRPr="00552B0C">
              <w:t>(0.59, 2.31)</w:t>
            </w:r>
          </w:p>
        </w:tc>
        <w:tc>
          <w:tcPr>
            <w:tcW w:w="682" w:type="pct"/>
            <w:shd w:val="clear" w:color="auto" w:fill="FFFFFF" w:themeFill="background1"/>
            <w:vAlign w:val="center"/>
          </w:tcPr>
          <w:p w14:paraId="54C646A6" w14:textId="77777777" w:rsidR="00091D2A" w:rsidRPr="00552B0C" w:rsidRDefault="00091D2A" w:rsidP="00B11CEB">
            <w:pPr>
              <w:pStyle w:val="Tabletext"/>
              <w:keepNext/>
              <w:keepLines/>
              <w:jc w:val="center"/>
            </w:pPr>
            <w:r w:rsidRPr="00552B0C">
              <w:t>1.22</w:t>
            </w:r>
          </w:p>
          <w:p w14:paraId="559125F8" w14:textId="77777777" w:rsidR="00091D2A" w:rsidRPr="00552B0C" w:rsidRDefault="00091D2A" w:rsidP="00B11CEB">
            <w:pPr>
              <w:pStyle w:val="Tabletext"/>
              <w:keepNext/>
              <w:keepLines/>
              <w:jc w:val="center"/>
            </w:pPr>
            <w:r w:rsidRPr="00552B0C">
              <w:t>(0.39, 3.77)</w:t>
            </w:r>
          </w:p>
        </w:tc>
      </w:tr>
      <w:tr w:rsidR="00091D2A" w:rsidRPr="00552B0C" w14:paraId="5C39D671" w14:textId="77777777">
        <w:trPr>
          <w:cantSplit/>
        </w:trPr>
        <w:tc>
          <w:tcPr>
            <w:tcW w:w="5000" w:type="pct"/>
            <w:gridSpan w:val="8"/>
            <w:shd w:val="clear" w:color="auto" w:fill="FFFFFF" w:themeFill="background1"/>
            <w:vAlign w:val="center"/>
          </w:tcPr>
          <w:p w14:paraId="5E116418" w14:textId="77777777" w:rsidR="00091D2A" w:rsidRPr="00552B0C" w:rsidRDefault="00091D2A" w:rsidP="00B11CEB">
            <w:pPr>
              <w:pStyle w:val="In-tableHeading"/>
              <w:keepLines/>
            </w:pPr>
            <w:r w:rsidRPr="00552B0C">
              <w:t>Nervous system disorders</w:t>
            </w:r>
          </w:p>
        </w:tc>
      </w:tr>
      <w:tr w:rsidR="00091D2A" w:rsidRPr="00552B0C" w14:paraId="1F25B5C0" w14:textId="77777777">
        <w:trPr>
          <w:cantSplit/>
        </w:trPr>
        <w:tc>
          <w:tcPr>
            <w:tcW w:w="831" w:type="pct"/>
            <w:shd w:val="clear" w:color="auto" w:fill="FFFFFF" w:themeFill="background1"/>
            <w:vAlign w:val="center"/>
          </w:tcPr>
          <w:p w14:paraId="31E49235" w14:textId="77777777" w:rsidR="00091D2A" w:rsidRPr="00552B0C" w:rsidRDefault="00091D2A" w:rsidP="00B11CEB">
            <w:pPr>
              <w:pStyle w:val="Tabletext"/>
              <w:keepNext/>
              <w:keepLines/>
            </w:pPr>
            <w:r w:rsidRPr="00552B0C">
              <w:t>Neuropathy (peripheral)</w:t>
            </w:r>
          </w:p>
        </w:tc>
        <w:tc>
          <w:tcPr>
            <w:tcW w:w="606" w:type="pct"/>
            <w:shd w:val="clear" w:color="auto" w:fill="FFFFFF" w:themeFill="background1"/>
          </w:tcPr>
          <w:p w14:paraId="28C9B6F9" w14:textId="77777777" w:rsidR="00091D2A" w:rsidRPr="00552B0C" w:rsidRDefault="00091D2A" w:rsidP="00B11CEB">
            <w:pPr>
              <w:pStyle w:val="Tabletext"/>
              <w:keepNext/>
              <w:keepLines/>
              <w:jc w:val="center"/>
            </w:pPr>
            <w:r w:rsidRPr="00552B0C">
              <w:t xml:space="preserve">12/370 </w:t>
            </w:r>
          </w:p>
          <w:p w14:paraId="5D7D3F61" w14:textId="77777777" w:rsidR="00091D2A" w:rsidRPr="00552B0C" w:rsidRDefault="00091D2A" w:rsidP="00B11CEB">
            <w:pPr>
              <w:pStyle w:val="Tabletext"/>
              <w:keepNext/>
              <w:keepLines/>
              <w:jc w:val="center"/>
            </w:pPr>
            <w:r w:rsidRPr="00552B0C">
              <w:t>(3.2%)</w:t>
            </w:r>
          </w:p>
        </w:tc>
        <w:tc>
          <w:tcPr>
            <w:tcW w:w="606" w:type="pct"/>
            <w:shd w:val="clear" w:color="auto" w:fill="FFFFFF" w:themeFill="background1"/>
          </w:tcPr>
          <w:p w14:paraId="28F54CAC" w14:textId="77777777" w:rsidR="00091D2A" w:rsidRPr="00552B0C" w:rsidRDefault="00091D2A" w:rsidP="00B11CEB">
            <w:pPr>
              <w:pStyle w:val="Tabletext"/>
              <w:keepNext/>
              <w:keepLines/>
              <w:jc w:val="center"/>
            </w:pPr>
            <w:r w:rsidRPr="00552B0C">
              <w:t xml:space="preserve">22/379 </w:t>
            </w:r>
          </w:p>
          <w:p w14:paraId="658B338E" w14:textId="77777777" w:rsidR="00091D2A" w:rsidRPr="00552B0C" w:rsidRDefault="00091D2A" w:rsidP="00B11CEB">
            <w:pPr>
              <w:pStyle w:val="Tabletext"/>
              <w:keepNext/>
              <w:keepLines/>
              <w:jc w:val="center"/>
            </w:pPr>
            <w:r w:rsidRPr="00552B0C">
              <w:t>(5.8%)</w:t>
            </w:r>
          </w:p>
        </w:tc>
        <w:tc>
          <w:tcPr>
            <w:tcW w:w="531" w:type="pct"/>
            <w:shd w:val="clear" w:color="auto" w:fill="FFFFFF" w:themeFill="background1"/>
            <w:vAlign w:val="center"/>
          </w:tcPr>
          <w:p w14:paraId="2845BCF5" w14:textId="77777777" w:rsidR="00091D2A" w:rsidRPr="00552B0C" w:rsidRDefault="00091D2A" w:rsidP="00B11CEB">
            <w:pPr>
              <w:pStyle w:val="Tabletext"/>
              <w:keepNext/>
              <w:keepLines/>
              <w:jc w:val="center"/>
            </w:pPr>
            <w:r w:rsidRPr="00552B0C">
              <w:t>0.56</w:t>
            </w:r>
          </w:p>
          <w:p w14:paraId="166ECBD6" w14:textId="77777777" w:rsidR="00091D2A" w:rsidRPr="00552B0C" w:rsidRDefault="00091D2A" w:rsidP="00B11CEB">
            <w:pPr>
              <w:pStyle w:val="Tabletext"/>
              <w:keepNext/>
              <w:keepLines/>
              <w:jc w:val="center"/>
            </w:pPr>
            <w:r w:rsidRPr="00552B0C">
              <w:t>(0.28, 1.11)</w:t>
            </w:r>
          </w:p>
        </w:tc>
        <w:tc>
          <w:tcPr>
            <w:tcW w:w="595" w:type="pct"/>
            <w:shd w:val="clear" w:color="auto" w:fill="FFFFFF" w:themeFill="background1"/>
            <w:vAlign w:val="center"/>
          </w:tcPr>
          <w:p w14:paraId="338E9980" w14:textId="77777777" w:rsidR="00091D2A" w:rsidRPr="00552B0C" w:rsidRDefault="00091D2A" w:rsidP="00B11CEB">
            <w:pPr>
              <w:pStyle w:val="Tabletext"/>
              <w:keepNext/>
              <w:keepLines/>
              <w:jc w:val="center"/>
            </w:pPr>
            <w:r w:rsidRPr="00552B0C">
              <w:t>14/171</w:t>
            </w:r>
          </w:p>
          <w:p w14:paraId="00A3854B" w14:textId="77777777" w:rsidR="00091D2A" w:rsidRPr="00552B0C" w:rsidRDefault="00091D2A" w:rsidP="00B11CEB">
            <w:pPr>
              <w:pStyle w:val="Tabletext"/>
              <w:keepNext/>
              <w:keepLines/>
              <w:jc w:val="center"/>
            </w:pPr>
            <w:r w:rsidRPr="00552B0C">
              <w:t>(8.2%)</w:t>
            </w:r>
          </w:p>
        </w:tc>
        <w:tc>
          <w:tcPr>
            <w:tcW w:w="551" w:type="pct"/>
            <w:shd w:val="clear" w:color="auto" w:fill="FFFFFF" w:themeFill="background1"/>
            <w:vAlign w:val="center"/>
          </w:tcPr>
          <w:p w14:paraId="1C3D2DCB" w14:textId="77777777" w:rsidR="00091D2A" w:rsidRPr="00552B0C" w:rsidRDefault="00091D2A" w:rsidP="00B11CEB">
            <w:pPr>
              <w:pStyle w:val="Tabletext"/>
              <w:keepNext/>
              <w:keepLines/>
              <w:jc w:val="center"/>
            </w:pPr>
            <w:r w:rsidRPr="00552B0C">
              <w:t>19/174</w:t>
            </w:r>
          </w:p>
          <w:p w14:paraId="72128A47" w14:textId="77777777" w:rsidR="00091D2A" w:rsidRPr="00552B0C" w:rsidRDefault="00091D2A" w:rsidP="00B11CEB">
            <w:pPr>
              <w:pStyle w:val="Tabletext"/>
              <w:keepNext/>
              <w:keepLines/>
              <w:jc w:val="center"/>
            </w:pPr>
            <w:r w:rsidRPr="00552B0C">
              <w:t>(10.9%)</w:t>
            </w:r>
          </w:p>
        </w:tc>
        <w:tc>
          <w:tcPr>
            <w:tcW w:w="598" w:type="pct"/>
            <w:shd w:val="clear" w:color="auto" w:fill="FFFFFF" w:themeFill="background1"/>
            <w:vAlign w:val="center"/>
          </w:tcPr>
          <w:p w14:paraId="4C4FC0B6" w14:textId="77777777" w:rsidR="00091D2A" w:rsidRPr="00552B0C" w:rsidRDefault="00091D2A" w:rsidP="00B11CEB">
            <w:pPr>
              <w:pStyle w:val="Tabletext"/>
              <w:keepNext/>
              <w:keepLines/>
              <w:jc w:val="center"/>
            </w:pPr>
            <w:r w:rsidRPr="00552B0C">
              <w:t>0.75</w:t>
            </w:r>
          </w:p>
          <w:p w14:paraId="2AA0F28A" w14:textId="77777777" w:rsidR="00091D2A" w:rsidRPr="00552B0C" w:rsidRDefault="00091D2A" w:rsidP="00B11CEB">
            <w:pPr>
              <w:pStyle w:val="Tabletext"/>
              <w:keepNext/>
              <w:keepLines/>
              <w:jc w:val="center"/>
            </w:pPr>
            <w:r w:rsidRPr="00552B0C">
              <w:t>(0.39, 1.45)</w:t>
            </w:r>
          </w:p>
        </w:tc>
        <w:tc>
          <w:tcPr>
            <w:tcW w:w="682" w:type="pct"/>
            <w:shd w:val="clear" w:color="auto" w:fill="FFFFFF" w:themeFill="background1"/>
            <w:vAlign w:val="center"/>
          </w:tcPr>
          <w:p w14:paraId="7B856B9A" w14:textId="77777777" w:rsidR="00091D2A" w:rsidRPr="00552B0C" w:rsidRDefault="00091D2A" w:rsidP="00B11CEB">
            <w:pPr>
              <w:pStyle w:val="Tabletext"/>
              <w:keepNext/>
              <w:keepLines/>
              <w:jc w:val="center"/>
            </w:pPr>
            <w:r w:rsidRPr="00552B0C">
              <w:t>0.75</w:t>
            </w:r>
          </w:p>
          <w:p w14:paraId="487DDA1F" w14:textId="77777777" w:rsidR="00091D2A" w:rsidRPr="00552B0C" w:rsidRDefault="00091D2A" w:rsidP="00B11CEB">
            <w:pPr>
              <w:pStyle w:val="Tabletext"/>
              <w:keepNext/>
              <w:keepLines/>
              <w:jc w:val="center"/>
            </w:pPr>
            <w:r w:rsidRPr="00552B0C">
              <w:t>(0.29, 1.93)</w:t>
            </w:r>
          </w:p>
        </w:tc>
      </w:tr>
      <w:tr w:rsidR="00091D2A" w:rsidRPr="00552B0C" w14:paraId="77A07182" w14:textId="77777777">
        <w:trPr>
          <w:cantSplit/>
        </w:trPr>
        <w:tc>
          <w:tcPr>
            <w:tcW w:w="5000" w:type="pct"/>
            <w:gridSpan w:val="8"/>
            <w:shd w:val="clear" w:color="auto" w:fill="FFFFFF" w:themeFill="background1"/>
            <w:vAlign w:val="center"/>
          </w:tcPr>
          <w:p w14:paraId="04BA3C1A" w14:textId="77777777" w:rsidR="00091D2A" w:rsidRPr="00552B0C" w:rsidRDefault="00091D2A" w:rsidP="00B11CEB">
            <w:pPr>
              <w:pStyle w:val="In-tableHeading"/>
              <w:keepLines/>
            </w:pPr>
            <w:r w:rsidRPr="00552B0C">
              <w:t>Infections (and infestations)</w:t>
            </w:r>
          </w:p>
        </w:tc>
      </w:tr>
      <w:tr w:rsidR="00091D2A" w:rsidRPr="00552B0C" w14:paraId="3156D9FD" w14:textId="77777777">
        <w:trPr>
          <w:cantSplit/>
        </w:trPr>
        <w:tc>
          <w:tcPr>
            <w:tcW w:w="831" w:type="pct"/>
            <w:shd w:val="clear" w:color="auto" w:fill="FFFFFF" w:themeFill="background1"/>
            <w:vAlign w:val="center"/>
          </w:tcPr>
          <w:p w14:paraId="612F6DAE" w14:textId="77777777" w:rsidR="00091D2A" w:rsidRPr="00552B0C" w:rsidRDefault="00091D2A" w:rsidP="00B11CEB">
            <w:pPr>
              <w:pStyle w:val="Tabletext"/>
              <w:keepNext/>
              <w:keepLines/>
            </w:pPr>
            <w:r w:rsidRPr="00552B0C">
              <w:t xml:space="preserve">Infections </w:t>
            </w:r>
          </w:p>
        </w:tc>
        <w:tc>
          <w:tcPr>
            <w:tcW w:w="606" w:type="pct"/>
            <w:shd w:val="clear" w:color="auto" w:fill="FFFFFF" w:themeFill="background1"/>
          </w:tcPr>
          <w:p w14:paraId="738F83F3" w14:textId="77777777" w:rsidR="00091D2A" w:rsidRPr="00552B0C" w:rsidRDefault="00091D2A" w:rsidP="00B11CEB">
            <w:pPr>
              <w:pStyle w:val="Tabletext"/>
              <w:keepNext/>
              <w:keepLines/>
              <w:jc w:val="center"/>
            </w:pPr>
            <w:r w:rsidRPr="00552B0C">
              <w:t xml:space="preserve">34/370 </w:t>
            </w:r>
          </w:p>
          <w:p w14:paraId="63C5F604" w14:textId="77777777" w:rsidR="00091D2A" w:rsidRPr="00552B0C" w:rsidRDefault="00091D2A" w:rsidP="00B11CEB">
            <w:pPr>
              <w:pStyle w:val="Tabletext"/>
              <w:keepNext/>
              <w:keepLines/>
              <w:jc w:val="center"/>
            </w:pPr>
            <w:r w:rsidRPr="00552B0C">
              <w:t>(9.2%)</w:t>
            </w:r>
          </w:p>
        </w:tc>
        <w:tc>
          <w:tcPr>
            <w:tcW w:w="606" w:type="pct"/>
            <w:shd w:val="clear" w:color="auto" w:fill="FFFFFF" w:themeFill="background1"/>
          </w:tcPr>
          <w:p w14:paraId="3C7BD14B" w14:textId="77777777" w:rsidR="00091D2A" w:rsidRPr="00552B0C" w:rsidRDefault="00091D2A" w:rsidP="00B11CEB">
            <w:pPr>
              <w:pStyle w:val="Tabletext"/>
              <w:keepNext/>
              <w:keepLines/>
              <w:jc w:val="center"/>
            </w:pPr>
            <w:r w:rsidRPr="00552B0C">
              <w:t>60/379 (15.8%)</w:t>
            </w:r>
          </w:p>
        </w:tc>
        <w:tc>
          <w:tcPr>
            <w:tcW w:w="531" w:type="pct"/>
            <w:shd w:val="clear" w:color="auto" w:fill="FFFFFF" w:themeFill="background1"/>
            <w:vAlign w:val="center"/>
          </w:tcPr>
          <w:p w14:paraId="7518FBEA" w14:textId="77777777" w:rsidR="00091D2A" w:rsidRPr="00552B0C" w:rsidRDefault="00091D2A" w:rsidP="00B11CEB">
            <w:pPr>
              <w:pStyle w:val="Tabletext"/>
              <w:keepNext/>
              <w:keepLines/>
              <w:jc w:val="center"/>
              <w:rPr>
                <w:b/>
                <w:bCs/>
              </w:rPr>
            </w:pPr>
            <w:r w:rsidRPr="00552B0C">
              <w:rPr>
                <w:b/>
                <w:bCs/>
              </w:rPr>
              <w:t>0.58</w:t>
            </w:r>
          </w:p>
          <w:p w14:paraId="5A853FC2" w14:textId="77777777" w:rsidR="00091D2A" w:rsidRPr="00552B0C" w:rsidRDefault="00091D2A" w:rsidP="00B11CEB">
            <w:pPr>
              <w:pStyle w:val="Tabletext"/>
              <w:keepNext/>
              <w:keepLines/>
              <w:jc w:val="center"/>
              <w:rPr>
                <w:b/>
                <w:bCs/>
              </w:rPr>
            </w:pPr>
            <w:r w:rsidRPr="00552B0C">
              <w:rPr>
                <w:b/>
                <w:bCs/>
              </w:rPr>
              <w:t>(0.39, 0.86)</w:t>
            </w:r>
          </w:p>
        </w:tc>
        <w:tc>
          <w:tcPr>
            <w:tcW w:w="595" w:type="pct"/>
            <w:shd w:val="clear" w:color="auto" w:fill="FFFFFF" w:themeFill="background1"/>
            <w:vAlign w:val="center"/>
          </w:tcPr>
          <w:p w14:paraId="44EBEA24" w14:textId="77777777" w:rsidR="00091D2A" w:rsidRPr="00552B0C" w:rsidRDefault="00091D2A" w:rsidP="00B11CEB">
            <w:pPr>
              <w:pStyle w:val="Tabletext"/>
              <w:keepNext/>
              <w:keepLines/>
              <w:jc w:val="center"/>
            </w:pPr>
            <w:r w:rsidRPr="00552B0C">
              <w:t>28/174</w:t>
            </w:r>
          </w:p>
          <w:p w14:paraId="298239CD" w14:textId="77777777" w:rsidR="00091D2A" w:rsidRPr="00552B0C" w:rsidRDefault="00091D2A" w:rsidP="00B11CEB">
            <w:pPr>
              <w:pStyle w:val="Tabletext"/>
              <w:keepNext/>
              <w:keepLines/>
              <w:jc w:val="center"/>
            </w:pPr>
            <w:r w:rsidRPr="00552B0C">
              <w:t>(16.4%)</w:t>
            </w:r>
          </w:p>
        </w:tc>
        <w:tc>
          <w:tcPr>
            <w:tcW w:w="551" w:type="pct"/>
            <w:shd w:val="clear" w:color="auto" w:fill="FFFFFF" w:themeFill="background1"/>
            <w:vAlign w:val="center"/>
          </w:tcPr>
          <w:p w14:paraId="03F03555" w14:textId="77777777" w:rsidR="00091D2A" w:rsidRPr="00552B0C" w:rsidRDefault="00091D2A" w:rsidP="00B11CEB">
            <w:pPr>
              <w:pStyle w:val="Tabletext"/>
              <w:keepNext/>
              <w:keepLines/>
              <w:jc w:val="center"/>
            </w:pPr>
            <w:r w:rsidRPr="00552B0C">
              <w:t>19/174</w:t>
            </w:r>
          </w:p>
          <w:p w14:paraId="313AB8C6" w14:textId="77777777" w:rsidR="00091D2A" w:rsidRPr="00552B0C" w:rsidRDefault="00091D2A" w:rsidP="00B11CEB">
            <w:pPr>
              <w:pStyle w:val="Tabletext"/>
              <w:keepNext/>
              <w:keepLines/>
              <w:jc w:val="center"/>
            </w:pPr>
            <w:r w:rsidRPr="00552B0C">
              <w:t>(10.9%)</w:t>
            </w:r>
          </w:p>
        </w:tc>
        <w:tc>
          <w:tcPr>
            <w:tcW w:w="598" w:type="pct"/>
            <w:shd w:val="clear" w:color="auto" w:fill="FFFFFF" w:themeFill="background1"/>
            <w:vAlign w:val="center"/>
          </w:tcPr>
          <w:p w14:paraId="34CF54EE" w14:textId="77777777" w:rsidR="00091D2A" w:rsidRPr="00552B0C" w:rsidRDefault="00091D2A" w:rsidP="00B11CEB">
            <w:pPr>
              <w:pStyle w:val="Tabletext"/>
              <w:keepNext/>
              <w:keepLines/>
              <w:jc w:val="center"/>
            </w:pPr>
            <w:r w:rsidRPr="00552B0C">
              <w:t>1.50</w:t>
            </w:r>
          </w:p>
          <w:p w14:paraId="10F9EF80" w14:textId="77777777" w:rsidR="00091D2A" w:rsidRPr="00552B0C" w:rsidRDefault="00091D2A" w:rsidP="00B11CEB">
            <w:pPr>
              <w:pStyle w:val="Tabletext"/>
              <w:keepNext/>
              <w:keepLines/>
              <w:jc w:val="center"/>
            </w:pPr>
            <w:r w:rsidRPr="00552B0C">
              <w:t>(0.87, 2.58)</w:t>
            </w:r>
          </w:p>
        </w:tc>
        <w:tc>
          <w:tcPr>
            <w:tcW w:w="682" w:type="pct"/>
            <w:shd w:val="clear" w:color="auto" w:fill="FFFFFF" w:themeFill="background1"/>
            <w:vAlign w:val="center"/>
          </w:tcPr>
          <w:p w14:paraId="5F65CE73" w14:textId="77777777" w:rsidR="00091D2A" w:rsidRPr="00552B0C" w:rsidRDefault="00091D2A" w:rsidP="00B11CEB">
            <w:pPr>
              <w:pStyle w:val="Tabletext"/>
              <w:keepNext/>
              <w:keepLines/>
              <w:jc w:val="center"/>
              <w:rPr>
                <w:b/>
                <w:bCs/>
              </w:rPr>
            </w:pPr>
            <w:r w:rsidRPr="00552B0C">
              <w:rPr>
                <w:b/>
                <w:bCs/>
              </w:rPr>
              <w:t>0.39</w:t>
            </w:r>
          </w:p>
          <w:p w14:paraId="5FAE0085" w14:textId="425930E4" w:rsidR="00091D2A" w:rsidRPr="00552B0C" w:rsidRDefault="00091D2A" w:rsidP="00B11CEB">
            <w:pPr>
              <w:pStyle w:val="Tabletext"/>
              <w:keepNext/>
              <w:keepLines/>
              <w:jc w:val="center"/>
            </w:pPr>
            <w:r w:rsidRPr="00552B0C">
              <w:rPr>
                <w:b/>
                <w:bCs/>
              </w:rPr>
              <w:t>(0.20, 0.76)</w:t>
            </w:r>
          </w:p>
        </w:tc>
      </w:tr>
    </w:tbl>
    <w:p w14:paraId="6BF5996C" w14:textId="77777777" w:rsidR="00091D2A" w:rsidRPr="00552B0C" w:rsidRDefault="00091D2A" w:rsidP="006C554D">
      <w:pPr>
        <w:pStyle w:val="TableFigureFooter"/>
      </w:pPr>
      <w:r w:rsidRPr="00552B0C">
        <w:t>Source: Table 2.11, p45-46 of resubmission.</w:t>
      </w:r>
    </w:p>
    <w:p w14:paraId="480BAE42" w14:textId="77777777" w:rsidR="00091D2A" w:rsidRPr="00552B0C" w:rsidRDefault="00091D2A" w:rsidP="006C554D">
      <w:pPr>
        <w:pStyle w:val="TableFigureFooter"/>
      </w:pPr>
      <w:r w:rsidRPr="00552B0C">
        <w:t>Abbreviations: AEs, adverse events; ALT, Alanine transaminase; AST, Aspartate transaminase; CI, confidence interval; FOLFIRINOX, 5-fluorouracil, leucovorin/folinic acid, standard irinotecan, and oxaliplatin; Gem+NabP, gemcitabine plus nanoparticle albumin-bound paclitaxel; ; ITC, indirect treatment comparison; NALIRIFOX, 5-fluorouracil, leucovorin/folinic acid, nanoliposomal irinotecan (nal-IRI), and oxaliplatin; NC, not calculable; NR, not reported; RR, relative risk; WBC, white blood cell.</w:t>
      </w:r>
    </w:p>
    <w:p w14:paraId="0328F4B8" w14:textId="77777777" w:rsidR="00091D2A" w:rsidRPr="00552B0C" w:rsidRDefault="00091D2A" w:rsidP="006C554D">
      <w:pPr>
        <w:pStyle w:val="TableFigureFooter"/>
      </w:pPr>
      <w:r w:rsidRPr="00552B0C">
        <w:t xml:space="preserve">Note: Results in </w:t>
      </w:r>
      <w:r w:rsidRPr="00552B0C">
        <w:rPr>
          <w:b/>
          <w:bCs/>
        </w:rPr>
        <w:t>bold</w:t>
      </w:r>
      <w:r w:rsidRPr="00552B0C">
        <w:t xml:space="preserve"> indicate significant difference.</w:t>
      </w:r>
    </w:p>
    <w:p w14:paraId="5540E90B" w14:textId="583A964E" w:rsidR="00091D2A" w:rsidRPr="00552B0C" w:rsidRDefault="00091D2A" w:rsidP="00552B0C">
      <w:pPr>
        <w:pStyle w:val="3-BodyText"/>
        <w:numPr>
          <w:ilvl w:val="1"/>
          <w:numId w:val="5"/>
        </w:numPr>
      </w:pPr>
      <w:r w:rsidRPr="00552B0C">
        <w:t xml:space="preserve">The resubmission stated that both NALIRIFOX and </w:t>
      </w:r>
      <w:r w:rsidR="00FF6B20" w:rsidRPr="00552B0C">
        <w:t>m</w:t>
      </w:r>
      <w:r w:rsidRPr="00552B0C">
        <w:t xml:space="preserve">FOLFIRINOX are associated with a higher incidence of gastrointestinal AEs compared to Gem+NabP. NALIRIFOX was associated with a lower incidence of haematological AEs compared to Gem+NabP, and </w:t>
      </w:r>
      <w:r w:rsidR="00FF6B20" w:rsidRPr="00552B0C">
        <w:t>m</w:t>
      </w:r>
      <w:r w:rsidRPr="00552B0C">
        <w:t>FOLFIRINOX was generally similar to Gem+NabP in terms of these AEs, except for neutropenia and febrile neutropenia.</w:t>
      </w:r>
    </w:p>
    <w:p w14:paraId="36393FAA" w14:textId="25E11169" w:rsidR="00091D2A" w:rsidRPr="00552B0C" w:rsidRDefault="00091D2A" w:rsidP="00A4661C">
      <w:pPr>
        <w:pStyle w:val="3-BodyText"/>
      </w:pPr>
      <w:r w:rsidRPr="00552B0C">
        <w:t xml:space="preserve">Based on the ITC analysis, the resubmission stated that NALIRIFOX appears to be associated with significantly lower AEs than </w:t>
      </w:r>
      <w:r w:rsidR="000E176C" w:rsidRPr="00552B0C">
        <w:t>m</w:t>
      </w:r>
      <w:r w:rsidRPr="00552B0C">
        <w:t xml:space="preserve">FOLFIRINOX for neutropenia and infections. </w:t>
      </w:r>
      <w:r w:rsidR="00691166" w:rsidRPr="00552B0C">
        <w:t xml:space="preserve">The </w:t>
      </w:r>
      <w:r w:rsidR="000E176C" w:rsidRPr="00552B0C">
        <w:t>re</w:t>
      </w:r>
      <w:r w:rsidR="00691166" w:rsidRPr="00552B0C">
        <w:t xml:space="preserve">submission noted this was despite the use of a mFOLFIRINOX regimen in GENERATE that incorporated a reduced dose of irinotecan and omitted the bolus 5-FU dose (compared to the FOLFIRINOX regimen endorsed by eviQ) to reduce </w:t>
      </w:r>
      <w:r w:rsidR="00691166" w:rsidRPr="00552B0C">
        <w:lastRenderedPageBreak/>
        <w:t xml:space="preserve">the frequency of severe toxicities. </w:t>
      </w:r>
      <w:r w:rsidRPr="00552B0C">
        <w:t xml:space="preserve">No significant differences were found in other AEs reported. Results should be interpreted with caution noting the potential transitivity issues described in paragraph </w:t>
      </w:r>
      <w:r w:rsidRPr="00552B0C">
        <w:fldChar w:fldCharType="begin" w:fldLock="1"/>
      </w:r>
      <w:r w:rsidRPr="00552B0C">
        <w:instrText xml:space="preserve"> REF _Ref176369938 \r \h </w:instrText>
      </w:r>
      <w:r w:rsidR="00B87FAE" w:rsidRPr="00552B0C">
        <w:instrText xml:space="preserve"> \* MERGEFORMAT </w:instrText>
      </w:r>
      <w:r w:rsidRPr="00552B0C">
        <w:fldChar w:fldCharType="separate"/>
      </w:r>
      <w:r w:rsidR="001C19B6">
        <w:t>6.35</w:t>
      </w:r>
      <w:r w:rsidRPr="00552B0C">
        <w:fldChar w:fldCharType="end"/>
      </w:r>
      <w:r w:rsidRPr="00552B0C">
        <w:t xml:space="preserve"> across these trials</w:t>
      </w:r>
      <w:r w:rsidR="6F25C2D6" w:rsidRPr="00552B0C">
        <w:t xml:space="preserve"> and the low </w:t>
      </w:r>
      <w:r w:rsidR="2CA1C9EA" w:rsidRPr="00552B0C">
        <w:t>numbers of some adverse event types.</w:t>
      </w:r>
      <w:r w:rsidR="1B838ED0" w:rsidRPr="00552B0C">
        <w:t xml:space="preserve"> </w:t>
      </w:r>
      <w:r w:rsidR="00446610" w:rsidRPr="00552B0C">
        <w:t xml:space="preserve">These results differed from </w:t>
      </w:r>
      <w:r w:rsidR="00781AE0" w:rsidRPr="00552B0C">
        <w:t>the NALIRIFOX vs FOLFIRINOX comparisons</w:t>
      </w:r>
      <w:r w:rsidR="00446610" w:rsidRPr="00552B0C">
        <w:t xml:space="preserve"> presented in Nich</w:t>
      </w:r>
      <w:r w:rsidR="000134E9" w:rsidRPr="00552B0C">
        <w:t>etti et al. (2024) which reported statistically significant differences in platelet count decreases</w:t>
      </w:r>
      <w:r w:rsidR="00781AE0" w:rsidRPr="00552B0C">
        <w:t xml:space="preserve"> </w:t>
      </w:r>
      <w:r w:rsidR="000134E9" w:rsidRPr="00552B0C">
        <w:t>(</w:t>
      </w:r>
      <w:r w:rsidR="00781AE0" w:rsidRPr="00552B0C">
        <w:t xml:space="preserve">OR=5.13; 95% CI 1.78, 14.77) and vomiting </w:t>
      </w:r>
      <w:r w:rsidR="00F249A6" w:rsidRPr="00552B0C">
        <w:t>(OR=0.45; 95% CI 0.25, 0.81)</w:t>
      </w:r>
      <w:r w:rsidR="004E3347" w:rsidRPr="00552B0C">
        <w:t xml:space="preserve"> and not statistically significantly different for neutrophil count decrease</w:t>
      </w:r>
      <w:r w:rsidR="00781AE0" w:rsidRPr="00552B0C">
        <w:t xml:space="preserve"> </w:t>
      </w:r>
      <w:r w:rsidR="004E3347" w:rsidRPr="00552B0C">
        <w:t>(OR=</w:t>
      </w:r>
      <w:r w:rsidR="003545A6" w:rsidRPr="00552B0C">
        <w:t xml:space="preserve">0.66; 95% 0.28, 1.55). </w:t>
      </w:r>
    </w:p>
    <w:p w14:paraId="4D4C201E" w14:textId="77777777" w:rsidR="00091D2A" w:rsidRPr="00C9624D" w:rsidRDefault="00091D2A" w:rsidP="00091D2A">
      <w:pPr>
        <w:pStyle w:val="4-SubsectionHeading"/>
      </w:pPr>
      <w:bookmarkStart w:id="69" w:name="_Toc22897643"/>
      <w:bookmarkStart w:id="70" w:name="_Toc177546227"/>
      <w:r w:rsidRPr="00C9624D">
        <w:t>Benefits/harms</w:t>
      </w:r>
      <w:bookmarkEnd w:id="69"/>
      <w:bookmarkEnd w:id="70"/>
    </w:p>
    <w:p w14:paraId="7C79040C" w14:textId="77777777" w:rsidR="00091D2A" w:rsidRPr="00552B0C" w:rsidRDefault="00091D2A" w:rsidP="00091D2A">
      <w:pPr>
        <w:rPr>
          <w:b/>
          <w:bCs/>
        </w:rPr>
      </w:pPr>
      <w:r w:rsidRPr="00552B0C">
        <w:rPr>
          <w:b/>
          <w:bCs/>
        </w:rPr>
        <w:t>NALIRIFOX versus Gem+NabP</w:t>
      </w:r>
    </w:p>
    <w:p w14:paraId="499D48CE" w14:textId="156051D5" w:rsidR="00091D2A" w:rsidRPr="00552B0C" w:rsidRDefault="00091D2A" w:rsidP="00552B0C">
      <w:pPr>
        <w:pStyle w:val="3-BodyText"/>
        <w:numPr>
          <w:ilvl w:val="1"/>
          <w:numId w:val="5"/>
        </w:numPr>
      </w:pPr>
      <w:r w:rsidRPr="00552B0C">
        <w:t xml:space="preserve">A summary of the comparative benefits and harms of NALIRIFOX versus Gem+NabP is presented in </w:t>
      </w:r>
      <w:r w:rsidRPr="00552B0C">
        <w:fldChar w:fldCharType="begin" w:fldLock="1"/>
      </w:r>
      <w:r w:rsidRPr="00552B0C">
        <w:instrText xml:space="preserve"> REF _Ref176370521 \h </w:instrText>
      </w:r>
      <w:r w:rsidR="00B87FAE" w:rsidRPr="00552B0C">
        <w:instrText xml:space="preserve"> \* MERGEFORMAT </w:instrText>
      </w:r>
      <w:r w:rsidRPr="00552B0C">
        <w:fldChar w:fldCharType="separate"/>
      </w:r>
      <w:r w:rsidR="001C19B6" w:rsidRPr="00552B0C">
        <w:t xml:space="preserve">Table </w:t>
      </w:r>
      <w:r w:rsidR="001C19B6">
        <w:rPr>
          <w:noProof/>
        </w:rPr>
        <w:t>13</w:t>
      </w:r>
      <w:r w:rsidRPr="00552B0C">
        <w:fldChar w:fldCharType="end"/>
      </w:r>
      <w:r w:rsidRPr="00552B0C">
        <w:t>.</w:t>
      </w:r>
    </w:p>
    <w:p w14:paraId="31FED7D6" w14:textId="7F1FD7CF" w:rsidR="00091D2A" w:rsidRPr="00552B0C" w:rsidRDefault="00091D2A" w:rsidP="00091D2A">
      <w:pPr>
        <w:pStyle w:val="Caption"/>
      </w:pPr>
      <w:bookmarkStart w:id="71" w:name="_Ref176370521"/>
      <w:r w:rsidRPr="00552B0C">
        <w:t xml:space="preserve">Table </w:t>
      </w:r>
      <w:r w:rsidR="001C19B6">
        <w:fldChar w:fldCharType="begin" w:fldLock="1"/>
      </w:r>
      <w:r w:rsidR="001C19B6">
        <w:instrText xml:space="preserve"> SEQ Table \* ARABIC </w:instrText>
      </w:r>
      <w:r w:rsidR="001C19B6">
        <w:fldChar w:fldCharType="separate"/>
      </w:r>
      <w:r w:rsidR="001C19B6">
        <w:rPr>
          <w:noProof/>
        </w:rPr>
        <w:t>13</w:t>
      </w:r>
      <w:r w:rsidR="001C19B6">
        <w:rPr>
          <w:noProof/>
        </w:rPr>
        <w:fldChar w:fldCharType="end"/>
      </w:r>
      <w:bookmarkEnd w:id="71"/>
      <w:r w:rsidRPr="00552B0C">
        <w:t>: Summary of comparative benefits and harms for NALIRIFOX and Gem+NabP</w:t>
      </w:r>
    </w:p>
    <w:tbl>
      <w:tblPr>
        <w:tblStyle w:val="TableGrid"/>
        <w:tblW w:w="5000" w:type="pct"/>
        <w:tblCellMar>
          <w:left w:w="28" w:type="dxa"/>
          <w:right w:w="28" w:type="dxa"/>
        </w:tblCellMar>
        <w:tblLook w:val="04A0" w:firstRow="1" w:lastRow="0" w:firstColumn="1" w:lastColumn="0" w:noHBand="0" w:noVBand="1"/>
        <w:tblCaption w:val="Table 13: Summary of comparative benefits and harms for NALIRIFOX and Gem+NabP"/>
      </w:tblPr>
      <w:tblGrid>
        <w:gridCol w:w="2122"/>
        <w:gridCol w:w="992"/>
        <w:gridCol w:w="157"/>
        <w:gridCol w:w="1149"/>
        <w:gridCol w:w="397"/>
        <w:gridCol w:w="696"/>
        <w:gridCol w:w="1006"/>
        <w:gridCol w:w="200"/>
        <w:gridCol w:w="936"/>
        <w:gridCol w:w="213"/>
        <w:gridCol w:w="7"/>
        <w:gridCol w:w="1142"/>
      </w:tblGrid>
      <w:tr w:rsidR="00091D2A" w:rsidRPr="00552B0C" w14:paraId="4E7CCBD2" w14:textId="77777777" w:rsidTr="00C81C2F">
        <w:trPr>
          <w:trHeight w:val="20"/>
          <w:tblHeader/>
        </w:trPr>
        <w:tc>
          <w:tcPr>
            <w:tcW w:w="1727" w:type="pct"/>
            <w:gridSpan w:val="2"/>
            <w:tcBorders>
              <w:bottom w:val="single" w:sz="4" w:space="0" w:color="auto"/>
            </w:tcBorders>
            <w:shd w:val="clear" w:color="auto" w:fill="auto"/>
          </w:tcPr>
          <w:p w14:paraId="18AAEDC8" w14:textId="77777777" w:rsidR="00091D2A" w:rsidRPr="00552B0C" w:rsidRDefault="00091D2A" w:rsidP="0050763F">
            <w:pPr>
              <w:pStyle w:val="In-tableHeading"/>
              <w:keepNext w:val="0"/>
            </w:pPr>
            <w:r w:rsidRPr="00552B0C">
              <w:t>Event</w:t>
            </w:r>
          </w:p>
        </w:tc>
        <w:tc>
          <w:tcPr>
            <w:tcW w:w="944" w:type="pct"/>
            <w:gridSpan w:val="3"/>
            <w:tcBorders>
              <w:bottom w:val="single" w:sz="4" w:space="0" w:color="auto"/>
            </w:tcBorders>
            <w:shd w:val="clear" w:color="auto" w:fill="auto"/>
          </w:tcPr>
          <w:p w14:paraId="7070DE9B" w14:textId="77777777" w:rsidR="00091D2A" w:rsidRPr="00552B0C" w:rsidRDefault="00091D2A" w:rsidP="0050763F">
            <w:pPr>
              <w:pStyle w:val="In-tableHeading"/>
              <w:keepNext w:val="0"/>
              <w:jc w:val="center"/>
            </w:pPr>
            <w:r w:rsidRPr="00552B0C">
              <w:t>NALIRIFOX</w:t>
            </w:r>
          </w:p>
          <w:p w14:paraId="3518CF0E" w14:textId="77777777" w:rsidR="00091D2A" w:rsidRPr="00552B0C" w:rsidRDefault="00091D2A" w:rsidP="0050763F">
            <w:pPr>
              <w:pStyle w:val="In-tableHeading"/>
              <w:keepNext w:val="0"/>
              <w:jc w:val="center"/>
            </w:pPr>
            <w:r w:rsidRPr="00552B0C">
              <w:t>n (%)</w:t>
            </w:r>
          </w:p>
        </w:tc>
        <w:tc>
          <w:tcPr>
            <w:tcW w:w="944" w:type="pct"/>
            <w:gridSpan w:val="2"/>
            <w:tcBorders>
              <w:bottom w:val="single" w:sz="4" w:space="0" w:color="auto"/>
            </w:tcBorders>
            <w:shd w:val="clear" w:color="auto" w:fill="auto"/>
          </w:tcPr>
          <w:p w14:paraId="13CC118C" w14:textId="77777777" w:rsidR="00091D2A" w:rsidRPr="00552B0C" w:rsidRDefault="00091D2A" w:rsidP="0050763F">
            <w:pPr>
              <w:pStyle w:val="In-tableHeading"/>
              <w:keepNext w:val="0"/>
              <w:jc w:val="center"/>
            </w:pPr>
            <w:r w:rsidRPr="00552B0C">
              <w:t>Gem+NabP</w:t>
            </w:r>
          </w:p>
          <w:p w14:paraId="16C9E9F3" w14:textId="77777777" w:rsidR="00091D2A" w:rsidRPr="00552B0C" w:rsidRDefault="00091D2A" w:rsidP="0050763F">
            <w:pPr>
              <w:pStyle w:val="In-tableHeading"/>
              <w:keepNext w:val="0"/>
              <w:jc w:val="center"/>
            </w:pPr>
            <w:r w:rsidRPr="00552B0C">
              <w:t>n (%)</w:t>
            </w:r>
          </w:p>
        </w:tc>
        <w:tc>
          <w:tcPr>
            <w:tcW w:w="630" w:type="pct"/>
            <w:gridSpan w:val="2"/>
            <w:vMerge w:val="restart"/>
            <w:shd w:val="clear" w:color="auto" w:fill="auto"/>
          </w:tcPr>
          <w:p w14:paraId="5B20CAB2" w14:textId="77777777" w:rsidR="00091D2A" w:rsidRPr="00552B0C" w:rsidRDefault="00091D2A" w:rsidP="0050763F">
            <w:pPr>
              <w:pStyle w:val="In-tableHeading"/>
              <w:keepNext w:val="0"/>
              <w:jc w:val="center"/>
              <w:rPr>
                <w:rFonts w:asciiTheme="minorHAnsi" w:hAnsiTheme="minorHAnsi"/>
              </w:rPr>
            </w:pPr>
            <w:r w:rsidRPr="00552B0C">
              <w:t>Absolute Difference</w:t>
            </w:r>
          </w:p>
        </w:tc>
        <w:tc>
          <w:tcPr>
            <w:tcW w:w="755" w:type="pct"/>
            <w:gridSpan w:val="3"/>
            <w:vMerge w:val="restart"/>
            <w:shd w:val="clear" w:color="auto" w:fill="auto"/>
          </w:tcPr>
          <w:p w14:paraId="140CEA14" w14:textId="77777777" w:rsidR="00091D2A" w:rsidRPr="00552B0C" w:rsidRDefault="00091D2A" w:rsidP="0050763F">
            <w:pPr>
              <w:pStyle w:val="In-tableHeading"/>
              <w:keepNext w:val="0"/>
              <w:jc w:val="center"/>
            </w:pPr>
            <w:r w:rsidRPr="00552B0C">
              <w:t>HR (95% CI)</w:t>
            </w:r>
            <w:r w:rsidRPr="00552B0C">
              <w:rPr>
                <w:vertAlign w:val="superscript"/>
              </w:rPr>
              <w:t>a</w:t>
            </w:r>
          </w:p>
        </w:tc>
      </w:tr>
      <w:tr w:rsidR="00091D2A" w:rsidRPr="00552B0C" w14:paraId="0C883E60" w14:textId="77777777" w:rsidTr="00C81C2F">
        <w:trPr>
          <w:trHeight w:val="20"/>
          <w:tblHeader/>
        </w:trPr>
        <w:tc>
          <w:tcPr>
            <w:tcW w:w="1727" w:type="pct"/>
            <w:gridSpan w:val="2"/>
            <w:tcBorders>
              <w:bottom w:val="single" w:sz="4" w:space="0" w:color="auto"/>
              <w:right w:val="single" w:sz="4" w:space="0" w:color="auto"/>
            </w:tcBorders>
            <w:shd w:val="clear" w:color="auto" w:fill="auto"/>
          </w:tcPr>
          <w:p w14:paraId="24A406DD" w14:textId="77777777" w:rsidR="00091D2A" w:rsidRPr="00552B0C" w:rsidRDefault="00091D2A" w:rsidP="0050763F">
            <w:pPr>
              <w:pStyle w:val="In-tableHeading"/>
              <w:keepNext w:val="0"/>
            </w:pPr>
            <w:r w:rsidRPr="00552B0C">
              <w:t>BENEFITS</w:t>
            </w:r>
          </w:p>
        </w:tc>
        <w:tc>
          <w:tcPr>
            <w:tcW w:w="944" w:type="pct"/>
            <w:gridSpan w:val="3"/>
            <w:tcBorders>
              <w:bottom w:val="single" w:sz="4" w:space="0" w:color="auto"/>
              <w:right w:val="single" w:sz="4" w:space="0" w:color="auto"/>
            </w:tcBorders>
            <w:shd w:val="clear" w:color="auto" w:fill="auto"/>
          </w:tcPr>
          <w:p w14:paraId="43A82261" w14:textId="77777777" w:rsidR="00091D2A" w:rsidRPr="00552B0C" w:rsidRDefault="00091D2A" w:rsidP="0050763F">
            <w:pPr>
              <w:pStyle w:val="In-tableHeading"/>
              <w:keepNext w:val="0"/>
              <w:jc w:val="center"/>
            </w:pPr>
            <w:r w:rsidRPr="00552B0C">
              <w:t>N=383</w:t>
            </w:r>
          </w:p>
        </w:tc>
        <w:tc>
          <w:tcPr>
            <w:tcW w:w="944" w:type="pct"/>
            <w:gridSpan w:val="2"/>
            <w:tcBorders>
              <w:bottom w:val="single" w:sz="4" w:space="0" w:color="auto"/>
              <w:right w:val="single" w:sz="4" w:space="0" w:color="auto"/>
            </w:tcBorders>
            <w:shd w:val="clear" w:color="auto" w:fill="auto"/>
          </w:tcPr>
          <w:p w14:paraId="243BB1C4" w14:textId="77777777" w:rsidR="00091D2A" w:rsidRPr="00552B0C" w:rsidRDefault="00091D2A" w:rsidP="0050763F">
            <w:pPr>
              <w:pStyle w:val="In-tableHeading"/>
              <w:keepNext w:val="0"/>
              <w:jc w:val="center"/>
            </w:pPr>
            <w:r w:rsidRPr="00552B0C">
              <w:t>N=387</w:t>
            </w:r>
          </w:p>
        </w:tc>
        <w:tc>
          <w:tcPr>
            <w:tcW w:w="630" w:type="pct"/>
            <w:gridSpan w:val="2"/>
            <w:vMerge/>
            <w:tcBorders>
              <w:bottom w:val="single" w:sz="4" w:space="0" w:color="auto"/>
            </w:tcBorders>
            <w:shd w:val="clear" w:color="auto" w:fill="auto"/>
          </w:tcPr>
          <w:p w14:paraId="211F6D78" w14:textId="77777777" w:rsidR="00091D2A" w:rsidRPr="00552B0C" w:rsidRDefault="00091D2A" w:rsidP="0050763F">
            <w:pPr>
              <w:pStyle w:val="In-tableHeading"/>
              <w:keepNext w:val="0"/>
              <w:jc w:val="center"/>
            </w:pPr>
          </w:p>
        </w:tc>
        <w:tc>
          <w:tcPr>
            <w:tcW w:w="755" w:type="pct"/>
            <w:gridSpan w:val="3"/>
            <w:vMerge/>
            <w:tcBorders>
              <w:bottom w:val="single" w:sz="4" w:space="0" w:color="auto"/>
            </w:tcBorders>
            <w:shd w:val="clear" w:color="auto" w:fill="auto"/>
          </w:tcPr>
          <w:p w14:paraId="4DB75016" w14:textId="77777777" w:rsidR="00091D2A" w:rsidRPr="00552B0C" w:rsidRDefault="00091D2A" w:rsidP="0050763F">
            <w:pPr>
              <w:pStyle w:val="In-tableHeading"/>
              <w:keepNext w:val="0"/>
            </w:pPr>
          </w:p>
        </w:tc>
      </w:tr>
      <w:tr w:rsidR="00091D2A" w:rsidRPr="00552B0C" w14:paraId="2ACB39A6" w14:textId="77777777">
        <w:trPr>
          <w:trHeight w:val="20"/>
        </w:trPr>
        <w:tc>
          <w:tcPr>
            <w:tcW w:w="5000" w:type="pct"/>
            <w:gridSpan w:val="12"/>
            <w:tcBorders>
              <w:bottom w:val="single" w:sz="4" w:space="0" w:color="auto"/>
              <w:right w:val="single" w:sz="4" w:space="0" w:color="auto"/>
            </w:tcBorders>
            <w:shd w:val="clear" w:color="auto" w:fill="auto"/>
          </w:tcPr>
          <w:p w14:paraId="61CDAF4E" w14:textId="669C29E8" w:rsidR="00091D2A" w:rsidRPr="00552B0C" w:rsidRDefault="00091D2A" w:rsidP="0050763F">
            <w:pPr>
              <w:pStyle w:val="In-tableHeading"/>
              <w:keepNext w:val="0"/>
              <w:rPr>
                <w:szCs w:val="20"/>
              </w:rPr>
            </w:pPr>
            <w:r w:rsidRPr="00552B0C">
              <w:t>Overall survival (median duration of follow up 29.5 months)</w:t>
            </w:r>
          </w:p>
        </w:tc>
      </w:tr>
      <w:tr w:rsidR="00091D2A" w:rsidRPr="00552B0C" w14:paraId="188BAC56" w14:textId="77777777">
        <w:trPr>
          <w:trHeight w:val="20"/>
        </w:trPr>
        <w:tc>
          <w:tcPr>
            <w:tcW w:w="1727" w:type="pct"/>
            <w:gridSpan w:val="2"/>
            <w:tcBorders>
              <w:bottom w:val="single" w:sz="4" w:space="0" w:color="auto"/>
              <w:right w:val="single" w:sz="4" w:space="0" w:color="auto"/>
            </w:tcBorders>
            <w:shd w:val="clear" w:color="auto" w:fill="auto"/>
          </w:tcPr>
          <w:p w14:paraId="516F67E0" w14:textId="77777777" w:rsidR="00091D2A" w:rsidRPr="00552B0C" w:rsidRDefault="00091D2A" w:rsidP="0050763F">
            <w:pPr>
              <w:pStyle w:val="TableText0"/>
              <w:keepNext w:val="0"/>
              <w:widowControl w:val="0"/>
            </w:pPr>
            <w:r w:rsidRPr="00552B0C">
              <w:t xml:space="preserve">Deaths, n/N (%) </w:t>
            </w:r>
          </w:p>
        </w:tc>
        <w:tc>
          <w:tcPr>
            <w:tcW w:w="944" w:type="pct"/>
            <w:gridSpan w:val="3"/>
            <w:tcBorders>
              <w:left w:val="single" w:sz="4" w:space="0" w:color="auto"/>
              <w:bottom w:val="single" w:sz="4" w:space="0" w:color="auto"/>
              <w:right w:val="single" w:sz="4" w:space="0" w:color="auto"/>
            </w:tcBorders>
            <w:shd w:val="clear" w:color="auto" w:fill="auto"/>
          </w:tcPr>
          <w:p w14:paraId="39F0DCA9" w14:textId="77777777" w:rsidR="00091D2A" w:rsidRPr="00552B0C" w:rsidRDefault="00091D2A" w:rsidP="0050763F">
            <w:pPr>
              <w:pStyle w:val="TableText0"/>
              <w:keepNext w:val="0"/>
              <w:widowControl w:val="0"/>
              <w:jc w:val="center"/>
              <w:rPr>
                <w:rFonts w:cs="Times New Roman"/>
                <w:szCs w:val="20"/>
              </w:rPr>
            </w:pPr>
            <w:r w:rsidRPr="00552B0C">
              <w:t>328 (85.6)</w:t>
            </w:r>
          </w:p>
        </w:tc>
        <w:tc>
          <w:tcPr>
            <w:tcW w:w="944" w:type="pct"/>
            <w:gridSpan w:val="2"/>
            <w:tcBorders>
              <w:left w:val="single" w:sz="4" w:space="0" w:color="auto"/>
              <w:bottom w:val="single" w:sz="4" w:space="0" w:color="auto"/>
              <w:right w:val="single" w:sz="4" w:space="0" w:color="auto"/>
            </w:tcBorders>
            <w:shd w:val="clear" w:color="auto" w:fill="auto"/>
          </w:tcPr>
          <w:p w14:paraId="684E0287" w14:textId="77777777" w:rsidR="00091D2A" w:rsidRPr="00552B0C" w:rsidRDefault="00091D2A" w:rsidP="0050763F">
            <w:pPr>
              <w:pStyle w:val="TableText0"/>
              <w:keepNext w:val="0"/>
              <w:widowControl w:val="0"/>
              <w:jc w:val="center"/>
              <w:rPr>
                <w:rFonts w:cs="Times New Roman"/>
                <w:szCs w:val="20"/>
              </w:rPr>
            </w:pPr>
            <w:r w:rsidRPr="00552B0C">
              <w:t>345 (89.1)</w:t>
            </w:r>
          </w:p>
        </w:tc>
        <w:tc>
          <w:tcPr>
            <w:tcW w:w="630" w:type="pct"/>
            <w:gridSpan w:val="2"/>
            <w:tcBorders>
              <w:left w:val="single" w:sz="4" w:space="0" w:color="auto"/>
              <w:bottom w:val="single" w:sz="4" w:space="0" w:color="auto"/>
              <w:right w:val="single" w:sz="4" w:space="0" w:color="auto"/>
            </w:tcBorders>
            <w:shd w:val="clear" w:color="auto" w:fill="auto"/>
          </w:tcPr>
          <w:p w14:paraId="13C3EBA8" w14:textId="77777777" w:rsidR="00091D2A" w:rsidRPr="00552B0C" w:rsidRDefault="00091D2A" w:rsidP="0050763F">
            <w:pPr>
              <w:pStyle w:val="TableText0"/>
              <w:keepNext w:val="0"/>
              <w:widowControl w:val="0"/>
              <w:jc w:val="center"/>
            </w:pPr>
            <w:r w:rsidRPr="00552B0C">
              <w:rPr>
                <w:bCs w:val="0"/>
              </w:rPr>
              <w:t>-</w:t>
            </w:r>
            <w:r w:rsidRPr="00552B0C">
              <w:t xml:space="preserve"> </w:t>
            </w:r>
          </w:p>
        </w:tc>
        <w:tc>
          <w:tcPr>
            <w:tcW w:w="755" w:type="pct"/>
            <w:gridSpan w:val="3"/>
            <w:tcBorders>
              <w:top w:val="single" w:sz="4" w:space="0" w:color="auto"/>
              <w:left w:val="single" w:sz="4" w:space="0" w:color="auto"/>
              <w:bottom w:val="nil"/>
              <w:right w:val="single" w:sz="4" w:space="0" w:color="auto"/>
            </w:tcBorders>
            <w:shd w:val="clear" w:color="auto" w:fill="auto"/>
          </w:tcPr>
          <w:p w14:paraId="5E34541C" w14:textId="77777777" w:rsidR="00091D2A" w:rsidRPr="00552B0C" w:rsidRDefault="00091D2A" w:rsidP="0050763F">
            <w:pPr>
              <w:pStyle w:val="TableText0"/>
              <w:keepNext w:val="0"/>
              <w:widowControl w:val="0"/>
              <w:jc w:val="center"/>
              <w:rPr>
                <w:szCs w:val="20"/>
              </w:rPr>
            </w:pPr>
          </w:p>
        </w:tc>
      </w:tr>
      <w:tr w:rsidR="00091D2A" w:rsidRPr="00552B0C" w14:paraId="453616B4" w14:textId="77777777">
        <w:trPr>
          <w:trHeight w:val="20"/>
        </w:trPr>
        <w:tc>
          <w:tcPr>
            <w:tcW w:w="1727" w:type="pct"/>
            <w:gridSpan w:val="2"/>
            <w:tcBorders>
              <w:bottom w:val="single" w:sz="4" w:space="0" w:color="auto"/>
              <w:right w:val="single" w:sz="4" w:space="0" w:color="auto"/>
            </w:tcBorders>
            <w:shd w:val="clear" w:color="auto" w:fill="auto"/>
          </w:tcPr>
          <w:p w14:paraId="415F23E0" w14:textId="77777777" w:rsidR="00091D2A" w:rsidRPr="00552B0C" w:rsidRDefault="00091D2A" w:rsidP="0050763F">
            <w:pPr>
              <w:pStyle w:val="TableText0"/>
              <w:keepNext w:val="0"/>
              <w:widowControl w:val="0"/>
            </w:pPr>
            <w:r w:rsidRPr="00552B0C">
              <w:t>Median OS, months (95% CI)</w:t>
            </w:r>
          </w:p>
        </w:tc>
        <w:tc>
          <w:tcPr>
            <w:tcW w:w="944" w:type="pct"/>
            <w:gridSpan w:val="3"/>
            <w:tcBorders>
              <w:left w:val="single" w:sz="4" w:space="0" w:color="auto"/>
              <w:bottom w:val="single" w:sz="4" w:space="0" w:color="auto"/>
              <w:right w:val="single" w:sz="4" w:space="0" w:color="auto"/>
            </w:tcBorders>
            <w:shd w:val="clear" w:color="auto" w:fill="auto"/>
          </w:tcPr>
          <w:p w14:paraId="79F030E6" w14:textId="77777777" w:rsidR="00091D2A" w:rsidRPr="00552B0C" w:rsidRDefault="00091D2A" w:rsidP="0050763F">
            <w:pPr>
              <w:pStyle w:val="TableText0"/>
              <w:keepNext w:val="0"/>
              <w:widowControl w:val="0"/>
              <w:jc w:val="center"/>
              <w:rPr>
                <w:rFonts w:cs="Times New Roman"/>
                <w:szCs w:val="20"/>
              </w:rPr>
            </w:pPr>
            <w:r w:rsidRPr="00552B0C">
              <w:t>11.1 (10.0, 12.1)</w:t>
            </w:r>
          </w:p>
        </w:tc>
        <w:tc>
          <w:tcPr>
            <w:tcW w:w="944" w:type="pct"/>
            <w:gridSpan w:val="2"/>
            <w:tcBorders>
              <w:left w:val="single" w:sz="4" w:space="0" w:color="auto"/>
              <w:bottom w:val="single" w:sz="4" w:space="0" w:color="auto"/>
              <w:right w:val="single" w:sz="4" w:space="0" w:color="auto"/>
            </w:tcBorders>
            <w:shd w:val="clear" w:color="auto" w:fill="auto"/>
          </w:tcPr>
          <w:p w14:paraId="0E90D04F" w14:textId="77777777" w:rsidR="00091D2A" w:rsidRPr="00552B0C" w:rsidRDefault="00091D2A" w:rsidP="0050763F">
            <w:pPr>
              <w:pStyle w:val="TableText0"/>
              <w:keepNext w:val="0"/>
              <w:widowControl w:val="0"/>
              <w:jc w:val="center"/>
              <w:rPr>
                <w:rFonts w:cs="Times New Roman"/>
                <w:szCs w:val="20"/>
              </w:rPr>
            </w:pPr>
            <w:r w:rsidRPr="00552B0C">
              <w:t>9.2 (8.3, 10.6)</w:t>
            </w:r>
          </w:p>
        </w:tc>
        <w:tc>
          <w:tcPr>
            <w:tcW w:w="630" w:type="pct"/>
            <w:gridSpan w:val="2"/>
            <w:tcBorders>
              <w:left w:val="single" w:sz="4" w:space="0" w:color="auto"/>
              <w:bottom w:val="single" w:sz="4" w:space="0" w:color="auto"/>
              <w:right w:val="single" w:sz="4" w:space="0" w:color="auto"/>
            </w:tcBorders>
            <w:shd w:val="clear" w:color="auto" w:fill="auto"/>
          </w:tcPr>
          <w:p w14:paraId="649417C6" w14:textId="77777777" w:rsidR="00091D2A" w:rsidRPr="00552B0C" w:rsidRDefault="00091D2A" w:rsidP="0050763F">
            <w:pPr>
              <w:pStyle w:val="TableText0"/>
              <w:keepNext w:val="0"/>
              <w:widowControl w:val="0"/>
              <w:jc w:val="center"/>
            </w:pPr>
            <w:r w:rsidRPr="00552B0C">
              <w:t>1.9</w:t>
            </w:r>
          </w:p>
        </w:tc>
        <w:tc>
          <w:tcPr>
            <w:tcW w:w="755" w:type="pct"/>
            <w:gridSpan w:val="3"/>
            <w:tcBorders>
              <w:top w:val="nil"/>
              <w:left w:val="single" w:sz="4" w:space="0" w:color="auto"/>
              <w:bottom w:val="nil"/>
              <w:right w:val="single" w:sz="4" w:space="0" w:color="auto"/>
            </w:tcBorders>
            <w:shd w:val="clear" w:color="auto" w:fill="auto"/>
          </w:tcPr>
          <w:p w14:paraId="20610629" w14:textId="77777777" w:rsidR="00091D2A" w:rsidRPr="00552B0C" w:rsidRDefault="00091D2A" w:rsidP="0050763F">
            <w:pPr>
              <w:pStyle w:val="TableText0"/>
              <w:keepNext w:val="0"/>
              <w:widowControl w:val="0"/>
              <w:jc w:val="center"/>
              <w:rPr>
                <w:b/>
              </w:rPr>
            </w:pPr>
            <w:r w:rsidRPr="00552B0C">
              <w:rPr>
                <w:b/>
                <w:bCs w:val="0"/>
              </w:rPr>
              <w:t xml:space="preserve">0.84 (0.72, 0.98) </w:t>
            </w:r>
          </w:p>
        </w:tc>
      </w:tr>
      <w:tr w:rsidR="00091D2A" w:rsidRPr="00552B0C" w14:paraId="264D7932" w14:textId="77777777">
        <w:trPr>
          <w:trHeight w:val="20"/>
        </w:trPr>
        <w:tc>
          <w:tcPr>
            <w:tcW w:w="1727" w:type="pct"/>
            <w:gridSpan w:val="2"/>
            <w:tcBorders>
              <w:bottom w:val="single" w:sz="4" w:space="0" w:color="auto"/>
              <w:right w:val="single" w:sz="4" w:space="0" w:color="auto"/>
            </w:tcBorders>
            <w:shd w:val="clear" w:color="auto" w:fill="auto"/>
          </w:tcPr>
          <w:p w14:paraId="4711DFFE" w14:textId="77777777" w:rsidR="00091D2A" w:rsidRPr="00552B0C" w:rsidRDefault="00091D2A" w:rsidP="0050763F">
            <w:pPr>
              <w:pStyle w:val="TableText0"/>
              <w:keepNext w:val="0"/>
              <w:widowControl w:val="0"/>
            </w:pPr>
            <w:r w:rsidRPr="00552B0C">
              <w:t xml:space="preserve">% Alive at 3 months (95% CI) </w:t>
            </w:r>
          </w:p>
        </w:tc>
        <w:tc>
          <w:tcPr>
            <w:tcW w:w="944" w:type="pct"/>
            <w:gridSpan w:val="3"/>
            <w:tcBorders>
              <w:left w:val="single" w:sz="4" w:space="0" w:color="auto"/>
              <w:bottom w:val="single" w:sz="4" w:space="0" w:color="auto"/>
              <w:right w:val="single" w:sz="4" w:space="0" w:color="auto"/>
            </w:tcBorders>
            <w:shd w:val="clear" w:color="auto" w:fill="auto"/>
          </w:tcPr>
          <w:p w14:paraId="13CADCA2" w14:textId="77777777" w:rsidR="00091D2A" w:rsidRPr="00552B0C" w:rsidRDefault="00091D2A" w:rsidP="0050763F">
            <w:pPr>
              <w:pStyle w:val="TableText0"/>
              <w:keepNext w:val="0"/>
              <w:widowControl w:val="0"/>
              <w:jc w:val="center"/>
              <w:rPr>
                <w:rFonts w:cs="Times New Roman"/>
                <w:szCs w:val="20"/>
              </w:rPr>
            </w:pPr>
            <w:r w:rsidRPr="00552B0C">
              <w:t>NR</w:t>
            </w:r>
          </w:p>
        </w:tc>
        <w:tc>
          <w:tcPr>
            <w:tcW w:w="944" w:type="pct"/>
            <w:gridSpan w:val="2"/>
            <w:tcBorders>
              <w:left w:val="single" w:sz="4" w:space="0" w:color="auto"/>
              <w:bottom w:val="single" w:sz="4" w:space="0" w:color="auto"/>
              <w:right w:val="single" w:sz="4" w:space="0" w:color="auto"/>
            </w:tcBorders>
            <w:shd w:val="clear" w:color="auto" w:fill="auto"/>
          </w:tcPr>
          <w:p w14:paraId="687EDFA8" w14:textId="77777777" w:rsidR="00091D2A" w:rsidRPr="00552B0C" w:rsidRDefault="00091D2A" w:rsidP="0050763F">
            <w:pPr>
              <w:pStyle w:val="TableText0"/>
              <w:keepNext w:val="0"/>
              <w:widowControl w:val="0"/>
              <w:jc w:val="center"/>
              <w:rPr>
                <w:rFonts w:cs="Times New Roman"/>
                <w:szCs w:val="20"/>
              </w:rPr>
            </w:pPr>
            <w:r w:rsidRPr="00552B0C">
              <w:t>NR</w:t>
            </w:r>
          </w:p>
        </w:tc>
        <w:tc>
          <w:tcPr>
            <w:tcW w:w="630" w:type="pct"/>
            <w:gridSpan w:val="2"/>
            <w:tcBorders>
              <w:left w:val="single" w:sz="4" w:space="0" w:color="auto"/>
              <w:bottom w:val="single" w:sz="4" w:space="0" w:color="auto"/>
              <w:right w:val="single" w:sz="4" w:space="0" w:color="auto"/>
            </w:tcBorders>
            <w:shd w:val="clear" w:color="auto" w:fill="auto"/>
          </w:tcPr>
          <w:p w14:paraId="665721B2" w14:textId="77777777" w:rsidR="00091D2A" w:rsidRPr="00552B0C" w:rsidRDefault="00091D2A" w:rsidP="0050763F">
            <w:pPr>
              <w:pStyle w:val="TableText0"/>
              <w:keepNext w:val="0"/>
              <w:widowControl w:val="0"/>
              <w:jc w:val="center"/>
            </w:pPr>
            <w:r w:rsidRPr="00552B0C">
              <w:t>1.7%</w:t>
            </w:r>
          </w:p>
        </w:tc>
        <w:tc>
          <w:tcPr>
            <w:tcW w:w="755" w:type="pct"/>
            <w:gridSpan w:val="3"/>
            <w:tcBorders>
              <w:top w:val="nil"/>
              <w:left w:val="single" w:sz="4" w:space="0" w:color="auto"/>
              <w:bottom w:val="nil"/>
              <w:right w:val="single" w:sz="4" w:space="0" w:color="auto"/>
            </w:tcBorders>
            <w:shd w:val="clear" w:color="auto" w:fill="auto"/>
          </w:tcPr>
          <w:p w14:paraId="37B4988F" w14:textId="77777777" w:rsidR="00091D2A" w:rsidRPr="00552B0C" w:rsidRDefault="00091D2A" w:rsidP="0050763F">
            <w:pPr>
              <w:pStyle w:val="TableText0"/>
              <w:keepNext w:val="0"/>
              <w:widowControl w:val="0"/>
              <w:jc w:val="center"/>
              <w:rPr>
                <w:b/>
                <w:szCs w:val="20"/>
              </w:rPr>
            </w:pPr>
            <w:r w:rsidRPr="00552B0C">
              <w:rPr>
                <w:b/>
                <w:bCs w:val="0"/>
              </w:rPr>
              <w:t>p=0.026</w:t>
            </w:r>
          </w:p>
        </w:tc>
      </w:tr>
      <w:tr w:rsidR="00091D2A" w:rsidRPr="00552B0C" w14:paraId="6FC06197" w14:textId="77777777">
        <w:trPr>
          <w:trHeight w:val="20"/>
        </w:trPr>
        <w:tc>
          <w:tcPr>
            <w:tcW w:w="1727" w:type="pct"/>
            <w:gridSpan w:val="2"/>
            <w:tcBorders>
              <w:bottom w:val="single" w:sz="4" w:space="0" w:color="auto"/>
              <w:right w:val="single" w:sz="4" w:space="0" w:color="auto"/>
            </w:tcBorders>
            <w:shd w:val="clear" w:color="auto" w:fill="auto"/>
          </w:tcPr>
          <w:p w14:paraId="052F4570" w14:textId="77777777" w:rsidR="00091D2A" w:rsidRPr="00552B0C" w:rsidRDefault="00091D2A" w:rsidP="0050763F">
            <w:pPr>
              <w:pStyle w:val="TableText0"/>
              <w:keepNext w:val="0"/>
              <w:widowControl w:val="0"/>
            </w:pPr>
            <w:r w:rsidRPr="00552B0C">
              <w:t>% Alive at 6 months (95% CI)</w:t>
            </w:r>
          </w:p>
        </w:tc>
        <w:tc>
          <w:tcPr>
            <w:tcW w:w="944" w:type="pct"/>
            <w:gridSpan w:val="3"/>
            <w:tcBorders>
              <w:left w:val="single" w:sz="4" w:space="0" w:color="auto"/>
              <w:bottom w:val="single" w:sz="4" w:space="0" w:color="auto"/>
              <w:right w:val="single" w:sz="4" w:space="0" w:color="auto"/>
            </w:tcBorders>
            <w:shd w:val="clear" w:color="auto" w:fill="auto"/>
          </w:tcPr>
          <w:p w14:paraId="01879E1A" w14:textId="77777777" w:rsidR="00091D2A" w:rsidRPr="00552B0C" w:rsidRDefault="00091D2A" w:rsidP="0050763F">
            <w:pPr>
              <w:pStyle w:val="TableText0"/>
              <w:keepNext w:val="0"/>
              <w:widowControl w:val="0"/>
              <w:jc w:val="center"/>
              <w:rPr>
                <w:rFonts w:cs="Times New Roman"/>
                <w:szCs w:val="20"/>
              </w:rPr>
            </w:pPr>
            <w:r w:rsidRPr="00552B0C">
              <w:t>72.4 (67.6, 76.6)</w:t>
            </w:r>
          </w:p>
        </w:tc>
        <w:tc>
          <w:tcPr>
            <w:tcW w:w="944" w:type="pct"/>
            <w:gridSpan w:val="2"/>
            <w:tcBorders>
              <w:left w:val="single" w:sz="4" w:space="0" w:color="auto"/>
              <w:bottom w:val="single" w:sz="4" w:space="0" w:color="auto"/>
              <w:right w:val="single" w:sz="4" w:space="0" w:color="auto"/>
            </w:tcBorders>
            <w:shd w:val="clear" w:color="auto" w:fill="auto"/>
          </w:tcPr>
          <w:p w14:paraId="4AC8F8B4" w14:textId="77777777" w:rsidR="00091D2A" w:rsidRPr="00552B0C" w:rsidRDefault="00091D2A" w:rsidP="0050763F">
            <w:pPr>
              <w:pStyle w:val="TableText0"/>
              <w:keepNext w:val="0"/>
              <w:widowControl w:val="0"/>
              <w:jc w:val="center"/>
              <w:rPr>
                <w:rFonts w:cs="Times New Roman"/>
                <w:szCs w:val="20"/>
              </w:rPr>
            </w:pPr>
            <w:r w:rsidRPr="00552B0C">
              <w:t>68.4 (63.5, 72.8)</w:t>
            </w:r>
          </w:p>
        </w:tc>
        <w:tc>
          <w:tcPr>
            <w:tcW w:w="630" w:type="pct"/>
            <w:gridSpan w:val="2"/>
            <w:tcBorders>
              <w:left w:val="single" w:sz="4" w:space="0" w:color="auto"/>
              <w:bottom w:val="single" w:sz="4" w:space="0" w:color="auto"/>
              <w:right w:val="single" w:sz="4" w:space="0" w:color="auto"/>
            </w:tcBorders>
            <w:shd w:val="clear" w:color="auto" w:fill="auto"/>
          </w:tcPr>
          <w:p w14:paraId="1AF9E025" w14:textId="77777777" w:rsidR="00091D2A" w:rsidRPr="00552B0C" w:rsidRDefault="00091D2A" w:rsidP="0050763F">
            <w:pPr>
              <w:pStyle w:val="TableText0"/>
              <w:keepNext w:val="0"/>
              <w:widowControl w:val="0"/>
              <w:jc w:val="center"/>
            </w:pPr>
            <w:r w:rsidRPr="00552B0C">
              <w:t>4.0%</w:t>
            </w:r>
          </w:p>
        </w:tc>
        <w:tc>
          <w:tcPr>
            <w:tcW w:w="755" w:type="pct"/>
            <w:gridSpan w:val="3"/>
            <w:tcBorders>
              <w:top w:val="nil"/>
              <w:left w:val="single" w:sz="4" w:space="0" w:color="auto"/>
              <w:bottom w:val="nil"/>
              <w:right w:val="single" w:sz="4" w:space="0" w:color="auto"/>
            </w:tcBorders>
            <w:shd w:val="clear" w:color="auto" w:fill="auto"/>
          </w:tcPr>
          <w:p w14:paraId="7F18A6B5" w14:textId="77777777" w:rsidR="00091D2A" w:rsidRPr="00552B0C" w:rsidRDefault="00091D2A" w:rsidP="0050763F">
            <w:pPr>
              <w:pStyle w:val="TableText0"/>
              <w:keepNext w:val="0"/>
              <w:widowControl w:val="0"/>
              <w:jc w:val="center"/>
              <w:rPr>
                <w:b/>
                <w:szCs w:val="20"/>
              </w:rPr>
            </w:pPr>
          </w:p>
        </w:tc>
      </w:tr>
      <w:tr w:rsidR="00091D2A" w:rsidRPr="00552B0C" w14:paraId="0E4B58DF" w14:textId="77777777">
        <w:trPr>
          <w:trHeight w:val="20"/>
        </w:trPr>
        <w:tc>
          <w:tcPr>
            <w:tcW w:w="1727" w:type="pct"/>
            <w:gridSpan w:val="2"/>
            <w:tcBorders>
              <w:bottom w:val="single" w:sz="4" w:space="0" w:color="auto"/>
              <w:right w:val="single" w:sz="4" w:space="0" w:color="auto"/>
            </w:tcBorders>
            <w:shd w:val="clear" w:color="auto" w:fill="auto"/>
          </w:tcPr>
          <w:p w14:paraId="426CD72A" w14:textId="77777777" w:rsidR="00091D2A" w:rsidRPr="00552B0C" w:rsidRDefault="00091D2A" w:rsidP="0050763F">
            <w:pPr>
              <w:pStyle w:val="TableText0"/>
              <w:keepNext w:val="0"/>
              <w:widowControl w:val="0"/>
            </w:pPr>
            <w:r w:rsidRPr="00552B0C">
              <w:t xml:space="preserve">% Alive at 9 months (95% CI) </w:t>
            </w:r>
          </w:p>
        </w:tc>
        <w:tc>
          <w:tcPr>
            <w:tcW w:w="944" w:type="pct"/>
            <w:gridSpan w:val="3"/>
            <w:tcBorders>
              <w:left w:val="single" w:sz="4" w:space="0" w:color="auto"/>
              <w:bottom w:val="single" w:sz="4" w:space="0" w:color="auto"/>
              <w:right w:val="single" w:sz="4" w:space="0" w:color="auto"/>
            </w:tcBorders>
            <w:shd w:val="clear" w:color="auto" w:fill="auto"/>
          </w:tcPr>
          <w:p w14:paraId="64874318" w14:textId="77777777" w:rsidR="00091D2A" w:rsidRPr="00552B0C" w:rsidRDefault="00091D2A" w:rsidP="0050763F">
            <w:pPr>
              <w:pStyle w:val="TableText0"/>
              <w:keepNext w:val="0"/>
              <w:widowControl w:val="0"/>
              <w:jc w:val="center"/>
              <w:rPr>
                <w:rFonts w:cs="Times New Roman"/>
                <w:szCs w:val="20"/>
              </w:rPr>
            </w:pPr>
            <w:r w:rsidRPr="00552B0C">
              <w:t>58.1 (53.0, 62.9)</w:t>
            </w:r>
          </w:p>
        </w:tc>
        <w:tc>
          <w:tcPr>
            <w:tcW w:w="944" w:type="pct"/>
            <w:gridSpan w:val="2"/>
            <w:tcBorders>
              <w:left w:val="single" w:sz="4" w:space="0" w:color="auto"/>
              <w:bottom w:val="single" w:sz="4" w:space="0" w:color="auto"/>
              <w:right w:val="single" w:sz="4" w:space="0" w:color="auto"/>
            </w:tcBorders>
            <w:shd w:val="clear" w:color="auto" w:fill="auto"/>
          </w:tcPr>
          <w:p w14:paraId="3425CB95" w14:textId="77777777" w:rsidR="00091D2A" w:rsidRPr="00552B0C" w:rsidRDefault="00091D2A" w:rsidP="0050763F">
            <w:pPr>
              <w:pStyle w:val="TableText0"/>
              <w:keepNext w:val="0"/>
              <w:widowControl w:val="0"/>
              <w:jc w:val="center"/>
              <w:rPr>
                <w:rFonts w:cs="Times New Roman"/>
                <w:szCs w:val="20"/>
              </w:rPr>
            </w:pPr>
            <w:r w:rsidRPr="00552B0C">
              <w:t>51.8 (46.7, 56.7)</w:t>
            </w:r>
          </w:p>
        </w:tc>
        <w:tc>
          <w:tcPr>
            <w:tcW w:w="630" w:type="pct"/>
            <w:gridSpan w:val="2"/>
            <w:tcBorders>
              <w:left w:val="single" w:sz="4" w:space="0" w:color="auto"/>
              <w:bottom w:val="single" w:sz="4" w:space="0" w:color="auto"/>
              <w:right w:val="single" w:sz="4" w:space="0" w:color="auto"/>
            </w:tcBorders>
            <w:shd w:val="clear" w:color="auto" w:fill="auto"/>
          </w:tcPr>
          <w:p w14:paraId="28FFE122" w14:textId="77777777" w:rsidR="00091D2A" w:rsidRPr="00552B0C" w:rsidRDefault="00091D2A" w:rsidP="0050763F">
            <w:pPr>
              <w:pStyle w:val="TableText0"/>
              <w:keepNext w:val="0"/>
              <w:widowControl w:val="0"/>
              <w:jc w:val="center"/>
            </w:pPr>
            <w:r w:rsidRPr="00552B0C">
              <w:t>6.3%</w:t>
            </w:r>
          </w:p>
        </w:tc>
        <w:tc>
          <w:tcPr>
            <w:tcW w:w="755" w:type="pct"/>
            <w:gridSpan w:val="3"/>
            <w:tcBorders>
              <w:top w:val="nil"/>
              <w:left w:val="single" w:sz="4" w:space="0" w:color="auto"/>
              <w:bottom w:val="nil"/>
              <w:right w:val="single" w:sz="4" w:space="0" w:color="auto"/>
            </w:tcBorders>
            <w:shd w:val="clear" w:color="auto" w:fill="auto"/>
          </w:tcPr>
          <w:p w14:paraId="7B6C8C32" w14:textId="77777777" w:rsidR="00091D2A" w:rsidRPr="00552B0C" w:rsidRDefault="00091D2A" w:rsidP="0050763F">
            <w:pPr>
              <w:pStyle w:val="TableText0"/>
              <w:keepNext w:val="0"/>
              <w:widowControl w:val="0"/>
              <w:jc w:val="center"/>
              <w:rPr>
                <w:b/>
                <w:szCs w:val="20"/>
              </w:rPr>
            </w:pPr>
          </w:p>
        </w:tc>
      </w:tr>
      <w:tr w:rsidR="00091D2A" w:rsidRPr="00552B0C" w14:paraId="56D11BA6" w14:textId="77777777">
        <w:trPr>
          <w:trHeight w:val="20"/>
        </w:trPr>
        <w:tc>
          <w:tcPr>
            <w:tcW w:w="1727" w:type="pct"/>
            <w:gridSpan w:val="2"/>
            <w:tcBorders>
              <w:bottom w:val="single" w:sz="4" w:space="0" w:color="auto"/>
              <w:right w:val="single" w:sz="4" w:space="0" w:color="auto"/>
            </w:tcBorders>
            <w:shd w:val="clear" w:color="auto" w:fill="auto"/>
          </w:tcPr>
          <w:p w14:paraId="7B9D1C7A" w14:textId="77777777" w:rsidR="00091D2A" w:rsidRPr="00552B0C" w:rsidRDefault="00091D2A" w:rsidP="0050763F">
            <w:pPr>
              <w:pStyle w:val="TableText0"/>
              <w:keepNext w:val="0"/>
              <w:widowControl w:val="0"/>
            </w:pPr>
            <w:r w:rsidRPr="00552B0C">
              <w:t>% Alive at 12 months (95% CI)</w:t>
            </w:r>
          </w:p>
        </w:tc>
        <w:tc>
          <w:tcPr>
            <w:tcW w:w="944" w:type="pct"/>
            <w:gridSpan w:val="3"/>
            <w:tcBorders>
              <w:left w:val="single" w:sz="4" w:space="0" w:color="auto"/>
              <w:bottom w:val="single" w:sz="4" w:space="0" w:color="auto"/>
              <w:right w:val="single" w:sz="4" w:space="0" w:color="auto"/>
            </w:tcBorders>
            <w:shd w:val="clear" w:color="auto" w:fill="auto"/>
          </w:tcPr>
          <w:p w14:paraId="555A80BC" w14:textId="77777777" w:rsidR="00091D2A" w:rsidRPr="00552B0C" w:rsidRDefault="00091D2A" w:rsidP="0050763F">
            <w:pPr>
              <w:pStyle w:val="TableText0"/>
              <w:keepNext w:val="0"/>
              <w:widowControl w:val="0"/>
              <w:jc w:val="center"/>
              <w:rPr>
                <w:rFonts w:cs="Times New Roman"/>
                <w:szCs w:val="20"/>
              </w:rPr>
            </w:pPr>
            <w:r w:rsidRPr="00552B0C">
              <w:t>45.6 (40.5, 50.5)</w:t>
            </w:r>
          </w:p>
        </w:tc>
        <w:tc>
          <w:tcPr>
            <w:tcW w:w="944" w:type="pct"/>
            <w:gridSpan w:val="2"/>
            <w:tcBorders>
              <w:left w:val="single" w:sz="4" w:space="0" w:color="auto"/>
              <w:bottom w:val="single" w:sz="4" w:space="0" w:color="auto"/>
              <w:right w:val="single" w:sz="4" w:space="0" w:color="auto"/>
            </w:tcBorders>
            <w:shd w:val="clear" w:color="auto" w:fill="auto"/>
          </w:tcPr>
          <w:p w14:paraId="0C09956D" w14:textId="77777777" w:rsidR="00091D2A" w:rsidRPr="00552B0C" w:rsidRDefault="00091D2A" w:rsidP="0050763F">
            <w:pPr>
              <w:pStyle w:val="TableText0"/>
              <w:keepNext w:val="0"/>
              <w:widowControl w:val="0"/>
              <w:jc w:val="center"/>
              <w:rPr>
                <w:rFonts w:cs="Times New Roman"/>
                <w:szCs w:val="20"/>
              </w:rPr>
            </w:pPr>
            <w:r w:rsidRPr="00552B0C">
              <w:t>39.6 (34.7, 44.5)</w:t>
            </w:r>
          </w:p>
        </w:tc>
        <w:tc>
          <w:tcPr>
            <w:tcW w:w="630" w:type="pct"/>
            <w:gridSpan w:val="2"/>
            <w:tcBorders>
              <w:left w:val="single" w:sz="4" w:space="0" w:color="auto"/>
              <w:bottom w:val="single" w:sz="4" w:space="0" w:color="auto"/>
              <w:right w:val="single" w:sz="4" w:space="0" w:color="auto"/>
            </w:tcBorders>
            <w:shd w:val="clear" w:color="auto" w:fill="auto"/>
          </w:tcPr>
          <w:p w14:paraId="66B62401" w14:textId="77777777" w:rsidR="00091D2A" w:rsidRPr="00552B0C" w:rsidRDefault="00091D2A" w:rsidP="0050763F">
            <w:pPr>
              <w:pStyle w:val="TableText0"/>
              <w:keepNext w:val="0"/>
              <w:widowControl w:val="0"/>
              <w:jc w:val="center"/>
            </w:pPr>
            <w:r w:rsidRPr="00552B0C">
              <w:t>6.0%</w:t>
            </w:r>
          </w:p>
        </w:tc>
        <w:tc>
          <w:tcPr>
            <w:tcW w:w="755" w:type="pct"/>
            <w:gridSpan w:val="3"/>
            <w:tcBorders>
              <w:top w:val="nil"/>
              <w:left w:val="single" w:sz="4" w:space="0" w:color="auto"/>
              <w:bottom w:val="nil"/>
              <w:right w:val="single" w:sz="4" w:space="0" w:color="auto"/>
            </w:tcBorders>
            <w:shd w:val="clear" w:color="auto" w:fill="auto"/>
          </w:tcPr>
          <w:p w14:paraId="7490170C" w14:textId="77777777" w:rsidR="00091D2A" w:rsidRPr="00552B0C" w:rsidRDefault="00091D2A" w:rsidP="0050763F">
            <w:pPr>
              <w:pStyle w:val="TableText0"/>
              <w:keepNext w:val="0"/>
              <w:widowControl w:val="0"/>
              <w:jc w:val="center"/>
              <w:rPr>
                <w:b/>
                <w:szCs w:val="20"/>
              </w:rPr>
            </w:pPr>
          </w:p>
        </w:tc>
      </w:tr>
      <w:tr w:rsidR="00091D2A" w:rsidRPr="00552B0C" w14:paraId="72518CBF" w14:textId="77777777">
        <w:trPr>
          <w:trHeight w:val="20"/>
        </w:trPr>
        <w:tc>
          <w:tcPr>
            <w:tcW w:w="1727" w:type="pct"/>
            <w:gridSpan w:val="2"/>
            <w:tcBorders>
              <w:bottom w:val="single" w:sz="4" w:space="0" w:color="auto"/>
              <w:right w:val="single" w:sz="4" w:space="0" w:color="auto"/>
            </w:tcBorders>
            <w:shd w:val="clear" w:color="auto" w:fill="auto"/>
          </w:tcPr>
          <w:p w14:paraId="2F1E858C" w14:textId="77777777" w:rsidR="00091D2A" w:rsidRPr="00552B0C" w:rsidRDefault="00091D2A" w:rsidP="0050763F">
            <w:pPr>
              <w:pStyle w:val="TableText0"/>
              <w:keepNext w:val="0"/>
              <w:widowControl w:val="0"/>
            </w:pPr>
            <w:r w:rsidRPr="00552B0C">
              <w:t>% Alive at 18 months (95% CI)</w:t>
            </w:r>
          </w:p>
        </w:tc>
        <w:tc>
          <w:tcPr>
            <w:tcW w:w="944" w:type="pct"/>
            <w:gridSpan w:val="3"/>
            <w:tcBorders>
              <w:left w:val="single" w:sz="4" w:space="0" w:color="auto"/>
              <w:bottom w:val="single" w:sz="4" w:space="0" w:color="auto"/>
              <w:right w:val="single" w:sz="4" w:space="0" w:color="auto"/>
            </w:tcBorders>
            <w:shd w:val="clear" w:color="auto" w:fill="auto"/>
          </w:tcPr>
          <w:p w14:paraId="40F62852" w14:textId="77777777" w:rsidR="00091D2A" w:rsidRPr="00552B0C" w:rsidRDefault="00091D2A" w:rsidP="0050763F">
            <w:pPr>
              <w:pStyle w:val="TableText0"/>
              <w:keepNext w:val="0"/>
              <w:widowControl w:val="0"/>
              <w:jc w:val="center"/>
              <w:rPr>
                <w:rFonts w:cs="Times New Roman"/>
                <w:szCs w:val="20"/>
              </w:rPr>
            </w:pPr>
            <w:r w:rsidRPr="00552B0C">
              <w:t>26.6 (22.2, 31.1)</w:t>
            </w:r>
          </w:p>
        </w:tc>
        <w:tc>
          <w:tcPr>
            <w:tcW w:w="944" w:type="pct"/>
            <w:gridSpan w:val="2"/>
            <w:tcBorders>
              <w:left w:val="single" w:sz="4" w:space="0" w:color="auto"/>
              <w:bottom w:val="single" w:sz="4" w:space="0" w:color="auto"/>
              <w:right w:val="single" w:sz="4" w:space="0" w:color="auto"/>
            </w:tcBorders>
            <w:shd w:val="clear" w:color="auto" w:fill="auto"/>
          </w:tcPr>
          <w:p w14:paraId="3E75B12C" w14:textId="77777777" w:rsidR="00091D2A" w:rsidRPr="00552B0C" w:rsidRDefault="00091D2A" w:rsidP="0050763F">
            <w:pPr>
              <w:pStyle w:val="TableText0"/>
              <w:keepNext w:val="0"/>
              <w:widowControl w:val="0"/>
              <w:jc w:val="center"/>
              <w:rPr>
                <w:rFonts w:cs="Times New Roman"/>
                <w:szCs w:val="20"/>
              </w:rPr>
            </w:pPr>
            <w:r w:rsidRPr="00552B0C">
              <w:t>20.0 (16.1, 24.1)</w:t>
            </w:r>
          </w:p>
        </w:tc>
        <w:tc>
          <w:tcPr>
            <w:tcW w:w="630" w:type="pct"/>
            <w:gridSpan w:val="2"/>
            <w:tcBorders>
              <w:left w:val="single" w:sz="4" w:space="0" w:color="auto"/>
              <w:bottom w:val="single" w:sz="4" w:space="0" w:color="auto"/>
              <w:right w:val="single" w:sz="4" w:space="0" w:color="auto"/>
            </w:tcBorders>
            <w:shd w:val="clear" w:color="auto" w:fill="auto"/>
          </w:tcPr>
          <w:p w14:paraId="441AC797" w14:textId="77777777" w:rsidR="00091D2A" w:rsidRPr="00552B0C" w:rsidRDefault="00091D2A" w:rsidP="0050763F">
            <w:pPr>
              <w:pStyle w:val="TableText0"/>
              <w:keepNext w:val="0"/>
              <w:widowControl w:val="0"/>
              <w:jc w:val="center"/>
            </w:pPr>
            <w:r w:rsidRPr="00552B0C">
              <w:t>6.6%</w:t>
            </w:r>
          </w:p>
        </w:tc>
        <w:tc>
          <w:tcPr>
            <w:tcW w:w="755" w:type="pct"/>
            <w:gridSpan w:val="3"/>
            <w:tcBorders>
              <w:top w:val="nil"/>
              <w:left w:val="single" w:sz="4" w:space="0" w:color="auto"/>
              <w:bottom w:val="single" w:sz="4" w:space="0" w:color="auto"/>
              <w:right w:val="single" w:sz="4" w:space="0" w:color="auto"/>
            </w:tcBorders>
            <w:shd w:val="clear" w:color="auto" w:fill="auto"/>
          </w:tcPr>
          <w:p w14:paraId="5267C731" w14:textId="77777777" w:rsidR="00091D2A" w:rsidRPr="00552B0C" w:rsidRDefault="00091D2A" w:rsidP="0050763F">
            <w:pPr>
              <w:pStyle w:val="TableText0"/>
              <w:keepNext w:val="0"/>
              <w:widowControl w:val="0"/>
              <w:jc w:val="center"/>
              <w:rPr>
                <w:b/>
                <w:szCs w:val="20"/>
              </w:rPr>
            </w:pPr>
          </w:p>
        </w:tc>
      </w:tr>
      <w:tr w:rsidR="00AE78C0" w:rsidRPr="00552B0C" w14:paraId="694349DD" w14:textId="77777777" w:rsidTr="00A16C63">
        <w:trPr>
          <w:trHeight w:val="20"/>
        </w:trPr>
        <w:tc>
          <w:tcPr>
            <w:tcW w:w="5000" w:type="pct"/>
            <w:gridSpan w:val="12"/>
            <w:tcBorders>
              <w:bottom w:val="single" w:sz="4" w:space="0" w:color="auto"/>
              <w:right w:val="single" w:sz="4" w:space="0" w:color="auto"/>
            </w:tcBorders>
            <w:shd w:val="clear" w:color="auto" w:fill="B8CCE4" w:themeFill="accent1" w:themeFillTint="66"/>
          </w:tcPr>
          <w:p w14:paraId="6F429B0E" w14:textId="4A5674C8" w:rsidR="00AE78C0" w:rsidRPr="00552B0C" w:rsidRDefault="00AE78C0" w:rsidP="0050763F">
            <w:pPr>
              <w:pStyle w:val="In-tableHeading"/>
              <w:keepNext w:val="0"/>
              <w:jc w:val="both"/>
            </w:pPr>
            <w:r w:rsidRPr="00552B0C">
              <w:rPr>
                <w:lang w:val="en-AU"/>
              </w:rPr>
              <w:t>Overall survival (median duration of follow up 16.0 months in NALIRIFOX and 16.3 months in Gem+NabP)</w:t>
            </w:r>
          </w:p>
        </w:tc>
      </w:tr>
      <w:tr w:rsidR="00EB5587" w:rsidRPr="00552B0C" w14:paraId="285F8E3B"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6A51AA86" w14:textId="68CEDA8F" w:rsidR="00A16C63" w:rsidRPr="00552B0C" w:rsidRDefault="00AE78C0" w:rsidP="0050763F">
            <w:pPr>
              <w:pStyle w:val="In-tableHeading"/>
              <w:keepNext w:val="0"/>
              <w:rPr>
                <w:b w:val="0"/>
              </w:rPr>
            </w:pPr>
            <w:r w:rsidRPr="00552B0C">
              <w:rPr>
                <w:b w:val="0"/>
                <w:bCs/>
              </w:rPr>
              <w:t xml:space="preserve">Deaths, n/N (%) </w:t>
            </w:r>
          </w:p>
        </w:tc>
        <w:tc>
          <w:tcPr>
            <w:tcW w:w="944" w:type="pct"/>
            <w:gridSpan w:val="3"/>
            <w:tcBorders>
              <w:bottom w:val="single" w:sz="4" w:space="0" w:color="auto"/>
              <w:right w:val="single" w:sz="4" w:space="0" w:color="auto"/>
            </w:tcBorders>
            <w:shd w:val="clear" w:color="auto" w:fill="B8CCE4" w:themeFill="accent1" w:themeFillTint="66"/>
          </w:tcPr>
          <w:p w14:paraId="5A07CB6B" w14:textId="62A38BC5" w:rsidR="00A16C63" w:rsidRPr="00552B0C" w:rsidRDefault="00AE78C0" w:rsidP="0050763F">
            <w:pPr>
              <w:pStyle w:val="In-tableHeading"/>
              <w:keepNext w:val="0"/>
              <w:jc w:val="center"/>
              <w:rPr>
                <w:b w:val="0"/>
              </w:rPr>
            </w:pPr>
            <w:r w:rsidRPr="00552B0C">
              <w:rPr>
                <w:b w:val="0"/>
                <w:bCs/>
              </w:rPr>
              <w:t>259/383 (67.6)</w:t>
            </w:r>
          </w:p>
        </w:tc>
        <w:tc>
          <w:tcPr>
            <w:tcW w:w="944" w:type="pct"/>
            <w:gridSpan w:val="2"/>
            <w:tcBorders>
              <w:bottom w:val="single" w:sz="4" w:space="0" w:color="auto"/>
              <w:right w:val="single" w:sz="4" w:space="0" w:color="auto"/>
            </w:tcBorders>
            <w:shd w:val="clear" w:color="auto" w:fill="B8CCE4" w:themeFill="accent1" w:themeFillTint="66"/>
          </w:tcPr>
          <w:p w14:paraId="7813A18F" w14:textId="3735ED04" w:rsidR="00A16C63" w:rsidRPr="00552B0C" w:rsidRDefault="00AE78C0" w:rsidP="0050763F">
            <w:pPr>
              <w:pStyle w:val="In-tableHeading"/>
              <w:keepNext w:val="0"/>
              <w:jc w:val="center"/>
              <w:rPr>
                <w:b w:val="0"/>
              </w:rPr>
            </w:pPr>
            <w:r w:rsidRPr="00552B0C">
              <w:rPr>
                <w:b w:val="0"/>
                <w:bCs/>
              </w:rPr>
              <w:t>285/387 (73.6)</w:t>
            </w:r>
          </w:p>
        </w:tc>
        <w:tc>
          <w:tcPr>
            <w:tcW w:w="630" w:type="pct"/>
            <w:gridSpan w:val="2"/>
            <w:tcBorders>
              <w:bottom w:val="single" w:sz="4" w:space="0" w:color="auto"/>
              <w:right w:val="single" w:sz="4" w:space="0" w:color="auto"/>
            </w:tcBorders>
            <w:shd w:val="clear" w:color="auto" w:fill="B8CCE4" w:themeFill="accent1" w:themeFillTint="66"/>
          </w:tcPr>
          <w:p w14:paraId="2429D50D" w14:textId="7F56566B" w:rsidR="00A16C63" w:rsidRPr="00552B0C" w:rsidRDefault="00AE78C0" w:rsidP="0050763F">
            <w:pPr>
              <w:pStyle w:val="In-tableHeading"/>
              <w:keepNext w:val="0"/>
              <w:jc w:val="center"/>
              <w:rPr>
                <w:b w:val="0"/>
              </w:rPr>
            </w:pPr>
            <w:r w:rsidRPr="00552B0C">
              <w:rPr>
                <w:b w:val="0"/>
                <w:bCs/>
              </w:rPr>
              <w:t>-</w:t>
            </w:r>
          </w:p>
        </w:tc>
        <w:tc>
          <w:tcPr>
            <w:tcW w:w="755" w:type="pct"/>
            <w:gridSpan w:val="3"/>
            <w:tcBorders>
              <w:top w:val="single" w:sz="4" w:space="0" w:color="auto"/>
              <w:left w:val="single" w:sz="4" w:space="0" w:color="auto"/>
              <w:bottom w:val="nil"/>
              <w:right w:val="single" w:sz="4" w:space="0" w:color="auto"/>
            </w:tcBorders>
            <w:shd w:val="clear" w:color="auto" w:fill="B8CCE4" w:themeFill="accent1" w:themeFillTint="66"/>
          </w:tcPr>
          <w:p w14:paraId="73DF0EFD" w14:textId="77777777" w:rsidR="00A16C63" w:rsidRPr="00552B0C" w:rsidRDefault="00A16C63" w:rsidP="0050763F">
            <w:pPr>
              <w:pStyle w:val="In-tableHeading"/>
              <w:keepNext w:val="0"/>
              <w:jc w:val="center"/>
              <w:rPr>
                <w:b w:val="0"/>
              </w:rPr>
            </w:pPr>
          </w:p>
        </w:tc>
      </w:tr>
      <w:tr w:rsidR="00EB5587" w:rsidRPr="00552B0C" w14:paraId="5334F7B9"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60591911" w14:textId="6B8D9D35" w:rsidR="00AE78C0" w:rsidRPr="00552B0C" w:rsidRDefault="00AE78C0" w:rsidP="0050763F">
            <w:pPr>
              <w:pStyle w:val="In-tableHeading"/>
              <w:keepNext w:val="0"/>
              <w:rPr>
                <w:b w:val="0"/>
                <w:bCs/>
              </w:rPr>
            </w:pPr>
            <w:r w:rsidRPr="00552B0C">
              <w:rPr>
                <w:b w:val="0"/>
                <w:bCs/>
              </w:rPr>
              <w:t>Median OS, months (95% CI)</w:t>
            </w:r>
          </w:p>
        </w:tc>
        <w:tc>
          <w:tcPr>
            <w:tcW w:w="944" w:type="pct"/>
            <w:gridSpan w:val="3"/>
            <w:tcBorders>
              <w:bottom w:val="single" w:sz="4" w:space="0" w:color="auto"/>
              <w:right w:val="single" w:sz="4" w:space="0" w:color="auto"/>
            </w:tcBorders>
            <w:shd w:val="clear" w:color="auto" w:fill="B8CCE4" w:themeFill="accent1" w:themeFillTint="66"/>
          </w:tcPr>
          <w:p w14:paraId="55238A60" w14:textId="32D4EB2C" w:rsidR="00AE78C0" w:rsidRPr="00552B0C" w:rsidRDefault="00AE78C0" w:rsidP="0050763F">
            <w:pPr>
              <w:pStyle w:val="In-tableHeading"/>
              <w:keepNext w:val="0"/>
              <w:jc w:val="center"/>
              <w:rPr>
                <w:b w:val="0"/>
                <w:bCs/>
              </w:rPr>
            </w:pPr>
            <w:r w:rsidRPr="00552B0C">
              <w:rPr>
                <w:b w:val="0"/>
                <w:bCs/>
              </w:rPr>
              <w:t>11.1 (10.0, 12.1)</w:t>
            </w:r>
          </w:p>
        </w:tc>
        <w:tc>
          <w:tcPr>
            <w:tcW w:w="944" w:type="pct"/>
            <w:gridSpan w:val="2"/>
            <w:tcBorders>
              <w:bottom w:val="single" w:sz="4" w:space="0" w:color="auto"/>
              <w:right w:val="single" w:sz="4" w:space="0" w:color="auto"/>
            </w:tcBorders>
            <w:shd w:val="clear" w:color="auto" w:fill="B8CCE4" w:themeFill="accent1" w:themeFillTint="66"/>
          </w:tcPr>
          <w:p w14:paraId="4F805F9D" w14:textId="2D4EC6A2" w:rsidR="00AE78C0" w:rsidRPr="00552B0C" w:rsidRDefault="00AE78C0" w:rsidP="0050763F">
            <w:pPr>
              <w:pStyle w:val="In-tableHeading"/>
              <w:keepNext w:val="0"/>
              <w:jc w:val="center"/>
              <w:rPr>
                <w:b w:val="0"/>
                <w:bCs/>
              </w:rPr>
            </w:pPr>
            <w:r w:rsidRPr="00552B0C">
              <w:rPr>
                <w:b w:val="0"/>
                <w:bCs/>
              </w:rPr>
              <w:t>9.2 (8.3, 10.6)</w:t>
            </w:r>
          </w:p>
        </w:tc>
        <w:tc>
          <w:tcPr>
            <w:tcW w:w="630" w:type="pct"/>
            <w:gridSpan w:val="2"/>
            <w:tcBorders>
              <w:bottom w:val="single" w:sz="4" w:space="0" w:color="auto"/>
              <w:right w:val="single" w:sz="4" w:space="0" w:color="auto"/>
            </w:tcBorders>
            <w:shd w:val="clear" w:color="auto" w:fill="B8CCE4" w:themeFill="accent1" w:themeFillTint="66"/>
          </w:tcPr>
          <w:p w14:paraId="0AE0E29B" w14:textId="422711EA" w:rsidR="00AE78C0" w:rsidRPr="00552B0C" w:rsidRDefault="00AE78C0" w:rsidP="0050763F">
            <w:pPr>
              <w:pStyle w:val="In-tableHeading"/>
              <w:keepNext w:val="0"/>
              <w:jc w:val="center"/>
              <w:rPr>
                <w:b w:val="0"/>
                <w:bCs/>
              </w:rPr>
            </w:pPr>
            <w:r w:rsidRPr="00552B0C">
              <w:rPr>
                <w:b w:val="0"/>
                <w:bCs/>
              </w:rPr>
              <w:t>1.9</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7061FC3E" w14:textId="2E3E3CA9" w:rsidR="00AE78C0" w:rsidRPr="00552B0C" w:rsidRDefault="00AE78C0" w:rsidP="0050763F">
            <w:pPr>
              <w:pStyle w:val="In-tableHeading"/>
              <w:keepNext w:val="0"/>
              <w:jc w:val="center"/>
            </w:pPr>
            <w:r w:rsidRPr="00552B0C">
              <w:t>0.83 (0.70, 0.99)</w:t>
            </w:r>
          </w:p>
        </w:tc>
      </w:tr>
      <w:tr w:rsidR="00EB5587" w:rsidRPr="00552B0C" w14:paraId="676B11BB"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2B131563" w14:textId="0D3A8C26" w:rsidR="00AE78C0" w:rsidRPr="00552B0C" w:rsidRDefault="00AE78C0" w:rsidP="0050763F">
            <w:pPr>
              <w:pStyle w:val="In-tableHeading"/>
              <w:keepNext w:val="0"/>
              <w:rPr>
                <w:b w:val="0"/>
                <w:bCs/>
              </w:rPr>
            </w:pPr>
            <w:r w:rsidRPr="00552B0C">
              <w:rPr>
                <w:b w:val="0"/>
                <w:bCs/>
              </w:rPr>
              <w:t xml:space="preserve">% Alive at 3 months (95% CI) </w:t>
            </w:r>
          </w:p>
        </w:tc>
        <w:tc>
          <w:tcPr>
            <w:tcW w:w="944" w:type="pct"/>
            <w:gridSpan w:val="3"/>
            <w:tcBorders>
              <w:bottom w:val="single" w:sz="4" w:space="0" w:color="auto"/>
              <w:right w:val="single" w:sz="4" w:space="0" w:color="auto"/>
            </w:tcBorders>
            <w:shd w:val="clear" w:color="auto" w:fill="B8CCE4" w:themeFill="accent1" w:themeFillTint="66"/>
          </w:tcPr>
          <w:p w14:paraId="1628311D" w14:textId="1A1F45C7" w:rsidR="00AE78C0" w:rsidRPr="00552B0C" w:rsidRDefault="00AE78C0" w:rsidP="0050763F">
            <w:pPr>
              <w:pStyle w:val="In-tableHeading"/>
              <w:keepNext w:val="0"/>
              <w:jc w:val="center"/>
              <w:rPr>
                <w:b w:val="0"/>
                <w:bCs/>
              </w:rPr>
            </w:pPr>
            <w:r w:rsidRPr="00552B0C">
              <w:rPr>
                <w:b w:val="0"/>
                <w:bCs/>
              </w:rPr>
              <w:t>84.2 (80.2, 87.5)</w:t>
            </w:r>
          </w:p>
        </w:tc>
        <w:tc>
          <w:tcPr>
            <w:tcW w:w="944" w:type="pct"/>
            <w:gridSpan w:val="2"/>
            <w:tcBorders>
              <w:bottom w:val="single" w:sz="4" w:space="0" w:color="auto"/>
              <w:right w:val="single" w:sz="4" w:space="0" w:color="auto"/>
            </w:tcBorders>
            <w:shd w:val="clear" w:color="auto" w:fill="B8CCE4" w:themeFill="accent1" w:themeFillTint="66"/>
          </w:tcPr>
          <w:p w14:paraId="1EF0D737" w14:textId="3CC4B112" w:rsidR="00AE78C0" w:rsidRPr="00552B0C" w:rsidRDefault="00AE78C0" w:rsidP="0050763F">
            <w:pPr>
              <w:pStyle w:val="In-tableHeading"/>
              <w:keepNext w:val="0"/>
              <w:jc w:val="center"/>
              <w:rPr>
                <w:b w:val="0"/>
                <w:bCs/>
              </w:rPr>
            </w:pPr>
            <w:r w:rsidRPr="00552B0C">
              <w:rPr>
                <w:b w:val="0"/>
                <w:bCs/>
              </w:rPr>
              <w:t>82.5 (78.3, 86.0)</w:t>
            </w:r>
          </w:p>
        </w:tc>
        <w:tc>
          <w:tcPr>
            <w:tcW w:w="630" w:type="pct"/>
            <w:gridSpan w:val="2"/>
            <w:tcBorders>
              <w:bottom w:val="single" w:sz="4" w:space="0" w:color="auto"/>
              <w:right w:val="single" w:sz="4" w:space="0" w:color="auto"/>
            </w:tcBorders>
            <w:shd w:val="clear" w:color="auto" w:fill="B8CCE4" w:themeFill="accent1" w:themeFillTint="66"/>
          </w:tcPr>
          <w:p w14:paraId="187D1CDE" w14:textId="60C9C7D8" w:rsidR="00AE78C0" w:rsidRPr="00552B0C" w:rsidRDefault="00AE78C0" w:rsidP="0050763F">
            <w:pPr>
              <w:pStyle w:val="In-tableHeading"/>
              <w:keepNext w:val="0"/>
              <w:jc w:val="center"/>
              <w:rPr>
                <w:b w:val="0"/>
                <w:bCs/>
              </w:rPr>
            </w:pPr>
            <w:r w:rsidRPr="00552B0C">
              <w:rPr>
                <w:b w:val="0"/>
                <w:bCs/>
              </w:rPr>
              <w:t>1.7%</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12C939DB" w14:textId="38048E2C" w:rsidR="00AE78C0" w:rsidRPr="00552B0C" w:rsidRDefault="00AE78C0" w:rsidP="0050763F">
            <w:pPr>
              <w:pStyle w:val="In-tableHeading"/>
              <w:keepNext w:val="0"/>
              <w:jc w:val="center"/>
            </w:pPr>
            <w:r w:rsidRPr="00552B0C">
              <w:t>p=0.04</w:t>
            </w:r>
          </w:p>
        </w:tc>
      </w:tr>
      <w:tr w:rsidR="00EB5587" w:rsidRPr="00552B0C" w14:paraId="69CE307E"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3D267985" w14:textId="21CF0C9F" w:rsidR="00AE78C0" w:rsidRPr="00552B0C" w:rsidRDefault="00AE78C0" w:rsidP="0050763F">
            <w:pPr>
              <w:pStyle w:val="In-tableHeading"/>
              <w:keepNext w:val="0"/>
              <w:rPr>
                <w:b w:val="0"/>
                <w:bCs/>
              </w:rPr>
            </w:pPr>
            <w:r w:rsidRPr="00552B0C">
              <w:rPr>
                <w:b w:val="0"/>
                <w:bCs/>
              </w:rPr>
              <w:t>% Alive at 6 months (95% CI)</w:t>
            </w:r>
          </w:p>
        </w:tc>
        <w:tc>
          <w:tcPr>
            <w:tcW w:w="944" w:type="pct"/>
            <w:gridSpan w:val="3"/>
            <w:tcBorders>
              <w:bottom w:val="single" w:sz="4" w:space="0" w:color="auto"/>
              <w:right w:val="single" w:sz="4" w:space="0" w:color="auto"/>
            </w:tcBorders>
            <w:shd w:val="clear" w:color="auto" w:fill="B8CCE4" w:themeFill="accent1" w:themeFillTint="66"/>
          </w:tcPr>
          <w:p w14:paraId="0810B5D1" w14:textId="1F23F30D" w:rsidR="00AE78C0" w:rsidRPr="00552B0C" w:rsidRDefault="00AE78C0" w:rsidP="0050763F">
            <w:pPr>
              <w:pStyle w:val="In-tableHeading"/>
              <w:keepNext w:val="0"/>
              <w:jc w:val="center"/>
              <w:rPr>
                <w:b w:val="0"/>
                <w:bCs/>
              </w:rPr>
            </w:pPr>
            <w:r w:rsidRPr="00552B0C">
              <w:rPr>
                <w:b w:val="0"/>
                <w:bCs/>
              </w:rPr>
              <w:t>72.4 (67.6, 76.6)</w:t>
            </w:r>
          </w:p>
        </w:tc>
        <w:tc>
          <w:tcPr>
            <w:tcW w:w="944" w:type="pct"/>
            <w:gridSpan w:val="2"/>
            <w:tcBorders>
              <w:bottom w:val="single" w:sz="4" w:space="0" w:color="auto"/>
              <w:right w:val="single" w:sz="4" w:space="0" w:color="auto"/>
            </w:tcBorders>
            <w:shd w:val="clear" w:color="auto" w:fill="B8CCE4" w:themeFill="accent1" w:themeFillTint="66"/>
          </w:tcPr>
          <w:p w14:paraId="041BC5E2" w14:textId="412FF18B" w:rsidR="00AE78C0" w:rsidRPr="00552B0C" w:rsidRDefault="00AE78C0" w:rsidP="0050763F">
            <w:pPr>
              <w:pStyle w:val="In-tableHeading"/>
              <w:keepNext w:val="0"/>
              <w:jc w:val="center"/>
              <w:rPr>
                <w:b w:val="0"/>
                <w:bCs/>
              </w:rPr>
            </w:pPr>
            <w:r w:rsidRPr="00552B0C">
              <w:rPr>
                <w:b w:val="0"/>
                <w:bCs/>
              </w:rPr>
              <w:t>68.4 (63.5, 72.8)</w:t>
            </w:r>
          </w:p>
        </w:tc>
        <w:tc>
          <w:tcPr>
            <w:tcW w:w="630" w:type="pct"/>
            <w:gridSpan w:val="2"/>
            <w:tcBorders>
              <w:bottom w:val="single" w:sz="4" w:space="0" w:color="auto"/>
              <w:right w:val="single" w:sz="4" w:space="0" w:color="auto"/>
            </w:tcBorders>
            <w:shd w:val="clear" w:color="auto" w:fill="B8CCE4" w:themeFill="accent1" w:themeFillTint="66"/>
          </w:tcPr>
          <w:p w14:paraId="38830FFF" w14:textId="675247B2" w:rsidR="00AE78C0" w:rsidRPr="00552B0C" w:rsidRDefault="00AE78C0" w:rsidP="0050763F">
            <w:pPr>
              <w:pStyle w:val="In-tableHeading"/>
              <w:keepNext w:val="0"/>
              <w:jc w:val="center"/>
              <w:rPr>
                <w:b w:val="0"/>
                <w:bCs/>
              </w:rPr>
            </w:pPr>
            <w:r w:rsidRPr="00552B0C">
              <w:rPr>
                <w:b w:val="0"/>
                <w:bCs/>
              </w:rPr>
              <w:t>4%</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17097983" w14:textId="77777777" w:rsidR="00AE78C0" w:rsidRPr="00552B0C" w:rsidRDefault="00AE78C0" w:rsidP="0050763F">
            <w:pPr>
              <w:pStyle w:val="In-tableHeading"/>
              <w:keepNext w:val="0"/>
              <w:jc w:val="center"/>
              <w:rPr>
                <w:b w:val="0"/>
                <w:bCs/>
              </w:rPr>
            </w:pPr>
          </w:p>
        </w:tc>
      </w:tr>
      <w:tr w:rsidR="00EB5587" w:rsidRPr="00552B0C" w14:paraId="48BFC861"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09FC11BC" w14:textId="5A956E93" w:rsidR="00AE78C0" w:rsidRPr="00552B0C" w:rsidRDefault="00AE78C0" w:rsidP="0050763F">
            <w:pPr>
              <w:pStyle w:val="In-tableHeading"/>
              <w:keepNext w:val="0"/>
              <w:rPr>
                <w:b w:val="0"/>
                <w:bCs/>
              </w:rPr>
            </w:pPr>
            <w:r w:rsidRPr="00552B0C">
              <w:rPr>
                <w:b w:val="0"/>
                <w:bCs/>
              </w:rPr>
              <w:t xml:space="preserve">% Alive at 9 months (95% CI) </w:t>
            </w:r>
          </w:p>
        </w:tc>
        <w:tc>
          <w:tcPr>
            <w:tcW w:w="944" w:type="pct"/>
            <w:gridSpan w:val="3"/>
            <w:tcBorders>
              <w:bottom w:val="single" w:sz="4" w:space="0" w:color="auto"/>
              <w:right w:val="single" w:sz="4" w:space="0" w:color="auto"/>
            </w:tcBorders>
            <w:shd w:val="clear" w:color="auto" w:fill="B8CCE4" w:themeFill="accent1" w:themeFillTint="66"/>
          </w:tcPr>
          <w:p w14:paraId="264121D4" w14:textId="31BFE15C" w:rsidR="00AE78C0" w:rsidRPr="00552B0C" w:rsidRDefault="00AE78C0" w:rsidP="0050763F">
            <w:pPr>
              <w:pStyle w:val="In-tableHeading"/>
              <w:keepNext w:val="0"/>
              <w:jc w:val="center"/>
              <w:rPr>
                <w:b w:val="0"/>
                <w:bCs/>
              </w:rPr>
            </w:pPr>
            <w:r w:rsidRPr="00552B0C">
              <w:rPr>
                <w:b w:val="0"/>
                <w:bCs/>
              </w:rPr>
              <w:t>58.1 (53.0, 62.9)</w:t>
            </w:r>
          </w:p>
        </w:tc>
        <w:tc>
          <w:tcPr>
            <w:tcW w:w="944" w:type="pct"/>
            <w:gridSpan w:val="2"/>
            <w:tcBorders>
              <w:bottom w:val="single" w:sz="4" w:space="0" w:color="auto"/>
              <w:right w:val="single" w:sz="4" w:space="0" w:color="auto"/>
            </w:tcBorders>
            <w:shd w:val="clear" w:color="auto" w:fill="B8CCE4" w:themeFill="accent1" w:themeFillTint="66"/>
          </w:tcPr>
          <w:p w14:paraId="2BBB9543" w14:textId="293545BD" w:rsidR="00AE78C0" w:rsidRPr="00552B0C" w:rsidRDefault="00AE78C0" w:rsidP="0050763F">
            <w:pPr>
              <w:pStyle w:val="In-tableHeading"/>
              <w:keepNext w:val="0"/>
              <w:jc w:val="center"/>
              <w:rPr>
                <w:b w:val="0"/>
                <w:bCs/>
              </w:rPr>
            </w:pPr>
            <w:r w:rsidRPr="00552B0C">
              <w:rPr>
                <w:b w:val="0"/>
                <w:bCs/>
              </w:rPr>
              <w:t>51.8 (46.7, 56.7)</w:t>
            </w:r>
          </w:p>
        </w:tc>
        <w:tc>
          <w:tcPr>
            <w:tcW w:w="630" w:type="pct"/>
            <w:gridSpan w:val="2"/>
            <w:tcBorders>
              <w:bottom w:val="single" w:sz="4" w:space="0" w:color="auto"/>
              <w:right w:val="single" w:sz="4" w:space="0" w:color="auto"/>
            </w:tcBorders>
            <w:shd w:val="clear" w:color="auto" w:fill="B8CCE4" w:themeFill="accent1" w:themeFillTint="66"/>
          </w:tcPr>
          <w:p w14:paraId="5659FD9C" w14:textId="7BC129CA" w:rsidR="00AE78C0" w:rsidRPr="00552B0C" w:rsidRDefault="00AE78C0" w:rsidP="0050763F">
            <w:pPr>
              <w:pStyle w:val="In-tableHeading"/>
              <w:keepNext w:val="0"/>
              <w:jc w:val="center"/>
              <w:rPr>
                <w:b w:val="0"/>
                <w:bCs/>
              </w:rPr>
            </w:pPr>
            <w:r w:rsidRPr="00552B0C">
              <w:rPr>
                <w:b w:val="0"/>
                <w:bCs/>
              </w:rPr>
              <w:t>6.3%</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55633472" w14:textId="77777777" w:rsidR="00AE78C0" w:rsidRPr="00552B0C" w:rsidRDefault="00AE78C0" w:rsidP="0050763F">
            <w:pPr>
              <w:pStyle w:val="In-tableHeading"/>
              <w:keepNext w:val="0"/>
              <w:jc w:val="center"/>
              <w:rPr>
                <w:b w:val="0"/>
                <w:bCs/>
              </w:rPr>
            </w:pPr>
          </w:p>
        </w:tc>
      </w:tr>
      <w:tr w:rsidR="00EB5587" w:rsidRPr="00552B0C" w14:paraId="1CD72078"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0DF2A057" w14:textId="3C6D2B2F" w:rsidR="00AE78C0" w:rsidRPr="00552B0C" w:rsidRDefault="00AE78C0" w:rsidP="0050763F">
            <w:pPr>
              <w:pStyle w:val="In-tableHeading"/>
              <w:keepNext w:val="0"/>
              <w:rPr>
                <w:b w:val="0"/>
                <w:bCs/>
              </w:rPr>
            </w:pPr>
            <w:r w:rsidRPr="00552B0C">
              <w:rPr>
                <w:b w:val="0"/>
                <w:bCs/>
              </w:rPr>
              <w:t>% Alive at 12 months (95% CI)</w:t>
            </w:r>
          </w:p>
        </w:tc>
        <w:tc>
          <w:tcPr>
            <w:tcW w:w="944" w:type="pct"/>
            <w:gridSpan w:val="3"/>
            <w:tcBorders>
              <w:bottom w:val="single" w:sz="4" w:space="0" w:color="auto"/>
              <w:right w:val="single" w:sz="4" w:space="0" w:color="auto"/>
            </w:tcBorders>
            <w:shd w:val="clear" w:color="auto" w:fill="B8CCE4" w:themeFill="accent1" w:themeFillTint="66"/>
          </w:tcPr>
          <w:p w14:paraId="2FFDEEB1" w14:textId="431E8D34" w:rsidR="00AE78C0" w:rsidRPr="00552B0C" w:rsidRDefault="00AE78C0" w:rsidP="0050763F">
            <w:pPr>
              <w:pStyle w:val="In-tableHeading"/>
              <w:keepNext w:val="0"/>
              <w:jc w:val="center"/>
              <w:rPr>
                <w:b w:val="0"/>
                <w:bCs/>
              </w:rPr>
            </w:pPr>
            <w:r w:rsidRPr="00552B0C">
              <w:rPr>
                <w:b w:val="0"/>
                <w:bCs/>
              </w:rPr>
              <w:t>45.6 (40.5, 50.5)</w:t>
            </w:r>
          </w:p>
        </w:tc>
        <w:tc>
          <w:tcPr>
            <w:tcW w:w="944" w:type="pct"/>
            <w:gridSpan w:val="2"/>
            <w:tcBorders>
              <w:bottom w:val="single" w:sz="4" w:space="0" w:color="auto"/>
              <w:right w:val="single" w:sz="4" w:space="0" w:color="auto"/>
            </w:tcBorders>
            <w:shd w:val="clear" w:color="auto" w:fill="B8CCE4" w:themeFill="accent1" w:themeFillTint="66"/>
          </w:tcPr>
          <w:p w14:paraId="3BBAC1E9" w14:textId="061BE9A6" w:rsidR="00AE78C0" w:rsidRPr="00552B0C" w:rsidRDefault="00AE78C0" w:rsidP="0050763F">
            <w:pPr>
              <w:pStyle w:val="In-tableHeading"/>
              <w:keepNext w:val="0"/>
              <w:jc w:val="center"/>
              <w:rPr>
                <w:b w:val="0"/>
                <w:bCs/>
              </w:rPr>
            </w:pPr>
            <w:r w:rsidRPr="00552B0C">
              <w:rPr>
                <w:b w:val="0"/>
                <w:bCs/>
              </w:rPr>
              <w:t>39.5 (34.6, 44.4)</w:t>
            </w:r>
          </w:p>
        </w:tc>
        <w:tc>
          <w:tcPr>
            <w:tcW w:w="630" w:type="pct"/>
            <w:gridSpan w:val="2"/>
            <w:tcBorders>
              <w:bottom w:val="single" w:sz="4" w:space="0" w:color="auto"/>
              <w:right w:val="single" w:sz="4" w:space="0" w:color="auto"/>
            </w:tcBorders>
            <w:shd w:val="clear" w:color="auto" w:fill="B8CCE4" w:themeFill="accent1" w:themeFillTint="66"/>
          </w:tcPr>
          <w:p w14:paraId="06ADD7AC" w14:textId="77DF2C0A" w:rsidR="00AE78C0" w:rsidRPr="00552B0C" w:rsidRDefault="00AE78C0" w:rsidP="0050763F">
            <w:pPr>
              <w:pStyle w:val="In-tableHeading"/>
              <w:keepNext w:val="0"/>
              <w:jc w:val="center"/>
              <w:rPr>
                <w:b w:val="0"/>
                <w:bCs/>
              </w:rPr>
            </w:pPr>
            <w:r w:rsidRPr="00552B0C">
              <w:rPr>
                <w:b w:val="0"/>
                <w:bCs/>
              </w:rPr>
              <w:t>6.1%</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563794A9" w14:textId="77777777" w:rsidR="00AE78C0" w:rsidRPr="00552B0C" w:rsidRDefault="00AE78C0" w:rsidP="0050763F">
            <w:pPr>
              <w:pStyle w:val="In-tableHeading"/>
              <w:keepNext w:val="0"/>
              <w:jc w:val="center"/>
              <w:rPr>
                <w:b w:val="0"/>
                <w:bCs/>
              </w:rPr>
            </w:pPr>
          </w:p>
        </w:tc>
      </w:tr>
      <w:tr w:rsidR="00EB5587" w:rsidRPr="00552B0C" w14:paraId="732F5E41" w14:textId="77777777" w:rsidTr="00AE78C0">
        <w:trPr>
          <w:trHeight w:val="20"/>
        </w:trPr>
        <w:tc>
          <w:tcPr>
            <w:tcW w:w="1727" w:type="pct"/>
            <w:gridSpan w:val="2"/>
            <w:tcBorders>
              <w:bottom w:val="single" w:sz="4" w:space="0" w:color="auto"/>
              <w:right w:val="single" w:sz="4" w:space="0" w:color="auto"/>
            </w:tcBorders>
            <w:shd w:val="clear" w:color="auto" w:fill="B8CCE4" w:themeFill="accent1" w:themeFillTint="66"/>
          </w:tcPr>
          <w:p w14:paraId="687DDDCE" w14:textId="47A97850" w:rsidR="00A16C63" w:rsidRPr="00552B0C" w:rsidRDefault="00AE78C0" w:rsidP="0050763F">
            <w:pPr>
              <w:pStyle w:val="In-tableHeading"/>
              <w:keepNext w:val="0"/>
              <w:rPr>
                <w:b w:val="0"/>
              </w:rPr>
            </w:pPr>
            <w:r w:rsidRPr="00552B0C">
              <w:rPr>
                <w:b w:val="0"/>
                <w:bCs/>
              </w:rPr>
              <w:t>% Alive at 18 months (95% CI)</w:t>
            </w:r>
          </w:p>
        </w:tc>
        <w:tc>
          <w:tcPr>
            <w:tcW w:w="944" w:type="pct"/>
            <w:gridSpan w:val="3"/>
            <w:tcBorders>
              <w:bottom w:val="single" w:sz="4" w:space="0" w:color="auto"/>
              <w:right w:val="single" w:sz="4" w:space="0" w:color="auto"/>
            </w:tcBorders>
            <w:shd w:val="clear" w:color="auto" w:fill="B8CCE4" w:themeFill="accent1" w:themeFillTint="66"/>
          </w:tcPr>
          <w:p w14:paraId="3FB31994" w14:textId="4B79787E" w:rsidR="00A16C63" w:rsidRPr="00552B0C" w:rsidRDefault="00AE78C0" w:rsidP="0050763F">
            <w:pPr>
              <w:pStyle w:val="In-tableHeading"/>
              <w:keepNext w:val="0"/>
              <w:jc w:val="center"/>
              <w:rPr>
                <w:b w:val="0"/>
              </w:rPr>
            </w:pPr>
            <w:r w:rsidRPr="00552B0C">
              <w:rPr>
                <w:b w:val="0"/>
                <w:bCs/>
              </w:rPr>
              <w:t>26.2 (20.9, 31.7)</w:t>
            </w:r>
          </w:p>
        </w:tc>
        <w:tc>
          <w:tcPr>
            <w:tcW w:w="944" w:type="pct"/>
            <w:gridSpan w:val="2"/>
            <w:tcBorders>
              <w:bottom w:val="single" w:sz="4" w:space="0" w:color="auto"/>
              <w:right w:val="single" w:sz="4" w:space="0" w:color="auto"/>
            </w:tcBorders>
            <w:shd w:val="clear" w:color="auto" w:fill="B8CCE4" w:themeFill="accent1" w:themeFillTint="66"/>
          </w:tcPr>
          <w:p w14:paraId="54E91243" w14:textId="0E10550A" w:rsidR="00A16C63" w:rsidRPr="00552B0C" w:rsidRDefault="00AE78C0" w:rsidP="0050763F">
            <w:pPr>
              <w:pStyle w:val="In-tableHeading"/>
              <w:keepNext w:val="0"/>
              <w:jc w:val="center"/>
              <w:rPr>
                <w:b w:val="0"/>
              </w:rPr>
            </w:pPr>
            <w:r w:rsidRPr="00552B0C">
              <w:rPr>
                <w:b w:val="0"/>
                <w:bCs/>
              </w:rPr>
              <w:t>19.3 (14.8, 24.2)</w:t>
            </w:r>
          </w:p>
        </w:tc>
        <w:tc>
          <w:tcPr>
            <w:tcW w:w="630" w:type="pct"/>
            <w:gridSpan w:val="2"/>
            <w:tcBorders>
              <w:bottom w:val="single" w:sz="4" w:space="0" w:color="auto"/>
              <w:right w:val="single" w:sz="4" w:space="0" w:color="auto"/>
            </w:tcBorders>
            <w:shd w:val="clear" w:color="auto" w:fill="B8CCE4" w:themeFill="accent1" w:themeFillTint="66"/>
          </w:tcPr>
          <w:p w14:paraId="0C6E89D5" w14:textId="239B1D40" w:rsidR="00A16C63" w:rsidRPr="00552B0C" w:rsidRDefault="00AE78C0" w:rsidP="0050763F">
            <w:pPr>
              <w:pStyle w:val="In-tableHeading"/>
              <w:keepNext w:val="0"/>
              <w:jc w:val="center"/>
              <w:rPr>
                <w:b w:val="0"/>
              </w:rPr>
            </w:pPr>
            <w:r w:rsidRPr="00552B0C">
              <w:rPr>
                <w:b w:val="0"/>
                <w:bCs/>
              </w:rPr>
              <w:t>6.9%</w:t>
            </w:r>
          </w:p>
        </w:tc>
        <w:tc>
          <w:tcPr>
            <w:tcW w:w="755" w:type="pct"/>
            <w:gridSpan w:val="3"/>
            <w:tcBorders>
              <w:top w:val="nil"/>
              <w:left w:val="single" w:sz="4" w:space="0" w:color="auto"/>
              <w:bottom w:val="single" w:sz="4" w:space="0" w:color="auto"/>
              <w:right w:val="single" w:sz="4" w:space="0" w:color="auto"/>
            </w:tcBorders>
            <w:shd w:val="clear" w:color="auto" w:fill="B8CCE4" w:themeFill="accent1" w:themeFillTint="66"/>
          </w:tcPr>
          <w:p w14:paraId="07AA5CAA" w14:textId="77777777" w:rsidR="00A16C63" w:rsidRPr="00552B0C" w:rsidRDefault="00A16C63" w:rsidP="0050763F">
            <w:pPr>
              <w:pStyle w:val="In-tableHeading"/>
              <w:keepNext w:val="0"/>
              <w:jc w:val="center"/>
              <w:rPr>
                <w:b w:val="0"/>
              </w:rPr>
            </w:pPr>
          </w:p>
        </w:tc>
      </w:tr>
      <w:tr w:rsidR="00AE78C0" w:rsidRPr="00552B0C" w14:paraId="10536C36" w14:textId="77777777">
        <w:trPr>
          <w:trHeight w:val="20"/>
        </w:trPr>
        <w:tc>
          <w:tcPr>
            <w:tcW w:w="5000" w:type="pct"/>
            <w:gridSpan w:val="12"/>
            <w:tcBorders>
              <w:bottom w:val="single" w:sz="4" w:space="0" w:color="auto"/>
              <w:right w:val="single" w:sz="4" w:space="0" w:color="auto"/>
            </w:tcBorders>
            <w:shd w:val="clear" w:color="auto" w:fill="B8CCE4" w:themeFill="accent1" w:themeFillTint="66"/>
          </w:tcPr>
          <w:p w14:paraId="3D917572" w14:textId="77777777" w:rsidR="00AE78C0" w:rsidRPr="00552B0C" w:rsidRDefault="00AE78C0" w:rsidP="0050763F">
            <w:pPr>
              <w:pStyle w:val="In-tableHeading"/>
              <w:keepNext w:val="0"/>
            </w:pPr>
            <w:r w:rsidRPr="00552B0C">
              <w:t>Progression free survival (median duration of follow up 16.1 months)</w:t>
            </w:r>
          </w:p>
        </w:tc>
      </w:tr>
      <w:tr w:rsidR="00AE78C0" w:rsidRPr="00552B0C" w14:paraId="39DE9675" w14:textId="77777777">
        <w:trPr>
          <w:trHeight w:val="20"/>
        </w:trPr>
        <w:tc>
          <w:tcPr>
            <w:tcW w:w="1727" w:type="pct"/>
            <w:gridSpan w:val="2"/>
            <w:tcBorders>
              <w:bottom w:val="single" w:sz="4" w:space="0" w:color="auto"/>
              <w:right w:val="single" w:sz="4" w:space="0" w:color="auto"/>
            </w:tcBorders>
            <w:shd w:val="clear" w:color="auto" w:fill="B8CCE4" w:themeFill="accent1" w:themeFillTint="66"/>
          </w:tcPr>
          <w:p w14:paraId="6B6B0644" w14:textId="77777777" w:rsidR="00AE78C0" w:rsidRPr="00552B0C" w:rsidRDefault="00AE78C0" w:rsidP="0050763F">
            <w:pPr>
              <w:pStyle w:val="TableText0"/>
              <w:keepNext w:val="0"/>
              <w:widowControl w:val="0"/>
            </w:pPr>
            <w:r w:rsidRPr="00552B0C">
              <w:t>Progressed, n (%)</w:t>
            </w:r>
          </w:p>
        </w:tc>
        <w:tc>
          <w:tcPr>
            <w:tcW w:w="944" w:type="pct"/>
            <w:gridSpan w:val="3"/>
            <w:tcBorders>
              <w:left w:val="single" w:sz="4" w:space="0" w:color="auto"/>
              <w:bottom w:val="single" w:sz="4" w:space="0" w:color="auto"/>
              <w:right w:val="single" w:sz="4" w:space="0" w:color="auto"/>
            </w:tcBorders>
            <w:shd w:val="clear" w:color="auto" w:fill="B8CCE4" w:themeFill="accent1" w:themeFillTint="66"/>
          </w:tcPr>
          <w:p w14:paraId="03DC56D1" w14:textId="77777777" w:rsidR="00AE78C0" w:rsidRPr="00552B0C" w:rsidRDefault="00AE78C0" w:rsidP="0050763F">
            <w:pPr>
              <w:pStyle w:val="TableText0"/>
              <w:keepNext w:val="0"/>
              <w:widowControl w:val="0"/>
              <w:jc w:val="center"/>
            </w:pPr>
            <w:r w:rsidRPr="00552B0C">
              <w:t>249/383 (65.0)</w:t>
            </w:r>
          </w:p>
        </w:tc>
        <w:tc>
          <w:tcPr>
            <w:tcW w:w="944" w:type="pct"/>
            <w:gridSpan w:val="2"/>
            <w:tcBorders>
              <w:left w:val="single" w:sz="4" w:space="0" w:color="auto"/>
              <w:bottom w:val="single" w:sz="4" w:space="0" w:color="auto"/>
              <w:right w:val="single" w:sz="4" w:space="0" w:color="auto"/>
            </w:tcBorders>
            <w:shd w:val="clear" w:color="auto" w:fill="B8CCE4" w:themeFill="accent1" w:themeFillTint="66"/>
          </w:tcPr>
          <w:p w14:paraId="36FB49FF" w14:textId="77777777" w:rsidR="00AE78C0" w:rsidRPr="00552B0C" w:rsidRDefault="00AE78C0" w:rsidP="0050763F">
            <w:pPr>
              <w:pStyle w:val="TableText0"/>
              <w:keepNext w:val="0"/>
              <w:widowControl w:val="0"/>
              <w:jc w:val="center"/>
            </w:pPr>
            <w:r w:rsidRPr="00552B0C">
              <w:t>259/387 (66.9)</w:t>
            </w:r>
          </w:p>
        </w:tc>
        <w:tc>
          <w:tcPr>
            <w:tcW w:w="630" w:type="pct"/>
            <w:gridSpan w:val="2"/>
            <w:tcBorders>
              <w:left w:val="single" w:sz="4" w:space="0" w:color="auto"/>
              <w:bottom w:val="single" w:sz="4" w:space="0" w:color="auto"/>
              <w:right w:val="single" w:sz="4" w:space="0" w:color="auto"/>
            </w:tcBorders>
            <w:shd w:val="clear" w:color="auto" w:fill="B8CCE4" w:themeFill="accent1" w:themeFillTint="66"/>
          </w:tcPr>
          <w:p w14:paraId="61528CB5" w14:textId="77777777" w:rsidR="00AE78C0" w:rsidRPr="00552B0C" w:rsidRDefault="00AE78C0" w:rsidP="0050763F">
            <w:pPr>
              <w:pStyle w:val="TableText0"/>
              <w:keepNext w:val="0"/>
              <w:widowControl w:val="0"/>
              <w:jc w:val="center"/>
            </w:pPr>
            <w:r w:rsidRPr="00552B0C">
              <w:rPr>
                <w:bCs w:val="0"/>
              </w:rPr>
              <w:t>-</w:t>
            </w:r>
          </w:p>
        </w:tc>
        <w:tc>
          <w:tcPr>
            <w:tcW w:w="755" w:type="pct"/>
            <w:gridSpan w:val="3"/>
            <w:tcBorders>
              <w:top w:val="single" w:sz="4" w:space="0" w:color="auto"/>
              <w:left w:val="single" w:sz="4" w:space="0" w:color="auto"/>
              <w:bottom w:val="nil"/>
              <w:right w:val="single" w:sz="4" w:space="0" w:color="auto"/>
            </w:tcBorders>
            <w:shd w:val="clear" w:color="auto" w:fill="B8CCE4" w:themeFill="accent1" w:themeFillTint="66"/>
          </w:tcPr>
          <w:p w14:paraId="36ECEA20" w14:textId="77777777" w:rsidR="00AE78C0" w:rsidRPr="00552B0C" w:rsidRDefault="00AE78C0" w:rsidP="0050763F">
            <w:pPr>
              <w:pStyle w:val="TableText0"/>
              <w:keepNext w:val="0"/>
              <w:widowControl w:val="0"/>
              <w:jc w:val="center"/>
              <w:rPr>
                <w:b/>
              </w:rPr>
            </w:pPr>
          </w:p>
        </w:tc>
      </w:tr>
      <w:tr w:rsidR="00AE78C0" w:rsidRPr="00552B0C" w14:paraId="6C0EAFCD" w14:textId="77777777">
        <w:trPr>
          <w:trHeight w:val="20"/>
        </w:trPr>
        <w:tc>
          <w:tcPr>
            <w:tcW w:w="1727" w:type="pct"/>
            <w:gridSpan w:val="2"/>
            <w:tcBorders>
              <w:bottom w:val="single" w:sz="4" w:space="0" w:color="auto"/>
              <w:right w:val="single" w:sz="4" w:space="0" w:color="auto"/>
            </w:tcBorders>
            <w:shd w:val="clear" w:color="auto" w:fill="B8CCE4" w:themeFill="accent1" w:themeFillTint="66"/>
          </w:tcPr>
          <w:p w14:paraId="2B3ECF43" w14:textId="77777777" w:rsidR="00AE78C0" w:rsidRPr="00552B0C" w:rsidRDefault="00AE78C0" w:rsidP="0050763F">
            <w:pPr>
              <w:pStyle w:val="TableText0"/>
              <w:keepNext w:val="0"/>
              <w:widowControl w:val="0"/>
            </w:pPr>
            <w:r w:rsidRPr="00552B0C">
              <w:t>Median PFS, months (95% CI)</w:t>
            </w:r>
          </w:p>
        </w:tc>
        <w:tc>
          <w:tcPr>
            <w:tcW w:w="944" w:type="pct"/>
            <w:gridSpan w:val="3"/>
            <w:tcBorders>
              <w:left w:val="single" w:sz="4" w:space="0" w:color="auto"/>
              <w:bottom w:val="single" w:sz="4" w:space="0" w:color="auto"/>
              <w:right w:val="single" w:sz="4" w:space="0" w:color="auto"/>
            </w:tcBorders>
            <w:shd w:val="clear" w:color="auto" w:fill="B8CCE4" w:themeFill="accent1" w:themeFillTint="66"/>
          </w:tcPr>
          <w:p w14:paraId="23A1FF21" w14:textId="77777777" w:rsidR="00AE78C0" w:rsidRPr="00552B0C" w:rsidRDefault="00AE78C0" w:rsidP="0050763F">
            <w:pPr>
              <w:pStyle w:val="TableText0"/>
              <w:keepNext w:val="0"/>
              <w:widowControl w:val="0"/>
              <w:jc w:val="center"/>
              <w:rPr>
                <w:rFonts w:cs="Times New Roman"/>
                <w:szCs w:val="20"/>
              </w:rPr>
            </w:pPr>
            <w:r w:rsidRPr="00552B0C">
              <w:t>7.4 (6.0, 7.7)</w:t>
            </w:r>
          </w:p>
        </w:tc>
        <w:tc>
          <w:tcPr>
            <w:tcW w:w="944" w:type="pct"/>
            <w:gridSpan w:val="2"/>
            <w:tcBorders>
              <w:left w:val="single" w:sz="4" w:space="0" w:color="auto"/>
              <w:bottom w:val="single" w:sz="4" w:space="0" w:color="auto"/>
              <w:right w:val="single" w:sz="4" w:space="0" w:color="auto"/>
            </w:tcBorders>
            <w:shd w:val="clear" w:color="auto" w:fill="B8CCE4" w:themeFill="accent1" w:themeFillTint="66"/>
          </w:tcPr>
          <w:p w14:paraId="18C55AE6" w14:textId="77777777" w:rsidR="00AE78C0" w:rsidRPr="00552B0C" w:rsidRDefault="00AE78C0" w:rsidP="0050763F">
            <w:pPr>
              <w:pStyle w:val="TableText0"/>
              <w:keepNext w:val="0"/>
              <w:widowControl w:val="0"/>
              <w:jc w:val="center"/>
              <w:rPr>
                <w:rFonts w:cs="Times New Roman"/>
                <w:szCs w:val="20"/>
              </w:rPr>
            </w:pPr>
            <w:r w:rsidRPr="00552B0C">
              <w:t>5.6 (5.3, 5.8)</w:t>
            </w:r>
          </w:p>
        </w:tc>
        <w:tc>
          <w:tcPr>
            <w:tcW w:w="630" w:type="pct"/>
            <w:gridSpan w:val="2"/>
            <w:tcBorders>
              <w:left w:val="single" w:sz="4" w:space="0" w:color="auto"/>
              <w:bottom w:val="single" w:sz="4" w:space="0" w:color="auto"/>
              <w:right w:val="single" w:sz="4" w:space="0" w:color="auto"/>
            </w:tcBorders>
            <w:shd w:val="clear" w:color="auto" w:fill="B8CCE4" w:themeFill="accent1" w:themeFillTint="66"/>
          </w:tcPr>
          <w:p w14:paraId="663CEF16" w14:textId="77777777" w:rsidR="00AE78C0" w:rsidRPr="00552B0C" w:rsidRDefault="00AE78C0" w:rsidP="0050763F">
            <w:pPr>
              <w:pStyle w:val="TableText0"/>
              <w:keepNext w:val="0"/>
              <w:widowControl w:val="0"/>
              <w:jc w:val="center"/>
            </w:pPr>
            <w:r w:rsidRPr="00552B0C">
              <w:t>1.8</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4AAD0E69" w14:textId="77777777" w:rsidR="00AE78C0" w:rsidRPr="00552B0C" w:rsidRDefault="00AE78C0" w:rsidP="0050763F">
            <w:pPr>
              <w:pStyle w:val="TableText0"/>
              <w:keepNext w:val="0"/>
              <w:widowControl w:val="0"/>
              <w:jc w:val="center"/>
              <w:rPr>
                <w:b/>
              </w:rPr>
            </w:pPr>
            <w:r w:rsidRPr="00552B0C">
              <w:rPr>
                <w:b/>
              </w:rPr>
              <w:t>0.69 (0.58, 0.83)</w:t>
            </w:r>
          </w:p>
        </w:tc>
      </w:tr>
      <w:tr w:rsidR="00AE78C0" w:rsidRPr="00552B0C" w14:paraId="5AADB31A" w14:textId="77777777">
        <w:trPr>
          <w:trHeight w:val="20"/>
        </w:trPr>
        <w:tc>
          <w:tcPr>
            <w:tcW w:w="1727" w:type="pct"/>
            <w:gridSpan w:val="2"/>
            <w:tcBorders>
              <w:top w:val="single" w:sz="4" w:space="0" w:color="auto"/>
              <w:bottom w:val="single" w:sz="4" w:space="0" w:color="auto"/>
              <w:right w:val="single" w:sz="4" w:space="0" w:color="auto"/>
            </w:tcBorders>
            <w:shd w:val="clear" w:color="auto" w:fill="B8CCE4" w:themeFill="accent1" w:themeFillTint="66"/>
          </w:tcPr>
          <w:p w14:paraId="0A7B4DA0" w14:textId="77777777" w:rsidR="00AE78C0" w:rsidRPr="00552B0C" w:rsidRDefault="00AE78C0" w:rsidP="0050763F">
            <w:pPr>
              <w:pStyle w:val="TableText0"/>
              <w:keepNext w:val="0"/>
              <w:widowControl w:val="0"/>
            </w:pPr>
            <w:r w:rsidRPr="00552B0C">
              <w:t>% not progressed at 3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5DBA3C" w14:textId="77777777" w:rsidR="00AE78C0" w:rsidRPr="00552B0C" w:rsidRDefault="00AE78C0" w:rsidP="0050763F">
            <w:pPr>
              <w:pStyle w:val="TableText0"/>
              <w:keepNext w:val="0"/>
              <w:widowControl w:val="0"/>
              <w:jc w:val="center"/>
            </w:pPr>
            <w:r w:rsidRPr="00552B0C">
              <w:t>76.9 (72.1, 81.1)</w:t>
            </w:r>
          </w:p>
        </w:tc>
        <w:tc>
          <w:tcPr>
            <w:tcW w:w="94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BE51BC" w14:textId="77777777" w:rsidR="00AE78C0" w:rsidRPr="00552B0C" w:rsidRDefault="00AE78C0" w:rsidP="0050763F">
            <w:pPr>
              <w:pStyle w:val="TableText0"/>
              <w:keepNext w:val="0"/>
              <w:widowControl w:val="0"/>
              <w:jc w:val="center"/>
              <w:rPr>
                <w:szCs w:val="20"/>
              </w:rPr>
            </w:pPr>
            <w:r w:rsidRPr="00552B0C">
              <w:t>71.5 (66.5, 75.9)</w:t>
            </w:r>
          </w:p>
        </w:tc>
        <w:tc>
          <w:tcPr>
            <w:tcW w:w="63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D526D25" w14:textId="77777777" w:rsidR="00AE78C0" w:rsidRPr="00552B0C" w:rsidRDefault="00AE78C0" w:rsidP="0050763F">
            <w:pPr>
              <w:pStyle w:val="TableText0"/>
              <w:keepNext w:val="0"/>
              <w:widowControl w:val="0"/>
              <w:jc w:val="center"/>
            </w:pPr>
            <w:r w:rsidRPr="00552B0C">
              <w:t>5.4%</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7E31E1BB" w14:textId="77777777" w:rsidR="00AE78C0" w:rsidRPr="00552B0C" w:rsidRDefault="00AE78C0" w:rsidP="0050763F">
            <w:pPr>
              <w:pStyle w:val="TableText0"/>
              <w:keepNext w:val="0"/>
              <w:widowControl w:val="0"/>
              <w:jc w:val="center"/>
              <w:rPr>
                <w:b/>
              </w:rPr>
            </w:pPr>
            <w:r w:rsidRPr="00552B0C">
              <w:rPr>
                <w:b/>
              </w:rPr>
              <w:t>p&lt;0.0001</w:t>
            </w:r>
          </w:p>
        </w:tc>
      </w:tr>
      <w:tr w:rsidR="00AE78C0" w:rsidRPr="00552B0C" w14:paraId="5F943F84" w14:textId="77777777">
        <w:trPr>
          <w:trHeight w:val="20"/>
        </w:trPr>
        <w:tc>
          <w:tcPr>
            <w:tcW w:w="1727" w:type="pct"/>
            <w:gridSpan w:val="2"/>
            <w:tcBorders>
              <w:top w:val="single" w:sz="4" w:space="0" w:color="auto"/>
              <w:bottom w:val="single" w:sz="4" w:space="0" w:color="auto"/>
              <w:right w:val="single" w:sz="4" w:space="0" w:color="auto"/>
            </w:tcBorders>
            <w:shd w:val="clear" w:color="auto" w:fill="B8CCE4" w:themeFill="accent1" w:themeFillTint="66"/>
          </w:tcPr>
          <w:p w14:paraId="54BCC323" w14:textId="77777777" w:rsidR="00AE78C0" w:rsidRPr="00552B0C" w:rsidRDefault="00AE78C0" w:rsidP="0050763F">
            <w:pPr>
              <w:pStyle w:val="TableText0"/>
              <w:keepNext w:val="0"/>
              <w:widowControl w:val="0"/>
            </w:pPr>
            <w:r w:rsidRPr="00552B0C">
              <w:t>% not progressed at 6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96F59F" w14:textId="77777777" w:rsidR="00AE78C0" w:rsidRPr="00552B0C" w:rsidRDefault="00AE78C0" w:rsidP="0050763F">
            <w:pPr>
              <w:pStyle w:val="TableText0"/>
              <w:keepNext w:val="0"/>
              <w:widowControl w:val="0"/>
              <w:jc w:val="center"/>
              <w:rPr>
                <w:szCs w:val="20"/>
              </w:rPr>
            </w:pPr>
            <w:r w:rsidRPr="00552B0C">
              <w:t>56.4 (50.7, 61.6)</w:t>
            </w:r>
          </w:p>
        </w:tc>
        <w:tc>
          <w:tcPr>
            <w:tcW w:w="94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259C1C9" w14:textId="77777777" w:rsidR="00AE78C0" w:rsidRPr="00552B0C" w:rsidRDefault="00AE78C0" w:rsidP="0050763F">
            <w:pPr>
              <w:pStyle w:val="TableText0"/>
              <w:keepNext w:val="0"/>
              <w:widowControl w:val="0"/>
              <w:jc w:val="center"/>
              <w:rPr>
                <w:szCs w:val="20"/>
              </w:rPr>
            </w:pPr>
            <w:r w:rsidRPr="00552B0C">
              <w:t>43.2 (37.6, 48.6)</w:t>
            </w:r>
          </w:p>
        </w:tc>
        <w:tc>
          <w:tcPr>
            <w:tcW w:w="63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86BFA82" w14:textId="77777777" w:rsidR="00AE78C0" w:rsidRPr="00552B0C" w:rsidRDefault="00AE78C0" w:rsidP="0050763F">
            <w:pPr>
              <w:pStyle w:val="TableText0"/>
              <w:keepNext w:val="0"/>
              <w:widowControl w:val="0"/>
              <w:jc w:val="center"/>
              <w:rPr>
                <w:rFonts w:cs="Times New Roman"/>
                <w:szCs w:val="20"/>
              </w:rPr>
            </w:pPr>
            <w:r w:rsidRPr="00552B0C">
              <w:rPr>
                <w:rFonts w:cs="Times New Roman"/>
                <w:szCs w:val="20"/>
              </w:rPr>
              <w:t>13.2%</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717639CC" w14:textId="77777777" w:rsidR="00AE78C0" w:rsidRPr="00552B0C" w:rsidRDefault="00AE78C0" w:rsidP="0050763F">
            <w:pPr>
              <w:pStyle w:val="TableText0"/>
              <w:keepNext w:val="0"/>
              <w:widowControl w:val="0"/>
              <w:jc w:val="center"/>
              <w:rPr>
                <w:b/>
              </w:rPr>
            </w:pPr>
          </w:p>
        </w:tc>
      </w:tr>
      <w:tr w:rsidR="00AE78C0" w:rsidRPr="00552B0C" w14:paraId="0FC731E7" w14:textId="77777777">
        <w:trPr>
          <w:trHeight w:val="20"/>
        </w:trPr>
        <w:tc>
          <w:tcPr>
            <w:tcW w:w="1727" w:type="pct"/>
            <w:gridSpan w:val="2"/>
            <w:tcBorders>
              <w:top w:val="single" w:sz="4" w:space="0" w:color="auto"/>
              <w:bottom w:val="single" w:sz="4" w:space="0" w:color="auto"/>
              <w:right w:val="single" w:sz="4" w:space="0" w:color="auto"/>
            </w:tcBorders>
            <w:shd w:val="clear" w:color="auto" w:fill="B8CCE4" w:themeFill="accent1" w:themeFillTint="66"/>
          </w:tcPr>
          <w:p w14:paraId="5555A742" w14:textId="77777777" w:rsidR="00AE78C0" w:rsidRPr="00552B0C" w:rsidRDefault="00AE78C0" w:rsidP="0050763F">
            <w:pPr>
              <w:pStyle w:val="TableText0"/>
              <w:keepNext w:val="0"/>
              <w:widowControl w:val="0"/>
            </w:pPr>
            <w:r w:rsidRPr="00552B0C">
              <w:t>% not progressed at 9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1FE75ED" w14:textId="77777777" w:rsidR="00AE78C0" w:rsidRPr="00552B0C" w:rsidRDefault="00AE78C0" w:rsidP="0050763F">
            <w:pPr>
              <w:pStyle w:val="TableText0"/>
              <w:keepNext w:val="0"/>
              <w:widowControl w:val="0"/>
              <w:jc w:val="center"/>
              <w:rPr>
                <w:szCs w:val="20"/>
              </w:rPr>
            </w:pPr>
            <w:r w:rsidRPr="00552B0C">
              <w:t>40.9 (35.3, 46.4)</w:t>
            </w:r>
          </w:p>
        </w:tc>
        <w:tc>
          <w:tcPr>
            <w:tcW w:w="94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FEF4F8" w14:textId="77777777" w:rsidR="00AE78C0" w:rsidRPr="00552B0C" w:rsidRDefault="00AE78C0" w:rsidP="0050763F">
            <w:pPr>
              <w:pStyle w:val="TableText0"/>
              <w:keepNext w:val="0"/>
              <w:widowControl w:val="0"/>
              <w:jc w:val="center"/>
              <w:rPr>
                <w:szCs w:val="20"/>
              </w:rPr>
            </w:pPr>
            <w:r w:rsidRPr="00552B0C">
              <w:t>24.9 (19.8, 30.2)</w:t>
            </w:r>
          </w:p>
        </w:tc>
        <w:tc>
          <w:tcPr>
            <w:tcW w:w="63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50888D7" w14:textId="77777777" w:rsidR="00AE78C0" w:rsidRPr="00552B0C" w:rsidRDefault="00AE78C0" w:rsidP="0050763F">
            <w:pPr>
              <w:pStyle w:val="TableText0"/>
              <w:keepNext w:val="0"/>
              <w:widowControl w:val="0"/>
              <w:jc w:val="center"/>
              <w:rPr>
                <w:rFonts w:cs="Times New Roman"/>
                <w:szCs w:val="20"/>
              </w:rPr>
            </w:pPr>
            <w:r w:rsidRPr="00552B0C">
              <w:t>16.0%</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2376632B" w14:textId="77777777" w:rsidR="00AE78C0" w:rsidRPr="00552B0C" w:rsidRDefault="00AE78C0" w:rsidP="0050763F">
            <w:pPr>
              <w:pStyle w:val="TableText0"/>
              <w:keepNext w:val="0"/>
              <w:widowControl w:val="0"/>
              <w:jc w:val="center"/>
            </w:pPr>
          </w:p>
        </w:tc>
      </w:tr>
      <w:tr w:rsidR="00AE78C0" w:rsidRPr="00552B0C" w14:paraId="6AAC83A2" w14:textId="77777777">
        <w:trPr>
          <w:trHeight w:val="20"/>
        </w:trPr>
        <w:tc>
          <w:tcPr>
            <w:tcW w:w="1727" w:type="pct"/>
            <w:gridSpan w:val="2"/>
            <w:tcBorders>
              <w:top w:val="single" w:sz="4" w:space="0" w:color="auto"/>
              <w:bottom w:val="single" w:sz="4" w:space="0" w:color="auto"/>
              <w:right w:val="single" w:sz="4" w:space="0" w:color="auto"/>
            </w:tcBorders>
            <w:shd w:val="clear" w:color="auto" w:fill="B8CCE4" w:themeFill="accent1" w:themeFillTint="66"/>
          </w:tcPr>
          <w:p w14:paraId="67D2371E" w14:textId="77777777" w:rsidR="00AE78C0" w:rsidRPr="00552B0C" w:rsidRDefault="00AE78C0" w:rsidP="0050763F">
            <w:pPr>
              <w:pStyle w:val="TableText0"/>
              <w:keepNext w:val="0"/>
              <w:widowControl w:val="0"/>
            </w:pPr>
            <w:r w:rsidRPr="00552B0C">
              <w:t>% not progressed at 12 months (95% CI)</w:t>
            </w:r>
          </w:p>
        </w:tc>
        <w:tc>
          <w:tcPr>
            <w:tcW w:w="944"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6996FB1" w14:textId="77777777" w:rsidR="00AE78C0" w:rsidRPr="00552B0C" w:rsidRDefault="00AE78C0" w:rsidP="0050763F">
            <w:pPr>
              <w:pStyle w:val="TableText0"/>
              <w:keepNext w:val="0"/>
              <w:widowControl w:val="0"/>
              <w:jc w:val="center"/>
              <w:rPr>
                <w:szCs w:val="20"/>
              </w:rPr>
            </w:pPr>
            <w:r w:rsidRPr="00552B0C">
              <w:t>27.4 (22.3, 32.7)</w:t>
            </w:r>
          </w:p>
        </w:tc>
        <w:tc>
          <w:tcPr>
            <w:tcW w:w="94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75E7B18" w14:textId="77777777" w:rsidR="00AE78C0" w:rsidRPr="00552B0C" w:rsidRDefault="00AE78C0" w:rsidP="0050763F">
            <w:pPr>
              <w:pStyle w:val="TableText0"/>
              <w:keepNext w:val="0"/>
              <w:widowControl w:val="0"/>
              <w:jc w:val="center"/>
              <w:rPr>
                <w:szCs w:val="20"/>
              </w:rPr>
            </w:pPr>
            <w:r w:rsidRPr="00552B0C">
              <w:t>13.9 (9.7, 18.9)</w:t>
            </w:r>
          </w:p>
        </w:tc>
        <w:tc>
          <w:tcPr>
            <w:tcW w:w="63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EA51E7D" w14:textId="77777777" w:rsidR="00AE78C0" w:rsidRPr="00552B0C" w:rsidRDefault="00AE78C0" w:rsidP="0050763F">
            <w:pPr>
              <w:pStyle w:val="TableText0"/>
              <w:keepNext w:val="0"/>
              <w:widowControl w:val="0"/>
              <w:jc w:val="center"/>
              <w:rPr>
                <w:rFonts w:cs="Times New Roman"/>
                <w:szCs w:val="20"/>
              </w:rPr>
            </w:pPr>
            <w:r w:rsidRPr="00552B0C">
              <w:t>13.5%</w:t>
            </w:r>
          </w:p>
        </w:tc>
        <w:tc>
          <w:tcPr>
            <w:tcW w:w="755" w:type="pct"/>
            <w:gridSpan w:val="3"/>
            <w:tcBorders>
              <w:top w:val="nil"/>
              <w:left w:val="single" w:sz="4" w:space="0" w:color="auto"/>
              <w:bottom w:val="nil"/>
              <w:right w:val="single" w:sz="4" w:space="0" w:color="auto"/>
            </w:tcBorders>
            <w:shd w:val="clear" w:color="auto" w:fill="B8CCE4" w:themeFill="accent1" w:themeFillTint="66"/>
          </w:tcPr>
          <w:p w14:paraId="6F8F61EC" w14:textId="77777777" w:rsidR="00AE78C0" w:rsidRPr="00552B0C" w:rsidRDefault="00AE78C0" w:rsidP="0050763F">
            <w:pPr>
              <w:pStyle w:val="TableText0"/>
              <w:keepNext w:val="0"/>
              <w:widowControl w:val="0"/>
              <w:jc w:val="center"/>
            </w:pPr>
          </w:p>
        </w:tc>
      </w:tr>
      <w:tr w:rsidR="00AE78C0" w:rsidRPr="00552B0C" w14:paraId="13A45A21" w14:textId="77777777">
        <w:trPr>
          <w:trHeight w:val="20"/>
        </w:trPr>
        <w:tc>
          <w:tcPr>
            <w:tcW w:w="1727" w:type="pct"/>
            <w:gridSpan w:val="2"/>
            <w:tcBorders>
              <w:top w:val="single" w:sz="4" w:space="0" w:color="auto"/>
              <w:bottom w:val="double" w:sz="4" w:space="0" w:color="auto"/>
              <w:right w:val="single" w:sz="4" w:space="0" w:color="auto"/>
            </w:tcBorders>
            <w:shd w:val="clear" w:color="auto" w:fill="B8CCE4" w:themeFill="accent1" w:themeFillTint="66"/>
          </w:tcPr>
          <w:p w14:paraId="7742C314" w14:textId="77777777" w:rsidR="00AE78C0" w:rsidRPr="00552B0C" w:rsidRDefault="00AE78C0" w:rsidP="0050763F">
            <w:pPr>
              <w:pStyle w:val="TableText0"/>
              <w:keepNext w:val="0"/>
              <w:widowControl w:val="0"/>
            </w:pPr>
            <w:r w:rsidRPr="00552B0C">
              <w:t>% not progressed at 18 months (95% CI)</w:t>
            </w:r>
          </w:p>
        </w:tc>
        <w:tc>
          <w:tcPr>
            <w:tcW w:w="944" w:type="pct"/>
            <w:gridSpan w:val="3"/>
            <w:tcBorders>
              <w:top w:val="single" w:sz="4" w:space="0" w:color="auto"/>
              <w:left w:val="single" w:sz="4" w:space="0" w:color="auto"/>
              <w:bottom w:val="double" w:sz="4" w:space="0" w:color="auto"/>
              <w:right w:val="single" w:sz="4" w:space="0" w:color="auto"/>
            </w:tcBorders>
            <w:shd w:val="clear" w:color="auto" w:fill="B8CCE4" w:themeFill="accent1" w:themeFillTint="66"/>
          </w:tcPr>
          <w:p w14:paraId="5742BF50" w14:textId="77777777" w:rsidR="00AE78C0" w:rsidRPr="00552B0C" w:rsidRDefault="00AE78C0" w:rsidP="0050763F">
            <w:pPr>
              <w:pStyle w:val="TableText0"/>
              <w:keepNext w:val="0"/>
              <w:widowControl w:val="0"/>
              <w:jc w:val="center"/>
              <w:rPr>
                <w:szCs w:val="20"/>
              </w:rPr>
            </w:pPr>
            <w:r w:rsidRPr="00552B0C">
              <w:t>11.4 (7.1, 16.9)</w:t>
            </w:r>
          </w:p>
        </w:tc>
        <w:tc>
          <w:tcPr>
            <w:tcW w:w="944" w:type="pct"/>
            <w:gridSpan w:val="2"/>
            <w:tcBorders>
              <w:top w:val="single" w:sz="4" w:space="0" w:color="auto"/>
              <w:left w:val="single" w:sz="4" w:space="0" w:color="auto"/>
              <w:bottom w:val="double" w:sz="4" w:space="0" w:color="auto"/>
              <w:right w:val="single" w:sz="4" w:space="0" w:color="auto"/>
            </w:tcBorders>
            <w:shd w:val="clear" w:color="auto" w:fill="B8CCE4" w:themeFill="accent1" w:themeFillTint="66"/>
          </w:tcPr>
          <w:p w14:paraId="36B25361" w14:textId="77777777" w:rsidR="00AE78C0" w:rsidRPr="00552B0C" w:rsidRDefault="00AE78C0" w:rsidP="0050763F">
            <w:pPr>
              <w:pStyle w:val="TableText0"/>
              <w:keepNext w:val="0"/>
              <w:widowControl w:val="0"/>
              <w:jc w:val="center"/>
              <w:rPr>
                <w:szCs w:val="20"/>
              </w:rPr>
            </w:pPr>
            <w:r w:rsidRPr="00552B0C">
              <w:t>3.6 (0.5, 12.3)</w:t>
            </w:r>
          </w:p>
        </w:tc>
        <w:tc>
          <w:tcPr>
            <w:tcW w:w="630" w:type="pct"/>
            <w:gridSpan w:val="2"/>
            <w:tcBorders>
              <w:top w:val="single" w:sz="4" w:space="0" w:color="auto"/>
              <w:left w:val="single" w:sz="4" w:space="0" w:color="auto"/>
              <w:bottom w:val="double" w:sz="4" w:space="0" w:color="auto"/>
              <w:right w:val="single" w:sz="4" w:space="0" w:color="auto"/>
            </w:tcBorders>
            <w:shd w:val="clear" w:color="auto" w:fill="B8CCE4" w:themeFill="accent1" w:themeFillTint="66"/>
          </w:tcPr>
          <w:p w14:paraId="7235789E" w14:textId="77777777" w:rsidR="00AE78C0" w:rsidRPr="00552B0C" w:rsidRDefault="00AE78C0" w:rsidP="0050763F">
            <w:pPr>
              <w:pStyle w:val="TableText0"/>
              <w:keepNext w:val="0"/>
              <w:widowControl w:val="0"/>
              <w:jc w:val="center"/>
              <w:rPr>
                <w:rFonts w:cs="Times New Roman"/>
                <w:szCs w:val="20"/>
              </w:rPr>
            </w:pPr>
            <w:r w:rsidRPr="00552B0C">
              <w:rPr>
                <w:rFonts w:cs="Times New Roman"/>
                <w:szCs w:val="20"/>
              </w:rPr>
              <w:t>7.8%</w:t>
            </w:r>
          </w:p>
        </w:tc>
        <w:tc>
          <w:tcPr>
            <w:tcW w:w="755" w:type="pct"/>
            <w:gridSpan w:val="3"/>
            <w:tcBorders>
              <w:top w:val="nil"/>
              <w:left w:val="single" w:sz="4" w:space="0" w:color="auto"/>
              <w:bottom w:val="double" w:sz="4" w:space="0" w:color="auto"/>
              <w:right w:val="single" w:sz="4" w:space="0" w:color="auto"/>
            </w:tcBorders>
            <w:shd w:val="clear" w:color="auto" w:fill="B8CCE4" w:themeFill="accent1" w:themeFillTint="66"/>
          </w:tcPr>
          <w:p w14:paraId="08613113" w14:textId="77777777" w:rsidR="00AE78C0" w:rsidRPr="00552B0C" w:rsidRDefault="00AE78C0" w:rsidP="0050763F">
            <w:pPr>
              <w:pStyle w:val="TableText0"/>
              <w:keepNext w:val="0"/>
              <w:widowControl w:val="0"/>
              <w:jc w:val="center"/>
            </w:pPr>
          </w:p>
        </w:tc>
      </w:tr>
      <w:tr w:rsidR="00AE78C0" w:rsidRPr="00552B0C" w14:paraId="4AFC4B47" w14:textId="77777777">
        <w:trPr>
          <w:trHeight w:val="20"/>
        </w:trPr>
        <w:tc>
          <w:tcPr>
            <w:tcW w:w="1177" w:type="pct"/>
            <w:vMerge w:val="restart"/>
            <w:tcBorders>
              <w:top w:val="double" w:sz="4" w:space="0" w:color="auto"/>
              <w:right w:val="single" w:sz="4" w:space="0" w:color="auto"/>
            </w:tcBorders>
            <w:shd w:val="clear" w:color="auto" w:fill="B8CCE4" w:themeFill="accent1" w:themeFillTint="66"/>
          </w:tcPr>
          <w:p w14:paraId="23226E9E" w14:textId="77777777" w:rsidR="00AE78C0" w:rsidRPr="00552B0C" w:rsidRDefault="00AE78C0" w:rsidP="0050763F">
            <w:pPr>
              <w:pStyle w:val="In-tableHeading"/>
              <w:keepNext w:val="0"/>
            </w:pPr>
            <w:r w:rsidRPr="00552B0C">
              <w:t>HARMS (Grade 3-4)</w:t>
            </w:r>
          </w:p>
        </w:tc>
        <w:tc>
          <w:tcPr>
            <w:tcW w:w="637" w:type="pct"/>
            <w:gridSpan w:val="2"/>
            <w:vMerge w:val="restart"/>
            <w:tcBorders>
              <w:top w:val="double" w:sz="4" w:space="0" w:color="auto"/>
              <w:right w:val="single" w:sz="4" w:space="0" w:color="auto"/>
            </w:tcBorders>
            <w:shd w:val="clear" w:color="auto" w:fill="B8CCE4" w:themeFill="accent1" w:themeFillTint="66"/>
          </w:tcPr>
          <w:p w14:paraId="7AFA79F0" w14:textId="77777777" w:rsidR="00AE78C0" w:rsidRPr="00552B0C" w:rsidRDefault="00AE78C0" w:rsidP="0050763F">
            <w:pPr>
              <w:pStyle w:val="In-tableHeading"/>
              <w:keepNext w:val="0"/>
              <w:jc w:val="center"/>
            </w:pPr>
            <w:r w:rsidRPr="00552B0C">
              <w:t>N=370</w:t>
            </w:r>
          </w:p>
        </w:tc>
        <w:tc>
          <w:tcPr>
            <w:tcW w:w="637" w:type="pct"/>
            <w:vMerge w:val="restart"/>
            <w:tcBorders>
              <w:top w:val="double" w:sz="4" w:space="0" w:color="auto"/>
              <w:right w:val="single" w:sz="4" w:space="0" w:color="auto"/>
            </w:tcBorders>
            <w:shd w:val="clear" w:color="auto" w:fill="B8CCE4" w:themeFill="accent1" w:themeFillTint="66"/>
          </w:tcPr>
          <w:p w14:paraId="7624E485" w14:textId="77777777" w:rsidR="00AE78C0" w:rsidRPr="00552B0C" w:rsidRDefault="00AE78C0" w:rsidP="0050763F">
            <w:pPr>
              <w:pStyle w:val="In-tableHeading"/>
              <w:keepNext w:val="0"/>
              <w:jc w:val="center"/>
            </w:pPr>
            <w:r w:rsidRPr="00552B0C">
              <w:t>N=379</w:t>
            </w:r>
          </w:p>
        </w:tc>
        <w:tc>
          <w:tcPr>
            <w:tcW w:w="606" w:type="pct"/>
            <w:gridSpan w:val="2"/>
            <w:vMerge w:val="restart"/>
            <w:tcBorders>
              <w:top w:val="double" w:sz="4" w:space="0" w:color="auto"/>
            </w:tcBorders>
            <w:shd w:val="clear" w:color="auto" w:fill="B8CCE4" w:themeFill="accent1" w:themeFillTint="66"/>
          </w:tcPr>
          <w:p w14:paraId="005FB7BC" w14:textId="77777777" w:rsidR="00AE78C0" w:rsidRPr="00552B0C" w:rsidRDefault="00AE78C0" w:rsidP="0050763F">
            <w:pPr>
              <w:pStyle w:val="In-tableHeading"/>
              <w:keepNext w:val="0"/>
              <w:jc w:val="center"/>
            </w:pPr>
            <w:r w:rsidRPr="00552B0C">
              <w:t>RR (95% CI)</w:t>
            </w:r>
          </w:p>
        </w:tc>
        <w:tc>
          <w:tcPr>
            <w:tcW w:w="1310" w:type="pct"/>
            <w:gridSpan w:val="5"/>
            <w:tcBorders>
              <w:top w:val="double" w:sz="4" w:space="0" w:color="auto"/>
              <w:bottom w:val="single" w:sz="4" w:space="0" w:color="auto"/>
            </w:tcBorders>
            <w:shd w:val="clear" w:color="auto" w:fill="B8CCE4" w:themeFill="accent1" w:themeFillTint="66"/>
          </w:tcPr>
          <w:p w14:paraId="73184CAF" w14:textId="77777777" w:rsidR="00AE78C0" w:rsidRPr="00552B0C" w:rsidRDefault="00AE78C0" w:rsidP="0050763F">
            <w:pPr>
              <w:pStyle w:val="In-tableHeading"/>
              <w:keepNext w:val="0"/>
              <w:jc w:val="center"/>
            </w:pPr>
            <w:r w:rsidRPr="00552B0C">
              <w:t>Event rate/100 patients</w:t>
            </w:r>
          </w:p>
        </w:tc>
        <w:tc>
          <w:tcPr>
            <w:tcW w:w="633" w:type="pct"/>
            <w:vMerge w:val="restart"/>
            <w:tcBorders>
              <w:top w:val="double" w:sz="4" w:space="0" w:color="auto"/>
              <w:right w:val="single" w:sz="4" w:space="0" w:color="auto"/>
            </w:tcBorders>
            <w:shd w:val="clear" w:color="auto" w:fill="B8CCE4" w:themeFill="accent1" w:themeFillTint="66"/>
          </w:tcPr>
          <w:p w14:paraId="0642C7EC" w14:textId="77777777" w:rsidR="00AE78C0" w:rsidRPr="00552B0C" w:rsidRDefault="00AE78C0" w:rsidP="0050763F">
            <w:pPr>
              <w:pStyle w:val="In-tableHeading"/>
              <w:keepNext w:val="0"/>
              <w:jc w:val="center"/>
            </w:pPr>
            <w:r w:rsidRPr="00552B0C">
              <w:t>RD (95% CI)</w:t>
            </w:r>
          </w:p>
        </w:tc>
      </w:tr>
      <w:tr w:rsidR="00AE78C0" w:rsidRPr="00552B0C" w14:paraId="1B517414" w14:textId="77777777">
        <w:trPr>
          <w:trHeight w:val="20"/>
        </w:trPr>
        <w:tc>
          <w:tcPr>
            <w:tcW w:w="1177" w:type="pct"/>
            <w:vMerge/>
            <w:tcBorders>
              <w:bottom w:val="single" w:sz="4" w:space="0" w:color="auto"/>
              <w:right w:val="single" w:sz="4" w:space="0" w:color="auto"/>
            </w:tcBorders>
            <w:shd w:val="clear" w:color="auto" w:fill="B8CCE4" w:themeFill="accent1" w:themeFillTint="66"/>
          </w:tcPr>
          <w:p w14:paraId="4BE0B284" w14:textId="77777777" w:rsidR="00AE78C0" w:rsidRPr="00552B0C" w:rsidRDefault="00AE78C0" w:rsidP="0050763F">
            <w:pPr>
              <w:pStyle w:val="In-tableHeading"/>
              <w:keepNext w:val="0"/>
            </w:pPr>
          </w:p>
        </w:tc>
        <w:tc>
          <w:tcPr>
            <w:tcW w:w="637" w:type="pct"/>
            <w:gridSpan w:val="2"/>
            <w:vMerge/>
            <w:tcBorders>
              <w:bottom w:val="single" w:sz="4" w:space="0" w:color="auto"/>
              <w:right w:val="single" w:sz="4" w:space="0" w:color="auto"/>
            </w:tcBorders>
            <w:shd w:val="clear" w:color="auto" w:fill="B8CCE4" w:themeFill="accent1" w:themeFillTint="66"/>
          </w:tcPr>
          <w:p w14:paraId="062D55FC" w14:textId="77777777" w:rsidR="00AE78C0" w:rsidRPr="00552B0C" w:rsidRDefault="00AE78C0" w:rsidP="0050763F">
            <w:pPr>
              <w:pStyle w:val="In-tableHeading"/>
              <w:keepNext w:val="0"/>
              <w:jc w:val="center"/>
            </w:pPr>
          </w:p>
        </w:tc>
        <w:tc>
          <w:tcPr>
            <w:tcW w:w="637" w:type="pct"/>
            <w:vMerge/>
            <w:tcBorders>
              <w:bottom w:val="single" w:sz="4" w:space="0" w:color="auto"/>
              <w:right w:val="single" w:sz="4" w:space="0" w:color="auto"/>
            </w:tcBorders>
            <w:shd w:val="clear" w:color="auto" w:fill="B8CCE4" w:themeFill="accent1" w:themeFillTint="66"/>
          </w:tcPr>
          <w:p w14:paraId="14486AD5" w14:textId="77777777" w:rsidR="00AE78C0" w:rsidRPr="00552B0C" w:rsidRDefault="00AE78C0" w:rsidP="0050763F">
            <w:pPr>
              <w:pStyle w:val="In-tableHeading"/>
              <w:keepNext w:val="0"/>
              <w:jc w:val="center"/>
            </w:pPr>
          </w:p>
        </w:tc>
        <w:tc>
          <w:tcPr>
            <w:tcW w:w="606" w:type="pct"/>
            <w:gridSpan w:val="2"/>
            <w:vMerge/>
            <w:tcBorders>
              <w:bottom w:val="single" w:sz="4" w:space="0" w:color="auto"/>
            </w:tcBorders>
            <w:shd w:val="clear" w:color="auto" w:fill="B8CCE4" w:themeFill="accent1" w:themeFillTint="66"/>
          </w:tcPr>
          <w:p w14:paraId="39372F64" w14:textId="77777777" w:rsidR="00AE78C0" w:rsidRPr="00552B0C" w:rsidRDefault="00AE78C0" w:rsidP="0050763F">
            <w:pPr>
              <w:pStyle w:val="In-tableHeading"/>
              <w:keepNext w:val="0"/>
              <w:jc w:val="center"/>
            </w:pPr>
          </w:p>
        </w:tc>
        <w:tc>
          <w:tcPr>
            <w:tcW w:w="669" w:type="pct"/>
            <w:gridSpan w:val="2"/>
            <w:tcBorders>
              <w:bottom w:val="single" w:sz="4" w:space="0" w:color="auto"/>
            </w:tcBorders>
            <w:shd w:val="clear" w:color="auto" w:fill="B8CCE4" w:themeFill="accent1" w:themeFillTint="66"/>
          </w:tcPr>
          <w:p w14:paraId="1521EA25" w14:textId="77777777" w:rsidR="00AE78C0" w:rsidRPr="00552B0C" w:rsidRDefault="00AE78C0" w:rsidP="0050763F">
            <w:pPr>
              <w:pStyle w:val="In-tableHeading"/>
              <w:keepNext w:val="0"/>
              <w:jc w:val="center"/>
            </w:pPr>
            <w:r w:rsidRPr="00552B0C">
              <w:t>NALIRIFOX</w:t>
            </w:r>
          </w:p>
        </w:tc>
        <w:tc>
          <w:tcPr>
            <w:tcW w:w="641" w:type="pct"/>
            <w:gridSpan w:val="3"/>
            <w:tcBorders>
              <w:bottom w:val="single" w:sz="4" w:space="0" w:color="auto"/>
            </w:tcBorders>
            <w:shd w:val="clear" w:color="auto" w:fill="B8CCE4" w:themeFill="accent1" w:themeFillTint="66"/>
          </w:tcPr>
          <w:p w14:paraId="5120469C" w14:textId="77777777" w:rsidR="00AE78C0" w:rsidRPr="00552B0C" w:rsidRDefault="00AE78C0" w:rsidP="0050763F">
            <w:pPr>
              <w:pStyle w:val="In-tableHeading"/>
              <w:keepNext w:val="0"/>
              <w:jc w:val="center"/>
            </w:pPr>
            <w:r w:rsidRPr="00552B0C">
              <w:t>Gem+NabP</w:t>
            </w:r>
          </w:p>
        </w:tc>
        <w:tc>
          <w:tcPr>
            <w:tcW w:w="633" w:type="pct"/>
            <w:vMerge/>
            <w:tcBorders>
              <w:bottom w:val="single" w:sz="4" w:space="0" w:color="auto"/>
              <w:right w:val="single" w:sz="4" w:space="0" w:color="auto"/>
            </w:tcBorders>
            <w:shd w:val="clear" w:color="auto" w:fill="B8CCE4" w:themeFill="accent1" w:themeFillTint="66"/>
          </w:tcPr>
          <w:p w14:paraId="5E41BF36" w14:textId="77777777" w:rsidR="00AE78C0" w:rsidRPr="00552B0C" w:rsidRDefault="00AE78C0" w:rsidP="0050763F">
            <w:pPr>
              <w:pStyle w:val="In-tableHeading"/>
              <w:keepNext w:val="0"/>
              <w:jc w:val="center"/>
            </w:pPr>
          </w:p>
        </w:tc>
      </w:tr>
      <w:tr w:rsidR="00AE78C0" w:rsidRPr="00552B0C" w14:paraId="61F3635D" w14:textId="77777777">
        <w:trPr>
          <w:trHeight w:val="20"/>
        </w:trPr>
        <w:tc>
          <w:tcPr>
            <w:tcW w:w="1177" w:type="pct"/>
            <w:tcBorders>
              <w:right w:val="single" w:sz="4" w:space="0" w:color="auto"/>
            </w:tcBorders>
            <w:shd w:val="clear" w:color="auto" w:fill="B8CCE4" w:themeFill="accent1" w:themeFillTint="66"/>
          </w:tcPr>
          <w:p w14:paraId="1EDEE79A" w14:textId="77777777" w:rsidR="00AE78C0" w:rsidRPr="00552B0C" w:rsidRDefault="00AE78C0" w:rsidP="0050763F">
            <w:pPr>
              <w:pStyle w:val="TableText0"/>
              <w:keepNext w:val="0"/>
              <w:widowControl w:val="0"/>
            </w:pPr>
            <w:r w:rsidRPr="00552B0C">
              <w:t>Diarrhoea</w:t>
            </w:r>
          </w:p>
        </w:tc>
        <w:tc>
          <w:tcPr>
            <w:tcW w:w="637" w:type="pct"/>
            <w:gridSpan w:val="2"/>
            <w:tcBorders>
              <w:left w:val="single" w:sz="4" w:space="0" w:color="auto"/>
              <w:right w:val="single" w:sz="4" w:space="0" w:color="auto"/>
            </w:tcBorders>
            <w:shd w:val="clear" w:color="auto" w:fill="B8CCE4" w:themeFill="accent1" w:themeFillTint="66"/>
          </w:tcPr>
          <w:p w14:paraId="6867CB98" w14:textId="77777777" w:rsidR="00AE78C0" w:rsidRPr="00552B0C" w:rsidRDefault="00AE78C0" w:rsidP="00AE78C0">
            <w:pPr>
              <w:pStyle w:val="TableText0"/>
              <w:keepNext w:val="0"/>
              <w:jc w:val="center"/>
              <w:rPr>
                <w:rFonts w:cs="Times New Roman"/>
                <w:szCs w:val="20"/>
              </w:rPr>
            </w:pPr>
            <w:r w:rsidRPr="00552B0C">
              <w:t>75</w:t>
            </w:r>
          </w:p>
        </w:tc>
        <w:tc>
          <w:tcPr>
            <w:tcW w:w="637" w:type="pct"/>
            <w:tcBorders>
              <w:left w:val="single" w:sz="4" w:space="0" w:color="auto"/>
              <w:right w:val="single" w:sz="4" w:space="0" w:color="auto"/>
            </w:tcBorders>
            <w:shd w:val="clear" w:color="auto" w:fill="B8CCE4" w:themeFill="accent1" w:themeFillTint="66"/>
          </w:tcPr>
          <w:p w14:paraId="70FA7F73" w14:textId="77777777" w:rsidR="00AE78C0" w:rsidRPr="00552B0C" w:rsidRDefault="00AE78C0" w:rsidP="00AE78C0">
            <w:pPr>
              <w:pStyle w:val="TableText0"/>
              <w:keepNext w:val="0"/>
              <w:jc w:val="center"/>
              <w:rPr>
                <w:rFonts w:cs="Times New Roman"/>
                <w:szCs w:val="20"/>
              </w:rPr>
            </w:pPr>
            <w:r w:rsidRPr="00552B0C">
              <w:t>17</w:t>
            </w:r>
          </w:p>
        </w:tc>
        <w:tc>
          <w:tcPr>
            <w:tcW w:w="606" w:type="pct"/>
            <w:gridSpan w:val="2"/>
            <w:tcBorders>
              <w:left w:val="single" w:sz="4" w:space="0" w:color="auto"/>
              <w:right w:val="single" w:sz="4" w:space="0" w:color="auto"/>
            </w:tcBorders>
            <w:shd w:val="clear" w:color="auto" w:fill="B8CCE4" w:themeFill="accent1" w:themeFillTint="66"/>
          </w:tcPr>
          <w:p w14:paraId="54F85AEF" w14:textId="77777777" w:rsidR="00AE78C0" w:rsidRPr="00552B0C" w:rsidRDefault="00AE78C0" w:rsidP="00AE78C0">
            <w:pPr>
              <w:pStyle w:val="TableText0"/>
              <w:keepNext w:val="0"/>
              <w:jc w:val="center"/>
              <w:rPr>
                <w:b/>
                <w:bCs w:val="0"/>
              </w:rPr>
            </w:pPr>
            <w:r w:rsidRPr="00552B0C">
              <w:rPr>
                <w:b/>
                <w:bCs w:val="0"/>
              </w:rPr>
              <w:t>4.52</w:t>
            </w:r>
          </w:p>
          <w:p w14:paraId="56C55BEA" w14:textId="77777777" w:rsidR="00AE78C0" w:rsidRPr="00552B0C" w:rsidRDefault="00AE78C0" w:rsidP="0050763F">
            <w:pPr>
              <w:pStyle w:val="TableText0"/>
              <w:keepNext w:val="0"/>
              <w:widowControl w:val="0"/>
              <w:jc w:val="center"/>
              <w:rPr>
                <w:b/>
                <w:bCs w:val="0"/>
              </w:rPr>
            </w:pPr>
            <w:r w:rsidRPr="00552B0C">
              <w:rPr>
                <w:b/>
                <w:bCs w:val="0"/>
              </w:rPr>
              <w:t>[2.72, 7.50]</w:t>
            </w:r>
          </w:p>
        </w:tc>
        <w:tc>
          <w:tcPr>
            <w:tcW w:w="669" w:type="pct"/>
            <w:gridSpan w:val="2"/>
            <w:tcBorders>
              <w:left w:val="single" w:sz="4" w:space="0" w:color="auto"/>
              <w:right w:val="single" w:sz="4" w:space="0" w:color="auto"/>
            </w:tcBorders>
            <w:shd w:val="clear" w:color="auto" w:fill="B8CCE4" w:themeFill="accent1" w:themeFillTint="66"/>
          </w:tcPr>
          <w:p w14:paraId="6C63F8B8" w14:textId="77777777" w:rsidR="00AE78C0" w:rsidRPr="00552B0C" w:rsidRDefault="00AE78C0" w:rsidP="0050763F">
            <w:pPr>
              <w:pStyle w:val="TableText0"/>
              <w:keepNext w:val="0"/>
              <w:widowControl w:val="0"/>
              <w:jc w:val="center"/>
            </w:pPr>
            <w:r w:rsidRPr="00552B0C">
              <w:t>20.3</w:t>
            </w:r>
          </w:p>
        </w:tc>
        <w:tc>
          <w:tcPr>
            <w:tcW w:w="637" w:type="pct"/>
            <w:gridSpan w:val="2"/>
            <w:tcBorders>
              <w:left w:val="single" w:sz="4" w:space="0" w:color="auto"/>
              <w:right w:val="single" w:sz="4" w:space="0" w:color="auto"/>
            </w:tcBorders>
            <w:shd w:val="clear" w:color="auto" w:fill="B8CCE4" w:themeFill="accent1" w:themeFillTint="66"/>
          </w:tcPr>
          <w:p w14:paraId="5249AD71" w14:textId="77777777" w:rsidR="00AE78C0" w:rsidRPr="00552B0C" w:rsidRDefault="00AE78C0" w:rsidP="0050763F">
            <w:pPr>
              <w:pStyle w:val="TableText0"/>
              <w:keepNext w:val="0"/>
              <w:widowControl w:val="0"/>
              <w:jc w:val="center"/>
            </w:pPr>
            <w:r w:rsidRPr="00552B0C">
              <w:t>4.5</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8FB8F7" w14:textId="77777777" w:rsidR="00AE78C0" w:rsidRPr="00552B0C" w:rsidRDefault="00AE78C0" w:rsidP="00AE78C0">
            <w:pPr>
              <w:pStyle w:val="TableText0"/>
              <w:keepNext w:val="0"/>
              <w:jc w:val="center"/>
              <w:rPr>
                <w:b/>
                <w:bCs w:val="0"/>
              </w:rPr>
            </w:pPr>
            <w:r w:rsidRPr="00552B0C">
              <w:rPr>
                <w:b/>
                <w:bCs w:val="0"/>
              </w:rPr>
              <w:t>0.16</w:t>
            </w:r>
          </w:p>
          <w:p w14:paraId="77B7D1AA" w14:textId="77777777" w:rsidR="00AE78C0" w:rsidRPr="00552B0C" w:rsidRDefault="00AE78C0" w:rsidP="0050763F">
            <w:pPr>
              <w:pStyle w:val="TableText0"/>
              <w:keepNext w:val="0"/>
              <w:widowControl w:val="0"/>
              <w:jc w:val="center"/>
              <w:rPr>
                <w:b/>
                <w:bCs w:val="0"/>
                <w:szCs w:val="20"/>
              </w:rPr>
            </w:pPr>
            <w:r w:rsidRPr="00552B0C">
              <w:rPr>
                <w:b/>
                <w:bCs w:val="0"/>
              </w:rPr>
              <w:t>[0.11, 0.20]</w:t>
            </w:r>
          </w:p>
        </w:tc>
      </w:tr>
      <w:tr w:rsidR="00AE78C0" w:rsidRPr="00552B0C" w14:paraId="5A7F23EA" w14:textId="77777777">
        <w:trPr>
          <w:trHeight w:val="20"/>
        </w:trPr>
        <w:tc>
          <w:tcPr>
            <w:tcW w:w="1177" w:type="pct"/>
            <w:tcBorders>
              <w:bottom w:val="single" w:sz="4" w:space="0" w:color="auto"/>
              <w:right w:val="single" w:sz="4" w:space="0" w:color="auto"/>
            </w:tcBorders>
            <w:shd w:val="clear" w:color="auto" w:fill="B8CCE4" w:themeFill="accent1" w:themeFillTint="66"/>
          </w:tcPr>
          <w:p w14:paraId="5137C352" w14:textId="77777777" w:rsidR="00AE78C0" w:rsidRPr="00552B0C" w:rsidRDefault="00AE78C0" w:rsidP="0050763F">
            <w:pPr>
              <w:pStyle w:val="TableText0"/>
              <w:keepNext w:val="0"/>
              <w:widowControl w:val="0"/>
            </w:pPr>
            <w:r w:rsidRPr="00552B0C">
              <w:t>Hypokalaemia</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634D0724" w14:textId="77777777" w:rsidR="00AE78C0" w:rsidRPr="00552B0C" w:rsidRDefault="00AE78C0" w:rsidP="00AE78C0">
            <w:pPr>
              <w:pStyle w:val="TableText0"/>
              <w:keepNext w:val="0"/>
              <w:jc w:val="center"/>
            </w:pPr>
            <w:r w:rsidRPr="00552B0C">
              <w:t>56</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1D17CE91" w14:textId="77777777" w:rsidR="00AE78C0" w:rsidRPr="00552B0C" w:rsidRDefault="00AE78C0" w:rsidP="00AE78C0">
            <w:pPr>
              <w:pStyle w:val="TableText0"/>
              <w:keepNext w:val="0"/>
              <w:jc w:val="center"/>
            </w:pPr>
            <w:r w:rsidRPr="00552B0C">
              <w:t>15</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355C4607" w14:textId="77777777" w:rsidR="00AE78C0" w:rsidRPr="00552B0C" w:rsidRDefault="00AE78C0" w:rsidP="00AE78C0">
            <w:pPr>
              <w:pStyle w:val="TableText0"/>
              <w:keepNext w:val="0"/>
              <w:jc w:val="center"/>
              <w:rPr>
                <w:b/>
                <w:bCs w:val="0"/>
              </w:rPr>
            </w:pPr>
            <w:r w:rsidRPr="00552B0C">
              <w:rPr>
                <w:b/>
                <w:bCs w:val="0"/>
              </w:rPr>
              <w:t>3.82</w:t>
            </w:r>
          </w:p>
          <w:p w14:paraId="2FF73A9C" w14:textId="77777777" w:rsidR="00AE78C0" w:rsidRPr="00552B0C" w:rsidRDefault="00AE78C0" w:rsidP="0050763F">
            <w:pPr>
              <w:pStyle w:val="TableText0"/>
              <w:keepNext w:val="0"/>
              <w:widowControl w:val="0"/>
              <w:jc w:val="center"/>
              <w:rPr>
                <w:b/>
                <w:bCs w:val="0"/>
              </w:rPr>
            </w:pPr>
            <w:r w:rsidRPr="00552B0C">
              <w:rPr>
                <w:b/>
                <w:bCs w:val="0"/>
              </w:rPr>
              <w:t>[2.20, 6.64]</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3A9031C3" w14:textId="77777777" w:rsidR="00AE78C0" w:rsidRPr="00552B0C" w:rsidRDefault="00AE78C0" w:rsidP="0050763F">
            <w:pPr>
              <w:pStyle w:val="TableText0"/>
              <w:keepNext w:val="0"/>
              <w:widowControl w:val="0"/>
              <w:jc w:val="center"/>
            </w:pPr>
            <w:r w:rsidRPr="00552B0C">
              <w:t>15.1</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48D1DD6E" w14:textId="77777777" w:rsidR="00AE78C0" w:rsidRPr="00552B0C" w:rsidRDefault="00AE78C0" w:rsidP="0050763F">
            <w:pPr>
              <w:pStyle w:val="TableText0"/>
              <w:keepNext w:val="0"/>
              <w:widowControl w:val="0"/>
              <w:jc w:val="center"/>
            </w:pPr>
            <w:r w:rsidRPr="00552B0C">
              <w:t>4.0</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28ABC3" w14:textId="77777777" w:rsidR="00AE78C0" w:rsidRPr="00552B0C" w:rsidRDefault="00AE78C0" w:rsidP="00AE78C0">
            <w:pPr>
              <w:pStyle w:val="TableText0"/>
              <w:keepNext w:val="0"/>
              <w:jc w:val="center"/>
              <w:rPr>
                <w:b/>
                <w:bCs w:val="0"/>
              </w:rPr>
            </w:pPr>
            <w:r w:rsidRPr="00552B0C">
              <w:rPr>
                <w:b/>
                <w:bCs w:val="0"/>
              </w:rPr>
              <w:t xml:space="preserve">0.11 </w:t>
            </w:r>
          </w:p>
          <w:p w14:paraId="515239C5" w14:textId="77777777" w:rsidR="00AE78C0" w:rsidRPr="00552B0C" w:rsidRDefault="00AE78C0" w:rsidP="0050763F">
            <w:pPr>
              <w:pStyle w:val="TableText0"/>
              <w:keepNext w:val="0"/>
              <w:widowControl w:val="0"/>
              <w:jc w:val="center"/>
              <w:rPr>
                <w:b/>
                <w:bCs w:val="0"/>
                <w:szCs w:val="20"/>
              </w:rPr>
            </w:pPr>
            <w:r w:rsidRPr="00552B0C">
              <w:rPr>
                <w:b/>
                <w:bCs w:val="0"/>
              </w:rPr>
              <w:t>[0.07, 0.15]</w:t>
            </w:r>
          </w:p>
        </w:tc>
      </w:tr>
      <w:tr w:rsidR="00AE78C0" w:rsidRPr="00552B0C" w14:paraId="3CA280C5" w14:textId="77777777">
        <w:trPr>
          <w:trHeight w:val="20"/>
        </w:trPr>
        <w:tc>
          <w:tcPr>
            <w:tcW w:w="1177" w:type="pct"/>
            <w:tcBorders>
              <w:bottom w:val="single" w:sz="4" w:space="0" w:color="auto"/>
              <w:right w:val="single" w:sz="4" w:space="0" w:color="auto"/>
            </w:tcBorders>
            <w:shd w:val="clear" w:color="auto" w:fill="B8CCE4" w:themeFill="accent1" w:themeFillTint="66"/>
          </w:tcPr>
          <w:p w14:paraId="5A91B0AE" w14:textId="77777777" w:rsidR="00AE78C0" w:rsidRPr="00552B0C" w:rsidRDefault="00AE78C0" w:rsidP="0050763F">
            <w:pPr>
              <w:pStyle w:val="TableText0"/>
              <w:keepNext w:val="0"/>
              <w:widowControl w:val="0"/>
            </w:pPr>
            <w:r w:rsidRPr="00552B0C">
              <w:t xml:space="preserve">Nausea </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2233F9E6" w14:textId="77777777" w:rsidR="00AE78C0" w:rsidRPr="00552B0C" w:rsidRDefault="00AE78C0" w:rsidP="00AE78C0">
            <w:pPr>
              <w:pStyle w:val="TableText0"/>
              <w:keepNext w:val="0"/>
              <w:jc w:val="center"/>
            </w:pPr>
            <w:r w:rsidRPr="00552B0C">
              <w:t>44</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3F06BB9B" w14:textId="77777777" w:rsidR="00AE78C0" w:rsidRPr="00552B0C" w:rsidRDefault="00AE78C0" w:rsidP="00AE78C0">
            <w:pPr>
              <w:pStyle w:val="TableText0"/>
              <w:keepNext w:val="0"/>
              <w:jc w:val="center"/>
            </w:pPr>
            <w:r w:rsidRPr="00552B0C">
              <w:t>10</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0057F4FE" w14:textId="77777777" w:rsidR="00AE78C0" w:rsidRPr="00552B0C" w:rsidRDefault="00AE78C0" w:rsidP="00AE78C0">
            <w:pPr>
              <w:pStyle w:val="TableText0"/>
              <w:keepNext w:val="0"/>
              <w:jc w:val="center"/>
              <w:rPr>
                <w:b/>
                <w:bCs w:val="0"/>
              </w:rPr>
            </w:pPr>
            <w:r w:rsidRPr="00552B0C">
              <w:rPr>
                <w:b/>
                <w:bCs w:val="0"/>
              </w:rPr>
              <w:t>4.51</w:t>
            </w:r>
          </w:p>
          <w:p w14:paraId="495E52EB" w14:textId="77777777" w:rsidR="00AE78C0" w:rsidRPr="00552B0C" w:rsidRDefault="00AE78C0" w:rsidP="0050763F">
            <w:pPr>
              <w:pStyle w:val="TableText0"/>
              <w:keepNext w:val="0"/>
              <w:widowControl w:val="0"/>
              <w:jc w:val="center"/>
              <w:rPr>
                <w:b/>
                <w:bCs w:val="0"/>
              </w:rPr>
            </w:pPr>
            <w:r w:rsidRPr="00552B0C">
              <w:rPr>
                <w:b/>
                <w:bCs w:val="0"/>
              </w:rPr>
              <w:t>[2.30, 8.82]</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429FE660" w14:textId="77777777" w:rsidR="00AE78C0" w:rsidRPr="00552B0C" w:rsidRDefault="00AE78C0" w:rsidP="0050763F">
            <w:pPr>
              <w:pStyle w:val="TableText0"/>
              <w:keepNext w:val="0"/>
              <w:widowControl w:val="0"/>
              <w:jc w:val="center"/>
            </w:pPr>
            <w:r w:rsidRPr="00552B0C">
              <w:t>11.9</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0B55D369" w14:textId="77777777" w:rsidR="00AE78C0" w:rsidRPr="00552B0C" w:rsidRDefault="00AE78C0" w:rsidP="0050763F">
            <w:pPr>
              <w:pStyle w:val="TableText0"/>
              <w:keepNext w:val="0"/>
              <w:widowControl w:val="0"/>
              <w:jc w:val="center"/>
            </w:pPr>
            <w:r w:rsidRPr="00552B0C">
              <w:t>2.6</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9C1126" w14:textId="77777777" w:rsidR="00AE78C0" w:rsidRPr="00552B0C" w:rsidRDefault="00AE78C0" w:rsidP="00AE78C0">
            <w:pPr>
              <w:pStyle w:val="TableText0"/>
              <w:keepNext w:val="0"/>
              <w:jc w:val="center"/>
              <w:rPr>
                <w:b/>
                <w:bCs w:val="0"/>
              </w:rPr>
            </w:pPr>
            <w:r w:rsidRPr="00552B0C">
              <w:rPr>
                <w:b/>
                <w:bCs w:val="0"/>
              </w:rPr>
              <w:t xml:space="preserve">0.09 </w:t>
            </w:r>
          </w:p>
          <w:p w14:paraId="5C4ACCDF" w14:textId="77777777" w:rsidR="00AE78C0" w:rsidRPr="00552B0C" w:rsidRDefault="00AE78C0" w:rsidP="0050763F">
            <w:pPr>
              <w:pStyle w:val="TableText0"/>
              <w:keepNext w:val="0"/>
              <w:widowControl w:val="0"/>
              <w:jc w:val="center"/>
              <w:rPr>
                <w:b/>
                <w:bCs w:val="0"/>
                <w:szCs w:val="20"/>
              </w:rPr>
            </w:pPr>
            <w:r w:rsidRPr="00552B0C">
              <w:rPr>
                <w:b/>
                <w:bCs w:val="0"/>
              </w:rPr>
              <w:t>[0.06, 0.13]</w:t>
            </w:r>
          </w:p>
        </w:tc>
      </w:tr>
      <w:tr w:rsidR="00AE78C0" w:rsidRPr="00552B0C" w14:paraId="700E0EDD" w14:textId="77777777">
        <w:trPr>
          <w:trHeight w:val="20"/>
        </w:trPr>
        <w:tc>
          <w:tcPr>
            <w:tcW w:w="1177" w:type="pct"/>
            <w:tcBorders>
              <w:bottom w:val="single" w:sz="4" w:space="0" w:color="auto"/>
              <w:right w:val="single" w:sz="4" w:space="0" w:color="auto"/>
            </w:tcBorders>
            <w:shd w:val="clear" w:color="auto" w:fill="B8CCE4" w:themeFill="accent1" w:themeFillTint="66"/>
          </w:tcPr>
          <w:p w14:paraId="4132E5C6" w14:textId="77777777" w:rsidR="00AE78C0" w:rsidRPr="00552B0C" w:rsidRDefault="00AE78C0" w:rsidP="0050763F">
            <w:pPr>
              <w:pStyle w:val="TableText0"/>
              <w:keepNext w:val="0"/>
              <w:widowControl w:val="0"/>
            </w:pPr>
            <w:r w:rsidRPr="00552B0C">
              <w:t>Decreased appetite</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58A5BF76" w14:textId="77777777" w:rsidR="00AE78C0" w:rsidRPr="00552B0C" w:rsidRDefault="00AE78C0" w:rsidP="00AE78C0">
            <w:pPr>
              <w:pStyle w:val="TableText0"/>
              <w:keepNext w:val="0"/>
              <w:jc w:val="center"/>
            </w:pPr>
            <w:r w:rsidRPr="00552B0C">
              <w:t>32</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69AEE63C" w14:textId="77777777" w:rsidR="00AE78C0" w:rsidRPr="00552B0C" w:rsidRDefault="00AE78C0" w:rsidP="00AE78C0">
            <w:pPr>
              <w:pStyle w:val="TableText0"/>
              <w:keepNext w:val="0"/>
              <w:jc w:val="center"/>
            </w:pPr>
            <w:r w:rsidRPr="00552B0C">
              <w:t>10</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75C379DD" w14:textId="77777777" w:rsidR="00AE78C0" w:rsidRPr="00552B0C" w:rsidRDefault="00AE78C0" w:rsidP="00AE78C0">
            <w:pPr>
              <w:pStyle w:val="TableText0"/>
              <w:keepNext w:val="0"/>
              <w:jc w:val="center"/>
              <w:rPr>
                <w:b/>
                <w:bCs w:val="0"/>
              </w:rPr>
            </w:pPr>
            <w:r w:rsidRPr="00552B0C">
              <w:rPr>
                <w:b/>
                <w:bCs w:val="0"/>
              </w:rPr>
              <w:t>3.28</w:t>
            </w:r>
          </w:p>
          <w:p w14:paraId="67270CF7" w14:textId="77777777" w:rsidR="00AE78C0" w:rsidRPr="00552B0C" w:rsidRDefault="00AE78C0" w:rsidP="0050763F">
            <w:pPr>
              <w:pStyle w:val="TableText0"/>
              <w:keepNext w:val="0"/>
              <w:widowControl w:val="0"/>
              <w:jc w:val="center"/>
              <w:rPr>
                <w:b/>
                <w:bCs w:val="0"/>
              </w:rPr>
            </w:pPr>
            <w:r w:rsidRPr="00552B0C">
              <w:rPr>
                <w:b/>
                <w:bCs w:val="0"/>
              </w:rPr>
              <w:lastRenderedPageBreak/>
              <w:t>[1.64, 6.57]</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60295F55" w14:textId="77777777" w:rsidR="00AE78C0" w:rsidRPr="00552B0C" w:rsidRDefault="00AE78C0" w:rsidP="0050763F">
            <w:pPr>
              <w:pStyle w:val="TableText0"/>
              <w:keepNext w:val="0"/>
              <w:widowControl w:val="0"/>
              <w:jc w:val="center"/>
            </w:pPr>
            <w:r w:rsidRPr="00552B0C">
              <w:lastRenderedPageBreak/>
              <w:t>8.7</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2E3B2688" w14:textId="77777777" w:rsidR="00AE78C0" w:rsidRPr="00552B0C" w:rsidRDefault="00AE78C0" w:rsidP="0050763F">
            <w:pPr>
              <w:pStyle w:val="TableText0"/>
              <w:keepNext w:val="0"/>
              <w:widowControl w:val="0"/>
              <w:jc w:val="center"/>
            </w:pPr>
            <w:r w:rsidRPr="00552B0C">
              <w:t>2.6</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420367" w14:textId="77777777" w:rsidR="00AE78C0" w:rsidRPr="00552B0C" w:rsidRDefault="00AE78C0" w:rsidP="00AE78C0">
            <w:pPr>
              <w:pStyle w:val="TableText0"/>
              <w:keepNext w:val="0"/>
              <w:jc w:val="center"/>
              <w:rPr>
                <w:b/>
                <w:bCs w:val="0"/>
              </w:rPr>
            </w:pPr>
            <w:r w:rsidRPr="00552B0C">
              <w:rPr>
                <w:b/>
                <w:bCs w:val="0"/>
              </w:rPr>
              <w:t xml:space="preserve">0.06 </w:t>
            </w:r>
          </w:p>
          <w:p w14:paraId="358951A6" w14:textId="77777777" w:rsidR="00AE78C0" w:rsidRPr="00552B0C" w:rsidRDefault="00AE78C0" w:rsidP="0050763F">
            <w:pPr>
              <w:pStyle w:val="TableText0"/>
              <w:keepNext w:val="0"/>
              <w:widowControl w:val="0"/>
              <w:jc w:val="center"/>
              <w:rPr>
                <w:b/>
                <w:bCs w:val="0"/>
                <w:szCs w:val="20"/>
              </w:rPr>
            </w:pPr>
            <w:r w:rsidRPr="00552B0C">
              <w:rPr>
                <w:b/>
                <w:bCs w:val="0"/>
              </w:rPr>
              <w:lastRenderedPageBreak/>
              <w:t>[0.03, 0.09]</w:t>
            </w:r>
          </w:p>
        </w:tc>
      </w:tr>
      <w:tr w:rsidR="00AE78C0" w:rsidRPr="00552B0C" w14:paraId="06517D7E" w14:textId="77777777">
        <w:trPr>
          <w:trHeight w:val="20"/>
        </w:trPr>
        <w:tc>
          <w:tcPr>
            <w:tcW w:w="1177" w:type="pct"/>
            <w:tcBorders>
              <w:bottom w:val="single" w:sz="4" w:space="0" w:color="auto"/>
              <w:right w:val="single" w:sz="4" w:space="0" w:color="auto"/>
            </w:tcBorders>
            <w:shd w:val="clear" w:color="auto" w:fill="B8CCE4" w:themeFill="accent1" w:themeFillTint="66"/>
          </w:tcPr>
          <w:p w14:paraId="665D3203" w14:textId="77777777" w:rsidR="00AE78C0" w:rsidRPr="00552B0C" w:rsidRDefault="00AE78C0" w:rsidP="0050763F">
            <w:pPr>
              <w:pStyle w:val="TableText0"/>
              <w:keepNext w:val="0"/>
              <w:widowControl w:val="0"/>
            </w:pPr>
            <w:r w:rsidRPr="00552B0C">
              <w:lastRenderedPageBreak/>
              <w:t>Vomiting</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20549580" w14:textId="77777777" w:rsidR="00AE78C0" w:rsidRPr="00552B0C" w:rsidRDefault="00AE78C0" w:rsidP="00AE78C0">
            <w:pPr>
              <w:pStyle w:val="TableText0"/>
              <w:keepNext w:val="0"/>
              <w:jc w:val="center"/>
            </w:pPr>
            <w:r w:rsidRPr="00552B0C">
              <w:t>26</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67F8255E" w14:textId="77777777" w:rsidR="00AE78C0" w:rsidRPr="00552B0C" w:rsidRDefault="00AE78C0" w:rsidP="00AE78C0">
            <w:pPr>
              <w:pStyle w:val="TableText0"/>
              <w:keepNext w:val="0"/>
              <w:jc w:val="center"/>
            </w:pPr>
            <w:r w:rsidRPr="00552B0C">
              <w:t>8</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35BE6722" w14:textId="77777777" w:rsidR="00AE78C0" w:rsidRPr="00552B0C" w:rsidRDefault="00AE78C0" w:rsidP="00AE78C0">
            <w:pPr>
              <w:pStyle w:val="TableText0"/>
              <w:keepNext w:val="0"/>
              <w:jc w:val="center"/>
              <w:rPr>
                <w:b/>
                <w:bCs w:val="0"/>
              </w:rPr>
            </w:pPr>
            <w:r w:rsidRPr="00552B0C">
              <w:rPr>
                <w:b/>
                <w:bCs w:val="0"/>
              </w:rPr>
              <w:t>3.33</w:t>
            </w:r>
          </w:p>
          <w:p w14:paraId="648750FA" w14:textId="77777777" w:rsidR="00AE78C0" w:rsidRPr="00552B0C" w:rsidRDefault="00AE78C0" w:rsidP="0050763F">
            <w:pPr>
              <w:pStyle w:val="TableText0"/>
              <w:keepNext w:val="0"/>
              <w:widowControl w:val="0"/>
              <w:jc w:val="center"/>
              <w:rPr>
                <w:b/>
                <w:bCs w:val="0"/>
              </w:rPr>
            </w:pPr>
            <w:r w:rsidRPr="00552B0C">
              <w:rPr>
                <w:b/>
                <w:bCs w:val="0"/>
              </w:rPr>
              <w:t>[1.53, 7.26]</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363A678E" w14:textId="77777777" w:rsidR="00AE78C0" w:rsidRPr="00552B0C" w:rsidRDefault="00AE78C0" w:rsidP="0050763F">
            <w:pPr>
              <w:pStyle w:val="TableText0"/>
              <w:keepNext w:val="0"/>
              <w:widowControl w:val="0"/>
              <w:jc w:val="center"/>
            </w:pPr>
            <w:r w:rsidRPr="00552B0C">
              <w:t>7.0</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79A3792A" w14:textId="77777777" w:rsidR="00AE78C0" w:rsidRPr="00552B0C" w:rsidRDefault="00AE78C0" w:rsidP="0050763F">
            <w:pPr>
              <w:pStyle w:val="TableText0"/>
              <w:keepNext w:val="0"/>
              <w:widowControl w:val="0"/>
              <w:jc w:val="center"/>
            </w:pPr>
            <w:r w:rsidRPr="00552B0C">
              <w:t>2.1</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F6C4482" w14:textId="77777777" w:rsidR="00AE78C0" w:rsidRPr="00552B0C" w:rsidRDefault="00AE78C0" w:rsidP="00AE78C0">
            <w:pPr>
              <w:pStyle w:val="TableText0"/>
              <w:keepNext w:val="0"/>
              <w:jc w:val="center"/>
              <w:rPr>
                <w:b/>
                <w:bCs w:val="0"/>
              </w:rPr>
            </w:pPr>
            <w:r w:rsidRPr="00552B0C">
              <w:rPr>
                <w:b/>
                <w:bCs w:val="0"/>
              </w:rPr>
              <w:t xml:space="preserve">0.05 </w:t>
            </w:r>
          </w:p>
          <w:p w14:paraId="478CF9A1" w14:textId="77777777" w:rsidR="00AE78C0" w:rsidRPr="00552B0C" w:rsidRDefault="00AE78C0" w:rsidP="0050763F">
            <w:pPr>
              <w:pStyle w:val="TableText0"/>
              <w:keepNext w:val="0"/>
              <w:widowControl w:val="0"/>
              <w:jc w:val="center"/>
              <w:rPr>
                <w:b/>
                <w:bCs w:val="0"/>
                <w:szCs w:val="20"/>
              </w:rPr>
            </w:pPr>
            <w:r w:rsidRPr="00552B0C">
              <w:rPr>
                <w:b/>
                <w:bCs w:val="0"/>
              </w:rPr>
              <w:t>[0.02, 0.08]</w:t>
            </w:r>
          </w:p>
        </w:tc>
      </w:tr>
      <w:tr w:rsidR="00AE78C0" w:rsidRPr="00552B0C" w14:paraId="6D9EC04B" w14:textId="77777777">
        <w:trPr>
          <w:trHeight w:val="20"/>
        </w:trPr>
        <w:tc>
          <w:tcPr>
            <w:tcW w:w="1177" w:type="pct"/>
            <w:tcBorders>
              <w:bottom w:val="single" w:sz="4" w:space="0" w:color="auto"/>
              <w:right w:val="single" w:sz="4" w:space="0" w:color="auto"/>
            </w:tcBorders>
            <w:shd w:val="clear" w:color="auto" w:fill="B8CCE4" w:themeFill="accent1" w:themeFillTint="66"/>
          </w:tcPr>
          <w:p w14:paraId="7F4802BE" w14:textId="77777777" w:rsidR="00AE78C0" w:rsidRPr="00552B0C" w:rsidRDefault="00AE78C0" w:rsidP="0050763F">
            <w:pPr>
              <w:pStyle w:val="TableText0"/>
              <w:keepNext w:val="0"/>
              <w:widowControl w:val="0"/>
            </w:pPr>
            <w:r w:rsidRPr="00552B0C">
              <w:t>Asthenia</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089E272A" w14:textId="77777777" w:rsidR="00AE78C0" w:rsidRPr="00552B0C" w:rsidRDefault="00AE78C0" w:rsidP="00AE78C0">
            <w:pPr>
              <w:pStyle w:val="TableText0"/>
              <w:keepNext w:val="0"/>
              <w:jc w:val="center"/>
            </w:pPr>
            <w:r w:rsidRPr="00552B0C">
              <w:t>33</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36513EB7" w14:textId="77777777" w:rsidR="00AE78C0" w:rsidRPr="00552B0C" w:rsidRDefault="00AE78C0" w:rsidP="00AE78C0">
            <w:pPr>
              <w:pStyle w:val="TableText0"/>
              <w:keepNext w:val="0"/>
              <w:jc w:val="center"/>
            </w:pPr>
            <w:r w:rsidRPr="00552B0C">
              <w:t>19</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65DFBEC1" w14:textId="77777777" w:rsidR="00AE78C0" w:rsidRPr="00552B0C" w:rsidRDefault="00AE78C0" w:rsidP="00AE78C0">
            <w:pPr>
              <w:pStyle w:val="TableText0"/>
              <w:keepNext w:val="0"/>
              <w:jc w:val="center"/>
              <w:rPr>
                <w:b/>
                <w:bCs w:val="0"/>
              </w:rPr>
            </w:pPr>
            <w:r w:rsidRPr="00552B0C">
              <w:rPr>
                <w:b/>
                <w:bCs w:val="0"/>
              </w:rPr>
              <w:t>1.78</w:t>
            </w:r>
          </w:p>
          <w:p w14:paraId="53A5EEDE" w14:textId="77777777" w:rsidR="00AE78C0" w:rsidRPr="00552B0C" w:rsidRDefault="00AE78C0" w:rsidP="0050763F">
            <w:pPr>
              <w:pStyle w:val="TableText0"/>
              <w:keepNext w:val="0"/>
              <w:widowControl w:val="0"/>
              <w:jc w:val="center"/>
              <w:rPr>
                <w:b/>
                <w:bCs w:val="0"/>
              </w:rPr>
            </w:pPr>
            <w:r w:rsidRPr="00552B0C">
              <w:rPr>
                <w:b/>
                <w:bCs w:val="0"/>
              </w:rPr>
              <w:t>[1.03, 3.07]</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1FC9A50D" w14:textId="77777777" w:rsidR="00AE78C0" w:rsidRPr="00552B0C" w:rsidRDefault="00AE78C0" w:rsidP="0050763F">
            <w:pPr>
              <w:pStyle w:val="TableText0"/>
              <w:keepNext w:val="0"/>
              <w:widowControl w:val="0"/>
              <w:jc w:val="center"/>
            </w:pPr>
            <w:r w:rsidRPr="00552B0C">
              <w:t>8.9</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15CD9481" w14:textId="77777777" w:rsidR="00AE78C0" w:rsidRPr="00552B0C" w:rsidRDefault="00AE78C0" w:rsidP="0050763F">
            <w:pPr>
              <w:pStyle w:val="TableText0"/>
              <w:keepNext w:val="0"/>
              <w:widowControl w:val="0"/>
              <w:jc w:val="center"/>
            </w:pPr>
            <w:r w:rsidRPr="00552B0C">
              <w:t>5.0</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AC6D5DC" w14:textId="77777777" w:rsidR="00AE78C0" w:rsidRPr="00552B0C" w:rsidRDefault="00AE78C0" w:rsidP="00AE78C0">
            <w:pPr>
              <w:pStyle w:val="TableText0"/>
              <w:keepNext w:val="0"/>
              <w:jc w:val="center"/>
              <w:rPr>
                <w:b/>
                <w:bCs w:val="0"/>
              </w:rPr>
            </w:pPr>
            <w:r w:rsidRPr="00552B0C">
              <w:rPr>
                <w:b/>
                <w:bCs w:val="0"/>
              </w:rPr>
              <w:t xml:space="preserve">0.04 </w:t>
            </w:r>
          </w:p>
          <w:p w14:paraId="090706DB" w14:textId="77777777" w:rsidR="00AE78C0" w:rsidRPr="00552B0C" w:rsidRDefault="00AE78C0" w:rsidP="0050763F">
            <w:pPr>
              <w:pStyle w:val="TableText0"/>
              <w:keepNext w:val="0"/>
              <w:widowControl w:val="0"/>
              <w:jc w:val="center"/>
              <w:rPr>
                <w:b/>
                <w:bCs w:val="0"/>
                <w:szCs w:val="20"/>
              </w:rPr>
            </w:pPr>
            <w:r w:rsidRPr="00552B0C">
              <w:rPr>
                <w:b/>
                <w:bCs w:val="0"/>
              </w:rPr>
              <w:t>[0.00, 0.08]</w:t>
            </w:r>
          </w:p>
        </w:tc>
      </w:tr>
      <w:tr w:rsidR="00AE78C0" w:rsidRPr="00552B0C" w14:paraId="30F72114" w14:textId="77777777">
        <w:trPr>
          <w:trHeight w:val="20"/>
        </w:trPr>
        <w:tc>
          <w:tcPr>
            <w:tcW w:w="1177" w:type="pct"/>
            <w:tcBorders>
              <w:bottom w:val="single" w:sz="4" w:space="0" w:color="auto"/>
              <w:right w:val="single" w:sz="4" w:space="0" w:color="auto"/>
            </w:tcBorders>
            <w:shd w:val="clear" w:color="auto" w:fill="B8CCE4" w:themeFill="accent1" w:themeFillTint="66"/>
          </w:tcPr>
          <w:p w14:paraId="7E43FB0C" w14:textId="77777777" w:rsidR="00AE78C0" w:rsidRPr="00552B0C" w:rsidRDefault="00AE78C0" w:rsidP="0050763F">
            <w:pPr>
              <w:pStyle w:val="TableText0"/>
              <w:keepNext w:val="0"/>
              <w:widowControl w:val="0"/>
            </w:pPr>
            <w:r w:rsidRPr="00552B0C">
              <w:t>Weight decreased</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1102FAAA" w14:textId="77777777" w:rsidR="00AE78C0" w:rsidRPr="00552B0C" w:rsidRDefault="00AE78C0" w:rsidP="00AE78C0">
            <w:pPr>
              <w:pStyle w:val="TableText0"/>
              <w:keepNext w:val="0"/>
              <w:jc w:val="center"/>
            </w:pPr>
            <w:r w:rsidRPr="00552B0C">
              <w:t>11</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3A57169D" w14:textId="77777777" w:rsidR="00AE78C0" w:rsidRPr="00552B0C" w:rsidRDefault="00AE78C0" w:rsidP="00AE78C0">
            <w:pPr>
              <w:pStyle w:val="TableText0"/>
              <w:keepNext w:val="0"/>
              <w:jc w:val="center"/>
            </w:pPr>
            <w:r w:rsidRPr="00552B0C">
              <w:t>1</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3A0B4A1F" w14:textId="77777777" w:rsidR="00AE78C0" w:rsidRPr="00552B0C" w:rsidRDefault="00AE78C0" w:rsidP="00AE78C0">
            <w:pPr>
              <w:pStyle w:val="TableText0"/>
              <w:keepNext w:val="0"/>
              <w:jc w:val="center"/>
              <w:rPr>
                <w:b/>
                <w:bCs w:val="0"/>
              </w:rPr>
            </w:pPr>
            <w:r w:rsidRPr="00552B0C">
              <w:rPr>
                <w:b/>
                <w:bCs w:val="0"/>
              </w:rPr>
              <w:t>11.27</w:t>
            </w:r>
          </w:p>
          <w:p w14:paraId="5E274CDE" w14:textId="77777777" w:rsidR="00AE78C0" w:rsidRPr="00552B0C" w:rsidRDefault="00AE78C0" w:rsidP="0050763F">
            <w:pPr>
              <w:pStyle w:val="TableText0"/>
              <w:keepNext w:val="0"/>
              <w:widowControl w:val="0"/>
              <w:jc w:val="center"/>
              <w:rPr>
                <w:b/>
                <w:bCs w:val="0"/>
              </w:rPr>
            </w:pPr>
            <w:r w:rsidRPr="00552B0C">
              <w:rPr>
                <w:b/>
                <w:bCs w:val="0"/>
              </w:rPr>
              <w:t>[1.46, 86.84]</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24BCD70A" w14:textId="77777777" w:rsidR="00AE78C0" w:rsidRPr="00552B0C" w:rsidRDefault="00AE78C0" w:rsidP="0050763F">
            <w:pPr>
              <w:pStyle w:val="TableText0"/>
              <w:keepNext w:val="0"/>
              <w:widowControl w:val="0"/>
              <w:jc w:val="center"/>
            </w:pPr>
            <w:r w:rsidRPr="00552B0C">
              <w:t>3.0</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7B924DCE" w14:textId="77777777" w:rsidR="00AE78C0" w:rsidRPr="00552B0C" w:rsidRDefault="00AE78C0" w:rsidP="0050763F">
            <w:pPr>
              <w:pStyle w:val="TableText0"/>
              <w:keepNext w:val="0"/>
              <w:widowControl w:val="0"/>
              <w:jc w:val="center"/>
            </w:pPr>
            <w:r w:rsidRPr="00552B0C">
              <w:t>0.3</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BFDA5D" w14:textId="77777777" w:rsidR="00AE78C0" w:rsidRPr="00552B0C" w:rsidRDefault="00AE78C0" w:rsidP="00AE78C0">
            <w:pPr>
              <w:pStyle w:val="TableText0"/>
              <w:keepNext w:val="0"/>
              <w:jc w:val="center"/>
              <w:rPr>
                <w:b/>
                <w:bCs w:val="0"/>
              </w:rPr>
            </w:pPr>
            <w:r w:rsidRPr="00552B0C">
              <w:rPr>
                <w:b/>
                <w:bCs w:val="0"/>
              </w:rPr>
              <w:t xml:space="preserve">0.03 </w:t>
            </w:r>
          </w:p>
          <w:p w14:paraId="7928E571" w14:textId="77777777" w:rsidR="00AE78C0" w:rsidRPr="00552B0C" w:rsidRDefault="00AE78C0" w:rsidP="0050763F">
            <w:pPr>
              <w:pStyle w:val="TableText0"/>
              <w:keepNext w:val="0"/>
              <w:widowControl w:val="0"/>
              <w:jc w:val="center"/>
              <w:rPr>
                <w:b/>
                <w:bCs w:val="0"/>
                <w:szCs w:val="20"/>
              </w:rPr>
            </w:pPr>
            <w:r w:rsidRPr="00552B0C">
              <w:rPr>
                <w:b/>
                <w:bCs w:val="0"/>
              </w:rPr>
              <w:t>[0.01, 0.05]</w:t>
            </w:r>
          </w:p>
        </w:tc>
      </w:tr>
      <w:tr w:rsidR="00AE78C0" w:rsidRPr="00552B0C" w14:paraId="1A21A498" w14:textId="77777777">
        <w:trPr>
          <w:trHeight w:val="20"/>
        </w:trPr>
        <w:tc>
          <w:tcPr>
            <w:tcW w:w="1177" w:type="pct"/>
            <w:tcBorders>
              <w:bottom w:val="single" w:sz="4" w:space="0" w:color="auto"/>
              <w:right w:val="single" w:sz="4" w:space="0" w:color="auto"/>
            </w:tcBorders>
            <w:shd w:val="clear" w:color="auto" w:fill="B8CCE4" w:themeFill="accent1" w:themeFillTint="66"/>
          </w:tcPr>
          <w:p w14:paraId="13BCCE04" w14:textId="77777777" w:rsidR="00AE78C0" w:rsidRPr="00552B0C" w:rsidRDefault="00AE78C0" w:rsidP="0050763F">
            <w:pPr>
              <w:pStyle w:val="TableText0"/>
              <w:keepNext w:val="0"/>
              <w:widowControl w:val="0"/>
            </w:pPr>
            <w:r w:rsidRPr="00552B0C">
              <w:t>Mucosal inflammation</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4D382972" w14:textId="77777777" w:rsidR="00AE78C0" w:rsidRPr="00552B0C" w:rsidRDefault="00AE78C0" w:rsidP="00AE78C0">
            <w:pPr>
              <w:pStyle w:val="TableText0"/>
              <w:keepNext w:val="0"/>
              <w:jc w:val="center"/>
            </w:pPr>
            <w:r w:rsidRPr="00552B0C">
              <w:t>8</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7E9AEAE1" w14:textId="77777777" w:rsidR="00AE78C0" w:rsidRPr="00552B0C" w:rsidRDefault="00AE78C0" w:rsidP="00AE78C0">
            <w:pPr>
              <w:pStyle w:val="TableText0"/>
              <w:keepNext w:val="0"/>
              <w:jc w:val="center"/>
            </w:pPr>
            <w:r w:rsidRPr="00552B0C">
              <w:t>1</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1831AC3B" w14:textId="77777777" w:rsidR="00AE78C0" w:rsidRPr="00552B0C" w:rsidRDefault="00AE78C0" w:rsidP="00AE78C0">
            <w:pPr>
              <w:pStyle w:val="TableText0"/>
              <w:keepNext w:val="0"/>
              <w:jc w:val="center"/>
              <w:rPr>
                <w:b/>
                <w:bCs w:val="0"/>
              </w:rPr>
            </w:pPr>
            <w:r w:rsidRPr="00552B0C">
              <w:rPr>
                <w:b/>
                <w:bCs w:val="0"/>
              </w:rPr>
              <w:t>8.19</w:t>
            </w:r>
          </w:p>
          <w:p w14:paraId="44A91BE4" w14:textId="77777777" w:rsidR="00AE78C0" w:rsidRPr="00552B0C" w:rsidRDefault="00AE78C0" w:rsidP="0050763F">
            <w:pPr>
              <w:pStyle w:val="TableText0"/>
              <w:keepNext w:val="0"/>
              <w:widowControl w:val="0"/>
              <w:jc w:val="center"/>
              <w:rPr>
                <w:b/>
                <w:bCs w:val="0"/>
              </w:rPr>
            </w:pPr>
            <w:r w:rsidRPr="00552B0C">
              <w:rPr>
                <w:b/>
                <w:bCs w:val="0"/>
              </w:rPr>
              <w:t>[1.03, 65.20]</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269FC61B" w14:textId="77777777" w:rsidR="00AE78C0" w:rsidRPr="00552B0C" w:rsidRDefault="00AE78C0" w:rsidP="0050763F">
            <w:pPr>
              <w:pStyle w:val="TableText0"/>
              <w:keepNext w:val="0"/>
              <w:widowControl w:val="0"/>
              <w:jc w:val="center"/>
            </w:pPr>
            <w:r w:rsidRPr="00552B0C">
              <w:t>2.2</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5A7FD033" w14:textId="77777777" w:rsidR="00AE78C0" w:rsidRPr="00552B0C" w:rsidRDefault="00AE78C0" w:rsidP="0050763F">
            <w:pPr>
              <w:pStyle w:val="TableText0"/>
              <w:keepNext w:val="0"/>
              <w:widowControl w:val="0"/>
              <w:jc w:val="center"/>
            </w:pPr>
            <w:r w:rsidRPr="00552B0C">
              <w:t>0.3</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4631EEC" w14:textId="77777777" w:rsidR="00AE78C0" w:rsidRPr="00552B0C" w:rsidRDefault="00AE78C0" w:rsidP="00AE78C0">
            <w:pPr>
              <w:pStyle w:val="TableText0"/>
              <w:keepNext w:val="0"/>
              <w:jc w:val="center"/>
              <w:rPr>
                <w:b/>
                <w:bCs w:val="0"/>
              </w:rPr>
            </w:pPr>
            <w:r w:rsidRPr="00552B0C">
              <w:rPr>
                <w:b/>
                <w:bCs w:val="0"/>
              </w:rPr>
              <w:t xml:space="preserve">0.02 </w:t>
            </w:r>
          </w:p>
          <w:p w14:paraId="19A6413E" w14:textId="77777777" w:rsidR="00AE78C0" w:rsidRPr="00552B0C" w:rsidRDefault="00AE78C0" w:rsidP="0050763F">
            <w:pPr>
              <w:pStyle w:val="TableText0"/>
              <w:keepNext w:val="0"/>
              <w:widowControl w:val="0"/>
              <w:jc w:val="center"/>
              <w:rPr>
                <w:b/>
                <w:bCs w:val="0"/>
                <w:szCs w:val="20"/>
              </w:rPr>
            </w:pPr>
            <w:r w:rsidRPr="00552B0C">
              <w:rPr>
                <w:b/>
                <w:bCs w:val="0"/>
              </w:rPr>
              <w:t>[0.00, 0.03]</w:t>
            </w:r>
          </w:p>
        </w:tc>
      </w:tr>
      <w:tr w:rsidR="00AE78C0" w:rsidRPr="00552B0C" w14:paraId="5750A9DD" w14:textId="77777777">
        <w:trPr>
          <w:trHeight w:val="20"/>
        </w:trPr>
        <w:tc>
          <w:tcPr>
            <w:tcW w:w="1177" w:type="pct"/>
            <w:tcBorders>
              <w:bottom w:val="single" w:sz="4" w:space="0" w:color="auto"/>
              <w:right w:val="single" w:sz="4" w:space="0" w:color="auto"/>
            </w:tcBorders>
            <w:shd w:val="clear" w:color="auto" w:fill="B8CCE4" w:themeFill="accent1" w:themeFillTint="66"/>
          </w:tcPr>
          <w:p w14:paraId="17B4101F" w14:textId="77777777" w:rsidR="00AE78C0" w:rsidRPr="00552B0C" w:rsidRDefault="00AE78C0" w:rsidP="0050763F">
            <w:pPr>
              <w:pStyle w:val="TableText0"/>
              <w:keepNext w:val="0"/>
              <w:widowControl w:val="0"/>
            </w:pPr>
            <w:r w:rsidRPr="00552B0C">
              <w:t>Dehydration</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71DB31E0" w14:textId="77777777" w:rsidR="00AE78C0" w:rsidRPr="00552B0C" w:rsidRDefault="00AE78C0" w:rsidP="00AE78C0">
            <w:pPr>
              <w:pStyle w:val="TableText0"/>
              <w:keepNext w:val="0"/>
              <w:jc w:val="center"/>
            </w:pPr>
            <w:r w:rsidRPr="00552B0C">
              <w:t>12</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01155C8F" w14:textId="77777777" w:rsidR="00AE78C0" w:rsidRPr="00552B0C" w:rsidRDefault="00AE78C0" w:rsidP="00AE78C0">
            <w:pPr>
              <w:pStyle w:val="TableText0"/>
              <w:keepNext w:val="0"/>
              <w:jc w:val="center"/>
            </w:pPr>
            <w:r w:rsidRPr="00552B0C">
              <w:t>4</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2B8C88EE" w14:textId="77777777" w:rsidR="00AE78C0" w:rsidRPr="00552B0C" w:rsidRDefault="00AE78C0" w:rsidP="00AE78C0">
            <w:pPr>
              <w:pStyle w:val="TableText0"/>
              <w:keepNext w:val="0"/>
              <w:jc w:val="center"/>
            </w:pPr>
            <w:r w:rsidRPr="00552B0C">
              <w:t>3.07</w:t>
            </w:r>
          </w:p>
          <w:p w14:paraId="496DE808" w14:textId="77777777" w:rsidR="00AE78C0" w:rsidRPr="00552B0C" w:rsidRDefault="00AE78C0" w:rsidP="0050763F">
            <w:pPr>
              <w:pStyle w:val="TableText0"/>
              <w:keepNext w:val="0"/>
              <w:widowControl w:val="0"/>
              <w:jc w:val="center"/>
            </w:pPr>
            <w:r w:rsidRPr="00552B0C">
              <w:t>[1.00, 9.44]</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186B4A85" w14:textId="77777777" w:rsidR="00AE78C0" w:rsidRPr="00552B0C" w:rsidRDefault="00AE78C0" w:rsidP="0050763F">
            <w:pPr>
              <w:pStyle w:val="TableText0"/>
              <w:keepNext w:val="0"/>
              <w:widowControl w:val="0"/>
              <w:jc w:val="center"/>
            </w:pPr>
            <w:r w:rsidRPr="00552B0C">
              <w:t>3.2</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671696BF" w14:textId="77777777" w:rsidR="00AE78C0" w:rsidRPr="00552B0C" w:rsidRDefault="00AE78C0" w:rsidP="0050763F">
            <w:pPr>
              <w:pStyle w:val="TableText0"/>
              <w:keepNext w:val="0"/>
              <w:widowControl w:val="0"/>
              <w:jc w:val="center"/>
            </w:pPr>
            <w:r w:rsidRPr="00552B0C">
              <w:t>1.1</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A213B2" w14:textId="77777777" w:rsidR="00AE78C0" w:rsidRPr="00552B0C" w:rsidRDefault="00AE78C0" w:rsidP="00AE78C0">
            <w:pPr>
              <w:pStyle w:val="TableText0"/>
              <w:keepNext w:val="0"/>
              <w:jc w:val="center"/>
              <w:rPr>
                <w:b/>
                <w:bCs w:val="0"/>
              </w:rPr>
            </w:pPr>
            <w:r w:rsidRPr="00552B0C">
              <w:rPr>
                <w:b/>
                <w:bCs w:val="0"/>
              </w:rPr>
              <w:t xml:space="preserve">0.02 </w:t>
            </w:r>
          </w:p>
          <w:p w14:paraId="2CDA8C9A" w14:textId="77777777" w:rsidR="00AE78C0" w:rsidRPr="00552B0C" w:rsidRDefault="00AE78C0" w:rsidP="0050763F">
            <w:pPr>
              <w:pStyle w:val="TableText0"/>
              <w:keepNext w:val="0"/>
              <w:widowControl w:val="0"/>
              <w:jc w:val="center"/>
              <w:rPr>
                <w:b/>
                <w:bCs w:val="0"/>
                <w:szCs w:val="20"/>
              </w:rPr>
            </w:pPr>
            <w:r w:rsidRPr="00552B0C">
              <w:rPr>
                <w:b/>
                <w:bCs w:val="0"/>
              </w:rPr>
              <w:t>[0.00, 0.04]</w:t>
            </w:r>
          </w:p>
        </w:tc>
      </w:tr>
      <w:tr w:rsidR="00AE78C0" w:rsidRPr="00552B0C" w14:paraId="71D7F8F0" w14:textId="77777777">
        <w:trPr>
          <w:trHeight w:val="20"/>
        </w:trPr>
        <w:tc>
          <w:tcPr>
            <w:tcW w:w="1177" w:type="pct"/>
            <w:tcBorders>
              <w:bottom w:val="single" w:sz="4" w:space="0" w:color="auto"/>
              <w:right w:val="single" w:sz="4" w:space="0" w:color="auto"/>
            </w:tcBorders>
            <w:shd w:val="clear" w:color="auto" w:fill="B8CCE4" w:themeFill="accent1" w:themeFillTint="66"/>
          </w:tcPr>
          <w:p w14:paraId="4C916CC9" w14:textId="77777777" w:rsidR="00AE78C0" w:rsidRPr="00552B0C" w:rsidRDefault="00AE78C0" w:rsidP="0050763F">
            <w:pPr>
              <w:pStyle w:val="TableText0"/>
              <w:keepNext w:val="0"/>
              <w:widowControl w:val="0"/>
            </w:pPr>
            <w:r w:rsidRPr="00552B0C">
              <w:t>Neutropenia</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02072B46" w14:textId="77777777" w:rsidR="00AE78C0" w:rsidRPr="00552B0C" w:rsidRDefault="00AE78C0" w:rsidP="00AE78C0">
            <w:pPr>
              <w:pStyle w:val="TableText0"/>
              <w:keepNext w:val="0"/>
              <w:jc w:val="center"/>
            </w:pPr>
            <w:r w:rsidRPr="00552B0C">
              <w:t>52</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6813BE25" w14:textId="77777777" w:rsidR="00AE78C0" w:rsidRPr="00552B0C" w:rsidRDefault="00AE78C0" w:rsidP="00AE78C0">
            <w:pPr>
              <w:pStyle w:val="TableText0"/>
              <w:keepNext w:val="0"/>
              <w:jc w:val="center"/>
            </w:pPr>
            <w:r w:rsidRPr="00552B0C">
              <w:t>93</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5872879B" w14:textId="77777777" w:rsidR="00AE78C0" w:rsidRPr="00552B0C" w:rsidRDefault="00AE78C0" w:rsidP="00AE78C0">
            <w:pPr>
              <w:pStyle w:val="TableText0"/>
              <w:keepNext w:val="0"/>
              <w:jc w:val="center"/>
              <w:rPr>
                <w:b/>
                <w:bCs w:val="0"/>
              </w:rPr>
            </w:pPr>
            <w:r w:rsidRPr="00552B0C">
              <w:rPr>
                <w:b/>
                <w:bCs w:val="0"/>
              </w:rPr>
              <w:t>0.57</w:t>
            </w:r>
          </w:p>
          <w:p w14:paraId="3CC920F2" w14:textId="77777777" w:rsidR="00AE78C0" w:rsidRPr="00552B0C" w:rsidRDefault="00AE78C0" w:rsidP="0050763F">
            <w:pPr>
              <w:pStyle w:val="TableText0"/>
              <w:keepNext w:val="0"/>
              <w:widowControl w:val="0"/>
              <w:jc w:val="center"/>
              <w:rPr>
                <w:b/>
                <w:bCs w:val="0"/>
              </w:rPr>
            </w:pPr>
            <w:r w:rsidRPr="00552B0C">
              <w:rPr>
                <w:b/>
                <w:bCs w:val="0"/>
              </w:rPr>
              <w:t>[0.42, 0.78]</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0B01C360" w14:textId="77777777" w:rsidR="00AE78C0" w:rsidRPr="00552B0C" w:rsidRDefault="00AE78C0" w:rsidP="0050763F">
            <w:pPr>
              <w:pStyle w:val="TableText0"/>
              <w:keepNext w:val="0"/>
              <w:widowControl w:val="0"/>
              <w:jc w:val="center"/>
            </w:pPr>
            <w:r w:rsidRPr="00552B0C">
              <w:t>14.1</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5DB0FD16" w14:textId="77777777" w:rsidR="00AE78C0" w:rsidRPr="00552B0C" w:rsidRDefault="00AE78C0" w:rsidP="0050763F">
            <w:pPr>
              <w:pStyle w:val="TableText0"/>
              <w:keepNext w:val="0"/>
              <w:widowControl w:val="0"/>
              <w:jc w:val="center"/>
            </w:pPr>
            <w:r w:rsidRPr="00552B0C">
              <w:t>24.5</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9EA0C35" w14:textId="77777777" w:rsidR="00AE78C0" w:rsidRPr="00552B0C" w:rsidRDefault="00AE78C0" w:rsidP="00AE78C0">
            <w:pPr>
              <w:pStyle w:val="TableText0"/>
              <w:keepNext w:val="0"/>
              <w:jc w:val="center"/>
              <w:rPr>
                <w:b/>
                <w:bCs w:val="0"/>
              </w:rPr>
            </w:pPr>
            <w:r w:rsidRPr="00552B0C">
              <w:rPr>
                <w:b/>
                <w:bCs w:val="0"/>
              </w:rPr>
              <w:t xml:space="preserve">-0.10 </w:t>
            </w:r>
          </w:p>
          <w:p w14:paraId="52E33794" w14:textId="77777777" w:rsidR="00AE78C0" w:rsidRPr="00552B0C" w:rsidRDefault="00AE78C0" w:rsidP="0050763F">
            <w:pPr>
              <w:pStyle w:val="TableText0"/>
              <w:keepNext w:val="0"/>
              <w:widowControl w:val="0"/>
              <w:jc w:val="center"/>
              <w:rPr>
                <w:b/>
                <w:bCs w:val="0"/>
                <w:szCs w:val="20"/>
              </w:rPr>
            </w:pPr>
            <w:r w:rsidRPr="00552B0C">
              <w:rPr>
                <w:b/>
                <w:bCs w:val="0"/>
              </w:rPr>
              <w:t>[-0.16, -0.05]</w:t>
            </w:r>
          </w:p>
        </w:tc>
      </w:tr>
      <w:tr w:rsidR="00AE78C0" w:rsidRPr="00552B0C" w14:paraId="493D6949" w14:textId="77777777">
        <w:trPr>
          <w:trHeight w:val="20"/>
        </w:trPr>
        <w:tc>
          <w:tcPr>
            <w:tcW w:w="1177" w:type="pct"/>
            <w:tcBorders>
              <w:bottom w:val="single" w:sz="4" w:space="0" w:color="auto"/>
              <w:right w:val="single" w:sz="4" w:space="0" w:color="auto"/>
            </w:tcBorders>
            <w:shd w:val="clear" w:color="auto" w:fill="B8CCE4" w:themeFill="accent1" w:themeFillTint="66"/>
          </w:tcPr>
          <w:p w14:paraId="0575F6AB" w14:textId="77777777" w:rsidR="00AE78C0" w:rsidRPr="00552B0C" w:rsidRDefault="00AE78C0" w:rsidP="0050763F">
            <w:pPr>
              <w:pStyle w:val="TableText0"/>
              <w:keepNext w:val="0"/>
              <w:widowControl w:val="0"/>
            </w:pPr>
            <w:r w:rsidRPr="00552B0C">
              <w:t>Anaemia</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1984ABC1" w14:textId="77777777" w:rsidR="00AE78C0" w:rsidRPr="00552B0C" w:rsidRDefault="00AE78C0" w:rsidP="00AE78C0">
            <w:pPr>
              <w:pStyle w:val="TableText0"/>
              <w:keepNext w:val="0"/>
              <w:jc w:val="center"/>
            </w:pPr>
            <w:r w:rsidRPr="00552B0C">
              <w:t>39</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11BDD658" w14:textId="77777777" w:rsidR="00AE78C0" w:rsidRPr="00552B0C" w:rsidRDefault="00AE78C0" w:rsidP="00AE78C0">
            <w:pPr>
              <w:pStyle w:val="TableText0"/>
              <w:keepNext w:val="0"/>
              <w:jc w:val="center"/>
            </w:pPr>
            <w:r w:rsidRPr="00552B0C">
              <w:t>66</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3AD4AF88" w14:textId="77777777" w:rsidR="00AE78C0" w:rsidRPr="00552B0C" w:rsidRDefault="00AE78C0" w:rsidP="00AE78C0">
            <w:pPr>
              <w:pStyle w:val="TableText0"/>
              <w:keepNext w:val="0"/>
              <w:jc w:val="center"/>
              <w:rPr>
                <w:b/>
                <w:bCs w:val="0"/>
              </w:rPr>
            </w:pPr>
            <w:r w:rsidRPr="00552B0C">
              <w:rPr>
                <w:b/>
                <w:bCs w:val="0"/>
              </w:rPr>
              <w:t>0.61</w:t>
            </w:r>
          </w:p>
          <w:p w14:paraId="0C5ECBC7" w14:textId="77777777" w:rsidR="00AE78C0" w:rsidRPr="00552B0C" w:rsidRDefault="00AE78C0" w:rsidP="0050763F">
            <w:pPr>
              <w:pStyle w:val="TableText0"/>
              <w:keepNext w:val="0"/>
              <w:widowControl w:val="0"/>
              <w:jc w:val="center"/>
              <w:rPr>
                <w:b/>
                <w:bCs w:val="0"/>
              </w:rPr>
            </w:pPr>
            <w:r w:rsidRPr="00552B0C">
              <w:rPr>
                <w:b/>
                <w:bCs w:val="0"/>
              </w:rPr>
              <w:t>[0.42, 0.88]</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2BBC3CD4" w14:textId="77777777" w:rsidR="00AE78C0" w:rsidRPr="00552B0C" w:rsidRDefault="00AE78C0" w:rsidP="0050763F">
            <w:pPr>
              <w:pStyle w:val="TableText0"/>
              <w:keepNext w:val="0"/>
              <w:widowControl w:val="0"/>
              <w:jc w:val="center"/>
            </w:pPr>
            <w:r w:rsidRPr="00552B0C">
              <w:t>10.5</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6F7658F2" w14:textId="77777777" w:rsidR="00AE78C0" w:rsidRPr="00552B0C" w:rsidRDefault="00AE78C0" w:rsidP="0050763F">
            <w:pPr>
              <w:pStyle w:val="TableText0"/>
              <w:keepNext w:val="0"/>
              <w:widowControl w:val="0"/>
              <w:jc w:val="center"/>
            </w:pPr>
            <w:r w:rsidRPr="00552B0C">
              <w:t>17.4</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3F2424" w14:textId="77777777" w:rsidR="00AE78C0" w:rsidRPr="00552B0C" w:rsidRDefault="00AE78C0" w:rsidP="00AE78C0">
            <w:pPr>
              <w:pStyle w:val="TableText0"/>
              <w:keepNext w:val="0"/>
              <w:jc w:val="center"/>
              <w:rPr>
                <w:b/>
                <w:bCs w:val="0"/>
              </w:rPr>
            </w:pPr>
            <w:r w:rsidRPr="00552B0C">
              <w:rPr>
                <w:b/>
                <w:bCs w:val="0"/>
              </w:rPr>
              <w:t xml:space="preserve">-0.07 </w:t>
            </w:r>
          </w:p>
          <w:p w14:paraId="535A4607" w14:textId="77777777" w:rsidR="00AE78C0" w:rsidRPr="00552B0C" w:rsidRDefault="00AE78C0" w:rsidP="0050763F">
            <w:pPr>
              <w:pStyle w:val="TableText0"/>
              <w:keepNext w:val="0"/>
              <w:widowControl w:val="0"/>
              <w:jc w:val="center"/>
              <w:rPr>
                <w:b/>
                <w:bCs w:val="0"/>
                <w:szCs w:val="20"/>
              </w:rPr>
            </w:pPr>
            <w:r w:rsidRPr="00552B0C">
              <w:rPr>
                <w:b/>
                <w:bCs w:val="0"/>
              </w:rPr>
              <w:t>[-0.12, -0.02]</w:t>
            </w:r>
          </w:p>
        </w:tc>
      </w:tr>
      <w:tr w:rsidR="00AE78C0" w:rsidRPr="00552B0C" w14:paraId="0FD67390" w14:textId="77777777">
        <w:trPr>
          <w:trHeight w:val="20"/>
        </w:trPr>
        <w:tc>
          <w:tcPr>
            <w:tcW w:w="1177" w:type="pct"/>
            <w:tcBorders>
              <w:bottom w:val="single" w:sz="4" w:space="0" w:color="auto"/>
              <w:right w:val="single" w:sz="4" w:space="0" w:color="auto"/>
            </w:tcBorders>
            <w:shd w:val="clear" w:color="auto" w:fill="B8CCE4" w:themeFill="accent1" w:themeFillTint="66"/>
          </w:tcPr>
          <w:p w14:paraId="53FD0131" w14:textId="77777777" w:rsidR="00AE78C0" w:rsidRPr="00552B0C" w:rsidRDefault="00AE78C0" w:rsidP="0050763F">
            <w:pPr>
              <w:pStyle w:val="TableText0"/>
              <w:keepNext w:val="0"/>
              <w:widowControl w:val="0"/>
            </w:pPr>
            <w:r w:rsidRPr="00552B0C">
              <w:t>Thrombocytopenia</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2C238F51" w14:textId="77777777" w:rsidR="00AE78C0" w:rsidRPr="00552B0C" w:rsidRDefault="00AE78C0" w:rsidP="00AE78C0">
            <w:pPr>
              <w:pStyle w:val="TableText0"/>
              <w:keepNext w:val="0"/>
              <w:jc w:val="center"/>
            </w:pPr>
            <w:r w:rsidRPr="00552B0C">
              <w:t>3</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6B3DDA15" w14:textId="77777777" w:rsidR="00AE78C0" w:rsidRPr="00552B0C" w:rsidRDefault="00AE78C0" w:rsidP="00AE78C0">
            <w:pPr>
              <w:pStyle w:val="TableText0"/>
              <w:keepNext w:val="0"/>
              <w:jc w:val="center"/>
            </w:pPr>
            <w:r w:rsidRPr="00552B0C">
              <w:t>14</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3EE458A8" w14:textId="77777777" w:rsidR="00AE78C0" w:rsidRPr="00552B0C" w:rsidRDefault="00AE78C0" w:rsidP="00AE78C0">
            <w:pPr>
              <w:pStyle w:val="TableText0"/>
              <w:keepNext w:val="0"/>
              <w:jc w:val="center"/>
              <w:rPr>
                <w:b/>
                <w:bCs w:val="0"/>
              </w:rPr>
            </w:pPr>
            <w:r w:rsidRPr="00552B0C">
              <w:rPr>
                <w:b/>
                <w:bCs w:val="0"/>
              </w:rPr>
              <w:t>0.22</w:t>
            </w:r>
          </w:p>
          <w:p w14:paraId="5929F6C7" w14:textId="77777777" w:rsidR="00AE78C0" w:rsidRPr="00552B0C" w:rsidRDefault="00AE78C0" w:rsidP="0050763F">
            <w:pPr>
              <w:pStyle w:val="TableText0"/>
              <w:keepNext w:val="0"/>
              <w:widowControl w:val="0"/>
              <w:jc w:val="center"/>
              <w:rPr>
                <w:b/>
                <w:bCs w:val="0"/>
              </w:rPr>
            </w:pPr>
            <w:r w:rsidRPr="00552B0C">
              <w:rPr>
                <w:b/>
                <w:bCs w:val="0"/>
              </w:rPr>
              <w:t>[0.06, 0.76]</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39ED10A7" w14:textId="77777777" w:rsidR="00AE78C0" w:rsidRPr="00552B0C" w:rsidRDefault="00AE78C0" w:rsidP="0050763F">
            <w:pPr>
              <w:pStyle w:val="TableText0"/>
              <w:keepNext w:val="0"/>
              <w:widowControl w:val="0"/>
              <w:jc w:val="center"/>
            </w:pPr>
            <w:r w:rsidRPr="00552B0C">
              <w:t>0.8</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56A4A0C5" w14:textId="77777777" w:rsidR="00AE78C0" w:rsidRPr="00552B0C" w:rsidRDefault="00AE78C0" w:rsidP="0050763F">
            <w:pPr>
              <w:pStyle w:val="TableText0"/>
              <w:keepNext w:val="0"/>
              <w:widowControl w:val="0"/>
              <w:jc w:val="center"/>
            </w:pPr>
            <w:r w:rsidRPr="00552B0C">
              <w:t>3.7</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B89810" w14:textId="77777777" w:rsidR="00AE78C0" w:rsidRPr="00552B0C" w:rsidRDefault="00AE78C0" w:rsidP="00AE78C0">
            <w:pPr>
              <w:pStyle w:val="TableText0"/>
              <w:keepNext w:val="0"/>
              <w:jc w:val="center"/>
              <w:rPr>
                <w:b/>
                <w:bCs w:val="0"/>
              </w:rPr>
            </w:pPr>
            <w:r w:rsidRPr="00552B0C">
              <w:rPr>
                <w:b/>
                <w:bCs w:val="0"/>
              </w:rPr>
              <w:t xml:space="preserve">-0.03 </w:t>
            </w:r>
          </w:p>
          <w:p w14:paraId="38AE3FE8" w14:textId="77777777" w:rsidR="00AE78C0" w:rsidRPr="00552B0C" w:rsidRDefault="00AE78C0" w:rsidP="0050763F">
            <w:pPr>
              <w:pStyle w:val="TableText0"/>
              <w:keepNext w:val="0"/>
              <w:widowControl w:val="0"/>
              <w:jc w:val="center"/>
              <w:rPr>
                <w:b/>
                <w:bCs w:val="0"/>
                <w:szCs w:val="20"/>
              </w:rPr>
            </w:pPr>
            <w:r w:rsidRPr="00552B0C">
              <w:rPr>
                <w:b/>
                <w:bCs w:val="0"/>
              </w:rPr>
              <w:t>[-0.05, -0.01]</w:t>
            </w:r>
          </w:p>
        </w:tc>
      </w:tr>
      <w:tr w:rsidR="00AE78C0" w:rsidRPr="00552B0C" w14:paraId="1448BF71" w14:textId="77777777">
        <w:trPr>
          <w:trHeight w:val="20"/>
        </w:trPr>
        <w:tc>
          <w:tcPr>
            <w:tcW w:w="1177" w:type="pct"/>
            <w:tcBorders>
              <w:bottom w:val="single" w:sz="4" w:space="0" w:color="auto"/>
              <w:right w:val="single" w:sz="4" w:space="0" w:color="auto"/>
            </w:tcBorders>
            <w:shd w:val="clear" w:color="auto" w:fill="B8CCE4" w:themeFill="accent1" w:themeFillTint="66"/>
          </w:tcPr>
          <w:p w14:paraId="311C0B58" w14:textId="77777777" w:rsidR="00AE78C0" w:rsidRPr="00552B0C" w:rsidRDefault="00AE78C0" w:rsidP="0050763F">
            <w:pPr>
              <w:pStyle w:val="TableText0"/>
              <w:keepNext w:val="0"/>
              <w:widowControl w:val="0"/>
            </w:pPr>
            <w:r w:rsidRPr="00552B0C">
              <w:t>Leukopenia</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1BEBF302" w14:textId="77777777" w:rsidR="00AE78C0" w:rsidRPr="00552B0C" w:rsidRDefault="00AE78C0" w:rsidP="00AE78C0">
            <w:pPr>
              <w:pStyle w:val="TableText0"/>
              <w:keepNext w:val="0"/>
              <w:jc w:val="center"/>
            </w:pPr>
            <w:r w:rsidRPr="00552B0C">
              <w:t>4</w:t>
            </w:r>
          </w:p>
        </w:tc>
        <w:tc>
          <w:tcPr>
            <w:tcW w:w="637" w:type="pct"/>
            <w:tcBorders>
              <w:left w:val="single" w:sz="4" w:space="0" w:color="auto"/>
              <w:bottom w:val="single" w:sz="4" w:space="0" w:color="auto"/>
              <w:right w:val="single" w:sz="4" w:space="0" w:color="auto"/>
            </w:tcBorders>
            <w:shd w:val="clear" w:color="auto" w:fill="B8CCE4" w:themeFill="accent1" w:themeFillTint="66"/>
          </w:tcPr>
          <w:p w14:paraId="45D64481" w14:textId="77777777" w:rsidR="00AE78C0" w:rsidRPr="00552B0C" w:rsidRDefault="00AE78C0" w:rsidP="00AE78C0">
            <w:pPr>
              <w:pStyle w:val="TableText0"/>
              <w:keepNext w:val="0"/>
              <w:jc w:val="center"/>
            </w:pPr>
            <w:r w:rsidRPr="00552B0C">
              <w:t>17</w:t>
            </w:r>
          </w:p>
        </w:tc>
        <w:tc>
          <w:tcPr>
            <w:tcW w:w="606" w:type="pct"/>
            <w:gridSpan w:val="2"/>
            <w:tcBorders>
              <w:left w:val="single" w:sz="4" w:space="0" w:color="auto"/>
              <w:bottom w:val="single" w:sz="4" w:space="0" w:color="auto"/>
              <w:right w:val="single" w:sz="4" w:space="0" w:color="auto"/>
            </w:tcBorders>
            <w:shd w:val="clear" w:color="auto" w:fill="B8CCE4" w:themeFill="accent1" w:themeFillTint="66"/>
          </w:tcPr>
          <w:p w14:paraId="480EEC38" w14:textId="77777777" w:rsidR="00AE78C0" w:rsidRPr="00552B0C" w:rsidRDefault="00AE78C0" w:rsidP="00AE78C0">
            <w:pPr>
              <w:pStyle w:val="TableText0"/>
              <w:keepNext w:val="0"/>
              <w:jc w:val="center"/>
              <w:rPr>
                <w:b/>
                <w:bCs w:val="0"/>
              </w:rPr>
            </w:pPr>
            <w:r w:rsidRPr="00552B0C">
              <w:rPr>
                <w:b/>
                <w:bCs w:val="0"/>
              </w:rPr>
              <w:t>0.24</w:t>
            </w:r>
          </w:p>
          <w:p w14:paraId="7F88F4A2" w14:textId="77777777" w:rsidR="00AE78C0" w:rsidRPr="00552B0C" w:rsidRDefault="00AE78C0" w:rsidP="0050763F">
            <w:pPr>
              <w:pStyle w:val="TableText0"/>
              <w:keepNext w:val="0"/>
              <w:widowControl w:val="0"/>
              <w:jc w:val="center"/>
              <w:rPr>
                <w:b/>
                <w:bCs w:val="0"/>
              </w:rPr>
            </w:pPr>
            <w:r w:rsidRPr="00552B0C">
              <w:rPr>
                <w:b/>
                <w:bCs w:val="0"/>
              </w:rPr>
              <w:t>[0.08, 0.71]</w:t>
            </w:r>
          </w:p>
        </w:tc>
        <w:tc>
          <w:tcPr>
            <w:tcW w:w="669" w:type="pct"/>
            <w:gridSpan w:val="2"/>
            <w:tcBorders>
              <w:left w:val="single" w:sz="4" w:space="0" w:color="auto"/>
              <w:bottom w:val="single" w:sz="4" w:space="0" w:color="auto"/>
              <w:right w:val="single" w:sz="4" w:space="0" w:color="auto"/>
            </w:tcBorders>
            <w:shd w:val="clear" w:color="auto" w:fill="B8CCE4" w:themeFill="accent1" w:themeFillTint="66"/>
          </w:tcPr>
          <w:p w14:paraId="441DF851" w14:textId="77777777" w:rsidR="00AE78C0" w:rsidRPr="00552B0C" w:rsidRDefault="00AE78C0" w:rsidP="0050763F">
            <w:pPr>
              <w:pStyle w:val="TableText0"/>
              <w:keepNext w:val="0"/>
              <w:widowControl w:val="0"/>
              <w:jc w:val="center"/>
            </w:pPr>
            <w:r w:rsidRPr="00552B0C">
              <w:t>1.1</w:t>
            </w:r>
          </w:p>
        </w:tc>
        <w:tc>
          <w:tcPr>
            <w:tcW w:w="637" w:type="pct"/>
            <w:gridSpan w:val="2"/>
            <w:tcBorders>
              <w:left w:val="single" w:sz="4" w:space="0" w:color="auto"/>
              <w:bottom w:val="single" w:sz="4" w:space="0" w:color="auto"/>
              <w:right w:val="single" w:sz="4" w:space="0" w:color="auto"/>
            </w:tcBorders>
            <w:shd w:val="clear" w:color="auto" w:fill="B8CCE4" w:themeFill="accent1" w:themeFillTint="66"/>
          </w:tcPr>
          <w:p w14:paraId="4CCC12DE" w14:textId="77777777" w:rsidR="00AE78C0" w:rsidRPr="00552B0C" w:rsidRDefault="00AE78C0" w:rsidP="0050763F">
            <w:pPr>
              <w:pStyle w:val="TableText0"/>
              <w:keepNext w:val="0"/>
              <w:widowControl w:val="0"/>
              <w:jc w:val="center"/>
            </w:pPr>
            <w:r w:rsidRPr="00552B0C">
              <w:t>4.5</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FCA783" w14:textId="77777777" w:rsidR="00AE78C0" w:rsidRPr="00552B0C" w:rsidRDefault="00AE78C0" w:rsidP="00AE78C0">
            <w:pPr>
              <w:pStyle w:val="TableText0"/>
              <w:keepNext w:val="0"/>
              <w:jc w:val="center"/>
              <w:rPr>
                <w:b/>
                <w:bCs w:val="0"/>
              </w:rPr>
            </w:pPr>
            <w:r w:rsidRPr="00552B0C">
              <w:rPr>
                <w:b/>
                <w:bCs w:val="0"/>
              </w:rPr>
              <w:t xml:space="preserve">-0.03 </w:t>
            </w:r>
          </w:p>
          <w:p w14:paraId="36B336C4" w14:textId="77777777" w:rsidR="00AE78C0" w:rsidRPr="00552B0C" w:rsidRDefault="00AE78C0" w:rsidP="0050763F">
            <w:pPr>
              <w:pStyle w:val="TableText0"/>
              <w:keepNext w:val="0"/>
              <w:widowControl w:val="0"/>
              <w:jc w:val="center"/>
              <w:rPr>
                <w:b/>
                <w:bCs w:val="0"/>
                <w:szCs w:val="20"/>
              </w:rPr>
            </w:pPr>
            <w:r w:rsidRPr="00552B0C">
              <w:rPr>
                <w:b/>
                <w:bCs w:val="0"/>
              </w:rPr>
              <w:t>[-0.06, -0.01]</w:t>
            </w:r>
          </w:p>
        </w:tc>
      </w:tr>
      <w:tr w:rsidR="00AE78C0" w:rsidRPr="00552B0C" w14:paraId="4F2FB05F" w14:textId="77777777">
        <w:trPr>
          <w:trHeight w:val="20"/>
        </w:trPr>
        <w:tc>
          <w:tcPr>
            <w:tcW w:w="1177" w:type="pct"/>
            <w:tcBorders>
              <w:right w:val="single" w:sz="4" w:space="0" w:color="auto"/>
            </w:tcBorders>
            <w:shd w:val="clear" w:color="auto" w:fill="B8CCE4" w:themeFill="accent1" w:themeFillTint="66"/>
          </w:tcPr>
          <w:p w14:paraId="45E51B68" w14:textId="77777777" w:rsidR="00AE78C0" w:rsidRPr="00552B0C" w:rsidRDefault="00AE78C0" w:rsidP="0050763F">
            <w:pPr>
              <w:pStyle w:val="TableText0"/>
              <w:keepNext w:val="0"/>
              <w:widowControl w:val="0"/>
            </w:pPr>
            <w:r w:rsidRPr="00552B0C">
              <w:t>White blood cell decreased</w:t>
            </w:r>
          </w:p>
        </w:tc>
        <w:tc>
          <w:tcPr>
            <w:tcW w:w="637" w:type="pct"/>
            <w:gridSpan w:val="2"/>
            <w:tcBorders>
              <w:left w:val="single" w:sz="4" w:space="0" w:color="auto"/>
              <w:right w:val="single" w:sz="4" w:space="0" w:color="auto"/>
            </w:tcBorders>
            <w:shd w:val="clear" w:color="auto" w:fill="B8CCE4" w:themeFill="accent1" w:themeFillTint="66"/>
          </w:tcPr>
          <w:p w14:paraId="015937F5" w14:textId="77777777" w:rsidR="00AE78C0" w:rsidRPr="00552B0C" w:rsidRDefault="00AE78C0" w:rsidP="00AE78C0">
            <w:pPr>
              <w:pStyle w:val="TableText0"/>
              <w:keepNext w:val="0"/>
              <w:jc w:val="center"/>
            </w:pPr>
            <w:r w:rsidRPr="00552B0C">
              <w:t>6</w:t>
            </w:r>
          </w:p>
        </w:tc>
        <w:tc>
          <w:tcPr>
            <w:tcW w:w="637" w:type="pct"/>
            <w:tcBorders>
              <w:left w:val="single" w:sz="4" w:space="0" w:color="auto"/>
              <w:right w:val="single" w:sz="4" w:space="0" w:color="auto"/>
            </w:tcBorders>
            <w:shd w:val="clear" w:color="auto" w:fill="B8CCE4" w:themeFill="accent1" w:themeFillTint="66"/>
          </w:tcPr>
          <w:p w14:paraId="56C456F1" w14:textId="77777777" w:rsidR="00AE78C0" w:rsidRPr="00552B0C" w:rsidRDefault="00AE78C0" w:rsidP="00AE78C0">
            <w:pPr>
              <w:pStyle w:val="TableText0"/>
              <w:keepNext w:val="0"/>
              <w:jc w:val="center"/>
            </w:pPr>
            <w:r w:rsidRPr="00552B0C">
              <w:t>18</w:t>
            </w:r>
          </w:p>
        </w:tc>
        <w:tc>
          <w:tcPr>
            <w:tcW w:w="606" w:type="pct"/>
            <w:gridSpan w:val="2"/>
            <w:tcBorders>
              <w:left w:val="single" w:sz="4" w:space="0" w:color="auto"/>
              <w:right w:val="single" w:sz="4" w:space="0" w:color="auto"/>
            </w:tcBorders>
            <w:shd w:val="clear" w:color="auto" w:fill="B8CCE4" w:themeFill="accent1" w:themeFillTint="66"/>
          </w:tcPr>
          <w:p w14:paraId="45484A72" w14:textId="77777777" w:rsidR="00AE78C0" w:rsidRPr="00552B0C" w:rsidRDefault="00AE78C0" w:rsidP="00AE78C0">
            <w:pPr>
              <w:pStyle w:val="TableText0"/>
              <w:keepNext w:val="0"/>
              <w:jc w:val="center"/>
              <w:rPr>
                <w:b/>
                <w:bCs w:val="0"/>
              </w:rPr>
            </w:pPr>
            <w:r w:rsidRPr="00552B0C">
              <w:rPr>
                <w:b/>
                <w:bCs w:val="0"/>
              </w:rPr>
              <w:t>0.34</w:t>
            </w:r>
          </w:p>
          <w:p w14:paraId="015CD621" w14:textId="77777777" w:rsidR="00AE78C0" w:rsidRPr="00552B0C" w:rsidRDefault="00AE78C0" w:rsidP="0050763F">
            <w:pPr>
              <w:pStyle w:val="TableText0"/>
              <w:keepNext w:val="0"/>
              <w:widowControl w:val="0"/>
              <w:jc w:val="center"/>
              <w:rPr>
                <w:b/>
                <w:bCs w:val="0"/>
              </w:rPr>
            </w:pPr>
            <w:r w:rsidRPr="00552B0C">
              <w:rPr>
                <w:b/>
                <w:bCs w:val="0"/>
              </w:rPr>
              <w:t>[0.14, 0.85]</w:t>
            </w:r>
          </w:p>
        </w:tc>
        <w:tc>
          <w:tcPr>
            <w:tcW w:w="669" w:type="pct"/>
            <w:gridSpan w:val="2"/>
            <w:tcBorders>
              <w:left w:val="single" w:sz="4" w:space="0" w:color="auto"/>
              <w:right w:val="single" w:sz="4" w:space="0" w:color="auto"/>
            </w:tcBorders>
            <w:shd w:val="clear" w:color="auto" w:fill="B8CCE4" w:themeFill="accent1" w:themeFillTint="66"/>
          </w:tcPr>
          <w:p w14:paraId="618F53E1" w14:textId="77777777" w:rsidR="00AE78C0" w:rsidRPr="00552B0C" w:rsidRDefault="00AE78C0" w:rsidP="0050763F">
            <w:pPr>
              <w:pStyle w:val="TableText0"/>
              <w:keepNext w:val="0"/>
              <w:widowControl w:val="0"/>
              <w:jc w:val="center"/>
            </w:pPr>
            <w:r w:rsidRPr="00552B0C">
              <w:t>1.6</w:t>
            </w:r>
          </w:p>
        </w:tc>
        <w:tc>
          <w:tcPr>
            <w:tcW w:w="637" w:type="pct"/>
            <w:gridSpan w:val="2"/>
            <w:tcBorders>
              <w:left w:val="single" w:sz="4" w:space="0" w:color="auto"/>
              <w:right w:val="single" w:sz="4" w:space="0" w:color="auto"/>
            </w:tcBorders>
            <w:shd w:val="clear" w:color="auto" w:fill="B8CCE4" w:themeFill="accent1" w:themeFillTint="66"/>
          </w:tcPr>
          <w:p w14:paraId="5291B8CD" w14:textId="77777777" w:rsidR="00AE78C0" w:rsidRPr="00552B0C" w:rsidRDefault="00AE78C0" w:rsidP="0050763F">
            <w:pPr>
              <w:pStyle w:val="TableText0"/>
              <w:keepNext w:val="0"/>
              <w:widowControl w:val="0"/>
              <w:jc w:val="center"/>
            </w:pPr>
            <w:r w:rsidRPr="00552B0C">
              <w:t>4.8</w:t>
            </w:r>
          </w:p>
        </w:tc>
        <w:tc>
          <w:tcPr>
            <w:tcW w:w="637"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6B8284" w14:textId="77777777" w:rsidR="00AE78C0" w:rsidRPr="00552B0C" w:rsidRDefault="00AE78C0" w:rsidP="00AE78C0">
            <w:pPr>
              <w:pStyle w:val="TableText0"/>
              <w:keepNext w:val="0"/>
              <w:jc w:val="center"/>
              <w:rPr>
                <w:b/>
                <w:bCs w:val="0"/>
              </w:rPr>
            </w:pPr>
            <w:r w:rsidRPr="00552B0C">
              <w:rPr>
                <w:b/>
                <w:bCs w:val="0"/>
              </w:rPr>
              <w:t xml:space="preserve">-0.03 </w:t>
            </w:r>
          </w:p>
          <w:p w14:paraId="267AC6F7" w14:textId="77777777" w:rsidR="00AE78C0" w:rsidRPr="00552B0C" w:rsidRDefault="00AE78C0" w:rsidP="0050763F">
            <w:pPr>
              <w:pStyle w:val="TableText0"/>
              <w:keepNext w:val="0"/>
              <w:widowControl w:val="0"/>
              <w:jc w:val="center"/>
              <w:rPr>
                <w:b/>
                <w:bCs w:val="0"/>
                <w:szCs w:val="20"/>
              </w:rPr>
            </w:pPr>
            <w:r w:rsidRPr="00552B0C">
              <w:rPr>
                <w:b/>
                <w:bCs w:val="0"/>
              </w:rPr>
              <w:t>[-0.06, -0.01]</w:t>
            </w:r>
          </w:p>
        </w:tc>
      </w:tr>
    </w:tbl>
    <w:p w14:paraId="738E00A7" w14:textId="476855B4" w:rsidR="00091D2A" w:rsidRPr="00552B0C" w:rsidRDefault="00091D2A" w:rsidP="00091D2A">
      <w:pPr>
        <w:pStyle w:val="FooterTableFigure"/>
      </w:pPr>
      <w:r w:rsidRPr="00552B0C">
        <w:t xml:space="preserve">Source: </w:t>
      </w:r>
      <w:r w:rsidR="007A094F" w:rsidRPr="00552B0C">
        <w:t>Table 2.4, Table 2.6, pp21-23 of resubmission, and Table 35, p81-82 of March 2024 submission.</w:t>
      </w:r>
    </w:p>
    <w:p w14:paraId="29BC0633" w14:textId="77777777" w:rsidR="00091D2A" w:rsidRPr="00552B0C" w:rsidRDefault="00091D2A" w:rsidP="00091D2A">
      <w:pPr>
        <w:pStyle w:val="FooterTableFigure"/>
      </w:pPr>
      <w:r w:rsidRPr="00552B0C">
        <w:t>Abbreviations: CI, confidence interval; Gem+NabP, gemcitabine plus nanoparticle albumin-bound paclitaxel; HR, hazard ratio; NALIRIFOX, 5-fluorouracil, Leucovorin/folinic acid, nanoliposomal irinotecan (nal-IRI), and oxaliplatin; NR, not reported; OS, overall survival; PFS, progression free survival; RD, risk difference; RR, risk ratio.</w:t>
      </w:r>
    </w:p>
    <w:p w14:paraId="2D468C00" w14:textId="77777777" w:rsidR="00091D2A" w:rsidRPr="00552B0C" w:rsidRDefault="00091D2A" w:rsidP="00091D2A">
      <w:pPr>
        <w:pStyle w:val="FooterTableFigure"/>
      </w:pPr>
      <w:r w:rsidRPr="00552B0C">
        <w:rPr>
          <w:vertAlign w:val="superscript"/>
        </w:rPr>
        <w:t>a</w:t>
      </w:r>
      <w:r w:rsidRPr="00552B0C">
        <w:t xml:space="preserve"> Hazard ratio and 95% CI stratified by ECOG performance status (0/1), region (North America/East Asia/Rest of the world), and liver metastases (Yes/No). A hazard ratio &lt;1 indicates an advantage for NALIRIFOX.</w:t>
      </w:r>
    </w:p>
    <w:p w14:paraId="68E297E9" w14:textId="02645B1B" w:rsidR="00091D2A" w:rsidRPr="00552B0C" w:rsidRDefault="00091D2A" w:rsidP="00091D2A">
      <w:pPr>
        <w:pStyle w:val="FooterTableFigure"/>
      </w:pPr>
      <w:r w:rsidRPr="00552B0C">
        <w:t xml:space="preserve">Note: Results in </w:t>
      </w:r>
      <w:r w:rsidRPr="00552B0C">
        <w:rPr>
          <w:b/>
          <w:bCs/>
        </w:rPr>
        <w:t xml:space="preserve">bold </w:t>
      </w:r>
      <w:r w:rsidRPr="00552B0C">
        <w:t>indicate statistically significant difference (p &lt; 0.05).</w:t>
      </w:r>
    </w:p>
    <w:p w14:paraId="57EAB1D7" w14:textId="77777777" w:rsidR="00091D2A" w:rsidRPr="00552B0C" w:rsidRDefault="00091D2A" w:rsidP="00091D2A">
      <w:pPr>
        <w:pStyle w:val="FooterTableFigure"/>
        <w:rPr>
          <w:rStyle w:val="CommentReference"/>
          <w:b w:val="0"/>
          <w:bCs/>
          <w:sz w:val="18"/>
          <w:szCs w:val="18"/>
        </w:rPr>
      </w:pPr>
      <w:r w:rsidRPr="00552B0C">
        <w:rPr>
          <w:rStyle w:val="CommentReference"/>
          <w:b w:val="0"/>
          <w:bCs/>
          <w:sz w:val="18"/>
          <w:szCs w:val="18"/>
          <w:shd w:val="clear" w:color="auto" w:fill="B8CCE4" w:themeFill="accent1" w:themeFillTint="66"/>
        </w:rPr>
        <w:t>Blue shading</w:t>
      </w:r>
      <w:r w:rsidRPr="00552B0C">
        <w:rPr>
          <w:rStyle w:val="CommentReference"/>
          <w:b w:val="0"/>
          <w:bCs/>
          <w:sz w:val="18"/>
          <w:szCs w:val="18"/>
        </w:rPr>
        <w:t xml:space="preserve"> indicates information previously seen by the PBAC.</w:t>
      </w:r>
    </w:p>
    <w:p w14:paraId="61B56A08" w14:textId="77777777" w:rsidR="00091D2A" w:rsidRPr="00552B0C" w:rsidRDefault="00091D2A" w:rsidP="00552B0C">
      <w:pPr>
        <w:pStyle w:val="3-BodyText"/>
        <w:numPr>
          <w:ilvl w:val="1"/>
          <w:numId w:val="5"/>
        </w:numPr>
      </w:pPr>
      <w:r w:rsidRPr="00552B0C">
        <w:t>On the basis of direct comparison evidence presented by the resubmission, the comparison of NALIRIFOX and Gem+NabP resulted in improvements of approximately 1.9 months in median OS over a median duration of follow-up of 29.5 months and improvement of 1.8 months in median PFS over a median duration of follow-up of 16.1 months.</w:t>
      </w:r>
    </w:p>
    <w:p w14:paraId="07B1A873" w14:textId="26E1E259" w:rsidR="00091D2A" w:rsidRPr="00552B0C" w:rsidRDefault="00091D2A" w:rsidP="00552B0C">
      <w:pPr>
        <w:pStyle w:val="3-BodyText"/>
        <w:numPr>
          <w:ilvl w:val="1"/>
          <w:numId w:val="5"/>
        </w:numPr>
      </w:pPr>
      <w:bookmarkStart w:id="72" w:name="_Ref184129932"/>
      <w:r w:rsidRPr="00552B0C">
        <w:t xml:space="preserve">The resubmission claimed that NALIRIFOX has a </w:t>
      </w:r>
      <w:r w:rsidRPr="00552B0C">
        <w:rPr>
          <w:rStyle w:val="normaltextrun"/>
          <w:rFonts w:cs="Segoe UI"/>
          <w:szCs w:val="20"/>
        </w:rPr>
        <w:t xml:space="preserve">different safety profile compared to Gem+NabP (neither superior nor inferior). On the basis </w:t>
      </w:r>
      <w:r w:rsidR="0071241E" w:rsidRPr="00552B0C">
        <w:rPr>
          <w:rStyle w:val="normaltextrun"/>
          <w:rFonts w:cs="Segoe UI"/>
          <w:szCs w:val="20"/>
        </w:rPr>
        <w:t xml:space="preserve">of </w:t>
      </w:r>
      <w:r w:rsidRPr="00552B0C">
        <w:t>direct comparison evidence presented by the resubmission, for every 100 patients treated with NALIRIFOX in comparison to Gem+NabP:</w:t>
      </w:r>
      <w:bookmarkEnd w:id="72"/>
      <w:r w:rsidRPr="00552B0C">
        <w:t xml:space="preserve"> </w:t>
      </w:r>
    </w:p>
    <w:p w14:paraId="4597FAB3" w14:textId="77777777" w:rsidR="00091D2A" w:rsidRPr="00552B0C" w:rsidRDefault="00091D2A" w:rsidP="00552B0C">
      <w:pPr>
        <w:pStyle w:val="ListParagraph"/>
        <w:numPr>
          <w:ilvl w:val="0"/>
          <w:numId w:val="19"/>
        </w:numPr>
      </w:pPr>
      <w:r w:rsidRPr="00552B0C">
        <w:t>Approximately additional 15 patients would experience a grade 3 or 4 diarrhoea.</w:t>
      </w:r>
    </w:p>
    <w:p w14:paraId="72798455" w14:textId="04BE705E" w:rsidR="00091D2A" w:rsidRPr="00552B0C" w:rsidRDefault="00091D2A" w:rsidP="00552B0C">
      <w:pPr>
        <w:pStyle w:val="ListParagraph"/>
        <w:numPr>
          <w:ilvl w:val="0"/>
          <w:numId w:val="19"/>
        </w:numPr>
      </w:pPr>
      <w:r w:rsidRPr="00552B0C">
        <w:t>Approximately additional</w:t>
      </w:r>
      <w:r w:rsidR="00E25E83" w:rsidRPr="00552B0C">
        <w:t xml:space="preserve"> </w:t>
      </w:r>
      <w:r w:rsidRPr="00552B0C">
        <w:t>11 patients would experience a grade 3 or 4 hypokalaemia.</w:t>
      </w:r>
    </w:p>
    <w:p w14:paraId="7AF4C326" w14:textId="5D081E8D" w:rsidR="00E24BA7" w:rsidRPr="00552B0C" w:rsidRDefault="00E24BA7" w:rsidP="00552B0C">
      <w:pPr>
        <w:pStyle w:val="ListParagraph"/>
        <w:numPr>
          <w:ilvl w:val="0"/>
          <w:numId w:val="19"/>
        </w:numPr>
      </w:pPr>
      <w:r w:rsidRPr="00552B0C">
        <w:t>Approximately additional 9 patients would experience a grade 3 or 4 nausea</w:t>
      </w:r>
      <w:r w:rsidR="006F3256" w:rsidRPr="00552B0C">
        <w:t xml:space="preserve"> in which hospitalisation may be indicated</w:t>
      </w:r>
      <w:r w:rsidRPr="00552B0C">
        <w:t>.</w:t>
      </w:r>
    </w:p>
    <w:p w14:paraId="32CF500A" w14:textId="0A3C6666" w:rsidR="00E24BA7" w:rsidRPr="00552B0C" w:rsidRDefault="00E24BA7" w:rsidP="00552B0C">
      <w:pPr>
        <w:pStyle w:val="ListParagraph"/>
        <w:numPr>
          <w:ilvl w:val="0"/>
          <w:numId w:val="19"/>
        </w:numPr>
      </w:pPr>
      <w:r w:rsidRPr="00552B0C">
        <w:t xml:space="preserve">Approximately </w:t>
      </w:r>
      <w:r w:rsidR="0014752E" w:rsidRPr="00552B0C">
        <w:t xml:space="preserve">additional 6 patients would experience a grade 3 or 4 </w:t>
      </w:r>
      <w:r w:rsidR="00854F87" w:rsidRPr="00552B0C">
        <w:t>decreased appetite which may result in significant weight loss</w:t>
      </w:r>
      <w:r w:rsidR="00AD0FF2" w:rsidRPr="00552B0C">
        <w:t xml:space="preserve"> or malnutrition.</w:t>
      </w:r>
    </w:p>
    <w:p w14:paraId="0456E957" w14:textId="7AF8B039" w:rsidR="00AD0FF2" w:rsidRPr="00552B0C" w:rsidRDefault="00AD0FF2" w:rsidP="00552B0C">
      <w:pPr>
        <w:pStyle w:val="ListParagraph"/>
        <w:numPr>
          <w:ilvl w:val="0"/>
          <w:numId w:val="19"/>
        </w:numPr>
      </w:pPr>
      <w:r w:rsidRPr="00552B0C">
        <w:lastRenderedPageBreak/>
        <w:t xml:space="preserve">Approximately </w:t>
      </w:r>
      <w:r w:rsidR="000516CD" w:rsidRPr="00552B0C">
        <w:t>additional 5 patients would experience a grade 3 or 4 vomiting</w:t>
      </w:r>
      <w:r w:rsidR="00286AD7" w:rsidRPr="00552B0C">
        <w:t xml:space="preserve"> in which hospitalisation may be indicated</w:t>
      </w:r>
      <w:r w:rsidR="000516CD" w:rsidRPr="00552B0C">
        <w:t>.</w:t>
      </w:r>
    </w:p>
    <w:p w14:paraId="3932D2B8" w14:textId="7CAB9698" w:rsidR="000516CD" w:rsidRPr="00552B0C" w:rsidRDefault="00A63D08" w:rsidP="00552B0C">
      <w:pPr>
        <w:pStyle w:val="ListParagraph"/>
        <w:numPr>
          <w:ilvl w:val="0"/>
          <w:numId w:val="19"/>
        </w:numPr>
      </w:pPr>
      <w:r w:rsidRPr="00552B0C">
        <w:t>A</w:t>
      </w:r>
      <w:r w:rsidR="000516CD" w:rsidRPr="00552B0C">
        <w:t>ppr</w:t>
      </w:r>
      <w:r w:rsidRPr="00552B0C">
        <w:t>oximately additional 4 patients would experience a grade 3 or 4</w:t>
      </w:r>
      <w:r w:rsidR="00284753" w:rsidRPr="00552B0C">
        <w:t xml:space="preserve"> asthenia</w:t>
      </w:r>
      <w:r w:rsidR="00D930ED" w:rsidRPr="00552B0C">
        <w:t>.</w:t>
      </w:r>
    </w:p>
    <w:p w14:paraId="2F336423" w14:textId="001B3F77" w:rsidR="00D930ED" w:rsidRPr="00552B0C" w:rsidRDefault="005428CA" w:rsidP="00552B0C">
      <w:pPr>
        <w:pStyle w:val="ListParagraph"/>
        <w:numPr>
          <w:ilvl w:val="0"/>
          <w:numId w:val="19"/>
        </w:numPr>
      </w:pPr>
      <w:r w:rsidRPr="00552B0C">
        <w:t>Approximately additional 3 patients would experience a grade 3 or 4</w:t>
      </w:r>
      <w:r w:rsidR="00573737" w:rsidRPr="00552B0C">
        <w:t xml:space="preserve"> weight loss</w:t>
      </w:r>
      <w:r w:rsidR="00860D69" w:rsidRPr="00552B0C">
        <w:t xml:space="preserve"> or more than 20% from baseline</w:t>
      </w:r>
      <w:r w:rsidR="00573737" w:rsidRPr="00552B0C">
        <w:t>.</w:t>
      </w:r>
    </w:p>
    <w:p w14:paraId="1D39FD0A" w14:textId="1659F90A" w:rsidR="00F8149E" w:rsidRPr="00552B0C" w:rsidRDefault="00F8149E" w:rsidP="00552B0C">
      <w:pPr>
        <w:pStyle w:val="ListParagraph"/>
        <w:numPr>
          <w:ilvl w:val="0"/>
          <w:numId w:val="19"/>
        </w:numPr>
      </w:pPr>
      <w:r w:rsidRPr="00552B0C">
        <w:t>Approximately additional 2 patients would experience a g</w:t>
      </w:r>
      <w:r w:rsidR="00F94A65" w:rsidRPr="00552B0C">
        <w:t>ra</w:t>
      </w:r>
      <w:r w:rsidRPr="00552B0C">
        <w:t xml:space="preserve">de 3 or 4 </w:t>
      </w:r>
      <w:r w:rsidR="004D0D69" w:rsidRPr="00552B0C">
        <w:t>muco</w:t>
      </w:r>
      <w:r w:rsidR="007F187B" w:rsidRPr="00552B0C">
        <w:t>sal inflammation.</w:t>
      </w:r>
    </w:p>
    <w:p w14:paraId="1907904E" w14:textId="0CBDC5B8" w:rsidR="007F187B" w:rsidRPr="00552B0C" w:rsidRDefault="007F187B" w:rsidP="00552B0C">
      <w:pPr>
        <w:pStyle w:val="ListParagraph"/>
        <w:numPr>
          <w:ilvl w:val="0"/>
          <w:numId w:val="19"/>
        </w:numPr>
      </w:pPr>
      <w:r w:rsidRPr="00552B0C">
        <w:t>Approximately additional 2 patients would experience a g</w:t>
      </w:r>
      <w:r w:rsidR="00860D69" w:rsidRPr="00552B0C">
        <w:t>ra</w:t>
      </w:r>
      <w:r w:rsidRPr="00552B0C">
        <w:t>de 3 or 4 dehydration.</w:t>
      </w:r>
    </w:p>
    <w:p w14:paraId="3AD6B2E1" w14:textId="77777777" w:rsidR="00091D2A" w:rsidRPr="00552B0C" w:rsidRDefault="00091D2A" w:rsidP="00552B0C">
      <w:pPr>
        <w:pStyle w:val="ListParagraph"/>
        <w:numPr>
          <w:ilvl w:val="0"/>
          <w:numId w:val="19"/>
        </w:numPr>
      </w:pPr>
      <w:r w:rsidRPr="00552B0C">
        <w:t>Approximately 10 fewer patients would experience a grade 3 or 4 neutropenia.</w:t>
      </w:r>
    </w:p>
    <w:p w14:paraId="59994145" w14:textId="77777777" w:rsidR="00091D2A" w:rsidRPr="00552B0C" w:rsidRDefault="00091D2A" w:rsidP="00552B0C">
      <w:pPr>
        <w:pStyle w:val="ListParagraph"/>
        <w:numPr>
          <w:ilvl w:val="0"/>
          <w:numId w:val="19"/>
        </w:numPr>
      </w:pPr>
      <w:r w:rsidRPr="00552B0C">
        <w:t>Approximately 6 fewer patients would experience a grade 3 or 4 anaemia.</w:t>
      </w:r>
    </w:p>
    <w:p w14:paraId="75DAFE43" w14:textId="2AA736A5" w:rsidR="001F1D4F" w:rsidRPr="00552B0C" w:rsidRDefault="001F1D4F" w:rsidP="00552B0C">
      <w:pPr>
        <w:pStyle w:val="ListParagraph"/>
        <w:numPr>
          <w:ilvl w:val="0"/>
          <w:numId w:val="19"/>
        </w:numPr>
      </w:pPr>
      <w:r w:rsidRPr="00552B0C">
        <w:t>Approximately 3 fewer patients would experience a grade 3 or 4 thrombocytopenia.</w:t>
      </w:r>
    </w:p>
    <w:p w14:paraId="28DA9BC6" w14:textId="7F65122F" w:rsidR="001F1D4F" w:rsidRPr="00552B0C" w:rsidRDefault="001F1D4F" w:rsidP="00552B0C">
      <w:pPr>
        <w:pStyle w:val="ListParagraph"/>
        <w:numPr>
          <w:ilvl w:val="0"/>
          <w:numId w:val="19"/>
        </w:numPr>
      </w:pPr>
      <w:r w:rsidRPr="00552B0C">
        <w:t>Approximately 3 fewer patients would experience a grade 3 or 4</w:t>
      </w:r>
      <w:r w:rsidR="00C92FF2" w:rsidRPr="00552B0C">
        <w:t xml:space="preserve"> leukopenia.</w:t>
      </w:r>
    </w:p>
    <w:p w14:paraId="08AE8466" w14:textId="4BB379E3" w:rsidR="00C92FF2" w:rsidRPr="00552B0C" w:rsidRDefault="00C92FF2" w:rsidP="00552B0C">
      <w:pPr>
        <w:pStyle w:val="ListParagraph"/>
        <w:numPr>
          <w:ilvl w:val="0"/>
          <w:numId w:val="19"/>
        </w:numPr>
      </w:pPr>
      <w:r w:rsidRPr="00552B0C">
        <w:t>Approximately 3 fewer patients would experience a grade 3 or 4 decrease in white blood cells.</w:t>
      </w:r>
    </w:p>
    <w:p w14:paraId="6769E49B" w14:textId="1455FEBD" w:rsidR="00091D2A" w:rsidRPr="00552B0C" w:rsidRDefault="00091D2A" w:rsidP="00091D2A">
      <w:pPr>
        <w:rPr>
          <w:b/>
          <w:bCs/>
        </w:rPr>
      </w:pPr>
      <w:r w:rsidRPr="00552B0C">
        <w:rPr>
          <w:b/>
          <w:bCs/>
        </w:rPr>
        <w:t>NALIRIFOX versus FOLFIRINOX</w:t>
      </w:r>
    </w:p>
    <w:p w14:paraId="647407C4" w14:textId="421A4B46" w:rsidR="00091D2A" w:rsidRPr="00552B0C" w:rsidRDefault="00091D2A" w:rsidP="00552B0C">
      <w:pPr>
        <w:pStyle w:val="3-BodyText"/>
        <w:numPr>
          <w:ilvl w:val="1"/>
          <w:numId w:val="5"/>
        </w:numPr>
      </w:pPr>
      <w:r w:rsidRPr="00552B0C">
        <w:t xml:space="preserve">The indirect treatment comparison presented in the resubmission did not allow for a robust comparison of benefits and harms of NALIRIFOX versus FOLFIRINOX given the concerns raised by PBAC (para </w:t>
      </w:r>
      <w:r w:rsidRPr="00552B0C">
        <w:fldChar w:fldCharType="begin" w:fldLock="1"/>
      </w:r>
      <w:r w:rsidRPr="00552B0C">
        <w:instrText xml:space="preserve"> REF _Ref176359976 \r \h </w:instrText>
      </w:r>
      <w:r w:rsidR="00552B0C" w:rsidRPr="00552B0C">
        <w:instrText xml:space="preserve"> \* MERGEFORMAT </w:instrText>
      </w:r>
      <w:r w:rsidRPr="00552B0C">
        <w:fldChar w:fldCharType="separate"/>
      </w:r>
      <w:r w:rsidR="001C19B6">
        <w:t>6.10</w:t>
      </w:r>
      <w:r w:rsidRPr="00552B0C">
        <w:fldChar w:fldCharType="end"/>
      </w:r>
      <w:r w:rsidRPr="00552B0C">
        <w:t xml:space="preserve">) and limitations of the ITC results (para </w:t>
      </w:r>
      <w:r w:rsidRPr="00552B0C">
        <w:fldChar w:fldCharType="begin" w:fldLock="1"/>
      </w:r>
      <w:r w:rsidRPr="00552B0C">
        <w:instrText xml:space="preserve"> REF _Ref176369938 \r \h </w:instrText>
      </w:r>
      <w:r w:rsidR="00552B0C" w:rsidRPr="00552B0C">
        <w:instrText xml:space="preserve"> \* MERGEFORMAT </w:instrText>
      </w:r>
      <w:r w:rsidRPr="00552B0C">
        <w:fldChar w:fldCharType="separate"/>
      </w:r>
      <w:r w:rsidR="001C19B6">
        <w:t>6.35</w:t>
      </w:r>
      <w:r w:rsidRPr="00552B0C">
        <w:fldChar w:fldCharType="end"/>
      </w:r>
      <w:r w:rsidRPr="00552B0C">
        <w:t>). Accordingly, a benefits/harms table has not been presented.</w:t>
      </w:r>
    </w:p>
    <w:p w14:paraId="525AD4E6" w14:textId="77777777" w:rsidR="00091D2A" w:rsidRPr="00C9624D" w:rsidRDefault="00091D2A" w:rsidP="00091D2A">
      <w:pPr>
        <w:pStyle w:val="4-SubsectionHeading"/>
      </w:pPr>
      <w:bookmarkStart w:id="73" w:name="_Toc22897644"/>
      <w:bookmarkStart w:id="74" w:name="_Toc177546228"/>
      <w:r w:rsidRPr="00C9624D">
        <w:t>Clinical claim</w:t>
      </w:r>
      <w:bookmarkEnd w:id="73"/>
      <w:bookmarkEnd w:id="74"/>
    </w:p>
    <w:p w14:paraId="01A66E93" w14:textId="77777777" w:rsidR="00091D2A" w:rsidRPr="00552B0C" w:rsidRDefault="00091D2A" w:rsidP="00091D2A">
      <w:pPr>
        <w:rPr>
          <w:b/>
          <w:bCs/>
        </w:rPr>
      </w:pPr>
      <w:bookmarkStart w:id="75" w:name="_Hlk184147558"/>
      <w:r w:rsidRPr="00552B0C">
        <w:rPr>
          <w:b/>
          <w:bCs/>
        </w:rPr>
        <w:t>NALIRIFOX versus Gem+NabP</w:t>
      </w:r>
    </w:p>
    <w:p w14:paraId="68ECA9E8" w14:textId="7E40C622" w:rsidR="00091D2A" w:rsidRPr="00552B0C" w:rsidRDefault="00091D2A" w:rsidP="4E6EDD58">
      <w:pPr>
        <w:pStyle w:val="3-BodyText"/>
      </w:pPr>
      <w:r w:rsidRPr="00552B0C">
        <w:t xml:space="preserve">The resubmission described NALIRIFOX as superior in terms of effectiveness and non-inferior/non-superior in terms of safety compared to Gem+NabP based on </w:t>
      </w:r>
      <w:r w:rsidR="571D580A" w:rsidRPr="00552B0C">
        <w:t>the</w:t>
      </w:r>
      <w:r w:rsidRPr="00552B0C">
        <w:t xml:space="preserve"> direct comparison </w:t>
      </w:r>
      <w:r w:rsidR="6E1FDC70" w:rsidRPr="00552B0C">
        <w:t xml:space="preserve">from </w:t>
      </w:r>
      <w:r w:rsidRPr="00552B0C">
        <w:t xml:space="preserve">NAPOLI-3. </w:t>
      </w:r>
    </w:p>
    <w:p w14:paraId="438C1E2B" w14:textId="2B18E5E4" w:rsidR="00091D2A" w:rsidRPr="00552B0C" w:rsidRDefault="00701179" w:rsidP="00552B0C">
      <w:pPr>
        <w:pStyle w:val="3-BodyText"/>
        <w:numPr>
          <w:ilvl w:val="1"/>
          <w:numId w:val="5"/>
        </w:numPr>
      </w:pPr>
      <w:bookmarkStart w:id="76" w:name="_Ref183595479"/>
      <w:r>
        <w:t>D</w:t>
      </w:r>
      <w:r w:rsidRPr="00552B0C">
        <w:t xml:space="preserve">espite </w:t>
      </w:r>
      <w:r w:rsidR="00091D2A" w:rsidRPr="00552B0C">
        <w:t>the availability of longer follow-up OS data up to 29.5 months</w:t>
      </w:r>
      <w:r w:rsidR="007E6143" w:rsidRPr="00552B0C">
        <w:t xml:space="preserve"> (increased from 16.1 months in the Marc</w:t>
      </w:r>
      <w:r w:rsidR="00224B7E" w:rsidRPr="00552B0C">
        <w:t>h 2024 submission)</w:t>
      </w:r>
      <w:r w:rsidR="00091D2A" w:rsidRPr="00552B0C">
        <w:t>, the improvement in median OS observed in NALIRIFOX over Gem+NabP remains at 1.9 months, the same as reported in the previous submission. The PBAC considered the magnitude was small and may not be clinically meaningful (para 7.8, irinotecan (nanoliposomal), PSD, March 2024 PBAC meeting).</w:t>
      </w:r>
      <w:bookmarkEnd w:id="76"/>
    </w:p>
    <w:p w14:paraId="29024959" w14:textId="27FF6E40" w:rsidR="00091D2A" w:rsidRDefault="00091D2A" w:rsidP="00552B0C">
      <w:pPr>
        <w:pStyle w:val="3-BodyText"/>
        <w:numPr>
          <w:ilvl w:val="1"/>
          <w:numId w:val="5"/>
        </w:numPr>
      </w:pPr>
      <w:r w:rsidRPr="00552B0C">
        <w:t>The</w:t>
      </w:r>
      <w:r w:rsidR="00772A94">
        <w:t xml:space="preserve"> evaluation considered</w:t>
      </w:r>
      <w:r w:rsidRPr="00552B0C">
        <w:t xml:space="preserve"> </w:t>
      </w:r>
      <w:r w:rsidR="00701179">
        <w:t xml:space="preserve">the </w:t>
      </w:r>
      <w:r w:rsidRPr="00552B0C">
        <w:t xml:space="preserve">therapeutic conclusion for safety </w:t>
      </w:r>
      <w:r w:rsidR="00701179">
        <w:t>was</w:t>
      </w:r>
      <w:r w:rsidR="00701179" w:rsidRPr="00552B0C">
        <w:t xml:space="preserve"> </w:t>
      </w:r>
      <w:r w:rsidRPr="00552B0C">
        <w:t>not adequately supported because</w:t>
      </w:r>
      <w:r w:rsidR="001B7082" w:rsidRPr="00552B0C">
        <w:t xml:space="preserve"> </w:t>
      </w:r>
      <w:r w:rsidR="00704084" w:rsidRPr="00552B0C">
        <w:t xml:space="preserve">the resubmission did not provide sufficient evidence to </w:t>
      </w:r>
      <w:r w:rsidR="0097077E" w:rsidRPr="00552B0C">
        <w:t xml:space="preserve">address the PBAC’s previous </w:t>
      </w:r>
      <w:r w:rsidR="00701179">
        <w:t>concerns</w:t>
      </w:r>
      <w:r w:rsidRPr="00552B0C">
        <w:t xml:space="preserve">. </w:t>
      </w:r>
      <w:r w:rsidR="00C516A2" w:rsidRPr="00552B0C">
        <w:t>Although it is acknowledged that the AE profiles are different, p</w:t>
      </w:r>
      <w:r w:rsidRPr="00552B0C">
        <w:t xml:space="preserve">revious concerns and limitations to safety data raised by the PBAC in the March 2024 meeting remain (increased rates of drug-related serious adverse events, as well as all-cause and drug-related TEAEs leading to interruption of treatment for </w:t>
      </w:r>
      <w:r w:rsidRPr="00552B0C">
        <w:lastRenderedPageBreak/>
        <w:t>NALIRIFOX patients in NAPOLI-3 compared with Gem+NabP; para 7.9, irinotecan (nanoliposomal), PSD, March 2024 PBAC meeting).</w:t>
      </w:r>
      <w:r w:rsidR="00DD6348" w:rsidRPr="00552B0C">
        <w:t xml:space="preserve"> </w:t>
      </w:r>
    </w:p>
    <w:p w14:paraId="39C620F7" w14:textId="59AD68A6" w:rsidR="00772A94" w:rsidRDefault="00772A94" w:rsidP="00552B0C">
      <w:pPr>
        <w:pStyle w:val="3-BodyText"/>
        <w:numPr>
          <w:ilvl w:val="1"/>
          <w:numId w:val="5"/>
        </w:numPr>
      </w:pPr>
      <w:r>
        <w:t xml:space="preserve">The PBAC noted limited new data </w:t>
      </w:r>
      <w:r w:rsidR="00701179">
        <w:t xml:space="preserve">were submitted </w:t>
      </w:r>
      <w:r>
        <w:t xml:space="preserve">with respect to the comparative effectiveness of NALIRIFOX and Gem+NabP, </w:t>
      </w:r>
      <w:r w:rsidR="00701179">
        <w:t>and</w:t>
      </w:r>
      <w:r>
        <w:t xml:space="preserve"> </w:t>
      </w:r>
      <w:r w:rsidR="00701179">
        <w:t xml:space="preserve">the resubmission reported </w:t>
      </w:r>
      <w:r>
        <w:t xml:space="preserve">no difference in median overall survival compared to the original submission. On that basis, the PBAC reaffirmed its previously expressed view that </w:t>
      </w:r>
      <w:r w:rsidR="00317CB3">
        <w:t>the claim of superior comparative effectiveness</w:t>
      </w:r>
      <w:r w:rsidR="00317CB3" w:rsidRPr="00317CB3">
        <w:t xml:space="preserve"> was supported by the available data, but the benefits in terms of OS remained small and may not be clinically meaningful</w:t>
      </w:r>
      <w:r w:rsidR="00317CB3">
        <w:t xml:space="preserve">. </w:t>
      </w:r>
    </w:p>
    <w:p w14:paraId="035E2566" w14:textId="382B1F40" w:rsidR="00317CB3" w:rsidRPr="00552B0C" w:rsidRDefault="00317CB3">
      <w:pPr>
        <w:pStyle w:val="3-BodyText"/>
        <w:numPr>
          <w:ilvl w:val="1"/>
          <w:numId w:val="5"/>
        </w:numPr>
      </w:pPr>
      <w:r>
        <w:t xml:space="preserve">The PBAC considered the claim of non-inferior/non-superior comparative </w:t>
      </w:r>
      <w:r w:rsidR="006C2E08">
        <w:t>safety</w:t>
      </w:r>
      <w:r>
        <w:t xml:space="preserve"> </w:t>
      </w:r>
      <w:r w:rsidR="00701179">
        <w:t xml:space="preserve">of NALIRIFOX and Gem+NabP </w:t>
      </w:r>
      <w:r>
        <w:t>was not adequately supported, as whilst the safety profiles of NALIRIFOX and Gem+NabP are different</w:t>
      </w:r>
      <w:r w:rsidR="001967A5">
        <w:t xml:space="preserve"> (paragraph </w:t>
      </w:r>
      <w:r w:rsidR="001967A5">
        <w:fldChar w:fldCharType="begin" w:fldLock="1"/>
      </w:r>
      <w:r w:rsidR="001967A5">
        <w:instrText xml:space="preserve"> REF _Ref184129932 \r \h </w:instrText>
      </w:r>
      <w:r w:rsidR="001967A5">
        <w:fldChar w:fldCharType="separate"/>
      </w:r>
      <w:r w:rsidR="001C19B6">
        <w:t>6.53</w:t>
      </w:r>
      <w:r w:rsidR="001967A5">
        <w:fldChar w:fldCharType="end"/>
      </w:r>
      <w:r w:rsidR="001967A5">
        <w:t xml:space="preserve"> refers)</w:t>
      </w:r>
      <w:r>
        <w:t>, the types of adverse events associated with NALI</w:t>
      </w:r>
      <w:r w:rsidR="00FB2827">
        <w:t>R</w:t>
      </w:r>
      <w:r>
        <w:t>I</w:t>
      </w:r>
      <w:r w:rsidR="00FB2827">
        <w:t>F</w:t>
      </w:r>
      <w:r>
        <w:t>OX are more likely to require hospitalisation and have greater impacts on quality of life.</w:t>
      </w:r>
    </w:p>
    <w:p w14:paraId="57C4921A" w14:textId="695ABD87" w:rsidR="00091D2A" w:rsidRPr="00552B0C" w:rsidRDefault="00091D2A" w:rsidP="00091D2A">
      <w:pPr>
        <w:rPr>
          <w:b/>
          <w:bCs/>
        </w:rPr>
      </w:pPr>
      <w:r w:rsidRPr="00552B0C">
        <w:rPr>
          <w:b/>
          <w:bCs/>
        </w:rPr>
        <w:t>NALIRIFOX versus FOLFIRINOX</w:t>
      </w:r>
    </w:p>
    <w:p w14:paraId="2B25E72F" w14:textId="5925D7BB" w:rsidR="00091D2A" w:rsidRPr="00552B0C" w:rsidRDefault="00091D2A" w:rsidP="00552B0C">
      <w:pPr>
        <w:pStyle w:val="3-BodyText"/>
        <w:numPr>
          <w:ilvl w:val="1"/>
          <w:numId w:val="5"/>
        </w:numPr>
        <w:rPr>
          <w:rFonts w:eastAsia="Calibri"/>
        </w:rPr>
      </w:pPr>
      <w:r w:rsidRPr="00552B0C">
        <w:rPr>
          <w:rFonts w:eastAsia="Calibri"/>
        </w:rPr>
        <w:t xml:space="preserve">Based on the evidence from the </w:t>
      </w:r>
      <w:r w:rsidR="00881BE6" w:rsidRPr="00552B0C">
        <w:rPr>
          <w:rFonts w:eastAsia="Calibri"/>
        </w:rPr>
        <w:t>ITC</w:t>
      </w:r>
      <w:r w:rsidR="00881496" w:rsidRPr="00552B0C">
        <w:rPr>
          <w:rFonts w:eastAsia="Calibri"/>
        </w:rPr>
        <w:t>s</w:t>
      </w:r>
      <w:r w:rsidR="00881BE6" w:rsidRPr="00552B0C">
        <w:rPr>
          <w:rFonts w:eastAsia="Calibri"/>
        </w:rPr>
        <w:t xml:space="preserve"> of NALIRIFOX vs FOLFIRINOX</w:t>
      </w:r>
      <w:r w:rsidR="009629BA" w:rsidRPr="00552B0C">
        <w:rPr>
          <w:rFonts w:eastAsia="Calibri"/>
        </w:rPr>
        <w:t xml:space="preserve"> using data from</w:t>
      </w:r>
      <w:r w:rsidRPr="00552B0C">
        <w:rPr>
          <w:rFonts w:eastAsia="Calibri"/>
        </w:rPr>
        <w:t xml:space="preserve"> the NAPOLI-3 and GENERATE trial</w:t>
      </w:r>
      <w:r w:rsidR="00BC623F" w:rsidRPr="00552B0C">
        <w:rPr>
          <w:rFonts w:eastAsia="Calibri"/>
        </w:rPr>
        <w:t>s</w:t>
      </w:r>
      <w:r w:rsidRPr="00552B0C">
        <w:rPr>
          <w:rFonts w:eastAsia="Calibri"/>
        </w:rPr>
        <w:t xml:space="preserve">, the resubmission claimed that NALIRIFOX is superior in terms of effectiveness and appears to have advantages over the FOLFIRINOX regimen in terms of the incidence of haematological adverse events, including the sequelae of those events (e.g., infection). </w:t>
      </w:r>
    </w:p>
    <w:p w14:paraId="6822B397" w14:textId="77777777" w:rsidR="00091D2A" w:rsidRPr="00552B0C" w:rsidRDefault="00091D2A" w:rsidP="00552B0C">
      <w:pPr>
        <w:pStyle w:val="3-BodyText"/>
        <w:numPr>
          <w:ilvl w:val="1"/>
          <w:numId w:val="5"/>
        </w:numPr>
        <w:rPr>
          <w:rFonts w:eastAsia="Calibri"/>
        </w:rPr>
      </w:pPr>
      <w:bookmarkStart w:id="77" w:name="_Ref176769568"/>
      <w:r w:rsidRPr="00552B0C">
        <w:rPr>
          <w:rFonts w:eastAsia="Calibri"/>
        </w:rPr>
        <w:t>The therapeutic conclusion presented in the resubmission for effectiveness and safety is not adequately supported by the indirect evidence presented in the resubmission because:</w:t>
      </w:r>
      <w:bookmarkEnd w:id="77"/>
    </w:p>
    <w:p w14:paraId="16508691" w14:textId="64293199" w:rsidR="00091D2A" w:rsidRPr="00552B0C" w:rsidRDefault="00091D2A" w:rsidP="00552B0C">
      <w:pPr>
        <w:pStyle w:val="3-BodyText"/>
        <w:numPr>
          <w:ilvl w:val="0"/>
          <w:numId w:val="18"/>
        </w:numPr>
        <w:spacing w:before="60" w:after="60"/>
        <w:rPr>
          <w:rFonts w:eastAsia="Calibri"/>
        </w:rPr>
      </w:pPr>
      <w:r w:rsidRPr="00552B0C">
        <w:rPr>
          <w:rFonts w:eastAsia="Calibri"/>
        </w:rPr>
        <w:t>Previous concerns of the GENERATE trial raised by the PBAC in March 2024 meeting regarding comparability, high discontinuation rates and inadequate reporting (para</w:t>
      </w:r>
      <w:r w:rsidR="00BC6E10">
        <w:rPr>
          <w:rFonts w:eastAsia="Calibri"/>
        </w:rPr>
        <w:t xml:space="preserve"> </w:t>
      </w:r>
      <w:r w:rsidR="00BC6E10">
        <w:rPr>
          <w:rFonts w:eastAsia="Calibri"/>
        </w:rPr>
        <w:fldChar w:fldCharType="begin" w:fldLock="1"/>
      </w:r>
      <w:r w:rsidR="00BC6E10">
        <w:rPr>
          <w:rFonts w:eastAsia="Calibri"/>
        </w:rPr>
        <w:instrText xml:space="preserve"> REF _Ref176359976 \r \h </w:instrText>
      </w:r>
      <w:r w:rsidR="00BC6E10">
        <w:rPr>
          <w:rFonts w:eastAsia="Calibri"/>
        </w:rPr>
      </w:r>
      <w:r w:rsidR="00BC6E10">
        <w:rPr>
          <w:rFonts w:eastAsia="Calibri"/>
        </w:rPr>
        <w:fldChar w:fldCharType="separate"/>
      </w:r>
      <w:r w:rsidR="001C19B6">
        <w:rPr>
          <w:rFonts w:eastAsia="Calibri"/>
        </w:rPr>
        <w:t>6.10</w:t>
      </w:r>
      <w:r w:rsidR="00BC6E10">
        <w:rPr>
          <w:rFonts w:eastAsia="Calibri"/>
        </w:rPr>
        <w:fldChar w:fldCharType="end"/>
      </w:r>
      <w:r w:rsidRPr="00552B0C">
        <w:rPr>
          <w:rFonts w:eastAsia="Calibri"/>
        </w:rPr>
        <w:t>)</w:t>
      </w:r>
      <w:r w:rsidR="20F094A1" w:rsidRPr="00552B0C">
        <w:rPr>
          <w:rFonts w:eastAsia="Calibri"/>
        </w:rPr>
        <w:t xml:space="preserve"> </w:t>
      </w:r>
      <w:r w:rsidR="00BC6E10">
        <w:rPr>
          <w:rFonts w:eastAsia="Calibri"/>
        </w:rPr>
        <w:t xml:space="preserve">and </w:t>
      </w:r>
      <w:r w:rsidR="00BC6E10">
        <w:rPr>
          <w:rFonts w:eastAsia="Calibri"/>
        </w:rPr>
        <w:fldChar w:fldCharType="begin" w:fldLock="1"/>
      </w:r>
      <w:r w:rsidR="00BC6E10">
        <w:rPr>
          <w:rFonts w:eastAsia="Calibri"/>
        </w:rPr>
        <w:instrText xml:space="preserve"> REF _Ref184130851 \r \h </w:instrText>
      </w:r>
      <w:r w:rsidR="00BC6E10">
        <w:rPr>
          <w:rFonts w:eastAsia="Calibri"/>
        </w:rPr>
      </w:r>
      <w:r w:rsidR="00BC6E10">
        <w:rPr>
          <w:rFonts w:eastAsia="Calibri"/>
        </w:rPr>
        <w:fldChar w:fldCharType="separate"/>
      </w:r>
      <w:r w:rsidR="001C19B6">
        <w:rPr>
          <w:rFonts w:eastAsia="Calibri"/>
        </w:rPr>
        <w:t>6.31</w:t>
      </w:r>
      <w:r w:rsidR="00BC6E10">
        <w:rPr>
          <w:rFonts w:eastAsia="Calibri"/>
        </w:rPr>
        <w:fldChar w:fldCharType="end"/>
      </w:r>
      <w:r w:rsidR="00BC6E10">
        <w:rPr>
          <w:rFonts w:eastAsia="Calibri"/>
        </w:rPr>
        <w:t xml:space="preserve">) </w:t>
      </w:r>
      <w:r w:rsidR="20F094A1" w:rsidRPr="00552B0C">
        <w:rPr>
          <w:rFonts w:eastAsia="Calibri"/>
        </w:rPr>
        <w:t>remain valid and unresolved by the additional information presented</w:t>
      </w:r>
      <w:r w:rsidRPr="00552B0C">
        <w:rPr>
          <w:rFonts w:eastAsia="Calibri"/>
        </w:rPr>
        <w:t>.</w:t>
      </w:r>
    </w:p>
    <w:p w14:paraId="1D3B4873" w14:textId="2F02E0D7" w:rsidR="001D3D1C" w:rsidRPr="00552B0C" w:rsidRDefault="00091D2A" w:rsidP="00552B0C">
      <w:pPr>
        <w:pStyle w:val="3-BodyText"/>
        <w:numPr>
          <w:ilvl w:val="0"/>
          <w:numId w:val="15"/>
        </w:numPr>
        <w:spacing w:before="60" w:after="60"/>
        <w:rPr>
          <w:rFonts w:eastAsia="Calibri"/>
        </w:rPr>
      </w:pPr>
      <w:r w:rsidRPr="00552B0C">
        <w:rPr>
          <w:rFonts w:eastAsia="Calibri"/>
        </w:rPr>
        <w:t xml:space="preserve">The results of the MAIC and the single-step ITCs for effectiveness and safety should be interpreted with caution given the concerns of risk of bias and differences between the NAPOLI-3 and GENERATE trials (paras </w:t>
      </w:r>
      <w:r w:rsidRPr="00552B0C">
        <w:rPr>
          <w:rFonts w:eastAsia="Calibri"/>
        </w:rPr>
        <w:fldChar w:fldCharType="begin" w:fldLock="1"/>
      </w:r>
      <w:r w:rsidRPr="00552B0C">
        <w:rPr>
          <w:rFonts w:eastAsia="Calibri"/>
        </w:rPr>
        <w:instrText xml:space="preserve"> REF _Ref176769177 \r \h </w:instrText>
      </w:r>
      <w:r w:rsidR="00B87FAE" w:rsidRPr="00552B0C">
        <w:rPr>
          <w:rFonts w:eastAsia="Calibri"/>
        </w:rPr>
        <w:instrText xml:space="preserve"> \* MERGEFORMAT </w:instrText>
      </w:r>
      <w:r w:rsidRPr="00552B0C">
        <w:rPr>
          <w:rFonts w:eastAsia="Calibri"/>
        </w:rPr>
      </w:r>
      <w:r w:rsidRPr="00552B0C">
        <w:rPr>
          <w:rFonts w:eastAsia="Calibri"/>
        </w:rPr>
        <w:fldChar w:fldCharType="separate"/>
      </w:r>
      <w:r w:rsidR="001C19B6">
        <w:rPr>
          <w:rFonts w:eastAsia="Calibri"/>
        </w:rPr>
        <w:t>6.14</w:t>
      </w:r>
      <w:r w:rsidRPr="00552B0C">
        <w:rPr>
          <w:rFonts w:eastAsia="Calibri"/>
        </w:rPr>
        <w:fldChar w:fldCharType="end"/>
      </w:r>
      <w:r w:rsidRPr="00552B0C">
        <w:rPr>
          <w:rFonts w:eastAsia="Calibri"/>
        </w:rPr>
        <w:t xml:space="preserve"> and </w:t>
      </w:r>
      <w:r w:rsidRPr="00552B0C">
        <w:fldChar w:fldCharType="begin" w:fldLock="1"/>
      </w:r>
      <w:r w:rsidRPr="00552B0C">
        <w:instrText xml:space="preserve"> REF _Ref176364538 \r \h </w:instrText>
      </w:r>
      <w:r w:rsidR="00B87FAE" w:rsidRPr="00552B0C">
        <w:instrText xml:space="preserve"> \* MERGEFORMAT </w:instrText>
      </w:r>
      <w:r w:rsidRPr="00552B0C">
        <w:fldChar w:fldCharType="separate"/>
      </w:r>
      <w:r w:rsidR="001C19B6">
        <w:t>6.32</w:t>
      </w:r>
      <w:r w:rsidRPr="00552B0C">
        <w:fldChar w:fldCharType="end"/>
      </w:r>
      <w:r w:rsidRPr="00552B0C">
        <w:rPr>
          <w:rFonts w:eastAsia="Calibri"/>
        </w:rPr>
        <w:t xml:space="preserve">). Both ITCs were based on limited clinical evidence of the GENERATE trial (abstract and ESMO presentation slides) that has </w:t>
      </w:r>
      <w:r w:rsidR="00386E61" w:rsidRPr="00552B0C">
        <w:rPr>
          <w:rFonts w:eastAsia="Calibri"/>
        </w:rPr>
        <w:t xml:space="preserve">limited </w:t>
      </w:r>
      <w:r w:rsidR="003766B1" w:rsidRPr="00552B0C">
        <w:rPr>
          <w:rFonts w:eastAsia="Calibri"/>
        </w:rPr>
        <w:t>supporting information available</w:t>
      </w:r>
      <w:r w:rsidRPr="00552B0C">
        <w:rPr>
          <w:rFonts w:eastAsia="Calibri"/>
        </w:rPr>
        <w:t>.</w:t>
      </w:r>
    </w:p>
    <w:p w14:paraId="5AF73AC1" w14:textId="552695B6" w:rsidR="001D3D1C" w:rsidRPr="00552B0C" w:rsidRDefault="00091D2A" w:rsidP="00552B0C">
      <w:pPr>
        <w:pStyle w:val="3-BodyText"/>
        <w:numPr>
          <w:ilvl w:val="0"/>
          <w:numId w:val="15"/>
        </w:numPr>
        <w:spacing w:before="60" w:after="60"/>
        <w:rPr>
          <w:rFonts w:eastAsia="Calibri"/>
        </w:rPr>
      </w:pPr>
      <w:r w:rsidRPr="00552B0C">
        <w:rPr>
          <w:rFonts w:eastAsia="Calibri"/>
        </w:rPr>
        <w:t xml:space="preserve">Despite the adjustments to reweight the population from the NAPOLI-3 trial to match those in the GENERATE trial to conduct a MAIC, the analysis was not able to account for all differences in baseline characteristics thus limited by the possibility of residual confounding. </w:t>
      </w:r>
    </w:p>
    <w:p w14:paraId="6AC4A7E9" w14:textId="23511521" w:rsidR="36F5D3E5" w:rsidRPr="00552B0C" w:rsidRDefault="36F5D3E5" w:rsidP="00552B0C">
      <w:pPr>
        <w:pStyle w:val="3-BodyText"/>
        <w:numPr>
          <w:ilvl w:val="0"/>
          <w:numId w:val="15"/>
        </w:numPr>
        <w:spacing w:before="60" w:after="60"/>
        <w:rPr>
          <w:rFonts w:eastAsia="Calibri"/>
        </w:rPr>
      </w:pPr>
      <w:r w:rsidRPr="00552B0C">
        <w:rPr>
          <w:rFonts w:eastAsia="Calibri"/>
        </w:rPr>
        <w:t xml:space="preserve">Overall, when accounting for these issues and uncertainties, the assumption of transitivity was likely violated for the comparison of NALIRIFOX and </w:t>
      </w:r>
      <w:r w:rsidR="007913A1" w:rsidRPr="00552B0C">
        <w:rPr>
          <w:rFonts w:eastAsia="Calibri"/>
        </w:rPr>
        <w:t>m</w:t>
      </w:r>
      <w:r w:rsidRPr="00552B0C">
        <w:rPr>
          <w:rFonts w:eastAsia="Calibri"/>
        </w:rPr>
        <w:t>FOLFIRINOX using</w:t>
      </w:r>
      <w:r w:rsidR="2E51F850" w:rsidRPr="00552B0C">
        <w:rPr>
          <w:rFonts w:eastAsia="Calibri"/>
        </w:rPr>
        <w:t xml:space="preserve"> the data from the</w:t>
      </w:r>
      <w:r w:rsidRPr="00552B0C">
        <w:rPr>
          <w:rFonts w:eastAsia="Calibri"/>
        </w:rPr>
        <w:t xml:space="preserve"> GENERATE study; therefore, the ITC</w:t>
      </w:r>
      <w:r w:rsidR="2521268E" w:rsidRPr="00552B0C">
        <w:rPr>
          <w:rFonts w:eastAsia="Calibri"/>
        </w:rPr>
        <w:t xml:space="preserve">s </w:t>
      </w:r>
      <w:r w:rsidR="007913A1" w:rsidRPr="00552B0C">
        <w:rPr>
          <w:rFonts w:eastAsia="Calibri"/>
        </w:rPr>
        <w:t>could</w:t>
      </w:r>
      <w:r w:rsidR="2521268E" w:rsidRPr="00552B0C">
        <w:rPr>
          <w:rFonts w:eastAsia="Calibri"/>
        </w:rPr>
        <w:t xml:space="preserve"> not be considered robust.</w:t>
      </w:r>
    </w:p>
    <w:p w14:paraId="3F293142" w14:textId="282B289B" w:rsidR="00091D2A" w:rsidRPr="00552B0C" w:rsidRDefault="00091D2A" w:rsidP="4E6EDD58">
      <w:pPr>
        <w:pStyle w:val="3-BodyText"/>
        <w:rPr>
          <w:color w:val="0066FF"/>
        </w:rPr>
      </w:pPr>
      <w:r w:rsidRPr="00552B0C">
        <w:rPr>
          <w:rFonts w:eastAsia="Calibri"/>
        </w:rPr>
        <w:lastRenderedPageBreak/>
        <w:t>A large body of evidence for comparative effectiveness was not included in the resubmission</w:t>
      </w:r>
      <w:r w:rsidR="14CAD7F7" w:rsidRPr="00552B0C">
        <w:rPr>
          <w:rFonts w:eastAsia="Calibri"/>
        </w:rPr>
        <w:t>,</w:t>
      </w:r>
      <w:r w:rsidRPr="00552B0C">
        <w:rPr>
          <w:rFonts w:eastAsia="Calibri"/>
        </w:rPr>
        <w:t xml:space="preserve"> resulting in a different conclusion to that </w:t>
      </w:r>
      <w:r w:rsidR="4A4EE160" w:rsidRPr="00552B0C">
        <w:rPr>
          <w:rFonts w:eastAsia="Calibri"/>
        </w:rPr>
        <w:t>made</w:t>
      </w:r>
      <w:r w:rsidRPr="00552B0C">
        <w:rPr>
          <w:rFonts w:eastAsia="Calibri"/>
        </w:rPr>
        <w:t xml:space="preserve"> in the March 2024 submission. The results of the single-step ITC and MAIC presented in the resubmission</w:t>
      </w:r>
      <w:r w:rsidR="6E108253" w:rsidRPr="00552B0C">
        <w:rPr>
          <w:rFonts w:eastAsia="Calibri"/>
        </w:rPr>
        <w:t xml:space="preserve"> also</w:t>
      </w:r>
      <w:r w:rsidRPr="00552B0C">
        <w:rPr>
          <w:rFonts w:eastAsia="Calibri"/>
        </w:rPr>
        <w:t xml:space="preserve"> differed from the results of the multistep ITC and Nichetti et al (2024) presented in the March 2024 PBAC meeting, which suggested no statistically significant difference between NALIRIFOX and FOLFIRINOX for OS and PFS (</w:t>
      </w:r>
      <w:r w:rsidRPr="00552B0C">
        <w:rPr>
          <w:rFonts w:eastAsia="Calibri"/>
        </w:rPr>
        <w:fldChar w:fldCharType="begin" w:fldLock="1"/>
      </w:r>
      <w:r w:rsidRPr="00552B0C">
        <w:rPr>
          <w:rFonts w:eastAsia="Calibri"/>
        </w:rPr>
        <w:instrText xml:space="preserve"> REF _Ref176360627 \h  \* MERGEFORMAT </w:instrText>
      </w:r>
      <w:r w:rsidRPr="00552B0C">
        <w:rPr>
          <w:rFonts w:eastAsia="Calibri"/>
        </w:rPr>
      </w:r>
      <w:r w:rsidRPr="00552B0C">
        <w:rPr>
          <w:rFonts w:eastAsia="Calibri"/>
        </w:rPr>
        <w:fldChar w:fldCharType="separate"/>
      </w:r>
      <w:r w:rsidR="001C19B6" w:rsidRPr="00552B0C">
        <w:t xml:space="preserve">Table </w:t>
      </w:r>
      <w:r w:rsidR="001C19B6">
        <w:rPr>
          <w:noProof/>
        </w:rPr>
        <w:t>8</w:t>
      </w:r>
      <w:r w:rsidRPr="00552B0C">
        <w:rPr>
          <w:rFonts w:eastAsia="Calibri"/>
        </w:rPr>
        <w:fldChar w:fldCharType="end"/>
      </w:r>
      <w:r w:rsidRPr="00552B0C">
        <w:rPr>
          <w:rFonts w:eastAsia="Calibri"/>
        </w:rPr>
        <w:t xml:space="preserve">). </w:t>
      </w:r>
    </w:p>
    <w:p w14:paraId="7F5C1A05" w14:textId="505E384A" w:rsidR="00552B0C" w:rsidRPr="00271DCA" w:rsidRDefault="00271DCA" w:rsidP="00271DCA">
      <w:pPr>
        <w:pStyle w:val="3-BodyText"/>
      </w:pPr>
      <w:bookmarkStart w:id="78" w:name="_Hlk76376200"/>
      <w:bookmarkStart w:id="79" w:name="_Hlk184147588"/>
      <w:r w:rsidRPr="00271DCA">
        <w:t xml:space="preserve">The PBAC considered the claim of superior comparative effectiveness and appearing to 'have advantages' over FOLFIRINOX was not adequately supported, as the GENERATE trial was not </w:t>
      </w:r>
      <w:r w:rsidR="00BC6E10">
        <w:t xml:space="preserve">sufficiently </w:t>
      </w:r>
      <w:r w:rsidRPr="00271DCA">
        <w:t>exchangeable with the other presented evidence, was likely not applicable to the Australian context</w:t>
      </w:r>
      <w:r w:rsidR="00BC6E10">
        <w:t>,</w:t>
      </w:r>
      <w:r w:rsidRPr="00271DCA">
        <w:t xml:space="preserve"> and there was limited information </w:t>
      </w:r>
      <w:r w:rsidR="00BC6E10" w:rsidRPr="00271DCA">
        <w:t>available</w:t>
      </w:r>
      <w:r w:rsidRPr="00271DCA">
        <w:t xml:space="preserve"> about the trial</w:t>
      </w:r>
      <w:r w:rsidR="001C418A">
        <w:t xml:space="preserve"> (</w:t>
      </w:r>
      <w:r w:rsidR="001C418A">
        <w:fldChar w:fldCharType="begin" w:fldLock="1"/>
      </w:r>
      <w:r w:rsidR="001C418A">
        <w:instrText xml:space="preserve"> REF _Ref184130851 \r \h </w:instrText>
      </w:r>
      <w:r w:rsidR="001C418A">
        <w:fldChar w:fldCharType="separate"/>
      </w:r>
      <w:r w:rsidR="001C19B6">
        <w:t>6.31</w:t>
      </w:r>
      <w:r w:rsidR="001C418A">
        <w:fldChar w:fldCharType="end"/>
      </w:r>
      <w:r w:rsidR="001C418A">
        <w:t>)</w:t>
      </w:r>
      <w:r w:rsidRPr="00271DCA">
        <w:t xml:space="preserve">. Therefore, the PBAC considered the comparisons using the GENERATE trial were not robust </w:t>
      </w:r>
      <w:r w:rsidR="001C418A">
        <w:t xml:space="preserve">and </w:t>
      </w:r>
      <w:r w:rsidRPr="00271DCA">
        <w:t>further considered the other available analyses did not support the claims made in the resubmission.</w:t>
      </w:r>
      <w:r w:rsidR="008D0998">
        <w:t xml:space="preserve"> </w:t>
      </w:r>
      <w:bookmarkEnd w:id="75"/>
      <w:bookmarkEnd w:id="78"/>
    </w:p>
    <w:p w14:paraId="2A537E01" w14:textId="77777777" w:rsidR="00091D2A" w:rsidRPr="00C9624D" w:rsidRDefault="00091D2A" w:rsidP="00091D2A">
      <w:pPr>
        <w:pStyle w:val="4-SubsectionHeading"/>
      </w:pPr>
      <w:bookmarkStart w:id="80" w:name="_Toc177546229"/>
      <w:bookmarkEnd w:id="79"/>
      <w:r w:rsidRPr="00C9624D">
        <w:t>Economic analysis</w:t>
      </w:r>
      <w:bookmarkEnd w:id="80"/>
      <w:r w:rsidRPr="00C9624D">
        <w:t xml:space="preserve"> </w:t>
      </w:r>
    </w:p>
    <w:p w14:paraId="6015BBB6" w14:textId="2418B0F6" w:rsidR="00091D2A" w:rsidRPr="00552B0C" w:rsidRDefault="00091D2A" w:rsidP="4E6EDD58">
      <w:pPr>
        <w:pStyle w:val="3-BodyText"/>
      </w:pPr>
      <w:r w:rsidRPr="00552B0C">
        <w:t>The resubmission presented a stepped economic evaluation comparing NALIRIFOX to a mixed comparator of Gem+NabP (75%) and FOLFIRINOX (25%), based on the direct randomised trial, NAPOLI-3 (NALIRIFOX vs Gem+NabP), and the MAIC of NALIRIFOX vs FOLFIRINOX which used data from the NAPOLI-3 and GENERATE (FOLFIRINOX vs Gem+NabP) trials.</w:t>
      </w:r>
      <w:r w:rsidR="00385EF6" w:rsidRPr="00552B0C">
        <w:t xml:space="preserve"> The type of economic evaluation presented was a cost-utility analysis.</w:t>
      </w:r>
      <w:r w:rsidR="008D0998">
        <w:t xml:space="preserve"> </w:t>
      </w:r>
    </w:p>
    <w:p w14:paraId="0E1F4B25" w14:textId="1EB75FAA" w:rsidR="00385EF6" w:rsidRPr="00552B0C" w:rsidRDefault="00385EF6" w:rsidP="00434A1B">
      <w:pPr>
        <w:pStyle w:val="3-BodyText"/>
      </w:pPr>
      <w:r w:rsidRPr="00552B0C">
        <w:t xml:space="preserve">The ESC considered the economic analysis approach taken by the </w:t>
      </w:r>
      <w:r w:rsidR="0023090E" w:rsidRPr="00552B0C">
        <w:t>resubmission</w:t>
      </w:r>
      <w:r w:rsidRPr="00552B0C">
        <w:t xml:space="preserve"> to be inappropriate. Noting its view that FOLFIRINOX was the appropriate comparator and that a claim of superior comparative effectiveness and safety for NALIRIFOX over FOLFIRINOX was not adequately supported, the ESC agreed </w:t>
      </w:r>
      <w:r w:rsidR="00F4369F" w:rsidRPr="00552B0C">
        <w:t>with</w:t>
      </w:r>
      <w:r w:rsidRPr="00552B0C">
        <w:t xml:space="preserve"> the view previously expressed by the PBAC, that the appropriate form of economic evaluation would be a cost minimisation approach (para 7.15, irinotecan (nanoliposomal) PSD, March 2024 PBAC meeting)</w:t>
      </w:r>
      <w:r w:rsidR="00F4369F" w:rsidRPr="00552B0C">
        <w:t>.</w:t>
      </w:r>
    </w:p>
    <w:p w14:paraId="3CCF1CAB" w14:textId="19A8E7E6" w:rsidR="00091D2A" w:rsidRPr="00552B0C" w:rsidRDefault="00091D2A" w:rsidP="00552B0C">
      <w:pPr>
        <w:pStyle w:val="3-BodyText"/>
        <w:numPr>
          <w:ilvl w:val="1"/>
          <w:numId w:val="5"/>
        </w:numPr>
        <w:rPr>
          <w:lang w:val="en-US"/>
        </w:rPr>
      </w:pPr>
      <w:r w:rsidRPr="00552B0C">
        <w:rPr>
          <w:lang w:val="en-US"/>
        </w:rPr>
        <w:t xml:space="preserve">The proportions of the mixed comparator </w:t>
      </w:r>
      <w:r w:rsidR="001714C1">
        <w:rPr>
          <w:lang w:val="en-US"/>
        </w:rPr>
        <w:t>were</w:t>
      </w:r>
      <w:r w:rsidR="001714C1" w:rsidRPr="00552B0C">
        <w:rPr>
          <w:lang w:val="en-US"/>
        </w:rPr>
        <w:t xml:space="preserve"> </w:t>
      </w:r>
      <w:r w:rsidRPr="00552B0C">
        <w:rPr>
          <w:lang w:val="en-US"/>
        </w:rPr>
        <w:t xml:space="preserve">informed by the market share of first-line treatments for Australian patients with mPAC captured in the PURPLE registry (85.1% Gem+NabP, 14.9% FOLFIRINOX) and assumptions of substitution of these treatments by NALIRIFOX (up to </w:t>
      </w:r>
      <w:r w:rsidR="005F3BC8" w:rsidRPr="00993109">
        <w:rPr>
          <w:color w:val="000000"/>
          <w:w w:val="15"/>
          <w:shd w:val="solid" w:color="000000" w:fill="000000"/>
          <w:fitText w:val="-20" w:id="-760998130"/>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0"/>
          <w:lang w:val="en-US"/>
          <w14:textFill>
            <w14:solidFill>
              <w14:srgbClr w14:val="000000">
                <w14:alpha w14:val="100000"/>
              </w14:srgbClr>
            </w14:solidFill>
          </w14:textFill>
        </w:rPr>
        <w:t>|</w:t>
      </w:r>
      <w:r w:rsidRPr="00552B0C">
        <w:rPr>
          <w:lang w:val="en-US"/>
        </w:rPr>
        <w:t xml:space="preserve">% of the Gem+NabP market and up to </w:t>
      </w:r>
      <w:r w:rsidR="005F3BC8" w:rsidRPr="00993109">
        <w:rPr>
          <w:color w:val="000000"/>
          <w:w w:val="15"/>
          <w:shd w:val="solid" w:color="000000" w:fill="000000"/>
          <w:fitText w:val="-20" w:id="-760998129"/>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29"/>
          <w:lang w:val="en-US"/>
          <w14:textFill>
            <w14:solidFill>
              <w14:srgbClr w14:val="000000">
                <w14:alpha w14:val="100000"/>
              </w14:srgbClr>
            </w14:solidFill>
          </w14:textFill>
        </w:rPr>
        <w:t>|</w:t>
      </w:r>
      <w:r w:rsidRPr="00552B0C">
        <w:rPr>
          <w:lang w:val="en-US"/>
        </w:rPr>
        <w:t xml:space="preserve">% of the FOLFIRINOX market). </w:t>
      </w:r>
      <w:r w:rsidR="001714C1">
        <w:rPr>
          <w:lang w:val="en-US"/>
        </w:rPr>
        <w:t xml:space="preserve">The evaluation noted </w:t>
      </w:r>
      <w:r w:rsidR="001714C1">
        <w:t>t</w:t>
      </w:r>
      <w:r w:rsidRPr="00552B0C">
        <w:t>here is considerable uncertainty in the proposed mixed comparator split</w:t>
      </w:r>
      <w:r w:rsidR="00D15028">
        <w:t>.</w:t>
      </w:r>
      <w:r w:rsidRPr="00552B0C">
        <w:rPr>
          <w:lang w:val="en-US"/>
        </w:rPr>
        <w:t xml:space="preserve"> </w:t>
      </w:r>
      <w:r w:rsidRPr="00552B0C">
        <w:t>The PBAC previously determined that FOLFIRINOX was the relevant main comparator in the proposed population, rather than Gem+NabP (para 7.1, irinotecan (nanoliposomal), PSD, March 2024 PBAC meeting). The proportions of the mixed comparator are a key driver of the</w:t>
      </w:r>
      <w:r w:rsidR="004775C4" w:rsidRPr="00552B0C">
        <w:t xml:space="preserve"> incremental cost-effectiveness ratio (</w:t>
      </w:r>
      <w:r w:rsidRPr="00552B0C">
        <w:t>ICER</w:t>
      </w:r>
      <w:r w:rsidR="004775C4" w:rsidRPr="00552B0C">
        <w:t>)</w:t>
      </w:r>
      <w:r w:rsidRPr="00552B0C">
        <w:t xml:space="preserve"> in the economic evaluation. </w:t>
      </w:r>
    </w:p>
    <w:p w14:paraId="3892DE3B" w14:textId="545063BD" w:rsidR="00091D2A" w:rsidRPr="00552B0C" w:rsidRDefault="00091D2A" w:rsidP="00552B0C">
      <w:pPr>
        <w:pStyle w:val="3-BodyText"/>
        <w:numPr>
          <w:ilvl w:val="1"/>
          <w:numId w:val="5"/>
        </w:numPr>
      </w:pPr>
      <w:r w:rsidRPr="00552B0C">
        <w:t xml:space="preserve">A summary of the key components of the economic evaluation is presented in </w:t>
      </w:r>
      <w:r w:rsidRPr="00552B0C">
        <w:fldChar w:fldCharType="begin" w:fldLock="1"/>
      </w:r>
      <w:r w:rsidRPr="00552B0C">
        <w:instrText xml:space="preserve"> REF _Ref176084320 \h </w:instrText>
      </w:r>
      <w:r w:rsidR="00B87FAE" w:rsidRPr="00552B0C">
        <w:instrText xml:space="preserve"> \* MERGEFORMAT </w:instrText>
      </w:r>
      <w:r w:rsidRPr="00552B0C">
        <w:fldChar w:fldCharType="separate"/>
      </w:r>
      <w:r w:rsidR="001C19B6" w:rsidRPr="00552B0C">
        <w:t xml:space="preserve">Table </w:t>
      </w:r>
      <w:r w:rsidR="001C19B6">
        <w:rPr>
          <w:noProof/>
        </w:rPr>
        <w:t>14</w:t>
      </w:r>
      <w:r w:rsidRPr="00552B0C">
        <w:fldChar w:fldCharType="end"/>
      </w:r>
      <w:r w:rsidRPr="00552B0C">
        <w:t>.</w:t>
      </w:r>
    </w:p>
    <w:p w14:paraId="7564437D" w14:textId="39874FF8" w:rsidR="00091D2A" w:rsidRPr="00552B0C" w:rsidRDefault="00091D2A" w:rsidP="00091D2A">
      <w:pPr>
        <w:pStyle w:val="Caption"/>
        <w:rPr>
          <w:rStyle w:val="CommentReference"/>
          <w:b/>
          <w:szCs w:val="24"/>
        </w:rPr>
      </w:pPr>
      <w:bookmarkStart w:id="81" w:name="_Ref176084320"/>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14</w:t>
      </w:r>
      <w:r w:rsidR="001C19B6">
        <w:rPr>
          <w:noProof/>
        </w:rPr>
        <w:fldChar w:fldCharType="end"/>
      </w:r>
      <w:bookmarkEnd w:id="81"/>
      <w:r w:rsidRPr="00552B0C">
        <w:t>:</w:t>
      </w:r>
      <w:r w:rsidRPr="00552B0C">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Summary of model structure, key inputs and rationale"/>
      </w:tblPr>
      <w:tblGrid>
        <w:gridCol w:w="2546"/>
        <w:gridCol w:w="6471"/>
      </w:tblGrid>
      <w:tr w:rsidR="00091D2A" w:rsidRPr="00552B0C" w14:paraId="5556AA2D" w14:textId="77777777" w:rsidTr="00AF13CF">
        <w:trPr>
          <w:tblHeader/>
        </w:trPr>
        <w:tc>
          <w:tcPr>
            <w:tcW w:w="1412" w:type="pct"/>
            <w:shd w:val="clear" w:color="auto" w:fill="auto"/>
            <w:vAlign w:val="center"/>
          </w:tcPr>
          <w:p w14:paraId="227E0C3F" w14:textId="77777777" w:rsidR="00091D2A" w:rsidRPr="00552B0C" w:rsidRDefault="00091D2A">
            <w:pPr>
              <w:pStyle w:val="In-tableHeading"/>
            </w:pPr>
            <w:r w:rsidRPr="00552B0C">
              <w:t>Component</w:t>
            </w:r>
          </w:p>
        </w:tc>
        <w:tc>
          <w:tcPr>
            <w:tcW w:w="3588" w:type="pct"/>
            <w:shd w:val="clear" w:color="auto" w:fill="auto"/>
            <w:vAlign w:val="center"/>
          </w:tcPr>
          <w:p w14:paraId="58A88DD9" w14:textId="77777777" w:rsidR="00091D2A" w:rsidRPr="00552B0C" w:rsidRDefault="00091D2A">
            <w:pPr>
              <w:pStyle w:val="In-tableHeading"/>
            </w:pPr>
            <w:r w:rsidRPr="00552B0C">
              <w:t>Summary</w:t>
            </w:r>
          </w:p>
        </w:tc>
      </w:tr>
      <w:tr w:rsidR="00091D2A" w:rsidRPr="00297E86" w14:paraId="68C1F40A" w14:textId="77777777" w:rsidTr="00AF13CF">
        <w:tc>
          <w:tcPr>
            <w:tcW w:w="1412" w:type="pct"/>
            <w:shd w:val="clear" w:color="auto" w:fill="B8CCE4" w:themeFill="accent1" w:themeFillTint="66"/>
            <w:vAlign w:val="center"/>
          </w:tcPr>
          <w:p w14:paraId="78CB7336" w14:textId="77777777" w:rsidR="00091D2A" w:rsidRPr="00552B0C" w:rsidRDefault="00091D2A">
            <w:pPr>
              <w:pStyle w:val="TableText0"/>
              <w:keepNext w:val="0"/>
            </w:pPr>
            <w:r w:rsidRPr="00552B0C">
              <w:t>Treatments</w:t>
            </w:r>
          </w:p>
        </w:tc>
        <w:tc>
          <w:tcPr>
            <w:tcW w:w="3588" w:type="pct"/>
            <w:shd w:val="clear" w:color="auto" w:fill="auto"/>
            <w:vAlign w:val="center"/>
          </w:tcPr>
          <w:p w14:paraId="300FC9EA" w14:textId="77777777" w:rsidR="00091D2A" w:rsidRPr="00552B0C" w:rsidRDefault="00091D2A">
            <w:pPr>
              <w:pStyle w:val="TableText0"/>
              <w:keepNext w:val="0"/>
              <w:rPr>
                <w:lang w:val="pt-BR"/>
              </w:rPr>
            </w:pPr>
            <w:r w:rsidRPr="00552B0C">
              <w:rPr>
                <w:shd w:val="clear" w:color="auto" w:fill="B8CCE4" w:themeFill="accent1" w:themeFillTint="66"/>
                <w:lang w:val="pt-BR"/>
              </w:rPr>
              <w:t>NALIRIFOX</w:t>
            </w:r>
            <w:r w:rsidRPr="00552B0C">
              <w:rPr>
                <w:lang w:val="pt-BR"/>
              </w:rPr>
              <w:t xml:space="preserve"> vs mixed comparator (75% Gem+NabP/25% FOLFIRINOX)</w:t>
            </w:r>
          </w:p>
        </w:tc>
      </w:tr>
      <w:tr w:rsidR="00091D2A" w:rsidRPr="00552B0C" w14:paraId="79E4FE44" w14:textId="77777777" w:rsidTr="00AF13CF">
        <w:tc>
          <w:tcPr>
            <w:tcW w:w="1412" w:type="pct"/>
            <w:shd w:val="clear" w:color="auto" w:fill="B8CCE4" w:themeFill="accent1" w:themeFillTint="66"/>
            <w:vAlign w:val="center"/>
          </w:tcPr>
          <w:p w14:paraId="73BC2242" w14:textId="77777777" w:rsidR="00091D2A" w:rsidRPr="00552B0C" w:rsidRDefault="00091D2A">
            <w:pPr>
              <w:pStyle w:val="TableText0"/>
              <w:keepNext w:val="0"/>
            </w:pPr>
            <w:r w:rsidRPr="00552B0C">
              <w:t>Time horizon</w:t>
            </w:r>
          </w:p>
        </w:tc>
        <w:tc>
          <w:tcPr>
            <w:tcW w:w="3588" w:type="pct"/>
            <w:shd w:val="clear" w:color="auto" w:fill="auto"/>
            <w:vAlign w:val="center"/>
          </w:tcPr>
          <w:p w14:paraId="137B3D22" w14:textId="77777777" w:rsidR="00091D2A" w:rsidRPr="00552B0C" w:rsidRDefault="00091D2A">
            <w:pPr>
              <w:pStyle w:val="TableText0"/>
              <w:keepNext w:val="0"/>
            </w:pPr>
            <w:r w:rsidRPr="00552B0C">
              <w:rPr>
                <w:rStyle w:val="normaltextrun"/>
                <w:shd w:val="clear" w:color="auto" w:fill="B8CCE4" w:themeFill="accent1" w:themeFillTint="66"/>
              </w:rPr>
              <w:t>5 years (60 months) in the model base case</w:t>
            </w:r>
            <w:r w:rsidRPr="00552B0C">
              <w:rPr>
                <w:rStyle w:val="normaltextrun"/>
              </w:rPr>
              <w:t xml:space="preserve"> vs. 29.5 months (median follow-up) in the key trial (NAPOLI-3)</w:t>
            </w:r>
            <w:r w:rsidRPr="00552B0C">
              <w:rPr>
                <w:rStyle w:val="eop"/>
              </w:rPr>
              <w:t> </w:t>
            </w:r>
          </w:p>
        </w:tc>
      </w:tr>
      <w:tr w:rsidR="00091D2A" w:rsidRPr="00552B0C" w14:paraId="6A6B7C44" w14:textId="77777777" w:rsidTr="00AF13CF">
        <w:tc>
          <w:tcPr>
            <w:tcW w:w="1412" w:type="pct"/>
            <w:shd w:val="clear" w:color="auto" w:fill="B8CCE4" w:themeFill="accent1" w:themeFillTint="66"/>
            <w:vAlign w:val="center"/>
          </w:tcPr>
          <w:p w14:paraId="60FB6A64" w14:textId="77777777" w:rsidR="00091D2A" w:rsidRPr="00552B0C" w:rsidRDefault="00091D2A">
            <w:pPr>
              <w:pStyle w:val="TableText0"/>
              <w:keepNext w:val="0"/>
            </w:pPr>
            <w:r w:rsidRPr="00552B0C">
              <w:t>Discounting</w:t>
            </w:r>
          </w:p>
        </w:tc>
        <w:tc>
          <w:tcPr>
            <w:tcW w:w="3588" w:type="pct"/>
            <w:shd w:val="clear" w:color="auto" w:fill="B8CCE4" w:themeFill="accent1" w:themeFillTint="66"/>
            <w:vAlign w:val="center"/>
          </w:tcPr>
          <w:p w14:paraId="282D698D" w14:textId="77777777" w:rsidR="00091D2A" w:rsidRPr="00552B0C" w:rsidRDefault="00091D2A">
            <w:pPr>
              <w:pStyle w:val="TableText0"/>
              <w:keepNext w:val="0"/>
            </w:pPr>
            <w:r w:rsidRPr="00552B0C">
              <w:t>5% per annum (applied to outcomes and end-of-life costs)</w:t>
            </w:r>
          </w:p>
          <w:p w14:paraId="71371D49" w14:textId="77777777" w:rsidR="00091D2A" w:rsidRPr="00552B0C" w:rsidRDefault="00091D2A">
            <w:pPr>
              <w:pStyle w:val="TableText0"/>
              <w:keepNext w:val="0"/>
              <w:rPr>
                <w:rStyle w:val="normaltextrun"/>
                <w:shd w:val="clear" w:color="auto" w:fill="8DB3E2" w:themeFill="text2" w:themeFillTint="66"/>
              </w:rPr>
            </w:pPr>
            <w:r w:rsidRPr="00552B0C">
              <w:t>Drug and drug administration costs, costs of subsequent therapies and costs of treating AEs were applied as a one-off cost at the start of the model, therefore not discounted.</w:t>
            </w:r>
          </w:p>
        </w:tc>
      </w:tr>
      <w:tr w:rsidR="00091D2A" w:rsidRPr="00552B0C" w14:paraId="3F433500" w14:textId="77777777" w:rsidTr="00AF13CF">
        <w:tc>
          <w:tcPr>
            <w:tcW w:w="1412" w:type="pct"/>
            <w:shd w:val="clear" w:color="auto" w:fill="B8CCE4" w:themeFill="accent1" w:themeFillTint="66"/>
            <w:vAlign w:val="center"/>
          </w:tcPr>
          <w:p w14:paraId="388B3B8F" w14:textId="77777777" w:rsidR="00091D2A" w:rsidRPr="00552B0C" w:rsidRDefault="00091D2A">
            <w:pPr>
              <w:pStyle w:val="TableText0"/>
              <w:keepNext w:val="0"/>
            </w:pPr>
            <w:r w:rsidRPr="00552B0C">
              <w:t>Outcomes</w:t>
            </w:r>
          </w:p>
        </w:tc>
        <w:tc>
          <w:tcPr>
            <w:tcW w:w="3588" w:type="pct"/>
            <w:shd w:val="clear" w:color="auto" w:fill="B8CCE4" w:themeFill="accent1" w:themeFillTint="66"/>
            <w:vAlign w:val="center"/>
          </w:tcPr>
          <w:p w14:paraId="5078A448" w14:textId="77777777" w:rsidR="00091D2A" w:rsidRPr="00552B0C" w:rsidRDefault="00091D2A">
            <w:pPr>
              <w:pStyle w:val="TableText0"/>
              <w:keepNext w:val="0"/>
            </w:pPr>
            <w:r w:rsidRPr="00552B0C">
              <w:rPr>
                <w:rStyle w:val="normaltextrun"/>
              </w:rPr>
              <w:t>Life years gained, QALYs</w:t>
            </w:r>
            <w:r w:rsidRPr="00552B0C">
              <w:rPr>
                <w:rStyle w:val="eop"/>
              </w:rPr>
              <w:t> gained</w:t>
            </w:r>
          </w:p>
        </w:tc>
      </w:tr>
      <w:tr w:rsidR="00091D2A" w:rsidRPr="00552B0C" w14:paraId="4A0D9BD2" w14:textId="77777777" w:rsidTr="00AF13CF">
        <w:tc>
          <w:tcPr>
            <w:tcW w:w="1412" w:type="pct"/>
            <w:shd w:val="clear" w:color="auto" w:fill="B8CCE4" w:themeFill="accent1" w:themeFillTint="66"/>
            <w:vAlign w:val="center"/>
          </w:tcPr>
          <w:p w14:paraId="1055087C" w14:textId="77777777" w:rsidR="00091D2A" w:rsidRPr="00552B0C" w:rsidRDefault="00091D2A">
            <w:pPr>
              <w:pStyle w:val="TableText0"/>
              <w:keepNext w:val="0"/>
            </w:pPr>
            <w:r w:rsidRPr="00552B0C">
              <w:t>Health states</w:t>
            </w:r>
          </w:p>
        </w:tc>
        <w:tc>
          <w:tcPr>
            <w:tcW w:w="3588" w:type="pct"/>
            <w:shd w:val="clear" w:color="auto" w:fill="B8CCE4" w:themeFill="accent1" w:themeFillTint="66"/>
            <w:vAlign w:val="center"/>
          </w:tcPr>
          <w:p w14:paraId="29333B77" w14:textId="77777777" w:rsidR="00091D2A" w:rsidRPr="00552B0C" w:rsidRDefault="00091D2A">
            <w:pPr>
              <w:pStyle w:val="paragraph"/>
              <w:spacing w:before="0" w:beforeAutospacing="0" w:after="0" w:afterAutospacing="0"/>
              <w:textAlignment w:val="baseline"/>
              <w:rPr>
                <w:rFonts w:ascii="Arial Narrow" w:hAnsi="Arial Narrow" w:cs="Segoe UI"/>
                <w:sz w:val="20"/>
                <w:szCs w:val="20"/>
              </w:rPr>
            </w:pPr>
            <w:r w:rsidRPr="00552B0C">
              <w:rPr>
                <w:rStyle w:val="normaltextrun"/>
                <w:rFonts w:ascii="Arial Narrow" w:hAnsi="Arial Narrow" w:cs="Segoe UI"/>
                <w:sz w:val="20"/>
                <w:szCs w:val="20"/>
                <w:lang w:val="en-US"/>
              </w:rPr>
              <w:t>Free of progression</w:t>
            </w:r>
          </w:p>
          <w:p w14:paraId="2D7D0379" w14:textId="77777777" w:rsidR="00091D2A" w:rsidRPr="00552B0C" w:rsidRDefault="00091D2A">
            <w:pPr>
              <w:pStyle w:val="paragraph"/>
              <w:shd w:val="clear" w:color="auto" w:fill="B8CCE4" w:themeFill="accent1" w:themeFillTint="66"/>
              <w:spacing w:before="0" w:beforeAutospacing="0" w:after="0" w:afterAutospacing="0"/>
              <w:textAlignment w:val="baseline"/>
              <w:rPr>
                <w:rFonts w:ascii="Arial Narrow" w:hAnsi="Arial Narrow" w:cs="Segoe UI"/>
                <w:sz w:val="20"/>
                <w:szCs w:val="20"/>
              </w:rPr>
            </w:pPr>
            <w:r w:rsidRPr="00552B0C">
              <w:rPr>
                <w:rStyle w:val="normaltextrun"/>
                <w:rFonts w:ascii="Arial Narrow" w:hAnsi="Arial Narrow" w:cs="Segoe UI"/>
                <w:sz w:val="20"/>
                <w:szCs w:val="20"/>
                <w:lang w:val="en-US"/>
              </w:rPr>
              <w:t>Progressed</w:t>
            </w:r>
          </w:p>
          <w:p w14:paraId="2FFAF81F" w14:textId="77777777" w:rsidR="00091D2A" w:rsidRPr="00552B0C" w:rsidRDefault="00091D2A">
            <w:pPr>
              <w:pStyle w:val="paragraph"/>
              <w:shd w:val="clear" w:color="auto" w:fill="FFFFFF" w:themeFill="background1"/>
              <w:spacing w:before="0" w:beforeAutospacing="0" w:after="0" w:afterAutospacing="0"/>
              <w:textAlignment w:val="baseline"/>
              <w:rPr>
                <w:rStyle w:val="normaltextrun"/>
                <w:rFonts w:ascii="Arial Narrow" w:hAnsi="Arial Narrow" w:cs="Segoe UI"/>
                <w:sz w:val="20"/>
                <w:szCs w:val="20"/>
                <w:lang w:val="en-US"/>
              </w:rPr>
            </w:pPr>
            <w:r w:rsidRPr="00552B0C">
              <w:rPr>
                <w:rStyle w:val="normaltextrun"/>
                <w:rFonts w:ascii="Arial Narrow" w:hAnsi="Arial Narrow"/>
                <w:sz w:val="20"/>
                <w:szCs w:val="20"/>
                <w:shd w:val="clear" w:color="auto" w:fill="B8CCE4" w:themeFill="accent1" w:themeFillTint="66"/>
              </w:rPr>
              <w:t>Dead</w:t>
            </w:r>
          </w:p>
        </w:tc>
      </w:tr>
      <w:tr w:rsidR="00091D2A" w:rsidRPr="00552B0C" w14:paraId="0F0D212D" w14:textId="77777777" w:rsidTr="00AF13CF">
        <w:tc>
          <w:tcPr>
            <w:tcW w:w="1412" w:type="pct"/>
            <w:shd w:val="clear" w:color="auto" w:fill="B8CCE4" w:themeFill="accent1" w:themeFillTint="66"/>
            <w:vAlign w:val="center"/>
          </w:tcPr>
          <w:p w14:paraId="071FA9F9" w14:textId="77777777" w:rsidR="00091D2A" w:rsidRPr="00552B0C" w:rsidRDefault="00091D2A">
            <w:pPr>
              <w:pStyle w:val="TableText0"/>
              <w:keepNext w:val="0"/>
            </w:pPr>
            <w:r w:rsidRPr="00552B0C">
              <w:t>Methods used to generate results</w:t>
            </w:r>
          </w:p>
        </w:tc>
        <w:tc>
          <w:tcPr>
            <w:tcW w:w="3588" w:type="pct"/>
            <w:shd w:val="clear" w:color="auto" w:fill="auto"/>
            <w:vAlign w:val="center"/>
          </w:tcPr>
          <w:p w14:paraId="64C87166" w14:textId="7D498846" w:rsidR="00091D2A" w:rsidRPr="00552B0C" w:rsidRDefault="00091D2A">
            <w:pPr>
              <w:pStyle w:val="paragraph"/>
              <w:shd w:val="clear" w:color="auto" w:fill="B8CCE4" w:themeFill="accent1" w:themeFillTint="66"/>
              <w:spacing w:before="0" w:beforeAutospacing="0" w:after="0" w:afterAutospacing="0"/>
              <w:textAlignment w:val="baseline"/>
              <w:rPr>
                <w:rFonts w:ascii="Segoe UI" w:hAnsi="Segoe UI" w:cs="Segoe UI"/>
                <w:sz w:val="18"/>
                <w:szCs w:val="18"/>
              </w:rPr>
            </w:pPr>
            <w:r w:rsidRPr="00552B0C">
              <w:rPr>
                <w:rStyle w:val="normaltextrun"/>
                <w:rFonts w:ascii="Arial Narrow" w:hAnsi="Arial Narrow" w:cs="Segoe UI"/>
                <w:sz w:val="20"/>
                <w:szCs w:val="20"/>
                <w:lang w:val="en-US"/>
              </w:rPr>
              <w:t>Partitioned survival analysis model.</w:t>
            </w:r>
            <w:r w:rsidR="008D0998">
              <w:rPr>
                <w:rStyle w:val="normaltextrun"/>
                <w:rFonts w:ascii="Arial Narrow" w:hAnsi="Arial Narrow" w:cs="Segoe UI"/>
                <w:sz w:val="20"/>
                <w:szCs w:val="20"/>
                <w:lang w:val="en-US"/>
              </w:rPr>
              <w:t xml:space="preserve"> </w:t>
            </w:r>
          </w:p>
          <w:p w14:paraId="78B33BE1" w14:textId="5EB24BD8" w:rsidR="00091D2A" w:rsidRPr="00552B0C" w:rsidRDefault="00091D2A">
            <w:pPr>
              <w:pStyle w:val="TableText0"/>
              <w:keepNext w:val="0"/>
            </w:pPr>
            <w:r w:rsidRPr="00552B0C">
              <w:rPr>
                <w:rStyle w:val="normaltextrun"/>
                <w:shd w:val="clear" w:color="auto" w:fill="B8CCE4" w:themeFill="accent1" w:themeFillTint="66"/>
              </w:rPr>
              <w:t>The model was informed by PFS and OS time-to-event data from the NAPOLI-3 trial (for NALIRIFOX and Gem+NabP</w:t>
            </w:r>
            <w:r w:rsidRPr="00552B0C">
              <w:rPr>
                <w:rStyle w:val="normaltextrun"/>
                <w:shd w:val="clear" w:color="auto" w:fill="8DB3E2" w:themeFill="text2" w:themeFillTint="66"/>
              </w:rPr>
              <w:t>)</w:t>
            </w:r>
            <w:r w:rsidRPr="00552B0C">
              <w:rPr>
                <w:rStyle w:val="normaltextrun"/>
              </w:rPr>
              <w:t xml:space="preserve"> and HRs from the MAIC of NALIRIFOX vs FOLFIRINOX (for FOLFIRINOX) which determined the distribution of patients across the three health states.</w:t>
            </w:r>
            <w:r w:rsidRPr="00552B0C">
              <w:rPr>
                <w:rStyle w:val="eop"/>
              </w:rPr>
              <w:t> </w:t>
            </w:r>
            <w:r w:rsidR="00271D0E" w:rsidRPr="00552B0C">
              <w:rPr>
                <w:rStyle w:val="eop"/>
              </w:rPr>
              <w:t>The resubmission included more favourable estimates for the comparative effectiveness of NALIRIFOX vs FOLFIRINOX compared with the March 2024 submission</w:t>
            </w:r>
            <w:r w:rsidR="00F01A47" w:rsidRPr="00552B0C">
              <w:rPr>
                <w:rStyle w:val="eop"/>
              </w:rPr>
              <w:t>,</w:t>
            </w:r>
            <w:r w:rsidR="00271D0E" w:rsidRPr="00552B0C">
              <w:rPr>
                <w:rStyle w:val="eop"/>
              </w:rPr>
              <w:t xml:space="preserve"> which </w:t>
            </w:r>
            <w:r w:rsidR="00C0625E" w:rsidRPr="00552B0C">
              <w:rPr>
                <w:rStyle w:val="eop"/>
              </w:rPr>
              <w:t xml:space="preserve">the ESC considered was </w:t>
            </w:r>
            <w:r w:rsidR="00271D0E" w:rsidRPr="00552B0C">
              <w:rPr>
                <w:rStyle w:val="eop"/>
              </w:rPr>
              <w:t>not appropriate</w:t>
            </w:r>
            <w:r w:rsidR="00113ACA" w:rsidRPr="00552B0C">
              <w:rPr>
                <w:rStyle w:val="eop"/>
              </w:rPr>
              <w:t xml:space="preserve"> as it relied on data from the GENERATE trial to inform the ITC</w:t>
            </w:r>
            <w:r w:rsidR="00271D0E" w:rsidRPr="00552B0C">
              <w:rPr>
                <w:rStyle w:val="eop"/>
              </w:rPr>
              <w:t>.</w:t>
            </w:r>
          </w:p>
        </w:tc>
      </w:tr>
      <w:tr w:rsidR="00091D2A" w:rsidRPr="00552B0C" w14:paraId="1C478B9C" w14:textId="77777777" w:rsidTr="00AF13CF">
        <w:tc>
          <w:tcPr>
            <w:tcW w:w="1412" w:type="pct"/>
            <w:shd w:val="clear" w:color="auto" w:fill="B8CCE4" w:themeFill="accent1" w:themeFillTint="66"/>
            <w:vAlign w:val="center"/>
          </w:tcPr>
          <w:p w14:paraId="05BE6756" w14:textId="77777777" w:rsidR="00091D2A" w:rsidRPr="00552B0C" w:rsidRDefault="00091D2A">
            <w:pPr>
              <w:pStyle w:val="TableText0"/>
              <w:keepNext w:val="0"/>
            </w:pPr>
            <w:r w:rsidRPr="00552B0C">
              <w:t>Extrapolation method</w:t>
            </w:r>
          </w:p>
        </w:tc>
        <w:tc>
          <w:tcPr>
            <w:tcW w:w="3588" w:type="pct"/>
            <w:shd w:val="clear" w:color="auto" w:fill="auto"/>
            <w:vAlign w:val="center"/>
          </w:tcPr>
          <w:p w14:paraId="748EF341" w14:textId="77777777" w:rsidR="00091D2A" w:rsidRPr="00552B0C" w:rsidRDefault="00091D2A" w:rsidP="00B0505A">
            <w:pPr>
              <w:pStyle w:val="TableText0"/>
              <w:keepNext w:val="0"/>
              <w:shd w:val="clear" w:color="auto" w:fill="B8CCE4" w:themeFill="accent1" w:themeFillTint="66"/>
              <w:rPr>
                <w:lang w:val="en-US"/>
              </w:rPr>
            </w:pPr>
            <w:r w:rsidRPr="00552B0C">
              <w:rPr>
                <w:lang w:val="en-US"/>
              </w:rPr>
              <w:t xml:space="preserve">OS and PFS KM data from the NAPOLI-3 trial were truncated at selected time points where 10% of patients remain at risk. Parametric models were fit to the data from these time points and extrapolated over the 5-year time horizon. The selection for best fitting curves was based on AIC and BIC assessments. </w:t>
            </w:r>
          </w:p>
          <w:p w14:paraId="2B16FA7A" w14:textId="77777777" w:rsidR="00091D2A" w:rsidRPr="00552B0C" w:rsidRDefault="00091D2A" w:rsidP="00B0505A">
            <w:pPr>
              <w:pStyle w:val="TableText0"/>
              <w:keepNext w:val="0"/>
              <w:shd w:val="clear" w:color="auto" w:fill="B8CCE4" w:themeFill="accent1" w:themeFillTint="66"/>
              <w:rPr>
                <w:lang w:val="en-US"/>
              </w:rPr>
            </w:pPr>
          </w:p>
          <w:p w14:paraId="2B93E985" w14:textId="77777777" w:rsidR="00091D2A" w:rsidRPr="00552B0C" w:rsidRDefault="00091D2A" w:rsidP="00B0505A">
            <w:pPr>
              <w:pStyle w:val="TableText0"/>
              <w:keepNext w:val="0"/>
              <w:shd w:val="clear" w:color="auto" w:fill="B8CCE4" w:themeFill="accent1" w:themeFillTint="66"/>
              <w:rPr>
                <w:lang w:val="en-US"/>
              </w:rPr>
            </w:pPr>
            <w:r w:rsidRPr="00552B0C">
              <w:rPr>
                <w:lang w:val="en-US"/>
              </w:rPr>
              <w:t>The submission assumed a constant and continuous treatment effect for both endpoints (assuming proportional hazards assumptions were met).</w:t>
            </w:r>
          </w:p>
          <w:p w14:paraId="64726CEE" w14:textId="77777777" w:rsidR="00091D2A" w:rsidRPr="00552B0C" w:rsidRDefault="00091D2A">
            <w:pPr>
              <w:pStyle w:val="TableText0"/>
              <w:keepNext w:val="0"/>
            </w:pPr>
          </w:p>
          <w:p w14:paraId="14C9C998" w14:textId="3558293D" w:rsidR="00091D2A" w:rsidRPr="00552B0C" w:rsidRDefault="00B0505A">
            <w:pPr>
              <w:pStyle w:val="TableText0"/>
              <w:keepNext w:val="0"/>
            </w:pPr>
            <w:r w:rsidRPr="00552B0C">
              <w:t>17% of QALYs and 7% of costs occur in the extrapolated period in the NALIRIFOX arm and 13% of QALYs and 6% of costs occur in the extrapolated period in the mixed comparator arm.</w:t>
            </w:r>
          </w:p>
        </w:tc>
      </w:tr>
      <w:tr w:rsidR="00091D2A" w:rsidRPr="00552B0C" w14:paraId="63719A51" w14:textId="77777777" w:rsidTr="00AF13CF">
        <w:tc>
          <w:tcPr>
            <w:tcW w:w="1412" w:type="pct"/>
            <w:shd w:val="clear" w:color="auto" w:fill="B8CCE4" w:themeFill="accent1" w:themeFillTint="66"/>
            <w:vAlign w:val="center"/>
          </w:tcPr>
          <w:p w14:paraId="7FC3ACC5" w14:textId="77777777" w:rsidR="00091D2A" w:rsidRPr="00552B0C" w:rsidRDefault="00091D2A">
            <w:pPr>
              <w:pStyle w:val="TableText0"/>
              <w:keepNext w:val="0"/>
            </w:pPr>
            <w:r w:rsidRPr="00552B0C">
              <w:t>Cycle length</w:t>
            </w:r>
          </w:p>
        </w:tc>
        <w:tc>
          <w:tcPr>
            <w:tcW w:w="3588" w:type="pct"/>
            <w:shd w:val="clear" w:color="auto" w:fill="B8CCE4" w:themeFill="accent1" w:themeFillTint="66"/>
            <w:vAlign w:val="center"/>
          </w:tcPr>
          <w:p w14:paraId="10C7FE40" w14:textId="77777777" w:rsidR="00091D2A" w:rsidRPr="00552B0C" w:rsidRDefault="00091D2A">
            <w:pPr>
              <w:pStyle w:val="TableText0"/>
              <w:keepNext w:val="0"/>
            </w:pPr>
            <w:r w:rsidRPr="00552B0C">
              <w:rPr>
                <w:rStyle w:val="normaltextrun"/>
              </w:rPr>
              <w:t>28 days</w:t>
            </w:r>
          </w:p>
        </w:tc>
      </w:tr>
      <w:tr w:rsidR="00091D2A" w:rsidRPr="00552B0C" w14:paraId="27EC7930" w14:textId="77777777" w:rsidTr="00AF13CF">
        <w:tc>
          <w:tcPr>
            <w:tcW w:w="1412" w:type="pct"/>
            <w:shd w:val="clear" w:color="auto" w:fill="B8CCE4" w:themeFill="accent1" w:themeFillTint="66"/>
            <w:vAlign w:val="center"/>
          </w:tcPr>
          <w:p w14:paraId="1839F0B1" w14:textId="77777777" w:rsidR="00091D2A" w:rsidRPr="00552B0C" w:rsidRDefault="00091D2A">
            <w:pPr>
              <w:pStyle w:val="TableText0"/>
              <w:keepNext w:val="0"/>
            </w:pPr>
            <w:r w:rsidRPr="00552B0C">
              <w:t>Health state utility values</w:t>
            </w:r>
          </w:p>
        </w:tc>
        <w:tc>
          <w:tcPr>
            <w:tcW w:w="3588" w:type="pct"/>
            <w:shd w:val="clear" w:color="auto" w:fill="auto"/>
            <w:vAlign w:val="center"/>
          </w:tcPr>
          <w:p w14:paraId="01D372EC" w14:textId="77777777" w:rsidR="00091D2A" w:rsidRPr="00552B0C" w:rsidRDefault="00091D2A">
            <w:pPr>
              <w:pStyle w:val="TableText0"/>
              <w:keepNext w:val="0"/>
            </w:pPr>
            <w:r w:rsidRPr="00552B0C">
              <w:rPr>
                <w:rStyle w:val="normaltextrun"/>
                <w:shd w:val="clear" w:color="auto" w:fill="B8CCE4" w:themeFill="accent1" w:themeFillTint="66"/>
              </w:rPr>
              <w:t>EQ-5D-5L data (using UK value set) from the NAPOLI-3 trial (Free of Progression=0.85, Progressed=0.78).</w:t>
            </w:r>
            <w:r w:rsidRPr="00552B0C">
              <w:rPr>
                <w:rStyle w:val="normaltextrun"/>
              </w:rPr>
              <w:t xml:space="preserve"> Sensitivity analysis undertaken using AU value set for EQ-5D-5L data from NAPOLI-3 trial (Free of Progression=0.89, Progressed=0.82).</w:t>
            </w:r>
          </w:p>
        </w:tc>
      </w:tr>
      <w:tr w:rsidR="00091D2A" w:rsidRPr="00552B0C" w14:paraId="38C6F2C8" w14:textId="77777777" w:rsidTr="00AF13CF">
        <w:tc>
          <w:tcPr>
            <w:tcW w:w="1412" w:type="pct"/>
            <w:shd w:val="clear" w:color="auto" w:fill="B8CCE4" w:themeFill="accent1" w:themeFillTint="66"/>
            <w:vAlign w:val="center"/>
          </w:tcPr>
          <w:p w14:paraId="35F1FBC9" w14:textId="77777777" w:rsidR="00091D2A" w:rsidRPr="00552B0C" w:rsidRDefault="00091D2A">
            <w:pPr>
              <w:pStyle w:val="TableText0"/>
              <w:keepNext w:val="0"/>
            </w:pPr>
            <w:r w:rsidRPr="00552B0C">
              <w:t>First-line drug costs</w:t>
            </w:r>
          </w:p>
        </w:tc>
        <w:tc>
          <w:tcPr>
            <w:tcW w:w="3588" w:type="pct"/>
            <w:shd w:val="clear" w:color="auto" w:fill="auto"/>
            <w:vAlign w:val="center"/>
          </w:tcPr>
          <w:p w14:paraId="1F55143B" w14:textId="77777777" w:rsidR="00091D2A" w:rsidRPr="00552B0C" w:rsidRDefault="00091D2A">
            <w:pPr>
              <w:pStyle w:val="TableText0"/>
              <w:keepNext w:val="0"/>
              <w:rPr>
                <w:rStyle w:val="normaltextrun"/>
                <w:shd w:val="clear" w:color="auto" w:fill="8DB3E2" w:themeFill="text2" w:themeFillTint="66"/>
              </w:rPr>
            </w:pPr>
            <w:r w:rsidRPr="00552B0C">
              <w:rPr>
                <w:rStyle w:val="normaltextrun"/>
                <w:shd w:val="clear" w:color="auto" w:fill="B8CCE4" w:themeFill="accent1" w:themeFillTint="66"/>
              </w:rPr>
              <w:t>Based on patient-level data from treatment regimens administered to patients in the NAPOLI-3 (NALIRIFOX and Gem+NabP) and ACCORD11/PRODIGE4 (FOLFIRINOX) trials.</w:t>
            </w:r>
          </w:p>
          <w:p w14:paraId="1DF5D67B" w14:textId="77777777" w:rsidR="00091D2A" w:rsidRPr="00552B0C" w:rsidRDefault="00091D2A">
            <w:pPr>
              <w:pStyle w:val="TableText0"/>
              <w:keepNext w:val="0"/>
              <w:rPr>
                <w:lang w:val="en-US"/>
              </w:rPr>
            </w:pPr>
            <w:r w:rsidRPr="00552B0C">
              <w:t xml:space="preserve">The resubmission applies a reduced dose of Leucovorin/Folinic acid of 50 mg flat (compared to </w:t>
            </w:r>
            <w:r w:rsidRPr="00552B0C">
              <w:rPr>
                <w:lang w:val="en-US"/>
              </w:rPr>
              <w:t>400 mg/m</w:t>
            </w:r>
            <w:r w:rsidRPr="00552B0C">
              <w:rPr>
                <w:vertAlign w:val="superscript"/>
                <w:lang w:val="en-US"/>
              </w:rPr>
              <w:t>2</w:t>
            </w:r>
            <w:r w:rsidRPr="00552B0C">
              <w:rPr>
                <w:lang w:val="en-US"/>
              </w:rPr>
              <w:t xml:space="preserve"> as was used in the NAPOLI-3 and ACCORD11/PRODIGE4 trials).</w:t>
            </w:r>
          </w:p>
          <w:p w14:paraId="4434CDC6" w14:textId="0CD4315F" w:rsidR="00091D2A" w:rsidRPr="00E26F56" w:rsidRDefault="00091D2A">
            <w:pPr>
              <w:pStyle w:val="TableText0"/>
              <w:keepNext w:val="0"/>
              <w:rPr>
                <w:rStyle w:val="normaltextrun"/>
                <w:lang w:val="en-US"/>
              </w:rPr>
            </w:pPr>
            <w:r w:rsidRPr="00552B0C">
              <w:rPr>
                <w:lang w:val="en-US"/>
              </w:rPr>
              <w:t xml:space="preserve">The resubmission applied a rebate of </w:t>
            </w:r>
            <w:r w:rsidR="005F3BC8" w:rsidRPr="00F73F98">
              <w:rPr>
                <w:color w:val="000000"/>
                <w:spacing w:val="50"/>
                <w:shd w:val="solid" w:color="000000" w:fill="000000"/>
                <w:fitText w:val="323" w:id="-760998128"/>
                <w:lang w:val="en-US"/>
                <w14:textFill>
                  <w14:solidFill>
                    <w14:srgbClr w14:val="000000">
                      <w14:alpha w14:val="100000"/>
                    </w14:srgbClr>
                  </w14:solidFill>
                </w14:textFill>
              </w:rPr>
              <w:t>|||</w:t>
            </w:r>
            <w:r w:rsidR="005F3BC8" w:rsidRPr="00F73F98">
              <w:rPr>
                <w:color w:val="000000"/>
                <w:spacing w:val="3"/>
                <w:shd w:val="solid" w:color="000000" w:fill="000000"/>
                <w:fitText w:val="323" w:id="-760998128"/>
                <w:lang w:val="en-US"/>
                <w14:textFill>
                  <w14:solidFill>
                    <w14:srgbClr w14:val="000000">
                      <w14:alpha w14:val="100000"/>
                    </w14:srgbClr>
                  </w14:solidFill>
                </w14:textFill>
              </w:rPr>
              <w:t>|</w:t>
            </w:r>
            <w:r w:rsidRPr="00552B0C">
              <w:rPr>
                <w:lang w:val="en-US"/>
              </w:rPr>
              <w:t xml:space="preserve">% on government expenditure of nal-IRI (increased from a </w:t>
            </w:r>
            <w:r w:rsidR="005F3BC8" w:rsidRPr="00F73F98">
              <w:rPr>
                <w:color w:val="000000"/>
                <w:spacing w:val="54"/>
                <w:shd w:val="solid" w:color="000000" w:fill="000000"/>
                <w:fitText w:val="333" w:id="-760998144"/>
                <w:lang w:val="en-US"/>
                <w14:textFill>
                  <w14:solidFill>
                    <w14:srgbClr w14:val="000000">
                      <w14:alpha w14:val="100000"/>
                    </w14:srgbClr>
                  </w14:solidFill>
                </w14:textFill>
              </w:rPr>
              <w:t>|||</w:t>
            </w:r>
            <w:r w:rsidR="005F3BC8" w:rsidRPr="00F73F98">
              <w:rPr>
                <w:color w:val="000000"/>
                <w:spacing w:val="1"/>
                <w:shd w:val="solid" w:color="000000" w:fill="000000"/>
                <w:fitText w:val="333" w:id="-760998144"/>
                <w:lang w:val="en-US"/>
                <w14:textFill>
                  <w14:solidFill>
                    <w14:srgbClr w14:val="000000">
                      <w14:alpha w14:val="100000"/>
                    </w14:srgbClr>
                  </w14:solidFill>
                </w14:textFill>
              </w:rPr>
              <w:t>|</w:t>
            </w:r>
            <w:r w:rsidRPr="00552B0C">
              <w:rPr>
                <w:lang w:val="en-US"/>
              </w:rPr>
              <w:t>% rebate proposed in the March 2024 submission) and assumed a 40% rebate on government expenditure of NabP in the economic model (no rebate was applied for NabP in the March 2024 submission).</w:t>
            </w:r>
          </w:p>
        </w:tc>
      </w:tr>
      <w:tr w:rsidR="00091D2A" w:rsidRPr="00552B0C" w14:paraId="11C6FD02" w14:textId="77777777" w:rsidTr="00AF13CF">
        <w:tc>
          <w:tcPr>
            <w:tcW w:w="1412" w:type="pct"/>
            <w:shd w:val="clear" w:color="auto" w:fill="B8CCE4" w:themeFill="accent1" w:themeFillTint="66"/>
            <w:vAlign w:val="center"/>
          </w:tcPr>
          <w:p w14:paraId="435CB1EE" w14:textId="77777777" w:rsidR="00091D2A" w:rsidRPr="00552B0C" w:rsidRDefault="00091D2A">
            <w:pPr>
              <w:pStyle w:val="TableText0"/>
              <w:keepNext w:val="0"/>
            </w:pPr>
            <w:r w:rsidRPr="00552B0C">
              <w:t>Drug administration costs</w:t>
            </w:r>
          </w:p>
        </w:tc>
        <w:tc>
          <w:tcPr>
            <w:tcW w:w="3588" w:type="pct"/>
            <w:shd w:val="clear" w:color="auto" w:fill="B8CCE4" w:themeFill="accent1" w:themeFillTint="66"/>
            <w:vAlign w:val="center"/>
          </w:tcPr>
          <w:p w14:paraId="5622D80B" w14:textId="77777777" w:rsidR="00091D2A" w:rsidRPr="00552B0C" w:rsidRDefault="00091D2A">
            <w:pPr>
              <w:pStyle w:val="Tabletext"/>
              <w:rPr>
                <w:rStyle w:val="normaltextrun"/>
                <w:shd w:val="clear" w:color="auto" w:fill="8DB3E2" w:themeFill="text2" w:themeFillTint="66"/>
              </w:rPr>
            </w:pPr>
            <w:r w:rsidRPr="00552B0C">
              <w:rPr>
                <w:shd w:val="clear" w:color="auto" w:fill="B8CCE4" w:themeFill="accent1" w:themeFillTint="66"/>
                <w:lang w:val="en-US"/>
              </w:rPr>
              <w:t xml:space="preserve">A chemotherapy administration fee based on MBS item 13950 is applied for each administration of each regimen over the course of </w:t>
            </w:r>
            <w:r w:rsidRPr="00552B0C">
              <w:rPr>
                <w:rStyle w:val="TabletextChar"/>
              </w:rPr>
              <w:t>treatment.</w:t>
            </w:r>
          </w:p>
        </w:tc>
      </w:tr>
      <w:tr w:rsidR="00091D2A" w:rsidRPr="00552B0C" w14:paraId="51A2E0C5" w14:textId="77777777" w:rsidTr="00AF13CF">
        <w:tc>
          <w:tcPr>
            <w:tcW w:w="1412" w:type="pct"/>
            <w:shd w:val="clear" w:color="auto" w:fill="B8CCE4" w:themeFill="accent1" w:themeFillTint="66"/>
            <w:vAlign w:val="center"/>
          </w:tcPr>
          <w:p w14:paraId="19E4F57E" w14:textId="77777777" w:rsidR="00091D2A" w:rsidRPr="00552B0C" w:rsidRDefault="00091D2A">
            <w:pPr>
              <w:pStyle w:val="TableText0"/>
              <w:keepNext w:val="0"/>
            </w:pPr>
            <w:r w:rsidRPr="00552B0C">
              <w:t xml:space="preserve">Costs related to subsequent anticancer therapy </w:t>
            </w:r>
          </w:p>
        </w:tc>
        <w:tc>
          <w:tcPr>
            <w:tcW w:w="3588" w:type="pct"/>
            <w:shd w:val="clear" w:color="auto" w:fill="B8CCE4" w:themeFill="accent1" w:themeFillTint="66"/>
            <w:vAlign w:val="center"/>
          </w:tcPr>
          <w:p w14:paraId="7FAAAC59" w14:textId="77777777" w:rsidR="00091D2A" w:rsidRPr="00552B0C" w:rsidRDefault="00091D2A">
            <w:pPr>
              <w:pStyle w:val="TableText0"/>
              <w:keepNext w:val="0"/>
              <w:rPr>
                <w:rStyle w:val="normaltextrun"/>
                <w:shd w:val="clear" w:color="auto" w:fill="8DB3E2" w:themeFill="text2" w:themeFillTint="66"/>
              </w:rPr>
            </w:pPr>
            <w:r w:rsidRPr="00552B0C">
              <w:t xml:space="preserve">Current PBS restriction does not allow for the use of NabP second- or subsequent-line and nal-IRI is not PBS-listed; therefore, the submission applied the lower cost PBS-listed paclitaxel and irinotecan as substitutes, and actual costs of these medications were tested in sensitivity analysis. </w:t>
            </w:r>
          </w:p>
        </w:tc>
      </w:tr>
      <w:tr w:rsidR="00091D2A" w:rsidRPr="00552B0C" w14:paraId="254377DC" w14:textId="77777777" w:rsidTr="00AF13CF">
        <w:tc>
          <w:tcPr>
            <w:tcW w:w="1412" w:type="pct"/>
            <w:shd w:val="clear" w:color="auto" w:fill="B8CCE4" w:themeFill="accent1" w:themeFillTint="66"/>
            <w:vAlign w:val="center"/>
          </w:tcPr>
          <w:p w14:paraId="7095CAF1" w14:textId="77777777" w:rsidR="00091D2A" w:rsidRPr="00552B0C" w:rsidRDefault="00091D2A">
            <w:pPr>
              <w:pStyle w:val="TableText0"/>
              <w:keepNext w:val="0"/>
            </w:pPr>
            <w:r w:rsidRPr="00552B0C">
              <w:t>Costs related to AE management</w:t>
            </w:r>
          </w:p>
        </w:tc>
        <w:tc>
          <w:tcPr>
            <w:tcW w:w="3588" w:type="pct"/>
            <w:shd w:val="clear" w:color="auto" w:fill="FFFFFF" w:themeFill="background1"/>
            <w:vAlign w:val="center"/>
          </w:tcPr>
          <w:p w14:paraId="3D97768A" w14:textId="77777777" w:rsidR="00091D2A" w:rsidRPr="00552B0C" w:rsidRDefault="00091D2A">
            <w:pPr>
              <w:pStyle w:val="TableText0"/>
              <w:keepNext w:val="0"/>
              <w:shd w:val="clear" w:color="auto" w:fill="FFFFFF" w:themeFill="background1"/>
              <w:rPr>
                <w:lang w:val="en-US"/>
              </w:rPr>
            </w:pPr>
            <w:r w:rsidRPr="00552B0C">
              <w:rPr>
                <w:shd w:val="clear" w:color="auto" w:fill="B8CCE4" w:themeFill="accent1" w:themeFillTint="66"/>
                <w:lang w:val="en-US"/>
              </w:rPr>
              <w:t>Costs associated with management of Grade 3-4 treatment emergent adverse events (TEAEs) were included in the economic evaluation, informed by incidence rates derived from the NAPOLI-3 trial (for NALIRIFOX and Gem+NabP)</w:t>
            </w:r>
            <w:r w:rsidRPr="00552B0C">
              <w:rPr>
                <w:shd w:val="clear" w:color="auto" w:fill="8DB3E2" w:themeFill="text2" w:themeFillTint="66"/>
                <w:lang w:val="en-US"/>
              </w:rPr>
              <w:t xml:space="preserve"> </w:t>
            </w:r>
            <w:r w:rsidRPr="00552B0C">
              <w:rPr>
                <w:shd w:val="clear" w:color="auto" w:fill="FFFFFF" w:themeFill="background1"/>
                <w:lang w:val="en-US"/>
              </w:rPr>
              <w:t>and GENERATE (for FOLFIRINOX).</w:t>
            </w:r>
            <w:r w:rsidRPr="00552B0C">
              <w:rPr>
                <w:lang w:val="en-US"/>
              </w:rPr>
              <w:t xml:space="preserve"> </w:t>
            </w:r>
          </w:p>
          <w:p w14:paraId="76AB50B0" w14:textId="77777777" w:rsidR="00091D2A" w:rsidRPr="00552B0C" w:rsidRDefault="00091D2A">
            <w:pPr>
              <w:pStyle w:val="TableText0"/>
              <w:keepNext w:val="0"/>
              <w:rPr>
                <w:rStyle w:val="normaltextrun"/>
                <w:shd w:val="clear" w:color="auto" w:fill="8DB3E2" w:themeFill="text2" w:themeFillTint="66"/>
              </w:rPr>
            </w:pPr>
            <w:r w:rsidRPr="00552B0C">
              <w:rPr>
                <w:shd w:val="clear" w:color="auto" w:fill="B8CCE4" w:themeFill="accent1" w:themeFillTint="66"/>
              </w:rPr>
              <w:lastRenderedPageBreak/>
              <w:t>Clinician advice was sought to inform the management of TEAEs and these were costed in accordance with the recommendations of the PBAC Manual of Resource Items and their Associated Costs</w:t>
            </w:r>
            <w:r w:rsidRPr="00552B0C">
              <w:rPr>
                <w:shd w:val="clear" w:color="auto" w:fill="8DB3E2" w:themeFill="text2" w:themeFillTint="66"/>
              </w:rPr>
              <w:t xml:space="preserve">. </w:t>
            </w:r>
          </w:p>
        </w:tc>
      </w:tr>
    </w:tbl>
    <w:p w14:paraId="2859F995" w14:textId="77777777" w:rsidR="00091D2A" w:rsidRPr="00552B0C" w:rsidRDefault="00091D2A" w:rsidP="00091D2A">
      <w:pPr>
        <w:pStyle w:val="FooterTableFigure"/>
      </w:pPr>
      <w:r w:rsidRPr="00552B0C">
        <w:lastRenderedPageBreak/>
        <w:t>Source: Compiled during the evaluation.</w:t>
      </w:r>
    </w:p>
    <w:p w14:paraId="1EC8879F" w14:textId="383B37A0" w:rsidR="00091D2A" w:rsidRPr="00552B0C" w:rsidRDefault="00091D2A" w:rsidP="00091D2A">
      <w:pPr>
        <w:pStyle w:val="FooterTableFigure"/>
      </w:pPr>
      <w:r w:rsidRPr="00552B0C">
        <w:t xml:space="preserve">Abbreviations: </w:t>
      </w:r>
      <w:r w:rsidR="00B96E75" w:rsidRPr="00552B0C">
        <w:t>AEs, adverse events</w:t>
      </w:r>
      <w:r w:rsidR="00D069D2" w:rsidRPr="00552B0C">
        <w:t xml:space="preserve">; </w:t>
      </w:r>
      <w:r w:rsidRPr="00552B0C">
        <w:t>AIC, Akaike Information Criterion; AU, Australia; BIC, Bayesian Information Criterion;</w:t>
      </w:r>
      <w:r w:rsidRPr="00552B0C">
        <w:rPr>
          <w:lang w:val="en-US"/>
        </w:rPr>
        <w:t xml:space="preserve"> </w:t>
      </w:r>
      <w:r w:rsidRPr="00552B0C">
        <w:t xml:space="preserve">EQ-5D-5L, EuroQol 5-dimension health status questionnaire (5 level); FOLFIRINOX, Fluorouracil, Folinic Acid, Irinotecan, Oxaliplatin; </w:t>
      </w:r>
      <w:r w:rsidRPr="00552B0C">
        <w:rPr>
          <w:lang w:val="en-US"/>
        </w:rPr>
        <w:t>Gem+NabP,</w:t>
      </w:r>
      <w:r w:rsidRPr="00552B0C">
        <w:t xml:space="preserve"> gemcitabine plus nanoparticle albumin-bound paclitaxel; </w:t>
      </w:r>
      <w:r w:rsidRPr="00552B0C">
        <w:rPr>
          <w:lang w:val="en-US"/>
        </w:rPr>
        <w:t xml:space="preserve">HR, hazard ratio; KM, Kaplan-Meier; MAIC, matching adjusted indirect treatment comparison; MBS, Medicare Benefits Schedule; NabP, </w:t>
      </w:r>
      <w:r w:rsidRPr="00552B0C">
        <w:t>nanoparticle albumin-bound paclitaxel;</w:t>
      </w:r>
      <w:r w:rsidRPr="00552B0C">
        <w:rPr>
          <w:lang w:val="en-US"/>
        </w:rPr>
        <w:t xml:space="preserve"> nal-IRI, nanoliposomal irinotecan; NALIRIFOX, </w:t>
      </w:r>
      <w:r w:rsidRPr="00552B0C">
        <w:rPr>
          <w:rStyle w:val="CommentReference"/>
          <w:b w:val="0"/>
          <w:bCs/>
          <w:sz w:val="18"/>
          <w:szCs w:val="18"/>
        </w:rPr>
        <w:t>nanoliposomal irinotecan in combination with 5-fluorouracil, leucovorin/folinic acid, and oxaliplatin;</w:t>
      </w:r>
      <w:r w:rsidRPr="00552B0C">
        <w:rPr>
          <w:lang w:val="en-US"/>
        </w:rPr>
        <w:t xml:space="preserve"> </w:t>
      </w:r>
      <w:r w:rsidRPr="00552B0C">
        <w:t xml:space="preserve">OS, overall survival; PBAC, Pharmaceutical Benefits Advisory Committee; PBS, Pharmaceutical Benefits Scheme; PFS, progression-free survival; QALYs, quality-adjusted life years; </w:t>
      </w:r>
      <w:r w:rsidRPr="00552B0C">
        <w:rPr>
          <w:lang w:val="en-US"/>
        </w:rPr>
        <w:t>TEAE, treatment emergent adverse event; UK, United Kingdom.</w:t>
      </w:r>
    </w:p>
    <w:p w14:paraId="0E07A4F9" w14:textId="32BBA43A" w:rsidR="00091D2A" w:rsidRPr="00552B0C" w:rsidRDefault="00091D2A" w:rsidP="00E26F56">
      <w:pPr>
        <w:pStyle w:val="FooterTableFigure"/>
        <w:widowControl w:val="0"/>
        <w:rPr>
          <w:lang w:val="en-GB" w:eastAsia="en-GB"/>
        </w:rPr>
      </w:pPr>
      <w:r w:rsidRPr="00552B0C">
        <w:rPr>
          <w:shd w:val="clear" w:color="auto" w:fill="B8CCE4" w:themeFill="accent1" w:themeFillTint="66"/>
        </w:rPr>
        <w:t>Blue shading</w:t>
      </w:r>
      <w:r w:rsidRPr="00552B0C">
        <w:t xml:space="preserve"> indicates these elements were unchanged from the March 2024 submission.</w:t>
      </w:r>
      <w:r w:rsidR="008D0998">
        <w:t xml:space="preserve"> </w:t>
      </w:r>
    </w:p>
    <w:p w14:paraId="56509F80" w14:textId="1A4EA427" w:rsidR="00091D2A" w:rsidRPr="00552B0C" w:rsidRDefault="00091D2A" w:rsidP="4E6EDD58">
      <w:pPr>
        <w:pStyle w:val="3-BodyText"/>
      </w:pPr>
      <w:r w:rsidRPr="00552B0C">
        <w:t xml:space="preserve">The economic model </w:t>
      </w:r>
      <w:r w:rsidR="484084AE" w:rsidRPr="00552B0C">
        <w:t>used</w:t>
      </w:r>
      <w:r w:rsidRPr="00552B0C">
        <w:t xml:space="preserve"> a partitioned-survival model</w:t>
      </w:r>
      <w:r w:rsidR="16995AA7" w:rsidRPr="00552B0C">
        <w:t>, with</w:t>
      </w:r>
      <w:r w:rsidRPr="00552B0C" w:rsidDel="00091D2A">
        <w:rPr>
          <w:rFonts w:eastAsia="Calibri"/>
        </w:rPr>
        <w:t xml:space="preserve"> the </w:t>
      </w:r>
      <w:r w:rsidRPr="00552B0C">
        <w:rPr>
          <w:rFonts w:eastAsia="Calibri"/>
        </w:rPr>
        <w:t>results calculated using an expected value analysis, with results reported for a single average patient.</w:t>
      </w:r>
    </w:p>
    <w:p w14:paraId="2360117C" w14:textId="412EB189" w:rsidR="00091D2A" w:rsidRPr="00552B0C" w:rsidRDefault="00091D2A" w:rsidP="00552B0C">
      <w:pPr>
        <w:pStyle w:val="3-BodyText"/>
        <w:numPr>
          <w:ilvl w:val="1"/>
          <w:numId w:val="5"/>
        </w:numPr>
      </w:pPr>
      <w:r w:rsidRPr="00552B0C">
        <w:t xml:space="preserve">The resubmission used PFS and OS curves from the NAPOLI-3 trial to inform the proportion of patients and time spent in each of the health states in the economic model for the NALIRIFOX and Gem+NabP treatment arms. For the FOLFIRINOX treatment arm, HRs from the </w:t>
      </w:r>
      <w:r w:rsidRPr="00552B0C">
        <w:rPr>
          <w:lang w:val="en-US"/>
        </w:rPr>
        <w:t>MAIC of NALIRIFOX vs FOLFIRINOX were applied to NALIRIFOX PFS and OS curves</w:t>
      </w:r>
      <w:r w:rsidR="0022672C" w:rsidRPr="00552B0C">
        <w:rPr>
          <w:lang w:val="en-US"/>
        </w:rPr>
        <w:t xml:space="preserve"> (OS HR=0.66</w:t>
      </w:r>
      <w:r w:rsidR="000755BD" w:rsidRPr="00552B0C">
        <w:rPr>
          <w:lang w:val="en-US"/>
        </w:rPr>
        <w:t xml:space="preserve"> (95%CI 0.47, 0.92)</w:t>
      </w:r>
      <w:r w:rsidR="00C16306" w:rsidRPr="00552B0C">
        <w:rPr>
          <w:lang w:val="en-US"/>
        </w:rPr>
        <w:t xml:space="preserve"> and PFS HR</w:t>
      </w:r>
      <w:r w:rsidR="00B70477" w:rsidRPr="00552B0C">
        <w:rPr>
          <w:lang w:val="en-US"/>
        </w:rPr>
        <w:t>=0.53 (0.39, 0.72))</w:t>
      </w:r>
      <w:r w:rsidRPr="00552B0C">
        <w:rPr>
          <w:lang w:val="en-US"/>
        </w:rPr>
        <w:t xml:space="preserve">. </w:t>
      </w:r>
      <w:r w:rsidR="00A61711" w:rsidRPr="00552B0C">
        <w:rPr>
          <w:lang w:val="en-US"/>
        </w:rPr>
        <w:t xml:space="preserve">This differs from the March 2024 </w:t>
      </w:r>
      <w:r w:rsidR="00180072" w:rsidRPr="00552B0C">
        <w:rPr>
          <w:lang w:val="en-US"/>
        </w:rPr>
        <w:t>submission</w:t>
      </w:r>
      <w:r w:rsidRPr="00552B0C">
        <w:rPr>
          <w:lang w:val="en-US"/>
        </w:rPr>
        <w:t xml:space="preserve"> </w:t>
      </w:r>
      <w:r w:rsidR="00BB3FE8" w:rsidRPr="00552B0C">
        <w:rPr>
          <w:lang w:val="en-US"/>
        </w:rPr>
        <w:t>which modelled</w:t>
      </w:r>
      <w:r w:rsidR="0009553F" w:rsidRPr="00552B0C">
        <w:rPr>
          <w:lang w:val="en-US"/>
        </w:rPr>
        <w:t xml:space="preserve"> two alternative scenarios</w:t>
      </w:r>
      <w:r w:rsidR="00385EF6" w:rsidRPr="00552B0C">
        <w:rPr>
          <w:lang w:val="en-US"/>
        </w:rPr>
        <w:t xml:space="preserve"> that were more conservative with respect to the comparative effectiveness of </w:t>
      </w:r>
      <w:r w:rsidR="00113ACA" w:rsidRPr="00552B0C">
        <w:rPr>
          <w:lang w:val="en-US"/>
        </w:rPr>
        <w:t xml:space="preserve">NALIRIFOX and </w:t>
      </w:r>
      <w:r w:rsidR="00385EF6" w:rsidRPr="00552B0C">
        <w:rPr>
          <w:lang w:val="en-US"/>
        </w:rPr>
        <w:t>FOLFIRINOX</w:t>
      </w:r>
      <w:r w:rsidR="00113ACA" w:rsidRPr="00552B0C">
        <w:rPr>
          <w:lang w:val="en-US"/>
        </w:rPr>
        <w:t>.</w:t>
      </w:r>
      <w:r w:rsidR="00434A1B" w:rsidRPr="00552B0C">
        <w:rPr>
          <w:lang w:val="en-US"/>
        </w:rPr>
        <w:t xml:space="preserve"> </w:t>
      </w:r>
      <w:r w:rsidR="00113ACA" w:rsidRPr="00552B0C">
        <w:rPr>
          <w:lang w:val="en-US"/>
        </w:rPr>
        <w:t>T</w:t>
      </w:r>
      <w:r w:rsidR="00E00A82" w:rsidRPr="00552B0C">
        <w:rPr>
          <w:lang w:val="en-US"/>
        </w:rPr>
        <w:t>he resubmission</w:t>
      </w:r>
      <w:r w:rsidR="0055227D" w:rsidRPr="00552B0C">
        <w:rPr>
          <w:lang w:val="en-US"/>
        </w:rPr>
        <w:t xml:space="preserve"> used more favourable estimates for the comparative effectiveness of NALIRIFOX vs FOLFIRINOX</w:t>
      </w:r>
      <w:r w:rsidR="00424FA6" w:rsidRPr="00552B0C">
        <w:rPr>
          <w:lang w:val="en-US"/>
        </w:rPr>
        <w:t xml:space="preserve"> compared to the March</w:t>
      </w:r>
      <w:r w:rsidR="00AF13CF">
        <w:rPr>
          <w:lang w:val="en-US"/>
        </w:rPr>
        <w:t> </w:t>
      </w:r>
      <w:r w:rsidR="00424FA6" w:rsidRPr="00552B0C">
        <w:rPr>
          <w:lang w:val="en-US"/>
        </w:rPr>
        <w:t xml:space="preserve">2024 submission. </w:t>
      </w:r>
    </w:p>
    <w:p w14:paraId="378B8FE6" w14:textId="0711EA86" w:rsidR="00091D2A" w:rsidRPr="00552B0C" w:rsidRDefault="00091D2A" w:rsidP="00552B0C">
      <w:pPr>
        <w:pStyle w:val="3-BodyText"/>
        <w:numPr>
          <w:ilvl w:val="1"/>
          <w:numId w:val="5"/>
        </w:numPr>
        <w:rPr>
          <w:lang w:val="en-US"/>
        </w:rPr>
      </w:pPr>
      <w:r w:rsidRPr="00552B0C">
        <w:t xml:space="preserve">The availability of additional OS follow-up data from the NAPOLI-3 trial has resulted in new extrapolations for </w:t>
      </w:r>
      <w:r w:rsidRPr="00552B0C">
        <w:rPr>
          <w:lang w:val="en-US"/>
        </w:rPr>
        <w:t>NALIRIFOX and Gem+NabP OS in the resubmission. The extrapolation and modelled curves for PFS from NAPOLI-3 have not changed from the March 2024 submission as no additional PFS data have been reported</w:t>
      </w:r>
      <w:r w:rsidR="000F21D1" w:rsidRPr="00552B0C">
        <w:rPr>
          <w:lang w:val="en-US"/>
        </w:rPr>
        <w:t xml:space="preserve"> (PFS HR applied was 0.69 (95%CI 0.58,0.83))</w:t>
      </w:r>
      <w:r w:rsidRPr="00552B0C">
        <w:rPr>
          <w:lang w:val="en-US"/>
        </w:rPr>
        <w:t xml:space="preserve">. </w:t>
      </w:r>
    </w:p>
    <w:p w14:paraId="001C39D5" w14:textId="558EE0BE" w:rsidR="00091D2A" w:rsidRPr="00552B0C" w:rsidRDefault="00091D2A" w:rsidP="4D38AAD8">
      <w:pPr>
        <w:pStyle w:val="3-BodyText"/>
        <w:rPr>
          <w:color w:val="0066FF"/>
        </w:rPr>
      </w:pPr>
      <w:r w:rsidRPr="00552B0C">
        <w:rPr>
          <w:lang w:val="en-US"/>
        </w:rPr>
        <w:t xml:space="preserve">Consistent with the March 2024 submission, the Weibull function was used to extrapolate NALIRIFOX and Gem+NabP OS curves beyond the observed data as it was statistically the best-fitting parametric function according to both the Akaike Information Criterion (AIC) and Bayesian Information Criterion (BIC). </w:t>
      </w:r>
    </w:p>
    <w:p w14:paraId="55E35A99" w14:textId="1896009D" w:rsidR="00091D2A" w:rsidRPr="00552B0C" w:rsidRDefault="00FE096B" w:rsidP="00552B0C">
      <w:pPr>
        <w:pStyle w:val="3-BodyText"/>
        <w:numPr>
          <w:ilvl w:val="1"/>
          <w:numId w:val="5"/>
        </w:numPr>
        <w:rPr>
          <w:lang w:val="en-US"/>
        </w:rPr>
      </w:pPr>
      <w:bookmarkStart w:id="82" w:name="_Ref177511316"/>
      <w:r w:rsidRPr="00552B0C">
        <w:t>Consistent with the March 2024 submission</w:t>
      </w:r>
      <w:r w:rsidR="001779B1" w:rsidRPr="00552B0C">
        <w:t>, the point at which KM data switches to extrapolated data in t</w:t>
      </w:r>
      <w:r w:rsidR="00091D2A" w:rsidRPr="00552B0C">
        <w:t>he base-case economic analysis</w:t>
      </w:r>
      <w:r w:rsidR="008D0998">
        <w:t xml:space="preserve"> </w:t>
      </w:r>
      <w:r w:rsidR="00BB4020">
        <w:t>was</w:t>
      </w:r>
      <w:r w:rsidR="00BB4020" w:rsidRPr="00552B0C">
        <w:t xml:space="preserve"> </w:t>
      </w:r>
      <w:r w:rsidR="00091D2A" w:rsidRPr="00552B0C">
        <w:t xml:space="preserve">informed by </w:t>
      </w:r>
      <w:r w:rsidR="001779B1" w:rsidRPr="00552B0C">
        <w:t>the publication by</w:t>
      </w:r>
      <w:r w:rsidR="00091D2A" w:rsidRPr="00552B0C">
        <w:t xml:space="preserve"> Pocock et al, 2002. The PBAC previously</w:t>
      </w:r>
      <w:r w:rsidR="00091D2A" w:rsidRPr="00552B0C" w:rsidDel="00A0233E">
        <w:t xml:space="preserve"> </w:t>
      </w:r>
      <w:r w:rsidR="00091D2A" w:rsidRPr="00552B0C">
        <w:t xml:space="preserve">determined that the approach used by Pocock et al, 2002, with OS and PFS KM functions used for 19 cycles/16 cycles for NALIRIFOX and 18 cycles/11 cycles for Gem+NabP, resulted in the exclusion of a substantial number of patients (77 out of 770 patients in the NAPOLI-3 trial) from the base case analysis. The ICER was sensitive to the time point selected for extrapolation, </w:t>
      </w:r>
      <w:r w:rsidR="006E2608" w:rsidRPr="00552B0C">
        <w:t>h</w:t>
      </w:r>
      <w:r w:rsidR="00091D2A" w:rsidRPr="00552B0C">
        <w:t>owever, given the updated NAPOLI-3 OS data available in the resubmission, the revised time point switch from OS/PFS KM data to extrapolation is now 29</w:t>
      </w:r>
      <w:r w:rsidR="00AF13CF">
        <w:t> </w:t>
      </w:r>
      <w:r w:rsidR="00091D2A" w:rsidRPr="00552B0C">
        <w:t>cycles/16</w:t>
      </w:r>
      <w:r w:rsidR="00AF13CF">
        <w:t> </w:t>
      </w:r>
      <w:r w:rsidR="00091D2A" w:rsidRPr="00552B0C">
        <w:t xml:space="preserve">cycles in the </w:t>
      </w:r>
      <w:r w:rsidR="00091D2A" w:rsidRPr="00552B0C">
        <w:rPr>
          <w:lang w:val="en-US"/>
        </w:rPr>
        <w:t xml:space="preserve">NALIRIFOX arm and 28 cycles/11 cycles in the Gem+NabP </w:t>
      </w:r>
      <w:r w:rsidR="00091D2A" w:rsidRPr="00552B0C">
        <w:rPr>
          <w:lang w:val="en-US"/>
        </w:rPr>
        <w:lastRenderedPageBreak/>
        <w:t xml:space="preserve">arm. The ICER in the resubmission is not sensitive to alternative timepoints of </w:t>
      </w:r>
      <w:r w:rsidR="005F3BC8" w:rsidRPr="00993109">
        <w:rPr>
          <w:color w:val="000000"/>
          <w:w w:val="15"/>
          <w:shd w:val="solid" w:color="000000" w:fill="000000"/>
          <w:fitText w:val="-20" w:id="-760998143"/>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43"/>
          <w:lang w:val="en-US"/>
          <w14:textFill>
            <w14:solidFill>
              <w14:srgbClr w14:val="000000">
                <w14:alpha w14:val="100000"/>
              </w14:srgbClr>
            </w14:solidFill>
          </w14:textFill>
        </w:rPr>
        <w:t>|</w:t>
      </w:r>
      <w:r w:rsidR="00091D2A" w:rsidRPr="00552B0C">
        <w:rPr>
          <w:lang w:val="en-US"/>
        </w:rPr>
        <w:t xml:space="preserve">% and </w:t>
      </w:r>
      <w:r w:rsidR="005F3BC8" w:rsidRPr="00993109">
        <w:rPr>
          <w:color w:val="000000"/>
          <w:w w:val="15"/>
          <w:shd w:val="solid" w:color="000000" w:fill="000000"/>
          <w:fitText w:val="-20" w:id="-760998142"/>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42"/>
          <w:lang w:val="en-US"/>
          <w14:textFill>
            <w14:solidFill>
              <w14:srgbClr w14:val="000000">
                <w14:alpha w14:val="100000"/>
              </w14:srgbClr>
            </w14:solidFill>
          </w14:textFill>
        </w:rPr>
        <w:t>|</w:t>
      </w:r>
      <w:r w:rsidR="00091D2A" w:rsidRPr="00552B0C">
        <w:rPr>
          <w:lang w:val="en-US"/>
        </w:rPr>
        <w:t>%.</w:t>
      </w:r>
      <w:bookmarkEnd w:id="82"/>
      <w:r w:rsidR="008D0998">
        <w:rPr>
          <w:lang w:val="en-US"/>
        </w:rPr>
        <w:t xml:space="preserve"> </w:t>
      </w:r>
    </w:p>
    <w:p w14:paraId="36605B5F" w14:textId="5E3397D5" w:rsidR="00091D2A" w:rsidRPr="00552B0C" w:rsidRDefault="00091D2A" w:rsidP="00552B0C">
      <w:pPr>
        <w:pStyle w:val="3-BodyText"/>
        <w:numPr>
          <w:ilvl w:val="1"/>
          <w:numId w:val="5"/>
        </w:numPr>
        <w:rPr>
          <w:color w:val="0066FF"/>
        </w:rPr>
      </w:pPr>
      <w:r w:rsidRPr="00552B0C">
        <w:rPr>
          <w:rStyle w:val="3-BodyTextChar"/>
        </w:rPr>
        <w:t>Modelled PFS and OS curves for NALIRIFOX and Gem+NabP, compared to KM data derived from NAPOLI-3 are presented in</w:t>
      </w:r>
      <w:r w:rsidRPr="00552B0C">
        <w:t xml:space="preserve"> </w:t>
      </w:r>
      <w:r w:rsidRPr="00552B0C">
        <w:fldChar w:fldCharType="begin" w:fldLock="1"/>
      </w:r>
      <w:r w:rsidRPr="00552B0C">
        <w:instrText xml:space="preserve"> REF _Ref176374566 \h </w:instrText>
      </w:r>
      <w:r w:rsidR="00B87FAE" w:rsidRPr="00552B0C">
        <w:instrText xml:space="preserve"> \* MERGEFORMAT </w:instrText>
      </w:r>
      <w:r w:rsidRPr="00552B0C">
        <w:fldChar w:fldCharType="separate"/>
      </w:r>
      <w:r w:rsidR="001C19B6" w:rsidRPr="00552B0C">
        <w:t xml:space="preserve">Figure </w:t>
      </w:r>
      <w:r w:rsidR="001C19B6">
        <w:rPr>
          <w:noProof/>
        </w:rPr>
        <w:t>3</w:t>
      </w:r>
      <w:r w:rsidRPr="00552B0C">
        <w:fldChar w:fldCharType="end"/>
      </w:r>
      <w:r w:rsidRPr="00552B0C">
        <w:t>.</w:t>
      </w:r>
    </w:p>
    <w:p w14:paraId="299E104C" w14:textId="5FEADA0E" w:rsidR="00091D2A" w:rsidRPr="00552B0C" w:rsidRDefault="00091D2A" w:rsidP="00091D2A">
      <w:pPr>
        <w:pStyle w:val="Caption"/>
        <w:rPr>
          <w:color w:val="0066FF"/>
        </w:rPr>
      </w:pPr>
      <w:bookmarkStart w:id="83" w:name="_Ref176374566"/>
      <w:r w:rsidRPr="00552B0C">
        <w:t xml:space="preserve">Figure </w:t>
      </w:r>
      <w:r w:rsidR="001C19B6">
        <w:fldChar w:fldCharType="begin" w:fldLock="1"/>
      </w:r>
      <w:r w:rsidR="001C19B6">
        <w:instrText xml:space="preserve"> SEQ Figure \* ARABIC </w:instrText>
      </w:r>
      <w:r w:rsidR="001C19B6">
        <w:fldChar w:fldCharType="separate"/>
      </w:r>
      <w:r w:rsidR="001C19B6">
        <w:rPr>
          <w:noProof/>
        </w:rPr>
        <w:t>3</w:t>
      </w:r>
      <w:r w:rsidR="001C19B6">
        <w:rPr>
          <w:noProof/>
        </w:rPr>
        <w:fldChar w:fldCharType="end"/>
      </w:r>
      <w:bookmarkEnd w:id="83"/>
      <w:r w:rsidRPr="00552B0C">
        <w:t>: Modelled NALIRIFOX and Gem+NabP curves compared to KM data from NAPOLI-3</w:t>
      </w:r>
    </w:p>
    <w:p w14:paraId="2FE403B6" w14:textId="77777777" w:rsidR="00091D2A" w:rsidRPr="00552B0C" w:rsidRDefault="00091D2A" w:rsidP="00091D2A">
      <w:pPr>
        <w:rPr>
          <w:color w:val="3366FF"/>
        </w:rPr>
      </w:pPr>
      <w:r w:rsidRPr="00552B0C">
        <w:rPr>
          <w:noProof/>
          <w:color w:val="3366FF"/>
        </w:rPr>
        <w:drawing>
          <wp:inline distT="0" distB="0" distL="0" distR="0" wp14:anchorId="0DA7C8E1" wp14:editId="6B2D7BF2">
            <wp:extent cx="5732145" cy="3396615"/>
            <wp:effectExtent l="0" t="0" r="1905" b="0"/>
            <wp:docPr id="706885935" name="Picture 1" descr="Figure 3: Modelled NALIRIFOX and Gem+NabP curves compared to KM data from NAPOL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85935" name="Picture 1" descr="Figure 3: Modelled NALIRIFOX and Gem+NabP curves compared to KM data from NAPOLI-3"/>
                    <pic:cNvPicPr/>
                  </pic:nvPicPr>
                  <pic:blipFill>
                    <a:blip r:embed="rId10"/>
                    <a:stretch>
                      <a:fillRect/>
                    </a:stretch>
                  </pic:blipFill>
                  <pic:spPr>
                    <a:xfrm>
                      <a:off x="0" y="0"/>
                      <a:ext cx="5732145" cy="3396615"/>
                    </a:xfrm>
                    <a:prstGeom prst="rect">
                      <a:avLst/>
                    </a:prstGeom>
                  </pic:spPr>
                </pic:pic>
              </a:graphicData>
            </a:graphic>
          </wp:inline>
        </w:drawing>
      </w:r>
    </w:p>
    <w:p w14:paraId="596F1743" w14:textId="77777777" w:rsidR="00091D2A" w:rsidRPr="00552B0C" w:rsidRDefault="00091D2A" w:rsidP="00091D2A">
      <w:pPr>
        <w:pStyle w:val="FooterTableFigure"/>
      </w:pPr>
      <w:r w:rsidRPr="00552B0C">
        <w:t>Source: Sheet ‘Results’ of the economic workbook.</w:t>
      </w:r>
    </w:p>
    <w:p w14:paraId="15DC3D62" w14:textId="63840DB3" w:rsidR="00091D2A" w:rsidRPr="00552B0C" w:rsidRDefault="00091D2A" w:rsidP="00091D2A">
      <w:pPr>
        <w:pStyle w:val="FooterTableFigure"/>
      </w:pPr>
      <w:r w:rsidRPr="00552B0C">
        <w:t>Abbreviations: Gem+NabP, gemcitabine plus nanoparticle albumin-bound paclitaxel;</w:t>
      </w:r>
      <w:r w:rsidR="00A23D63" w:rsidRPr="00552B0C">
        <w:t xml:space="preserve"> </w:t>
      </w:r>
      <w:r w:rsidRPr="00552B0C">
        <w:t>KM, Kaplan-Meier; NALIRIFOX, nanoliposomal irinotecan (nal-IRI) in combination with 5-fluorouracil, leucovorin/folinic acid, and oxaliplatin</w:t>
      </w:r>
      <w:r w:rsidR="001D2263" w:rsidRPr="00552B0C">
        <w:t>; OS, overall survival</w:t>
      </w:r>
      <w:r w:rsidR="00262215" w:rsidRPr="00552B0C">
        <w:t>; PFS, progression-free survival</w:t>
      </w:r>
      <w:r w:rsidR="004D33C9" w:rsidRPr="00552B0C">
        <w:t>.</w:t>
      </w:r>
    </w:p>
    <w:p w14:paraId="3D2B9C7D" w14:textId="77777777" w:rsidR="00091D2A" w:rsidRPr="00552B0C" w:rsidRDefault="00091D2A" w:rsidP="00091D2A">
      <w:pPr>
        <w:pStyle w:val="FooterTableFigure"/>
      </w:pPr>
      <w:r w:rsidRPr="00552B0C">
        <w:t xml:space="preserve">Note: The term comparator refers to Gem+NabP only </w:t>
      </w:r>
    </w:p>
    <w:p w14:paraId="4D1F309D" w14:textId="64EA96E8" w:rsidR="00091D2A" w:rsidRPr="00552B0C" w:rsidRDefault="00091D2A" w:rsidP="00552B0C">
      <w:pPr>
        <w:pStyle w:val="3-BodyText"/>
        <w:numPr>
          <w:ilvl w:val="1"/>
          <w:numId w:val="5"/>
        </w:numPr>
      </w:pPr>
      <w:r w:rsidRPr="00552B0C">
        <w:t xml:space="preserve">Health state utility values derived from the NAPOLI-3 trial, based on the United Kingdom EQ-5D-5L value set, were applied to both the NALIRIFOX and comparator arms in the base case economic analysis. This was unchanged from the March 2024 submission. </w:t>
      </w:r>
      <w:r w:rsidRPr="00552B0C">
        <w:rPr>
          <w:bCs/>
        </w:rPr>
        <w:t xml:space="preserve">The ESC previously noted these values, which were unpublished and not able to be externally verified, were higher than those available from the literature and were </w:t>
      </w:r>
      <w:r w:rsidRPr="00552B0C">
        <w:t xml:space="preserve">an important driver of the ICER. However, the ESC considered the use of trial-based utilities to be appropriate </w:t>
      </w:r>
      <w:r w:rsidRPr="00552B0C">
        <w:rPr>
          <w:bCs/>
        </w:rPr>
        <w:t xml:space="preserve">(para 6.80, </w:t>
      </w:r>
      <w:r w:rsidRPr="00552B0C">
        <w:rPr>
          <w:rStyle w:val="normaltextrun"/>
          <w:rFonts w:cstheme="minorHAnsi"/>
        </w:rPr>
        <w:t>irinotecan (nanoliposomal), PSD, March</w:t>
      </w:r>
      <w:r w:rsidR="00AF13CF">
        <w:rPr>
          <w:rStyle w:val="normaltextrun"/>
          <w:rFonts w:cstheme="minorHAnsi"/>
        </w:rPr>
        <w:t> </w:t>
      </w:r>
      <w:r w:rsidRPr="00552B0C">
        <w:rPr>
          <w:rStyle w:val="normaltextrun"/>
          <w:rFonts w:cstheme="minorHAnsi"/>
        </w:rPr>
        <w:t>2024 PBAC meeting)</w:t>
      </w:r>
      <w:r w:rsidRPr="00552B0C">
        <w:t xml:space="preserve">. </w:t>
      </w:r>
    </w:p>
    <w:p w14:paraId="4098E2A2" w14:textId="641E7EAA" w:rsidR="00091D2A" w:rsidRPr="00552B0C" w:rsidRDefault="00091D2A" w:rsidP="4D38AAD8">
      <w:pPr>
        <w:pStyle w:val="3-BodyText"/>
        <w:rPr>
          <w:color w:val="0066FF"/>
        </w:rPr>
      </w:pPr>
      <w:r w:rsidRPr="00552B0C">
        <w:rPr>
          <w:lang w:val="en-US"/>
        </w:rPr>
        <w:t>Consistent with the March 2024 submission, the costs of first-line drug and administration costs were based on regimens administered to patients in the NAPOLI</w:t>
      </w:r>
      <w:r w:rsidR="00AF13CF">
        <w:rPr>
          <w:lang w:val="en-US"/>
        </w:rPr>
        <w:noBreakHyphen/>
      </w:r>
      <w:r w:rsidRPr="00552B0C">
        <w:rPr>
          <w:lang w:val="en-US"/>
        </w:rPr>
        <w:t>3 (NALIRIFOX and Gem+NabP) and ACCORD11/PRODIGE4 (FOLFIRINOX) trials.</w:t>
      </w:r>
      <w:r w:rsidRPr="00552B0C">
        <w:rPr>
          <w:shd w:val="clear" w:color="auto" w:fill="B8CCE4" w:themeFill="accent1" w:themeFillTint="66"/>
          <w:lang w:val="en-US"/>
        </w:rPr>
        <w:t xml:space="preserve"> </w:t>
      </w:r>
      <w:r w:rsidRPr="00552B0C">
        <w:rPr>
          <w:lang w:val="en-US"/>
        </w:rPr>
        <w:t>However, the median duration of treatment from the GENERATE trial was applied to determine costs for the FOLFIRINOX treatment arm in the base case. The ICER is moderately sensitive to using the median duration of treatment from the ACCROD11/PRODIGE4 trial (</w:t>
      </w:r>
      <w:r w:rsidRPr="005413C6">
        <w:rPr>
          <w:lang w:val="en-US"/>
        </w:rPr>
        <w:t>+</w:t>
      </w:r>
      <w:r w:rsidR="005F3BC8" w:rsidRPr="00993109">
        <w:rPr>
          <w:color w:val="000000"/>
          <w:w w:val="15"/>
          <w:shd w:val="solid" w:color="000000" w:fill="000000"/>
          <w:fitText w:val="-20" w:id="-760998141"/>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41"/>
          <w:lang w:val="en-US"/>
          <w14:textFill>
            <w14:solidFill>
              <w14:srgbClr w14:val="000000">
                <w14:alpha w14:val="100000"/>
              </w14:srgbClr>
            </w14:solidFill>
          </w14:textFill>
        </w:rPr>
        <w:t>|</w:t>
      </w:r>
      <w:r w:rsidRPr="00552B0C">
        <w:rPr>
          <w:lang w:val="en-US"/>
        </w:rPr>
        <w:t xml:space="preserve">%). Additionally, there is a mismatch between the </w:t>
      </w:r>
      <w:r w:rsidRPr="00552B0C">
        <w:rPr>
          <w:lang w:val="en-US"/>
        </w:rPr>
        <w:lastRenderedPageBreak/>
        <w:t>source of data informing the effectiveness (GENERATE) and costs (ACCORD11/PRODIGE4) of FOLFIRINOX in the economic model which adds uncertainty to</w:t>
      </w:r>
      <w:r w:rsidR="3DC59C7D" w:rsidRPr="00552B0C">
        <w:rPr>
          <w:lang w:val="en-US"/>
        </w:rPr>
        <w:t xml:space="preserve"> the</w:t>
      </w:r>
      <w:r w:rsidRPr="00552B0C">
        <w:rPr>
          <w:lang w:val="en-US"/>
        </w:rPr>
        <w:t xml:space="preserve"> results.</w:t>
      </w:r>
    </w:p>
    <w:p w14:paraId="443B3466" w14:textId="6BB63071" w:rsidR="00091D2A" w:rsidRPr="00552B0C" w:rsidRDefault="00091D2A" w:rsidP="4D38AAD8">
      <w:pPr>
        <w:pStyle w:val="3-BodyText"/>
        <w:rPr>
          <w:rFonts w:ascii="Arial Narrow" w:hAnsi="Arial Narrow"/>
          <w:b/>
          <w:bCs/>
          <w:sz w:val="20"/>
          <w:szCs w:val="20"/>
        </w:rPr>
      </w:pPr>
      <w:r w:rsidRPr="00552B0C">
        <w:rPr>
          <w:lang w:val="en-US"/>
        </w:rPr>
        <w:t>Patient-level data on drug exposure was available from these trials and was used to determine the average number of vials that would be dispensed for each administration of each drug in each treatment regimen</w:t>
      </w:r>
      <w:r w:rsidR="56009DF4" w:rsidRPr="00552B0C">
        <w:rPr>
          <w:lang w:val="en-US"/>
        </w:rPr>
        <w:t>, which was unchanged from the original submission</w:t>
      </w:r>
      <w:r w:rsidRPr="00552B0C">
        <w:rPr>
          <w:lang w:val="en-US"/>
        </w:rPr>
        <w:t xml:space="preserve">. </w:t>
      </w:r>
    </w:p>
    <w:p w14:paraId="2E55F4D6" w14:textId="0A9A1935" w:rsidR="00091D2A" w:rsidRPr="00552B0C" w:rsidRDefault="00091D2A" w:rsidP="4D38AAD8">
      <w:pPr>
        <w:pStyle w:val="3-BodyText"/>
        <w:rPr>
          <w:color w:val="0066FF"/>
        </w:rPr>
      </w:pPr>
      <w:r w:rsidRPr="00552B0C">
        <w:t xml:space="preserve">The costs of the medications were based on updated PBS-listed AEMPs for each of the respective medications, adjusted to </w:t>
      </w:r>
      <w:r w:rsidRPr="00552B0C">
        <w:rPr>
          <w:lang w:val="en-US"/>
        </w:rPr>
        <w:t xml:space="preserve">efficient funding of chemotherapy (EFC) public hospital and private hospital fees and weighted based on the split of </w:t>
      </w:r>
      <w:r w:rsidR="00AA79E1" w:rsidRPr="00552B0C">
        <w:rPr>
          <w:lang w:val="en-US"/>
        </w:rPr>
        <w:t>nanoparticle albumin-bound paclitaxel (</w:t>
      </w:r>
      <w:r w:rsidRPr="00552B0C">
        <w:rPr>
          <w:lang w:val="en-US"/>
        </w:rPr>
        <w:t>NabP</w:t>
      </w:r>
      <w:r w:rsidR="00AA79E1" w:rsidRPr="00552B0C">
        <w:rPr>
          <w:lang w:val="en-US"/>
        </w:rPr>
        <w:t>)</w:t>
      </w:r>
      <w:r w:rsidRPr="00552B0C">
        <w:rPr>
          <w:lang w:val="en-US"/>
        </w:rPr>
        <w:t xml:space="preserve"> prescriptions processed for mPAC between August</w:t>
      </w:r>
      <w:r w:rsidR="00D162A3">
        <w:rPr>
          <w:lang w:val="en-US"/>
        </w:rPr>
        <w:t> </w:t>
      </w:r>
      <w:r w:rsidRPr="00552B0C">
        <w:rPr>
          <w:lang w:val="en-US"/>
        </w:rPr>
        <w:t xml:space="preserve">2022 and July 2023 (28% public and 72% private). </w:t>
      </w:r>
      <w:r w:rsidR="0045573E" w:rsidRPr="00552B0C">
        <w:rPr>
          <w:lang w:val="en-US"/>
        </w:rPr>
        <w:t xml:space="preserve">The effective DPMA of nal-IRI </w:t>
      </w:r>
      <w:r w:rsidR="0008022B" w:rsidRPr="00552B0C">
        <w:rPr>
          <w:lang w:val="en-US"/>
        </w:rPr>
        <w:t>used in the economic model</w:t>
      </w:r>
      <w:r w:rsidR="0045573E" w:rsidRPr="00552B0C">
        <w:rPr>
          <w:lang w:val="en-US"/>
        </w:rPr>
        <w:t xml:space="preserve"> was $</w:t>
      </w:r>
      <w:r w:rsidR="005F3BC8" w:rsidRPr="00993109">
        <w:rPr>
          <w:color w:val="000000"/>
          <w:w w:val="15"/>
          <w:shd w:val="solid" w:color="000000" w:fill="000000"/>
          <w:fitText w:val="-20" w:id="-760998140"/>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40"/>
          <w:lang w:val="en-US"/>
          <w14:textFill>
            <w14:solidFill>
              <w14:srgbClr w14:val="000000">
                <w14:alpha w14:val="100000"/>
              </w14:srgbClr>
            </w14:solidFill>
          </w14:textFill>
        </w:rPr>
        <w:t>|</w:t>
      </w:r>
      <w:r w:rsidR="00523437" w:rsidRPr="00523437">
        <w:rPr>
          <w:lang w:val="en-US"/>
        </w:rPr>
        <w:t xml:space="preserve"> </w:t>
      </w:r>
      <w:r w:rsidR="0045573E" w:rsidRPr="00552B0C">
        <w:rPr>
          <w:lang w:val="en-US"/>
        </w:rPr>
        <w:t>(public) and $</w:t>
      </w:r>
      <w:r w:rsidR="005F3BC8" w:rsidRPr="00993109">
        <w:rPr>
          <w:color w:val="000000"/>
          <w:w w:val="15"/>
          <w:shd w:val="solid" w:color="000000" w:fill="000000"/>
          <w:fitText w:val="-20" w:id="-760998139"/>
          <w:lang w:val="en-US"/>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9"/>
          <w:lang w:val="en-US"/>
          <w14:textFill>
            <w14:solidFill>
              <w14:srgbClr w14:val="000000">
                <w14:alpha w14:val="100000"/>
              </w14:srgbClr>
            </w14:solidFill>
          </w14:textFill>
        </w:rPr>
        <w:t>|</w:t>
      </w:r>
      <w:r w:rsidR="00523437" w:rsidRPr="00523437">
        <w:rPr>
          <w:lang w:val="en-US"/>
        </w:rPr>
        <w:t xml:space="preserve"> </w:t>
      </w:r>
      <w:r w:rsidR="0045573E" w:rsidRPr="00552B0C">
        <w:rPr>
          <w:lang w:val="en-US"/>
        </w:rPr>
        <w:t>(private).</w:t>
      </w:r>
      <w:r w:rsidRPr="00552B0C">
        <w:rPr>
          <w:lang w:val="en-US"/>
        </w:rPr>
        <w:t xml:space="preserve"> The resubmission assumed a 40% rebate on NabP in the economic model (no rebate was applied for NabP in </w:t>
      </w:r>
      <w:r w:rsidR="00EF36D7" w:rsidRPr="00552B0C">
        <w:rPr>
          <w:lang w:val="en-US"/>
        </w:rPr>
        <w:t xml:space="preserve">base case in </w:t>
      </w:r>
      <w:r w:rsidRPr="00552B0C">
        <w:rPr>
          <w:lang w:val="en-US"/>
        </w:rPr>
        <w:t>the March 2024 submission</w:t>
      </w:r>
      <w:r w:rsidR="00EF36D7" w:rsidRPr="00552B0C">
        <w:rPr>
          <w:lang w:val="en-US"/>
        </w:rPr>
        <w:t xml:space="preserve"> but different percentages were presented in sensitivity analyses</w:t>
      </w:r>
      <w:r w:rsidRPr="00552B0C">
        <w:rPr>
          <w:lang w:val="en-US"/>
        </w:rPr>
        <w:t xml:space="preserve">). </w:t>
      </w:r>
    </w:p>
    <w:p w14:paraId="329E9008" w14:textId="672BDC72" w:rsidR="00091D2A" w:rsidRPr="00552B0C" w:rsidRDefault="00091D2A" w:rsidP="00552B0C">
      <w:pPr>
        <w:pStyle w:val="3-BodyText"/>
        <w:numPr>
          <w:ilvl w:val="1"/>
          <w:numId w:val="5"/>
        </w:numPr>
      </w:pPr>
      <w:r w:rsidRPr="00552B0C">
        <w:t xml:space="preserve">Consistent with the March 2024 submission, costs of subsequent systemic anticancer therapies as reported in the NAPOLI-3 trial (used by at least 2% of patients in either treatment arm) were included in the economic evaluation. Subsequent therapies in NAPOLI-3 included the use of Gem+NabP, NabP monotherapy and nal-IRI. A sensitivity analysis applying costs as per the subsequent therapies used in the NAPOLI-3 trial was undertaken during the evaluation; however the ICER </w:t>
      </w:r>
      <w:r w:rsidR="00B74A44">
        <w:t>was</w:t>
      </w:r>
      <w:r w:rsidR="00B74A44" w:rsidRPr="00552B0C">
        <w:t xml:space="preserve"> </w:t>
      </w:r>
      <w:r w:rsidRPr="00552B0C">
        <w:t>not sensitive to this input.</w:t>
      </w:r>
    </w:p>
    <w:p w14:paraId="08085807" w14:textId="33498E6B" w:rsidR="00091D2A" w:rsidRPr="00552B0C" w:rsidRDefault="00091D2A" w:rsidP="00552B0C">
      <w:pPr>
        <w:pStyle w:val="3-BodyText"/>
        <w:numPr>
          <w:ilvl w:val="1"/>
          <w:numId w:val="5"/>
        </w:numPr>
        <w:rPr>
          <w:color w:val="0066FF"/>
        </w:rPr>
      </w:pPr>
      <w:r w:rsidRPr="00552B0C">
        <w:rPr>
          <w:lang w:val="en-US"/>
        </w:rPr>
        <w:t xml:space="preserve">Costs associated with management of Grade 3-4 TEAEs were included in the economic evaluation, informed by incidence rates derived from the NAPOLI-3 trial (for NALIRIFOX and Gem+NabP). </w:t>
      </w:r>
      <w:r w:rsidRPr="00552B0C">
        <w:t>For FOLFIRINOX, the relative risk of each TEAE for FOLFIRINOX vs Gem+NabP was derived from</w:t>
      </w:r>
      <w:r w:rsidRPr="00552B0C">
        <w:rPr>
          <w:lang w:val="en-US"/>
        </w:rPr>
        <w:t xml:space="preserve"> the </w:t>
      </w:r>
      <w:r w:rsidRPr="00552B0C">
        <w:t xml:space="preserve">GENERATE trial and applied to the observed incidence of the TEAE in the </w:t>
      </w:r>
      <w:r w:rsidRPr="00552B0C">
        <w:rPr>
          <w:lang w:val="en-US"/>
        </w:rPr>
        <w:t xml:space="preserve">Gem+NabP arm of the NAPOLI-3 trial. If an event was not reported, incidence as per the NALIRIFOX arm of the NAPOLI-3 was applied. </w:t>
      </w:r>
    </w:p>
    <w:p w14:paraId="4325C535" w14:textId="0E7E80E2" w:rsidR="00091D2A" w:rsidRPr="00552B0C" w:rsidRDefault="00091D2A" w:rsidP="2944F910">
      <w:pPr>
        <w:pStyle w:val="3-BodyText"/>
        <w:shd w:val="clear" w:color="auto" w:fill="FFFFFF" w:themeFill="background1"/>
      </w:pPr>
      <w:r w:rsidRPr="00552B0C">
        <w:t xml:space="preserve">The resubmission assumed that 100% of patients with grade 3/4 diarrhoea are hospitalized (applying costs associated </w:t>
      </w:r>
      <w:r w:rsidR="004775C4" w:rsidRPr="00552B0C">
        <w:t>diagnosis related group (</w:t>
      </w:r>
      <w:r w:rsidRPr="00552B0C">
        <w:t>DRG</w:t>
      </w:r>
      <w:r w:rsidR="004775C4" w:rsidRPr="00552B0C">
        <w:t>)</w:t>
      </w:r>
      <w:r w:rsidRPr="00552B0C">
        <w:t xml:space="preserve"> G67 – consistent with ESC recommendations from the March 2024 submission) and 50% of patients with grade 3/4 mucosal inflammation are hospitalized (applying costs associated with DRG G70- not consistent with ESC recommendations from the March 2024 submission). A sensitivity analysis applying the costs of managing mucosal inflammation recommended by the ESC in the March 2024 submission (=$13,283.46, based on DRG G03C and assuming 100% of patients are hospitalized) was undertaken in the evaluation; this increased the ICER slightly (</w:t>
      </w:r>
      <w:r w:rsidRPr="005413C6">
        <w:t>+</w:t>
      </w:r>
      <w:r w:rsidR="005F3BC8" w:rsidRPr="00993109">
        <w:rPr>
          <w:color w:val="000000"/>
          <w:w w:val="15"/>
          <w:shd w:val="solid" w:color="000000" w:fill="000000"/>
          <w:fitText w:val="-20" w:id="-760998138"/>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8"/>
          <w14:textFill>
            <w14:solidFill>
              <w14:srgbClr w14:val="000000">
                <w14:alpha w14:val="100000"/>
              </w14:srgbClr>
            </w14:solidFill>
          </w14:textFill>
        </w:rPr>
        <w:t>|</w:t>
      </w:r>
      <w:r w:rsidRPr="00552B0C">
        <w:t>% from base case).</w:t>
      </w:r>
      <w:r w:rsidR="008D0998">
        <w:t xml:space="preserve"> </w:t>
      </w:r>
    </w:p>
    <w:p w14:paraId="1B0B52BB" w14:textId="1291595F" w:rsidR="00091D2A" w:rsidRPr="00552B0C" w:rsidRDefault="00091D2A" w:rsidP="00552B0C">
      <w:pPr>
        <w:pStyle w:val="3-BodyText"/>
        <w:numPr>
          <w:ilvl w:val="1"/>
          <w:numId w:val="5"/>
        </w:numPr>
        <w:jc w:val="left"/>
        <w:rPr>
          <w:rFonts w:ascii="Arial Narrow" w:hAnsi="Arial Narrow"/>
          <w:b/>
          <w:sz w:val="20"/>
        </w:rPr>
      </w:pPr>
      <w:r w:rsidRPr="00552B0C">
        <w:t xml:space="preserve">A summary of the key drivers of the model is presented in </w:t>
      </w:r>
      <w:r w:rsidRPr="00552B0C">
        <w:fldChar w:fldCharType="begin" w:fldLock="1"/>
      </w:r>
      <w:r w:rsidRPr="00552B0C">
        <w:instrText xml:space="preserve"> REF _Ref176766031 \h </w:instrText>
      </w:r>
      <w:r w:rsidR="00B87FAE" w:rsidRPr="00552B0C">
        <w:instrText xml:space="preserve"> \* MERGEFORMAT </w:instrText>
      </w:r>
      <w:r w:rsidRPr="00552B0C">
        <w:fldChar w:fldCharType="separate"/>
      </w:r>
      <w:r w:rsidR="001C19B6" w:rsidRPr="00552B0C">
        <w:t xml:space="preserve">Table </w:t>
      </w:r>
      <w:r w:rsidR="001C19B6">
        <w:rPr>
          <w:noProof/>
        </w:rPr>
        <w:t>15</w:t>
      </w:r>
      <w:r w:rsidRPr="00552B0C">
        <w:fldChar w:fldCharType="end"/>
      </w:r>
      <w:r w:rsidRPr="00552B0C">
        <w:t xml:space="preserve">. </w:t>
      </w:r>
    </w:p>
    <w:p w14:paraId="1C71868F" w14:textId="776BC554" w:rsidR="00091D2A" w:rsidRPr="00552B0C" w:rsidRDefault="00091D2A" w:rsidP="00C81C2F">
      <w:pPr>
        <w:pStyle w:val="Caption"/>
        <w:rPr>
          <w:rStyle w:val="CommentReference"/>
          <w:b/>
          <w:szCs w:val="24"/>
        </w:rPr>
      </w:pPr>
      <w:bookmarkStart w:id="84" w:name="_Ref176766031"/>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15</w:t>
      </w:r>
      <w:r w:rsidR="001C19B6">
        <w:rPr>
          <w:noProof/>
        </w:rPr>
        <w:fldChar w:fldCharType="end"/>
      </w:r>
      <w:bookmarkEnd w:id="84"/>
      <w:r w:rsidRPr="00552B0C">
        <w:t>:</w:t>
      </w:r>
      <w:r w:rsidRPr="00552B0C">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Key drivers of the model"/>
      </w:tblPr>
      <w:tblGrid>
        <w:gridCol w:w="1272"/>
        <w:gridCol w:w="3401"/>
        <w:gridCol w:w="4344"/>
      </w:tblGrid>
      <w:tr w:rsidR="00091D2A" w:rsidRPr="00552B0C" w14:paraId="6A18B348" w14:textId="77777777">
        <w:trPr>
          <w:tblHeader/>
        </w:trPr>
        <w:tc>
          <w:tcPr>
            <w:tcW w:w="705" w:type="pct"/>
            <w:shd w:val="clear" w:color="auto" w:fill="auto"/>
            <w:vAlign w:val="center"/>
          </w:tcPr>
          <w:p w14:paraId="4A43DF62" w14:textId="77777777" w:rsidR="00091D2A" w:rsidRPr="00552B0C" w:rsidRDefault="00091D2A" w:rsidP="00C81C2F">
            <w:pPr>
              <w:pStyle w:val="In-tableHeading"/>
              <w:keepLines/>
            </w:pPr>
            <w:r w:rsidRPr="00552B0C">
              <w:t>Description</w:t>
            </w:r>
          </w:p>
        </w:tc>
        <w:tc>
          <w:tcPr>
            <w:tcW w:w="1886" w:type="pct"/>
            <w:shd w:val="clear" w:color="auto" w:fill="auto"/>
            <w:vAlign w:val="center"/>
          </w:tcPr>
          <w:p w14:paraId="28DD9EBA" w14:textId="77777777" w:rsidR="00091D2A" w:rsidRPr="00552B0C" w:rsidRDefault="00091D2A" w:rsidP="00C81C2F">
            <w:pPr>
              <w:pStyle w:val="In-tableHeading"/>
              <w:keepLines/>
            </w:pPr>
            <w:r w:rsidRPr="00552B0C">
              <w:t>Method/Value</w:t>
            </w:r>
          </w:p>
        </w:tc>
        <w:tc>
          <w:tcPr>
            <w:tcW w:w="2409" w:type="pct"/>
            <w:shd w:val="clear" w:color="auto" w:fill="auto"/>
            <w:vAlign w:val="center"/>
          </w:tcPr>
          <w:p w14:paraId="591EFD2A" w14:textId="77777777" w:rsidR="00091D2A" w:rsidRPr="00552B0C" w:rsidRDefault="00091D2A" w:rsidP="00C81C2F">
            <w:pPr>
              <w:pStyle w:val="In-tableHeading"/>
              <w:keepLines/>
            </w:pPr>
            <w:r w:rsidRPr="00552B0C">
              <w:t>Impact</w:t>
            </w:r>
          </w:p>
          <w:p w14:paraId="14E32BEC" w14:textId="6C077BFD" w:rsidR="00091D2A" w:rsidRPr="00552B0C" w:rsidRDefault="00091D2A" w:rsidP="00C81C2F">
            <w:pPr>
              <w:pStyle w:val="In-tableHeading"/>
              <w:keepLines/>
            </w:pPr>
            <w:r w:rsidRPr="00552B0C">
              <w:t xml:space="preserve">Base case: </w:t>
            </w:r>
            <w:r w:rsidRPr="00552B0C">
              <w:rPr>
                <w:bCs/>
              </w:rPr>
              <w:t>$</w:t>
            </w:r>
            <w:r w:rsidR="005F3BC8" w:rsidRPr="00F73F98">
              <w:rPr>
                <w:bCs/>
                <w:color w:val="000000"/>
                <w:spacing w:val="60"/>
                <w:shd w:val="solid" w:color="000000" w:fill="000000"/>
                <w:fitText w:val="365" w:id="-760998137"/>
                <w14:textFill>
                  <w14:solidFill>
                    <w14:srgbClr w14:val="000000">
                      <w14:alpha w14:val="100000"/>
                    </w14:srgbClr>
                  </w14:solidFill>
                </w14:textFill>
              </w:rPr>
              <w:t>|||</w:t>
            </w:r>
            <w:r w:rsidR="005F3BC8" w:rsidRPr="00F73F98">
              <w:rPr>
                <w:bCs/>
                <w:color w:val="000000"/>
                <w:spacing w:val="2"/>
                <w:shd w:val="solid" w:color="000000" w:fill="000000"/>
                <w:fitText w:val="365" w:id="-760998137"/>
                <w14:textFill>
                  <w14:solidFill>
                    <w14:srgbClr w14:val="000000">
                      <w14:alpha w14:val="100000"/>
                    </w14:srgbClr>
                  </w14:solidFill>
                </w14:textFill>
              </w:rPr>
              <w:t>|</w:t>
            </w:r>
            <w:r w:rsidR="00463302">
              <w:rPr>
                <w:bCs/>
                <w:vertAlign w:val="superscript"/>
              </w:rPr>
              <w:t>1</w:t>
            </w:r>
            <w:r w:rsidRPr="00552B0C">
              <w:t>/QALY gained</w:t>
            </w:r>
            <w:r w:rsidRPr="00552B0C">
              <w:rPr>
                <w:color w:val="3366FF"/>
              </w:rPr>
              <w:t>.</w:t>
            </w:r>
          </w:p>
        </w:tc>
      </w:tr>
      <w:tr w:rsidR="00091D2A" w:rsidRPr="00552B0C" w14:paraId="1E2C5DFD" w14:textId="77777777">
        <w:tc>
          <w:tcPr>
            <w:tcW w:w="705" w:type="pct"/>
            <w:shd w:val="clear" w:color="auto" w:fill="auto"/>
            <w:vAlign w:val="center"/>
          </w:tcPr>
          <w:p w14:paraId="50A2B3FC" w14:textId="77777777" w:rsidR="00091D2A" w:rsidRPr="00552B0C" w:rsidRDefault="00091D2A" w:rsidP="00C81C2F">
            <w:pPr>
              <w:pStyle w:val="TableText0"/>
              <w:keepLines/>
            </w:pPr>
            <w:r w:rsidRPr="00552B0C">
              <w:t>Comparative effectiveness of NALIRIFOX vs FOLFIRINOX</w:t>
            </w:r>
          </w:p>
        </w:tc>
        <w:tc>
          <w:tcPr>
            <w:tcW w:w="1886" w:type="pct"/>
            <w:shd w:val="clear" w:color="auto" w:fill="auto"/>
            <w:vAlign w:val="center"/>
          </w:tcPr>
          <w:p w14:paraId="0CDFBACB" w14:textId="77777777" w:rsidR="00091D2A" w:rsidRPr="00552B0C" w:rsidRDefault="00091D2A" w:rsidP="00C81C2F">
            <w:pPr>
              <w:pStyle w:val="TableText0"/>
              <w:keepLines/>
            </w:pPr>
            <w:r w:rsidRPr="00552B0C">
              <w:t>HRs from the MAIC of NALIRIFOX vs FOLFIRINOX</w:t>
            </w:r>
          </w:p>
          <w:p w14:paraId="7E0DB4F7" w14:textId="77777777" w:rsidR="00091D2A" w:rsidRPr="00552B0C" w:rsidRDefault="00091D2A" w:rsidP="00C81C2F">
            <w:pPr>
              <w:pStyle w:val="TableText0"/>
              <w:keepLines/>
              <w:rPr>
                <w:lang w:val="pt-BR"/>
              </w:rPr>
            </w:pPr>
            <w:r w:rsidRPr="00552B0C">
              <w:rPr>
                <w:lang w:val="pt-BR"/>
              </w:rPr>
              <w:t>PFS HR (95% CI): 0.53 (0.39, 0.72)</w:t>
            </w:r>
          </w:p>
          <w:p w14:paraId="6EE462E9" w14:textId="77777777" w:rsidR="00091D2A" w:rsidRPr="00552B0C" w:rsidRDefault="00091D2A" w:rsidP="00C81C2F">
            <w:pPr>
              <w:pStyle w:val="TableText0"/>
              <w:keepLines/>
              <w:rPr>
                <w:lang w:val="pt-BR"/>
              </w:rPr>
            </w:pPr>
            <w:r w:rsidRPr="00552B0C">
              <w:rPr>
                <w:lang w:val="pt-BR"/>
              </w:rPr>
              <w:t>OS HR (95% CI): 0.66 (0.47, 0.92)</w:t>
            </w:r>
          </w:p>
        </w:tc>
        <w:tc>
          <w:tcPr>
            <w:tcW w:w="2409" w:type="pct"/>
            <w:shd w:val="clear" w:color="auto" w:fill="auto"/>
            <w:vAlign w:val="center"/>
          </w:tcPr>
          <w:p w14:paraId="4AB37629" w14:textId="77777777" w:rsidR="00091D2A" w:rsidRPr="00552B0C" w:rsidRDefault="00091D2A" w:rsidP="00C81C2F">
            <w:pPr>
              <w:pStyle w:val="TableText0"/>
              <w:keepLines/>
            </w:pPr>
            <w:r w:rsidRPr="00552B0C">
              <w:t>High, favours NALIRIFOX</w:t>
            </w:r>
          </w:p>
          <w:p w14:paraId="61C8E3ED" w14:textId="732EA099" w:rsidR="00091D2A" w:rsidRPr="00552B0C" w:rsidRDefault="00091D2A" w:rsidP="00C81C2F">
            <w:pPr>
              <w:pStyle w:val="TableText0"/>
              <w:keepLines/>
            </w:pPr>
            <w:r w:rsidRPr="00552B0C">
              <w:t>Assuming FOLFIRINOX is non-inferior to Gem+NabP increased the ICER to $</w:t>
            </w:r>
            <w:r w:rsidR="005F3BC8" w:rsidRPr="00F73F98">
              <w:rPr>
                <w:color w:val="000000"/>
                <w:spacing w:val="54"/>
                <w:shd w:val="solid" w:color="000000" w:fill="000000"/>
                <w:fitText w:val="333" w:id="-760998136"/>
                <w14:textFill>
                  <w14:solidFill>
                    <w14:srgbClr w14:val="000000">
                      <w14:alpha w14:val="100000"/>
                    </w14:srgbClr>
                  </w14:solidFill>
                </w14:textFill>
              </w:rPr>
              <w:t>|||</w:t>
            </w:r>
            <w:r w:rsidR="005F3BC8" w:rsidRPr="00F73F98">
              <w:rPr>
                <w:color w:val="000000"/>
                <w:spacing w:val="1"/>
                <w:shd w:val="solid" w:color="000000" w:fill="000000"/>
                <w:fitText w:val="333" w:id="-760998136"/>
                <w14:textFill>
                  <w14:solidFill>
                    <w14:srgbClr w14:val="000000">
                      <w14:alpha w14:val="100000"/>
                    </w14:srgbClr>
                  </w14:solidFill>
                </w14:textFill>
              </w:rPr>
              <w:t>|</w:t>
            </w:r>
            <w:r w:rsidR="00DD7ED1">
              <w:rPr>
                <w:vertAlign w:val="superscript"/>
              </w:rPr>
              <w:t>2</w:t>
            </w:r>
            <w:r w:rsidRPr="00552B0C">
              <w:t>/QALY gained (</w:t>
            </w:r>
            <w:r w:rsidRPr="00A242B3">
              <w:t>+</w:t>
            </w:r>
            <w:r w:rsidR="005F3BC8" w:rsidRPr="00F73F98">
              <w:rPr>
                <w:color w:val="000000"/>
                <w:spacing w:val="54"/>
                <w:shd w:val="solid" w:color="000000" w:fill="000000"/>
                <w:fitText w:val="333" w:id="-760998135"/>
                <w14:textFill>
                  <w14:solidFill>
                    <w14:srgbClr w14:val="000000">
                      <w14:alpha w14:val="100000"/>
                    </w14:srgbClr>
                  </w14:solidFill>
                </w14:textFill>
              </w:rPr>
              <w:t>|||</w:t>
            </w:r>
            <w:r w:rsidR="005F3BC8" w:rsidRPr="00F73F98">
              <w:rPr>
                <w:color w:val="000000"/>
                <w:spacing w:val="1"/>
                <w:shd w:val="solid" w:color="000000" w:fill="000000"/>
                <w:fitText w:val="333" w:id="-760998135"/>
                <w14:textFill>
                  <w14:solidFill>
                    <w14:srgbClr w14:val="000000">
                      <w14:alpha w14:val="100000"/>
                    </w14:srgbClr>
                  </w14:solidFill>
                </w14:textFill>
              </w:rPr>
              <w:t>|</w:t>
            </w:r>
            <w:r w:rsidRPr="00552B0C">
              <w:t xml:space="preserve">%). </w:t>
            </w:r>
          </w:p>
          <w:p w14:paraId="72DCDD8D" w14:textId="7777C34C" w:rsidR="00091D2A" w:rsidRPr="00552B0C" w:rsidRDefault="00091D2A" w:rsidP="00C81C2F">
            <w:pPr>
              <w:pStyle w:val="TableText0"/>
              <w:keepLines/>
            </w:pPr>
            <w:r w:rsidRPr="00552B0C">
              <w:t xml:space="preserve">Assuming </w:t>
            </w:r>
            <w:r w:rsidR="00FD7713" w:rsidRPr="00552B0C">
              <w:t>NALIRIFOX is non-inferior to FOLFIRINOX</w:t>
            </w:r>
            <w:r w:rsidRPr="00552B0C">
              <w:t xml:space="preserve"> increase the ICER to $</w:t>
            </w:r>
            <w:r w:rsidR="005F3BC8" w:rsidRPr="00F73F98">
              <w:rPr>
                <w:color w:val="000000"/>
                <w:spacing w:val="50"/>
                <w:shd w:val="solid" w:color="000000" w:fill="000000"/>
                <w:fitText w:val="323" w:id="-760998134"/>
                <w14:textFill>
                  <w14:solidFill>
                    <w14:srgbClr w14:val="000000">
                      <w14:alpha w14:val="100000"/>
                    </w14:srgbClr>
                  </w14:solidFill>
                </w14:textFill>
              </w:rPr>
              <w:t>|||</w:t>
            </w:r>
            <w:r w:rsidR="005F3BC8" w:rsidRPr="00F73F98">
              <w:rPr>
                <w:color w:val="000000"/>
                <w:spacing w:val="3"/>
                <w:shd w:val="solid" w:color="000000" w:fill="000000"/>
                <w:fitText w:val="323" w:id="-760998134"/>
                <w14:textFill>
                  <w14:solidFill>
                    <w14:srgbClr w14:val="000000">
                      <w14:alpha w14:val="100000"/>
                    </w14:srgbClr>
                  </w14:solidFill>
                </w14:textFill>
              </w:rPr>
              <w:t>|</w:t>
            </w:r>
            <w:r w:rsidR="007C32D0">
              <w:rPr>
                <w:vertAlign w:val="superscript"/>
              </w:rPr>
              <w:t>3</w:t>
            </w:r>
            <w:r w:rsidRPr="00552B0C">
              <w:t>/QALY gained (+</w:t>
            </w:r>
            <w:r w:rsidR="005F3BC8" w:rsidRPr="00F73F98">
              <w:rPr>
                <w:color w:val="000000"/>
                <w:spacing w:val="50"/>
                <w:shd w:val="solid" w:color="000000" w:fill="000000"/>
                <w:fitText w:val="323" w:id="-760998133"/>
                <w14:textFill>
                  <w14:solidFill>
                    <w14:srgbClr w14:val="000000">
                      <w14:alpha w14:val="100000"/>
                    </w14:srgbClr>
                  </w14:solidFill>
                </w14:textFill>
              </w:rPr>
              <w:t>|||</w:t>
            </w:r>
            <w:r w:rsidR="005F3BC8" w:rsidRPr="00F73F98">
              <w:rPr>
                <w:color w:val="000000"/>
                <w:spacing w:val="3"/>
                <w:shd w:val="solid" w:color="000000" w:fill="000000"/>
                <w:fitText w:val="323" w:id="-760998133"/>
                <w14:textFill>
                  <w14:solidFill>
                    <w14:srgbClr w14:val="000000">
                      <w14:alpha w14:val="100000"/>
                    </w14:srgbClr>
                  </w14:solidFill>
                </w14:textFill>
              </w:rPr>
              <w:t>|</w:t>
            </w:r>
            <w:r w:rsidRPr="00552B0C">
              <w:t>%).</w:t>
            </w:r>
          </w:p>
        </w:tc>
      </w:tr>
      <w:tr w:rsidR="00091D2A" w:rsidRPr="00552B0C" w14:paraId="02D72A46" w14:textId="77777777">
        <w:tc>
          <w:tcPr>
            <w:tcW w:w="705" w:type="pct"/>
            <w:shd w:val="clear" w:color="auto" w:fill="auto"/>
            <w:vAlign w:val="center"/>
          </w:tcPr>
          <w:p w14:paraId="271E7ED0" w14:textId="77777777" w:rsidR="00091D2A" w:rsidRPr="00552B0C" w:rsidRDefault="00091D2A" w:rsidP="00C81C2F">
            <w:pPr>
              <w:pStyle w:val="TableText0"/>
              <w:keepLines/>
            </w:pPr>
            <w:r w:rsidRPr="00552B0C">
              <w:t>Proportions of mixed comparator</w:t>
            </w:r>
          </w:p>
        </w:tc>
        <w:tc>
          <w:tcPr>
            <w:tcW w:w="1886" w:type="pct"/>
            <w:shd w:val="clear" w:color="auto" w:fill="auto"/>
            <w:vAlign w:val="center"/>
          </w:tcPr>
          <w:p w14:paraId="57F3CB7A" w14:textId="7394C0B7" w:rsidR="00091D2A" w:rsidRPr="00552B0C" w:rsidRDefault="00091D2A" w:rsidP="00C81C2F">
            <w:pPr>
              <w:pStyle w:val="TableText0"/>
              <w:keepLines/>
            </w:pPr>
            <w:r w:rsidRPr="00552B0C">
              <w:t>Based on analysis of current market share of treatments in Australian patients with mPAC from the PURPLE registry (85.1% Gem+NabP/14.9% FOLFIRINOX) and assumptions of extent of substitution by NALIRIFOX (</w:t>
            </w:r>
            <w:r w:rsidR="005F3BC8" w:rsidRPr="00F73F98">
              <w:rPr>
                <w:color w:val="000000"/>
                <w:spacing w:val="54"/>
                <w:shd w:val="solid" w:color="000000" w:fill="000000"/>
                <w:fitText w:val="333" w:id="-760998132"/>
                <w14:textFill>
                  <w14:solidFill>
                    <w14:srgbClr w14:val="000000">
                      <w14:alpha w14:val="100000"/>
                    </w14:srgbClr>
                  </w14:solidFill>
                </w14:textFill>
              </w:rPr>
              <w:t>|||</w:t>
            </w:r>
            <w:r w:rsidR="005F3BC8" w:rsidRPr="00F73F98">
              <w:rPr>
                <w:color w:val="000000"/>
                <w:spacing w:val="1"/>
                <w:shd w:val="solid" w:color="000000" w:fill="000000"/>
                <w:fitText w:val="333" w:id="-760998132"/>
                <w14:textFill>
                  <w14:solidFill>
                    <w14:srgbClr w14:val="000000">
                      <w14:alpha w14:val="100000"/>
                    </w14:srgbClr>
                  </w14:solidFill>
                </w14:textFill>
              </w:rPr>
              <w:t>|</w:t>
            </w:r>
            <w:r w:rsidRPr="00552B0C">
              <w:t xml:space="preserve">% of Gem+NabP market and </w:t>
            </w:r>
            <w:r w:rsidR="005F3BC8" w:rsidRPr="00F73F98">
              <w:rPr>
                <w:color w:val="000000"/>
                <w:spacing w:val="50"/>
                <w:shd w:val="solid" w:color="000000" w:fill="000000"/>
                <w:fitText w:val="323" w:id="-760998131"/>
                <w14:textFill>
                  <w14:solidFill>
                    <w14:srgbClr w14:val="000000">
                      <w14:alpha w14:val="100000"/>
                    </w14:srgbClr>
                  </w14:solidFill>
                </w14:textFill>
              </w:rPr>
              <w:t>|||</w:t>
            </w:r>
            <w:r w:rsidR="005F3BC8" w:rsidRPr="00F73F98">
              <w:rPr>
                <w:color w:val="000000"/>
                <w:spacing w:val="3"/>
                <w:shd w:val="solid" w:color="000000" w:fill="000000"/>
                <w:fitText w:val="323" w:id="-760998131"/>
                <w14:textFill>
                  <w14:solidFill>
                    <w14:srgbClr w14:val="000000">
                      <w14:alpha w14:val="100000"/>
                    </w14:srgbClr>
                  </w14:solidFill>
                </w14:textFill>
              </w:rPr>
              <w:t>|</w:t>
            </w:r>
            <w:r w:rsidRPr="00552B0C">
              <w:t>% of FOLFIRINOX market).</w:t>
            </w:r>
          </w:p>
          <w:p w14:paraId="3ED1DFF6" w14:textId="77777777" w:rsidR="00091D2A" w:rsidRPr="00552B0C" w:rsidRDefault="00091D2A" w:rsidP="00C81C2F">
            <w:pPr>
              <w:pStyle w:val="TableText0"/>
              <w:keepLines/>
            </w:pPr>
            <w:r w:rsidRPr="00552B0C">
              <w:t>Proportions of mixed comparator in base case is 75% Gem+NabP/25% FOLFIRINOX</w:t>
            </w:r>
          </w:p>
        </w:tc>
        <w:tc>
          <w:tcPr>
            <w:tcW w:w="2409" w:type="pct"/>
            <w:shd w:val="clear" w:color="auto" w:fill="auto"/>
            <w:vAlign w:val="center"/>
          </w:tcPr>
          <w:p w14:paraId="1489B5A3" w14:textId="20FD1EA3" w:rsidR="00091D2A" w:rsidRPr="00552B0C" w:rsidRDefault="00091D2A" w:rsidP="00C81C2F">
            <w:pPr>
              <w:pStyle w:val="TableText0"/>
              <w:keepLines/>
            </w:pPr>
            <w:r w:rsidRPr="00552B0C">
              <w:t xml:space="preserve">High, favours </w:t>
            </w:r>
            <w:r w:rsidR="00021A0E" w:rsidRPr="00552B0C">
              <w:t>mixed comparator</w:t>
            </w:r>
            <w:r w:rsidR="00497150" w:rsidRPr="00552B0C">
              <w:t xml:space="preserve"> </w:t>
            </w:r>
            <w:r w:rsidR="007243CF" w:rsidRPr="00552B0C">
              <w:rPr>
                <w:b/>
                <w:bCs w:val="0"/>
              </w:rPr>
              <w:t>if</w:t>
            </w:r>
            <w:r w:rsidR="00497150" w:rsidRPr="00552B0C">
              <w:t xml:space="preserve"> clinical claim of superiority of NALIRIFOX vs FOLFIRINOX is accepted</w:t>
            </w:r>
            <w:r w:rsidRPr="00552B0C">
              <w:t>.</w:t>
            </w:r>
          </w:p>
          <w:p w14:paraId="0209FCD2" w14:textId="7E6F4EA2" w:rsidR="00091D2A" w:rsidRPr="00552B0C" w:rsidRDefault="00091D2A" w:rsidP="00C81C2F">
            <w:pPr>
              <w:pStyle w:val="TableText0"/>
              <w:keepLines/>
            </w:pPr>
            <w:r w:rsidRPr="00552B0C">
              <w:t>Use of mixed comparator proportions 50%</w:t>
            </w:r>
            <w:r w:rsidR="00245BB6" w:rsidRPr="00552B0C">
              <w:t> </w:t>
            </w:r>
            <w:r w:rsidRPr="00552B0C">
              <w:t>Gem+NabP/50% FOLFIRINOX decreased the ICER to $</w:t>
            </w:r>
            <w:r w:rsidR="005F3BC8" w:rsidRPr="00F73F98">
              <w:rPr>
                <w:color w:val="000000"/>
                <w:spacing w:val="50"/>
                <w:shd w:val="solid" w:color="000000" w:fill="000000"/>
                <w:fitText w:val="322" w:id="-760998130"/>
                <w14:textFill>
                  <w14:solidFill>
                    <w14:srgbClr w14:val="000000">
                      <w14:alpha w14:val="100000"/>
                    </w14:srgbClr>
                  </w14:solidFill>
                </w14:textFill>
              </w:rPr>
              <w:t>|||</w:t>
            </w:r>
            <w:r w:rsidR="005F3BC8" w:rsidRPr="00F73F98">
              <w:rPr>
                <w:color w:val="000000"/>
                <w:spacing w:val="2"/>
                <w:shd w:val="solid" w:color="000000" w:fill="000000"/>
                <w:fitText w:val="322" w:id="-760998130"/>
                <w14:textFill>
                  <w14:solidFill>
                    <w14:srgbClr w14:val="000000">
                      <w14:alpha w14:val="100000"/>
                    </w14:srgbClr>
                  </w14:solidFill>
                </w14:textFill>
              </w:rPr>
              <w:t>|</w:t>
            </w:r>
            <w:r w:rsidR="007C32D0">
              <w:rPr>
                <w:vertAlign w:val="superscript"/>
              </w:rPr>
              <w:t>4</w:t>
            </w:r>
            <w:r w:rsidRPr="00552B0C">
              <w:t>/QALY gained (-</w:t>
            </w:r>
            <w:r w:rsidR="005F3BC8" w:rsidRPr="00F73F98">
              <w:rPr>
                <w:color w:val="000000"/>
                <w:spacing w:val="50"/>
                <w:shd w:val="solid" w:color="000000" w:fill="000000"/>
                <w:fitText w:val="322" w:id="-760998129"/>
                <w14:textFill>
                  <w14:solidFill>
                    <w14:srgbClr w14:val="000000">
                      <w14:alpha w14:val="100000"/>
                    </w14:srgbClr>
                  </w14:solidFill>
                </w14:textFill>
              </w:rPr>
              <w:t>|||</w:t>
            </w:r>
            <w:r w:rsidR="005F3BC8" w:rsidRPr="00F73F98">
              <w:rPr>
                <w:color w:val="000000"/>
                <w:spacing w:val="2"/>
                <w:shd w:val="solid" w:color="000000" w:fill="000000"/>
                <w:fitText w:val="322" w:id="-760998129"/>
                <w14:textFill>
                  <w14:solidFill>
                    <w14:srgbClr w14:val="000000">
                      <w14:alpha w14:val="100000"/>
                    </w14:srgbClr>
                  </w14:solidFill>
                </w14:textFill>
              </w:rPr>
              <w:t>|</w:t>
            </w:r>
            <w:r w:rsidRPr="00552B0C">
              <w:t>%)</w:t>
            </w:r>
          </w:p>
          <w:p w14:paraId="2FC62C6E" w14:textId="08CD4AB1" w:rsidR="00091D2A" w:rsidRPr="00552B0C" w:rsidRDefault="00091D2A" w:rsidP="00C81C2F">
            <w:pPr>
              <w:pStyle w:val="TableText0"/>
              <w:keepLines/>
            </w:pPr>
            <w:r w:rsidRPr="00552B0C">
              <w:t>Use of mixed comparator proportions 0%</w:t>
            </w:r>
            <w:r w:rsidR="00245BB6" w:rsidRPr="00552B0C">
              <w:t> </w:t>
            </w:r>
            <w:r w:rsidRPr="00552B0C">
              <w:t>Gem+NabP/100% FOLFIRINOX decreased the ICER to $</w:t>
            </w:r>
            <w:r w:rsidR="005F3BC8" w:rsidRPr="00F73F98">
              <w:rPr>
                <w:color w:val="000000"/>
                <w:spacing w:val="50"/>
                <w:shd w:val="solid" w:color="000000" w:fill="000000"/>
                <w:fitText w:val="322" w:id="-760998128"/>
                <w14:textFill>
                  <w14:solidFill>
                    <w14:srgbClr w14:val="000000">
                      <w14:alpha w14:val="100000"/>
                    </w14:srgbClr>
                  </w14:solidFill>
                </w14:textFill>
              </w:rPr>
              <w:t>|||</w:t>
            </w:r>
            <w:r w:rsidR="005F3BC8" w:rsidRPr="00F73F98">
              <w:rPr>
                <w:color w:val="000000"/>
                <w:spacing w:val="2"/>
                <w:shd w:val="solid" w:color="000000" w:fill="000000"/>
                <w:fitText w:val="322" w:id="-760998128"/>
                <w14:textFill>
                  <w14:solidFill>
                    <w14:srgbClr w14:val="000000">
                      <w14:alpha w14:val="100000"/>
                    </w14:srgbClr>
                  </w14:solidFill>
                </w14:textFill>
              </w:rPr>
              <w:t>|</w:t>
            </w:r>
            <w:r w:rsidR="007C32D0">
              <w:rPr>
                <w:vertAlign w:val="superscript"/>
              </w:rPr>
              <w:t>5</w:t>
            </w:r>
            <w:r w:rsidRPr="00552B0C">
              <w:t>/QALY gained (-</w:t>
            </w:r>
            <w:r w:rsidR="005F3BC8" w:rsidRPr="00F73F98">
              <w:rPr>
                <w:color w:val="000000"/>
                <w:spacing w:val="50"/>
                <w:shd w:val="solid" w:color="000000" w:fill="000000"/>
                <w:fitText w:val="322" w:id="-760998144"/>
                <w14:textFill>
                  <w14:solidFill>
                    <w14:srgbClr w14:val="000000">
                      <w14:alpha w14:val="100000"/>
                    </w14:srgbClr>
                  </w14:solidFill>
                </w14:textFill>
              </w:rPr>
              <w:t>|||</w:t>
            </w:r>
            <w:r w:rsidR="005F3BC8" w:rsidRPr="00F73F98">
              <w:rPr>
                <w:color w:val="000000"/>
                <w:spacing w:val="2"/>
                <w:shd w:val="solid" w:color="000000" w:fill="000000"/>
                <w:fitText w:val="322" w:id="-760998144"/>
                <w14:textFill>
                  <w14:solidFill>
                    <w14:srgbClr w14:val="000000">
                      <w14:alpha w14:val="100000"/>
                    </w14:srgbClr>
                  </w14:solidFill>
                </w14:textFill>
              </w:rPr>
              <w:t>|</w:t>
            </w:r>
            <w:r w:rsidRPr="00552B0C">
              <w:t>%)</w:t>
            </w:r>
          </w:p>
          <w:p w14:paraId="69450660" w14:textId="77777777" w:rsidR="00551AC5" w:rsidRPr="00552B0C" w:rsidRDefault="00551AC5" w:rsidP="00C81C2F">
            <w:pPr>
              <w:pStyle w:val="TableText0"/>
              <w:keepLines/>
            </w:pPr>
          </w:p>
          <w:p w14:paraId="680CFAE7" w14:textId="21637EF1" w:rsidR="004232C6" w:rsidRPr="00552B0C" w:rsidRDefault="004232C6" w:rsidP="00C81C2F">
            <w:pPr>
              <w:pStyle w:val="TableText0"/>
              <w:keepLines/>
            </w:pPr>
            <w:r w:rsidRPr="00552B0C">
              <w:t>If clinical claim of superiority of NALIRIFOX</w:t>
            </w:r>
            <w:r w:rsidR="00D72117" w:rsidRPr="00552B0C">
              <w:t xml:space="preserve"> vs FOLFIRINOX is not accepted (assume non-inferiority of FOLFIRINOX vs NALIRIFOX), favours NALIRIFOX</w:t>
            </w:r>
            <w:r w:rsidR="008F1029" w:rsidRPr="00552B0C">
              <w:t>.</w:t>
            </w:r>
          </w:p>
          <w:p w14:paraId="2F998F88" w14:textId="63E41CF8" w:rsidR="00AA4E3C" w:rsidRPr="00552B0C" w:rsidRDefault="00AA4E3C" w:rsidP="00C81C2F">
            <w:pPr>
              <w:pStyle w:val="TableText0"/>
              <w:keepLines/>
            </w:pPr>
            <w:r w:rsidRPr="00552B0C">
              <w:t>Use of mixed comparator proportions</w:t>
            </w:r>
          </w:p>
          <w:p w14:paraId="5434A628" w14:textId="6C94BC53" w:rsidR="00091D2A" w:rsidRPr="00552B0C" w:rsidRDefault="00D72117" w:rsidP="00C81C2F">
            <w:pPr>
              <w:pStyle w:val="TableText0"/>
              <w:keepLines/>
            </w:pPr>
            <w:r w:rsidRPr="00552B0C">
              <w:t xml:space="preserve">50% Gem+NabP/50% FOLFIRINOX </w:t>
            </w:r>
            <w:r w:rsidR="00A12E10" w:rsidRPr="00552B0C">
              <w:t>increase</w:t>
            </w:r>
            <w:r w:rsidRPr="00552B0C">
              <w:t>d the ICER to $</w:t>
            </w:r>
            <w:r w:rsidR="005F3BC8" w:rsidRPr="00F73F98">
              <w:rPr>
                <w:color w:val="000000"/>
                <w:spacing w:val="50"/>
                <w:shd w:val="solid" w:color="000000" w:fill="000000"/>
                <w:fitText w:val="322" w:id="-760998143"/>
                <w14:textFill>
                  <w14:solidFill>
                    <w14:srgbClr w14:val="000000">
                      <w14:alpha w14:val="100000"/>
                    </w14:srgbClr>
                  </w14:solidFill>
                </w14:textFill>
              </w:rPr>
              <w:t>|||</w:t>
            </w:r>
            <w:r w:rsidR="005F3BC8" w:rsidRPr="00F73F98">
              <w:rPr>
                <w:color w:val="000000"/>
                <w:spacing w:val="2"/>
                <w:shd w:val="solid" w:color="000000" w:fill="000000"/>
                <w:fitText w:val="322" w:id="-760998143"/>
                <w14:textFill>
                  <w14:solidFill>
                    <w14:srgbClr w14:val="000000">
                      <w14:alpha w14:val="100000"/>
                    </w14:srgbClr>
                  </w14:solidFill>
                </w14:textFill>
              </w:rPr>
              <w:t>|</w:t>
            </w:r>
            <w:r w:rsidR="007C32D0">
              <w:rPr>
                <w:vertAlign w:val="superscript"/>
              </w:rPr>
              <w:t>6</w:t>
            </w:r>
            <w:r w:rsidRPr="00552B0C">
              <w:t xml:space="preserve">/QALY gained </w:t>
            </w:r>
            <w:r w:rsidR="00811058" w:rsidRPr="00552B0C">
              <w:t>(+</w:t>
            </w:r>
            <w:r w:rsidR="005F3BC8" w:rsidRPr="00F73F98">
              <w:rPr>
                <w:color w:val="000000"/>
                <w:spacing w:val="54"/>
                <w:shd w:val="solid" w:color="000000" w:fill="000000"/>
                <w:fitText w:val="333" w:id="-760998142"/>
                <w14:textFill>
                  <w14:solidFill>
                    <w14:srgbClr w14:val="000000">
                      <w14:alpha w14:val="100000"/>
                    </w14:srgbClr>
                  </w14:solidFill>
                </w14:textFill>
              </w:rPr>
              <w:t>|||</w:t>
            </w:r>
            <w:r w:rsidR="005F3BC8" w:rsidRPr="00F73F98">
              <w:rPr>
                <w:color w:val="000000"/>
                <w:spacing w:val="1"/>
                <w:shd w:val="solid" w:color="000000" w:fill="000000"/>
                <w:fitText w:val="333" w:id="-760998142"/>
                <w14:textFill>
                  <w14:solidFill>
                    <w14:srgbClr w14:val="000000">
                      <w14:alpha w14:val="100000"/>
                    </w14:srgbClr>
                  </w14:solidFill>
                </w14:textFill>
              </w:rPr>
              <w:t>|</w:t>
            </w:r>
            <w:r w:rsidRPr="00552B0C">
              <w:t>%)</w:t>
            </w:r>
          </w:p>
        </w:tc>
      </w:tr>
      <w:tr w:rsidR="00091D2A" w:rsidRPr="00552B0C" w14:paraId="2CBE49F4" w14:textId="77777777">
        <w:tc>
          <w:tcPr>
            <w:tcW w:w="705" w:type="pct"/>
            <w:shd w:val="clear" w:color="auto" w:fill="B8CCE4" w:themeFill="accent1" w:themeFillTint="66"/>
            <w:vAlign w:val="center"/>
          </w:tcPr>
          <w:p w14:paraId="137D6C77" w14:textId="77777777" w:rsidR="00091D2A" w:rsidRPr="00552B0C" w:rsidRDefault="00091D2A" w:rsidP="00C81C2F">
            <w:pPr>
              <w:pStyle w:val="TableText0"/>
              <w:keepLines/>
            </w:pPr>
            <w:r w:rsidRPr="00552B0C">
              <w:t>Utilities</w:t>
            </w:r>
          </w:p>
        </w:tc>
        <w:tc>
          <w:tcPr>
            <w:tcW w:w="1886" w:type="pct"/>
            <w:shd w:val="clear" w:color="auto" w:fill="B8CCE4" w:themeFill="accent1" w:themeFillTint="66"/>
            <w:vAlign w:val="center"/>
          </w:tcPr>
          <w:p w14:paraId="4DB6CB14" w14:textId="77777777" w:rsidR="00091D2A" w:rsidRPr="00552B0C" w:rsidRDefault="00091D2A" w:rsidP="00C81C2F">
            <w:pPr>
              <w:pStyle w:val="TableText0"/>
              <w:keepLines/>
            </w:pPr>
            <w:r w:rsidRPr="00552B0C">
              <w:rPr>
                <w:rStyle w:val="normaltextrun"/>
                <w:shd w:val="clear" w:color="auto" w:fill="B8CCE4" w:themeFill="accent1" w:themeFillTint="66"/>
              </w:rPr>
              <w:t>EQ-5D-5L data (using UK value set) from the NAPOLI-3 trial (Free of Progression=0.85, Progressed=0.78).</w:t>
            </w:r>
          </w:p>
        </w:tc>
        <w:tc>
          <w:tcPr>
            <w:tcW w:w="2409" w:type="pct"/>
            <w:shd w:val="clear" w:color="auto" w:fill="auto"/>
            <w:vAlign w:val="center"/>
          </w:tcPr>
          <w:p w14:paraId="7899916F" w14:textId="77777777" w:rsidR="00091D2A" w:rsidRPr="00552B0C" w:rsidRDefault="00091D2A" w:rsidP="00C81C2F">
            <w:pPr>
              <w:pStyle w:val="TableText0"/>
              <w:keepLines/>
              <w:rPr>
                <w:rFonts w:cs="Arial"/>
                <w:color w:val="0066FF"/>
                <w:szCs w:val="20"/>
              </w:rPr>
            </w:pPr>
            <w:r w:rsidRPr="00552B0C">
              <w:t xml:space="preserve">High, favours NALIRIFOX </w:t>
            </w:r>
          </w:p>
          <w:p w14:paraId="366D40FE" w14:textId="5E8353CC" w:rsidR="00091D2A" w:rsidRPr="00552B0C" w:rsidRDefault="00091D2A" w:rsidP="00C81C2F">
            <w:pPr>
              <w:pStyle w:val="TableText0"/>
              <w:keepLines/>
            </w:pPr>
            <w:r w:rsidRPr="00552B0C">
              <w:t>Use of utility values from SEIGE trial (Free of Progression=0.70, Progressed=0.65) increased the ICER to $</w:t>
            </w:r>
            <w:r w:rsidR="005F3BC8" w:rsidRPr="00F73F98">
              <w:rPr>
                <w:color w:val="000000"/>
                <w:spacing w:val="50"/>
                <w:shd w:val="solid" w:color="000000" w:fill="000000"/>
                <w:fitText w:val="322" w:id="-760998141"/>
                <w14:textFill>
                  <w14:solidFill>
                    <w14:srgbClr w14:val="000000">
                      <w14:alpha w14:val="100000"/>
                    </w14:srgbClr>
                  </w14:solidFill>
                </w14:textFill>
              </w:rPr>
              <w:t>|||</w:t>
            </w:r>
            <w:r w:rsidR="005F3BC8" w:rsidRPr="00F73F98">
              <w:rPr>
                <w:color w:val="000000"/>
                <w:spacing w:val="2"/>
                <w:shd w:val="solid" w:color="000000" w:fill="000000"/>
                <w:fitText w:val="322" w:id="-760998141"/>
                <w14:textFill>
                  <w14:solidFill>
                    <w14:srgbClr w14:val="000000">
                      <w14:alpha w14:val="100000"/>
                    </w14:srgbClr>
                  </w14:solidFill>
                </w14:textFill>
              </w:rPr>
              <w:t>|</w:t>
            </w:r>
            <w:r w:rsidR="007C32D0">
              <w:rPr>
                <w:vertAlign w:val="superscript"/>
              </w:rPr>
              <w:t>2</w:t>
            </w:r>
            <w:r w:rsidRPr="00552B0C">
              <w:t>/QALY gained (</w:t>
            </w:r>
            <w:r w:rsidRPr="00814A1B">
              <w:t>+</w:t>
            </w:r>
            <w:r w:rsidR="005F3BC8" w:rsidRPr="00F73F98">
              <w:rPr>
                <w:color w:val="000000"/>
                <w:spacing w:val="54"/>
                <w:shd w:val="solid" w:color="000000" w:fill="000000"/>
                <w:fitText w:val="333" w:id="-760998140"/>
                <w14:textFill>
                  <w14:solidFill>
                    <w14:srgbClr w14:val="000000">
                      <w14:alpha w14:val="100000"/>
                    </w14:srgbClr>
                  </w14:solidFill>
                </w14:textFill>
              </w:rPr>
              <w:t>|||</w:t>
            </w:r>
            <w:r w:rsidR="005F3BC8" w:rsidRPr="00F73F98">
              <w:rPr>
                <w:color w:val="000000"/>
                <w:spacing w:val="1"/>
                <w:shd w:val="solid" w:color="000000" w:fill="000000"/>
                <w:fitText w:val="333" w:id="-760998140"/>
                <w14:textFill>
                  <w14:solidFill>
                    <w14:srgbClr w14:val="000000">
                      <w14:alpha w14:val="100000"/>
                    </w14:srgbClr>
                  </w14:solidFill>
                </w14:textFill>
              </w:rPr>
              <w:t>|</w:t>
            </w:r>
            <w:r w:rsidRPr="00552B0C">
              <w:t>%)</w:t>
            </w:r>
          </w:p>
          <w:p w14:paraId="186318E2" w14:textId="22C717EA" w:rsidR="00091D2A" w:rsidRPr="00552B0C" w:rsidRDefault="00091D2A" w:rsidP="00C81C2F">
            <w:pPr>
              <w:pStyle w:val="TableText0"/>
              <w:keepLines/>
            </w:pPr>
            <w:r w:rsidRPr="00552B0C">
              <w:t>Use of utility values from Romanus 2012 (Free of Progression=0.74, Progressed=0.67) increased the ICER to $</w:t>
            </w:r>
            <w:r w:rsidR="005F3BC8" w:rsidRPr="00F73F98">
              <w:rPr>
                <w:color w:val="000000"/>
                <w:spacing w:val="50"/>
                <w:shd w:val="solid" w:color="000000" w:fill="000000"/>
                <w:fitText w:val="322" w:id="-760998139"/>
                <w14:textFill>
                  <w14:solidFill>
                    <w14:srgbClr w14:val="000000">
                      <w14:alpha w14:val="100000"/>
                    </w14:srgbClr>
                  </w14:solidFill>
                </w14:textFill>
              </w:rPr>
              <w:t>|||</w:t>
            </w:r>
            <w:r w:rsidR="005F3BC8" w:rsidRPr="00F73F98">
              <w:rPr>
                <w:color w:val="000000"/>
                <w:spacing w:val="2"/>
                <w:shd w:val="solid" w:color="000000" w:fill="000000"/>
                <w:fitText w:val="322" w:id="-760998139"/>
                <w14:textFill>
                  <w14:solidFill>
                    <w14:srgbClr w14:val="000000">
                      <w14:alpha w14:val="100000"/>
                    </w14:srgbClr>
                  </w14:solidFill>
                </w14:textFill>
              </w:rPr>
              <w:t>|</w:t>
            </w:r>
            <w:r w:rsidR="007C32D0">
              <w:rPr>
                <w:vertAlign w:val="superscript"/>
              </w:rPr>
              <w:t>2</w:t>
            </w:r>
            <w:r w:rsidRPr="00552B0C">
              <w:t>/QALY gained (</w:t>
            </w:r>
            <w:r w:rsidRPr="00814A1B">
              <w:t>+</w:t>
            </w:r>
            <w:r w:rsidR="005F3BC8" w:rsidRPr="00F73F98">
              <w:rPr>
                <w:color w:val="000000"/>
                <w:spacing w:val="54"/>
                <w:shd w:val="solid" w:color="000000" w:fill="000000"/>
                <w:fitText w:val="333" w:id="-760998138"/>
                <w14:textFill>
                  <w14:solidFill>
                    <w14:srgbClr w14:val="000000">
                      <w14:alpha w14:val="100000"/>
                    </w14:srgbClr>
                  </w14:solidFill>
                </w14:textFill>
              </w:rPr>
              <w:t>|||</w:t>
            </w:r>
            <w:r w:rsidR="005F3BC8" w:rsidRPr="00F73F98">
              <w:rPr>
                <w:color w:val="000000"/>
                <w:spacing w:val="1"/>
                <w:shd w:val="solid" w:color="000000" w:fill="000000"/>
                <w:fitText w:val="333" w:id="-760998138"/>
                <w14:textFill>
                  <w14:solidFill>
                    <w14:srgbClr w14:val="000000">
                      <w14:alpha w14:val="100000"/>
                    </w14:srgbClr>
                  </w14:solidFill>
                </w14:textFill>
              </w:rPr>
              <w:t>|</w:t>
            </w:r>
            <w:r w:rsidRPr="00552B0C">
              <w:t>%)</w:t>
            </w:r>
          </w:p>
        </w:tc>
      </w:tr>
    </w:tbl>
    <w:p w14:paraId="1B27E3CB" w14:textId="77777777" w:rsidR="00091D2A" w:rsidRPr="00552B0C" w:rsidRDefault="00091D2A" w:rsidP="00C81C2F">
      <w:pPr>
        <w:pStyle w:val="FooterTableFigure"/>
        <w:keepNext/>
        <w:keepLines/>
      </w:pPr>
      <w:r w:rsidRPr="00552B0C">
        <w:t>Source: Compiled during the evaluation.</w:t>
      </w:r>
    </w:p>
    <w:p w14:paraId="645AA787" w14:textId="1DE78E4F" w:rsidR="00091D2A" w:rsidRPr="00552B0C" w:rsidRDefault="00091D2A" w:rsidP="00C81C2F">
      <w:pPr>
        <w:pStyle w:val="FooterTableFigure"/>
        <w:keepNext/>
        <w:keepLines/>
      </w:pPr>
      <w:r w:rsidRPr="00552B0C">
        <w:t xml:space="preserve">Abbreviations: EQ-5D-5L, EuroQol 5-dimension health status questionnaire (5 level); FOLFIRINOX, Fluorouracil, Folinic Acid, Irinotecan, Oxaliplatin; Gem+NabP, gemcitabine plus nanoparticle albumin-bound paclitaxel; HR, hazard ratios; ICER, incremental cost-effectiveness ratio; MAIC, matching adjusted indirect treatment comparison; NALIRIFOX, </w:t>
      </w:r>
      <w:r w:rsidRPr="00552B0C">
        <w:rPr>
          <w:rStyle w:val="CommentReference"/>
          <w:b w:val="0"/>
          <w:bCs/>
          <w:sz w:val="18"/>
          <w:szCs w:val="18"/>
        </w:rPr>
        <w:t>nanoliposomal irinotecan in combination with 5-fluorouracil, leucovorin/folinic acid, and oxaliplatin</w:t>
      </w:r>
      <w:r w:rsidRPr="00552B0C">
        <w:t xml:space="preserve">; </w:t>
      </w:r>
      <w:r w:rsidR="007F00EA" w:rsidRPr="00552B0C">
        <w:t xml:space="preserve">OS, overall survival; </w:t>
      </w:r>
      <w:r w:rsidR="00BC461F" w:rsidRPr="00552B0C">
        <w:t xml:space="preserve">PURPLE, Pancreatic cancer: Understanding Routine Practice &amp; Lifting End registry; </w:t>
      </w:r>
      <w:r w:rsidRPr="00552B0C">
        <w:t>QALY, quality-adjusted life year.</w:t>
      </w:r>
    </w:p>
    <w:p w14:paraId="04D9DC82" w14:textId="77777777" w:rsidR="00091D2A" w:rsidRPr="00552B0C" w:rsidRDefault="00091D2A" w:rsidP="00C81C2F">
      <w:pPr>
        <w:pStyle w:val="FooterTableFigure"/>
        <w:keepNext/>
        <w:keepLines/>
      </w:pPr>
      <w:r w:rsidRPr="00552B0C">
        <w:rPr>
          <w:shd w:val="clear" w:color="auto" w:fill="B8CCE4" w:themeFill="accent1" w:themeFillTint="66"/>
        </w:rPr>
        <w:t>Blue shading</w:t>
      </w:r>
      <w:r w:rsidRPr="00552B0C">
        <w:t xml:space="preserve"> indicates these elements were unchanged from the March 2024 submission</w:t>
      </w:r>
    </w:p>
    <w:p w14:paraId="37F376EE" w14:textId="77777777" w:rsidR="00463487" w:rsidRPr="00552B0C" w:rsidRDefault="00463487" w:rsidP="00C81C2F">
      <w:pPr>
        <w:pStyle w:val="FooterTableFigure"/>
        <w:keepNext/>
        <w:keepLines/>
      </w:pPr>
      <w:r w:rsidRPr="00552B0C">
        <w:t>Note: The SEIGE trial was a Phase II, dose-scheduling trial of Gem+NabP with EQ-5D-5L data captured over a period of 12 months.</w:t>
      </w:r>
    </w:p>
    <w:p w14:paraId="1F7DF109" w14:textId="12264AED" w:rsidR="00463487" w:rsidRDefault="00463487" w:rsidP="00C81C2F">
      <w:pPr>
        <w:pStyle w:val="FooterTableFigure"/>
        <w:keepNext/>
        <w:keepLines/>
      </w:pPr>
      <w:r w:rsidRPr="00552B0C">
        <w:t>Romanus et al, 2012 was a health-related quality of life study of US patients with advanced pancreatic cancer deemed not appropriate for surgical resection. Utility values adjusted to the UK population were from NICE’s assessment of Gem+NabP.</w:t>
      </w:r>
    </w:p>
    <w:p w14:paraId="78A153E2" w14:textId="4CD15317" w:rsidR="00463302" w:rsidRPr="00DD7ED1" w:rsidRDefault="00463302" w:rsidP="00463302">
      <w:pPr>
        <w:pStyle w:val="FooterTableFigure"/>
        <w:keepNext/>
        <w:keepLines/>
        <w:rPr>
          <w:i/>
          <w:iCs/>
          <w:szCs w:val="18"/>
        </w:rPr>
      </w:pPr>
      <w:r w:rsidRPr="00DD7ED1">
        <w:rPr>
          <w:i/>
          <w:iCs/>
          <w:szCs w:val="18"/>
        </w:rPr>
        <w:t>The redacted values correspond to the following ranges:</w:t>
      </w:r>
      <w:r w:rsidR="008D0998" w:rsidRPr="00DD7ED1">
        <w:rPr>
          <w:i/>
          <w:iCs/>
          <w:szCs w:val="18"/>
        </w:rPr>
        <w:t xml:space="preserve"> </w:t>
      </w:r>
    </w:p>
    <w:p w14:paraId="77620540" w14:textId="0DC56FEF" w:rsidR="00DD7ED1" w:rsidRPr="00DD7ED1" w:rsidRDefault="00DD7ED1" w:rsidP="00DD7ED1">
      <w:pPr>
        <w:pStyle w:val="FooterTableFigure"/>
        <w:keepNext/>
        <w:keepLines/>
        <w:rPr>
          <w:i/>
          <w:iCs/>
          <w:szCs w:val="18"/>
        </w:rPr>
      </w:pPr>
      <w:r w:rsidRPr="00DD7ED1">
        <w:rPr>
          <w:i/>
          <w:iCs/>
          <w:szCs w:val="18"/>
          <w:vertAlign w:val="superscript"/>
        </w:rPr>
        <w:t>1</w:t>
      </w:r>
      <w:r w:rsidRPr="00DD7ED1">
        <w:rPr>
          <w:i/>
          <w:iCs/>
          <w:szCs w:val="18"/>
        </w:rPr>
        <w:t xml:space="preserve"> $45,000</w:t>
      </w:r>
      <w:r w:rsidRPr="00DD7ED1">
        <w:rPr>
          <w:rFonts w:ascii="Arial" w:hAnsi="Arial"/>
          <w:i/>
          <w:iCs/>
          <w:szCs w:val="18"/>
        </w:rPr>
        <w:t> </w:t>
      </w:r>
      <w:r w:rsidRPr="00DD7ED1">
        <w:rPr>
          <w:i/>
          <w:iCs/>
          <w:szCs w:val="18"/>
        </w:rPr>
        <w:t>to</w:t>
      </w:r>
      <w:r w:rsidRPr="00DD7ED1">
        <w:rPr>
          <w:rFonts w:ascii="Arial" w:hAnsi="Arial"/>
          <w:i/>
          <w:iCs/>
          <w:szCs w:val="18"/>
        </w:rPr>
        <w:t> </w:t>
      </w:r>
      <w:r w:rsidRPr="00DD7ED1">
        <w:rPr>
          <w:i/>
          <w:iCs/>
          <w:szCs w:val="18"/>
        </w:rPr>
        <w:t>&lt;</w:t>
      </w:r>
      <w:r w:rsidRPr="00DD7ED1">
        <w:rPr>
          <w:rFonts w:ascii="Arial" w:hAnsi="Arial"/>
          <w:i/>
          <w:iCs/>
          <w:szCs w:val="18"/>
        </w:rPr>
        <w:t> </w:t>
      </w:r>
      <w:r w:rsidRPr="00DD7ED1">
        <w:rPr>
          <w:i/>
          <w:iCs/>
          <w:szCs w:val="18"/>
        </w:rPr>
        <w:t>$55,000</w:t>
      </w:r>
    </w:p>
    <w:p w14:paraId="601BFCD6" w14:textId="7CA18B2E" w:rsidR="00463302" w:rsidRPr="00DD7ED1" w:rsidRDefault="00DD7ED1" w:rsidP="00463302">
      <w:pPr>
        <w:pStyle w:val="FooterTableFigure"/>
        <w:keepNext/>
        <w:keepLines/>
        <w:rPr>
          <w:i/>
          <w:iCs/>
          <w:szCs w:val="18"/>
        </w:rPr>
      </w:pPr>
      <w:r w:rsidRPr="00DD7ED1">
        <w:rPr>
          <w:i/>
          <w:iCs/>
          <w:szCs w:val="18"/>
          <w:vertAlign w:val="superscript"/>
        </w:rPr>
        <w:t>2</w:t>
      </w:r>
      <w:r w:rsidR="008D0998" w:rsidRPr="00DD7ED1">
        <w:rPr>
          <w:i/>
          <w:iCs/>
          <w:szCs w:val="18"/>
        </w:rPr>
        <w:t xml:space="preserve"> </w:t>
      </w:r>
      <w:r w:rsidR="00C03755" w:rsidRPr="00DD7ED1">
        <w:rPr>
          <w:i/>
          <w:iCs/>
          <w:szCs w:val="18"/>
        </w:rPr>
        <w:t>$55,000</w:t>
      </w:r>
      <w:r w:rsidR="00C03755" w:rsidRPr="00DD7ED1">
        <w:rPr>
          <w:rFonts w:ascii="Arial" w:hAnsi="Arial"/>
          <w:i/>
          <w:iCs/>
          <w:szCs w:val="18"/>
        </w:rPr>
        <w:t> </w:t>
      </w:r>
      <w:r w:rsidR="00C03755" w:rsidRPr="00DD7ED1">
        <w:rPr>
          <w:i/>
          <w:iCs/>
          <w:szCs w:val="18"/>
        </w:rPr>
        <w:t>to</w:t>
      </w:r>
      <w:r w:rsidR="00C03755" w:rsidRPr="00DD7ED1">
        <w:rPr>
          <w:rFonts w:ascii="Arial" w:hAnsi="Arial"/>
          <w:i/>
          <w:iCs/>
          <w:szCs w:val="18"/>
        </w:rPr>
        <w:t> </w:t>
      </w:r>
      <w:r w:rsidR="00C03755" w:rsidRPr="00DD7ED1">
        <w:rPr>
          <w:i/>
          <w:iCs/>
          <w:szCs w:val="18"/>
        </w:rPr>
        <w:t>&lt;</w:t>
      </w:r>
      <w:r w:rsidR="00C03755" w:rsidRPr="00DD7ED1">
        <w:rPr>
          <w:rFonts w:ascii="Arial" w:hAnsi="Arial"/>
          <w:i/>
          <w:iCs/>
          <w:szCs w:val="18"/>
        </w:rPr>
        <w:t> </w:t>
      </w:r>
      <w:r w:rsidR="00C03755" w:rsidRPr="00DD7ED1">
        <w:rPr>
          <w:i/>
          <w:iCs/>
          <w:szCs w:val="18"/>
        </w:rPr>
        <w:t>$75,000</w:t>
      </w:r>
    </w:p>
    <w:p w14:paraId="2CBF81C6" w14:textId="583F3D29" w:rsidR="00463302" w:rsidRPr="00DD7ED1" w:rsidRDefault="00DD7ED1" w:rsidP="00463302">
      <w:pPr>
        <w:pStyle w:val="FooterTableFigure"/>
        <w:keepNext/>
        <w:keepLines/>
        <w:rPr>
          <w:i/>
          <w:iCs/>
          <w:szCs w:val="18"/>
        </w:rPr>
      </w:pPr>
      <w:r w:rsidRPr="00DD7ED1">
        <w:rPr>
          <w:i/>
          <w:iCs/>
          <w:szCs w:val="18"/>
          <w:vertAlign w:val="superscript"/>
        </w:rPr>
        <w:t>3</w:t>
      </w:r>
      <w:r w:rsidR="008D0998" w:rsidRPr="00DD7ED1">
        <w:rPr>
          <w:i/>
          <w:iCs/>
          <w:szCs w:val="18"/>
        </w:rPr>
        <w:t xml:space="preserve"> </w:t>
      </w:r>
      <w:r w:rsidR="003D720B" w:rsidRPr="00DD7ED1">
        <w:rPr>
          <w:i/>
          <w:iCs/>
          <w:szCs w:val="18"/>
        </w:rPr>
        <w:t>$75,000</w:t>
      </w:r>
      <w:r w:rsidR="003D720B" w:rsidRPr="00DD7ED1">
        <w:rPr>
          <w:rFonts w:ascii="Arial" w:hAnsi="Arial"/>
          <w:i/>
          <w:iCs/>
          <w:szCs w:val="18"/>
        </w:rPr>
        <w:t> </w:t>
      </w:r>
      <w:r w:rsidR="003D720B" w:rsidRPr="00DD7ED1">
        <w:rPr>
          <w:i/>
          <w:iCs/>
          <w:szCs w:val="18"/>
        </w:rPr>
        <w:t>to</w:t>
      </w:r>
      <w:r w:rsidR="003D720B" w:rsidRPr="00DD7ED1">
        <w:rPr>
          <w:rFonts w:ascii="Arial" w:hAnsi="Arial"/>
          <w:i/>
          <w:iCs/>
          <w:szCs w:val="18"/>
        </w:rPr>
        <w:t> </w:t>
      </w:r>
      <w:r w:rsidR="003D720B" w:rsidRPr="00DD7ED1">
        <w:rPr>
          <w:i/>
          <w:iCs/>
          <w:szCs w:val="18"/>
        </w:rPr>
        <w:t>&lt;</w:t>
      </w:r>
      <w:r w:rsidR="003D720B" w:rsidRPr="00DD7ED1">
        <w:rPr>
          <w:rFonts w:ascii="Arial" w:hAnsi="Arial"/>
          <w:i/>
          <w:iCs/>
          <w:szCs w:val="18"/>
        </w:rPr>
        <w:t> </w:t>
      </w:r>
      <w:r w:rsidR="003D720B" w:rsidRPr="00DD7ED1">
        <w:rPr>
          <w:i/>
          <w:iCs/>
          <w:szCs w:val="18"/>
        </w:rPr>
        <w:t>$95,000 </w:t>
      </w:r>
    </w:p>
    <w:p w14:paraId="49E24F36" w14:textId="09765332" w:rsidR="00463302" w:rsidRPr="00DD7ED1" w:rsidRDefault="00DD7ED1" w:rsidP="00463302">
      <w:pPr>
        <w:pStyle w:val="FooterTableFigure"/>
        <w:keepNext/>
        <w:keepLines/>
        <w:rPr>
          <w:i/>
          <w:iCs/>
          <w:szCs w:val="18"/>
        </w:rPr>
      </w:pPr>
      <w:r w:rsidRPr="00DD7ED1">
        <w:rPr>
          <w:i/>
          <w:iCs/>
          <w:szCs w:val="18"/>
          <w:vertAlign w:val="superscript"/>
        </w:rPr>
        <w:t>4</w:t>
      </w:r>
      <w:r w:rsidR="00463302" w:rsidRPr="00DD7ED1">
        <w:rPr>
          <w:i/>
          <w:iCs/>
          <w:szCs w:val="18"/>
        </w:rPr>
        <w:t> </w:t>
      </w:r>
      <w:r w:rsidR="003341EF" w:rsidRPr="00DD7ED1">
        <w:rPr>
          <w:i/>
          <w:iCs/>
          <w:szCs w:val="18"/>
        </w:rPr>
        <w:t>$35,000</w:t>
      </w:r>
      <w:r w:rsidR="003341EF" w:rsidRPr="00DD7ED1">
        <w:rPr>
          <w:rFonts w:ascii="Arial" w:hAnsi="Arial"/>
          <w:i/>
          <w:iCs/>
          <w:szCs w:val="18"/>
        </w:rPr>
        <w:t> </w:t>
      </w:r>
      <w:r w:rsidR="003341EF" w:rsidRPr="00DD7ED1">
        <w:rPr>
          <w:i/>
          <w:iCs/>
          <w:szCs w:val="18"/>
        </w:rPr>
        <w:t>to</w:t>
      </w:r>
      <w:r w:rsidR="003341EF" w:rsidRPr="00DD7ED1">
        <w:rPr>
          <w:rFonts w:ascii="Arial" w:hAnsi="Arial"/>
          <w:i/>
          <w:iCs/>
          <w:szCs w:val="18"/>
        </w:rPr>
        <w:t> </w:t>
      </w:r>
      <w:r w:rsidR="003341EF" w:rsidRPr="00DD7ED1">
        <w:rPr>
          <w:i/>
          <w:iCs/>
          <w:szCs w:val="18"/>
        </w:rPr>
        <w:t>&lt;</w:t>
      </w:r>
      <w:r w:rsidR="003341EF" w:rsidRPr="00DD7ED1">
        <w:rPr>
          <w:rFonts w:ascii="Arial" w:hAnsi="Arial"/>
          <w:i/>
          <w:iCs/>
          <w:szCs w:val="18"/>
        </w:rPr>
        <w:t> </w:t>
      </w:r>
      <w:r w:rsidR="003341EF" w:rsidRPr="00DD7ED1">
        <w:rPr>
          <w:i/>
          <w:iCs/>
          <w:szCs w:val="18"/>
        </w:rPr>
        <w:t>$45,000</w:t>
      </w:r>
      <w:r w:rsidR="008D0998" w:rsidRPr="00DD7ED1">
        <w:rPr>
          <w:i/>
          <w:iCs/>
          <w:szCs w:val="18"/>
        </w:rPr>
        <w:t xml:space="preserve"> </w:t>
      </w:r>
    </w:p>
    <w:p w14:paraId="0A05B2FF" w14:textId="0702262F" w:rsidR="00463302" w:rsidRPr="00DD7ED1" w:rsidRDefault="00DD7ED1" w:rsidP="00463302">
      <w:pPr>
        <w:pStyle w:val="FooterTableFigure"/>
        <w:keepNext/>
        <w:keepLines/>
        <w:rPr>
          <w:i/>
          <w:iCs/>
          <w:szCs w:val="18"/>
        </w:rPr>
      </w:pPr>
      <w:r w:rsidRPr="00DD7ED1">
        <w:rPr>
          <w:i/>
          <w:iCs/>
          <w:szCs w:val="18"/>
          <w:vertAlign w:val="superscript"/>
        </w:rPr>
        <w:t>5</w:t>
      </w:r>
      <w:r w:rsidR="008D0998" w:rsidRPr="00DD7ED1">
        <w:rPr>
          <w:i/>
          <w:iCs/>
          <w:szCs w:val="18"/>
        </w:rPr>
        <w:t xml:space="preserve"> </w:t>
      </w:r>
      <w:r w:rsidR="00A242B3" w:rsidRPr="00DD7ED1">
        <w:rPr>
          <w:i/>
          <w:iCs/>
          <w:szCs w:val="18"/>
        </w:rPr>
        <w:t>$25,000</w:t>
      </w:r>
      <w:r w:rsidR="00A242B3" w:rsidRPr="00DD7ED1">
        <w:rPr>
          <w:rFonts w:ascii="Arial" w:hAnsi="Arial"/>
          <w:i/>
          <w:iCs/>
          <w:szCs w:val="18"/>
        </w:rPr>
        <w:t> </w:t>
      </w:r>
      <w:r w:rsidR="00A242B3" w:rsidRPr="00DD7ED1">
        <w:rPr>
          <w:i/>
          <w:iCs/>
          <w:szCs w:val="18"/>
        </w:rPr>
        <w:t>to</w:t>
      </w:r>
      <w:r w:rsidR="00A242B3" w:rsidRPr="00DD7ED1">
        <w:rPr>
          <w:rFonts w:ascii="Arial" w:hAnsi="Arial"/>
          <w:i/>
          <w:iCs/>
          <w:szCs w:val="18"/>
        </w:rPr>
        <w:t> </w:t>
      </w:r>
      <w:r w:rsidR="00A242B3" w:rsidRPr="00DD7ED1">
        <w:rPr>
          <w:i/>
          <w:iCs/>
          <w:szCs w:val="18"/>
        </w:rPr>
        <w:t>&lt;</w:t>
      </w:r>
      <w:r w:rsidR="00A242B3" w:rsidRPr="00DD7ED1">
        <w:rPr>
          <w:rFonts w:ascii="Arial" w:hAnsi="Arial"/>
          <w:i/>
          <w:iCs/>
          <w:szCs w:val="18"/>
        </w:rPr>
        <w:t> </w:t>
      </w:r>
      <w:r w:rsidR="00A242B3" w:rsidRPr="00DD7ED1">
        <w:rPr>
          <w:i/>
          <w:iCs/>
          <w:szCs w:val="18"/>
        </w:rPr>
        <w:t>$35,000</w:t>
      </w:r>
    </w:p>
    <w:p w14:paraId="42549D86" w14:textId="52931A86" w:rsidR="00463302" w:rsidRPr="00552B0C" w:rsidRDefault="00DD7ED1" w:rsidP="00AB1227">
      <w:pPr>
        <w:pStyle w:val="FooterTableFigure"/>
        <w:keepLines/>
      </w:pPr>
      <w:r w:rsidRPr="00DD7ED1">
        <w:rPr>
          <w:i/>
          <w:iCs/>
          <w:szCs w:val="18"/>
          <w:vertAlign w:val="superscript"/>
        </w:rPr>
        <w:t>6</w:t>
      </w:r>
      <w:r w:rsidR="008D0998" w:rsidRPr="00DD7ED1">
        <w:rPr>
          <w:i/>
          <w:iCs/>
          <w:szCs w:val="18"/>
        </w:rPr>
        <w:t xml:space="preserve"> </w:t>
      </w:r>
      <w:r w:rsidR="008935EB" w:rsidRPr="00DD7ED1">
        <w:rPr>
          <w:i/>
          <w:iCs/>
          <w:szCs w:val="18"/>
        </w:rPr>
        <w:t>$135,000</w:t>
      </w:r>
      <w:r w:rsidR="008935EB" w:rsidRPr="00DD7ED1">
        <w:rPr>
          <w:rFonts w:ascii="Arial" w:hAnsi="Arial"/>
          <w:i/>
          <w:iCs/>
          <w:szCs w:val="18"/>
        </w:rPr>
        <w:t> </w:t>
      </w:r>
      <w:r w:rsidR="008935EB" w:rsidRPr="00DD7ED1">
        <w:rPr>
          <w:i/>
          <w:iCs/>
          <w:szCs w:val="18"/>
        </w:rPr>
        <w:t>to</w:t>
      </w:r>
      <w:r w:rsidR="008935EB" w:rsidRPr="00DD7ED1">
        <w:rPr>
          <w:rFonts w:ascii="Arial" w:hAnsi="Arial"/>
          <w:i/>
          <w:iCs/>
          <w:szCs w:val="18"/>
        </w:rPr>
        <w:t> </w:t>
      </w:r>
      <w:r w:rsidR="008935EB" w:rsidRPr="00DD7ED1">
        <w:rPr>
          <w:i/>
          <w:iCs/>
          <w:szCs w:val="18"/>
        </w:rPr>
        <w:t>&lt;</w:t>
      </w:r>
      <w:r w:rsidR="008935EB" w:rsidRPr="00DD7ED1">
        <w:rPr>
          <w:rFonts w:ascii="Arial" w:hAnsi="Arial"/>
          <w:i/>
          <w:iCs/>
          <w:szCs w:val="18"/>
        </w:rPr>
        <w:t> </w:t>
      </w:r>
      <w:r w:rsidR="008935EB" w:rsidRPr="00DD7ED1">
        <w:rPr>
          <w:i/>
          <w:iCs/>
          <w:szCs w:val="18"/>
        </w:rPr>
        <w:t>$155,000</w:t>
      </w:r>
    </w:p>
    <w:p w14:paraId="34ED215F" w14:textId="4FEF4B74" w:rsidR="00091D2A" w:rsidRPr="00552B0C" w:rsidRDefault="008F1029" w:rsidP="00552B0C">
      <w:pPr>
        <w:pStyle w:val="3-BodyText"/>
        <w:numPr>
          <w:ilvl w:val="1"/>
          <w:numId w:val="5"/>
        </w:numPr>
      </w:pPr>
      <w:r w:rsidRPr="00552B0C">
        <w:t xml:space="preserve">The use of HRs based on the </w:t>
      </w:r>
      <w:r w:rsidR="0023090E" w:rsidRPr="00552B0C">
        <w:t>resubmission</w:t>
      </w:r>
      <w:r w:rsidRPr="00552B0C">
        <w:t xml:space="preserve"> ITCs using GENERATE leads to highly questionable model outputs, where the ICER </w:t>
      </w:r>
      <w:r w:rsidR="0066141F" w:rsidRPr="00552B0C">
        <w:t>decreases as the proportion of FOLFIRINOX use increases</w:t>
      </w:r>
      <w:r w:rsidRPr="00552B0C">
        <w:t xml:space="preserve">. </w:t>
      </w:r>
      <w:r w:rsidR="0066141F" w:rsidRPr="00552B0C">
        <w:t>Compared to the previous submission, t</w:t>
      </w:r>
      <w:r w:rsidR="00091D2A" w:rsidRPr="00552B0C">
        <w:t xml:space="preserve">he updated OS data from the NAPOLI-3 trial in the resubmission has resulted in the extrapolation time point and parametric function for OS no longer being key drivers of the model. </w:t>
      </w:r>
    </w:p>
    <w:p w14:paraId="0826118E" w14:textId="50133D6B" w:rsidR="00091D2A" w:rsidRPr="00552B0C" w:rsidRDefault="00091D2A" w:rsidP="00552B0C">
      <w:pPr>
        <w:pStyle w:val="3-BodyText"/>
        <w:numPr>
          <w:ilvl w:val="1"/>
          <w:numId w:val="5"/>
        </w:numPr>
      </w:pPr>
      <w:r w:rsidRPr="00552B0C">
        <w:t xml:space="preserve">The results of the stepped economic evaluation are presented in </w:t>
      </w:r>
      <w:r w:rsidRPr="00552B0C">
        <w:fldChar w:fldCharType="begin" w:fldLock="1"/>
      </w:r>
      <w:r w:rsidRPr="00552B0C">
        <w:instrText xml:space="preserve"> REF _Ref176531880 \h </w:instrText>
      </w:r>
      <w:r w:rsidR="00B87FAE" w:rsidRPr="00552B0C">
        <w:instrText xml:space="preserve"> \* MERGEFORMAT </w:instrText>
      </w:r>
      <w:r w:rsidRPr="00552B0C">
        <w:fldChar w:fldCharType="separate"/>
      </w:r>
      <w:r w:rsidR="001C19B6" w:rsidRPr="00552B0C">
        <w:t xml:space="preserve">Table </w:t>
      </w:r>
      <w:r w:rsidR="001C19B6">
        <w:rPr>
          <w:noProof/>
        </w:rPr>
        <w:t>16</w:t>
      </w:r>
      <w:r w:rsidRPr="00552B0C">
        <w:fldChar w:fldCharType="end"/>
      </w:r>
      <w:r w:rsidRPr="00552B0C">
        <w:t xml:space="preserve">. </w:t>
      </w:r>
    </w:p>
    <w:p w14:paraId="377C3879" w14:textId="54EEBDBD" w:rsidR="00091D2A" w:rsidRPr="00552B0C" w:rsidRDefault="00091D2A" w:rsidP="00091D2A">
      <w:pPr>
        <w:pStyle w:val="Caption"/>
      </w:pPr>
      <w:bookmarkStart w:id="85" w:name="_Ref176531880"/>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16</w:t>
      </w:r>
      <w:r w:rsidR="001C19B6">
        <w:rPr>
          <w:noProof/>
        </w:rPr>
        <w:fldChar w:fldCharType="end"/>
      </w:r>
      <w:bookmarkEnd w:id="85"/>
      <w:r w:rsidRPr="00552B0C">
        <w:t>:</w:t>
      </w:r>
      <w:r w:rsidRPr="00552B0C">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6: Results of the stepped economic evaluation"/>
      </w:tblPr>
      <w:tblGrid>
        <w:gridCol w:w="2757"/>
        <w:gridCol w:w="2451"/>
        <w:gridCol w:w="2298"/>
        <w:gridCol w:w="1511"/>
      </w:tblGrid>
      <w:tr w:rsidR="00091D2A" w:rsidRPr="00552B0C" w14:paraId="52906AA3" w14:textId="77777777">
        <w:trPr>
          <w:cantSplit/>
          <w:tblHeader/>
        </w:trPr>
        <w:tc>
          <w:tcPr>
            <w:tcW w:w="1529" w:type="pct"/>
            <w:vAlign w:val="center"/>
          </w:tcPr>
          <w:p w14:paraId="338F432A" w14:textId="77777777" w:rsidR="00091D2A" w:rsidRPr="00552B0C" w:rsidRDefault="00091D2A">
            <w:pPr>
              <w:pStyle w:val="In-tableHeading"/>
            </w:pPr>
            <w:r w:rsidRPr="00552B0C">
              <w:t>Step and component</w:t>
            </w:r>
          </w:p>
        </w:tc>
        <w:tc>
          <w:tcPr>
            <w:tcW w:w="1359" w:type="pct"/>
            <w:vAlign w:val="center"/>
          </w:tcPr>
          <w:p w14:paraId="1A10677F" w14:textId="77777777" w:rsidR="00091D2A" w:rsidRPr="00552B0C" w:rsidRDefault="00091D2A">
            <w:pPr>
              <w:pStyle w:val="In-tableHeading"/>
              <w:jc w:val="center"/>
            </w:pPr>
            <w:r w:rsidRPr="00552B0C">
              <w:t>NALIRIFOX</w:t>
            </w:r>
          </w:p>
        </w:tc>
        <w:tc>
          <w:tcPr>
            <w:tcW w:w="1274" w:type="pct"/>
            <w:vAlign w:val="center"/>
          </w:tcPr>
          <w:p w14:paraId="025F2053" w14:textId="77777777" w:rsidR="00091D2A" w:rsidRPr="00552B0C" w:rsidRDefault="00091D2A">
            <w:pPr>
              <w:pStyle w:val="In-tableHeading"/>
              <w:jc w:val="center"/>
            </w:pPr>
            <w:r w:rsidRPr="00552B0C">
              <w:t>Comparator</w:t>
            </w:r>
          </w:p>
          <w:p w14:paraId="1667B193" w14:textId="77777777" w:rsidR="00091D2A" w:rsidRPr="00552B0C" w:rsidRDefault="00091D2A">
            <w:pPr>
              <w:pStyle w:val="In-tableHeading"/>
              <w:jc w:val="center"/>
            </w:pPr>
            <w:r w:rsidRPr="00552B0C">
              <w:t>(75% Gem+NabP/25% FOLFIRINOX)</w:t>
            </w:r>
          </w:p>
        </w:tc>
        <w:tc>
          <w:tcPr>
            <w:tcW w:w="838" w:type="pct"/>
            <w:vAlign w:val="center"/>
          </w:tcPr>
          <w:p w14:paraId="23140855" w14:textId="77777777" w:rsidR="00091D2A" w:rsidRPr="00552B0C" w:rsidRDefault="00091D2A">
            <w:pPr>
              <w:pStyle w:val="In-tableHeading"/>
              <w:jc w:val="center"/>
            </w:pPr>
            <w:r w:rsidRPr="00552B0C">
              <w:t>Increment</w:t>
            </w:r>
          </w:p>
        </w:tc>
      </w:tr>
      <w:tr w:rsidR="00091D2A" w:rsidRPr="00552B0C" w14:paraId="086708A6" w14:textId="77777777">
        <w:trPr>
          <w:cantSplit/>
        </w:trPr>
        <w:tc>
          <w:tcPr>
            <w:tcW w:w="5000" w:type="pct"/>
            <w:gridSpan w:val="4"/>
            <w:vAlign w:val="center"/>
          </w:tcPr>
          <w:p w14:paraId="0957CD2E" w14:textId="77777777" w:rsidR="00091D2A" w:rsidRPr="00552B0C" w:rsidRDefault="00091D2A">
            <w:pPr>
              <w:pStyle w:val="In-tableHeading"/>
            </w:pPr>
            <w:r w:rsidRPr="00552B0C">
              <w:t>Step 1: trial-based costs and outcomes</w:t>
            </w:r>
          </w:p>
        </w:tc>
      </w:tr>
      <w:tr w:rsidR="00091D2A" w:rsidRPr="00552B0C" w14:paraId="64C2BD26" w14:textId="77777777">
        <w:trPr>
          <w:cantSplit/>
        </w:trPr>
        <w:tc>
          <w:tcPr>
            <w:tcW w:w="1529" w:type="pct"/>
            <w:vAlign w:val="center"/>
          </w:tcPr>
          <w:p w14:paraId="73C37EDA" w14:textId="77777777" w:rsidR="00091D2A" w:rsidRPr="00552B0C" w:rsidRDefault="00091D2A">
            <w:pPr>
              <w:pStyle w:val="TableText0"/>
              <w:rPr>
                <w:rFonts w:ascii="Times" w:hAnsi="Times"/>
              </w:rPr>
            </w:pPr>
            <w:r w:rsidRPr="00552B0C">
              <w:t>Costs</w:t>
            </w:r>
          </w:p>
        </w:tc>
        <w:tc>
          <w:tcPr>
            <w:tcW w:w="1359" w:type="pct"/>
            <w:vAlign w:val="center"/>
          </w:tcPr>
          <w:p w14:paraId="2DE65407" w14:textId="2E946477"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1274" w:type="pct"/>
            <w:vAlign w:val="center"/>
          </w:tcPr>
          <w:p w14:paraId="78325A7E" w14:textId="00FA1676"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838" w:type="pct"/>
            <w:vAlign w:val="center"/>
          </w:tcPr>
          <w:p w14:paraId="3EC69EB1" w14:textId="289B410C"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r>
      <w:tr w:rsidR="00091D2A" w:rsidRPr="00552B0C" w14:paraId="0FB877A3" w14:textId="77777777">
        <w:trPr>
          <w:cantSplit/>
        </w:trPr>
        <w:tc>
          <w:tcPr>
            <w:tcW w:w="1529" w:type="pct"/>
            <w:vAlign w:val="center"/>
          </w:tcPr>
          <w:p w14:paraId="1DDF3445" w14:textId="77777777" w:rsidR="00091D2A" w:rsidRPr="00552B0C" w:rsidRDefault="00091D2A">
            <w:pPr>
              <w:pStyle w:val="TableText0"/>
              <w:rPr>
                <w:rFonts w:ascii="Times" w:hAnsi="Times"/>
              </w:rPr>
            </w:pPr>
            <w:r w:rsidRPr="00552B0C">
              <w:t>LYs gained</w:t>
            </w:r>
          </w:p>
        </w:tc>
        <w:tc>
          <w:tcPr>
            <w:tcW w:w="1359" w:type="pct"/>
            <w:vAlign w:val="center"/>
          </w:tcPr>
          <w:p w14:paraId="16E51043" w14:textId="77777777" w:rsidR="00091D2A" w:rsidRPr="00552B0C" w:rsidRDefault="00091D2A">
            <w:pPr>
              <w:pStyle w:val="TableText0"/>
              <w:jc w:val="center"/>
              <w:rPr>
                <w:rFonts w:ascii="Times" w:hAnsi="Times"/>
              </w:rPr>
            </w:pPr>
            <w:r w:rsidRPr="00552B0C">
              <w:t>1.1464</w:t>
            </w:r>
          </w:p>
        </w:tc>
        <w:tc>
          <w:tcPr>
            <w:tcW w:w="1274" w:type="pct"/>
            <w:vAlign w:val="center"/>
          </w:tcPr>
          <w:p w14:paraId="6CADA1F8" w14:textId="77777777" w:rsidR="00091D2A" w:rsidRPr="00552B0C" w:rsidRDefault="00091D2A">
            <w:pPr>
              <w:pStyle w:val="TableText0"/>
              <w:jc w:val="center"/>
              <w:rPr>
                <w:rFonts w:ascii="Times" w:hAnsi="Times"/>
              </w:rPr>
            </w:pPr>
            <w:r w:rsidRPr="00552B0C">
              <w:t>0.9566</w:t>
            </w:r>
          </w:p>
        </w:tc>
        <w:tc>
          <w:tcPr>
            <w:tcW w:w="838" w:type="pct"/>
            <w:vAlign w:val="center"/>
          </w:tcPr>
          <w:p w14:paraId="5C2B99CF" w14:textId="77777777" w:rsidR="00091D2A" w:rsidRPr="00552B0C" w:rsidRDefault="00091D2A">
            <w:pPr>
              <w:pStyle w:val="TableText0"/>
              <w:jc w:val="center"/>
            </w:pPr>
            <w:r w:rsidRPr="00552B0C">
              <w:t>0.1897</w:t>
            </w:r>
          </w:p>
        </w:tc>
      </w:tr>
      <w:tr w:rsidR="00091D2A" w:rsidRPr="00552B0C" w14:paraId="79FC5986" w14:textId="77777777">
        <w:trPr>
          <w:cantSplit/>
        </w:trPr>
        <w:tc>
          <w:tcPr>
            <w:tcW w:w="4162" w:type="pct"/>
            <w:gridSpan w:val="3"/>
            <w:vAlign w:val="center"/>
          </w:tcPr>
          <w:p w14:paraId="32D26F19" w14:textId="77777777" w:rsidR="00091D2A" w:rsidRPr="00552B0C" w:rsidRDefault="00091D2A">
            <w:pPr>
              <w:pStyle w:val="TableText0"/>
              <w:rPr>
                <w:rFonts w:ascii="Times" w:hAnsi="Times"/>
                <w:b/>
                <w:bCs w:val="0"/>
              </w:rPr>
            </w:pPr>
            <w:r w:rsidRPr="00552B0C">
              <w:rPr>
                <w:b/>
                <w:bCs w:val="0"/>
              </w:rPr>
              <w:t>Incremental cost/extra LY gained</w:t>
            </w:r>
          </w:p>
        </w:tc>
        <w:tc>
          <w:tcPr>
            <w:tcW w:w="838" w:type="pct"/>
            <w:vAlign w:val="center"/>
          </w:tcPr>
          <w:p w14:paraId="4DFCE57A" w14:textId="6DD86B05" w:rsidR="00091D2A" w:rsidRPr="00E57299" w:rsidRDefault="00091D2A">
            <w:pPr>
              <w:pStyle w:val="TableText0"/>
              <w:jc w:val="center"/>
              <w:rPr>
                <w:rFonts w:ascii="Times" w:hAnsi="Times"/>
                <w:b/>
                <w:bCs w:val="0"/>
                <w:vertAlign w:val="superscript"/>
              </w:rPr>
            </w:pPr>
            <w:r w:rsidRPr="00552B0C">
              <w:rPr>
                <w:b/>
                <w:bCs w:val="0"/>
              </w:rPr>
              <w:t>$</w:t>
            </w:r>
            <w:r w:rsidR="005F3BC8" w:rsidRPr="005F3BC8">
              <w:rPr>
                <w:b/>
                <w:color w:val="000000"/>
                <w:shd w:val="solid" w:color="000000" w:fill="000000"/>
                <w14:textFill>
                  <w14:solidFill>
                    <w14:srgbClr w14:val="000000">
                      <w14:alpha w14:val="100000"/>
                    </w14:srgbClr>
                  </w14:solidFill>
                </w14:textFill>
              </w:rPr>
              <w:t>|</w:t>
            </w:r>
            <w:r w:rsidR="00AC1D07">
              <w:rPr>
                <w:b/>
                <w:bCs w:val="0"/>
                <w:vertAlign w:val="superscript"/>
              </w:rPr>
              <w:t>1</w:t>
            </w:r>
          </w:p>
        </w:tc>
      </w:tr>
      <w:tr w:rsidR="00091D2A" w:rsidRPr="00552B0C" w14:paraId="5C4F45D8" w14:textId="77777777">
        <w:trPr>
          <w:cantSplit/>
        </w:trPr>
        <w:tc>
          <w:tcPr>
            <w:tcW w:w="5000" w:type="pct"/>
            <w:gridSpan w:val="4"/>
            <w:vAlign w:val="center"/>
          </w:tcPr>
          <w:p w14:paraId="61037292" w14:textId="77777777" w:rsidR="00091D2A" w:rsidRPr="00552B0C" w:rsidRDefault="00091D2A">
            <w:pPr>
              <w:pStyle w:val="In-tableHeading"/>
            </w:pPr>
            <w:r w:rsidRPr="00552B0C">
              <w:t>Step 2: time horizon extended to 5 years, end-of-life costs added and discounting (5%) applied</w:t>
            </w:r>
          </w:p>
        </w:tc>
      </w:tr>
      <w:tr w:rsidR="00091D2A" w:rsidRPr="00552B0C" w14:paraId="13675424" w14:textId="77777777">
        <w:trPr>
          <w:cantSplit/>
        </w:trPr>
        <w:tc>
          <w:tcPr>
            <w:tcW w:w="1529" w:type="pct"/>
            <w:vAlign w:val="center"/>
          </w:tcPr>
          <w:p w14:paraId="68376481" w14:textId="77777777" w:rsidR="00091D2A" w:rsidRPr="00552B0C" w:rsidRDefault="00091D2A">
            <w:pPr>
              <w:pStyle w:val="TableText0"/>
              <w:rPr>
                <w:rFonts w:ascii="Times" w:hAnsi="Times"/>
              </w:rPr>
            </w:pPr>
            <w:r w:rsidRPr="00552B0C">
              <w:t>Costs</w:t>
            </w:r>
          </w:p>
        </w:tc>
        <w:tc>
          <w:tcPr>
            <w:tcW w:w="1359" w:type="pct"/>
            <w:vAlign w:val="center"/>
          </w:tcPr>
          <w:p w14:paraId="30179E6D" w14:textId="4CA2C86B"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1274" w:type="pct"/>
            <w:vAlign w:val="center"/>
          </w:tcPr>
          <w:p w14:paraId="15259537" w14:textId="2ABCFE05"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838" w:type="pct"/>
            <w:vAlign w:val="center"/>
          </w:tcPr>
          <w:p w14:paraId="5DDA1BBF" w14:textId="7735A670"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r>
      <w:tr w:rsidR="00091D2A" w:rsidRPr="00552B0C" w14:paraId="75F3F8D2" w14:textId="77777777">
        <w:trPr>
          <w:cantSplit/>
        </w:trPr>
        <w:tc>
          <w:tcPr>
            <w:tcW w:w="1529" w:type="pct"/>
            <w:vAlign w:val="center"/>
          </w:tcPr>
          <w:p w14:paraId="7E13B62D" w14:textId="77777777" w:rsidR="00091D2A" w:rsidRPr="00552B0C" w:rsidRDefault="00091D2A">
            <w:pPr>
              <w:pStyle w:val="TableText0"/>
              <w:rPr>
                <w:rFonts w:ascii="Times" w:hAnsi="Times"/>
              </w:rPr>
            </w:pPr>
            <w:r w:rsidRPr="00552B0C">
              <w:t>LYs gained</w:t>
            </w:r>
          </w:p>
        </w:tc>
        <w:tc>
          <w:tcPr>
            <w:tcW w:w="1359" w:type="pct"/>
            <w:vAlign w:val="center"/>
          </w:tcPr>
          <w:p w14:paraId="5540D907" w14:textId="77777777" w:rsidR="00091D2A" w:rsidRPr="00552B0C" w:rsidRDefault="00091D2A">
            <w:pPr>
              <w:pStyle w:val="TableText0"/>
              <w:jc w:val="center"/>
              <w:rPr>
                <w:rFonts w:ascii="Times" w:hAnsi="Times"/>
              </w:rPr>
            </w:pPr>
            <w:r w:rsidRPr="00552B0C">
              <w:t>1.1459</w:t>
            </w:r>
          </w:p>
        </w:tc>
        <w:tc>
          <w:tcPr>
            <w:tcW w:w="1274" w:type="pct"/>
            <w:vAlign w:val="center"/>
          </w:tcPr>
          <w:p w14:paraId="33D2C4F9" w14:textId="77777777" w:rsidR="00091D2A" w:rsidRPr="00552B0C" w:rsidRDefault="00091D2A">
            <w:pPr>
              <w:pStyle w:val="TableText0"/>
              <w:jc w:val="center"/>
              <w:rPr>
                <w:rFonts w:ascii="Times" w:hAnsi="Times"/>
              </w:rPr>
            </w:pPr>
            <w:r w:rsidRPr="00552B0C">
              <w:t>0.9533</w:t>
            </w:r>
          </w:p>
        </w:tc>
        <w:tc>
          <w:tcPr>
            <w:tcW w:w="838" w:type="pct"/>
            <w:vAlign w:val="center"/>
          </w:tcPr>
          <w:p w14:paraId="37DB5FB8" w14:textId="77777777" w:rsidR="00091D2A" w:rsidRPr="00552B0C" w:rsidRDefault="00091D2A">
            <w:pPr>
              <w:pStyle w:val="TableText0"/>
              <w:jc w:val="center"/>
            </w:pPr>
            <w:r w:rsidRPr="00552B0C">
              <w:t>0.1926</w:t>
            </w:r>
          </w:p>
        </w:tc>
      </w:tr>
      <w:tr w:rsidR="00091D2A" w:rsidRPr="00552B0C" w14:paraId="0ACCDAC2" w14:textId="77777777">
        <w:trPr>
          <w:cantSplit/>
        </w:trPr>
        <w:tc>
          <w:tcPr>
            <w:tcW w:w="4162" w:type="pct"/>
            <w:gridSpan w:val="3"/>
            <w:vAlign w:val="center"/>
          </w:tcPr>
          <w:p w14:paraId="2B9D8E78" w14:textId="77777777" w:rsidR="00091D2A" w:rsidRPr="00552B0C" w:rsidRDefault="00091D2A">
            <w:pPr>
              <w:pStyle w:val="TableText0"/>
              <w:rPr>
                <w:rFonts w:ascii="Times" w:hAnsi="Times"/>
                <w:b/>
                <w:bCs w:val="0"/>
              </w:rPr>
            </w:pPr>
            <w:r w:rsidRPr="00552B0C">
              <w:rPr>
                <w:b/>
                <w:bCs w:val="0"/>
              </w:rPr>
              <w:t>Incremental cost/extra LY gained</w:t>
            </w:r>
          </w:p>
        </w:tc>
        <w:tc>
          <w:tcPr>
            <w:tcW w:w="838" w:type="pct"/>
            <w:vAlign w:val="center"/>
          </w:tcPr>
          <w:p w14:paraId="566F66F0" w14:textId="12A89E02" w:rsidR="00091D2A" w:rsidRPr="00C420B4" w:rsidRDefault="00091D2A">
            <w:pPr>
              <w:pStyle w:val="TableText0"/>
              <w:jc w:val="center"/>
              <w:rPr>
                <w:rFonts w:ascii="Times" w:hAnsi="Times"/>
                <w:b/>
                <w:bCs w:val="0"/>
                <w:vertAlign w:val="superscript"/>
              </w:rPr>
            </w:pPr>
            <w:r w:rsidRPr="00552B0C">
              <w:rPr>
                <w:b/>
                <w:bCs w:val="0"/>
              </w:rPr>
              <w:t>$</w:t>
            </w:r>
            <w:r w:rsidR="005F3BC8" w:rsidRPr="005F3BC8">
              <w:rPr>
                <w:b/>
                <w:color w:val="000000"/>
                <w:shd w:val="solid" w:color="000000" w:fill="000000"/>
                <w14:textFill>
                  <w14:solidFill>
                    <w14:srgbClr w14:val="000000">
                      <w14:alpha w14:val="100000"/>
                    </w14:srgbClr>
                  </w14:solidFill>
                </w14:textFill>
              </w:rPr>
              <w:t>|</w:t>
            </w:r>
            <w:r w:rsidR="00321C80">
              <w:rPr>
                <w:b/>
                <w:bCs w:val="0"/>
                <w:vertAlign w:val="superscript"/>
              </w:rPr>
              <w:t>2</w:t>
            </w:r>
          </w:p>
        </w:tc>
      </w:tr>
      <w:tr w:rsidR="00091D2A" w:rsidRPr="00552B0C" w14:paraId="0CE3409B" w14:textId="77777777">
        <w:trPr>
          <w:cantSplit/>
        </w:trPr>
        <w:tc>
          <w:tcPr>
            <w:tcW w:w="5000" w:type="pct"/>
            <w:gridSpan w:val="4"/>
            <w:vAlign w:val="center"/>
          </w:tcPr>
          <w:p w14:paraId="6FF10895" w14:textId="77777777" w:rsidR="00091D2A" w:rsidRPr="00552B0C" w:rsidRDefault="00091D2A">
            <w:pPr>
              <w:pStyle w:val="In-tableHeading"/>
            </w:pPr>
            <w:r w:rsidRPr="00552B0C">
              <w:t>Step 3: utility weights applied</w:t>
            </w:r>
          </w:p>
        </w:tc>
      </w:tr>
      <w:tr w:rsidR="00091D2A" w:rsidRPr="00552B0C" w14:paraId="6197013B" w14:textId="77777777">
        <w:trPr>
          <w:cantSplit/>
        </w:trPr>
        <w:tc>
          <w:tcPr>
            <w:tcW w:w="1529" w:type="pct"/>
            <w:vAlign w:val="center"/>
          </w:tcPr>
          <w:p w14:paraId="0532332F" w14:textId="77777777" w:rsidR="00091D2A" w:rsidRPr="00552B0C" w:rsidRDefault="00091D2A">
            <w:pPr>
              <w:pStyle w:val="TableText0"/>
              <w:rPr>
                <w:rFonts w:ascii="Times" w:hAnsi="Times"/>
              </w:rPr>
            </w:pPr>
            <w:r w:rsidRPr="00552B0C">
              <w:t>Costs</w:t>
            </w:r>
          </w:p>
        </w:tc>
        <w:tc>
          <w:tcPr>
            <w:tcW w:w="1359" w:type="pct"/>
            <w:vAlign w:val="center"/>
          </w:tcPr>
          <w:p w14:paraId="71E24061" w14:textId="482F10FA"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1274" w:type="pct"/>
            <w:vAlign w:val="center"/>
          </w:tcPr>
          <w:p w14:paraId="0FCCACD2" w14:textId="6CBFE736"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838" w:type="pct"/>
            <w:vAlign w:val="center"/>
          </w:tcPr>
          <w:p w14:paraId="3A0EB733" w14:textId="32BAE146"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r>
      <w:tr w:rsidR="00091D2A" w:rsidRPr="00552B0C" w14:paraId="7FA41E22" w14:textId="77777777">
        <w:trPr>
          <w:cantSplit/>
        </w:trPr>
        <w:tc>
          <w:tcPr>
            <w:tcW w:w="1529" w:type="pct"/>
            <w:vAlign w:val="center"/>
          </w:tcPr>
          <w:p w14:paraId="79172F3D" w14:textId="77777777" w:rsidR="00091D2A" w:rsidRPr="00552B0C" w:rsidRDefault="00091D2A">
            <w:pPr>
              <w:pStyle w:val="TableText0"/>
              <w:rPr>
                <w:rFonts w:ascii="Times" w:hAnsi="Times"/>
              </w:rPr>
            </w:pPr>
            <w:r w:rsidRPr="00552B0C">
              <w:t>QALYs gained</w:t>
            </w:r>
          </w:p>
        </w:tc>
        <w:tc>
          <w:tcPr>
            <w:tcW w:w="1359" w:type="pct"/>
            <w:vAlign w:val="center"/>
          </w:tcPr>
          <w:p w14:paraId="097C2C34" w14:textId="77777777" w:rsidR="00091D2A" w:rsidRPr="00552B0C" w:rsidRDefault="00091D2A">
            <w:pPr>
              <w:pStyle w:val="TableText0"/>
              <w:jc w:val="center"/>
              <w:rPr>
                <w:rFonts w:ascii="Times" w:hAnsi="Times"/>
              </w:rPr>
            </w:pPr>
            <w:r w:rsidRPr="00552B0C">
              <w:t>0.9460</w:t>
            </w:r>
          </w:p>
        </w:tc>
        <w:tc>
          <w:tcPr>
            <w:tcW w:w="1274" w:type="pct"/>
            <w:vAlign w:val="center"/>
          </w:tcPr>
          <w:p w14:paraId="7BB86FE0" w14:textId="77777777" w:rsidR="00091D2A" w:rsidRPr="00552B0C" w:rsidRDefault="00091D2A">
            <w:pPr>
              <w:pStyle w:val="TableText0"/>
              <w:jc w:val="center"/>
              <w:rPr>
                <w:rFonts w:ascii="Times" w:hAnsi="Times"/>
              </w:rPr>
            </w:pPr>
            <w:r w:rsidRPr="00552B0C">
              <w:t>0.7802</w:t>
            </w:r>
          </w:p>
        </w:tc>
        <w:tc>
          <w:tcPr>
            <w:tcW w:w="838" w:type="pct"/>
            <w:vAlign w:val="center"/>
          </w:tcPr>
          <w:p w14:paraId="6DA8CBEC" w14:textId="77777777" w:rsidR="00091D2A" w:rsidRPr="00552B0C" w:rsidRDefault="00091D2A">
            <w:pPr>
              <w:pStyle w:val="TableText0"/>
              <w:jc w:val="center"/>
            </w:pPr>
            <w:r w:rsidRPr="00552B0C">
              <w:t>0.1658</w:t>
            </w:r>
          </w:p>
        </w:tc>
      </w:tr>
      <w:tr w:rsidR="00091D2A" w:rsidRPr="00552B0C" w14:paraId="47DB994B" w14:textId="77777777">
        <w:trPr>
          <w:cantSplit/>
        </w:trPr>
        <w:tc>
          <w:tcPr>
            <w:tcW w:w="4162" w:type="pct"/>
            <w:gridSpan w:val="3"/>
            <w:vAlign w:val="center"/>
          </w:tcPr>
          <w:p w14:paraId="5624F2DD" w14:textId="77777777" w:rsidR="00091D2A" w:rsidRPr="00552B0C" w:rsidRDefault="00091D2A">
            <w:pPr>
              <w:pStyle w:val="TableText0"/>
              <w:rPr>
                <w:rFonts w:ascii="Times" w:hAnsi="Times"/>
                <w:b/>
                <w:bCs w:val="0"/>
              </w:rPr>
            </w:pPr>
            <w:r w:rsidRPr="00552B0C">
              <w:rPr>
                <w:b/>
                <w:bCs w:val="0"/>
              </w:rPr>
              <w:t>Incremental cost/extra QALY gained</w:t>
            </w:r>
          </w:p>
        </w:tc>
        <w:tc>
          <w:tcPr>
            <w:tcW w:w="838" w:type="pct"/>
            <w:vAlign w:val="center"/>
          </w:tcPr>
          <w:p w14:paraId="6285F381" w14:textId="747E2AF6" w:rsidR="00091D2A" w:rsidRPr="00887CB9" w:rsidRDefault="00091D2A">
            <w:pPr>
              <w:pStyle w:val="TableText0"/>
              <w:jc w:val="center"/>
              <w:rPr>
                <w:rFonts w:ascii="Times" w:hAnsi="Times"/>
                <w:b/>
                <w:bCs w:val="0"/>
                <w:vertAlign w:val="superscript"/>
              </w:rPr>
            </w:pPr>
            <w:r w:rsidRPr="00552B0C">
              <w:rPr>
                <w:b/>
                <w:bCs w:val="0"/>
              </w:rPr>
              <w:t>$</w:t>
            </w:r>
            <w:r w:rsidR="005F3BC8" w:rsidRPr="005F3BC8">
              <w:rPr>
                <w:b/>
                <w:color w:val="000000"/>
                <w:shd w:val="solid" w:color="000000" w:fill="000000"/>
                <w14:textFill>
                  <w14:solidFill>
                    <w14:srgbClr w14:val="000000">
                      <w14:alpha w14:val="100000"/>
                    </w14:srgbClr>
                  </w14:solidFill>
                </w14:textFill>
              </w:rPr>
              <w:t>|</w:t>
            </w:r>
            <w:r w:rsidR="00887CB9">
              <w:rPr>
                <w:b/>
                <w:bCs w:val="0"/>
                <w:vertAlign w:val="superscript"/>
              </w:rPr>
              <w:t>1</w:t>
            </w:r>
          </w:p>
        </w:tc>
      </w:tr>
      <w:tr w:rsidR="00091D2A" w:rsidRPr="00552B0C" w14:paraId="38FC5545" w14:textId="77777777">
        <w:trPr>
          <w:cantSplit/>
        </w:trPr>
        <w:tc>
          <w:tcPr>
            <w:tcW w:w="5000" w:type="pct"/>
            <w:gridSpan w:val="4"/>
            <w:shd w:val="clear" w:color="auto" w:fill="B8CCE4" w:themeFill="accent1" w:themeFillTint="66"/>
            <w:vAlign w:val="center"/>
          </w:tcPr>
          <w:p w14:paraId="4E94AEA2" w14:textId="794041B6" w:rsidR="00091D2A" w:rsidRPr="00552B0C" w:rsidRDefault="00F05309">
            <w:pPr>
              <w:pStyle w:val="In-tableHeading"/>
              <w:rPr>
                <w:vertAlign w:val="superscript"/>
              </w:rPr>
            </w:pPr>
            <w:r w:rsidRPr="00552B0C">
              <w:t>Base case</w:t>
            </w:r>
            <w:r w:rsidR="00091D2A" w:rsidRPr="00552B0C">
              <w:rPr>
                <w:shd w:val="clear" w:color="auto" w:fill="B8CCE4" w:themeFill="accent1" w:themeFillTint="66"/>
              </w:rPr>
              <w:t xml:space="preserve"> – March 2024 submission </w:t>
            </w:r>
            <w:r w:rsidR="00091D2A" w:rsidRPr="00552B0C">
              <w:rPr>
                <w:shd w:val="clear" w:color="auto" w:fill="B8CCE4" w:themeFill="accent1" w:themeFillTint="66"/>
                <w:vertAlign w:val="superscript"/>
              </w:rPr>
              <w:t>a</w:t>
            </w:r>
          </w:p>
        </w:tc>
      </w:tr>
      <w:tr w:rsidR="00091D2A" w:rsidRPr="00552B0C" w14:paraId="6C593BA5" w14:textId="77777777">
        <w:trPr>
          <w:cantSplit/>
        </w:trPr>
        <w:tc>
          <w:tcPr>
            <w:tcW w:w="1529" w:type="pct"/>
            <w:shd w:val="clear" w:color="auto" w:fill="B8CCE4" w:themeFill="accent1" w:themeFillTint="66"/>
            <w:vAlign w:val="center"/>
          </w:tcPr>
          <w:p w14:paraId="435FF86E" w14:textId="77777777" w:rsidR="00091D2A" w:rsidRPr="00552B0C" w:rsidRDefault="00091D2A">
            <w:pPr>
              <w:pStyle w:val="TableText0"/>
              <w:rPr>
                <w:rFonts w:ascii="Times" w:hAnsi="Times"/>
              </w:rPr>
            </w:pPr>
            <w:r w:rsidRPr="00552B0C">
              <w:t>Costs</w:t>
            </w:r>
          </w:p>
        </w:tc>
        <w:tc>
          <w:tcPr>
            <w:tcW w:w="1359" w:type="pct"/>
            <w:shd w:val="clear" w:color="auto" w:fill="B8CCE4" w:themeFill="accent1" w:themeFillTint="66"/>
            <w:vAlign w:val="center"/>
          </w:tcPr>
          <w:p w14:paraId="53CA6EEC" w14:textId="7FDF70A4" w:rsidR="00091D2A" w:rsidRPr="00552B0C" w:rsidRDefault="00091D2A">
            <w:pPr>
              <w:pStyle w:val="TableText0"/>
              <w:jc w:val="center"/>
              <w:rPr>
                <w:rFonts w:ascii="Times" w:hAnsi="Times"/>
              </w:rPr>
            </w:pPr>
            <w:r w:rsidRPr="00552B0C">
              <w:t>$</w:t>
            </w:r>
            <w:r w:rsidR="005F3BC8" w:rsidRPr="005F3BC8">
              <w:rPr>
                <w:color w:val="000000"/>
                <w:shd w:val="solid" w:color="000000" w:fill="000000"/>
                <w:lang w:val="en-US"/>
                <w14:textFill>
                  <w14:solidFill>
                    <w14:srgbClr w14:val="000000">
                      <w14:alpha w14:val="100000"/>
                    </w14:srgbClr>
                  </w14:solidFill>
                </w14:textFill>
              </w:rPr>
              <w:t>|</w:t>
            </w:r>
          </w:p>
        </w:tc>
        <w:tc>
          <w:tcPr>
            <w:tcW w:w="1274" w:type="pct"/>
            <w:shd w:val="clear" w:color="auto" w:fill="B8CCE4" w:themeFill="accent1" w:themeFillTint="66"/>
            <w:vAlign w:val="center"/>
          </w:tcPr>
          <w:p w14:paraId="180E4135" w14:textId="55F2D721"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838" w:type="pct"/>
            <w:shd w:val="clear" w:color="auto" w:fill="B8CCE4" w:themeFill="accent1" w:themeFillTint="66"/>
            <w:vAlign w:val="center"/>
          </w:tcPr>
          <w:p w14:paraId="75E85030" w14:textId="67B94B2D" w:rsidR="00091D2A" w:rsidRPr="00552B0C" w:rsidRDefault="00091D2A">
            <w:pPr>
              <w:pStyle w:val="TableText0"/>
              <w:jc w:val="center"/>
              <w:rPr>
                <w:rFonts w:ascii="Times" w:hAnsi="Times"/>
              </w:rPr>
            </w:pPr>
            <w:r w:rsidRPr="00552B0C">
              <w:t>$</w:t>
            </w:r>
            <w:r w:rsidR="005F3BC8" w:rsidRPr="005F3BC8">
              <w:rPr>
                <w:color w:val="000000"/>
                <w:shd w:val="solid" w:color="000000" w:fill="000000"/>
                <w14:textFill>
                  <w14:solidFill>
                    <w14:srgbClr w14:val="000000">
                      <w14:alpha w14:val="100000"/>
                    </w14:srgbClr>
                  </w14:solidFill>
                </w14:textFill>
              </w:rPr>
              <w:t>|</w:t>
            </w:r>
          </w:p>
        </w:tc>
      </w:tr>
      <w:tr w:rsidR="00091D2A" w:rsidRPr="00552B0C" w14:paraId="63A268E3" w14:textId="77777777">
        <w:trPr>
          <w:cantSplit/>
        </w:trPr>
        <w:tc>
          <w:tcPr>
            <w:tcW w:w="1529" w:type="pct"/>
            <w:shd w:val="clear" w:color="auto" w:fill="B8CCE4" w:themeFill="accent1" w:themeFillTint="66"/>
            <w:vAlign w:val="center"/>
          </w:tcPr>
          <w:p w14:paraId="36520CAC" w14:textId="77777777" w:rsidR="00091D2A" w:rsidRPr="00552B0C" w:rsidRDefault="00091D2A">
            <w:pPr>
              <w:pStyle w:val="TableText0"/>
              <w:rPr>
                <w:rFonts w:ascii="Times" w:hAnsi="Times"/>
              </w:rPr>
            </w:pPr>
            <w:r w:rsidRPr="00552B0C">
              <w:t>QALYs gained</w:t>
            </w:r>
          </w:p>
        </w:tc>
        <w:tc>
          <w:tcPr>
            <w:tcW w:w="1359" w:type="pct"/>
            <w:shd w:val="clear" w:color="auto" w:fill="B8CCE4" w:themeFill="accent1" w:themeFillTint="66"/>
            <w:vAlign w:val="center"/>
          </w:tcPr>
          <w:p w14:paraId="04BCF356" w14:textId="77777777" w:rsidR="00091D2A" w:rsidRPr="00552B0C" w:rsidRDefault="00091D2A">
            <w:pPr>
              <w:pStyle w:val="TableText0"/>
              <w:jc w:val="center"/>
              <w:rPr>
                <w:rFonts w:ascii="Times" w:hAnsi="Times"/>
              </w:rPr>
            </w:pPr>
            <w:r w:rsidRPr="00552B0C">
              <w:rPr>
                <w:lang w:val="en-US"/>
              </w:rPr>
              <w:t>0.8972</w:t>
            </w:r>
          </w:p>
        </w:tc>
        <w:tc>
          <w:tcPr>
            <w:tcW w:w="1274" w:type="pct"/>
            <w:shd w:val="clear" w:color="auto" w:fill="B8CCE4" w:themeFill="accent1" w:themeFillTint="66"/>
            <w:vAlign w:val="center"/>
          </w:tcPr>
          <w:p w14:paraId="5FCFDD57" w14:textId="77777777" w:rsidR="00091D2A" w:rsidRPr="00552B0C" w:rsidRDefault="00091D2A">
            <w:pPr>
              <w:pStyle w:val="TableText0"/>
              <w:jc w:val="center"/>
              <w:rPr>
                <w:rFonts w:ascii="Times" w:hAnsi="Times"/>
              </w:rPr>
            </w:pPr>
            <w:r w:rsidRPr="00552B0C">
              <w:rPr>
                <w:lang w:val="en-US"/>
              </w:rPr>
              <w:t>0.7584</w:t>
            </w:r>
          </w:p>
        </w:tc>
        <w:tc>
          <w:tcPr>
            <w:tcW w:w="838" w:type="pct"/>
            <w:shd w:val="clear" w:color="auto" w:fill="B8CCE4" w:themeFill="accent1" w:themeFillTint="66"/>
            <w:vAlign w:val="center"/>
          </w:tcPr>
          <w:p w14:paraId="446B4E2A" w14:textId="77777777" w:rsidR="00091D2A" w:rsidRPr="00552B0C" w:rsidRDefault="00091D2A">
            <w:pPr>
              <w:pStyle w:val="TableText0"/>
              <w:jc w:val="center"/>
            </w:pPr>
            <w:r w:rsidRPr="00552B0C">
              <w:t>0.1388</w:t>
            </w:r>
          </w:p>
        </w:tc>
      </w:tr>
      <w:tr w:rsidR="00091D2A" w:rsidRPr="00552B0C" w14:paraId="38B009D1" w14:textId="77777777">
        <w:trPr>
          <w:cantSplit/>
        </w:trPr>
        <w:tc>
          <w:tcPr>
            <w:tcW w:w="4162" w:type="pct"/>
            <w:gridSpan w:val="3"/>
            <w:shd w:val="clear" w:color="auto" w:fill="B8CCE4" w:themeFill="accent1" w:themeFillTint="66"/>
            <w:vAlign w:val="center"/>
          </w:tcPr>
          <w:p w14:paraId="689EBF2E" w14:textId="53D6CFF2" w:rsidR="00091D2A" w:rsidRPr="00552B0C" w:rsidRDefault="00091D2A">
            <w:pPr>
              <w:pStyle w:val="TableText0"/>
              <w:rPr>
                <w:rFonts w:ascii="Times" w:hAnsi="Times"/>
                <w:b/>
                <w:bCs w:val="0"/>
              </w:rPr>
            </w:pPr>
            <w:r w:rsidRPr="00552B0C">
              <w:rPr>
                <w:b/>
                <w:bCs w:val="0"/>
              </w:rPr>
              <w:t xml:space="preserve">Incremental cost/extra QALY gained </w:t>
            </w:r>
          </w:p>
        </w:tc>
        <w:tc>
          <w:tcPr>
            <w:tcW w:w="838" w:type="pct"/>
            <w:shd w:val="clear" w:color="auto" w:fill="B8CCE4" w:themeFill="accent1" w:themeFillTint="66"/>
            <w:vAlign w:val="center"/>
          </w:tcPr>
          <w:p w14:paraId="2D192513" w14:textId="5EF54E8F" w:rsidR="00091D2A" w:rsidRPr="00C45AB8" w:rsidRDefault="00091D2A">
            <w:pPr>
              <w:pStyle w:val="TableText0"/>
              <w:jc w:val="center"/>
              <w:rPr>
                <w:rFonts w:ascii="Times" w:hAnsi="Times"/>
                <w:b/>
                <w:bCs w:val="0"/>
                <w:vertAlign w:val="superscript"/>
              </w:rPr>
            </w:pPr>
            <w:r w:rsidRPr="00552B0C">
              <w:rPr>
                <w:b/>
                <w:bCs w:val="0"/>
              </w:rPr>
              <w:t>$</w:t>
            </w:r>
            <w:r w:rsidR="005F3BC8" w:rsidRPr="005F3BC8">
              <w:rPr>
                <w:b/>
                <w:color w:val="000000"/>
                <w:shd w:val="solid" w:color="000000" w:fill="000000"/>
                <w14:textFill>
                  <w14:solidFill>
                    <w14:srgbClr w14:val="000000">
                      <w14:alpha w14:val="100000"/>
                    </w14:srgbClr>
                  </w14:solidFill>
                </w14:textFill>
              </w:rPr>
              <w:t>|</w:t>
            </w:r>
            <w:r w:rsidR="00C45AB8">
              <w:rPr>
                <w:b/>
                <w:bCs w:val="0"/>
                <w:vertAlign w:val="superscript"/>
              </w:rPr>
              <w:t>2</w:t>
            </w:r>
          </w:p>
        </w:tc>
      </w:tr>
    </w:tbl>
    <w:p w14:paraId="54756E71" w14:textId="77777777" w:rsidR="00091D2A" w:rsidRPr="006A799E" w:rsidRDefault="00091D2A" w:rsidP="00091D2A">
      <w:pPr>
        <w:pStyle w:val="FooterTableFigure"/>
      </w:pPr>
      <w:r w:rsidRPr="006A799E">
        <w:t>Source: Table 3.5, p68 of the resubmission.</w:t>
      </w:r>
    </w:p>
    <w:p w14:paraId="381AC4E3" w14:textId="77777777" w:rsidR="00091D2A" w:rsidRPr="006A799E" w:rsidRDefault="00091D2A" w:rsidP="00091D2A">
      <w:pPr>
        <w:pStyle w:val="FooterTableFigure"/>
      </w:pPr>
      <w:r w:rsidRPr="006A799E">
        <w:t xml:space="preserve">Abbreviations: FOLFIRINOX, </w:t>
      </w:r>
      <w:r w:rsidRPr="006A799E">
        <w:rPr>
          <w:rStyle w:val="CommentReference"/>
          <w:b w:val="0"/>
          <w:bCs/>
          <w:sz w:val="18"/>
          <w:szCs w:val="18"/>
        </w:rPr>
        <w:t>fluorouracil, folinic acid, irinotecan, oxaliplatin</w:t>
      </w:r>
      <w:r w:rsidRPr="006A799E">
        <w:t>; Gem+NabP, gemcitabine plus nanoparticle albumin-bound paclitaxel; ICER, Incremental cost-effectiveness ratio; LY, life-year; NALIRIFOX, nanoliposomal irinotecan (nal-IRI) in combination with 5-fluorouracil, leucovorin/folinic acid, and oxaliplatin; QALY, quality-adjusted life-year.</w:t>
      </w:r>
    </w:p>
    <w:p w14:paraId="75FFF827" w14:textId="46097119" w:rsidR="00091D2A" w:rsidRPr="006A799E" w:rsidRDefault="00091D2A" w:rsidP="00091D2A">
      <w:pPr>
        <w:pStyle w:val="FooterTableFigure"/>
      </w:pPr>
      <w:r w:rsidRPr="006A799E">
        <w:rPr>
          <w:vertAlign w:val="superscript"/>
        </w:rPr>
        <w:t>a</w:t>
      </w:r>
      <w:r w:rsidRPr="006A799E">
        <w:t xml:space="preserve"> The comparator in the March 2024 submission consisted of Gem+NabP only</w:t>
      </w:r>
      <w:r w:rsidR="004911A3" w:rsidRPr="006A799E">
        <w:t>.</w:t>
      </w:r>
    </w:p>
    <w:p w14:paraId="60D6C296" w14:textId="78F7055A" w:rsidR="00F32BA2" w:rsidRPr="006A799E" w:rsidRDefault="00F32BA2" w:rsidP="00F32BA2">
      <w:pPr>
        <w:pStyle w:val="FooterTableFigure"/>
        <w:rPr>
          <w:i/>
          <w:iCs/>
        </w:rPr>
      </w:pPr>
      <w:r w:rsidRPr="006A799E">
        <w:rPr>
          <w:i/>
          <w:iCs/>
        </w:rPr>
        <w:t>The redacted values correspond to the following ranges:</w:t>
      </w:r>
      <w:r w:rsidR="008D0998" w:rsidRPr="006A799E">
        <w:rPr>
          <w:i/>
          <w:iCs/>
        </w:rPr>
        <w:t xml:space="preserve"> </w:t>
      </w:r>
    </w:p>
    <w:p w14:paraId="29F3E2A3" w14:textId="149456AA" w:rsidR="00F32BA2" w:rsidRPr="006A799E" w:rsidRDefault="00F32BA2" w:rsidP="00F32BA2">
      <w:pPr>
        <w:pStyle w:val="FooterTableFigure"/>
        <w:rPr>
          <w:i/>
          <w:iCs/>
        </w:rPr>
      </w:pPr>
      <w:r w:rsidRPr="006A799E">
        <w:rPr>
          <w:i/>
          <w:iCs/>
          <w:vertAlign w:val="superscript"/>
        </w:rPr>
        <w:t>1</w:t>
      </w:r>
      <w:r w:rsidR="008D0998" w:rsidRPr="006A799E">
        <w:rPr>
          <w:i/>
          <w:iCs/>
        </w:rPr>
        <w:t xml:space="preserve"> </w:t>
      </w:r>
      <w:r w:rsidR="001122C1" w:rsidRPr="006A799E">
        <w:rPr>
          <w:i/>
          <w:iCs/>
        </w:rPr>
        <w:t>$</w:t>
      </w:r>
      <w:r w:rsidR="00D719E7" w:rsidRPr="006A799E">
        <w:rPr>
          <w:i/>
          <w:iCs/>
        </w:rPr>
        <w:t>45,000</w:t>
      </w:r>
      <w:r w:rsidR="00D719E7" w:rsidRPr="006A799E">
        <w:rPr>
          <w:rFonts w:ascii="Arial" w:hAnsi="Arial"/>
          <w:i/>
          <w:iCs/>
        </w:rPr>
        <w:t> </w:t>
      </w:r>
      <w:r w:rsidR="00D719E7" w:rsidRPr="006A799E">
        <w:rPr>
          <w:i/>
          <w:iCs/>
        </w:rPr>
        <w:t>to</w:t>
      </w:r>
      <w:r w:rsidR="00D719E7" w:rsidRPr="006A799E">
        <w:rPr>
          <w:rFonts w:ascii="Arial" w:hAnsi="Arial"/>
          <w:i/>
          <w:iCs/>
        </w:rPr>
        <w:t> </w:t>
      </w:r>
      <w:r w:rsidR="00D719E7" w:rsidRPr="006A799E">
        <w:rPr>
          <w:i/>
          <w:iCs/>
        </w:rPr>
        <w:t>&lt;</w:t>
      </w:r>
      <w:r w:rsidR="00D719E7" w:rsidRPr="006A799E">
        <w:rPr>
          <w:rFonts w:ascii="Arial" w:hAnsi="Arial"/>
          <w:i/>
          <w:iCs/>
        </w:rPr>
        <w:t> </w:t>
      </w:r>
      <w:r w:rsidR="00D719E7" w:rsidRPr="006A799E">
        <w:rPr>
          <w:i/>
          <w:iCs/>
        </w:rPr>
        <w:t>$55,000</w:t>
      </w:r>
    </w:p>
    <w:p w14:paraId="329CD14D" w14:textId="5C84D6DF" w:rsidR="00F32BA2" w:rsidRPr="006A799E" w:rsidRDefault="00F32BA2" w:rsidP="00091D2A">
      <w:pPr>
        <w:pStyle w:val="FooterTableFigure"/>
        <w:rPr>
          <w:rStyle w:val="CommentReference"/>
          <w:b w:val="0"/>
          <w:sz w:val="18"/>
          <w:szCs w:val="22"/>
        </w:rPr>
      </w:pPr>
      <w:r w:rsidRPr="006A799E">
        <w:rPr>
          <w:i/>
          <w:iCs/>
          <w:vertAlign w:val="superscript"/>
        </w:rPr>
        <w:t>2</w:t>
      </w:r>
      <w:r w:rsidR="008D0998" w:rsidRPr="006A799E">
        <w:rPr>
          <w:i/>
          <w:iCs/>
        </w:rPr>
        <w:t xml:space="preserve"> </w:t>
      </w:r>
      <w:r w:rsidR="00CD6E2A" w:rsidRPr="006A799E">
        <w:rPr>
          <w:i/>
          <w:iCs/>
        </w:rPr>
        <w:t>$35,000</w:t>
      </w:r>
      <w:r w:rsidR="00CD6E2A" w:rsidRPr="006A799E">
        <w:rPr>
          <w:rFonts w:ascii="Arial" w:hAnsi="Arial"/>
          <w:i/>
          <w:iCs/>
        </w:rPr>
        <w:t> </w:t>
      </w:r>
      <w:r w:rsidR="00CD6E2A" w:rsidRPr="006A799E">
        <w:rPr>
          <w:i/>
          <w:iCs/>
        </w:rPr>
        <w:t>to</w:t>
      </w:r>
      <w:r w:rsidR="00CD6E2A" w:rsidRPr="006A799E">
        <w:rPr>
          <w:rFonts w:ascii="Arial" w:hAnsi="Arial"/>
          <w:i/>
          <w:iCs/>
        </w:rPr>
        <w:t> </w:t>
      </w:r>
      <w:r w:rsidR="00CD6E2A" w:rsidRPr="006A799E">
        <w:rPr>
          <w:i/>
          <w:iCs/>
        </w:rPr>
        <w:t>&lt;</w:t>
      </w:r>
      <w:r w:rsidR="00CD6E2A" w:rsidRPr="006A799E">
        <w:rPr>
          <w:rFonts w:ascii="Arial" w:hAnsi="Arial"/>
          <w:i/>
          <w:iCs/>
        </w:rPr>
        <w:t> </w:t>
      </w:r>
      <w:r w:rsidR="00CD6E2A" w:rsidRPr="006A799E">
        <w:rPr>
          <w:i/>
          <w:iCs/>
        </w:rPr>
        <w:t>$45,000 </w:t>
      </w:r>
    </w:p>
    <w:p w14:paraId="77DFD924" w14:textId="59DE1362" w:rsidR="00091D2A" w:rsidRPr="00552B0C" w:rsidRDefault="00091D2A" w:rsidP="00552B0C">
      <w:pPr>
        <w:pStyle w:val="3-BodyText"/>
        <w:numPr>
          <w:ilvl w:val="1"/>
          <w:numId w:val="5"/>
        </w:numPr>
      </w:pPr>
      <w:r w:rsidRPr="00552B0C">
        <w:t>The resubmission presented an ICER of $</w:t>
      </w:r>
      <w:r w:rsidR="000C57A3" w:rsidRPr="000C57A3">
        <w:t>45,000 to &lt; $55,000</w:t>
      </w:r>
      <w:r w:rsidRPr="00552B0C">
        <w:t xml:space="preserve">/QALY gained. This represents an increase of almost </w:t>
      </w:r>
      <w:r w:rsidR="00CB52BC" w:rsidRPr="00CB52BC">
        <w:t>$15,000 to &lt; $25,000 </w:t>
      </w:r>
      <w:r w:rsidRPr="00552B0C">
        <w:t xml:space="preserve">/QALY gained compared to </w:t>
      </w:r>
      <w:r w:rsidR="006E7D18" w:rsidRPr="006E7D18">
        <w:t>$25,000 to &lt; $35,000 </w:t>
      </w:r>
      <w:r w:rsidR="00245BB6" w:rsidRPr="00552B0C">
        <w:t xml:space="preserve">/QALY gained in </w:t>
      </w:r>
      <w:r w:rsidRPr="00552B0C">
        <w:t xml:space="preserve">the March 2024 submission </w:t>
      </w:r>
      <w:r w:rsidR="00245BB6" w:rsidRPr="00552B0C">
        <w:t>base case</w:t>
      </w:r>
      <w:r w:rsidRPr="00552B0C">
        <w:t xml:space="preserve">. </w:t>
      </w:r>
    </w:p>
    <w:p w14:paraId="619A2659" w14:textId="43FD73B0" w:rsidR="00091D2A" w:rsidRPr="00552B0C" w:rsidRDefault="00091D2A" w:rsidP="00552B0C">
      <w:pPr>
        <w:pStyle w:val="3-BodyText"/>
        <w:numPr>
          <w:ilvl w:val="1"/>
          <w:numId w:val="5"/>
        </w:numPr>
      </w:pPr>
      <w:r w:rsidRPr="00552B0C">
        <w:t xml:space="preserve">The results of key univariate and multivariate sensitivity analyses are summarised in </w:t>
      </w:r>
      <w:r w:rsidR="00694A66">
        <w:t>the table below.</w:t>
      </w:r>
      <w:r w:rsidRPr="00552B0C">
        <w:t xml:space="preserve"> </w:t>
      </w:r>
    </w:p>
    <w:p w14:paraId="71BE104D" w14:textId="1CE14806" w:rsidR="00091D2A" w:rsidRPr="00552B0C" w:rsidRDefault="00091D2A" w:rsidP="00C81C2F">
      <w:pPr>
        <w:pStyle w:val="Caption"/>
        <w:rPr>
          <w:rStyle w:val="CommentReference"/>
          <w:b/>
          <w:szCs w:val="24"/>
        </w:rPr>
      </w:pPr>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17</w:t>
      </w:r>
      <w:r w:rsidR="001C19B6">
        <w:rPr>
          <w:noProof/>
        </w:rPr>
        <w:fldChar w:fldCharType="end"/>
      </w:r>
      <w:r w:rsidRPr="00552B0C">
        <w:t>:</w:t>
      </w:r>
      <w:r w:rsidRPr="00552B0C">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7: Sensitivity analyses"/>
      </w:tblPr>
      <w:tblGrid>
        <w:gridCol w:w="3416"/>
        <w:gridCol w:w="1401"/>
        <w:gridCol w:w="1401"/>
        <w:gridCol w:w="1717"/>
        <w:gridCol w:w="1082"/>
      </w:tblGrid>
      <w:tr w:rsidR="00091D2A" w:rsidRPr="00552B0C" w14:paraId="66C71267" w14:textId="77777777" w:rsidTr="009E402C">
        <w:trPr>
          <w:cantSplit/>
          <w:trHeight w:val="20"/>
          <w:tblHeader/>
        </w:trPr>
        <w:tc>
          <w:tcPr>
            <w:tcW w:w="1894" w:type="pct"/>
          </w:tcPr>
          <w:p w14:paraId="2384505D" w14:textId="77777777" w:rsidR="00091D2A" w:rsidRPr="00552B0C" w:rsidRDefault="00091D2A" w:rsidP="00C81C2F">
            <w:pPr>
              <w:pStyle w:val="In-tableHeading"/>
              <w:keepLines/>
            </w:pPr>
            <w:r w:rsidRPr="00552B0C">
              <w:t>Analyses</w:t>
            </w:r>
          </w:p>
        </w:tc>
        <w:tc>
          <w:tcPr>
            <w:tcW w:w="777" w:type="pct"/>
          </w:tcPr>
          <w:p w14:paraId="260BB2F7" w14:textId="77777777" w:rsidR="00091D2A" w:rsidRPr="00552B0C" w:rsidRDefault="00091D2A" w:rsidP="00C81C2F">
            <w:pPr>
              <w:pStyle w:val="In-tableHeading"/>
              <w:keepLines/>
              <w:jc w:val="center"/>
            </w:pPr>
            <w:r w:rsidRPr="00552B0C">
              <w:t>Incremental cost</w:t>
            </w:r>
          </w:p>
        </w:tc>
        <w:tc>
          <w:tcPr>
            <w:tcW w:w="777" w:type="pct"/>
          </w:tcPr>
          <w:p w14:paraId="29DD6388" w14:textId="77777777" w:rsidR="00091D2A" w:rsidRPr="00552B0C" w:rsidRDefault="00091D2A" w:rsidP="00C81C2F">
            <w:pPr>
              <w:pStyle w:val="In-tableHeading"/>
              <w:keepLines/>
              <w:jc w:val="center"/>
            </w:pPr>
            <w:r w:rsidRPr="00552B0C">
              <w:t>Incremental QALY</w:t>
            </w:r>
          </w:p>
        </w:tc>
        <w:tc>
          <w:tcPr>
            <w:tcW w:w="952" w:type="pct"/>
          </w:tcPr>
          <w:p w14:paraId="2D401BEB" w14:textId="77777777" w:rsidR="00091D2A" w:rsidRPr="00552B0C" w:rsidRDefault="00091D2A" w:rsidP="00C81C2F">
            <w:pPr>
              <w:pStyle w:val="In-tableHeading"/>
              <w:keepLines/>
              <w:jc w:val="center"/>
            </w:pPr>
            <w:r w:rsidRPr="00552B0C">
              <w:t>ICER</w:t>
            </w:r>
          </w:p>
          <w:p w14:paraId="0F7BD31A" w14:textId="77777777" w:rsidR="00091D2A" w:rsidRPr="00552B0C" w:rsidRDefault="00091D2A" w:rsidP="00C81C2F">
            <w:pPr>
              <w:pStyle w:val="In-tableHeading"/>
              <w:keepLines/>
              <w:jc w:val="center"/>
            </w:pPr>
            <w:r w:rsidRPr="00552B0C">
              <w:t>($/QALY gained)</w:t>
            </w:r>
          </w:p>
        </w:tc>
        <w:tc>
          <w:tcPr>
            <w:tcW w:w="600" w:type="pct"/>
          </w:tcPr>
          <w:p w14:paraId="1C5E3FEC" w14:textId="77777777" w:rsidR="00091D2A" w:rsidRPr="00552B0C" w:rsidRDefault="00091D2A" w:rsidP="00C81C2F">
            <w:pPr>
              <w:pStyle w:val="In-tableHeading"/>
              <w:keepLines/>
              <w:jc w:val="center"/>
            </w:pPr>
            <w:r w:rsidRPr="00552B0C">
              <w:t>% change to ICER</w:t>
            </w:r>
          </w:p>
        </w:tc>
      </w:tr>
      <w:tr w:rsidR="00091D2A" w:rsidRPr="00552B0C" w14:paraId="05653FC5" w14:textId="77777777" w:rsidTr="009E402C">
        <w:trPr>
          <w:cantSplit/>
          <w:trHeight w:val="20"/>
        </w:trPr>
        <w:tc>
          <w:tcPr>
            <w:tcW w:w="1894" w:type="pct"/>
            <w:vAlign w:val="center"/>
          </w:tcPr>
          <w:p w14:paraId="7E19F92B" w14:textId="77777777" w:rsidR="00091D2A" w:rsidRPr="00552B0C" w:rsidRDefault="00091D2A" w:rsidP="009E402C">
            <w:pPr>
              <w:pStyle w:val="TableText0"/>
              <w:keepLines/>
              <w:rPr>
                <w:b/>
                <w:bCs w:val="0"/>
              </w:rPr>
            </w:pPr>
            <w:r w:rsidRPr="00552B0C">
              <w:rPr>
                <w:b/>
                <w:bCs w:val="0"/>
              </w:rPr>
              <w:t>Base case</w:t>
            </w:r>
          </w:p>
        </w:tc>
        <w:tc>
          <w:tcPr>
            <w:tcW w:w="777" w:type="pct"/>
          </w:tcPr>
          <w:p w14:paraId="4578DB36" w14:textId="1DEA0FBA" w:rsidR="00091D2A" w:rsidRPr="00633A91" w:rsidRDefault="00091D2A" w:rsidP="00C81C2F">
            <w:pPr>
              <w:pStyle w:val="TableText0"/>
              <w:keepLines/>
              <w:jc w:val="center"/>
              <w:rPr>
                <w:highlight w:val="black"/>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487E725F" w14:textId="77777777" w:rsidR="00091D2A" w:rsidRPr="00552B0C" w:rsidRDefault="00091D2A" w:rsidP="00C81C2F">
            <w:pPr>
              <w:pStyle w:val="TableText0"/>
              <w:keepLines/>
              <w:jc w:val="center"/>
            </w:pPr>
            <w:r w:rsidRPr="00552B0C">
              <w:t>0.1658</w:t>
            </w:r>
          </w:p>
        </w:tc>
        <w:tc>
          <w:tcPr>
            <w:tcW w:w="952" w:type="pct"/>
          </w:tcPr>
          <w:p w14:paraId="35F6727D" w14:textId="382854CA" w:rsidR="00091D2A" w:rsidRPr="00D8409A" w:rsidRDefault="00091D2A" w:rsidP="00C81C2F">
            <w:pPr>
              <w:pStyle w:val="TableText0"/>
              <w:keepLines/>
              <w:jc w:val="center"/>
              <w:rPr>
                <w:highlight w:val="black"/>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r w:rsidR="007464FC">
              <w:rPr>
                <w:vertAlign w:val="superscript"/>
              </w:rPr>
              <w:t>1</w:t>
            </w:r>
          </w:p>
        </w:tc>
        <w:tc>
          <w:tcPr>
            <w:tcW w:w="600" w:type="pct"/>
          </w:tcPr>
          <w:p w14:paraId="4A93064B" w14:textId="77777777" w:rsidR="00091D2A" w:rsidRPr="00552B0C" w:rsidRDefault="00091D2A" w:rsidP="00C81C2F">
            <w:pPr>
              <w:pStyle w:val="TableText0"/>
              <w:keepLines/>
            </w:pPr>
          </w:p>
        </w:tc>
      </w:tr>
      <w:tr w:rsidR="00091D2A" w:rsidRPr="00552B0C" w14:paraId="1E1886A3" w14:textId="77777777" w:rsidTr="009E402C">
        <w:trPr>
          <w:cantSplit/>
          <w:trHeight w:val="20"/>
        </w:trPr>
        <w:tc>
          <w:tcPr>
            <w:tcW w:w="4400" w:type="pct"/>
            <w:gridSpan w:val="4"/>
            <w:vAlign w:val="center"/>
          </w:tcPr>
          <w:p w14:paraId="184C17D9" w14:textId="77777777" w:rsidR="00091D2A" w:rsidRPr="00552B0C" w:rsidRDefault="00091D2A" w:rsidP="009E402C">
            <w:pPr>
              <w:pStyle w:val="TableText0"/>
              <w:keepLines/>
              <w:rPr>
                <w:b/>
                <w:bCs w:val="0"/>
              </w:rPr>
            </w:pPr>
            <w:r w:rsidRPr="00552B0C">
              <w:rPr>
                <w:b/>
                <w:bCs w:val="0"/>
              </w:rPr>
              <w:t>Time horizon (base case 5 years)</w:t>
            </w:r>
          </w:p>
        </w:tc>
        <w:tc>
          <w:tcPr>
            <w:tcW w:w="600" w:type="pct"/>
          </w:tcPr>
          <w:p w14:paraId="3A3BAAE9" w14:textId="77777777" w:rsidR="00091D2A" w:rsidRPr="00552B0C" w:rsidRDefault="00091D2A" w:rsidP="00C81C2F">
            <w:pPr>
              <w:pStyle w:val="TableText0"/>
              <w:keepLines/>
            </w:pPr>
          </w:p>
        </w:tc>
      </w:tr>
      <w:tr w:rsidR="00091D2A" w:rsidRPr="00552B0C" w14:paraId="2E126AAA" w14:textId="77777777" w:rsidTr="009E402C">
        <w:trPr>
          <w:cantSplit/>
          <w:trHeight w:val="20"/>
        </w:trPr>
        <w:tc>
          <w:tcPr>
            <w:tcW w:w="1894" w:type="pct"/>
            <w:vAlign w:val="center"/>
          </w:tcPr>
          <w:p w14:paraId="2DF1D476" w14:textId="77777777" w:rsidR="00091D2A" w:rsidRPr="00552B0C" w:rsidRDefault="00091D2A" w:rsidP="009E402C">
            <w:pPr>
              <w:pStyle w:val="TableText0"/>
              <w:keepLines/>
            </w:pPr>
            <w:r w:rsidRPr="00552B0C">
              <w:t xml:space="preserve">  3 years</w:t>
            </w:r>
          </w:p>
        </w:tc>
        <w:tc>
          <w:tcPr>
            <w:tcW w:w="777" w:type="pct"/>
          </w:tcPr>
          <w:p w14:paraId="31708404" w14:textId="5E9D4C62" w:rsidR="00091D2A" w:rsidRPr="00F4444C" w:rsidRDefault="00091D2A" w:rsidP="00C81C2F">
            <w:pPr>
              <w:pStyle w:val="TableText0"/>
              <w:keepLines/>
              <w:jc w:val="center"/>
              <w:rPr>
                <w:highlight w:val="black"/>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44855C6D" w14:textId="77777777" w:rsidR="00091D2A" w:rsidRPr="00552B0C" w:rsidRDefault="00091D2A" w:rsidP="00C81C2F">
            <w:pPr>
              <w:pStyle w:val="TableText0"/>
              <w:keepLines/>
              <w:jc w:val="center"/>
            </w:pPr>
            <w:r w:rsidRPr="00552B0C">
              <w:t>0.1491</w:t>
            </w:r>
          </w:p>
        </w:tc>
        <w:tc>
          <w:tcPr>
            <w:tcW w:w="952" w:type="pct"/>
            <w:vAlign w:val="center"/>
          </w:tcPr>
          <w:p w14:paraId="4B37ACAB" w14:textId="0F3D6608" w:rsidR="00091D2A" w:rsidRPr="00552B0C" w:rsidRDefault="00091D2A" w:rsidP="00C81C2F">
            <w:pPr>
              <w:pStyle w:val="TableText0"/>
              <w:keepLines/>
              <w:jc w:val="center"/>
              <w:rPr>
                <w:highlight w:val="black"/>
              </w:rPr>
            </w:pPr>
            <w:r w:rsidRPr="00552B0C">
              <w:t>$</w:t>
            </w:r>
            <w:r w:rsidR="005F3BC8" w:rsidRPr="005F3BC8">
              <w:rPr>
                <w:color w:val="000000"/>
                <w:shd w:val="solid" w:color="000000" w:fill="000000"/>
                <w14:textFill>
                  <w14:solidFill>
                    <w14:srgbClr w14:val="000000">
                      <w14:alpha w14:val="100000"/>
                    </w14:srgbClr>
                  </w14:solidFill>
                </w14:textFill>
              </w:rPr>
              <w:t>|</w:t>
            </w:r>
            <w:r w:rsidR="007464FC">
              <w:rPr>
                <w:vertAlign w:val="superscript"/>
              </w:rPr>
              <w:t>1</w:t>
            </w:r>
          </w:p>
        </w:tc>
        <w:tc>
          <w:tcPr>
            <w:tcW w:w="600" w:type="pct"/>
          </w:tcPr>
          <w:p w14:paraId="31E80B9E" w14:textId="0EEA0602" w:rsidR="00091D2A" w:rsidRPr="00552B0C" w:rsidRDefault="00091D2A" w:rsidP="00C81C2F">
            <w:pPr>
              <w:pStyle w:val="TableText0"/>
              <w:keepLines/>
              <w:jc w:val="center"/>
            </w:pPr>
            <w:r w:rsidRPr="00552B0C">
              <w:t>+</w:t>
            </w:r>
            <w:r w:rsidR="005F3BC8" w:rsidRPr="00F73F98">
              <w:rPr>
                <w:color w:val="000000"/>
                <w:spacing w:val="49"/>
                <w:shd w:val="solid" w:color="000000" w:fill="000000"/>
                <w:fitText w:val="226" w:id="-760998137"/>
                <w14:textFill>
                  <w14:solidFill>
                    <w14:srgbClr w14:val="000000">
                      <w14:alpha w14:val="100000"/>
                    </w14:srgbClr>
                  </w14:solidFill>
                </w14:textFill>
              </w:rPr>
              <w:t>||</w:t>
            </w:r>
            <w:r w:rsidR="005F3BC8" w:rsidRPr="00F73F98">
              <w:rPr>
                <w:color w:val="000000"/>
                <w:spacing w:val="1"/>
                <w:shd w:val="solid" w:color="000000" w:fill="000000"/>
                <w:fitText w:val="226" w:id="-760998137"/>
                <w14:textFill>
                  <w14:solidFill>
                    <w14:srgbClr w14:val="000000">
                      <w14:alpha w14:val="100000"/>
                    </w14:srgbClr>
                  </w14:solidFill>
                </w14:textFill>
              </w:rPr>
              <w:t>|</w:t>
            </w:r>
            <w:r w:rsidRPr="00552B0C">
              <w:t>%</w:t>
            </w:r>
          </w:p>
        </w:tc>
      </w:tr>
      <w:tr w:rsidR="00091D2A" w:rsidRPr="00552B0C" w14:paraId="02C5C402" w14:textId="77777777" w:rsidTr="009E402C">
        <w:trPr>
          <w:cantSplit/>
          <w:trHeight w:val="20"/>
        </w:trPr>
        <w:tc>
          <w:tcPr>
            <w:tcW w:w="5000" w:type="pct"/>
            <w:gridSpan w:val="5"/>
            <w:vAlign w:val="center"/>
          </w:tcPr>
          <w:p w14:paraId="1392D36D" w14:textId="77777777" w:rsidR="00091D2A" w:rsidRPr="00552B0C" w:rsidRDefault="00091D2A" w:rsidP="009E402C">
            <w:pPr>
              <w:pStyle w:val="TableText0"/>
              <w:keepLines/>
              <w:rPr>
                <w:b/>
                <w:bCs w:val="0"/>
              </w:rPr>
            </w:pPr>
            <w:r w:rsidRPr="00552B0C">
              <w:rPr>
                <w:b/>
                <w:bCs w:val="0"/>
              </w:rPr>
              <w:t>Discount rate (base case: 5%)</w:t>
            </w:r>
          </w:p>
        </w:tc>
      </w:tr>
      <w:tr w:rsidR="00091D2A" w:rsidRPr="00552B0C" w14:paraId="06238171" w14:textId="77777777" w:rsidTr="009E402C">
        <w:trPr>
          <w:cantSplit/>
          <w:trHeight w:val="20"/>
        </w:trPr>
        <w:tc>
          <w:tcPr>
            <w:tcW w:w="1894" w:type="pct"/>
            <w:vAlign w:val="center"/>
          </w:tcPr>
          <w:p w14:paraId="77FD382C" w14:textId="77777777" w:rsidR="00091D2A" w:rsidRPr="00552B0C" w:rsidRDefault="00091D2A" w:rsidP="009E402C">
            <w:pPr>
              <w:pStyle w:val="TableText0"/>
              <w:keepLines/>
            </w:pPr>
            <w:r w:rsidRPr="00552B0C">
              <w:t xml:space="preserve">  0%</w:t>
            </w:r>
          </w:p>
        </w:tc>
        <w:tc>
          <w:tcPr>
            <w:tcW w:w="777" w:type="pct"/>
            <w:vAlign w:val="center"/>
          </w:tcPr>
          <w:p w14:paraId="4860D9B6" w14:textId="3CAF6D69" w:rsidR="00091D2A" w:rsidRPr="00F4444C" w:rsidRDefault="00091D2A"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468CF0E9" w14:textId="77777777" w:rsidR="00091D2A" w:rsidRPr="00552B0C" w:rsidRDefault="00091D2A" w:rsidP="00C81C2F">
            <w:pPr>
              <w:pStyle w:val="TableText0"/>
              <w:keepLines/>
              <w:jc w:val="center"/>
            </w:pPr>
            <w:r w:rsidRPr="00552B0C">
              <w:t>0.1747</w:t>
            </w:r>
          </w:p>
        </w:tc>
        <w:tc>
          <w:tcPr>
            <w:tcW w:w="952" w:type="pct"/>
            <w:vAlign w:val="center"/>
          </w:tcPr>
          <w:p w14:paraId="2802F3A9" w14:textId="53544FDE"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7464FC">
              <w:rPr>
                <w:vertAlign w:val="superscript"/>
              </w:rPr>
              <w:t>1</w:t>
            </w:r>
          </w:p>
        </w:tc>
        <w:tc>
          <w:tcPr>
            <w:tcW w:w="600" w:type="pct"/>
            <w:vAlign w:val="center"/>
          </w:tcPr>
          <w:p w14:paraId="144A6C25" w14:textId="14C99DC9" w:rsidR="00091D2A" w:rsidRPr="00552B0C" w:rsidRDefault="00091D2A" w:rsidP="00C81C2F">
            <w:pPr>
              <w:pStyle w:val="TableText0"/>
              <w:keepLines/>
              <w:jc w:val="center"/>
            </w:pPr>
            <w:r w:rsidRPr="00552B0C">
              <w:t>-</w:t>
            </w:r>
            <w:r w:rsidR="005F3BC8" w:rsidRPr="00F73F98">
              <w:rPr>
                <w:color w:val="000000"/>
                <w:spacing w:val="119"/>
                <w:shd w:val="solid" w:color="000000" w:fill="000000"/>
                <w:fitText w:val="205" w:id="-760998136"/>
                <w14:textFill>
                  <w14:solidFill>
                    <w14:srgbClr w14:val="000000">
                      <w14:alpha w14:val="100000"/>
                    </w14:srgbClr>
                  </w14:solidFill>
                </w14:textFill>
              </w:rPr>
              <w:t>|</w:t>
            </w:r>
            <w:r w:rsidR="005F3BC8" w:rsidRPr="00F73F98">
              <w:rPr>
                <w:color w:val="000000"/>
                <w:shd w:val="solid" w:color="000000" w:fill="000000"/>
                <w:fitText w:val="205" w:id="-760998136"/>
                <w14:textFill>
                  <w14:solidFill>
                    <w14:srgbClr w14:val="000000">
                      <w14:alpha w14:val="100000"/>
                    </w14:srgbClr>
                  </w14:solidFill>
                </w14:textFill>
              </w:rPr>
              <w:t>|</w:t>
            </w:r>
            <w:r w:rsidRPr="00552B0C">
              <w:t>%</w:t>
            </w:r>
          </w:p>
        </w:tc>
      </w:tr>
      <w:tr w:rsidR="00091D2A" w:rsidRPr="00552B0C" w14:paraId="0D4D46A3" w14:textId="77777777" w:rsidTr="009E402C">
        <w:trPr>
          <w:cantSplit/>
          <w:trHeight w:val="20"/>
        </w:trPr>
        <w:tc>
          <w:tcPr>
            <w:tcW w:w="1894" w:type="pct"/>
            <w:vAlign w:val="center"/>
          </w:tcPr>
          <w:p w14:paraId="1B296FCB" w14:textId="77777777" w:rsidR="00091D2A" w:rsidRPr="00552B0C" w:rsidRDefault="00091D2A" w:rsidP="009E402C">
            <w:pPr>
              <w:pStyle w:val="TableText0"/>
              <w:keepLines/>
            </w:pPr>
            <w:r w:rsidRPr="00552B0C">
              <w:t xml:space="preserve">  3.5%</w:t>
            </w:r>
          </w:p>
        </w:tc>
        <w:tc>
          <w:tcPr>
            <w:tcW w:w="777" w:type="pct"/>
            <w:vAlign w:val="center"/>
          </w:tcPr>
          <w:p w14:paraId="1FB28AE0" w14:textId="24D7D5BF" w:rsidR="00091D2A" w:rsidRPr="00F4444C" w:rsidRDefault="00091D2A"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1F867BD5" w14:textId="77777777" w:rsidR="00091D2A" w:rsidRPr="00552B0C" w:rsidRDefault="00091D2A" w:rsidP="00C81C2F">
            <w:pPr>
              <w:pStyle w:val="TableText0"/>
              <w:keepLines/>
              <w:jc w:val="center"/>
            </w:pPr>
            <w:r w:rsidRPr="00552B0C">
              <w:t>0.1683</w:t>
            </w:r>
          </w:p>
        </w:tc>
        <w:tc>
          <w:tcPr>
            <w:tcW w:w="952" w:type="pct"/>
            <w:vAlign w:val="center"/>
          </w:tcPr>
          <w:p w14:paraId="054966A9" w14:textId="17D9B90F"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7464FC">
              <w:rPr>
                <w:vertAlign w:val="superscript"/>
              </w:rPr>
              <w:t>1</w:t>
            </w:r>
          </w:p>
        </w:tc>
        <w:tc>
          <w:tcPr>
            <w:tcW w:w="600" w:type="pct"/>
            <w:vAlign w:val="center"/>
          </w:tcPr>
          <w:p w14:paraId="6BF4116C" w14:textId="121461BF" w:rsidR="00091D2A" w:rsidRPr="00552B0C" w:rsidRDefault="00091D2A" w:rsidP="00C81C2F">
            <w:pPr>
              <w:pStyle w:val="TableText0"/>
              <w:keepLines/>
              <w:jc w:val="center"/>
            </w:pPr>
            <w:r w:rsidRPr="00552B0C">
              <w:t>-</w:t>
            </w:r>
            <w:r w:rsidR="005F3BC8" w:rsidRPr="00F73F98">
              <w:rPr>
                <w:color w:val="000000"/>
                <w:spacing w:val="119"/>
                <w:shd w:val="solid" w:color="000000" w:fill="000000"/>
                <w:fitText w:val="205" w:id="-760998135"/>
                <w14:textFill>
                  <w14:solidFill>
                    <w14:srgbClr w14:val="000000">
                      <w14:alpha w14:val="100000"/>
                    </w14:srgbClr>
                  </w14:solidFill>
                </w14:textFill>
              </w:rPr>
              <w:t>|</w:t>
            </w:r>
            <w:r w:rsidR="005F3BC8" w:rsidRPr="00F73F98">
              <w:rPr>
                <w:color w:val="000000"/>
                <w:shd w:val="solid" w:color="000000" w:fill="000000"/>
                <w:fitText w:val="205" w:id="-760998135"/>
                <w14:textFill>
                  <w14:solidFill>
                    <w14:srgbClr w14:val="000000">
                      <w14:alpha w14:val="100000"/>
                    </w14:srgbClr>
                  </w14:solidFill>
                </w14:textFill>
              </w:rPr>
              <w:t>|</w:t>
            </w:r>
            <w:r w:rsidRPr="00552B0C">
              <w:t>%</w:t>
            </w:r>
          </w:p>
        </w:tc>
      </w:tr>
      <w:tr w:rsidR="00091D2A" w:rsidRPr="00552B0C" w14:paraId="325672A1" w14:textId="77777777" w:rsidTr="009E402C">
        <w:trPr>
          <w:cantSplit/>
          <w:trHeight w:val="20"/>
        </w:trPr>
        <w:tc>
          <w:tcPr>
            <w:tcW w:w="5000" w:type="pct"/>
            <w:gridSpan w:val="5"/>
            <w:vAlign w:val="center"/>
          </w:tcPr>
          <w:p w14:paraId="689B8BFE" w14:textId="77777777" w:rsidR="00091D2A" w:rsidRPr="00552B0C" w:rsidRDefault="00091D2A" w:rsidP="009E402C">
            <w:pPr>
              <w:pStyle w:val="TableText0"/>
              <w:keepLines/>
              <w:rPr>
                <w:rFonts w:eastAsia="Calibri"/>
                <w:b/>
                <w:bCs w:val="0"/>
                <w:szCs w:val="20"/>
              </w:rPr>
            </w:pPr>
            <w:r w:rsidRPr="00552B0C">
              <w:rPr>
                <w:b/>
                <w:bCs w:val="0"/>
              </w:rPr>
              <w:t>OS switch from KM to extrapolation (base-case = 10% patients at-risk)</w:t>
            </w:r>
          </w:p>
        </w:tc>
      </w:tr>
      <w:tr w:rsidR="00091D2A" w:rsidRPr="00552B0C" w14:paraId="130CEF70" w14:textId="77777777" w:rsidTr="009E402C">
        <w:trPr>
          <w:cantSplit/>
          <w:trHeight w:val="20"/>
        </w:trPr>
        <w:tc>
          <w:tcPr>
            <w:tcW w:w="1894" w:type="pct"/>
            <w:vAlign w:val="center"/>
          </w:tcPr>
          <w:p w14:paraId="39785EC9" w14:textId="77777777" w:rsidR="00091D2A" w:rsidRPr="00552B0C" w:rsidRDefault="00091D2A" w:rsidP="009E402C">
            <w:pPr>
              <w:pStyle w:val="TableText0"/>
              <w:keepLines/>
            </w:pPr>
            <w:r w:rsidRPr="00552B0C">
              <w:t xml:space="preserve">  Gebski approach (ESC preferred)</w:t>
            </w:r>
          </w:p>
        </w:tc>
        <w:tc>
          <w:tcPr>
            <w:tcW w:w="777" w:type="pct"/>
            <w:vAlign w:val="center"/>
          </w:tcPr>
          <w:p w14:paraId="59D905C2" w14:textId="18F04256" w:rsidR="00091D2A" w:rsidRPr="00F4444C" w:rsidRDefault="00091D2A"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75BEBAEA" w14:textId="77777777" w:rsidR="00091D2A" w:rsidRPr="00552B0C" w:rsidRDefault="00091D2A" w:rsidP="00C81C2F">
            <w:pPr>
              <w:pStyle w:val="TableText0"/>
              <w:keepLines/>
              <w:jc w:val="center"/>
            </w:pPr>
            <w:r w:rsidRPr="00552B0C">
              <w:t>0.1850</w:t>
            </w:r>
          </w:p>
        </w:tc>
        <w:tc>
          <w:tcPr>
            <w:tcW w:w="952" w:type="pct"/>
            <w:vAlign w:val="center"/>
          </w:tcPr>
          <w:p w14:paraId="3115A23D" w14:textId="0ABA9631"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7464FC">
              <w:rPr>
                <w:vertAlign w:val="superscript"/>
              </w:rPr>
              <w:t>1</w:t>
            </w:r>
          </w:p>
        </w:tc>
        <w:tc>
          <w:tcPr>
            <w:tcW w:w="600" w:type="pct"/>
            <w:vAlign w:val="center"/>
          </w:tcPr>
          <w:p w14:paraId="25FDC21F" w14:textId="53843F16" w:rsidR="00091D2A" w:rsidRPr="00552B0C" w:rsidRDefault="00091D2A" w:rsidP="00C81C2F">
            <w:pPr>
              <w:pStyle w:val="TableText0"/>
              <w:keepLines/>
              <w:jc w:val="center"/>
            </w:pPr>
            <w:r w:rsidRPr="00552B0C">
              <w:t>-</w:t>
            </w:r>
            <w:r w:rsidR="005F3BC8" w:rsidRPr="00F73F98">
              <w:rPr>
                <w:color w:val="000000"/>
                <w:spacing w:val="119"/>
                <w:shd w:val="solid" w:color="000000" w:fill="000000"/>
                <w:fitText w:val="205" w:id="-760998134"/>
                <w14:textFill>
                  <w14:solidFill>
                    <w14:srgbClr w14:val="000000">
                      <w14:alpha w14:val="100000"/>
                    </w14:srgbClr>
                  </w14:solidFill>
                </w14:textFill>
              </w:rPr>
              <w:t>|</w:t>
            </w:r>
            <w:r w:rsidR="005F3BC8" w:rsidRPr="00F73F98">
              <w:rPr>
                <w:color w:val="000000"/>
                <w:shd w:val="solid" w:color="000000" w:fill="000000"/>
                <w:fitText w:val="205" w:id="-760998134"/>
                <w14:textFill>
                  <w14:solidFill>
                    <w14:srgbClr w14:val="000000">
                      <w14:alpha w14:val="100000"/>
                    </w14:srgbClr>
                  </w14:solidFill>
                </w14:textFill>
              </w:rPr>
              <w:t>|</w:t>
            </w:r>
            <w:r w:rsidRPr="00552B0C">
              <w:t>%</w:t>
            </w:r>
          </w:p>
        </w:tc>
      </w:tr>
      <w:tr w:rsidR="00091D2A" w:rsidRPr="00552B0C" w14:paraId="29D6F865" w14:textId="77777777" w:rsidTr="009E402C">
        <w:trPr>
          <w:cantSplit/>
          <w:trHeight w:val="20"/>
        </w:trPr>
        <w:tc>
          <w:tcPr>
            <w:tcW w:w="5000" w:type="pct"/>
            <w:gridSpan w:val="5"/>
            <w:vAlign w:val="center"/>
          </w:tcPr>
          <w:p w14:paraId="724A5CCC" w14:textId="77777777" w:rsidR="00091D2A" w:rsidRPr="00552B0C" w:rsidRDefault="00091D2A" w:rsidP="009E402C">
            <w:pPr>
              <w:pStyle w:val="TableText0"/>
              <w:keepLines/>
              <w:rPr>
                <w:b/>
                <w:bCs w:val="0"/>
              </w:rPr>
            </w:pPr>
            <w:r w:rsidRPr="00552B0C">
              <w:rPr>
                <w:b/>
                <w:bCs w:val="0"/>
              </w:rPr>
              <w:t xml:space="preserve">Source of FOLFIRINOX OS and PFS curves (base-case = HR from MAIC of NALIRIFOX VS FOLFIRINOX) </w:t>
            </w:r>
          </w:p>
        </w:tc>
      </w:tr>
      <w:tr w:rsidR="00091D2A" w:rsidRPr="00552B0C" w14:paraId="549B91DB" w14:textId="77777777" w:rsidTr="009E402C">
        <w:trPr>
          <w:cantSplit/>
          <w:trHeight w:val="20"/>
        </w:trPr>
        <w:tc>
          <w:tcPr>
            <w:tcW w:w="1894" w:type="pct"/>
            <w:vAlign w:val="center"/>
          </w:tcPr>
          <w:p w14:paraId="3703FEF4" w14:textId="77777777" w:rsidR="00091D2A" w:rsidRPr="00552B0C" w:rsidRDefault="00091D2A" w:rsidP="009E402C">
            <w:pPr>
              <w:pStyle w:val="TableText0"/>
              <w:keepLines/>
            </w:pPr>
            <w:r w:rsidRPr="00552B0C">
              <w:t xml:space="preserve">  Assumed to be non-inferior to Gem+NabP</w:t>
            </w:r>
          </w:p>
        </w:tc>
        <w:tc>
          <w:tcPr>
            <w:tcW w:w="777" w:type="pct"/>
            <w:vAlign w:val="center"/>
          </w:tcPr>
          <w:p w14:paraId="2F589C53" w14:textId="4F3A763F"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7571F324" w14:textId="77777777" w:rsidR="00091D2A" w:rsidRPr="00552B0C" w:rsidRDefault="00091D2A" w:rsidP="00C81C2F">
            <w:pPr>
              <w:pStyle w:val="TableText0"/>
              <w:keepLines/>
              <w:jc w:val="center"/>
            </w:pPr>
            <w:r w:rsidRPr="00552B0C">
              <w:t>0.1275</w:t>
            </w:r>
          </w:p>
        </w:tc>
        <w:tc>
          <w:tcPr>
            <w:tcW w:w="952" w:type="pct"/>
            <w:vAlign w:val="center"/>
          </w:tcPr>
          <w:p w14:paraId="2F89A7DC" w14:textId="0E2AEA6F" w:rsidR="00091D2A" w:rsidRPr="00C31253" w:rsidRDefault="00091D2A"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r w:rsidR="007464FC">
              <w:rPr>
                <w:vertAlign w:val="superscript"/>
              </w:rPr>
              <w:t>2</w:t>
            </w:r>
          </w:p>
        </w:tc>
        <w:tc>
          <w:tcPr>
            <w:tcW w:w="600" w:type="pct"/>
            <w:vAlign w:val="center"/>
          </w:tcPr>
          <w:p w14:paraId="4EF97F75" w14:textId="1840AEFE" w:rsidR="00091D2A" w:rsidRPr="00552B0C" w:rsidRDefault="00091D2A" w:rsidP="00C81C2F">
            <w:pPr>
              <w:pStyle w:val="TableText0"/>
              <w:keepLines/>
              <w:jc w:val="center"/>
            </w:pPr>
            <w:r w:rsidRPr="00552B0C">
              <w:t>+</w:t>
            </w:r>
            <w:r w:rsidR="005F3BC8" w:rsidRPr="00F73F98">
              <w:rPr>
                <w:color w:val="000000"/>
                <w:spacing w:val="49"/>
                <w:shd w:val="solid" w:color="000000" w:fill="000000"/>
                <w:fitText w:val="226" w:id="-760998133"/>
                <w14:textFill>
                  <w14:solidFill>
                    <w14:srgbClr w14:val="000000">
                      <w14:alpha w14:val="100000"/>
                    </w14:srgbClr>
                  </w14:solidFill>
                </w14:textFill>
              </w:rPr>
              <w:t>||</w:t>
            </w:r>
            <w:r w:rsidR="005F3BC8" w:rsidRPr="00F73F98">
              <w:rPr>
                <w:color w:val="000000"/>
                <w:spacing w:val="1"/>
                <w:shd w:val="solid" w:color="000000" w:fill="000000"/>
                <w:fitText w:val="226" w:id="-760998133"/>
                <w14:textFill>
                  <w14:solidFill>
                    <w14:srgbClr w14:val="000000">
                      <w14:alpha w14:val="100000"/>
                    </w14:srgbClr>
                  </w14:solidFill>
                </w14:textFill>
              </w:rPr>
              <w:t>|</w:t>
            </w:r>
            <w:r w:rsidRPr="00552B0C">
              <w:t>%</w:t>
            </w:r>
          </w:p>
        </w:tc>
      </w:tr>
      <w:tr w:rsidR="00091D2A" w:rsidRPr="00552B0C" w14:paraId="7C9BE7A1" w14:textId="77777777" w:rsidTr="009E402C">
        <w:trPr>
          <w:cantSplit/>
          <w:trHeight w:val="20"/>
        </w:trPr>
        <w:tc>
          <w:tcPr>
            <w:tcW w:w="1894" w:type="pct"/>
            <w:vAlign w:val="center"/>
          </w:tcPr>
          <w:p w14:paraId="6F375D0A" w14:textId="77777777" w:rsidR="00091D2A" w:rsidRPr="00552B0C" w:rsidRDefault="00091D2A" w:rsidP="009E402C">
            <w:pPr>
              <w:pStyle w:val="TableText0"/>
              <w:keepLines/>
            </w:pPr>
            <w:r w:rsidRPr="00552B0C">
              <w:t xml:space="preserve">  Assumed to be non-inferior to NALIRIFOX</w:t>
            </w:r>
          </w:p>
        </w:tc>
        <w:tc>
          <w:tcPr>
            <w:tcW w:w="777" w:type="pct"/>
            <w:vAlign w:val="center"/>
          </w:tcPr>
          <w:p w14:paraId="39F94AB6" w14:textId="1BF22DE8"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2BB3E82F" w14:textId="77777777" w:rsidR="00091D2A" w:rsidRPr="00552B0C" w:rsidRDefault="00091D2A" w:rsidP="00C81C2F">
            <w:pPr>
              <w:pStyle w:val="TableText0"/>
              <w:keepLines/>
              <w:jc w:val="center"/>
            </w:pPr>
            <w:r w:rsidRPr="00552B0C">
              <w:t>0.0956</w:t>
            </w:r>
          </w:p>
        </w:tc>
        <w:tc>
          <w:tcPr>
            <w:tcW w:w="952" w:type="pct"/>
            <w:vAlign w:val="center"/>
          </w:tcPr>
          <w:p w14:paraId="2FDF122A" w14:textId="7CAB1627" w:rsidR="00091D2A" w:rsidRPr="00212F6C" w:rsidRDefault="00091D2A"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r w:rsidR="00A63445">
              <w:rPr>
                <w:vertAlign w:val="superscript"/>
              </w:rPr>
              <w:t>3</w:t>
            </w:r>
          </w:p>
        </w:tc>
        <w:tc>
          <w:tcPr>
            <w:tcW w:w="600" w:type="pct"/>
            <w:vAlign w:val="center"/>
          </w:tcPr>
          <w:p w14:paraId="1BC8ACDA" w14:textId="4DB1290B" w:rsidR="00091D2A" w:rsidRPr="00552B0C" w:rsidRDefault="00091D2A" w:rsidP="00C81C2F">
            <w:pPr>
              <w:pStyle w:val="TableText0"/>
              <w:keepLines/>
              <w:jc w:val="center"/>
            </w:pPr>
            <w:r w:rsidRPr="00552B0C">
              <w:t>+</w:t>
            </w:r>
            <w:r w:rsidR="005F3BC8" w:rsidRPr="00F73F98">
              <w:rPr>
                <w:color w:val="000000"/>
                <w:spacing w:val="49"/>
                <w:shd w:val="solid" w:color="000000" w:fill="000000"/>
                <w:fitText w:val="226" w:id="-760998132"/>
                <w14:textFill>
                  <w14:solidFill>
                    <w14:srgbClr w14:val="000000">
                      <w14:alpha w14:val="100000"/>
                    </w14:srgbClr>
                  </w14:solidFill>
                </w14:textFill>
              </w:rPr>
              <w:t>||</w:t>
            </w:r>
            <w:r w:rsidR="005F3BC8" w:rsidRPr="00F73F98">
              <w:rPr>
                <w:color w:val="000000"/>
                <w:spacing w:val="1"/>
                <w:shd w:val="solid" w:color="000000" w:fill="000000"/>
                <w:fitText w:val="226" w:id="-760998132"/>
                <w14:textFill>
                  <w14:solidFill>
                    <w14:srgbClr w14:val="000000">
                      <w14:alpha w14:val="100000"/>
                    </w14:srgbClr>
                  </w14:solidFill>
                </w14:textFill>
              </w:rPr>
              <w:t>|</w:t>
            </w:r>
            <w:r w:rsidRPr="00552B0C">
              <w:t>%</w:t>
            </w:r>
          </w:p>
        </w:tc>
      </w:tr>
      <w:tr w:rsidR="00091D2A" w:rsidRPr="00552B0C" w14:paraId="448DC915" w14:textId="77777777" w:rsidTr="009E402C">
        <w:trPr>
          <w:cantSplit/>
          <w:trHeight w:val="20"/>
        </w:trPr>
        <w:tc>
          <w:tcPr>
            <w:tcW w:w="5000" w:type="pct"/>
            <w:gridSpan w:val="5"/>
            <w:vAlign w:val="center"/>
          </w:tcPr>
          <w:p w14:paraId="041213C9" w14:textId="77777777" w:rsidR="00091D2A" w:rsidRPr="00552B0C" w:rsidRDefault="00091D2A" w:rsidP="009E402C">
            <w:pPr>
              <w:pStyle w:val="TableText0"/>
              <w:keepLines/>
              <w:rPr>
                <w:b/>
                <w:bCs w:val="0"/>
              </w:rPr>
            </w:pPr>
            <w:r w:rsidRPr="00552B0C">
              <w:rPr>
                <w:b/>
                <w:bCs w:val="0"/>
              </w:rPr>
              <w:t>Health state utility values (base case = EQ-5D-5L with UK weights from NAPOLI-3 trial [Free of Progression=0.85, Progressed=0.78])</w:t>
            </w:r>
          </w:p>
        </w:tc>
      </w:tr>
      <w:tr w:rsidR="00091D2A" w:rsidRPr="00552B0C" w14:paraId="183B55A6" w14:textId="77777777" w:rsidTr="009E402C">
        <w:trPr>
          <w:cantSplit/>
          <w:trHeight w:val="20"/>
        </w:trPr>
        <w:tc>
          <w:tcPr>
            <w:tcW w:w="1894" w:type="pct"/>
            <w:vAlign w:val="center"/>
          </w:tcPr>
          <w:p w14:paraId="0E67F3EA" w14:textId="6733C089" w:rsidR="00091D2A" w:rsidRPr="00552B0C" w:rsidRDefault="00091D2A" w:rsidP="009E402C">
            <w:pPr>
              <w:pStyle w:val="TableText0"/>
              <w:keepLines/>
            </w:pPr>
            <w:r w:rsidRPr="00552B0C">
              <w:t>EQ-5D-5L with AU weights from NAPOLI-3 trial (Free of Progression=0.89, Progressed=0.82)</w:t>
            </w:r>
          </w:p>
        </w:tc>
        <w:tc>
          <w:tcPr>
            <w:tcW w:w="777" w:type="pct"/>
            <w:vAlign w:val="center"/>
          </w:tcPr>
          <w:p w14:paraId="4504FDD9" w14:textId="140932A1"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6B8B3D41" w14:textId="77777777" w:rsidR="00091D2A" w:rsidRPr="00552B0C" w:rsidRDefault="00091D2A" w:rsidP="00C81C2F">
            <w:pPr>
              <w:pStyle w:val="TableText0"/>
              <w:keepLines/>
              <w:jc w:val="center"/>
            </w:pPr>
            <w:r w:rsidRPr="00552B0C">
              <w:t>0.1735</w:t>
            </w:r>
          </w:p>
        </w:tc>
        <w:tc>
          <w:tcPr>
            <w:tcW w:w="952" w:type="pct"/>
            <w:vAlign w:val="center"/>
          </w:tcPr>
          <w:p w14:paraId="57B9D522" w14:textId="6872BF31"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7952CA">
              <w:rPr>
                <w:vertAlign w:val="superscript"/>
              </w:rPr>
              <w:t>1</w:t>
            </w:r>
          </w:p>
        </w:tc>
        <w:tc>
          <w:tcPr>
            <w:tcW w:w="600" w:type="pct"/>
            <w:vAlign w:val="center"/>
          </w:tcPr>
          <w:p w14:paraId="0F325032" w14:textId="62BE6F22" w:rsidR="00091D2A" w:rsidRPr="00552B0C" w:rsidRDefault="00091D2A" w:rsidP="00C81C2F">
            <w:pPr>
              <w:pStyle w:val="TableText0"/>
              <w:keepLines/>
              <w:jc w:val="center"/>
            </w:pPr>
            <w:r w:rsidRPr="00552B0C">
              <w:t>-</w:t>
            </w:r>
            <w:r w:rsidR="005F3BC8" w:rsidRPr="00F73F98">
              <w:rPr>
                <w:color w:val="000000"/>
                <w:spacing w:val="119"/>
                <w:shd w:val="solid" w:color="000000" w:fill="000000"/>
                <w:fitText w:val="205" w:id="-760998131"/>
                <w14:textFill>
                  <w14:solidFill>
                    <w14:srgbClr w14:val="000000">
                      <w14:alpha w14:val="100000"/>
                    </w14:srgbClr>
                  </w14:solidFill>
                </w14:textFill>
              </w:rPr>
              <w:t>|</w:t>
            </w:r>
            <w:r w:rsidR="005F3BC8" w:rsidRPr="00F73F98">
              <w:rPr>
                <w:color w:val="000000"/>
                <w:shd w:val="solid" w:color="000000" w:fill="000000"/>
                <w:fitText w:val="205" w:id="-760998131"/>
                <w14:textFill>
                  <w14:solidFill>
                    <w14:srgbClr w14:val="000000">
                      <w14:alpha w14:val="100000"/>
                    </w14:srgbClr>
                  </w14:solidFill>
                </w14:textFill>
              </w:rPr>
              <w:t>|</w:t>
            </w:r>
            <w:r w:rsidRPr="00552B0C">
              <w:t>%</w:t>
            </w:r>
          </w:p>
        </w:tc>
      </w:tr>
      <w:tr w:rsidR="00091D2A" w:rsidRPr="00552B0C" w14:paraId="57CA1A80" w14:textId="77777777" w:rsidTr="009E402C">
        <w:trPr>
          <w:cantSplit/>
          <w:trHeight w:val="20"/>
        </w:trPr>
        <w:tc>
          <w:tcPr>
            <w:tcW w:w="1894" w:type="pct"/>
            <w:vAlign w:val="center"/>
          </w:tcPr>
          <w:p w14:paraId="37517FB9" w14:textId="6310BA94" w:rsidR="00091D2A" w:rsidRPr="00552B0C" w:rsidRDefault="00091D2A" w:rsidP="009E402C">
            <w:pPr>
              <w:pStyle w:val="TableText0"/>
              <w:keepLines/>
            </w:pPr>
            <w:r w:rsidRPr="00552B0C">
              <w:t>SEIGE trial- Devlin value set (Free of Progression=0.79, Progressed=0.75)</w:t>
            </w:r>
          </w:p>
        </w:tc>
        <w:tc>
          <w:tcPr>
            <w:tcW w:w="777" w:type="pct"/>
            <w:vAlign w:val="center"/>
          </w:tcPr>
          <w:p w14:paraId="4C9D9B72" w14:textId="1F21D588"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556149F1" w14:textId="77777777" w:rsidR="00091D2A" w:rsidRPr="00552B0C" w:rsidRDefault="00091D2A" w:rsidP="00C81C2F">
            <w:pPr>
              <w:pStyle w:val="TableText0"/>
              <w:keepLines/>
              <w:jc w:val="center"/>
            </w:pPr>
            <w:r w:rsidRPr="00552B0C">
              <w:t>0.1533</w:t>
            </w:r>
          </w:p>
        </w:tc>
        <w:tc>
          <w:tcPr>
            <w:tcW w:w="952" w:type="pct"/>
            <w:vAlign w:val="center"/>
          </w:tcPr>
          <w:p w14:paraId="105E811D" w14:textId="4171AC23"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3C08A1">
              <w:rPr>
                <w:vertAlign w:val="superscript"/>
              </w:rPr>
              <w:t>2</w:t>
            </w:r>
          </w:p>
        </w:tc>
        <w:tc>
          <w:tcPr>
            <w:tcW w:w="600" w:type="pct"/>
            <w:vAlign w:val="center"/>
          </w:tcPr>
          <w:p w14:paraId="148BF1DB" w14:textId="5844E443" w:rsidR="00091D2A" w:rsidRPr="00552B0C" w:rsidRDefault="00091D2A" w:rsidP="00C81C2F">
            <w:pPr>
              <w:pStyle w:val="TableText0"/>
              <w:keepLines/>
              <w:jc w:val="center"/>
            </w:pPr>
            <w:r w:rsidRPr="00552B0C">
              <w:t>+</w:t>
            </w:r>
            <w:r w:rsidR="005F3BC8" w:rsidRPr="00F73F98">
              <w:rPr>
                <w:color w:val="000000"/>
                <w:spacing w:val="49"/>
                <w:shd w:val="solid" w:color="000000" w:fill="000000"/>
                <w:fitText w:val="226" w:id="-760998130"/>
                <w14:textFill>
                  <w14:solidFill>
                    <w14:srgbClr w14:val="000000">
                      <w14:alpha w14:val="100000"/>
                    </w14:srgbClr>
                  </w14:solidFill>
                </w14:textFill>
              </w:rPr>
              <w:t>||</w:t>
            </w:r>
            <w:r w:rsidR="005F3BC8" w:rsidRPr="00F73F98">
              <w:rPr>
                <w:color w:val="000000"/>
                <w:spacing w:val="1"/>
                <w:shd w:val="solid" w:color="000000" w:fill="000000"/>
                <w:fitText w:val="226" w:id="-760998130"/>
                <w14:textFill>
                  <w14:solidFill>
                    <w14:srgbClr w14:val="000000">
                      <w14:alpha w14:val="100000"/>
                    </w14:srgbClr>
                  </w14:solidFill>
                </w14:textFill>
              </w:rPr>
              <w:t>|</w:t>
            </w:r>
            <w:r w:rsidRPr="00552B0C">
              <w:t>%</w:t>
            </w:r>
          </w:p>
        </w:tc>
      </w:tr>
      <w:tr w:rsidR="00091D2A" w:rsidRPr="00552B0C" w14:paraId="52A48CFC" w14:textId="77777777" w:rsidTr="009E402C">
        <w:trPr>
          <w:cantSplit/>
          <w:trHeight w:val="20"/>
        </w:trPr>
        <w:tc>
          <w:tcPr>
            <w:tcW w:w="1894" w:type="pct"/>
            <w:vAlign w:val="center"/>
          </w:tcPr>
          <w:p w14:paraId="7F678653" w14:textId="13D2B45B" w:rsidR="00091D2A" w:rsidRPr="00552B0C" w:rsidRDefault="00091D2A" w:rsidP="009E402C">
            <w:pPr>
              <w:pStyle w:val="TableText0"/>
              <w:keepLines/>
            </w:pPr>
            <w:r w:rsidRPr="00552B0C">
              <w:t>SEIGE trial- crosswalk method (Free of Progression=0.70, Progressed=0.65)</w:t>
            </w:r>
          </w:p>
        </w:tc>
        <w:tc>
          <w:tcPr>
            <w:tcW w:w="777" w:type="pct"/>
            <w:vAlign w:val="center"/>
          </w:tcPr>
          <w:p w14:paraId="41991896" w14:textId="5EC7AB4D"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295104D7" w14:textId="77777777" w:rsidR="00091D2A" w:rsidRPr="00552B0C" w:rsidRDefault="00091D2A" w:rsidP="00C81C2F">
            <w:pPr>
              <w:pStyle w:val="TableText0"/>
              <w:keepLines/>
              <w:jc w:val="center"/>
            </w:pPr>
            <w:r w:rsidRPr="00552B0C">
              <w:t>0.1363</w:t>
            </w:r>
          </w:p>
        </w:tc>
        <w:tc>
          <w:tcPr>
            <w:tcW w:w="952" w:type="pct"/>
            <w:vAlign w:val="center"/>
          </w:tcPr>
          <w:p w14:paraId="2433777C" w14:textId="58965994"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55787E" w:rsidRPr="0055787E">
              <w:rPr>
                <w:vertAlign w:val="superscript"/>
              </w:rPr>
              <w:t>2</w:t>
            </w:r>
          </w:p>
        </w:tc>
        <w:tc>
          <w:tcPr>
            <w:tcW w:w="600" w:type="pct"/>
            <w:vAlign w:val="center"/>
          </w:tcPr>
          <w:p w14:paraId="657B9F8B" w14:textId="21030CB3" w:rsidR="00091D2A" w:rsidRPr="00552B0C" w:rsidRDefault="00091D2A" w:rsidP="00C81C2F">
            <w:pPr>
              <w:pStyle w:val="TableText0"/>
              <w:keepLines/>
              <w:jc w:val="center"/>
            </w:pPr>
            <w:r w:rsidRPr="00552B0C">
              <w:t>+</w:t>
            </w:r>
            <w:r w:rsidR="005F3BC8" w:rsidRPr="00F73F98">
              <w:rPr>
                <w:color w:val="000000"/>
                <w:spacing w:val="49"/>
                <w:shd w:val="solid" w:color="000000" w:fill="000000"/>
                <w:fitText w:val="226" w:id="-760998129"/>
                <w14:textFill>
                  <w14:solidFill>
                    <w14:srgbClr w14:val="000000">
                      <w14:alpha w14:val="100000"/>
                    </w14:srgbClr>
                  </w14:solidFill>
                </w14:textFill>
              </w:rPr>
              <w:t>||</w:t>
            </w:r>
            <w:r w:rsidR="005F3BC8" w:rsidRPr="00F73F98">
              <w:rPr>
                <w:color w:val="000000"/>
                <w:spacing w:val="1"/>
                <w:shd w:val="solid" w:color="000000" w:fill="000000"/>
                <w:fitText w:val="226" w:id="-760998129"/>
                <w14:textFill>
                  <w14:solidFill>
                    <w14:srgbClr w14:val="000000">
                      <w14:alpha w14:val="100000"/>
                    </w14:srgbClr>
                  </w14:solidFill>
                </w14:textFill>
              </w:rPr>
              <w:t>|</w:t>
            </w:r>
            <w:r w:rsidRPr="00552B0C">
              <w:t>%</w:t>
            </w:r>
          </w:p>
        </w:tc>
      </w:tr>
      <w:tr w:rsidR="00091D2A" w:rsidRPr="00552B0C" w14:paraId="2C8EF2A4" w14:textId="77777777" w:rsidTr="009E402C">
        <w:trPr>
          <w:cantSplit/>
          <w:trHeight w:val="20"/>
        </w:trPr>
        <w:tc>
          <w:tcPr>
            <w:tcW w:w="1894" w:type="pct"/>
            <w:vAlign w:val="center"/>
          </w:tcPr>
          <w:p w14:paraId="0DC17232" w14:textId="155DD2D0" w:rsidR="00091D2A" w:rsidRPr="00552B0C" w:rsidRDefault="00091D2A" w:rsidP="009E402C">
            <w:pPr>
              <w:pStyle w:val="TableText0"/>
              <w:keepLines/>
            </w:pPr>
            <w:r w:rsidRPr="00552B0C">
              <w:t>Romanus 2012- UK adjustment (Free of Progression=0.74, Progressed=0.67)</w:t>
            </w:r>
          </w:p>
        </w:tc>
        <w:tc>
          <w:tcPr>
            <w:tcW w:w="777" w:type="pct"/>
            <w:vAlign w:val="center"/>
          </w:tcPr>
          <w:p w14:paraId="5146A90D" w14:textId="5B0E1F86"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1ED03D1A" w14:textId="77777777" w:rsidR="00091D2A" w:rsidRPr="00552B0C" w:rsidRDefault="00091D2A" w:rsidP="00C81C2F">
            <w:pPr>
              <w:pStyle w:val="TableText0"/>
              <w:keepLines/>
              <w:jc w:val="center"/>
            </w:pPr>
            <w:r w:rsidRPr="00552B0C">
              <w:t>0.1446</w:t>
            </w:r>
          </w:p>
        </w:tc>
        <w:tc>
          <w:tcPr>
            <w:tcW w:w="952" w:type="pct"/>
            <w:vAlign w:val="center"/>
          </w:tcPr>
          <w:p w14:paraId="35C4DF12" w14:textId="098981AE"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55787E">
              <w:rPr>
                <w:vertAlign w:val="superscript"/>
              </w:rPr>
              <w:t>2</w:t>
            </w:r>
          </w:p>
        </w:tc>
        <w:tc>
          <w:tcPr>
            <w:tcW w:w="600" w:type="pct"/>
            <w:vAlign w:val="center"/>
          </w:tcPr>
          <w:p w14:paraId="5CAE7A19" w14:textId="5CA76F8F" w:rsidR="00091D2A" w:rsidRPr="00552B0C" w:rsidRDefault="00091D2A" w:rsidP="00C81C2F">
            <w:pPr>
              <w:pStyle w:val="TableText0"/>
              <w:keepLines/>
              <w:jc w:val="center"/>
            </w:pPr>
            <w:r w:rsidRPr="00552B0C">
              <w:t>+</w:t>
            </w:r>
            <w:r w:rsidR="005F3BC8" w:rsidRPr="00F73F98">
              <w:rPr>
                <w:color w:val="000000"/>
                <w:spacing w:val="49"/>
                <w:shd w:val="solid" w:color="000000" w:fill="000000"/>
                <w:fitText w:val="226" w:id="-760998128"/>
                <w14:textFill>
                  <w14:solidFill>
                    <w14:srgbClr w14:val="000000">
                      <w14:alpha w14:val="100000"/>
                    </w14:srgbClr>
                  </w14:solidFill>
                </w14:textFill>
              </w:rPr>
              <w:t>||</w:t>
            </w:r>
            <w:r w:rsidR="005F3BC8" w:rsidRPr="00F73F98">
              <w:rPr>
                <w:color w:val="000000"/>
                <w:spacing w:val="1"/>
                <w:shd w:val="solid" w:color="000000" w:fill="000000"/>
                <w:fitText w:val="226" w:id="-760998128"/>
                <w14:textFill>
                  <w14:solidFill>
                    <w14:srgbClr w14:val="000000">
                      <w14:alpha w14:val="100000"/>
                    </w14:srgbClr>
                  </w14:solidFill>
                </w14:textFill>
              </w:rPr>
              <w:t>|</w:t>
            </w:r>
            <w:r w:rsidRPr="00552B0C">
              <w:t>%</w:t>
            </w:r>
          </w:p>
        </w:tc>
      </w:tr>
      <w:tr w:rsidR="00091D2A" w:rsidRPr="00552B0C" w14:paraId="15E3D6E9" w14:textId="77777777" w:rsidTr="009E402C">
        <w:trPr>
          <w:cantSplit/>
          <w:trHeight w:val="20"/>
        </w:trPr>
        <w:tc>
          <w:tcPr>
            <w:tcW w:w="5000" w:type="pct"/>
            <w:gridSpan w:val="5"/>
            <w:vAlign w:val="center"/>
          </w:tcPr>
          <w:p w14:paraId="02FF4417" w14:textId="79A1C72E" w:rsidR="00091D2A" w:rsidRPr="00552B0C" w:rsidRDefault="00091D2A" w:rsidP="009E402C">
            <w:pPr>
              <w:pStyle w:val="TableText0"/>
              <w:keepLines/>
              <w:rPr>
                <w:b/>
                <w:bCs w:val="0"/>
              </w:rPr>
            </w:pPr>
            <w:r w:rsidRPr="00552B0C">
              <w:rPr>
                <w:b/>
                <w:bCs w:val="0"/>
              </w:rPr>
              <w:t>Adjusted proportions of mixed comparator (base case = 75% Gem+NabP/25% FOLFIRINOX)</w:t>
            </w:r>
          </w:p>
        </w:tc>
      </w:tr>
      <w:tr w:rsidR="00091D2A" w:rsidRPr="00552B0C" w14:paraId="0A725E4F" w14:textId="77777777" w:rsidTr="009E402C">
        <w:trPr>
          <w:cantSplit/>
          <w:trHeight w:val="20"/>
        </w:trPr>
        <w:tc>
          <w:tcPr>
            <w:tcW w:w="1894" w:type="pct"/>
            <w:vAlign w:val="center"/>
          </w:tcPr>
          <w:p w14:paraId="60B87718" w14:textId="77777777" w:rsidR="00091D2A" w:rsidRPr="00552B0C" w:rsidRDefault="00091D2A" w:rsidP="009E402C">
            <w:pPr>
              <w:pStyle w:val="TableText0"/>
              <w:keepLines/>
            </w:pPr>
            <w:r w:rsidRPr="00552B0C">
              <w:t xml:space="preserve">  50% Gem+NabP/50% FOLFIRINOX </w:t>
            </w:r>
          </w:p>
        </w:tc>
        <w:tc>
          <w:tcPr>
            <w:tcW w:w="777" w:type="pct"/>
          </w:tcPr>
          <w:p w14:paraId="1FBDCB62" w14:textId="6745E2D9"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4F302526" w14:textId="77777777" w:rsidR="00091D2A" w:rsidRPr="00552B0C" w:rsidRDefault="00091D2A" w:rsidP="00C81C2F">
            <w:pPr>
              <w:pStyle w:val="TableText0"/>
              <w:keepLines/>
              <w:jc w:val="center"/>
            </w:pPr>
            <w:r w:rsidRPr="00552B0C">
              <w:t>0.2041</w:t>
            </w:r>
          </w:p>
        </w:tc>
        <w:tc>
          <w:tcPr>
            <w:tcW w:w="952" w:type="pct"/>
            <w:vAlign w:val="center"/>
          </w:tcPr>
          <w:p w14:paraId="050E05A4" w14:textId="39CA8D72"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11137A" w:rsidRPr="0011137A">
              <w:rPr>
                <w:vertAlign w:val="superscript"/>
              </w:rPr>
              <w:t>4</w:t>
            </w:r>
          </w:p>
        </w:tc>
        <w:tc>
          <w:tcPr>
            <w:tcW w:w="600" w:type="pct"/>
          </w:tcPr>
          <w:p w14:paraId="05FB0819" w14:textId="40681C55" w:rsidR="00091D2A" w:rsidRPr="00552B0C" w:rsidRDefault="00091D2A" w:rsidP="00C81C2F">
            <w:pPr>
              <w:pStyle w:val="TableText0"/>
              <w:keepLines/>
              <w:jc w:val="center"/>
            </w:pPr>
            <w:r w:rsidRPr="00552B0C">
              <w:t>-</w:t>
            </w:r>
            <w:r w:rsidR="005F3BC8" w:rsidRPr="00F73F98">
              <w:rPr>
                <w:color w:val="000000"/>
                <w:spacing w:val="119"/>
                <w:shd w:val="solid" w:color="000000" w:fill="000000"/>
                <w:fitText w:val="205" w:id="-760998144"/>
                <w14:textFill>
                  <w14:solidFill>
                    <w14:srgbClr w14:val="000000">
                      <w14:alpha w14:val="100000"/>
                    </w14:srgbClr>
                  </w14:solidFill>
                </w14:textFill>
              </w:rPr>
              <w:t>|</w:t>
            </w:r>
            <w:r w:rsidR="005F3BC8" w:rsidRPr="00F73F98">
              <w:rPr>
                <w:color w:val="000000"/>
                <w:shd w:val="solid" w:color="000000" w:fill="000000"/>
                <w:fitText w:val="205" w:id="-760998144"/>
                <w14:textFill>
                  <w14:solidFill>
                    <w14:srgbClr w14:val="000000">
                      <w14:alpha w14:val="100000"/>
                    </w14:srgbClr>
                  </w14:solidFill>
                </w14:textFill>
              </w:rPr>
              <w:t>|</w:t>
            </w:r>
            <w:r w:rsidRPr="00552B0C">
              <w:t>%</w:t>
            </w:r>
          </w:p>
        </w:tc>
      </w:tr>
      <w:tr w:rsidR="00091D2A" w:rsidRPr="00552B0C" w14:paraId="24EA97EF" w14:textId="77777777" w:rsidTr="009E402C">
        <w:trPr>
          <w:cantSplit/>
          <w:trHeight w:val="20"/>
        </w:trPr>
        <w:tc>
          <w:tcPr>
            <w:tcW w:w="1894" w:type="pct"/>
            <w:vAlign w:val="center"/>
          </w:tcPr>
          <w:p w14:paraId="6098AB27" w14:textId="77777777" w:rsidR="00091D2A" w:rsidRPr="00552B0C" w:rsidRDefault="00091D2A" w:rsidP="009E402C">
            <w:pPr>
              <w:pStyle w:val="TableText0"/>
              <w:keepLines/>
            </w:pPr>
            <w:r w:rsidRPr="00552B0C">
              <w:t xml:space="preserve">  0% Gem+ NabP/100`% FOLFIRINOX </w:t>
            </w:r>
          </w:p>
        </w:tc>
        <w:tc>
          <w:tcPr>
            <w:tcW w:w="777" w:type="pct"/>
          </w:tcPr>
          <w:p w14:paraId="5BEAE8AF" w14:textId="6228FE47" w:rsidR="00091D2A" w:rsidRPr="00552B0C" w:rsidRDefault="00091D2A"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5DED6288" w14:textId="77777777" w:rsidR="00091D2A" w:rsidRPr="00552B0C" w:rsidRDefault="00091D2A" w:rsidP="00C81C2F">
            <w:pPr>
              <w:pStyle w:val="TableText0"/>
              <w:keepLines/>
              <w:jc w:val="center"/>
            </w:pPr>
            <w:r w:rsidRPr="00552B0C">
              <w:t>0.2807</w:t>
            </w:r>
          </w:p>
        </w:tc>
        <w:tc>
          <w:tcPr>
            <w:tcW w:w="952" w:type="pct"/>
            <w:vAlign w:val="center"/>
          </w:tcPr>
          <w:p w14:paraId="76E9D6E4" w14:textId="65F16698" w:rsidR="00091D2A" w:rsidRPr="00351D5B" w:rsidRDefault="00091D2A"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r w:rsidR="00351D5B">
              <w:rPr>
                <w:vertAlign w:val="superscript"/>
              </w:rPr>
              <w:t>5</w:t>
            </w:r>
          </w:p>
        </w:tc>
        <w:tc>
          <w:tcPr>
            <w:tcW w:w="600" w:type="pct"/>
          </w:tcPr>
          <w:p w14:paraId="03E5E0B8" w14:textId="0A38221E" w:rsidR="00091D2A" w:rsidRPr="00552B0C" w:rsidRDefault="00091D2A" w:rsidP="00C81C2F">
            <w:pPr>
              <w:pStyle w:val="TableText0"/>
              <w:keepLines/>
              <w:jc w:val="center"/>
            </w:pPr>
            <w:r w:rsidRPr="00552B0C">
              <w:t>-</w:t>
            </w:r>
            <w:r w:rsidR="005F3BC8" w:rsidRPr="00F73F98">
              <w:rPr>
                <w:color w:val="000000"/>
                <w:spacing w:val="119"/>
                <w:shd w:val="solid" w:color="000000" w:fill="000000"/>
                <w:fitText w:val="205" w:id="-760998143"/>
                <w14:textFill>
                  <w14:solidFill>
                    <w14:srgbClr w14:val="000000">
                      <w14:alpha w14:val="100000"/>
                    </w14:srgbClr>
                  </w14:solidFill>
                </w14:textFill>
              </w:rPr>
              <w:t>|</w:t>
            </w:r>
            <w:r w:rsidR="005F3BC8" w:rsidRPr="00F73F98">
              <w:rPr>
                <w:color w:val="000000"/>
                <w:shd w:val="solid" w:color="000000" w:fill="000000"/>
                <w:fitText w:val="205" w:id="-760998143"/>
                <w14:textFill>
                  <w14:solidFill>
                    <w14:srgbClr w14:val="000000">
                      <w14:alpha w14:val="100000"/>
                    </w14:srgbClr>
                  </w14:solidFill>
                </w14:textFill>
              </w:rPr>
              <w:t>|</w:t>
            </w:r>
            <w:r w:rsidRPr="00552B0C">
              <w:t>%</w:t>
            </w:r>
          </w:p>
        </w:tc>
      </w:tr>
      <w:tr w:rsidR="00490278" w:rsidRPr="00552B0C" w14:paraId="2DEC7834" w14:textId="77777777" w:rsidTr="009E402C">
        <w:trPr>
          <w:cantSplit/>
          <w:trHeight w:val="20"/>
        </w:trPr>
        <w:tc>
          <w:tcPr>
            <w:tcW w:w="5000" w:type="pct"/>
            <w:gridSpan w:val="5"/>
            <w:vAlign w:val="center"/>
          </w:tcPr>
          <w:p w14:paraId="2E77C2F4" w14:textId="67F0350C" w:rsidR="00FB0E41" w:rsidRPr="00552B0C" w:rsidRDefault="00775BE7" w:rsidP="009E402C">
            <w:pPr>
              <w:pStyle w:val="TableText0"/>
              <w:keepLines/>
            </w:pPr>
            <w:r w:rsidRPr="00552B0C">
              <w:rPr>
                <w:b/>
                <w:bCs w:val="0"/>
              </w:rPr>
              <w:t>NALIRIFOX assumed to be noninferior to FOLFIRINOX and a</w:t>
            </w:r>
            <w:r w:rsidR="00FB0E41" w:rsidRPr="00552B0C">
              <w:rPr>
                <w:b/>
                <w:bCs w:val="0"/>
              </w:rPr>
              <w:t xml:space="preserve">djusted proportions of mixed comparator </w:t>
            </w:r>
          </w:p>
        </w:tc>
      </w:tr>
      <w:tr w:rsidR="00490278" w:rsidRPr="00552B0C" w14:paraId="6DE4F6F5" w14:textId="77777777" w:rsidTr="009E402C">
        <w:trPr>
          <w:cantSplit/>
          <w:trHeight w:val="20"/>
        </w:trPr>
        <w:tc>
          <w:tcPr>
            <w:tcW w:w="1894" w:type="pct"/>
            <w:vAlign w:val="center"/>
          </w:tcPr>
          <w:p w14:paraId="1E7C19AD" w14:textId="3823350E" w:rsidR="00775BE7" w:rsidRPr="00552B0C" w:rsidRDefault="00775BE7" w:rsidP="009E402C">
            <w:pPr>
              <w:pStyle w:val="TableText0"/>
              <w:keepLines/>
            </w:pPr>
            <w:r w:rsidRPr="00552B0C">
              <w:t xml:space="preserve">  75% Gem+NabP/25% FOLFIRINOX</w:t>
            </w:r>
          </w:p>
        </w:tc>
        <w:tc>
          <w:tcPr>
            <w:tcW w:w="777" w:type="pct"/>
            <w:vAlign w:val="center"/>
          </w:tcPr>
          <w:p w14:paraId="19F1C8CF" w14:textId="33999409" w:rsidR="00775BE7" w:rsidRPr="00552B0C" w:rsidRDefault="00775BE7"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vAlign w:val="center"/>
          </w:tcPr>
          <w:p w14:paraId="6BB16132" w14:textId="5FC498E8" w:rsidR="00775BE7" w:rsidRPr="00552B0C" w:rsidRDefault="00775BE7" w:rsidP="00C81C2F">
            <w:pPr>
              <w:pStyle w:val="TableText0"/>
              <w:keepLines/>
              <w:jc w:val="center"/>
            </w:pPr>
            <w:r w:rsidRPr="00552B0C">
              <w:t>0.0956</w:t>
            </w:r>
          </w:p>
        </w:tc>
        <w:tc>
          <w:tcPr>
            <w:tcW w:w="952" w:type="pct"/>
            <w:vAlign w:val="center"/>
          </w:tcPr>
          <w:p w14:paraId="0EEABD9E" w14:textId="3F0FF262" w:rsidR="00775BE7" w:rsidRPr="00552B0C" w:rsidRDefault="00775BE7"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r w:rsidR="0011137A">
              <w:rPr>
                <w:vertAlign w:val="superscript"/>
              </w:rPr>
              <w:t>3</w:t>
            </w:r>
          </w:p>
        </w:tc>
        <w:tc>
          <w:tcPr>
            <w:tcW w:w="600" w:type="pct"/>
            <w:vAlign w:val="center"/>
          </w:tcPr>
          <w:p w14:paraId="5E791304" w14:textId="6353C4C2" w:rsidR="00775BE7" w:rsidRPr="00552B0C" w:rsidRDefault="00775BE7" w:rsidP="00C81C2F">
            <w:pPr>
              <w:pStyle w:val="TableText0"/>
              <w:keepLines/>
              <w:jc w:val="center"/>
            </w:pPr>
            <w:r w:rsidRPr="00552B0C">
              <w:t>+</w:t>
            </w:r>
            <w:r w:rsidR="005F3BC8" w:rsidRPr="00F73F98">
              <w:rPr>
                <w:color w:val="000000"/>
                <w:spacing w:val="49"/>
                <w:shd w:val="solid" w:color="000000" w:fill="000000"/>
                <w:fitText w:val="226" w:id="-760998142"/>
                <w14:textFill>
                  <w14:solidFill>
                    <w14:srgbClr w14:val="000000">
                      <w14:alpha w14:val="100000"/>
                    </w14:srgbClr>
                  </w14:solidFill>
                </w14:textFill>
              </w:rPr>
              <w:t>||</w:t>
            </w:r>
            <w:r w:rsidR="005F3BC8" w:rsidRPr="00F73F98">
              <w:rPr>
                <w:color w:val="000000"/>
                <w:spacing w:val="1"/>
                <w:shd w:val="solid" w:color="000000" w:fill="000000"/>
                <w:fitText w:val="226" w:id="-760998142"/>
                <w14:textFill>
                  <w14:solidFill>
                    <w14:srgbClr w14:val="000000">
                      <w14:alpha w14:val="100000"/>
                    </w14:srgbClr>
                  </w14:solidFill>
                </w14:textFill>
              </w:rPr>
              <w:t>|</w:t>
            </w:r>
            <w:r w:rsidRPr="00552B0C">
              <w:t>%</w:t>
            </w:r>
          </w:p>
        </w:tc>
      </w:tr>
      <w:tr w:rsidR="00490278" w:rsidRPr="00552B0C" w14:paraId="6E4AD003" w14:textId="77777777" w:rsidTr="009E402C">
        <w:trPr>
          <w:cantSplit/>
          <w:trHeight w:val="20"/>
        </w:trPr>
        <w:tc>
          <w:tcPr>
            <w:tcW w:w="1894" w:type="pct"/>
            <w:vAlign w:val="center"/>
          </w:tcPr>
          <w:p w14:paraId="23027E27" w14:textId="6D6B5305" w:rsidR="00775BE7" w:rsidRPr="00552B0C" w:rsidRDefault="00775BE7" w:rsidP="009E402C">
            <w:pPr>
              <w:pStyle w:val="TableText0"/>
              <w:keepLines/>
            </w:pPr>
            <w:r w:rsidRPr="00552B0C">
              <w:t xml:space="preserve">  50% Gem+NabP/50% FOLFIRINOX</w:t>
            </w:r>
          </w:p>
        </w:tc>
        <w:tc>
          <w:tcPr>
            <w:tcW w:w="777" w:type="pct"/>
          </w:tcPr>
          <w:p w14:paraId="31AE64AD" w14:textId="5D858455" w:rsidR="00775BE7" w:rsidRPr="00552B0C" w:rsidRDefault="00840D9F"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0A5917C5" w14:textId="699BDC1D" w:rsidR="00775BE7" w:rsidRPr="00552B0C" w:rsidRDefault="00840D9F" w:rsidP="00C81C2F">
            <w:pPr>
              <w:pStyle w:val="TableText0"/>
              <w:keepLines/>
              <w:jc w:val="center"/>
            </w:pPr>
            <w:r w:rsidRPr="00552B0C">
              <w:t>0.0637</w:t>
            </w:r>
          </w:p>
        </w:tc>
        <w:tc>
          <w:tcPr>
            <w:tcW w:w="952" w:type="pct"/>
            <w:vAlign w:val="center"/>
          </w:tcPr>
          <w:p w14:paraId="16F188A8" w14:textId="58FF5261" w:rsidR="00775BE7" w:rsidRPr="00A73815" w:rsidRDefault="00840D9F"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r w:rsidR="00A73815">
              <w:rPr>
                <w:vertAlign w:val="superscript"/>
              </w:rPr>
              <w:t>6</w:t>
            </w:r>
          </w:p>
        </w:tc>
        <w:tc>
          <w:tcPr>
            <w:tcW w:w="600" w:type="pct"/>
          </w:tcPr>
          <w:p w14:paraId="4B144F53" w14:textId="3BA06099" w:rsidR="00775BE7" w:rsidRPr="00552B0C" w:rsidRDefault="00840D9F" w:rsidP="00C81C2F">
            <w:pPr>
              <w:pStyle w:val="TableText0"/>
              <w:keepLines/>
              <w:jc w:val="center"/>
            </w:pPr>
            <w:r w:rsidRPr="00552B0C">
              <w:t>+</w:t>
            </w:r>
            <w:r w:rsidR="005F3BC8" w:rsidRPr="00F73F98">
              <w:rPr>
                <w:color w:val="000000"/>
                <w:spacing w:val="49"/>
                <w:shd w:val="solid" w:color="000000" w:fill="000000"/>
                <w:fitText w:val="226" w:id="-760998141"/>
                <w14:textFill>
                  <w14:solidFill>
                    <w14:srgbClr w14:val="000000">
                      <w14:alpha w14:val="100000"/>
                    </w14:srgbClr>
                  </w14:solidFill>
                </w14:textFill>
              </w:rPr>
              <w:t>||</w:t>
            </w:r>
            <w:r w:rsidR="005F3BC8" w:rsidRPr="00F73F98">
              <w:rPr>
                <w:color w:val="000000"/>
                <w:spacing w:val="1"/>
                <w:shd w:val="solid" w:color="000000" w:fill="000000"/>
                <w:fitText w:val="226" w:id="-760998141"/>
                <w14:textFill>
                  <w14:solidFill>
                    <w14:srgbClr w14:val="000000">
                      <w14:alpha w14:val="100000"/>
                    </w14:srgbClr>
                  </w14:solidFill>
                </w14:textFill>
              </w:rPr>
              <w:t>|</w:t>
            </w:r>
            <w:r w:rsidRPr="00552B0C">
              <w:t>%</w:t>
            </w:r>
          </w:p>
        </w:tc>
      </w:tr>
      <w:tr w:rsidR="00490278" w:rsidRPr="00552B0C" w14:paraId="7F496775" w14:textId="77777777" w:rsidTr="009E402C">
        <w:trPr>
          <w:cantSplit/>
          <w:trHeight w:val="20"/>
        </w:trPr>
        <w:tc>
          <w:tcPr>
            <w:tcW w:w="1894" w:type="pct"/>
            <w:vAlign w:val="center"/>
          </w:tcPr>
          <w:p w14:paraId="397F20CB" w14:textId="195EFC58" w:rsidR="00775BE7" w:rsidRPr="00552B0C" w:rsidRDefault="00775BE7" w:rsidP="009E402C">
            <w:pPr>
              <w:pStyle w:val="TableText0"/>
              <w:keepLines/>
            </w:pPr>
            <w:r w:rsidRPr="00552B0C">
              <w:t xml:space="preserve">  25% Gem+NabP/75% FOLFIRINOX</w:t>
            </w:r>
          </w:p>
        </w:tc>
        <w:tc>
          <w:tcPr>
            <w:tcW w:w="777" w:type="pct"/>
          </w:tcPr>
          <w:p w14:paraId="5D19ECED" w14:textId="522D5365" w:rsidR="00775BE7" w:rsidRPr="00552B0C" w:rsidRDefault="00840D9F"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46A3307D" w14:textId="67807606" w:rsidR="00775BE7" w:rsidRPr="00552B0C" w:rsidRDefault="00840D9F" w:rsidP="00C81C2F">
            <w:pPr>
              <w:pStyle w:val="TableText0"/>
              <w:keepLines/>
              <w:jc w:val="center"/>
            </w:pPr>
            <w:r w:rsidRPr="00552B0C">
              <w:t>0.0319</w:t>
            </w:r>
          </w:p>
        </w:tc>
        <w:tc>
          <w:tcPr>
            <w:tcW w:w="952" w:type="pct"/>
            <w:vAlign w:val="center"/>
          </w:tcPr>
          <w:p w14:paraId="7D8816EE" w14:textId="3155CDD9" w:rsidR="00775BE7" w:rsidRPr="002A4009" w:rsidRDefault="00840D9F" w:rsidP="00C81C2F">
            <w:pPr>
              <w:pStyle w:val="TableText0"/>
              <w:keepLines/>
              <w:jc w:val="center"/>
              <w:rPr>
                <w:vertAlign w:val="superscript"/>
              </w:rPr>
            </w:pPr>
            <w:r w:rsidRPr="00552B0C">
              <w:t>$</w:t>
            </w:r>
            <w:r w:rsidR="005F3BC8" w:rsidRPr="005F3BC8">
              <w:rPr>
                <w:color w:val="000000"/>
                <w:shd w:val="solid" w:color="000000" w:fill="000000"/>
                <w14:textFill>
                  <w14:solidFill>
                    <w14:srgbClr w14:val="000000">
                      <w14:alpha w14:val="100000"/>
                    </w14:srgbClr>
                  </w14:solidFill>
                </w14:textFill>
              </w:rPr>
              <w:t>|</w:t>
            </w:r>
            <w:r w:rsidR="002A4009">
              <w:rPr>
                <w:vertAlign w:val="superscript"/>
              </w:rPr>
              <w:t>7</w:t>
            </w:r>
          </w:p>
        </w:tc>
        <w:tc>
          <w:tcPr>
            <w:tcW w:w="600" w:type="pct"/>
          </w:tcPr>
          <w:p w14:paraId="68E49B66" w14:textId="66EBF216" w:rsidR="00775BE7" w:rsidRPr="00552B0C" w:rsidRDefault="00840D9F" w:rsidP="00C81C2F">
            <w:pPr>
              <w:pStyle w:val="TableText0"/>
              <w:keepLines/>
              <w:jc w:val="center"/>
            </w:pPr>
            <w:r w:rsidRPr="00552B0C">
              <w:t>+</w:t>
            </w:r>
            <w:r w:rsidR="005F3BC8" w:rsidRPr="00F73F98">
              <w:rPr>
                <w:color w:val="000000"/>
                <w:spacing w:val="49"/>
                <w:shd w:val="solid" w:color="000000" w:fill="000000"/>
                <w:fitText w:val="226" w:id="-760998140"/>
                <w14:textFill>
                  <w14:solidFill>
                    <w14:srgbClr w14:val="000000">
                      <w14:alpha w14:val="100000"/>
                    </w14:srgbClr>
                  </w14:solidFill>
                </w14:textFill>
              </w:rPr>
              <w:t>||</w:t>
            </w:r>
            <w:r w:rsidR="005F3BC8" w:rsidRPr="00F73F98">
              <w:rPr>
                <w:color w:val="000000"/>
                <w:spacing w:val="1"/>
                <w:shd w:val="solid" w:color="000000" w:fill="000000"/>
                <w:fitText w:val="226" w:id="-760998140"/>
                <w14:textFill>
                  <w14:solidFill>
                    <w14:srgbClr w14:val="000000">
                      <w14:alpha w14:val="100000"/>
                    </w14:srgbClr>
                  </w14:solidFill>
                </w14:textFill>
              </w:rPr>
              <w:t>|</w:t>
            </w:r>
            <w:r w:rsidRPr="00552B0C">
              <w:t>%</w:t>
            </w:r>
          </w:p>
        </w:tc>
      </w:tr>
      <w:tr w:rsidR="00490278" w:rsidRPr="00552B0C" w14:paraId="35435081" w14:textId="77777777" w:rsidTr="009E402C">
        <w:trPr>
          <w:cantSplit/>
          <w:trHeight w:val="20"/>
        </w:trPr>
        <w:tc>
          <w:tcPr>
            <w:tcW w:w="1894" w:type="pct"/>
            <w:vAlign w:val="center"/>
          </w:tcPr>
          <w:p w14:paraId="0C6843CD" w14:textId="1909193E" w:rsidR="00775BE7" w:rsidRPr="00552B0C" w:rsidRDefault="00775BE7" w:rsidP="009E402C">
            <w:pPr>
              <w:pStyle w:val="TableText0"/>
              <w:keepLines/>
            </w:pPr>
            <w:r w:rsidRPr="00552B0C">
              <w:t xml:space="preserve">  0% Gem+ NabP/100% FOLFIRINOX </w:t>
            </w:r>
          </w:p>
        </w:tc>
        <w:tc>
          <w:tcPr>
            <w:tcW w:w="777" w:type="pct"/>
            <w:vAlign w:val="center"/>
          </w:tcPr>
          <w:p w14:paraId="16FDBEC1" w14:textId="3DA5546A" w:rsidR="00775BE7" w:rsidRPr="00552B0C" w:rsidRDefault="00775BE7" w:rsidP="00C81C2F">
            <w:pPr>
              <w:pStyle w:val="TableText0"/>
              <w:keepLines/>
              <w:jc w:val="center"/>
            </w:pPr>
            <w:r w:rsidRPr="00552B0C">
              <w:t>$</w:t>
            </w:r>
            <w:r w:rsidR="005F3BC8" w:rsidRPr="005F3BC8">
              <w:rPr>
                <w:color w:val="000000"/>
                <w:shd w:val="solid" w:color="000000" w:fill="000000"/>
                <w14:textFill>
                  <w14:solidFill>
                    <w14:srgbClr w14:val="000000">
                      <w14:alpha w14:val="100000"/>
                    </w14:srgbClr>
                  </w14:solidFill>
                </w14:textFill>
              </w:rPr>
              <w:t>|</w:t>
            </w:r>
          </w:p>
        </w:tc>
        <w:tc>
          <w:tcPr>
            <w:tcW w:w="777" w:type="pct"/>
          </w:tcPr>
          <w:p w14:paraId="1F8BBD32" w14:textId="1BA08CF7" w:rsidR="00775BE7" w:rsidRPr="00552B0C" w:rsidRDefault="00840D9F" w:rsidP="00C81C2F">
            <w:pPr>
              <w:pStyle w:val="TableText0"/>
              <w:keepLines/>
              <w:jc w:val="center"/>
            </w:pPr>
            <w:r w:rsidRPr="00552B0C">
              <w:t>0.0000</w:t>
            </w:r>
          </w:p>
        </w:tc>
        <w:tc>
          <w:tcPr>
            <w:tcW w:w="952" w:type="pct"/>
            <w:vAlign w:val="center"/>
          </w:tcPr>
          <w:p w14:paraId="4EE5DACA" w14:textId="1D5BF5BF" w:rsidR="00775BE7" w:rsidRPr="00552B0C" w:rsidRDefault="00840D9F" w:rsidP="00C81C2F">
            <w:pPr>
              <w:pStyle w:val="TableText0"/>
              <w:keepLines/>
              <w:jc w:val="center"/>
            </w:pPr>
            <w:r w:rsidRPr="00552B0C">
              <w:t>NA</w:t>
            </w:r>
          </w:p>
        </w:tc>
        <w:tc>
          <w:tcPr>
            <w:tcW w:w="600" w:type="pct"/>
          </w:tcPr>
          <w:p w14:paraId="630756FD" w14:textId="07D380EA" w:rsidR="00775BE7" w:rsidRPr="00552B0C" w:rsidRDefault="00840D9F" w:rsidP="00C81C2F">
            <w:pPr>
              <w:pStyle w:val="TableText0"/>
              <w:keepLines/>
              <w:jc w:val="center"/>
            </w:pPr>
            <w:r w:rsidRPr="00552B0C">
              <w:t>NA</w:t>
            </w:r>
          </w:p>
        </w:tc>
      </w:tr>
    </w:tbl>
    <w:p w14:paraId="35E54954" w14:textId="77777777" w:rsidR="00091D2A" w:rsidRPr="006A799E" w:rsidRDefault="00091D2A" w:rsidP="004D253C">
      <w:pPr>
        <w:pStyle w:val="FooterTableFigure"/>
        <w:keepNext/>
        <w:keepLines/>
        <w:spacing w:after="0"/>
        <w:rPr>
          <w:rStyle w:val="CommentReference"/>
        </w:rPr>
      </w:pPr>
      <w:r w:rsidRPr="006A799E">
        <w:t>Source: Table 3.7, p72 of the resubmission, additional sensitivity analyses compiled during the evaluation.</w:t>
      </w:r>
    </w:p>
    <w:p w14:paraId="383AE77E" w14:textId="03038039" w:rsidR="00091D2A" w:rsidRPr="006A799E" w:rsidRDefault="00091D2A" w:rsidP="004D253C">
      <w:pPr>
        <w:pStyle w:val="Footnotetotablesfigures"/>
        <w:keepNext/>
        <w:keepLines/>
        <w:spacing w:after="0"/>
        <w:jc w:val="both"/>
        <w:rPr>
          <w:rFonts w:ascii="Arial Narrow" w:hAnsi="Arial Narrow"/>
        </w:rPr>
      </w:pPr>
      <w:r w:rsidRPr="006A799E">
        <w:rPr>
          <w:rFonts w:ascii="Arial Narrow" w:hAnsi="Arial Narrow"/>
        </w:rPr>
        <w:t xml:space="preserve">Abbreviations: AU, Australian; ESC, Economics Sub Committee; EQ-5D-5L, EuroQol 5-dimension health status questionnaire (5 level); FOLFIRINOX, </w:t>
      </w:r>
      <w:r w:rsidRPr="006A799E">
        <w:rPr>
          <w:rStyle w:val="CommentReference"/>
          <w:b w:val="0"/>
          <w:bCs/>
          <w:sz w:val="18"/>
          <w:szCs w:val="18"/>
        </w:rPr>
        <w:t>fluorouracil, folinic acid, irinotecan, oxaliplatin</w:t>
      </w:r>
      <w:r w:rsidRPr="006A799E">
        <w:rPr>
          <w:rFonts w:ascii="Arial Narrow" w:hAnsi="Arial Narrow"/>
        </w:rPr>
        <w:t xml:space="preserve">; Gem+NabP, gemcitabine plus nanoparticle albumin-bound paclitaxel; HR, hazard ratio; KM, Kaplan-Meier; MAIC, matching-adjusted indirect treatment comparison; </w:t>
      </w:r>
      <w:r w:rsidR="00ED4418" w:rsidRPr="006A799E">
        <w:rPr>
          <w:rFonts w:ascii="Arial Narrow" w:hAnsi="Arial Narrow"/>
        </w:rPr>
        <w:t xml:space="preserve">NA, not applicable; </w:t>
      </w:r>
      <w:r w:rsidRPr="006A799E">
        <w:rPr>
          <w:rFonts w:ascii="Arial Narrow" w:hAnsi="Arial Narrow"/>
        </w:rPr>
        <w:t xml:space="preserve">NALIRIFOX, </w:t>
      </w:r>
      <w:r w:rsidRPr="006A799E">
        <w:rPr>
          <w:rStyle w:val="CommentReference"/>
          <w:b w:val="0"/>
          <w:bCs/>
          <w:sz w:val="18"/>
          <w:szCs w:val="18"/>
        </w:rPr>
        <w:t>nanoliposomal irinotecan in combination with 5-fluorouracil, leucovorin/folinic acid, and oxaliplatin</w:t>
      </w:r>
      <w:r w:rsidRPr="006A799E">
        <w:rPr>
          <w:rFonts w:ascii="Arial Narrow" w:hAnsi="Arial Narrow"/>
        </w:rPr>
        <w:t>; OS, overall survival; PFS, progression-free survival; QALY, quality-adjusted life year; UK, United Kingdom.</w:t>
      </w:r>
    </w:p>
    <w:p w14:paraId="46CFADA8" w14:textId="7D910F42" w:rsidR="00091D2A" w:rsidRPr="006A799E" w:rsidRDefault="00091D2A" w:rsidP="004D253C">
      <w:pPr>
        <w:pStyle w:val="Footnotetotablesfigures"/>
        <w:keepNext/>
        <w:keepLines/>
        <w:spacing w:after="0"/>
        <w:jc w:val="both"/>
        <w:rPr>
          <w:rFonts w:ascii="Arial Narrow" w:eastAsia="Calibri" w:hAnsi="Arial Narrow"/>
          <w:szCs w:val="20"/>
        </w:rPr>
      </w:pPr>
      <w:bookmarkStart w:id="86" w:name="_Hlk176533751"/>
      <w:r w:rsidRPr="006A799E">
        <w:rPr>
          <w:rFonts w:ascii="Arial Narrow" w:hAnsi="Arial Narrow"/>
        </w:rPr>
        <w:t>Note: Results in italics represent sensitivity analyses undertaking during the evaluation.</w:t>
      </w:r>
      <w:r w:rsidRPr="006A799E">
        <w:rPr>
          <w:rFonts w:ascii="Arial Narrow" w:eastAsia="Calibri" w:hAnsi="Arial Narrow"/>
          <w:szCs w:val="20"/>
        </w:rPr>
        <w:t xml:space="preserve"> </w:t>
      </w:r>
    </w:p>
    <w:bookmarkEnd w:id="86"/>
    <w:p w14:paraId="1FEA3BAB" w14:textId="77777777" w:rsidR="00025D6C" w:rsidRPr="006A799E" w:rsidRDefault="00025D6C" w:rsidP="006C554D">
      <w:pPr>
        <w:pStyle w:val="TableFigureFooter"/>
      </w:pPr>
      <w:r w:rsidRPr="006A799E">
        <w:t>Note: The SEIGE trial was a Phase II, dose-scheduling trial of Gem+NabP with EQ-5D-5L data captured over a period of 12 months.</w:t>
      </w:r>
    </w:p>
    <w:p w14:paraId="7A41C0A8" w14:textId="77777777" w:rsidR="004D253C" w:rsidRPr="006A799E" w:rsidRDefault="00025D6C" w:rsidP="006C554D">
      <w:pPr>
        <w:pStyle w:val="TableFigureFooter"/>
      </w:pPr>
      <w:r w:rsidRPr="006A799E">
        <w:t>Romanus et al, 2012 was a health-related quality of life study of US patients with advanced pancreatic cancer deemed not appropriate for surgical resection. Utility values adjusted to the UK population were from NICE’s assessment of Gem+NabP.</w:t>
      </w:r>
    </w:p>
    <w:p w14:paraId="1C1182E9" w14:textId="37C42164" w:rsidR="00633A91" w:rsidRPr="006A799E" w:rsidRDefault="00633A91" w:rsidP="006C554D">
      <w:pPr>
        <w:pStyle w:val="TableFigureFooter"/>
        <w:rPr>
          <w:i/>
          <w:iCs/>
        </w:rPr>
      </w:pPr>
      <w:r w:rsidRPr="006A799E">
        <w:rPr>
          <w:i/>
          <w:iCs/>
        </w:rPr>
        <w:t>The redacted values correspond to the following ranges:</w:t>
      </w:r>
      <w:r w:rsidR="008D0998" w:rsidRPr="006A799E">
        <w:rPr>
          <w:i/>
          <w:iCs/>
        </w:rPr>
        <w:t xml:space="preserve"> </w:t>
      </w:r>
    </w:p>
    <w:p w14:paraId="00F575AA" w14:textId="4CB8AF07" w:rsidR="00633A91" w:rsidRPr="006A799E" w:rsidRDefault="00891314" w:rsidP="006C554D">
      <w:pPr>
        <w:pStyle w:val="TableFigureFooter"/>
        <w:rPr>
          <w:i/>
          <w:iCs/>
        </w:rPr>
      </w:pPr>
      <w:r w:rsidRPr="006A799E">
        <w:rPr>
          <w:i/>
          <w:iCs/>
          <w:vertAlign w:val="superscript"/>
        </w:rPr>
        <w:t>1</w:t>
      </w:r>
      <w:r w:rsidR="008D0998" w:rsidRPr="006A799E">
        <w:rPr>
          <w:i/>
          <w:iCs/>
        </w:rPr>
        <w:t xml:space="preserve"> </w:t>
      </w:r>
      <w:r w:rsidR="00D8409A" w:rsidRPr="006A799E">
        <w:rPr>
          <w:i/>
          <w:iCs/>
        </w:rPr>
        <w:t>$45,000</w:t>
      </w:r>
      <w:r w:rsidR="00D8409A" w:rsidRPr="006A799E">
        <w:rPr>
          <w:rFonts w:ascii="Arial" w:hAnsi="Arial"/>
          <w:i/>
          <w:iCs/>
        </w:rPr>
        <w:t> </w:t>
      </w:r>
      <w:r w:rsidR="00D8409A" w:rsidRPr="006A799E">
        <w:rPr>
          <w:i/>
          <w:iCs/>
        </w:rPr>
        <w:t>to</w:t>
      </w:r>
      <w:r w:rsidR="00D8409A" w:rsidRPr="006A799E">
        <w:rPr>
          <w:rFonts w:ascii="Arial" w:hAnsi="Arial"/>
          <w:i/>
          <w:iCs/>
        </w:rPr>
        <w:t> </w:t>
      </w:r>
      <w:r w:rsidR="00D8409A" w:rsidRPr="006A799E">
        <w:rPr>
          <w:i/>
          <w:iCs/>
        </w:rPr>
        <w:t>&lt;</w:t>
      </w:r>
      <w:r w:rsidR="00D8409A" w:rsidRPr="006A799E">
        <w:rPr>
          <w:rFonts w:ascii="Arial" w:hAnsi="Arial"/>
          <w:i/>
          <w:iCs/>
        </w:rPr>
        <w:t> </w:t>
      </w:r>
      <w:r w:rsidR="00D8409A" w:rsidRPr="006A799E">
        <w:rPr>
          <w:i/>
          <w:iCs/>
        </w:rPr>
        <w:t>$55,000 </w:t>
      </w:r>
    </w:p>
    <w:p w14:paraId="63AF9DE6" w14:textId="517EF499" w:rsidR="00633A91" w:rsidRPr="006A799E" w:rsidRDefault="00955EBE" w:rsidP="006C554D">
      <w:pPr>
        <w:pStyle w:val="TableFigureFooter"/>
        <w:rPr>
          <w:i/>
          <w:iCs/>
        </w:rPr>
      </w:pPr>
      <w:r w:rsidRPr="006A799E">
        <w:rPr>
          <w:i/>
          <w:iCs/>
          <w:vertAlign w:val="superscript"/>
        </w:rPr>
        <w:t>2</w:t>
      </w:r>
      <w:r w:rsidR="008D0998" w:rsidRPr="006A799E">
        <w:rPr>
          <w:i/>
          <w:iCs/>
        </w:rPr>
        <w:t xml:space="preserve"> </w:t>
      </w:r>
      <w:r w:rsidR="00C31253" w:rsidRPr="006A799E">
        <w:rPr>
          <w:i/>
          <w:iCs/>
        </w:rPr>
        <w:t>$55,000</w:t>
      </w:r>
      <w:r w:rsidR="00C31253" w:rsidRPr="006A799E">
        <w:rPr>
          <w:rFonts w:ascii="Arial" w:hAnsi="Arial"/>
          <w:i/>
          <w:iCs/>
        </w:rPr>
        <w:t> </w:t>
      </w:r>
      <w:r w:rsidR="00C31253" w:rsidRPr="006A799E">
        <w:rPr>
          <w:i/>
          <w:iCs/>
        </w:rPr>
        <w:t>to</w:t>
      </w:r>
      <w:r w:rsidR="00C31253" w:rsidRPr="006A799E">
        <w:rPr>
          <w:rFonts w:ascii="Arial" w:hAnsi="Arial"/>
          <w:i/>
          <w:iCs/>
        </w:rPr>
        <w:t> </w:t>
      </w:r>
      <w:r w:rsidR="00C31253" w:rsidRPr="006A799E">
        <w:rPr>
          <w:i/>
          <w:iCs/>
        </w:rPr>
        <w:t>&lt;</w:t>
      </w:r>
      <w:r w:rsidR="00C31253" w:rsidRPr="006A799E">
        <w:rPr>
          <w:rFonts w:ascii="Arial" w:hAnsi="Arial"/>
          <w:i/>
          <w:iCs/>
        </w:rPr>
        <w:t> </w:t>
      </w:r>
      <w:r w:rsidR="00C31253" w:rsidRPr="006A799E">
        <w:rPr>
          <w:i/>
          <w:iCs/>
        </w:rPr>
        <w:t>$75,000</w:t>
      </w:r>
    </w:p>
    <w:p w14:paraId="634961A9" w14:textId="368DC4B9" w:rsidR="00633A91" w:rsidRPr="006A799E" w:rsidRDefault="0010303A" w:rsidP="006C554D">
      <w:pPr>
        <w:pStyle w:val="TableFigureFooter"/>
        <w:rPr>
          <w:i/>
          <w:iCs/>
        </w:rPr>
      </w:pPr>
      <w:r w:rsidRPr="006A799E">
        <w:rPr>
          <w:i/>
          <w:iCs/>
          <w:vertAlign w:val="superscript"/>
        </w:rPr>
        <w:t>3</w:t>
      </w:r>
      <w:r w:rsidR="008D0998" w:rsidRPr="006A799E">
        <w:rPr>
          <w:i/>
          <w:iCs/>
        </w:rPr>
        <w:t xml:space="preserve"> </w:t>
      </w:r>
      <w:r w:rsidR="00212F6C" w:rsidRPr="006A799E">
        <w:rPr>
          <w:i/>
          <w:iCs/>
        </w:rPr>
        <w:t>$75,000</w:t>
      </w:r>
      <w:r w:rsidR="00212F6C" w:rsidRPr="006A799E">
        <w:rPr>
          <w:rFonts w:ascii="Arial" w:hAnsi="Arial"/>
          <w:i/>
          <w:iCs/>
        </w:rPr>
        <w:t> </w:t>
      </w:r>
      <w:r w:rsidR="00212F6C" w:rsidRPr="006A799E">
        <w:rPr>
          <w:i/>
          <w:iCs/>
        </w:rPr>
        <w:t>to</w:t>
      </w:r>
      <w:r w:rsidR="00212F6C" w:rsidRPr="006A799E">
        <w:rPr>
          <w:rFonts w:ascii="Arial" w:hAnsi="Arial"/>
          <w:i/>
          <w:iCs/>
        </w:rPr>
        <w:t> </w:t>
      </w:r>
      <w:r w:rsidR="00212F6C" w:rsidRPr="006A799E">
        <w:rPr>
          <w:i/>
          <w:iCs/>
        </w:rPr>
        <w:t>&lt;</w:t>
      </w:r>
      <w:r w:rsidR="00212F6C" w:rsidRPr="006A799E">
        <w:rPr>
          <w:rFonts w:ascii="Arial" w:hAnsi="Arial"/>
          <w:i/>
          <w:iCs/>
        </w:rPr>
        <w:t> </w:t>
      </w:r>
      <w:r w:rsidR="00212F6C" w:rsidRPr="006A799E">
        <w:rPr>
          <w:i/>
          <w:iCs/>
        </w:rPr>
        <w:t>$95,000 </w:t>
      </w:r>
    </w:p>
    <w:p w14:paraId="6D882F11" w14:textId="3C7DA4DA" w:rsidR="00DF0759" w:rsidRPr="006A799E" w:rsidRDefault="00DF0759" w:rsidP="006C554D">
      <w:pPr>
        <w:pStyle w:val="TableFigureFooter"/>
        <w:rPr>
          <w:i/>
          <w:iCs/>
          <w:vertAlign w:val="superscript"/>
        </w:rPr>
      </w:pPr>
      <w:r w:rsidRPr="006A799E">
        <w:rPr>
          <w:i/>
          <w:iCs/>
          <w:vertAlign w:val="superscript"/>
        </w:rPr>
        <w:t>4</w:t>
      </w:r>
      <w:r w:rsidR="008D0998" w:rsidRPr="006A799E">
        <w:rPr>
          <w:i/>
          <w:iCs/>
          <w:vertAlign w:val="superscript"/>
        </w:rPr>
        <w:t xml:space="preserve"> </w:t>
      </w:r>
      <w:r w:rsidR="00F1589D" w:rsidRPr="006A799E">
        <w:rPr>
          <w:i/>
          <w:iCs/>
        </w:rPr>
        <w:t>$35,000 to &lt; $45,000</w:t>
      </w:r>
    </w:p>
    <w:p w14:paraId="11348549" w14:textId="0148803D" w:rsidR="00633A91" w:rsidRPr="006A799E" w:rsidRDefault="00DF0759" w:rsidP="006C554D">
      <w:pPr>
        <w:pStyle w:val="TableFigureFooter"/>
        <w:rPr>
          <w:i/>
          <w:iCs/>
        </w:rPr>
      </w:pPr>
      <w:r w:rsidRPr="006A799E">
        <w:rPr>
          <w:i/>
          <w:iCs/>
          <w:vertAlign w:val="superscript"/>
        </w:rPr>
        <w:t>5</w:t>
      </w:r>
      <w:r w:rsidR="00633A91" w:rsidRPr="006A799E">
        <w:rPr>
          <w:i/>
          <w:iCs/>
        </w:rPr>
        <w:t> </w:t>
      </w:r>
      <w:r w:rsidR="00351D5B" w:rsidRPr="006A799E">
        <w:rPr>
          <w:i/>
          <w:iCs/>
        </w:rPr>
        <w:t>$25,000</w:t>
      </w:r>
      <w:r w:rsidR="00351D5B" w:rsidRPr="006A799E">
        <w:rPr>
          <w:rFonts w:ascii="Arial" w:hAnsi="Arial"/>
          <w:i/>
          <w:iCs/>
        </w:rPr>
        <w:t> </w:t>
      </w:r>
      <w:r w:rsidR="00351D5B" w:rsidRPr="006A799E">
        <w:rPr>
          <w:i/>
          <w:iCs/>
        </w:rPr>
        <w:t>to</w:t>
      </w:r>
      <w:r w:rsidR="00351D5B" w:rsidRPr="006A799E">
        <w:rPr>
          <w:rFonts w:ascii="Arial" w:hAnsi="Arial"/>
          <w:i/>
          <w:iCs/>
        </w:rPr>
        <w:t> </w:t>
      </w:r>
      <w:r w:rsidR="00351D5B" w:rsidRPr="006A799E">
        <w:rPr>
          <w:i/>
          <w:iCs/>
        </w:rPr>
        <w:t>&lt;</w:t>
      </w:r>
      <w:r w:rsidR="00351D5B" w:rsidRPr="006A799E">
        <w:rPr>
          <w:rFonts w:ascii="Arial" w:hAnsi="Arial"/>
          <w:i/>
          <w:iCs/>
        </w:rPr>
        <w:t> </w:t>
      </w:r>
      <w:r w:rsidR="00351D5B" w:rsidRPr="006A799E">
        <w:rPr>
          <w:i/>
          <w:iCs/>
        </w:rPr>
        <w:t>$35,000</w:t>
      </w:r>
    </w:p>
    <w:p w14:paraId="13D05A66" w14:textId="77777777" w:rsidR="004D253C" w:rsidRPr="006A799E" w:rsidRDefault="002F0CC3" w:rsidP="006C554D">
      <w:pPr>
        <w:pStyle w:val="TableFigureFooter"/>
        <w:rPr>
          <w:i/>
          <w:iCs/>
        </w:rPr>
      </w:pPr>
      <w:r w:rsidRPr="006A799E">
        <w:rPr>
          <w:i/>
          <w:iCs/>
          <w:vertAlign w:val="superscript"/>
        </w:rPr>
        <w:t>6</w:t>
      </w:r>
      <w:r w:rsidR="008D0998" w:rsidRPr="006A799E">
        <w:rPr>
          <w:i/>
          <w:iCs/>
        </w:rPr>
        <w:t xml:space="preserve"> </w:t>
      </w:r>
      <w:r w:rsidR="00A73815" w:rsidRPr="006A799E">
        <w:rPr>
          <w:i/>
          <w:iCs/>
        </w:rPr>
        <w:t>$135,000</w:t>
      </w:r>
      <w:r w:rsidR="00A73815" w:rsidRPr="006A799E">
        <w:rPr>
          <w:rFonts w:ascii="Arial" w:hAnsi="Arial"/>
          <w:i/>
          <w:iCs/>
        </w:rPr>
        <w:t> </w:t>
      </w:r>
      <w:r w:rsidR="00A73815" w:rsidRPr="006A799E">
        <w:rPr>
          <w:i/>
          <w:iCs/>
        </w:rPr>
        <w:t>to</w:t>
      </w:r>
      <w:r w:rsidR="00A73815" w:rsidRPr="006A799E">
        <w:rPr>
          <w:rFonts w:ascii="Arial" w:hAnsi="Arial"/>
          <w:i/>
          <w:iCs/>
        </w:rPr>
        <w:t> </w:t>
      </w:r>
      <w:r w:rsidR="00A73815" w:rsidRPr="006A799E">
        <w:rPr>
          <w:i/>
          <w:iCs/>
        </w:rPr>
        <w:t>&lt;</w:t>
      </w:r>
      <w:r w:rsidR="00A73815" w:rsidRPr="006A799E">
        <w:rPr>
          <w:rFonts w:ascii="Arial" w:hAnsi="Arial"/>
          <w:i/>
          <w:iCs/>
        </w:rPr>
        <w:t> </w:t>
      </w:r>
      <w:r w:rsidR="00A73815" w:rsidRPr="006A799E">
        <w:rPr>
          <w:i/>
          <w:iCs/>
        </w:rPr>
        <w:t>$155,000</w:t>
      </w:r>
    </w:p>
    <w:p w14:paraId="1ACF70BB" w14:textId="1DA5EB81" w:rsidR="00360729" w:rsidRPr="006A799E" w:rsidRDefault="002A4009" w:rsidP="006C554D">
      <w:pPr>
        <w:pStyle w:val="TableFigureFooter"/>
        <w:rPr>
          <w:i/>
          <w:iCs/>
        </w:rPr>
      </w:pPr>
      <w:r w:rsidRPr="006A799E">
        <w:rPr>
          <w:i/>
          <w:iCs/>
          <w:vertAlign w:val="superscript"/>
        </w:rPr>
        <w:t>7</w:t>
      </w:r>
      <w:r w:rsidR="008D0998" w:rsidRPr="006A799E">
        <w:rPr>
          <w:i/>
          <w:iCs/>
        </w:rPr>
        <w:t xml:space="preserve"> </w:t>
      </w:r>
      <w:r w:rsidRPr="006A799E">
        <w:rPr>
          <w:i/>
          <w:iCs/>
        </w:rPr>
        <w:t>$255,000</w:t>
      </w:r>
      <w:r w:rsidRPr="006A799E">
        <w:rPr>
          <w:rFonts w:ascii="Arial" w:hAnsi="Arial"/>
          <w:i/>
          <w:iCs/>
        </w:rPr>
        <w:t> </w:t>
      </w:r>
      <w:r w:rsidRPr="006A799E">
        <w:rPr>
          <w:i/>
          <w:iCs/>
        </w:rPr>
        <w:t>to</w:t>
      </w:r>
      <w:r w:rsidRPr="006A799E">
        <w:rPr>
          <w:rFonts w:ascii="Arial" w:hAnsi="Arial"/>
          <w:i/>
          <w:iCs/>
        </w:rPr>
        <w:t> </w:t>
      </w:r>
      <w:r w:rsidRPr="006A799E">
        <w:rPr>
          <w:i/>
          <w:iCs/>
        </w:rPr>
        <w:t>&lt;</w:t>
      </w:r>
      <w:r w:rsidRPr="006A799E">
        <w:rPr>
          <w:rFonts w:ascii="Arial" w:hAnsi="Arial"/>
          <w:i/>
          <w:iCs/>
        </w:rPr>
        <w:t> </w:t>
      </w:r>
      <w:r w:rsidRPr="006A799E">
        <w:rPr>
          <w:i/>
          <w:iCs/>
        </w:rPr>
        <w:t>$355,000</w:t>
      </w:r>
    </w:p>
    <w:p w14:paraId="2845DA8D" w14:textId="6D118FB4" w:rsidR="00091D2A" w:rsidRPr="00552B0C" w:rsidRDefault="00091D2A" w:rsidP="00552B0C">
      <w:pPr>
        <w:pStyle w:val="3-BodyText"/>
        <w:numPr>
          <w:ilvl w:val="1"/>
          <w:numId w:val="5"/>
        </w:numPr>
      </w:pPr>
      <w:r w:rsidRPr="00552B0C">
        <w:t xml:space="preserve">The ICER </w:t>
      </w:r>
      <w:r w:rsidR="00B74A44">
        <w:t>was</w:t>
      </w:r>
      <w:r w:rsidR="00B74A44" w:rsidRPr="00552B0C">
        <w:t xml:space="preserve"> </w:t>
      </w:r>
      <w:r w:rsidRPr="00552B0C">
        <w:t xml:space="preserve">most sensitive to the comparative effectiveness of NALIRIFOX vs FOLFIRINOX (increased by </w:t>
      </w:r>
      <w:r w:rsidR="005F3BC8" w:rsidRPr="00993109">
        <w:rPr>
          <w:color w:val="000000"/>
          <w:w w:val="15"/>
          <w:shd w:val="solid" w:color="000000" w:fill="000000"/>
          <w:fitText w:val="-20" w:id="-760998139"/>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9"/>
          <w14:textFill>
            <w14:solidFill>
              <w14:srgbClr w14:val="000000">
                <w14:alpha w14:val="100000"/>
              </w14:srgbClr>
            </w14:solidFill>
          </w14:textFill>
        </w:rPr>
        <w:t>|</w:t>
      </w:r>
      <w:r w:rsidRPr="00552B0C">
        <w:t xml:space="preserve">% if assumed that NALIRIFOX is non-inferior to FOLFIRINOX), followed by the assumed proportions of the mixed comparator </w:t>
      </w:r>
      <w:r w:rsidRPr="00552B0C">
        <w:lastRenderedPageBreak/>
        <w:t xml:space="preserve">(decreased by </w:t>
      </w:r>
      <w:r w:rsidR="005F3BC8" w:rsidRPr="00993109">
        <w:rPr>
          <w:color w:val="000000"/>
          <w:w w:val="15"/>
          <w:shd w:val="solid" w:color="000000" w:fill="000000"/>
          <w:fitText w:val="-20" w:id="-760998138"/>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8"/>
          <w14:textFill>
            <w14:solidFill>
              <w14:srgbClr w14:val="000000">
                <w14:alpha w14:val="100000"/>
              </w14:srgbClr>
            </w14:solidFill>
          </w14:textFill>
        </w:rPr>
        <w:t>|</w:t>
      </w:r>
      <w:r w:rsidRPr="00552B0C">
        <w:t>% if assume comparator is FOLFIRNOX only) and alternative sources of health state utility values (+</w:t>
      </w:r>
      <w:r w:rsidR="005F3BC8" w:rsidRPr="00993109">
        <w:rPr>
          <w:color w:val="000000"/>
          <w:w w:val="15"/>
          <w:shd w:val="solid" w:color="000000" w:fill="000000"/>
          <w:fitText w:val="-20" w:id="-760998137"/>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7"/>
          <w14:textFill>
            <w14:solidFill>
              <w14:srgbClr w14:val="000000">
                <w14:alpha w14:val="100000"/>
              </w14:srgbClr>
            </w14:solidFill>
          </w14:textFill>
        </w:rPr>
        <w:t>|</w:t>
      </w:r>
      <w:r w:rsidRPr="00552B0C">
        <w:t>% when using utility values from the SEIGE trial [crosswalk method]).</w:t>
      </w:r>
    </w:p>
    <w:p w14:paraId="1ADE28DE" w14:textId="4CF644D9" w:rsidR="00091D2A" w:rsidRPr="00552B0C" w:rsidRDefault="00495988" w:rsidP="4E6EDD58">
      <w:pPr>
        <w:pStyle w:val="3-BodyText"/>
      </w:pPr>
      <w:r w:rsidRPr="00552B0C">
        <w:t xml:space="preserve">If </w:t>
      </w:r>
      <w:r w:rsidR="004A17E7" w:rsidRPr="00552B0C">
        <w:t>it is assumed NALIRIFOX is non-inferior to FOLFIRINOX</w:t>
      </w:r>
      <w:r w:rsidR="00FA0E22" w:rsidRPr="00552B0C">
        <w:t xml:space="preserve">, the ICER is extremely sensitive </w:t>
      </w:r>
      <w:r w:rsidR="007F36C6" w:rsidRPr="00552B0C">
        <w:t>to the assumed proportions of the mixed comparator</w:t>
      </w:r>
      <w:r w:rsidR="0063618D" w:rsidRPr="00552B0C">
        <w:t xml:space="preserve">, driven by the </w:t>
      </w:r>
      <w:r w:rsidR="0090440E" w:rsidRPr="00552B0C">
        <w:t>incremental costs of NALIRIFOX compared to FOLFIRINOX (+</w:t>
      </w:r>
      <w:r w:rsidR="004E6928" w:rsidRPr="00552B0C">
        <w:t>$</w:t>
      </w:r>
      <w:r w:rsidR="005F3BC8" w:rsidRPr="00993109">
        <w:rPr>
          <w:color w:val="000000"/>
          <w:w w:val="15"/>
          <w:shd w:val="solid" w:color="000000" w:fill="000000"/>
          <w:fitText w:val="-20" w:id="-760998136"/>
          <w14:textFill>
            <w14:solidFill>
              <w14:srgbClr w14:val="000000">
                <w14:alpha w14:val="100000"/>
              </w14:srgbClr>
            </w14:solidFill>
          </w14:textFill>
        </w:rPr>
        <w:t xml:space="preserve">|  </w:t>
      </w:r>
      <w:r w:rsidR="005F3BC8" w:rsidRPr="00993109">
        <w:rPr>
          <w:color w:val="000000"/>
          <w:spacing w:val="-69"/>
          <w:w w:val="15"/>
          <w:shd w:val="solid" w:color="000000" w:fill="000000"/>
          <w:fitText w:val="-20" w:id="-760998136"/>
          <w14:textFill>
            <w14:solidFill>
              <w14:srgbClr w14:val="000000">
                <w14:alpha w14:val="100000"/>
              </w14:srgbClr>
            </w14:solidFill>
          </w14:textFill>
        </w:rPr>
        <w:t>|</w:t>
      </w:r>
      <w:r w:rsidR="0090440E" w:rsidRPr="00552B0C">
        <w:t>)</w:t>
      </w:r>
      <w:r w:rsidR="0066141F" w:rsidRPr="00552B0C">
        <w:t xml:space="preserve"> (with 0 incremental QALYs generated if FOLFIRINOX is considered to be a sole comparator)</w:t>
      </w:r>
      <w:r w:rsidR="0090440E" w:rsidRPr="00552B0C">
        <w:t xml:space="preserve">. </w:t>
      </w:r>
    </w:p>
    <w:p w14:paraId="38E8C92B" w14:textId="04AD4113" w:rsidR="00D56589" w:rsidRDefault="00D56589" w:rsidP="00BA3184">
      <w:pPr>
        <w:pStyle w:val="3-BodyText"/>
      </w:pPr>
      <w:r w:rsidRPr="00552B0C">
        <w:t>Regarding the comparison with Gem+NabP, the ESC considered that the observed benefit of NALIRIFOX demonstrated in NAPOLI-3 of ~1.9 months in terms of PFS and OS may not be clinically meaningful</w:t>
      </w:r>
      <w:r w:rsidR="00AE0C74">
        <w:t>.</w:t>
      </w:r>
      <w:r w:rsidRPr="00552B0C">
        <w:t xml:space="preserve"> </w:t>
      </w:r>
    </w:p>
    <w:p w14:paraId="28B40D5D" w14:textId="79F4A640" w:rsidR="006D0A2E" w:rsidRPr="00552B0C" w:rsidRDefault="006D0A2E" w:rsidP="00BA3184">
      <w:pPr>
        <w:pStyle w:val="3-BodyText"/>
      </w:pPr>
      <w:r>
        <w:t xml:space="preserve">The Pre-PBAC Response maintained the approach taken in the submission was appropriate and stated the </w:t>
      </w:r>
      <w:r w:rsidR="00B74A44">
        <w:t>s</w:t>
      </w:r>
      <w:r>
        <w:t xml:space="preserve">ponsor </w:t>
      </w:r>
      <w:r w:rsidR="00B74A44">
        <w:t>would not</w:t>
      </w:r>
      <w:r>
        <w:t xml:space="preserve"> accept a cost minimisation approach based on FOLFIRINOX due to its limited use in treatment in patients with good performance status</w:t>
      </w:r>
      <w:r w:rsidR="00D15028">
        <w:t>.</w:t>
      </w:r>
      <w:r>
        <w:t xml:space="preserve"> </w:t>
      </w:r>
    </w:p>
    <w:p w14:paraId="57D297BA" w14:textId="77777777" w:rsidR="00091D2A" w:rsidRDefault="00091D2A" w:rsidP="00091D2A">
      <w:pPr>
        <w:pStyle w:val="4-SubsectionHeading"/>
      </w:pPr>
      <w:bookmarkStart w:id="87" w:name="_Toc177546230"/>
      <w:r>
        <w:t>NALIRIFOX</w:t>
      </w:r>
      <w:r w:rsidRPr="0098262F">
        <w:t xml:space="preserve"> cost/patient/course</w:t>
      </w:r>
      <w:bookmarkEnd w:id="87"/>
    </w:p>
    <w:p w14:paraId="4513948F" w14:textId="274089CC" w:rsidR="00091D2A" w:rsidRPr="00552B0C" w:rsidRDefault="00091D2A" w:rsidP="00552B0C">
      <w:pPr>
        <w:pStyle w:val="3-BodyText"/>
        <w:numPr>
          <w:ilvl w:val="1"/>
          <w:numId w:val="5"/>
        </w:numPr>
        <w:rPr>
          <w:rFonts w:ascii="Arial Narrow" w:hAnsi="Arial Narrow"/>
          <w:b/>
          <w:sz w:val="20"/>
        </w:rPr>
      </w:pPr>
      <w:r w:rsidRPr="00552B0C">
        <w:rPr>
          <w:lang w:eastAsia="en-US"/>
        </w:rPr>
        <w:t xml:space="preserve">A summary of the drug cost per patient per course </w:t>
      </w:r>
      <w:r w:rsidR="00775BE7" w:rsidRPr="00552B0C">
        <w:rPr>
          <w:lang w:eastAsia="en-US"/>
        </w:rPr>
        <w:t xml:space="preserve">based on the proposed effective price for nal-IRI </w:t>
      </w:r>
      <w:r w:rsidRPr="00552B0C">
        <w:rPr>
          <w:lang w:eastAsia="en-US"/>
        </w:rPr>
        <w:t xml:space="preserve">is presented in </w:t>
      </w:r>
      <w:r w:rsidRPr="00552B0C">
        <w:rPr>
          <w:lang w:eastAsia="en-US"/>
        </w:rPr>
        <w:fldChar w:fldCharType="begin" w:fldLock="1"/>
      </w:r>
      <w:r w:rsidRPr="00552B0C">
        <w:rPr>
          <w:lang w:eastAsia="en-US"/>
        </w:rPr>
        <w:instrText xml:space="preserve"> REF _Ref176379345 \h </w:instrText>
      </w:r>
      <w:r w:rsidR="00B87FAE" w:rsidRPr="00552B0C">
        <w:rPr>
          <w:lang w:eastAsia="en-US"/>
        </w:rPr>
        <w:instrText xml:space="preserve"> \* MERGEFORMAT </w:instrText>
      </w:r>
      <w:r w:rsidRPr="00552B0C">
        <w:rPr>
          <w:lang w:eastAsia="en-US"/>
        </w:rPr>
      </w:r>
      <w:r w:rsidRPr="00552B0C">
        <w:rPr>
          <w:lang w:eastAsia="en-US"/>
        </w:rPr>
        <w:fldChar w:fldCharType="separate"/>
      </w:r>
      <w:r w:rsidR="001C19B6" w:rsidRPr="00552B0C">
        <w:t xml:space="preserve">Table </w:t>
      </w:r>
      <w:r w:rsidR="001C19B6">
        <w:rPr>
          <w:noProof/>
        </w:rPr>
        <w:t>18</w:t>
      </w:r>
      <w:r w:rsidRPr="00552B0C">
        <w:rPr>
          <w:lang w:eastAsia="en-US"/>
        </w:rPr>
        <w:fldChar w:fldCharType="end"/>
      </w:r>
      <w:r w:rsidRPr="00552B0C">
        <w:rPr>
          <w:lang w:eastAsia="en-US"/>
        </w:rPr>
        <w:fldChar w:fldCharType="begin" w:fldLock="1"/>
      </w:r>
      <w:r w:rsidRPr="00552B0C">
        <w:rPr>
          <w:lang w:eastAsia="en-US"/>
        </w:rPr>
        <w:instrText xml:space="preserve"> REF _Ref176379345 \h </w:instrText>
      </w:r>
      <w:r w:rsidR="00B87FAE" w:rsidRPr="00552B0C">
        <w:rPr>
          <w:lang w:eastAsia="en-US"/>
        </w:rPr>
        <w:instrText xml:space="preserve"> \* MERGEFORMAT </w:instrText>
      </w:r>
      <w:r w:rsidRPr="00552B0C">
        <w:rPr>
          <w:lang w:eastAsia="en-US"/>
        </w:rPr>
      </w:r>
      <w:r w:rsidRPr="00552B0C">
        <w:rPr>
          <w:lang w:eastAsia="en-US"/>
        </w:rPr>
        <w:fldChar w:fldCharType="separate"/>
      </w:r>
      <w:r w:rsidR="001C19B6" w:rsidRPr="00552B0C">
        <w:t xml:space="preserve">Table </w:t>
      </w:r>
      <w:r w:rsidR="001C19B6">
        <w:rPr>
          <w:noProof/>
        </w:rPr>
        <w:t>18</w:t>
      </w:r>
      <w:r w:rsidRPr="00552B0C">
        <w:rPr>
          <w:lang w:eastAsia="en-US"/>
        </w:rPr>
        <w:fldChar w:fldCharType="end"/>
      </w:r>
      <w:r w:rsidRPr="00552B0C">
        <w:rPr>
          <w:lang w:eastAsia="en-US"/>
        </w:rPr>
        <w:t xml:space="preserve">. </w:t>
      </w:r>
      <w:bookmarkStart w:id="88" w:name="_Ref176270537"/>
      <w:bookmarkStart w:id="89" w:name="_Ref176375827"/>
      <w:bookmarkStart w:id="90" w:name="_Ref176270526"/>
      <w:r w:rsidRPr="00552B0C">
        <w:rPr>
          <w:lang w:eastAsia="en-US"/>
        </w:rPr>
        <w:t>The</w:t>
      </w:r>
      <w:r w:rsidR="00775BE7" w:rsidRPr="00552B0C">
        <w:rPr>
          <w:lang w:eastAsia="en-US"/>
        </w:rPr>
        <w:t xml:space="preserve"> </w:t>
      </w:r>
      <w:r w:rsidR="00325143" w:rsidRPr="00552B0C">
        <w:rPr>
          <w:lang w:eastAsia="en-US"/>
        </w:rPr>
        <w:t>re</w:t>
      </w:r>
      <w:r w:rsidR="00775BE7" w:rsidRPr="00552B0C">
        <w:rPr>
          <w:lang w:eastAsia="en-US"/>
        </w:rPr>
        <w:t xml:space="preserve">submission </w:t>
      </w:r>
      <w:r w:rsidRPr="00552B0C">
        <w:rPr>
          <w:lang w:eastAsia="en-US"/>
        </w:rPr>
        <w:t xml:space="preserve">assumed </w:t>
      </w:r>
      <w:r w:rsidR="00325143" w:rsidRPr="00552B0C">
        <w:rPr>
          <w:lang w:eastAsia="en-US"/>
        </w:rPr>
        <w:t xml:space="preserve">a </w:t>
      </w:r>
      <w:r w:rsidRPr="00552B0C">
        <w:rPr>
          <w:lang w:eastAsia="en-US"/>
        </w:rPr>
        <w:t xml:space="preserve">40% rebate on NabP. </w:t>
      </w:r>
    </w:p>
    <w:p w14:paraId="1B37118F" w14:textId="029BB7C6" w:rsidR="00091D2A" w:rsidRPr="00552B0C" w:rsidRDefault="00091D2A" w:rsidP="00457ED0">
      <w:pPr>
        <w:pStyle w:val="TableFigureHeading"/>
        <w:keepLines/>
        <w:rPr>
          <w:rStyle w:val="CommentReference"/>
          <w:b/>
          <w:szCs w:val="24"/>
        </w:rPr>
      </w:pPr>
      <w:bookmarkStart w:id="91" w:name="_Ref176379345"/>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18</w:t>
      </w:r>
      <w:r w:rsidR="001C19B6">
        <w:rPr>
          <w:noProof/>
        </w:rPr>
        <w:fldChar w:fldCharType="end"/>
      </w:r>
      <w:bookmarkEnd w:id="88"/>
      <w:bookmarkEnd w:id="89"/>
      <w:bookmarkEnd w:id="91"/>
      <w:r w:rsidRPr="00552B0C">
        <w:t>:</w:t>
      </w:r>
      <w:r w:rsidRPr="00552B0C">
        <w:rPr>
          <w:rStyle w:val="CommentReference"/>
          <w:b/>
          <w:szCs w:val="24"/>
        </w:rPr>
        <w:t xml:space="preserve"> Drug cost per patient per course for proposed and comparator drugs</w:t>
      </w:r>
      <w:bookmarkEnd w:id="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Drug cost per patient per course for proposed and comparator drugs"/>
      </w:tblPr>
      <w:tblGrid>
        <w:gridCol w:w="988"/>
        <w:gridCol w:w="1841"/>
        <w:gridCol w:w="994"/>
        <w:gridCol w:w="992"/>
        <w:gridCol w:w="1984"/>
        <w:gridCol w:w="1134"/>
        <w:gridCol w:w="1084"/>
      </w:tblGrid>
      <w:tr w:rsidR="00091D2A" w:rsidRPr="00552B0C" w14:paraId="4AA3FC06" w14:textId="77777777" w:rsidTr="006A799E">
        <w:trPr>
          <w:cantSplit/>
          <w:tblHeader/>
          <w:jc w:val="center"/>
        </w:trPr>
        <w:tc>
          <w:tcPr>
            <w:tcW w:w="548" w:type="pct"/>
            <w:shd w:val="clear" w:color="auto" w:fill="auto"/>
            <w:vAlign w:val="center"/>
          </w:tcPr>
          <w:p w14:paraId="2AA96C19" w14:textId="77777777" w:rsidR="00091D2A" w:rsidRPr="00552B0C" w:rsidRDefault="00091D2A" w:rsidP="00457ED0">
            <w:pPr>
              <w:pStyle w:val="In-tableHeading"/>
              <w:keepLines/>
            </w:pPr>
          </w:p>
        </w:tc>
        <w:tc>
          <w:tcPr>
            <w:tcW w:w="2122" w:type="pct"/>
            <w:gridSpan w:val="3"/>
            <w:shd w:val="clear" w:color="auto" w:fill="auto"/>
            <w:vAlign w:val="center"/>
          </w:tcPr>
          <w:p w14:paraId="40A4CA0F" w14:textId="77777777" w:rsidR="00091D2A" w:rsidRPr="00552B0C" w:rsidRDefault="00091D2A" w:rsidP="00457ED0">
            <w:pPr>
              <w:pStyle w:val="In-tableHeading"/>
              <w:keepLines/>
            </w:pPr>
            <w:r w:rsidRPr="00552B0C">
              <w:t>NALIRIFOX</w:t>
            </w:r>
          </w:p>
        </w:tc>
        <w:tc>
          <w:tcPr>
            <w:tcW w:w="2330" w:type="pct"/>
            <w:gridSpan w:val="3"/>
            <w:shd w:val="clear" w:color="auto" w:fill="auto"/>
            <w:vAlign w:val="center"/>
          </w:tcPr>
          <w:p w14:paraId="0CE86629" w14:textId="77777777" w:rsidR="00091D2A" w:rsidRPr="00552B0C" w:rsidRDefault="00091D2A" w:rsidP="00457ED0">
            <w:pPr>
              <w:pStyle w:val="In-tableHeading"/>
              <w:keepLines/>
            </w:pPr>
            <w:r w:rsidRPr="00552B0C">
              <w:t>Comparator (75% Gem+NabP/25% FOLFIRINOX)</w:t>
            </w:r>
          </w:p>
        </w:tc>
      </w:tr>
      <w:tr w:rsidR="00091D2A" w:rsidRPr="00552B0C" w14:paraId="4067EE54" w14:textId="77777777">
        <w:trPr>
          <w:cantSplit/>
          <w:tblHeader/>
          <w:jc w:val="center"/>
        </w:trPr>
        <w:tc>
          <w:tcPr>
            <w:tcW w:w="548" w:type="pct"/>
            <w:shd w:val="clear" w:color="auto" w:fill="auto"/>
            <w:vAlign w:val="center"/>
          </w:tcPr>
          <w:p w14:paraId="100856D0" w14:textId="77777777" w:rsidR="00091D2A" w:rsidRPr="00552B0C" w:rsidRDefault="00091D2A" w:rsidP="00457ED0">
            <w:pPr>
              <w:pStyle w:val="In-tableHeading"/>
              <w:keepLines/>
            </w:pPr>
          </w:p>
        </w:tc>
        <w:tc>
          <w:tcPr>
            <w:tcW w:w="1021" w:type="pct"/>
            <w:shd w:val="clear" w:color="auto" w:fill="B8CCE4" w:themeFill="accent1" w:themeFillTint="66"/>
            <w:vAlign w:val="center"/>
          </w:tcPr>
          <w:p w14:paraId="2AF71ADE" w14:textId="77777777" w:rsidR="00091D2A" w:rsidRPr="00552B0C" w:rsidRDefault="00091D2A" w:rsidP="00457ED0">
            <w:pPr>
              <w:pStyle w:val="In-tableHeading"/>
              <w:keepLines/>
            </w:pPr>
            <w:r w:rsidRPr="00552B0C">
              <w:t>Trial dose and duration (NAPOLI-3)</w:t>
            </w:r>
          </w:p>
        </w:tc>
        <w:tc>
          <w:tcPr>
            <w:tcW w:w="551" w:type="pct"/>
            <w:shd w:val="clear" w:color="auto" w:fill="auto"/>
            <w:vAlign w:val="center"/>
          </w:tcPr>
          <w:p w14:paraId="64CE7E0E" w14:textId="77777777" w:rsidR="00091D2A" w:rsidRPr="00552B0C" w:rsidRDefault="00091D2A" w:rsidP="00457ED0">
            <w:pPr>
              <w:pStyle w:val="In-tableHeading"/>
              <w:keepLines/>
              <w:jc w:val="center"/>
            </w:pPr>
            <w:r w:rsidRPr="00552B0C">
              <w:t>Model</w:t>
            </w:r>
          </w:p>
        </w:tc>
        <w:tc>
          <w:tcPr>
            <w:tcW w:w="550" w:type="pct"/>
            <w:shd w:val="clear" w:color="auto" w:fill="auto"/>
            <w:vAlign w:val="center"/>
          </w:tcPr>
          <w:p w14:paraId="60C6BCE5" w14:textId="77777777" w:rsidR="00091D2A" w:rsidRPr="00552B0C" w:rsidRDefault="00091D2A" w:rsidP="00457ED0">
            <w:pPr>
              <w:pStyle w:val="In-tableHeading"/>
              <w:keepLines/>
              <w:jc w:val="center"/>
            </w:pPr>
            <w:r w:rsidRPr="00552B0C">
              <w:t>Financial estimates</w:t>
            </w:r>
          </w:p>
        </w:tc>
        <w:tc>
          <w:tcPr>
            <w:tcW w:w="1100" w:type="pct"/>
            <w:shd w:val="clear" w:color="auto" w:fill="B8CCE4" w:themeFill="accent1" w:themeFillTint="66"/>
            <w:vAlign w:val="center"/>
          </w:tcPr>
          <w:p w14:paraId="434986EA" w14:textId="77777777" w:rsidR="00091D2A" w:rsidRPr="00552B0C" w:rsidRDefault="00091D2A" w:rsidP="00457ED0">
            <w:pPr>
              <w:pStyle w:val="In-tableHeading"/>
              <w:keepLines/>
              <w:shd w:val="clear" w:color="auto" w:fill="B8CCE4" w:themeFill="accent1" w:themeFillTint="66"/>
            </w:pPr>
            <w:r w:rsidRPr="00552B0C">
              <w:t>Trial dose and duration</w:t>
            </w:r>
          </w:p>
          <w:p w14:paraId="76C9A428" w14:textId="77777777" w:rsidR="00091D2A" w:rsidRPr="00552B0C" w:rsidRDefault="00091D2A" w:rsidP="00457ED0">
            <w:pPr>
              <w:pStyle w:val="In-tableHeading"/>
              <w:keepLines/>
              <w:shd w:val="clear" w:color="auto" w:fill="B8CCE4" w:themeFill="accent1" w:themeFillTint="66"/>
            </w:pPr>
            <w:r w:rsidRPr="00552B0C">
              <w:t>(NAPOLI-3 and ACCORD11/PRODIGE4)</w:t>
            </w:r>
          </w:p>
        </w:tc>
        <w:tc>
          <w:tcPr>
            <w:tcW w:w="629" w:type="pct"/>
            <w:shd w:val="clear" w:color="auto" w:fill="auto"/>
            <w:vAlign w:val="center"/>
          </w:tcPr>
          <w:p w14:paraId="30AB9AFA" w14:textId="77777777" w:rsidR="00091D2A" w:rsidRPr="00552B0C" w:rsidRDefault="00091D2A" w:rsidP="00457ED0">
            <w:pPr>
              <w:pStyle w:val="In-tableHeading"/>
              <w:keepLines/>
              <w:jc w:val="center"/>
            </w:pPr>
            <w:r w:rsidRPr="00552B0C">
              <w:t>Model</w:t>
            </w:r>
          </w:p>
        </w:tc>
        <w:tc>
          <w:tcPr>
            <w:tcW w:w="601" w:type="pct"/>
            <w:vAlign w:val="center"/>
          </w:tcPr>
          <w:p w14:paraId="426539D1" w14:textId="77777777" w:rsidR="00091D2A" w:rsidRPr="00552B0C" w:rsidRDefault="00091D2A" w:rsidP="00457ED0">
            <w:pPr>
              <w:pStyle w:val="In-tableHeading"/>
              <w:keepLines/>
              <w:jc w:val="center"/>
            </w:pPr>
            <w:r w:rsidRPr="00552B0C">
              <w:t>Financial estimates</w:t>
            </w:r>
          </w:p>
        </w:tc>
      </w:tr>
      <w:tr w:rsidR="00091D2A" w:rsidRPr="00552B0C" w14:paraId="4C8FD046" w14:textId="77777777">
        <w:trPr>
          <w:cantSplit/>
          <w:jc w:val="center"/>
        </w:trPr>
        <w:tc>
          <w:tcPr>
            <w:tcW w:w="548" w:type="pct"/>
            <w:shd w:val="clear" w:color="auto" w:fill="B8CCE4" w:themeFill="accent1" w:themeFillTint="66"/>
            <w:vAlign w:val="center"/>
          </w:tcPr>
          <w:p w14:paraId="6E2ED977" w14:textId="77777777" w:rsidR="00091D2A" w:rsidRPr="00552B0C" w:rsidRDefault="00091D2A" w:rsidP="00457ED0">
            <w:pPr>
              <w:pStyle w:val="TableText0"/>
              <w:keepLines/>
              <w:jc w:val="center"/>
            </w:pPr>
            <w:r w:rsidRPr="00552B0C">
              <w:t>Mean dose</w:t>
            </w:r>
          </w:p>
        </w:tc>
        <w:tc>
          <w:tcPr>
            <w:tcW w:w="1021" w:type="pct"/>
            <w:shd w:val="clear" w:color="auto" w:fill="B8CCE4" w:themeFill="accent1" w:themeFillTint="66"/>
            <w:vAlign w:val="center"/>
          </w:tcPr>
          <w:p w14:paraId="165998FA" w14:textId="77777777" w:rsidR="00091D2A" w:rsidRPr="00552B0C" w:rsidRDefault="00091D2A" w:rsidP="00457ED0">
            <w:pPr>
              <w:pStyle w:val="Tabletext"/>
              <w:keepNext/>
              <w:keepLines/>
              <w:jc w:val="center"/>
              <w:rPr>
                <w:vertAlign w:val="superscript"/>
              </w:rPr>
            </w:pPr>
            <w:r w:rsidRPr="00552B0C">
              <w:t>nal-IRI: 50mg/m</w:t>
            </w:r>
            <w:r w:rsidRPr="00552B0C">
              <w:rPr>
                <w:vertAlign w:val="superscript"/>
              </w:rPr>
              <w:t>2</w:t>
            </w:r>
          </w:p>
          <w:p w14:paraId="064E7448" w14:textId="77777777" w:rsidR="00091D2A" w:rsidRPr="00552B0C" w:rsidRDefault="00091D2A" w:rsidP="00457ED0">
            <w:pPr>
              <w:pStyle w:val="Tabletext"/>
              <w:keepNext/>
              <w:keepLines/>
              <w:jc w:val="center"/>
              <w:rPr>
                <w:vertAlign w:val="superscript"/>
              </w:rPr>
            </w:pPr>
            <w:r w:rsidRPr="00552B0C">
              <w:t>5-FU: 2400 mg/m</w:t>
            </w:r>
            <w:r w:rsidRPr="00552B0C">
              <w:rPr>
                <w:vertAlign w:val="superscript"/>
              </w:rPr>
              <w:t>2</w:t>
            </w:r>
          </w:p>
          <w:p w14:paraId="0ACFB03F" w14:textId="77777777" w:rsidR="00091D2A" w:rsidRPr="00552B0C" w:rsidRDefault="00091D2A" w:rsidP="00457ED0">
            <w:pPr>
              <w:pStyle w:val="Tabletext"/>
              <w:keepNext/>
              <w:keepLines/>
              <w:jc w:val="center"/>
            </w:pPr>
            <w:r w:rsidRPr="00552B0C">
              <w:t>Oxaliplatin: 60 mg/m</w:t>
            </w:r>
            <w:r w:rsidRPr="00552B0C">
              <w:rPr>
                <w:vertAlign w:val="superscript"/>
              </w:rPr>
              <w:t>2</w:t>
            </w:r>
          </w:p>
          <w:p w14:paraId="5EAFB7BF" w14:textId="6DF643D4" w:rsidR="00091D2A" w:rsidRPr="006A799E" w:rsidRDefault="00091D2A" w:rsidP="006A799E">
            <w:pPr>
              <w:pStyle w:val="Tabletext"/>
              <w:keepNext/>
              <w:keepLines/>
              <w:jc w:val="center"/>
              <w:rPr>
                <w:vertAlign w:val="superscript"/>
              </w:rPr>
            </w:pPr>
            <w:r w:rsidRPr="00552B0C">
              <w:t>Folinic acid: 400mg/m</w:t>
            </w:r>
            <w:r w:rsidRPr="00552B0C">
              <w:rPr>
                <w:vertAlign w:val="superscript"/>
              </w:rPr>
              <w:t>2</w:t>
            </w:r>
          </w:p>
        </w:tc>
        <w:tc>
          <w:tcPr>
            <w:tcW w:w="1101" w:type="pct"/>
            <w:gridSpan w:val="2"/>
            <w:shd w:val="clear" w:color="auto" w:fill="auto"/>
            <w:vAlign w:val="center"/>
          </w:tcPr>
          <w:p w14:paraId="16290B4E" w14:textId="77777777" w:rsidR="00091D2A" w:rsidRPr="00552B0C" w:rsidRDefault="00091D2A" w:rsidP="00457ED0">
            <w:pPr>
              <w:pStyle w:val="Tabletext"/>
              <w:keepNext/>
              <w:keepLines/>
              <w:shd w:val="clear" w:color="auto" w:fill="B8CCE4" w:themeFill="accent1" w:themeFillTint="66"/>
              <w:jc w:val="center"/>
              <w:rPr>
                <w:vertAlign w:val="superscript"/>
              </w:rPr>
            </w:pPr>
            <w:r w:rsidRPr="00552B0C">
              <w:t>nal-IRI: 50mg/m</w:t>
            </w:r>
            <w:r w:rsidRPr="00552B0C">
              <w:rPr>
                <w:vertAlign w:val="superscript"/>
              </w:rPr>
              <w:t>2</w:t>
            </w:r>
          </w:p>
          <w:p w14:paraId="3FA37EE9" w14:textId="77777777" w:rsidR="00091D2A" w:rsidRPr="00552B0C" w:rsidRDefault="00091D2A" w:rsidP="00457ED0">
            <w:pPr>
              <w:pStyle w:val="Tabletext"/>
              <w:keepNext/>
              <w:keepLines/>
              <w:shd w:val="clear" w:color="auto" w:fill="B8CCE4" w:themeFill="accent1" w:themeFillTint="66"/>
              <w:jc w:val="center"/>
              <w:rPr>
                <w:vertAlign w:val="superscript"/>
              </w:rPr>
            </w:pPr>
            <w:r w:rsidRPr="00552B0C">
              <w:t>5-FU: 2400 mg/m</w:t>
            </w:r>
            <w:r w:rsidRPr="00552B0C">
              <w:rPr>
                <w:vertAlign w:val="superscript"/>
              </w:rPr>
              <w:t>2</w:t>
            </w:r>
          </w:p>
          <w:p w14:paraId="7E4886BC" w14:textId="77777777" w:rsidR="00091D2A" w:rsidRPr="00552B0C" w:rsidRDefault="00091D2A" w:rsidP="00457ED0">
            <w:pPr>
              <w:pStyle w:val="Tabletext"/>
              <w:keepNext/>
              <w:keepLines/>
              <w:shd w:val="clear" w:color="auto" w:fill="B8CCE4" w:themeFill="accent1" w:themeFillTint="66"/>
              <w:jc w:val="center"/>
            </w:pPr>
            <w:r w:rsidRPr="00552B0C">
              <w:t>Oxaliplatin: 60 mg/m</w:t>
            </w:r>
            <w:r w:rsidRPr="00552B0C">
              <w:rPr>
                <w:vertAlign w:val="superscript"/>
              </w:rPr>
              <w:t>2</w:t>
            </w:r>
          </w:p>
          <w:p w14:paraId="3FCA25B3" w14:textId="0EF70190" w:rsidR="00091D2A" w:rsidRPr="006A799E" w:rsidRDefault="00091D2A" w:rsidP="006A799E">
            <w:pPr>
              <w:pStyle w:val="TableText0"/>
              <w:keepLines/>
              <w:jc w:val="center"/>
              <w:rPr>
                <w:vertAlign w:val="superscript"/>
              </w:rPr>
            </w:pPr>
            <w:r w:rsidRPr="00552B0C">
              <w:t>Folinic acid: 50mg/m</w:t>
            </w:r>
            <w:r w:rsidRPr="00552B0C">
              <w:rPr>
                <w:vertAlign w:val="superscript"/>
              </w:rPr>
              <w:t>2</w:t>
            </w:r>
          </w:p>
        </w:tc>
        <w:tc>
          <w:tcPr>
            <w:tcW w:w="1100" w:type="pct"/>
            <w:shd w:val="clear" w:color="auto" w:fill="B8CCE4" w:themeFill="accent1" w:themeFillTint="66"/>
            <w:vAlign w:val="center"/>
          </w:tcPr>
          <w:p w14:paraId="491525E2" w14:textId="77777777" w:rsidR="00091D2A" w:rsidRPr="00552B0C" w:rsidRDefault="00091D2A" w:rsidP="00457ED0">
            <w:pPr>
              <w:pStyle w:val="Tabletext"/>
              <w:keepNext/>
              <w:keepLines/>
              <w:jc w:val="center"/>
              <w:rPr>
                <w:lang w:val="pt-BR"/>
              </w:rPr>
            </w:pPr>
            <w:r w:rsidRPr="00552B0C">
              <w:rPr>
                <w:lang w:val="pt-BR"/>
              </w:rPr>
              <w:t>Gem+NabP</w:t>
            </w:r>
          </w:p>
          <w:p w14:paraId="4B5B317B" w14:textId="77777777" w:rsidR="00091D2A" w:rsidRPr="00552B0C" w:rsidRDefault="00091D2A" w:rsidP="00457ED0">
            <w:pPr>
              <w:pStyle w:val="Tabletext"/>
              <w:keepNext/>
              <w:keepLines/>
              <w:jc w:val="center"/>
              <w:rPr>
                <w:lang w:val="pt-BR"/>
              </w:rPr>
            </w:pPr>
            <w:r w:rsidRPr="00552B0C">
              <w:rPr>
                <w:lang w:val="pt-BR"/>
              </w:rPr>
              <w:t>Gem:1000 mg/m</w:t>
            </w:r>
            <w:r w:rsidRPr="00552B0C">
              <w:rPr>
                <w:vertAlign w:val="superscript"/>
                <w:lang w:val="pt-BR"/>
              </w:rPr>
              <w:t>2</w:t>
            </w:r>
          </w:p>
          <w:p w14:paraId="0486287C" w14:textId="6B50442E" w:rsidR="00091D2A" w:rsidRPr="00552B0C" w:rsidRDefault="00091D2A" w:rsidP="00457ED0">
            <w:pPr>
              <w:pStyle w:val="Tabletext"/>
              <w:keepNext/>
              <w:keepLines/>
              <w:jc w:val="center"/>
              <w:rPr>
                <w:lang w:val="pt-BR"/>
              </w:rPr>
            </w:pPr>
            <w:r w:rsidRPr="00552B0C">
              <w:rPr>
                <w:lang w:val="pt-BR"/>
              </w:rPr>
              <w:t>NabP:125 mg/m</w:t>
            </w:r>
            <w:r w:rsidRPr="00552B0C">
              <w:rPr>
                <w:vertAlign w:val="superscript"/>
                <w:lang w:val="pt-BR"/>
              </w:rPr>
              <w:t>2</w:t>
            </w:r>
          </w:p>
          <w:p w14:paraId="29CBC6A2" w14:textId="77777777" w:rsidR="00091D2A" w:rsidRPr="00552B0C" w:rsidRDefault="00091D2A" w:rsidP="00457ED0">
            <w:pPr>
              <w:pStyle w:val="Tabletext"/>
              <w:keepNext/>
              <w:keepLines/>
              <w:jc w:val="center"/>
              <w:rPr>
                <w:lang w:val="pt-BR"/>
              </w:rPr>
            </w:pPr>
            <w:r w:rsidRPr="00552B0C">
              <w:rPr>
                <w:lang w:val="pt-BR"/>
              </w:rPr>
              <w:t>FOLFIRINOX</w:t>
            </w:r>
          </w:p>
          <w:p w14:paraId="0990076D" w14:textId="77777777" w:rsidR="00091D2A" w:rsidRPr="00552B0C" w:rsidRDefault="00091D2A" w:rsidP="00457ED0">
            <w:pPr>
              <w:pStyle w:val="Tabletext"/>
              <w:keepNext/>
              <w:keepLines/>
              <w:jc w:val="center"/>
              <w:rPr>
                <w:vertAlign w:val="superscript"/>
                <w:lang w:val="pt-BR"/>
              </w:rPr>
            </w:pPr>
            <w:r w:rsidRPr="00552B0C">
              <w:rPr>
                <w:lang w:val="pt-BR"/>
              </w:rPr>
              <w:t>Irinotecan: 180 mg/m</w:t>
            </w:r>
            <w:r w:rsidRPr="00552B0C">
              <w:rPr>
                <w:vertAlign w:val="superscript"/>
                <w:lang w:val="pt-BR"/>
              </w:rPr>
              <w:t>2</w:t>
            </w:r>
          </w:p>
          <w:p w14:paraId="75799A84" w14:textId="77777777" w:rsidR="00091D2A" w:rsidRPr="00552B0C" w:rsidRDefault="00091D2A" w:rsidP="00457ED0">
            <w:pPr>
              <w:pStyle w:val="Tabletext"/>
              <w:keepNext/>
              <w:keepLines/>
              <w:jc w:val="center"/>
              <w:rPr>
                <w:vertAlign w:val="superscript"/>
                <w:lang w:val="pt-BR"/>
              </w:rPr>
            </w:pPr>
            <w:r w:rsidRPr="00552B0C">
              <w:rPr>
                <w:lang w:val="pt-BR"/>
              </w:rPr>
              <w:t>5-FU: 2400 mg/m</w:t>
            </w:r>
            <w:r w:rsidRPr="00552B0C">
              <w:rPr>
                <w:vertAlign w:val="superscript"/>
                <w:lang w:val="pt-BR"/>
              </w:rPr>
              <w:t>2</w:t>
            </w:r>
          </w:p>
          <w:p w14:paraId="5529A374" w14:textId="77777777" w:rsidR="00091D2A" w:rsidRPr="00552B0C" w:rsidRDefault="00091D2A" w:rsidP="00457ED0">
            <w:pPr>
              <w:pStyle w:val="Tabletext"/>
              <w:keepNext/>
              <w:keepLines/>
              <w:jc w:val="center"/>
            </w:pPr>
            <w:r w:rsidRPr="00552B0C">
              <w:t>5-FU (bolus): 400 mg/m</w:t>
            </w:r>
            <w:r w:rsidRPr="00552B0C">
              <w:rPr>
                <w:vertAlign w:val="superscript"/>
              </w:rPr>
              <w:t>2</w:t>
            </w:r>
          </w:p>
          <w:p w14:paraId="39706964" w14:textId="77777777" w:rsidR="00091D2A" w:rsidRPr="00552B0C" w:rsidRDefault="00091D2A" w:rsidP="00457ED0">
            <w:pPr>
              <w:pStyle w:val="Tabletext"/>
              <w:keepNext/>
              <w:keepLines/>
              <w:jc w:val="center"/>
            </w:pPr>
            <w:r w:rsidRPr="00552B0C">
              <w:t>Oxaliplatin: 85 mg/m</w:t>
            </w:r>
            <w:r w:rsidRPr="00552B0C">
              <w:rPr>
                <w:vertAlign w:val="superscript"/>
              </w:rPr>
              <w:t>2</w:t>
            </w:r>
          </w:p>
          <w:p w14:paraId="2887E969" w14:textId="77777777" w:rsidR="00091D2A" w:rsidRPr="00552B0C" w:rsidRDefault="00091D2A" w:rsidP="00457ED0">
            <w:pPr>
              <w:pStyle w:val="Tabletext"/>
              <w:keepNext/>
              <w:keepLines/>
              <w:jc w:val="center"/>
              <w:rPr>
                <w:vertAlign w:val="superscript"/>
              </w:rPr>
            </w:pPr>
            <w:r w:rsidRPr="00552B0C">
              <w:t>Folinic acid: 400 mg/m</w:t>
            </w:r>
            <w:r w:rsidRPr="00552B0C">
              <w:rPr>
                <w:vertAlign w:val="superscript"/>
              </w:rPr>
              <w:t>2</w:t>
            </w:r>
          </w:p>
        </w:tc>
        <w:tc>
          <w:tcPr>
            <w:tcW w:w="1230" w:type="pct"/>
            <w:gridSpan w:val="2"/>
            <w:shd w:val="clear" w:color="auto" w:fill="auto"/>
            <w:vAlign w:val="center"/>
          </w:tcPr>
          <w:p w14:paraId="011230F3" w14:textId="77777777" w:rsidR="00091D2A" w:rsidRPr="00552B0C" w:rsidRDefault="00091D2A" w:rsidP="00457ED0">
            <w:pPr>
              <w:pStyle w:val="Tabletext"/>
              <w:keepNext/>
              <w:keepLines/>
              <w:shd w:val="clear" w:color="auto" w:fill="B8CCE4" w:themeFill="accent1" w:themeFillTint="66"/>
              <w:jc w:val="center"/>
              <w:rPr>
                <w:lang w:val="pt-BR"/>
              </w:rPr>
            </w:pPr>
            <w:r w:rsidRPr="00552B0C">
              <w:rPr>
                <w:lang w:val="pt-BR"/>
              </w:rPr>
              <w:t>Gem+NabP</w:t>
            </w:r>
          </w:p>
          <w:p w14:paraId="31EC788D" w14:textId="77777777" w:rsidR="00091D2A" w:rsidRPr="00552B0C" w:rsidRDefault="00091D2A" w:rsidP="00457ED0">
            <w:pPr>
              <w:pStyle w:val="Tabletext"/>
              <w:keepNext/>
              <w:keepLines/>
              <w:shd w:val="clear" w:color="auto" w:fill="B8CCE4" w:themeFill="accent1" w:themeFillTint="66"/>
              <w:jc w:val="center"/>
              <w:rPr>
                <w:lang w:val="pt-BR"/>
              </w:rPr>
            </w:pPr>
            <w:r w:rsidRPr="00552B0C">
              <w:rPr>
                <w:lang w:val="pt-BR"/>
              </w:rPr>
              <w:t>Gem:1000 mg/m</w:t>
            </w:r>
            <w:r w:rsidRPr="00552B0C">
              <w:rPr>
                <w:vertAlign w:val="superscript"/>
                <w:lang w:val="pt-BR"/>
              </w:rPr>
              <w:t>2</w:t>
            </w:r>
          </w:p>
          <w:p w14:paraId="57D97B62" w14:textId="015494B9" w:rsidR="00091D2A" w:rsidRPr="00552B0C" w:rsidRDefault="00091D2A" w:rsidP="00457ED0">
            <w:pPr>
              <w:pStyle w:val="Tabletext"/>
              <w:keepNext/>
              <w:keepLines/>
              <w:shd w:val="clear" w:color="auto" w:fill="B8CCE4" w:themeFill="accent1" w:themeFillTint="66"/>
              <w:jc w:val="center"/>
              <w:rPr>
                <w:lang w:val="pt-BR"/>
              </w:rPr>
            </w:pPr>
            <w:r w:rsidRPr="00552B0C">
              <w:rPr>
                <w:lang w:val="pt-BR"/>
              </w:rPr>
              <w:t>NabP:125 mg/m</w:t>
            </w:r>
            <w:r w:rsidRPr="00552B0C">
              <w:rPr>
                <w:vertAlign w:val="superscript"/>
                <w:lang w:val="pt-BR"/>
              </w:rPr>
              <w:t>2</w:t>
            </w:r>
          </w:p>
          <w:p w14:paraId="4D5F52DA" w14:textId="77777777" w:rsidR="00091D2A" w:rsidRPr="00552B0C" w:rsidRDefault="00091D2A" w:rsidP="00457ED0">
            <w:pPr>
              <w:pStyle w:val="Tabletext"/>
              <w:keepNext/>
              <w:keepLines/>
              <w:shd w:val="clear" w:color="auto" w:fill="B8CCE4" w:themeFill="accent1" w:themeFillTint="66"/>
              <w:jc w:val="center"/>
              <w:rPr>
                <w:lang w:val="pt-BR"/>
              </w:rPr>
            </w:pPr>
            <w:r w:rsidRPr="00552B0C">
              <w:rPr>
                <w:lang w:val="pt-BR"/>
              </w:rPr>
              <w:t>FOLFIRINOX</w:t>
            </w:r>
          </w:p>
          <w:p w14:paraId="5CFA5B19" w14:textId="77777777" w:rsidR="00091D2A" w:rsidRPr="00552B0C" w:rsidRDefault="00091D2A" w:rsidP="00457ED0">
            <w:pPr>
              <w:pStyle w:val="Tabletext"/>
              <w:keepNext/>
              <w:keepLines/>
              <w:shd w:val="clear" w:color="auto" w:fill="B8CCE4" w:themeFill="accent1" w:themeFillTint="66"/>
              <w:jc w:val="center"/>
              <w:rPr>
                <w:vertAlign w:val="superscript"/>
                <w:lang w:val="pt-BR"/>
              </w:rPr>
            </w:pPr>
            <w:r w:rsidRPr="00552B0C">
              <w:rPr>
                <w:lang w:val="pt-BR"/>
              </w:rPr>
              <w:t>Irinotecan: 180 mg/m</w:t>
            </w:r>
            <w:r w:rsidRPr="00552B0C">
              <w:rPr>
                <w:vertAlign w:val="superscript"/>
                <w:lang w:val="pt-BR"/>
              </w:rPr>
              <w:t>2</w:t>
            </w:r>
          </w:p>
          <w:p w14:paraId="0B85A920" w14:textId="77777777" w:rsidR="00091D2A" w:rsidRPr="00552B0C" w:rsidRDefault="00091D2A" w:rsidP="00457ED0">
            <w:pPr>
              <w:pStyle w:val="Tabletext"/>
              <w:keepNext/>
              <w:keepLines/>
              <w:shd w:val="clear" w:color="auto" w:fill="B8CCE4" w:themeFill="accent1" w:themeFillTint="66"/>
              <w:jc w:val="center"/>
              <w:rPr>
                <w:vertAlign w:val="superscript"/>
                <w:lang w:val="pt-BR"/>
              </w:rPr>
            </w:pPr>
            <w:r w:rsidRPr="00552B0C">
              <w:rPr>
                <w:lang w:val="pt-BR"/>
              </w:rPr>
              <w:t>5-FU: 2400 mg/m</w:t>
            </w:r>
            <w:r w:rsidRPr="00552B0C">
              <w:rPr>
                <w:vertAlign w:val="superscript"/>
                <w:lang w:val="pt-BR"/>
              </w:rPr>
              <w:t>2</w:t>
            </w:r>
          </w:p>
          <w:p w14:paraId="21B5D857" w14:textId="77777777" w:rsidR="00091D2A" w:rsidRPr="00552B0C" w:rsidRDefault="00091D2A" w:rsidP="00457ED0">
            <w:pPr>
              <w:pStyle w:val="Tabletext"/>
              <w:keepNext/>
              <w:keepLines/>
              <w:shd w:val="clear" w:color="auto" w:fill="B8CCE4" w:themeFill="accent1" w:themeFillTint="66"/>
              <w:jc w:val="center"/>
            </w:pPr>
            <w:r w:rsidRPr="00552B0C">
              <w:t>5-FU (bolus): 400 mg/m</w:t>
            </w:r>
            <w:r w:rsidRPr="00552B0C">
              <w:rPr>
                <w:vertAlign w:val="superscript"/>
              </w:rPr>
              <w:t>2</w:t>
            </w:r>
          </w:p>
          <w:p w14:paraId="58393F6C" w14:textId="77777777" w:rsidR="00091D2A" w:rsidRPr="00552B0C" w:rsidRDefault="00091D2A" w:rsidP="00457ED0">
            <w:pPr>
              <w:pStyle w:val="Tabletext"/>
              <w:keepNext/>
              <w:keepLines/>
              <w:shd w:val="clear" w:color="auto" w:fill="B8CCE4" w:themeFill="accent1" w:themeFillTint="66"/>
              <w:jc w:val="center"/>
            </w:pPr>
            <w:r w:rsidRPr="00552B0C">
              <w:t>Oxaliplatin: 85 mg/m</w:t>
            </w:r>
            <w:r w:rsidRPr="00552B0C">
              <w:rPr>
                <w:vertAlign w:val="superscript"/>
              </w:rPr>
              <w:t>2</w:t>
            </w:r>
          </w:p>
          <w:p w14:paraId="2742E675" w14:textId="77777777" w:rsidR="00091D2A" w:rsidRPr="00552B0C" w:rsidRDefault="00091D2A" w:rsidP="00457ED0">
            <w:pPr>
              <w:pStyle w:val="TableText0"/>
              <w:keepLines/>
              <w:jc w:val="center"/>
            </w:pPr>
            <w:r w:rsidRPr="00552B0C">
              <w:t>Folinic acid: 50 mg/m</w:t>
            </w:r>
            <w:r w:rsidRPr="00552B0C">
              <w:rPr>
                <w:vertAlign w:val="superscript"/>
              </w:rPr>
              <w:t>2</w:t>
            </w:r>
          </w:p>
        </w:tc>
      </w:tr>
      <w:tr w:rsidR="00091D2A" w:rsidRPr="00552B0C" w14:paraId="40FE3B4C" w14:textId="77777777">
        <w:trPr>
          <w:cantSplit/>
          <w:jc w:val="center"/>
        </w:trPr>
        <w:tc>
          <w:tcPr>
            <w:tcW w:w="548" w:type="pct"/>
            <w:shd w:val="clear" w:color="auto" w:fill="B8CCE4" w:themeFill="accent1" w:themeFillTint="66"/>
            <w:vAlign w:val="center"/>
          </w:tcPr>
          <w:p w14:paraId="4435E8FE" w14:textId="77777777" w:rsidR="00091D2A" w:rsidRPr="00552B0C" w:rsidRDefault="00091D2A" w:rsidP="00457ED0">
            <w:pPr>
              <w:pStyle w:val="TableText0"/>
              <w:keepLines/>
              <w:rPr>
                <w:vertAlign w:val="superscript"/>
              </w:rPr>
            </w:pPr>
            <w:r w:rsidRPr="00552B0C">
              <w:t xml:space="preserve">Mean number of treatment cycles </w:t>
            </w:r>
          </w:p>
        </w:tc>
        <w:tc>
          <w:tcPr>
            <w:tcW w:w="2122" w:type="pct"/>
            <w:gridSpan w:val="3"/>
            <w:shd w:val="clear" w:color="auto" w:fill="B8CCE4" w:themeFill="accent1" w:themeFillTint="66"/>
            <w:vAlign w:val="center"/>
          </w:tcPr>
          <w:p w14:paraId="633830C3" w14:textId="77777777" w:rsidR="00091D2A" w:rsidRPr="00552B0C" w:rsidRDefault="00091D2A" w:rsidP="00457ED0">
            <w:pPr>
              <w:pStyle w:val="TableText0"/>
              <w:keepLines/>
              <w:jc w:val="center"/>
            </w:pPr>
            <w:r w:rsidRPr="00552B0C">
              <w:t xml:space="preserve">6.5 </w:t>
            </w:r>
          </w:p>
        </w:tc>
        <w:tc>
          <w:tcPr>
            <w:tcW w:w="1100" w:type="pct"/>
            <w:shd w:val="clear" w:color="auto" w:fill="B8CCE4" w:themeFill="accent1" w:themeFillTint="66"/>
            <w:vAlign w:val="center"/>
          </w:tcPr>
          <w:p w14:paraId="7DB39688" w14:textId="77777777" w:rsidR="00091D2A" w:rsidRPr="00552B0C" w:rsidRDefault="00091D2A" w:rsidP="00457ED0">
            <w:pPr>
              <w:pStyle w:val="Tabletext"/>
              <w:keepNext/>
              <w:keepLines/>
              <w:jc w:val="center"/>
            </w:pPr>
            <w:r w:rsidRPr="00552B0C">
              <w:t>Gem+NabP: 5.1</w:t>
            </w:r>
          </w:p>
          <w:p w14:paraId="6DA2DC9C" w14:textId="77777777" w:rsidR="00091D2A" w:rsidRPr="00552B0C" w:rsidRDefault="00091D2A" w:rsidP="00457ED0">
            <w:pPr>
              <w:pStyle w:val="Tabletext"/>
              <w:keepNext/>
              <w:keepLines/>
              <w:jc w:val="center"/>
            </w:pPr>
            <w:r w:rsidRPr="00552B0C">
              <w:rPr>
                <w:shd w:val="clear" w:color="auto" w:fill="B8CCE4" w:themeFill="accent1" w:themeFillTint="66"/>
              </w:rPr>
              <w:t>FOLFIRINOX: 5.0</w:t>
            </w:r>
          </w:p>
        </w:tc>
        <w:tc>
          <w:tcPr>
            <w:tcW w:w="1230" w:type="pct"/>
            <w:gridSpan w:val="2"/>
            <w:shd w:val="clear" w:color="auto" w:fill="auto"/>
            <w:vAlign w:val="center"/>
          </w:tcPr>
          <w:p w14:paraId="1BF63A98" w14:textId="77777777" w:rsidR="00091D2A" w:rsidRPr="00552B0C" w:rsidRDefault="00091D2A" w:rsidP="00457ED0">
            <w:pPr>
              <w:pStyle w:val="Tabletext"/>
              <w:keepNext/>
              <w:keepLines/>
              <w:shd w:val="clear" w:color="auto" w:fill="B8CCE4" w:themeFill="accent1" w:themeFillTint="66"/>
              <w:jc w:val="center"/>
            </w:pPr>
            <w:r w:rsidRPr="00552B0C">
              <w:t>Gem+NabP: 5.1</w:t>
            </w:r>
          </w:p>
          <w:p w14:paraId="50329EAD" w14:textId="77777777" w:rsidR="00091D2A" w:rsidRPr="00552B0C" w:rsidRDefault="00091D2A" w:rsidP="00457ED0">
            <w:pPr>
              <w:pStyle w:val="TableText0"/>
              <w:keepLines/>
              <w:jc w:val="center"/>
            </w:pPr>
            <w:r w:rsidRPr="00552B0C">
              <w:t xml:space="preserve">FOLFIRINOX </w:t>
            </w:r>
            <w:r w:rsidRPr="00552B0C">
              <w:rPr>
                <w:vertAlign w:val="superscript"/>
              </w:rPr>
              <w:t>a</w:t>
            </w:r>
            <w:r w:rsidRPr="00552B0C">
              <w:t>: 6.3</w:t>
            </w:r>
          </w:p>
        </w:tc>
      </w:tr>
      <w:tr w:rsidR="00091D2A" w:rsidRPr="00552B0C" w14:paraId="19D2D395" w14:textId="77777777">
        <w:trPr>
          <w:cantSplit/>
          <w:jc w:val="center"/>
        </w:trPr>
        <w:tc>
          <w:tcPr>
            <w:tcW w:w="548" w:type="pct"/>
            <w:shd w:val="clear" w:color="auto" w:fill="auto"/>
            <w:vAlign w:val="center"/>
          </w:tcPr>
          <w:p w14:paraId="7435B463" w14:textId="12033364" w:rsidR="00091D2A" w:rsidRPr="00552B0C" w:rsidRDefault="00091D2A" w:rsidP="00457ED0">
            <w:pPr>
              <w:pStyle w:val="TableText0"/>
              <w:keepLines/>
              <w:rPr>
                <w:vertAlign w:val="superscript"/>
              </w:rPr>
            </w:pPr>
            <w:r w:rsidRPr="00552B0C">
              <w:t xml:space="preserve">Cost/patient/cycle </w:t>
            </w:r>
            <w:r w:rsidRPr="00552B0C">
              <w:rPr>
                <w:vertAlign w:val="superscript"/>
              </w:rPr>
              <w:t>b</w:t>
            </w:r>
          </w:p>
        </w:tc>
        <w:tc>
          <w:tcPr>
            <w:tcW w:w="1021" w:type="pct"/>
            <w:shd w:val="clear" w:color="auto" w:fill="auto"/>
            <w:vAlign w:val="center"/>
          </w:tcPr>
          <w:p w14:paraId="4B563BBE" w14:textId="552384E9" w:rsidR="00091D2A" w:rsidRPr="00552B0C" w:rsidRDefault="00091D2A" w:rsidP="00457ED0">
            <w:pPr>
              <w:pStyle w:val="TableText0"/>
              <w:keepLines/>
              <w:jc w:val="center"/>
            </w:pPr>
            <w:r w:rsidRPr="00552B0C">
              <w:rPr>
                <w:lang w:val="en-US"/>
              </w:rPr>
              <w:t>$</w:t>
            </w:r>
            <w:r w:rsidR="005F3BC8" w:rsidRPr="005F3BC8">
              <w:rPr>
                <w:color w:val="000000"/>
                <w:shd w:val="solid" w:color="000000" w:fill="000000"/>
                <w:lang w:val="en-US"/>
                <w14:textFill>
                  <w14:solidFill>
                    <w14:srgbClr w14:val="000000">
                      <w14:alpha w14:val="100000"/>
                    </w14:srgbClr>
                  </w14:solidFill>
                </w14:textFill>
              </w:rPr>
              <w:t>|</w:t>
            </w:r>
          </w:p>
        </w:tc>
        <w:tc>
          <w:tcPr>
            <w:tcW w:w="1101" w:type="pct"/>
            <w:gridSpan w:val="2"/>
            <w:shd w:val="clear" w:color="auto" w:fill="auto"/>
            <w:vAlign w:val="center"/>
          </w:tcPr>
          <w:p w14:paraId="463EB294" w14:textId="3A74F597" w:rsidR="00091D2A" w:rsidRPr="00552B0C" w:rsidRDefault="00091D2A" w:rsidP="00457ED0">
            <w:pPr>
              <w:pStyle w:val="TableText0"/>
              <w:keepLines/>
              <w:jc w:val="center"/>
            </w:pPr>
            <w:r w:rsidRPr="00552B0C">
              <w:rPr>
                <w:lang w:val="en-US"/>
              </w:rPr>
              <w:t>$</w:t>
            </w:r>
            <w:r w:rsidR="005F3BC8" w:rsidRPr="005F3BC8">
              <w:rPr>
                <w:color w:val="000000"/>
                <w:shd w:val="solid" w:color="000000" w:fill="000000"/>
                <w:lang w:val="en-US"/>
                <w14:textFill>
                  <w14:solidFill>
                    <w14:srgbClr w14:val="000000">
                      <w14:alpha w14:val="100000"/>
                    </w14:srgbClr>
                  </w14:solidFill>
                </w14:textFill>
              </w:rPr>
              <w:t>|</w:t>
            </w:r>
          </w:p>
        </w:tc>
        <w:tc>
          <w:tcPr>
            <w:tcW w:w="1100" w:type="pct"/>
            <w:shd w:val="clear" w:color="auto" w:fill="auto"/>
            <w:vAlign w:val="center"/>
          </w:tcPr>
          <w:p w14:paraId="6E55A756" w14:textId="36DC4FD8" w:rsidR="00091D2A" w:rsidRPr="00552B0C" w:rsidRDefault="00091D2A" w:rsidP="00457ED0">
            <w:pPr>
              <w:pStyle w:val="TableText0"/>
              <w:keepLines/>
              <w:jc w:val="center"/>
              <w:rPr>
                <w:lang w:val="en-US"/>
              </w:rPr>
            </w:pPr>
            <w:r w:rsidRPr="00552B0C">
              <w:t xml:space="preserve">Gem+NabP: </w:t>
            </w:r>
            <w:r w:rsidRPr="00552B0C">
              <w:rPr>
                <w:lang w:val="en-US"/>
              </w:rPr>
              <w:t>$</w:t>
            </w:r>
            <w:r w:rsidR="005F3BC8" w:rsidRPr="00F73F98">
              <w:rPr>
                <w:rFonts w:hint="eastAsia"/>
                <w:color w:val="000000"/>
                <w:w w:val="24"/>
                <w:shd w:val="solid" w:color="000000" w:fill="000000"/>
                <w:fitText w:val="108" w:id="-760998135"/>
                <w:lang w:val="en-US"/>
                <w14:textFill>
                  <w14:solidFill>
                    <w14:srgbClr w14:val="000000">
                      <w14:alpha w14:val="100000"/>
                    </w14:srgbClr>
                  </w14:solidFill>
                </w14:textFill>
              </w:rPr>
              <w:t xml:space="preserve">　</w:t>
            </w:r>
            <w:r w:rsidR="005F3BC8" w:rsidRPr="00F73F98">
              <w:rPr>
                <w:color w:val="000000"/>
                <w:w w:val="24"/>
                <w:shd w:val="solid" w:color="000000" w:fill="000000"/>
                <w:fitText w:val="108" w:id="-760998135"/>
                <w:lang w:val="en-US"/>
                <w14:textFill>
                  <w14:solidFill>
                    <w14:srgbClr w14:val="000000">
                      <w14:alpha w14:val="100000"/>
                    </w14:srgbClr>
                  </w14:solidFill>
                </w14:textFill>
              </w:rPr>
              <w:t>|</w:t>
            </w:r>
            <w:r w:rsidR="005F3BC8" w:rsidRPr="00F73F98">
              <w:rPr>
                <w:rFonts w:hint="eastAsia"/>
                <w:color w:val="000000"/>
                <w:w w:val="24"/>
                <w:shd w:val="solid" w:color="000000" w:fill="000000"/>
                <w:fitText w:val="108" w:id="-760998135"/>
                <w:lang w:val="en-US"/>
                <w14:textFill>
                  <w14:solidFill>
                    <w14:srgbClr w14:val="000000">
                      <w14:alpha w14:val="100000"/>
                    </w14:srgbClr>
                  </w14:solidFill>
                </w14:textFill>
              </w:rPr>
              <w:t xml:space="preserve">　</w:t>
            </w:r>
          </w:p>
          <w:p w14:paraId="67018AB2" w14:textId="1DC6086D" w:rsidR="00091D2A" w:rsidRPr="00552B0C" w:rsidRDefault="00091D2A" w:rsidP="00457ED0">
            <w:pPr>
              <w:pStyle w:val="TableText0"/>
              <w:keepLines/>
              <w:jc w:val="center"/>
            </w:pPr>
            <w:r w:rsidRPr="00552B0C">
              <w:rPr>
                <w:lang w:val="en-US"/>
              </w:rPr>
              <w:t>FOLFIRINOX: $</w:t>
            </w:r>
            <w:r w:rsidR="005F3BC8" w:rsidRPr="00F73F98">
              <w:rPr>
                <w:color w:val="000000"/>
                <w:spacing w:val="75"/>
                <w:shd w:val="solid" w:color="000000" w:fill="000000"/>
                <w:fitText w:val="161" w:id="-760998134"/>
                <w:lang w:val="en-US"/>
                <w14:textFill>
                  <w14:solidFill>
                    <w14:srgbClr w14:val="000000">
                      <w14:alpha w14:val="100000"/>
                    </w14:srgbClr>
                  </w14:solidFill>
                </w14:textFill>
              </w:rPr>
              <w:t>|</w:t>
            </w:r>
            <w:r w:rsidR="005F3BC8" w:rsidRPr="00F73F98">
              <w:rPr>
                <w:color w:val="000000"/>
                <w:shd w:val="solid" w:color="000000" w:fill="000000"/>
                <w:fitText w:val="161" w:id="-760998134"/>
                <w:lang w:val="en-US"/>
                <w14:textFill>
                  <w14:solidFill>
                    <w14:srgbClr w14:val="000000">
                      <w14:alpha w14:val="100000"/>
                    </w14:srgbClr>
                  </w14:solidFill>
                </w14:textFill>
              </w:rPr>
              <w:t>|</w:t>
            </w:r>
          </w:p>
        </w:tc>
        <w:tc>
          <w:tcPr>
            <w:tcW w:w="1230" w:type="pct"/>
            <w:gridSpan w:val="2"/>
            <w:shd w:val="clear" w:color="auto" w:fill="auto"/>
            <w:vAlign w:val="center"/>
          </w:tcPr>
          <w:p w14:paraId="4132C3A1" w14:textId="1E3F0ED2" w:rsidR="00091D2A" w:rsidRPr="00552B0C" w:rsidRDefault="00091D2A" w:rsidP="00457ED0">
            <w:pPr>
              <w:pStyle w:val="TableText0"/>
              <w:keepLines/>
              <w:jc w:val="center"/>
              <w:rPr>
                <w:lang w:val="en-US"/>
              </w:rPr>
            </w:pPr>
            <w:r w:rsidRPr="00552B0C">
              <w:t xml:space="preserve">Gem+NabP: </w:t>
            </w:r>
            <w:r w:rsidRPr="00552B0C">
              <w:rPr>
                <w:lang w:val="en-US"/>
              </w:rPr>
              <w:t>$</w:t>
            </w:r>
            <w:r w:rsidR="005F3BC8" w:rsidRPr="005F3BC8">
              <w:rPr>
                <w:color w:val="000000"/>
                <w:shd w:val="solid" w:color="000000" w:fill="000000"/>
                <w:lang w:val="en-US"/>
                <w14:textFill>
                  <w14:solidFill>
                    <w14:srgbClr w14:val="000000">
                      <w14:alpha w14:val="100000"/>
                    </w14:srgbClr>
                  </w14:solidFill>
                </w14:textFill>
              </w:rPr>
              <w:t>|</w:t>
            </w:r>
          </w:p>
          <w:p w14:paraId="5387BFB8" w14:textId="126CD203" w:rsidR="00091D2A" w:rsidRPr="00552B0C" w:rsidRDefault="00091D2A" w:rsidP="00457ED0">
            <w:pPr>
              <w:pStyle w:val="TableText0"/>
              <w:keepLines/>
              <w:jc w:val="center"/>
            </w:pPr>
            <w:r w:rsidRPr="00552B0C">
              <w:rPr>
                <w:lang w:val="en-US"/>
              </w:rPr>
              <w:t>FOLFIRINOX: $</w:t>
            </w:r>
            <w:r w:rsidR="005F3BC8" w:rsidRPr="00F73F98">
              <w:rPr>
                <w:rFonts w:hint="eastAsia"/>
                <w:color w:val="000000"/>
                <w:w w:val="15"/>
                <w:shd w:val="solid" w:color="000000" w:fill="000000"/>
                <w:fitText w:val="43" w:id="-760998133"/>
                <w:lang w:val="en-US"/>
                <w14:textFill>
                  <w14:solidFill>
                    <w14:srgbClr w14:val="000000">
                      <w14:alpha w14:val="100000"/>
                    </w14:srgbClr>
                  </w14:solidFill>
                </w14:textFill>
              </w:rPr>
              <w:t xml:space="preserve">　</w:t>
            </w:r>
            <w:r w:rsidR="005F3BC8" w:rsidRPr="00F73F98">
              <w:rPr>
                <w:color w:val="000000"/>
                <w:w w:val="15"/>
                <w:shd w:val="solid" w:color="000000" w:fill="000000"/>
                <w:fitText w:val="43" w:id="-760998133"/>
                <w:lang w:val="en-US"/>
                <w14:textFill>
                  <w14:solidFill>
                    <w14:srgbClr w14:val="000000">
                      <w14:alpha w14:val="100000"/>
                    </w14:srgbClr>
                  </w14:solidFill>
                </w14:textFill>
              </w:rPr>
              <w:t>|</w:t>
            </w:r>
            <w:r w:rsidR="005F3BC8" w:rsidRPr="00F73F98">
              <w:rPr>
                <w:rFonts w:hint="eastAsia"/>
                <w:color w:val="000000"/>
                <w:spacing w:val="-22"/>
                <w:w w:val="15"/>
                <w:shd w:val="solid" w:color="000000" w:fill="000000"/>
                <w:fitText w:val="43" w:id="-760998133"/>
                <w:lang w:val="en-US"/>
                <w14:textFill>
                  <w14:solidFill>
                    <w14:srgbClr w14:val="000000">
                      <w14:alpha w14:val="100000"/>
                    </w14:srgbClr>
                  </w14:solidFill>
                </w14:textFill>
              </w:rPr>
              <w:t xml:space="preserve">　</w:t>
            </w:r>
          </w:p>
        </w:tc>
      </w:tr>
      <w:tr w:rsidR="00091D2A" w:rsidRPr="00552B0C" w14:paraId="6290B6F8" w14:textId="77777777">
        <w:trPr>
          <w:cantSplit/>
          <w:jc w:val="center"/>
        </w:trPr>
        <w:tc>
          <w:tcPr>
            <w:tcW w:w="548" w:type="pct"/>
            <w:shd w:val="clear" w:color="auto" w:fill="auto"/>
            <w:vAlign w:val="center"/>
          </w:tcPr>
          <w:p w14:paraId="480BB785" w14:textId="77777777" w:rsidR="00091D2A" w:rsidRPr="00552B0C" w:rsidRDefault="00091D2A" w:rsidP="00457ED0">
            <w:pPr>
              <w:pStyle w:val="TableText0"/>
              <w:keepLines/>
              <w:rPr>
                <w:vertAlign w:val="superscript"/>
              </w:rPr>
            </w:pPr>
            <w:r w:rsidRPr="00552B0C">
              <w:t xml:space="preserve">Cost/patient/ course </w:t>
            </w:r>
            <w:r w:rsidRPr="00552B0C">
              <w:rPr>
                <w:vertAlign w:val="superscript"/>
              </w:rPr>
              <w:t>c</w:t>
            </w:r>
          </w:p>
        </w:tc>
        <w:tc>
          <w:tcPr>
            <w:tcW w:w="1021" w:type="pct"/>
            <w:shd w:val="clear" w:color="auto" w:fill="auto"/>
            <w:vAlign w:val="center"/>
          </w:tcPr>
          <w:p w14:paraId="048C5298" w14:textId="13E1F248" w:rsidR="00091D2A" w:rsidRPr="00552B0C" w:rsidRDefault="00091D2A" w:rsidP="00457ED0">
            <w:pPr>
              <w:pStyle w:val="TableText0"/>
              <w:keepLines/>
              <w:jc w:val="center"/>
            </w:pPr>
            <w:r w:rsidRPr="00552B0C">
              <w:rPr>
                <w:lang w:val="en-US"/>
              </w:rPr>
              <w:t>$</w:t>
            </w:r>
            <w:r w:rsidR="005F3BC8" w:rsidRPr="005F3BC8">
              <w:rPr>
                <w:color w:val="000000"/>
                <w:shd w:val="solid" w:color="000000" w:fill="000000"/>
                <w:lang w:val="en-US"/>
                <w14:textFill>
                  <w14:solidFill>
                    <w14:srgbClr w14:val="000000">
                      <w14:alpha w14:val="100000"/>
                    </w14:srgbClr>
                  </w14:solidFill>
                </w14:textFill>
              </w:rPr>
              <w:t>|</w:t>
            </w:r>
          </w:p>
        </w:tc>
        <w:tc>
          <w:tcPr>
            <w:tcW w:w="1101" w:type="pct"/>
            <w:gridSpan w:val="2"/>
            <w:shd w:val="clear" w:color="auto" w:fill="auto"/>
            <w:vAlign w:val="center"/>
          </w:tcPr>
          <w:p w14:paraId="16494C91" w14:textId="4B6D9876" w:rsidR="00091D2A" w:rsidRPr="00552B0C" w:rsidRDefault="00091D2A" w:rsidP="00457ED0">
            <w:pPr>
              <w:pStyle w:val="TableText0"/>
              <w:keepLines/>
              <w:jc w:val="center"/>
            </w:pPr>
            <w:r w:rsidRPr="00552B0C">
              <w:rPr>
                <w:lang w:val="en-US"/>
              </w:rPr>
              <w:t>$</w:t>
            </w:r>
            <w:r w:rsidR="005F3BC8" w:rsidRPr="005F3BC8">
              <w:rPr>
                <w:color w:val="000000"/>
                <w:shd w:val="solid" w:color="000000" w:fill="000000"/>
                <w:lang w:val="en-US"/>
                <w14:textFill>
                  <w14:solidFill>
                    <w14:srgbClr w14:val="000000">
                      <w14:alpha w14:val="100000"/>
                    </w14:srgbClr>
                  </w14:solidFill>
                </w14:textFill>
              </w:rPr>
              <w:t>|</w:t>
            </w:r>
          </w:p>
        </w:tc>
        <w:tc>
          <w:tcPr>
            <w:tcW w:w="1100" w:type="pct"/>
            <w:shd w:val="clear" w:color="auto" w:fill="auto"/>
            <w:vAlign w:val="center"/>
          </w:tcPr>
          <w:p w14:paraId="150B04C2" w14:textId="485D387B" w:rsidR="00091D2A" w:rsidRPr="00552B0C" w:rsidRDefault="00091D2A" w:rsidP="00457ED0">
            <w:pPr>
              <w:pStyle w:val="TableText0"/>
              <w:keepLines/>
              <w:jc w:val="center"/>
              <w:rPr>
                <w:lang w:val="en-US"/>
              </w:rPr>
            </w:pPr>
            <w:r w:rsidRPr="00552B0C">
              <w:t xml:space="preserve">Gem+NabP: </w:t>
            </w:r>
            <w:r w:rsidRPr="00552B0C">
              <w:rPr>
                <w:lang w:val="en-US"/>
              </w:rPr>
              <w:t>$</w:t>
            </w:r>
            <w:r w:rsidR="005F3BC8" w:rsidRPr="00F73F98">
              <w:rPr>
                <w:rFonts w:hint="eastAsia"/>
                <w:color w:val="000000"/>
                <w:w w:val="24"/>
                <w:shd w:val="solid" w:color="000000" w:fill="000000"/>
                <w:fitText w:val="108" w:id="-760998132"/>
                <w:lang w:val="en-US"/>
                <w14:textFill>
                  <w14:solidFill>
                    <w14:srgbClr w14:val="000000">
                      <w14:alpha w14:val="100000"/>
                    </w14:srgbClr>
                  </w14:solidFill>
                </w14:textFill>
              </w:rPr>
              <w:t xml:space="preserve">　</w:t>
            </w:r>
            <w:r w:rsidR="005F3BC8" w:rsidRPr="00F73F98">
              <w:rPr>
                <w:color w:val="000000"/>
                <w:w w:val="24"/>
                <w:shd w:val="solid" w:color="000000" w:fill="000000"/>
                <w:fitText w:val="108" w:id="-760998132"/>
                <w:lang w:val="en-US"/>
                <w14:textFill>
                  <w14:solidFill>
                    <w14:srgbClr w14:val="000000">
                      <w14:alpha w14:val="100000"/>
                    </w14:srgbClr>
                  </w14:solidFill>
                </w14:textFill>
              </w:rPr>
              <w:t>|</w:t>
            </w:r>
            <w:r w:rsidR="005F3BC8" w:rsidRPr="00F73F98">
              <w:rPr>
                <w:rFonts w:hint="eastAsia"/>
                <w:color w:val="000000"/>
                <w:w w:val="24"/>
                <w:shd w:val="solid" w:color="000000" w:fill="000000"/>
                <w:fitText w:val="108" w:id="-760998132"/>
                <w:lang w:val="en-US"/>
                <w14:textFill>
                  <w14:solidFill>
                    <w14:srgbClr w14:val="000000">
                      <w14:alpha w14:val="100000"/>
                    </w14:srgbClr>
                  </w14:solidFill>
                </w14:textFill>
              </w:rPr>
              <w:t xml:space="preserve">　</w:t>
            </w:r>
          </w:p>
          <w:p w14:paraId="62C25526" w14:textId="56445BFE" w:rsidR="00091D2A" w:rsidRPr="00552B0C" w:rsidRDefault="00091D2A" w:rsidP="00457ED0">
            <w:pPr>
              <w:pStyle w:val="TableText0"/>
              <w:keepLines/>
              <w:jc w:val="center"/>
            </w:pPr>
            <w:r w:rsidRPr="00552B0C">
              <w:rPr>
                <w:lang w:val="en-US"/>
              </w:rPr>
              <w:t>FOLFIRINOX: $</w:t>
            </w:r>
            <w:r w:rsidR="005F3BC8" w:rsidRPr="00F73F98">
              <w:rPr>
                <w:color w:val="000000"/>
                <w:spacing w:val="75"/>
                <w:shd w:val="solid" w:color="000000" w:fill="000000"/>
                <w:fitText w:val="161" w:id="-760998131"/>
                <w:lang w:val="en-US"/>
                <w14:textFill>
                  <w14:solidFill>
                    <w14:srgbClr w14:val="000000">
                      <w14:alpha w14:val="100000"/>
                    </w14:srgbClr>
                  </w14:solidFill>
                </w14:textFill>
              </w:rPr>
              <w:t>|</w:t>
            </w:r>
            <w:r w:rsidR="005F3BC8" w:rsidRPr="00F73F98">
              <w:rPr>
                <w:color w:val="000000"/>
                <w:shd w:val="solid" w:color="000000" w:fill="000000"/>
                <w:fitText w:val="161" w:id="-760998131"/>
                <w:lang w:val="en-US"/>
                <w14:textFill>
                  <w14:solidFill>
                    <w14:srgbClr w14:val="000000">
                      <w14:alpha w14:val="100000"/>
                    </w14:srgbClr>
                  </w14:solidFill>
                </w14:textFill>
              </w:rPr>
              <w:t>|</w:t>
            </w:r>
          </w:p>
        </w:tc>
        <w:tc>
          <w:tcPr>
            <w:tcW w:w="1230" w:type="pct"/>
            <w:gridSpan w:val="2"/>
            <w:shd w:val="clear" w:color="auto" w:fill="auto"/>
            <w:vAlign w:val="center"/>
          </w:tcPr>
          <w:p w14:paraId="5449885E" w14:textId="57F3EB8B" w:rsidR="00091D2A" w:rsidRPr="00552B0C" w:rsidRDefault="00091D2A" w:rsidP="00457ED0">
            <w:pPr>
              <w:pStyle w:val="TableText0"/>
              <w:keepLines/>
              <w:jc w:val="center"/>
              <w:rPr>
                <w:lang w:val="en-US"/>
              </w:rPr>
            </w:pPr>
            <w:r w:rsidRPr="00552B0C">
              <w:t xml:space="preserve">Gem+NabP: </w:t>
            </w:r>
            <w:r w:rsidRPr="00552B0C">
              <w:rPr>
                <w:lang w:val="en-US"/>
              </w:rPr>
              <w:t>$</w:t>
            </w:r>
            <w:r w:rsidR="005F3BC8" w:rsidRPr="005F3BC8">
              <w:rPr>
                <w:color w:val="000000"/>
                <w:shd w:val="solid" w:color="000000" w:fill="000000"/>
                <w:lang w:val="en-US"/>
                <w14:textFill>
                  <w14:solidFill>
                    <w14:srgbClr w14:val="000000">
                      <w14:alpha w14:val="100000"/>
                    </w14:srgbClr>
                  </w14:solidFill>
                </w14:textFill>
              </w:rPr>
              <w:t>|</w:t>
            </w:r>
          </w:p>
          <w:p w14:paraId="240157C4" w14:textId="0C684ADA" w:rsidR="00091D2A" w:rsidRPr="00552B0C" w:rsidRDefault="00091D2A" w:rsidP="00457ED0">
            <w:pPr>
              <w:pStyle w:val="TableText0"/>
              <w:keepLines/>
              <w:jc w:val="center"/>
            </w:pPr>
            <w:r w:rsidRPr="00552B0C">
              <w:rPr>
                <w:lang w:val="en-US"/>
              </w:rPr>
              <w:t>FOLFIRINOX: $</w:t>
            </w:r>
            <w:r w:rsidR="005F3BC8" w:rsidRPr="00F73F98">
              <w:rPr>
                <w:rFonts w:hint="eastAsia"/>
                <w:color w:val="000000"/>
                <w:w w:val="15"/>
                <w:shd w:val="solid" w:color="000000" w:fill="000000"/>
                <w:fitText w:val="43" w:id="-760998130"/>
                <w:lang w:val="en-US"/>
                <w14:textFill>
                  <w14:solidFill>
                    <w14:srgbClr w14:val="000000">
                      <w14:alpha w14:val="100000"/>
                    </w14:srgbClr>
                  </w14:solidFill>
                </w14:textFill>
              </w:rPr>
              <w:t xml:space="preserve">　</w:t>
            </w:r>
            <w:r w:rsidR="005F3BC8" w:rsidRPr="00F73F98">
              <w:rPr>
                <w:color w:val="000000"/>
                <w:w w:val="15"/>
                <w:shd w:val="solid" w:color="000000" w:fill="000000"/>
                <w:fitText w:val="43" w:id="-760998130"/>
                <w:lang w:val="en-US"/>
                <w14:textFill>
                  <w14:solidFill>
                    <w14:srgbClr w14:val="000000">
                      <w14:alpha w14:val="100000"/>
                    </w14:srgbClr>
                  </w14:solidFill>
                </w14:textFill>
              </w:rPr>
              <w:t>|</w:t>
            </w:r>
            <w:r w:rsidR="005F3BC8" w:rsidRPr="00F73F98">
              <w:rPr>
                <w:rFonts w:hint="eastAsia"/>
                <w:color w:val="000000"/>
                <w:spacing w:val="-22"/>
                <w:w w:val="15"/>
                <w:shd w:val="solid" w:color="000000" w:fill="000000"/>
                <w:fitText w:val="43" w:id="-760998130"/>
                <w:lang w:val="en-US"/>
                <w14:textFill>
                  <w14:solidFill>
                    <w14:srgbClr w14:val="000000">
                      <w14:alpha w14:val="100000"/>
                    </w14:srgbClr>
                  </w14:solidFill>
                </w14:textFill>
              </w:rPr>
              <w:t xml:space="preserve">　</w:t>
            </w:r>
          </w:p>
        </w:tc>
      </w:tr>
    </w:tbl>
    <w:p w14:paraId="64C82DD8" w14:textId="77777777" w:rsidR="00091D2A" w:rsidRPr="00552B0C" w:rsidRDefault="00091D2A" w:rsidP="00457ED0">
      <w:pPr>
        <w:pStyle w:val="FooterTableFigure"/>
        <w:keepNext/>
        <w:keepLines/>
      </w:pPr>
      <w:r w:rsidRPr="00552B0C">
        <w:t>Source: Table 3.4, p66 of the resubmission.</w:t>
      </w:r>
    </w:p>
    <w:p w14:paraId="6E93AAEE" w14:textId="77777777" w:rsidR="00091D2A" w:rsidRPr="00552B0C" w:rsidRDefault="00091D2A" w:rsidP="00457ED0">
      <w:pPr>
        <w:pStyle w:val="FooterTableFigure"/>
        <w:keepNext/>
        <w:keepLines/>
      </w:pPr>
      <w:r w:rsidRPr="00552B0C">
        <w:t xml:space="preserve">Abbreviations: 5-FU, 5-fluorouracil; FOLFIRINOX, </w:t>
      </w:r>
      <w:r w:rsidRPr="00552B0C">
        <w:rPr>
          <w:rStyle w:val="CommentReference"/>
          <w:b w:val="0"/>
          <w:bCs/>
          <w:sz w:val="18"/>
          <w:szCs w:val="18"/>
        </w:rPr>
        <w:t>fluorouracil, folinic acid, irinotecan, oxaliplatin</w:t>
      </w:r>
      <w:r w:rsidRPr="00552B0C">
        <w:t>; Gem+NabP, gemcitabine plus nanoparticle albumin-bound paclitaxel; nal-IRI, nanoliposomal irinotecan; NALIRIFOX, nanoliposomal irinotecan (nal-IRI) in combination with 5-fluorouracil, leucovorin/folinic acid, and oxaliplatin; PFS, progression free survival.</w:t>
      </w:r>
    </w:p>
    <w:p w14:paraId="32116925" w14:textId="77777777" w:rsidR="00091D2A" w:rsidRPr="00552B0C" w:rsidRDefault="00091D2A" w:rsidP="00457ED0">
      <w:pPr>
        <w:pStyle w:val="FooterTableFigure"/>
        <w:keepNext/>
        <w:keepLines/>
      </w:pPr>
      <w:r w:rsidRPr="00552B0C">
        <w:rPr>
          <w:vertAlign w:val="superscript"/>
        </w:rPr>
        <w:t xml:space="preserve">a </w:t>
      </w:r>
      <w:r w:rsidRPr="00552B0C">
        <w:t>The number of treatment cycles of FOLFIRINOX in the economic model and financial estimates was based on the median number of cycles reported in the GENERATE trial.</w:t>
      </w:r>
    </w:p>
    <w:p w14:paraId="60FB6D82" w14:textId="77777777" w:rsidR="00091D2A" w:rsidRPr="00552B0C" w:rsidRDefault="00091D2A" w:rsidP="00457ED0">
      <w:pPr>
        <w:pStyle w:val="FooterTableFigure"/>
        <w:keepNext/>
        <w:keepLines/>
      </w:pPr>
      <w:r w:rsidRPr="00552B0C">
        <w:rPr>
          <w:vertAlign w:val="superscript"/>
        </w:rPr>
        <w:t xml:space="preserve">b </w:t>
      </w:r>
      <w:r w:rsidRPr="00552B0C">
        <w:t>NALIRIFOX and FOLFIRINOX treatment regimens consist of 2x dug administrations/cycle, Gem+NabP treatment regimen consists of 3x drug administrations/cycle.</w:t>
      </w:r>
    </w:p>
    <w:p w14:paraId="28A4EF7E" w14:textId="77777777" w:rsidR="00091D2A" w:rsidRPr="00552B0C" w:rsidRDefault="00091D2A" w:rsidP="00457ED0">
      <w:pPr>
        <w:pStyle w:val="FooterTableFigure"/>
        <w:keepNext/>
        <w:keepLines/>
      </w:pPr>
      <w:r w:rsidRPr="00552B0C">
        <w:rPr>
          <w:vertAlign w:val="superscript"/>
        </w:rPr>
        <w:t xml:space="preserve">c </w:t>
      </w:r>
      <w:r w:rsidRPr="00552B0C">
        <w:t>Cost per patient per course was calculated by multiplying the cost per patient per cycle (informed by patient level data from the NAPOLI-3 [NALIRIFOX and Gem+NabP] and ACCORD11/PRODIGE4 [FOLFIRINOX] trials) by the mean number of treatment cycles for NALIRIFOX and Gem+NabP (from NAPOLI-3) and the median number of treatment cycles for FOLFIRINOX (from GENERATE).</w:t>
      </w:r>
    </w:p>
    <w:p w14:paraId="4DE8C61F" w14:textId="771CBF8B" w:rsidR="00ED4418" w:rsidRPr="00552B0C" w:rsidRDefault="00ED4418" w:rsidP="00091D2A">
      <w:pPr>
        <w:pStyle w:val="FooterTableFigure"/>
      </w:pPr>
      <w:r w:rsidRPr="00552B0C">
        <w:t>Note: Costs of Gem+NabP include an assumed 40% rebate applied to the costs of NabP</w:t>
      </w:r>
    </w:p>
    <w:p w14:paraId="5A847164" w14:textId="0381C4C6" w:rsidR="00091D2A" w:rsidRPr="00552B0C" w:rsidRDefault="00091D2A" w:rsidP="3B48B974">
      <w:pPr>
        <w:pStyle w:val="3-BodyText"/>
        <w:rPr>
          <w:color w:val="0066FF"/>
        </w:rPr>
      </w:pPr>
      <w:r w:rsidRPr="00552B0C">
        <w:rPr>
          <w:shd w:val="clear" w:color="auto" w:fill="FFFFFF" w:themeFill="background1"/>
        </w:rPr>
        <w:t>Other than the changed rebates applied to the costs of nal-IRI and NabP, the resubmission</w:t>
      </w:r>
      <w:r w:rsidRPr="00552B0C">
        <w:t xml:space="preserve"> used a 50 mg flat dose of folinic acid in the economic model and financial estimates for the NALIRIFOX and FOLFIRINOX regimens, rather than BSA</w:t>
      </w:r>
      <w:r w:rsidRPr="00552B0C">
        <w:noBreakHyphen/>
        <w:t>based dosing at 400 mg/m</w:t>
      </w:r>
      <w:r w:rsidRPr="00552B0C">
        <w:rPr>
          <w:vertAlign w:val="superscript"/>
        </w:rPr>
        <w:t>2</w:t>
      </w:r>
      <w:r w:rsidRPr="00552B0C">
        <w:t xml:space="preserve"> as was administered in the clinical trials. This dosage reflects advice that the eviQ guidelines will be updated to recommend 50 mg flat dosing of folinic acid for these regimens.</w:t>
      </w:r>
    </w:p>
    <w:p w14:paraId="25FEE125" w14:textId="77777777" w:rsidR="00B60939" w:rsidRPr="00C9624D" w:rsidRDefault="00B60939" w:rsidP="002B05A1">
      <w:pPr>
        <w:pStyle w:val="4-SubsectionHeading"/>
      </w:pPr>
      <w:bookmarkStart w:id="92" w:name="_Toc22897647"/>
      <w:bookmarkStart w:id="93" w:name="_Toc177546231"/>
      <w:r w:rsidRPr="00C9624D">
        <w:t>Estimated PBS usage &amp; financial implications</w:t>
      </w:r>
      <w:bookmarkEnd w:id="92"/>
      <w:bookmarkEnd w:id="93"/>
    </w:p>
    <w:p w14:paraId="3E101DC9" w14:textId="0A8C2676" w:rsidR="00091D2A" w:rsidRPr="00552B0C" w:rsidRDefault="00091D2A" w:rsidP="00552B0C">
      <w:pPr>
        <w:pStyle w:val="3-BodyText"/>
        <w:numPr>
          <w:ilvl w:val="1"/>
          <w:numId w:val="5"/>
        </w:numPr>
        <w:rPr>
          <w:color w:val="0066FF"/>
        </w:rPr>
      </w:pPr>
      <w:r w:rsidRPr="00552B0C">
        <w:t xml:space="preserve">This submission </w:t>
      </w:r>
      <w:r w:rsidR="008D0CB9" w:rsidRPr="00552B0C">
        <w:t>was not</w:t>
      </w:r>
      <w:r w:rsidRPr="00552B0C">
        <w:t xml:space="preserve"> considered by DUSC. </w:t>
      </w:r>
    </w:p>
    <w:p w14:paraId="0B537D97" w14:textId="77777777" w:rsidR="00091D2A" w:rsidRPr="00552B0C" w:rsidRDefault="00091D2A" w:rsidP="00552B0C">
      <w:pPr>
        <w:pStyle w:val="3-BodyText"/>
        <w:numPr>
          <w:ilvl w:val="1"/>
          <w:numId w:val="5"/>
        </w:numPr>
        <w:rPr>
          <w:color w:val="0066FF"/>
        </w:rPr>
      </w:pPr>
      <w:r w:rsidRPr="00552B0C">
        <w:t xml:space="preserve">The resubmission used an epidemiological approach to estimate the PBS usage and financial implications associated with the proposed listing of nal-IRI. </w:t>
      </w:r>
    </w:p>
    <w:p w14:paraId="1D05CDF8" w14:textId="7F65BA5E" w:rsidR="00091D2A" w:rsidRPr="00552B0C" w:rsidRDefault="00091D2A" w:rsidP="00552B0C">
      <w:pPr>
        <w:pStyle w:val="3-BodyText"/>
        <w:numPr>
          <w:ilvl w:val="1"/>
          <w:numId w:val="5"/>
        </w:numPr>
        <w:rPr>
          <w:rFonts w:ascii="Arial Narrow" w:hAnsi="Arial Narrow"/>
          <w:sz w:val="20"/>
        </w:rPr>
      </w:pPr>
      <w:r w:rsidRPr="00552B0C">
        <w:t xml:space="preserve">A summary of the key inputs in the financial analysis is presented in </w:t>
      </w:r>
      <w:r w:rsidRPr="00552B0C">
        <w:fldChar w:fldCharType="begin" w:fldLock="1"/>
      </w:r>
      <w:r w:rsidRPr="00552B0C">
        <w:instrText xml:space="preserve"> REF _Ref176359960 \h </w:instrText>
      </w:r>
      <w:r w:rsidR="00B87FAE" w:rsidRPr="00552B0C">
        <w:instrText xml:space="preserve"> \* MERGEFORMAT </w:instrText>
      </w:r>
      <w:r w:rsidRPr="00552B0C">
        <w:fldChar w:fldCharType="separate"/>
      </w:r>
      <w:r w:rsidR="001C19B6" w:rsidRPr="00552B0C">
        <w:t xml:space="preserve">Table </w:t>
      </w:r>
      <w:r w:rsidR="001C19B6">
        <w:rPr>
          <w:noProof/>
        </w:rPr>
        <w:t>19</w:t>
      </w:r>
      <w:r w:rsidRPr="00552B0C">
        <w:fldChar w:fldCharType="end"/>
      </w:r>
      <w:r w:rsidR="001838EF">
        <w:t>.</w:t>
      </w:r>
      <w:r w:rsidRPr="00552B0C">
        <w:t xml:space="preserve"> </w:t>
      </w:r>
    </w:p>
    <w:p w14:paraId="02BB5AD8" w14:textId="5DF4709C" w:rsidR="00091D2A" w:rsidRPr="00552B0C" w:rsidRDefault="00E16AD8" w:rsidP="00C81C2F">
      <w:pPr>
        <w:pStyle w:val="TableFigureHeading"/>
        <w:keepLines/>
        <w:rPr>
          <w:rStyle w:val="CommentReference"/>
          <w:b/>
          <w:szCs w:val="24"/>
        </w:rPr>
      </w:pPr>
      <w:bookmarkStart w:id="94" w:name="_Ref176359960"/>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19</w:t>
      </w:r>
      <w:r w:rsidR="001C19B6">
        <w:rPr>
          <w:noProof/>
        </w:rPr>
        <w:fldChar w:fldCharType="end"/>
      </w:r>
      <w:bookmarkEnd w:id="94"/>
      <w:r w:rsidR="00091D2A" w:rsidRPr="00552B0C">
        <w:t>:</w:t>
      </w:r>
      <w:r w:rsidR="00091D2A" w:rsidRPr="00552B0C">
        <w:rPr>
          <w:rStyle w:val="CommentReference"/>
          <w:b/>
          <w:szCs w:val="24"/>
        </w:rPr>
        <w:t xml:space="preserve"> 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9: Key inputs for financial estimates"/>
      </w:tblPr>
      <w:tblGrid>
        <w:gridCol w:w="1645"/>
        <w:gridCol w:w="2292"/>
        <w:gridCol w:w="5080"/>
      </w:tblGrid>
      <w:tr w:rsidR="00091D2A" w:rsidRPr="00552B0C" w14:paraId="039D263A" w14:textId="77777777">
        <w:trPr>
          <w:tblHeader/>
        </w:trPr>
        <w:tc>
          <w:tcPr>
            <w:tcW w:w="0" w:type="auto"/>
            <w:shd w:val="clear" w:color="auto" w:fill="FFFFFF" w:themeFill="background1"/>
            <w:vAlign w:val="center"/>
          </w:tcPr>
          <w:p w14:paraId="6898C956" w14:textId="77777777" w:rsidR="00091D2A" w:rsidRPr="00552B0C" w:rsidRDefault="00091D2A" w:rsidP="00C81C2F">
            <w:pPr>
              <w:pStyle w:val="In-tableHeading"/>
              <w:keepLines/>
            </w:pPr>
            <w:r w:rsidRPr="00552B0C">
              <w:t>Parameter</w:t>
            </w:r>
          </w:p>
        </w:tc>
        <w:tc>
          <w:tcPr>
            <w:tcW w:w="0" w:type="auto"/>
            <w:shd w:val="clear" w:color="auto" w:fill="FFFFFF" w:themeFill="background1"/>
            <w:vAlign w:val="center"/>
          </w:tcPr>
          <w:p w14:paraId="4870E347" w14:textId="77777777" w:rsidR="00091D2A" w:rsidRPr="00552B0C" w:rsidRDefault="00091D2A" w:rsidP="00C81C2F">
            <w:pPr>
              <w:pStyle w:val="In-tableHeading"/>
              <w:keepLines/>
            </w:pPr>
            <w:r w:rsidRPr="00552B0C">
              <w:t>Value applied and source</w:t>
            </w:r>
          </w:p>
        </w:tc>
        <w:tc>
          <w:tcPr>
            <w:tcW w:w="0" w:type="auto"/>
            <w:shd w:val="clear" w:color="auto" w:fill="FFFFFF" w:themeFill="background1"/>
            <w:vAlign w:val="center"/>
          </w:tcPr>
          <w:p w14:paraId="2DCBEF04" w14:textId="77777777" w:rsidR="00091D2A" w:rsidRPr="00552B0C" w:rsidRDefault="00091D2A" w:rsidP="00C81C2F">
            <w:pPr>
              <w:pStyle w:val="In-tableHeading"/>
              <w:keepLines/>
            </w:pPr>
            <w:r w:rsidRPr="00552B0C">
              <w:t>Comment</w:t>
            </w:r>
          </w:p>
        </w:tc>
      </w:tr>
      <w:tr w:rsidR="00091D2A" w:rsidRPr="00552B0C" w14:paraId="5472138E" w14:textId="77777777">
        <w:tc>
          <w:tcPr>
            <w:tcW w:w="0" w:type="auto"/>
            <w:gridSpan w:val="3"/>
            <w:shd w:val="clear" w:color="auto" w:fill="FFFFFF" w:themeFill="background1"/>
            <w:vAlign w:val="center"/>
          </w:tcPr>
          <w:p w14:paraId="3ED03445" w14:textId="77777777" w:rsidR="00091D2A" w:rsidRPr="00552B0C" w:rsidRDefault="00091D2A" w:rsidP="00C81C2F">
            <w:pPr>
              <w:pStyle w:val="TableText0"/>
              <w:keepLines/>
              <w:rPr>
                <w:b/>
                <w:bCs w:val="0"/>
              </w:rPr>
            </w:pPr>
            <w:r w:rsidRPr="00552B0C">
              <w:rPr>
                <w:b/>
                <w:bCs w:val="0"/>
              </w:rPr>
              <w:t>Eligible population</w:t>
            </w:r>
          </w:p>
        </w:tc>
      </w:tr>
      <w:tr w:rsidR="00091D2A" w:rsidRPr="00552B0C" w14:paraId="58D2FB8B" w14:textId="77777777">
        <w:tc>
          <w:tcPr>
            <w:tcW w:w="0" w:type="auto"/>
            <w:shd w:val="clear" w:color="auto" w:fill="B8CCE4" w:themeFill="accent1" w:themeFillTint="66"/>
            <w:vAlign w:val="center"/>
          </w:tcPr>
          <w:p w14:paraId="37651C48" w14:textId="77777777" w:rsidR="00091D2A" w:rsidRPr="00552B0C" w:rsidRDefault="00091D2A" w:rsidP="00C81C2F">
            <w:pPr>
              <w:pStyle w:val="TableText0"/>
              <w:keepLines/>
            </w:pPr>
            <w:r w:rsidRPr="00552B0C">
              <w:t>Incident patients – pancreatic cancer</w:t>
            </w:r>
          </w:p>
        </w:tc>
        <w:tc>
          <w:tcPr>
            <w:tcW w:w="0" w:type="auto"/>
            <w:shd w:val="clear" w:color="auto" w:fill="FFFFFF" w:themeFill="background1"/>
            <w:vAlign w:val="center"/>
          </w:tcPr>
          <w:p w14:paraId="3CFACD00" w14:textId="77777777" w:rsidR="00091D2A" w:rsidRPr="00552B0C" w:rsidRDefault="00091D2A" w:rsidP="00C81C2F">
            <w:pPr>
              <w:pStyle w:val="TableText0"/>
              <w:keepLines/>
            </w:pPr>
            <w:r w:rsidRPr="00552B0C">
              <w:t>4,930 in year 1, increasing to 5,818 in Year 6</w:t>
            </w:r>
          </w:p>
          <w:p w14:paraId="7C97407A" w14:textId="77777777" w:rsidR="00091D2A" w:rsidRPr="00552B0C" w:rsidRDefault="00091D2A" w:rsidP="00C81C2F">
            <w:pPr>
              <w:pStyle w:val="TableText0"/>
              <w:keepLines/>
            </w:pPr>
            <w:r w:rsidRPr="00552B0C">
              <w:t>AIHW Projected Incidence of pancreatic cancer: People (2025-2030)</w:t>
            </w:r>
          </w:p>
        </w:tc>
        <w:tc>
          <w:tcPr>
            <w:tcW w:w="0" w:type="auto"/>
            <w:shd w:val="clear" w:color="auto" w:fill="FFFFFF" w:themeFill="background1"/>
            <w:vAlign w:val="center"/>
          </w:tcPr>
          <w:p w14:paraId="51919376" w14:textId="77777777" w:rsidR="00091D2A" w:rsidRPr="00552B0C" w:rsidRDefault="00091D2A" w:rsidP="00C81C2F">
            <w:pPr>
              <w:pStyle w:val="TableText0"/>
              <w:keepLines/>
            </w:pPr>
            <w:r w:rsidRPr="00552B0C">
              <w:t>Updated data have been utilised in the resubmission. This is appropriate.</w:t>
            </w:r>
          </w:p>
        </w:tc>
      </w:tr>
      <w:tr w:rsidR="00091D2A" w:rsidRPr="00552B0C" w14:paraId="11D016DE" w14:textId="77777777">
        <w:tc>
          <w:tcPr>
            <w:tcW w:w="0" w:type="auto"/>
            <w:shd w:val="clear" w:color="auto" w:fill="B8CCE4" w:themeFill="accent1" w:themeFillTint="66"/>
            <w:vAlign w:val="center"/>
          </w:tcPr>
          <w:p w14:paraId="3108EFFE" w14:textId="77777777" w:rsidR="00091D2A" w:rsidRPr="00552B0C" w:rsidRDefault="00091D2A">
            <w:pPr>
              <w:pStyle w:val="TableText0"/>
              <w:keepNext w:val="0"/>
            </w:pPr>
            <w:r w:rsidRPr="00552B0C">
              <w:t>Proportion of incident patients with mPAC</w:t>
            </w:r>
          </w:p>
        </w:tc>
        <w:tc>
          <w:tcPr>
            <w:tcW w:w="0" w:type="auto"/>
            <w:shd w:val="clear" w:color="auto" w:fill="B8CCE4" w:themeFill="accent1" w:themeFillTint="66"/>
            <w:vAlign w:val="center"/>
          </w:tcPr>
          <w:p w14:paraId="3EEBBDB6" w14:textId="77777777" w:rsidR="00091D2A" w:rsidRPr="00552B0C" w:rsidRDefault="00091D2A">
            <w:pPr>
              <w:pStyle w:val="TableText0"/>
              <w:keepNext w:val="0"/>
            </w:pPr>
            <w:r w:rsidRPr="00552B0C">
              <w:t>80%</w:t>
            </w:r>
          </w:p>
          <w:p w14:paraId="74D9D22B" w14:textId="77777777" w:rsidR="00091D2A" w:rsidRPr="00552B0C" w:rsidRDefault="00091D2A">
            <w:pPr>
              <w:pStyle w:val="TableText0"/>
              <w:keepNext w:val="0"/>
            </w:pPr>
            <w:r w:rsidRPr="00552B0C">
              <w:t xml:space="preserve">Malik 2012; Puckett 2022; Santucci 2022; Cancer Council 2022; AJGP 2019. </w:t>
            </w:r>
          </w:p>
        </w:tc>
        <w:tc>
          <w:tcPr>
            <w:tcW w:w="0" w:type="auto"/>
            <w:shd w:val="clear" w:color="auto" w:fill="B8CCE4" w:themeFill="accent1" w:themeFillTint="66"/>
            <w:vAlign w:val="center"/>
          </w:tcPr>
          <w:p w14:paraId="6360C0C4" w14:textId="77777777" w:rsidR="00091D2A" w:rsidRPr="00552B0C" w:rsidRDefault="00091D2A">
            <w:pPr>
              <w:pStyle w:val="TableText0"/>
              <w:keepNext w:val="0"/>
            </w:pPr>
            <w:r w:rsidRPr="00552B0C">
              <w:t>This estimate includes patients with both Stage III (locally advanced/unresectable) and Stage IV (metastatic) pancreatic cancer. The ESC previously considered that most patients with Stage III disease would progress to Stage IV disease and determined that the estimated value was reasonable (para 6.100, irinotecan (nanoliposomal), PSD, March 2024 PBAC submission).</w:t>
            </w:r>
          </w:p>
        </w:tc>
      </w:tr>
      <w:tr w:rsidR="00091D2A" w:rsidRPr="00552B0C" w14:paraId="238606D8" w14:textId="77777777">
        <w:tc>
          <w:tcPr>
            <w:tcW w:w="0" w:type="auto"/>
            <w:shd w:val="clear" w:color="auto" w:fill="B8CCE4" w:themeFill="accent1" w:themeFillTint="66"/>
            <w:vAlign w:val="center"/>
          </w:tcPr>
          <w:p w14:paraId="7709F931" w14:textId="77777777" w:rsidR="00091D2A" w:rsidRPr="00552B0C" w:rsidRDefault="00091D2A">
            <w:pPr>
              <w:pStyle w:val="TableText0"/>
              <w:keepNext w:val="0"/>
            </w:pPr>
            <w:r w:rsidRPr="00552B0C">
              <w:t>Proportion of mPAC patients receiving systemic therapy</w:t>
            </w:r>
          </w:p>
        </w:tc>
        <w:tc>
          <w:tcPr>
            <w:tcW w:w="0" w:type="auto"/>
            <w:shd w:val="clear" w:color="auto" w:fill="B8CCE4" w:themeFill="accent1" w:themeFillTint="66"/>
            <w:vAlign w:val="center"/>
          </w:tcPr>
          <w:p w14:paraId="54A9D5FE" w14:textId="77777777" w:rsidR="00091D2A" w:rsidRPr="00552B0C" w:rsidRDefault="00091D2A">
            <w:pPr>
              <w:pStyle w:val="TableText0"/>
              <w:keepNext w:val="0"/>
            </w:pPr>
            <w:r w:rsidRPr="00552B0C">
              <w:t xml:space="preserve">57.30% </w:t>
            </w:r>
          </w:p>
          <w:p w14:paraId="12836198" w14:textId="77777777" w:rsidR="00091D2A" w:rsidRPr="00552B0C" w:rsidRDefault="00091D2A">
            <w:pPr>
              <w:pStyle w:val="TableText0"/>
              <w:keepNext w:val="0"/>
            </w:pPr>
            <w:r w:rsidRPr="00552B0C">
              <w:t xml:space="preserve">Santucci 2022, PURPLE registry. </w:t>
            </w:r>
          </w:p>
        </w:tc>
        <w:tc>
          <w:tcPr>
            <w:tcW w:w="0" w:type="auto"/>
            <w:shd w:val="clear" w:color="auto" w:fill="B8CCE4" w:themeFill="accent1" w:themeFillTint="66"/>
            <w:vAlign w:val="center"/>
          </w:tcPr>
          <w:p w14:paraId="5543C269" w14:textId="6BB5FA3E" w:rsidR="00091D2A" w:rsidRPr="00552B0C" w:rsidRDefault="00091D2A">
            <w:pPr>
              <w:pStyle w:val="TableText0"/>
              <w:keepNext w:val="0"/>
            </w:pPr>
            <w:r w:rsidRPr="00552B0C">
              <w:t>This is reasonable</w:t>
            </w:r>
            <w:r w:rsidR="008D0998">
              <w:t xml:space="preserve"> </w:t>
            </w:r>
          </w:p>
        </w:tc>
      </w:tr>
      <w:tr w:rsidR="00091D2A" w:rsidRPr="00552B0C" w14:paraId="0CC7AE76" w14:textId="77777777">
        <w:tc>
          <w:tcPr>
            <w:tcW w:w="0" w:type="auto"/>
            <w:shd w:val="clear" w:color="auto" w:fill="FFFFFF" w:themeFill="background1"/>
            <w:vAlign w:val="center"/>
          </w:tcPr>
          <w:p w14:paraId="67C157FF" w14:textId="3CE470CB" w:rsidR="00091D2A" w:rsidRPr="00552B0C" w:rsidRDefault="00091D2A">
            <w:pPr>
              <w:pStyle w:val="TableText0"/>
              <w:keepNext w:val="0"/>
            </w:pPr>
            <w:r w:rsidRPr="00552B0C">
              <w:t>Proportion of mPAC patients receiving systemic therapy with ECOG</w:t>
            </w:r>
            <w:r w:rsidR="008824DB" w:rsidRPr="00552B0C">
              <w:t xml:space="preserve"> </w:t>
            </w:r>
            <w:r w:rsidRPr="00552B0C">
              <w:t>PS 0 or 1 </w:t>
            </w:r>
          </w:p>
        </w:tc>
        <w:tc>
          <w:tcPr>
            <w:tcW w:w="0" w:type="auto"/>
            <w:shd w:val="clear" w:color="auto" w:fill="FFFFFF" w:themeFill="background1"/>
            <w:vAlign w:val="center"/>
          </w:tcPr>
          <w:p w14:paraId="7F59AF12" w14:textId="77777777" w:rsidR="00091D2A" w:rsidRPr="00552B0C" w:rsidRDefault="00091D2A">
            <w:pPr>
              <w:pStyle w:val="TableText0"/>
              <w:keepNext w:val="0"/>
            </w:pPr>
            <w:r w:rsidRPr="00552B0C">
              <w:t>92.30%</w:t>
            </w:r>
          </w:p>
          <w:p w14:paraId="2E9E32C9" w14:textId="77777777" w:rsidR="00091D2A" w:rsidRPr="00552B0C" w:rsidRDefault="00091D2A">
            <w:pPr>
              <w:pStyle w:val="TableText0"/>
              <w:keepNext w:val="0"/>
            </w:pPr>
            <w:r w:rsidRPr="00552B0C">
              <w:t>PURPLE registry</w:t>
            </w:r>
          </w:p>
        </w:tc>
        <w:tc>
          <w:tcPr>
            <w:tcW w:w="0" w:type="auto"/>
            <w:shd w:val="clear" w:color="auto" w:fill="FFFFFF" w:themeFill="background1"/>
            <w:vAlign w:val="center"/>
          </w:tcPr>
          <w:p w14:paraId="060F1C92" w14:textId="77777777" w:rsidR="00091D2A" w:rsidRPr="00552B0C" w:rsidRDefault="00091D2A">
            <w:pPr>
              <w:pStyle w:val="TableText0"/>
              <w:keepNext w:val="0"/>
            </w:pPr>
            <w:r w:rsidRPr="00552B0C">
              <w:t>This is reasonable.</w:t>
            </w:r>
          </w:p>
        </w:tc>
      </w:tr>
      <w:tr w:rsidR="00091D2A" w:rsidRPr="00552B0C" w14:paraId="3DFE78DD" w14:textId="77777777">
        <w:tc>
          <w:tcPr>
            <w:tcW w:w="0" w:type="auto"/>
            <w:gridSpan w:val="3"/>
            <w:shd w:val="clear" w:color="auto" w:fill="auto"/>
            <w:vAlign w:val="center"/>
          </w:tcPr>
          <w:p w14:paraId="637C98CA" w14:textId="77777777" w:rsidR="00091D2A" w:rsidRPr="00552B0C" w:rsidRDefault="00091D2A">
            <w:pPr>
              <w:pStyle w:val="TableText0"/>
              <w:keepNext w:val="0"/>
              <w:rPr>
                <w:b/>
                <w:bCs w:val="0"/>
              </w:rPr>
            </w:pPr>
            <w:r w:rsidRPr="00552B0C">
              <w:rPr>
                <w:b/>
                <w:bCs w:val="0"/>
              </w:rPr>
              <w:t>Treatment utilisation</w:t>
            </w:r>
          </w:p>
        </w:tc>
      </w:tr>
      <w:tr w:rsidR="00091D2A" w:rsidRPr="00552B0C" w14:paraId="7C89E229" w14:textId="77777777">
        <w:tc>
          <w:tcPr>
            <w:tcW w:w="0" w:type="auto"/>
            <w:shd w:val="clear" w:color="auto" w:fill="auto"/>
            <w:vAlign w:val="center"/>
          </w:tcPr>
          <w:p w14:paraId="666F9D4F" w14:textId="77777777" w:rsidR="00091D2A" w:rsidRPr="00552B0C" w:rsidRDefault="00091D2A">
            <w:pPr>
              <w:pStyle w:val="TableText0"/>
              <w:keepNext w:val="0"/>
            </w:pPr>
            <w:r w:rsidRPr="00552B0C">
              <w:t>Current market share of treatments for eligible population in Australia</w:t>
            </w:r>
          </w:p>
        </w:tc>
        <w:tc>
          <w:tcPr>
            <w:tcW w:w="0" w:type="auto"/>
            <w:shd w:val="clear" w:color="auto" w:fill="auto"/>
            <w:vAlign w:val="center"/>
          </w:tcPr>
          <w:p w14:paraId="62F2D689" w14:textId="77777777" w:rsidR="00091D2A" w:rsidRPr="00552B0C" w:rsidRDefault="00091D2A">
            <w:pPr>
              <w:pStyle w:val="TableText0"/>
              <w:keepNext w:val="0"/>
            </w:pPr>
            <w:r w:rsidRPr="00552B0C">
              <w:t>85.1% Gem+NabP/14.9% FOLFIRINOX</w:t>
            </w:r>
          </w:p>
          <w:p w14:paraId="191D22C2" w14:textId="77777777" w:rsidR="00091D2A" w:rsidRPr="00552B0C" w:rsidRDefault="00091D2A">
            <w:pPr>
              <w:pStyle w:val="TableText0"/>
              <w:keepNext w:val="0"/>
            </w:pPr>
            <w:r w:rsidRPr="00552B0C">
              <w:t>PURPLE registry</w:t>
            </w:r>
          </w:p>
        </w:tc>
        <w:tc>
          <w:tcPr>
            <w:tcW w:w="0" w:type="auto"/>
            <w:shd w:val="clear" w:color="auto" w:fill="auto"/>
            <w:vAlign w:val="center"/>
          </w:tcPr>
          <w:p w14:paraId="0DCB2FEA" w14:textId="00074D17" w:rsidR="00091D2A" w:rsidRPr="00552B0C" w:rsidRDefault="00091D2A">
            <w:pPr>
              <w:jc w:val="left"/>
              <w:rPr>
                <w:rFonts w:ascii="Arial Narrow" w:hAnsi="Arial Narrow"/>
                <w:sz w:val="20"/>
                <w:szCs w:val="20"/>
              </w:rPr>
            </w:pPr>
            <w:r w:rsidRPr="00552B0C">
              <w:rPr>
                <w:rFonts w:ascii="Arial Narrow" w:hAnsi="Arial Narrow"/>
                <w:sz w:val="20"/>
                <w:szCs w:val="20"/>
              </w:rPr>
              <w:t xml:space="preserve">From the analysis of the PURPLE registry by Lee 2023, the market share of first-line treatments for patients with locally advanced, recurrent or metastatic pancreatic cancer was 66.5% Gem+NabP, 10.9% FOLFIRINOX and 23% other therapies. </w:t>
            </w:r>
          </w:p>
          <w:p w14:paraId="46F9E9C4" w14:textId="49B13CE3" w:rsidR="00091D2A" w:rsidRPr="00552B0C" w:rsidRDefault="00091D2A">
            <w:pPr>
              <w:jc w:val="left"/>
              <w:rPr>
                <w:rFonts w:ascii="Arial Narrow" w:hAnsi="Arial Narrow"/>
                <w:sz w:val="20"/>
                <w:szCs w:val="20"/>
              </w:rPr>
            </w:pPr>
            <w:r w:rsidRPr="00552B0C">
              <w:rPr>
                <w:rFonts w:ascii="Arial Narrow" w:hAnsi="Arial Narrow"/>
                <w:sz w:val="20"/>
                <w:szCs w:val="20"/>
              </w:rPr>
              <w:t xml:space="preserve">As such, the proposed proportions </w:t>
            </w:r>
            <w:r w:rsidR="00FC05B6" w:rsidRPr="00552B0C">
              <w:rPr>
                <w:rFonts w:ascii="Arial Narrow" w:hAnsi="Arial Narrow"/>
                <w:sz w:val="20"/>
                <w:szCs w:val="20"/>
              </w:rPr>
              <w:t xml:space="preserve">may </w:t>
            </w:r>
            <w:r w:rsidRPr="00552B0C">
              <w:rPr>
                <w:rFonts w:ascii="Arial Narrow" w:hAnsi="Arial Narrow"/>
                <w:sz w:val="20"/>
                <w:szCs w:val="20"/>
              </w:rPr>
              <w:t>overestimate the current market share of Gem+NabP and FOLFIRINOX within the eligible population. The financial estimates are sensitive to this input.</w:t>
            </w:r>
          </w:p>
        </w:tc>
      </w:tr>
      <w:tr w:rsidR="00091D2A" w:rsidRPr="00552B0C" w14:paraId="4E0EF2BA" w14:textId="77777777">
        <w:tc>
          <w:tcPr>
            <w:tcW w:w="0" w:type="auto"/>
            <w:shd w:val="clear" w:color="auto" w:fill="auto"/>
            <w:vAlign w:val="center"/>
          </w:tcPr>
          <w:p w14:paraId="50B6368E" w14:textId="77777777" w:rsidR="00091D2A" w:rsidRPr="00552B0C" w:rsidRDefault="00091D2A">
            <w:pPr>
              <w:pStyle w:val="TableText0"/>
              <w:keepNext w:val="0"/>
            </w:pPr>
            <w:r w:rsidRPr="00552B0C">
              <w:t>Extent of substitution of Gem+NabP and FOLFIRINOX by NALIRIFOX</w:t>
            </w:r>
          </w:p>
        </w:tc>
        <w:tc>
          <w:tcPr>
            <w:tcW w:w="0" w:type="auto"/>
            <w:shd w:val="clear" w:color="auto" w:fill="auto"/>
            <w:vAlign w:val="center"/>
          </w:tcPr>
          <w:p w14:paraId="7957C292" w14:textId="1B79D2A3" w:rsidR="00091D2A" w:rsidRPr="00552B0C" w:rsidRDefault="00091D2A">
            <w:pPr>
              <w:pStyle w:val="TableText0"/>
              <w:keepNext w:val="0"/>
            </w:pPr>
            <w:r w:rsidRPr="00552B0C">
              <w:t xml:space="preserve">Gem+NabP: </w:t>
            </w:r>
            <w:r w:rsidR="005F3BC8" w:rsidRPr="00F73F98">
              <w:rPr>
                <w:color w:val="000000"/>
                <w:spacing w:val="50"/>
                <w:shd w:val="solid" w:color="000000" w:fill="000000"/>
                <w:fitText w:val="323" w:id="-760998129"/>
                <w14:textFill>
                  <w14:solidFill>
                    <w14:srgbClr w14:val="000000">
                      <w14:alpha w14:val="100000"/>
                    </w14:srgbClr>
                  </w14:solidFill>
                </w14:textFill>
              </w:rPr>
              <w:t>|||</w:t>
            </w:r>
            <w:r w:rsidR="005F3BC8" w:rsidRPr="00F73F98">
              <w:rPr>
                <w:color w:val="000000"/>
                <w:spacing w:val="3"/>
                <w:shd w:val="solid" w:color="000000" w:fill="000000"/>
                <w:fitText w:val="323" w:id="-760998129"/>
                <w14:textFill>
                  <w14:solidFill>
                    <w14:srgbClr w14:val="000000">
                      <w14:alpha w14:val="100000"/>
                    </w14:srgbClr>
                  </w14:solidFill>
                </w14:textFill>
              </w:rPr>
              <w:t>|</w:t>
            </w:r>
            <w:r w:rsidRPr="00552B0C">
              <w:t xml:space="preserve">% in Year 1, </w:t>
            </w:r>
            <w:r w:rsidR="005F3BC8" w:rsidRPr="00F73F98">
              <w:rPr>
                <w:color w:val="000000"/>
                <w:spacing w:val="54"/>
                <w:shd w:val="solid" w:color="000000" w:fill="000000"/>
                <w:fitText w:val="333" w:id="-760998128"/>
                <w14:textFill>
                  <w14:solidFill>
                    <w14:srgbClr w14:val="000000">
                      <w14:alpha w14:val="100000"/>
                    </w14:srgbClr>
                  </w14:solidFill>
                </w14:textFill>
              </w:rPr>
              <w:t>|||</w:t>
            </w:r>
            <w:r w:rsidR="005F3BC8" w:rsidRPr="00F73F98">
              <w:rPr>
                <w:color w:val="000000"/>
                <w:spacing w:val="1"/>
                <w:shd w:val="solid" w:color="000000" w:fill="000000"/>
                <w:fitText w:val="333" w:id="-760998128"/>
                <w14:textFill>
                  <w14:solidFill>
                    <w14:srgbClr w14:val="000000">
                      <w14:alpha w14:val="100000"/>
                    </w14:srgbClr>
                  </w14:solidFill>
                </w14:textFill>
              </w:rPr>
              <w:t>|</w:t>
            </w:r>
            <w:r w:rsidRPr="00552B0C">
              <w:t>% in Year 2 onwards</w:t>
            </w:r>
          </w:p>
          <w:p w14:paraId="36D044D7" w14:textId="610E07DB" w:rsidR="00091D2A" w:rsidRPr="00552B0C" w:rsidRDefault="00091D2A">
            <w:pPr>
              <w:pStyle w:val="TableText0"/>
              <w:keepNext w:val="0"/>
            </w:pPr>
            <w:r w:rsidRPr="00552B0C">
              <w:t xml:space="preserve">FOLFIRINOX: </w:t>
            </w:r>
            <w:r w:rsidRPr="006319D2">
              <w:t>75</w:t>
            </w:r>
            <w:r w:rsidRPr="00552B0C">
              <w:t xml:space="preserve">% in Year 1, </w:t>
            </w:r>
            <w:r w:rsidR="005F3BC8" w:rsidRPr="00F73F98">
              <w:rPr>
                <w:color w:val="000000"/>
                <w:spacing w:val="54"/>
                <w:shd w:val="solid" w:color="000000" w:fill="000000"/>
                <w:fitText w:val="333" w:id="-760998144"/>
                <w14:textFill>
                  <w14:solidFill>
                    <w14:srgbClr w14:val="000000">
                      <w14:alpha w14:val="100000"/>
                    </w14:srgbClr>
                  </w14:solidFill>
                </w14:textFill>
              </w:rPr>
              <w:t>|||</w:t>
            </w:r>
            <w:r w:rsidR="005F3BC8" w:rsidRPr="00F73F98">
              <w:rPr>
                <w:color w:val="000000"/>
                <w:spacing w:val="1"/>
                <w:shd w:val="solid" w:color="000000" w:fill="000000"/>
                <w:fitText w:val="333" w:id="-760998144"/>
                <w14:textFill>
                  <w14:solidFill>
                    <w14:srgbClr w14:val="000000">
                      <w14:alpha w14:val="100000"/>
                    </w14:srgbClr>
                  </w14:solidFill>
                </w14:textFill>
              </w:rPr>
              <w:t>|</w:t>
            </w:r>
            <w:r w:rsidRPr="00552B0C">
              <w:t>% from Year 2 onwards</w:t>
            </w:r>
          </w:p>
          <w:p w14:paraId="6EEDB1DC" w14:textId="77777777" w:rsidR="00091D2A" w:rsidRPr="00552B0C" w:rsidRDefault="00091D2A">
            <w:pPr>
              <w:pStyle w:val="TableText0"/>
              <w:keepNext w:val="0"/>
            </w:pPr>
            <w:r w:rsidRPr="00552B0C">
              <w:t>Assumption</w:t>
            </w:r>
          </w:p>
        </w:tc>
        <w:tc>
          <w:tcPr>
            <w:tcW w:w="0" w:type="auto"/>
            <w:shd w:val="clear" w:color="auto" w:fill="auto"/>
            <w:vAlign w:val="center"/>
          </w:tcPr>
          <w:p w14:paraId="2FCD493F" w14:textId="36E72F04" w:rsidR="00091D2A" w:rsidRPr="00552B0C" w:rsidRDefault="00091D2A">
            <w:pPr>
              <w:pStyle w:val="TableText0"/>
              <w:keepNext w:val="0"/>
              <w:rPr>
                <w:rFonts w:cstheme="minorBidi"/>
              </w:rPr>
            </w:pPr>
            <w:r w:rsidRPr="00552B0C">
              <w:rPr>
                <w:rFonts w:cstheme="minorBidi"/>
              </w:rPr>
              <w:t xml:space="preserve">This is a change from the March 2024 submission, which assumed substitution of Gem+NabP by NALIRIFOX of up to </w:t>
            </w:r>
            <w:r w:rsidR="005F3BC8" w:rsidRPr="00F73F98">
              <w:rPr>
                <w:rFonts w:cstheme="minorBidi"/>
                <w:color w:val="000000"/>
                <w:spacing w:val="54"/>
                <w:shd w:val="solid" w:color="000000" w:fill="000000"/>
                <w:fitText w:val="333" w:id="-760998143"/>
                <w14:textFill>
                  <w14:solidFill>
                    <w14:srgbClr w14:val="000000">
                      <w14:alpha w14:val="100000"/>
                    </w14:srgbClr>
                  </w14:solidFill>
                </w14:textFill>
              </w:rPr>
              <w:t>|||</w:t>
            </w:r>
            <w:r w:rsidR="005F3BC8" w:rsidRPr="00F73F98">
              <w:rPr>
                <w:rFonts w:cstheme="minorBidi"/>
                <w:color w:val="000000"/>
                <w:spacing w:val="1"/>
                <w:shd w:val="solid" w:color="000000" w:fill="000000"/>
                <w:fitText w:val="333" w:id="-760998143"/>
                <w14:textFill>
                  <w14:solidFill>
                    <w14:srgbClr w14:val="000000">
                      <w14:alpha w14:val="100000"/>
                    </w14:srgbClr>
                  </w14:solidFill>
                </w14:textFill>
              </w:rPr>
              <w:t>|</w:t>
            </w:r>
            <w:r w:rsidRPr="00552B0C">
              <w:rPr>
                <w:rFonts w:cstheme="minorBidi"/>
              </w:rPr>
              <w:t>% and assumed no substitution of FOLFIRINOX.</w:t>
            </w:r>
          </w:p>
          <w:p w14:paraId="717FC755" w14:textId="77777777" w:rsidR="00091D2A" w:rsidRPr="00552B0C" w:rsidRDefault="00091D2A">
            <w:pPr>
              <w:pStyle w:val="TableText0"/>
              <w:keepNext w:val="0"/>
            </w:pPr>
            <w:r w:rsidRPr="00552B0C">
              <w:rPr>
                <w:rFonts w:cstheme="minorBidi"/>
              </w:rPr>
              <w:t>The extent to which NALIRIFOX will substitute for Gem+NabP in clinical practice is uncertain given the toxicity profile for NALIRIFOX. The financial estimates are sensitive to this input.</w:t>
            </w:r>
          </w:p>
        </w:tc>
      </w:tr>
      <w:tr w:rsidR="00091D2A" w:rsidRPr="00552B0C" w14:paraId="71E50ED8" w14:textId="77777777">
        <w:tc>
          <w:tcPr>
            <w:tcW w:w="0" w:type="auto"/>
            <w:shd w:val="clear" w:color="auto" w:fill="auto"/>
            <w:vAlign w:val="center"/>
          </w:tcPr>
          <w:p w14:paraId="2E82A44F" w14:textId="77777777" w:rsidR="00091D2A" w:rsidRPr="00552B0C" w:rsidRDefault="00091D2A">
            <w:pPr>
              <w:pStyle w:val="TableText0"/>
              <w:keepNext w:val="0"/>
            </w:pPr>
            <w:r w:rsidRPr="00552B0C">
              <w:t>Uptake rate of NALIRIFOX</w:t>
            </w:r>
          </w:p>
        </w:tc>
        <w:tc>
          <w:tcPr>
            <w:tcW w:w="0" w:type="auto"/>
            <w:shd w:val="clear" w:color="auto" w:fill="auto"/>
            <w:vAlign w:val="center"/>
          </w:tcPr>
          <w:p w14:paraId="64E64343" w14:textId="5F154F6D" w:rsidR="00091D2A" w:rsidRPr="00552B0C" w:rsidRDefault="005F3BC8">
            <w:pPr>
              <w:pStyle w:val="TableText0"/>
              <w:keepNext w:val="0"/>
            </w:pPr>
            <w:r w:rsidRPr="00F73F98">
              <w:rPr>
                <w:color w:val="000000"/>
                <w:spacing w:val="54"/>
                <w:shd w:val="solid" w:color="000000" w:fill="000000"/>
                <w:fitText w:val="333" w:id="-760998142"/>
                <w14:textFill>
                  <w14:solidFill>
                    <w14:srgbClr w14:val="000000">
                      <w14:alpha w14:val="100000"/>
                    </w14:srgbClr>
                  </w14:solidFill>
                </w14:textFill>
              </w:rPr>
              <w:t>|||</w:t>
            </w:r>
            <w:r w:rsidRPr="00F73F98">
              <w:rPr>
                <w:color w:val="000000"/>
                <w:spacing w:val="1"/>
                <w:shd w:val="solid" w:color="000000" w:fill="000000"/>
                <w:fitText w:val="333" w:id="-760998142"/>
                <w14:textFill>
                  <w14:solidFill>
                    <w14:srgbClr w14:val="000000">
                      <w14:alpha w14:val="100000"/>
                    </w14:srgbClr>
                  </w14:solidFill>
                </w14:textFill>
              </w:rPr>
              <w:t>|</w:t>
            </w:r>
            <w:r w:rsidR="00091D2A" w:rsidRPr="00552B0C">
              <w:t xml:space="preserve">% Year 1, </w:t>
            </w:r>
            <w:r w:rsidRPr="00F73F98">
              <w:rPr>
                <w:color w:val="000000"/>
                <w:spacing w:val="54"/>
                <w:shd w:val="solid" w:color="000000" w:fill="000000"/>
                <w:fitText w:val="333" w:id="-760998141"/>
                <w14:textFill>
                  <w14:solidFill>
                    <w14:srgbClr w14:val="000000">
                      <w14:alpha w14:val="100000"/>
                    </w14:srgbClr>
                  </w14:solidFill>
                </w14:textFill>
              </w:rPr>
              <w:t>|||</w:t>
            </w:r>
            <w:r w:rsidRPr="00F73F98">
              <w:rPr>
                <w:color w:val="000000"/>
                <w:spacing w:val="1"/>
                <w:shd w:val="solid" w:color="000000" w:fill="000000"/>
                <w:fitText w:val="333" w:id="-760998141"/>
                <w14:textFill>
                  <w14:solidFill>
                    <w14:srgbClr w14:val="000000">
                      <w14:alpha w14:val="100000"/>
                    </w14:srgbClr>
                  </w14:solidFill>
                </w14:textFill>
              </w:rPr>
              <w:t>|</w:t>
            </w:r>
            <w:r w:rsidR="00091D2A" w:rsidRPr="00552B0C">
              <w:t>% Years 2-6</w:t>
            </w:r>
          </w:p>
          <w:p w14:paraId="70AF5600" w14:textId="77777777" w:rsidR="00091D2A" w:rsidRPr="00552B0C" w:rsidRDefault="00091D2A">
            <w:pPr>
              <w:pStyle w:val="TableText0"/>
              <w:keepNext w:val="0"/>
            </w:pPr>
            <w:r w:rsidRPr="00552B0C">
              <w:t xml:space="preserve">Calculated by sum of current market share and assumed extent of substitution of Gem+NabP and FOLFIRINOX </w:t>
            </w:r>
          </w:p>
        </w:tc>
        <w:tc>
          <w:tcPr>
            <w:tcW w:w="0" w:type="auto"/>
            <w:shd w:val="clear" w:color="auto" w:fill="auto"/>
            <w:vAlign w:val="center"/>
          </w:tcPr>
          <w:p w14:paraId="11833716" w14:textId="718007C4" w:rsidR="00091D2A" w:rsidRPr="00552B0C" w:rsidRDefault="00091D2A">
            <w:pPr>
              <w:pStyle w:val="TableText0"/>
              <w:keepNext w:val="0"/>
            </w:pPr>
            <w:r w:rsidRPr="00552B0C">
              <w:t xml:space="preserve">Likely overestimated given that the market share of Gem+NabP and FOLFIRINOX was overestimated and the extent to which Gem+NabP </w:t>
            </w:r>
            <w:r w:rsidR="00586CF9" w:rsidRPr="00552B0C">
              <w:t xml:space="preserve">and FOLFIRINOX </w:t>
            </w:r>
            <w:r w:rsidRPr="00552B0C">
              <w:t xml:space="preserve">will be substituted by NALIRIFOX is uncertain. </w:t>
            </w:r>
          </w:p>
        </w:tc>
      </w:tr>
      <w:tr w:rsidR="00091D2A" w:rsidRPr="00552B0C" w14:paraId="0D5E16F3" w14:textId="77777777">
        <w:tc>
          <w:tcPr>
            <w:tcW w:w="0" w:type="auto"/>
            <w:shd w:val="clear" w:color="auto" w:fill="auto"/>
            <w:vAlign w:val="center"/>
          </w:tcPr>
          <w:p w14:paraId="7B777C16" w14:textId="77777777" w:rsidR="00091D2A" w:rsidRPr="00552B0C" w:rsidRDefault="00091D2A">
            <w:pPr>
              <w:pStyle w:val="TableText0"/>
              <w:keepNext w:val="0"/>
            </w:pPr>
            <w:r w:rsidRPr="00552B0C">
              <w:t>Number treated</w:t>
            </w:r>
          </w:p>
        </w:tc>
        <w:tc>
          <w:tcPr>
            <w:tcW w:w="0" w:type="auto"/>
            <w:shd w:val="clear" w:color="auto" w:fill="auto"/>
            <w:vAlign w:val="center"/>
          </w:tcPr>
          <w:p w14:paraId="31E04F81" w14:textId="4BE74ADC" w:rsidR="00091D2A" w:rsidRPr="00552B0C" w:rsidRDefault="005F3BC8">
            <w:pPr>
              <w:pStyle w:val="TableText0"/>
              <w:keepNext w:val="0"/>
            </w:pPr>
            <w:r w:rsidRPr="00F73F98">
              <w:rPr>
                <w:color w:val="000000"/>
                <w:spacing w:val="54"/>
                <w:shd w:val="solid" w:color="000000" w:fill="000000"/>
                <w:fitText w:val="333" w:id="-760998140"/>
                <w14:textFill>
                  <w14:solidFill>
                    <w14:srgbClr w14:val="000000">
                      <w14:alpha w14:val="100000"/>
                    </w14:srgbClr>
                  </w14:solidFill>
                </w14:textFill>
              </w:rPr>
              <w:t>|||</w:t>
            </w:r>
            <w:r w:rsidRPr="00F73F98">
              <w:rPr>
                <w:color w:val="000000"/>
                <w:spacing w:val="1"/>
                <w:shd w:val="solid" w:color="000000" w:fill="000000"/>
                <w:fitText w:val="333" w:id="-760998140"/>
                <w14:textFill>
                  <w14:solidFill>
                    <w14:srgbClr w14:val="000000">
                      <w14:alpha w14:val="100000"/>
                    </w14:srgbClr>
                  </w14:solidFill>
                </w14:textFill>
              </w:rPr>
              <w:t>|</w:t>
            </w:r>
            <w:r w:rsidR="00BC1A4D">
              <w:rPr>
                <w:vertAlign w:val="superscript"/>
              </w:rPr>
              <w:t>1</w:t>
            </w:r>
            <w:r w:rsidR="00091D2A" w:rsidRPr="00552B0C">
              <w:t xml:space="preserve"> in Year 1, increasing to </w:t>
            </w:r>
            <w:r w:rsidRPr="00F73F98">
              <w:rPr>
                <w:color w:val="000000"/>
                <w:spacing w:val="54"/>
                <w:shd w:val="solid" w:color="000000" w:fill="000000"/>
                <w:fitText w:val="333" w:id="-760998139"/>
                <w14:textFill>
                  <w14:solidFill>
                    <w14:srgbClr w14:val="000000">
                      <w14:alpha w14:val="100000"/>
                    </w14:srgbClr>
                  </w14:solidFill>
                </w14:textFill>
              </w:rPr>
              <w:t>|||</w:t>
            </w:r>
            <w:r w:rsidRPr="00F73F98">
              <w:rPr>
                <w:color w:val="000000"/>
                <w:spacing w:val="1"/>
                <w:shd w:val="solid" w:color="000000" w:fill="000000"/>
                <w:fitText w:val="333" w:id="-760998139"/>
                <w14:textFill>
                  <w14:solidFill>
                    <w14:srgbClr w14:val="000000">
                      <w14:alpha w14:val="100000"/>
                    </w14:srgbClr>
                  </w14:solidFill>
                </w14:textFill>
              </w:rPr>
              <w:t>|</w:t>
            </w:r>
            <w:r w:rsidR="00BC1A4D">
              <w:rPr>
                <w:vertAlign w:val="superscript"/>
              </w:rPr>
              <w:t>1</w:t>
            </w:r>
            <w:r w:rsidR="00091D2A" w:rsidRPr="00552B0C">
              <w:t xml:space="preserve"> in Year 6</w:t>
            </w:r>
          </w:p>
          <w:p w14:paraId="0556D6EB" w14:textId="77777777" w:rsidR="00091D2A" w:rsidRPr="00552B0C" w:rsidRDefault="00091D2A">
            <w:pPr>
              <w:pStyle w:val="TableText0"/>
              <w:keepNext w:val="0"/>
            </w:pPr>
            <w:r w:rsidRPr="00552B0C">
              <w:t>Calculated from number of eligible patients x uptake rate</w:t>
            </w:r>
          </w:p>
        </w:tc>
        <w:tc>
          <w:tcPr>
            <w:tcW w:w="0" w:type="auto"/>
            <w:shd w:val="clear" w:color="auto" w:fill="auto"/>
            <w:vAlign w:val="center"/>
          </w:tcPr>
          <w:p w14:paraId="6F7F9AAF" w14:textId="77777777" w:rsidR="00091D2A" w:rsidRPr="00552B0C" w:rsidRDefault="00091D2A">
            <w:pPr>
              <w:pStyle w:val="TableText0"/>
              <w:keepNext w:val="0"/>
            </w:pPr>
            <w:r w:rsidRPr="00552B0C">
              <w:t>Likely overestimated, given the uptake rate is overestimated.</w:t>
            </w:r>
          </w:p>
        </w:tc>
      </w:tr>
      <w:tr w:rsidR="00091D2A" w:rsidRPr="00552B0C" w14:paraId="1586CFC4" w14:textId="77777777">
        <w:tc>
          <w:tcPr>
            <w:tcW w:w="0" w:type="auto"/>
            <w:shd w:val="clear" w:color="auto" w:fill="B8CCE4" w:themeFill="accent1" w:themeFillTint="66"/>
            <w:vAlign w:val="center"/>
          </w:tcPr>
          <w:p w14:paraId="6DA326FD" w14:textId="77777777" w:rsidR="00091D2A" w:rsidRPr="00552B0C" w:rsidRDefault="00091D2A">
            <w:pPr>
              <w:pStyle w:val="TableText0"/>
              <w:keepNext w:val="0"/>
            </w:pPr>
            <w:r w:rsidRPr="00552B0C">
              <w:t>Average duration of treatment per patient</w:t>
            </w:r>
          </w:p>
        </w:tc>
        <w:tc>
          <w:tcPr>
            <w:tcW w:w="0" w:type="auto"/>
            <w:shd w:val="clear" w:color="auto" w:fill="B8CCE4" w:themeFill="accent1" w:themeFillTint="66"/>
            <w:vAlign w:val="center"/>
          </w:tcPr>
          <w:p w14:paraId="271BB963" w14:textId="77777777" w:rsidR="00091D2A" w:rsidRPr="00552B0C" w:rsidRDefault="00091D2A">
            <w:pPr>
              <w:pStyle w:val="TableText0"/>
              <w:keepNext w:val="0"/>
              <w:rPr>
                <w:lang w:val="en-US"/>
              </w:rPr>
            </w:pPr>
            <w:r w:rsidRPr="00552B0C">
              <w:rPr>
                <w:lang w:val="en-US"/>
              </w:rPr>
              <w:t>6.5 cycles (2 administrations per cycle)</w:t>
            </w:r>
          </w:p>
          <w:p w14:paraId="6DA3E002" w14:textId="77777777" w:rsidR="00091D2A" w:rsidRPr="00552B0C" w:rsidRDefault="00091D2A">
            <w:pPr>
              <w:pStyle w:val="TableText0"/>
              <w:keepNext w:val="0"/>
            </w:pPr>
            <w:r w:rsidRPr="00552B0C">
              <w:rPr>
                <w:lang w:val="en-US"/>
              </w:rPr>
              <w:t>NAPOLI-3 trial</w:t>
            </w:r>
          </w:p>
        </w:tc>
        <w:tc>
          <w:tcPr>
            <w:tcW w:w="0" w:type="auto"/>
            <w:shd w:val="clear" w:color="auto" w:fill="auto"/>
            <w:vAlign w:val="center"/>
          </w:tcPr>
          <w:p w14:paraId="42D58CC9" w14:textId="31F10DA9" w:rsidR="00091D2A" w:rsidRPr="00552B0C" w:rsidRDefault="00091D2A">
            <w:pPr>
              <w:pStyle w:val="TableText0"/>
              <w:keepNext w:val="0"/>
            </w:pPr>
            <w:r w:rsidRPr="00552B0C">
              <w:t>This is consistent with the treatment duration applied in the economic evaluation</w:t>
            </w:r>
            <w:r w:rsidR="00594FBB">
              <w:t>.</w:t>
            </w:r>
          </w:p>
        </w:tc>
      </w:tr>
      <w:tr w:rsidR="00091D2A" w:rsidRPr="00552B0C" w14:paraId="0C2538EF" w14:textId="77777777">
        <w:tc>
          <w:tcPr>
            <w:tcW w:w="0" w:type="auto"/>
            <w:shd w:val="clear" w:color="auto" w:fill="auto"/>
            <w:vAlign w:val="center"/>
          </w:tcPr>
          <w:p w14:paraId="6FDD5663" w14:textId="77777777" w:rsidR="00091D2A" w:rsidRPr="00552B0C" w:rsidRDefault="00091D2A" w:rsidP="00C81C2F">
            <w:pPr>
              <w:pStyle w:val="TableText0"/>
              <w:keepLines/>
            </w:pPr>
            <w:r w:rsidRPr="00552B0C">
              <w:lastRenderedPageBreak/>
              <w:t>Scripts dispensed</w:t>
            </w:r>
          </w:p>
        </w:tc>
        <w:tc>
          <w:tcPr>
            <w:tcW w:w="0" w:type="auto"/>
            <w:shd w:val="clear" w:color="auto" w:fill="auto"/>
            <w:vAlign w:val="center"/>
          </w:tcPr>
          <w:p w14:paraId="1947F90C" w14:textId="57B44C2C" w:rsidR="00091D2A" w:rsidRPr="00552B0C" w:rsidRDefault="005F3BC8" w:rsidP="00C81C2F">
            <w:pPr>
              <w:pStyle w:val="TableText0"/>
              <w:keepLines/>
            </w:pPr>
            <w:r w:rsidRPr="00F73F98">
              <w:rPr>
                <w:color w:val="000000"/>
                <w:spacing w:val="54"/>
                <w:shd w:val="solid" w:color="000000" w:fill="000000"/>
                <w:fitText w:val="333" w:id="-760998138"/>
                <w14:textFill>
                  <w14:solidFill>
                    <w14:srgbClr w14:val="000000">
                      <w14:alpha w14:val="100000"/>
                    </w14:srgbClr>
                  </w14:solidFill>
                </w14:textFill>
              </w:rPr>
              <w:t>|||</w:t>
            </w:r>
            <w:r w:rsidRPr="00F73F98">
              <w:rPr>
                <w:color w:val="000000"/>
                <w:spacing w:val="1"/>
                <w:shd w:val="solid" w:color="000000" w:fill="000000"/>
                <w:fitText w:val="333" w:id="-760998138"/>
                <w14:textFill>
                  <w14:solidFill>
                    <w14:srgbClr w14:val="000000">
                      <w14:alpha w14:val="100000"/>
                    </w14:srgbClr>
                  </w14:solidFill>
                </w14:textFill>
              </w:rPr>
              <w:t>|</w:t>
            </w:r>
            <w:r w:rsidR="001B72A2">
              <w:rPr>
                <w:vertAlign w:val="superscript"/>
              </w:rPr>
              <w:t>2</w:t>
            </w:r>
            <w:r w:rsidR="00091D2A" w:rsidRPr="00552B0C">
              <w:t xml:space="preserve"> in Year 1, increasing to </w:t>
            </w:r>
            <w:r w:rsidRPr="00F73F98">
              <w:rPr>
                <w:color w:val="000000"/>
                <w:spacing w:val="54"/>
                <w:shd w:val="solid" w:color="000000" w:fill="000000"/>
                <w:fitText w:val="333" w:id="-760998137"/>
                <w14:textFill>
                  <w14:solidFill>
                    <w14:srgbClr w14:val="000000">
                      <w14:alpha w14:val="100000"/>
                    </w14:srgbClr>
                  </w14:solidFill>
                </w14:textFill>
              </w:rPr>
              <w:t>|||</w:t>
            </w:r>
            <w:r w:rsidRPr="00F73F98">
              <w:rPr>
                <w:color w:val="000000"/>
                <w:spacing w:val="1"/>
                <w:shd w:val="solid" w:color="000000" w:fill="000000"/>
                <w:fitText w:val="333" w:id="-760998137"/>
                <w14:textFill>
                  <w14:solidFill>
                    <w14:srgbClr w14:val="000000">
                      <w14:alpha w14:val="100000"/>
                    </w14:srgbClr>
                  </w14:solidFill>
                </w14:textFill>
              </w:rPr>
              <w:t>|</w:t>
            </w:r>
            <w:r w:rsidR="00F64F79">
              <w:rPr>
                <w:vertAlign w:val="superscript"/>
              </w:rPr>
              <w:t>2</w:t>
            </w:r>
            <w:r w:rsidR="00091D2A" w:rsidRPr="00552B0C">
              <w:t xml:space="preserve"> in Year 6</w:t>
            </w:r>
          </w:p>
          <w:p w14:paraId="7929F62E" w14:textId="77777777" w:rsidR="00091D2A" w:rsidRPr="00552B0C" w:rsidRDefault="00091D2A" w:rsidP="00C81C2F">
            <w:pPr>
              <w:pStyle w:val="TableText0"/>
              <w:keepLines/>
            </w:pPr>
            <w:r w:rsidRPr="00552B0C">
              <w:t>Number treated x 13 (average scripts per patient [2 administrations per cycle x 6.5 cycles])</w:t>
            </w:r>
          </w:p>
        </w:tc>
        <w:tc>
          <w:tcPr>
            <w:tcW w:w="0" w:type="auto"/>
            <w:shd w:val="clear" w:color="auto" w:fill="auto"/>
            <w:vAlign w:val="center"/>
          </w:tcPr>
          <w:p w14:paraId="59D64516" w14:textId="77777777" w:rsidR="00091D2A" w:rsidRPr="00552B0C" w:rsidRDefault="00091D2A" w:rsidP="00C81C2F">
            <w:pPr>
              <w:pStyle w:val="TableText0"/>
              <w:keepLines/>
            </w:pPr>
            <w:r w:rsidRPr="00552B0C">
              <w:t>Calculation of scripts dispensed has been verified.</w:t>
            </w:r>
          </w:p>
        </w:tc>
      </w:tr>
      <w:tr w:rsidR="00091D2A" w:rsidRPr="00552B0C" w14:paraId="7A26700C" w14:textId="77777777">
        <w:tc>
          <w:tcPr>
            <w:tcW w:w="0" w:type="auto"/>
            <w:gridSpan w:val="3"/>
            <w:shd w:val="clear" w:color="auto" w:fill="auto"/>
            <w:vAlign w:val="center"/>
          </w:tcPr>
          <w:p w14:paraId="0B05D76F" w14:textId="77777777" w:rsidR="00091D2A" w:rsidRPr="00552B0C" w:rsidRDefault="00091D2A" w:rsidP="009C4673">
            <w:pPr>
              <w:pStyle w:val="TableText0"/>
              <w:rPr>
                <w:b/>
                <w:bCs w:val="0"/>
              </w:rPr>
            </w:pPr>
            <w:r w:rsidRPr="00552B0C">
              <w:rPr>
                <w:b/>
                <w:bCs w:val="0"/>
              </w:rPr>
              <w:t>Costs</w:t>
            </w:r>
          </w:p>
        </w:tc>
      </w:tr>
      <w:tr w:rsidR="00091D2A" w:rsidRPr="00552B0C" w14:paraId="46F07785" w14:textId="77777777">
        <w:tc>
          <w:tcPr>
            <w:tcW w:w="0" w:type="auto"/>
            <w:shd w:val="clear" w:color="auto" w:fill="B8CCE4" w:themeFill="accent1" w:themeFillTint="66"/>
            <w:vAlign w:val="center"/>
          </w:tcPr>
          <w:p w14:paraId="2FA57B70" w14:textId="77777777" w:rsidR="00091D2A" w:rsidRPr="00552B0C" w:rsidRDefault="00091D2A">
            <w:pPr>
              <w:pStyle w:val="TableText0"/>
              <w:keepNext w:val="0"/>
            </w:pPr>
            <w:r w:rsidRPr="00552B0C">
              <w:t>Nal-IRI</w:t>
            </w:r>
          </w:p>
        </w:tc>
        <w:tc>
          <w:tcPr>
            <w:tcW w:w="0" w:type="auto"/>
            <w:shd w:val="clear" w:color="auto" w:fill="B8CCE4" w:themeFill="accent1" w:themeFillTint="66"/>
            <w:vAlign w:val="center"/>
          </w:tcPr>
          <w:p w14:paraId="7A7D53EC" w14:textId="77777777" w:rsidR="00091D2A" w:rsidRPr="00552B0C" w:rsidRDefault="00091D2A">
            <w:pPr>
              <w:pStyle w:val="TableText0"/>
              <w:keepNext w:val="0"/>
            </w:pPr>
            <w:r w:rsidRPr="00552B0C">
              <w:t>$1300 – Published AEMP</w:t>
            </w:r>
          </w:p>
        </w:tc>
        <w:tc>
          <w:tcPr>
            <w:tcW w:w="0" w:type="auto"/>
            <w:shd w:val="clear" w:color="auto" w:fill="auto"/>
            <w:vAlign w:val="center"/>
          </w:tcPr>
          <w:p w14:paraId="35097594" w14:textId="0FCA6B31" w:rsidR="00091D2A" w:rsidRPr="00552B0C" w:rsidRDefault="00091D2A">
            <w:pPr>
              <w:pStyle w:val="TableText0"/>
              <w:keepNext w:val="0"/>
            </w:pPr>
            <w:r w:rsidRPr="00552B0C">
              <w:t xml:space="preserve">A </w:t>
            </w:r>
            <w:r w:rsidR="005F3BC8" w:rsidRPr="00F73F98">
              <w:rPr>
                <w:color w:val="000000"/>
                <w:spacing w:val="50"/>
                <w:shd w:val="solid" w:color="000000" w:fill="000000"/>
                <w:fitText w:val="322" w:id="-760998136"/>
                <w14:textFill>
                  <w14:solidFill>
                    <w14:srgbClr w14:val="000000">
                      <w14:alpha w14:val="100000"/>
                    </w14:srgbClr>
                  </w14:solidFill>
                </w14:textFill>
              </w:rPr>
              <w:t>|||</w:t>
            </w:r>
            <w:r w:rsidR="005F3BC8" w:rsidRPr="00F73F98">
              <w:rPr>
                <w:color w:val="000000"/>
                <w:spacing w:val="2"/>
                <w:shd w:val="solid" w:color="000000" w:fill="000000"/>
                <w:fitText w:val="322" w:id="-760998136"/>
                <w14:textFill>
                  <w14:solidFill>
                    <w14:srgbClr w14:val="000000">
                      <w14:alpha w14:val="100000"/>
                    </w14:srgbClr>
                  </w14:solidFill>
                </w14:textFill>
              </w:rPr>
              <w:t>|</w:t>
            </w:r>
            <w:r w:rsidRPr="00552B0C">
              <w:t xml:space="preserve">% </w:t>
            </w:r>
            <w:r w:rsidR="00A95085">
              <w:t xml:space="preserve">Special Pricing Arrangement </w:t>
            </w:r>
            <w:r w:rsidRPr="00552B0C">
              <w:t xml:space="preserve">rebate is applied (increased from </w:t>
            </w:r>
            <w:r w:rsidR="005F3BC8" w:rsidRPr="00F73F98">
              <w:rPr>
                <w:color w:val="000000"/>
                <w:spacing w:val="50"/>
                <w:shd w:val="solid" w:color="000000" w:fill="000000"/>
                <w:fitText w:val="322" w:id="-760998135"/>
                <w14:textFill>
                  <w14:solidFill>
                    <w14:srgbClr w14:val="000000">
                      <w14:alpha w14:val="100000"/>
                    </w14:srgbClr>
                  </w14:solidFill>
                </w14:textFill>
              </w:rPr>
              <w:t>|||</w:t>
            </w:r>
            <w:r w:rsidR="005F3BC8" w:rsidRPr="00F73F98">
              <w:rPr>
                <w:color w:val="000000"/>
                <w:spacing w:val="2"/>
                <w:shd w:val="solid" w:color="000000" w:fill="000000"/>
                <w:fitText w:val="322" w:id="-760998135"/>
                <w14:textFill>
                  <w14:solidFill>
                    <w14:srgbClr w14:val="000000">
                      <w14:alpha w14:val="100000"/>
                    </w14:srgbClr>
                  </w14:solidFill>
                </w14:textFill>
              </w:rPr>
              <w:t>|</w:t>
            </w:r>
            <w:r w:rsidRPr="00552B0C">
              <w:t>% in the March 2024 submission)</w:t>
            </w:r>
          </w:p>
        </w:tc>
      </w:tr>
      <w:tr w:rsidR="00091D2A" w:rsidRPr="00552B0C" w14:paraId="67A2A9D5" w14:textId="77777777">
        <w:tc>
          <w:tcPr>
            <w:tcW w:w="0" w:type="auto"/>
            <w:shd w:val="clear" w:color="auto" w:fill="B8CCE4" w:themeFill="accent1" w:themeFillTint="66"/>
            <w:vAlign w:val="center"/>
          </w:tcPr>
          <w:p w14:paraId="12261178" w14:textId="77777777" w:rsidR="00091D2A" w:rsidRPr="00552B0C" w:rsidRDefault="00091D2A">
            <w:pPr>
              <w:pStyle w:val="TableText0"/>
              <w:keepNext w:val="0"/>
            </w:pPr>
            <w:r w:rsidRPr="00552B0C">
              <w:t>Affected medications</w:t>
            </w:r>
          </w:p>
        </w:tc>
        <w:tc>
          <w:tcPr>
            <w:tcW w:w="0" w:type="auto"/>
            <w:shd w:val="clear" w:color="auto" w:fill="FFFFFF" w:themeFill="background1"/>
            <w:vAlign w:val="center"/>
          </w:tcPr>
          <w:p w14:paraId="5978EE80" w14:textId="77777777" w:rsidR="00091D2A" w:rsidRPr="00552B0C" w:rsidRDefault="00091D2A">
            <w:pPr>
              <w:pStyle w:val="TableText0"/>
              <w:keepNext w:val="0"/>
            </w:pPr>
            <w:r w:rsidRPr="00552B0C">
              <w:t>Includes components of NALIRIFOX (oxaliplatin, 5-FU, Leucovorin), Gem+NabP and FOLFIRINOX</w:t>
            </w:r>
          </w:p>
        </w:tc>
        <w:tc>
          <w:tcPr>
            <w:tcW w:w="0" w:type="auto"/>
            <w:shd w:val="clear" w:color="auto" w:fill="FFFFFF" w:themeFill="background1"/>
            <w:vAlign w:val="center"/>
          </w:tcPr>
          <w:p w14:paraId="0F629066" w14:textId="77777777" w:rsidR="00091D2A" w:rsidRPr="00552B0C" w:rsidRDefault="00091D2A">
            <w:pPr>
              <w:pStyle w:val="TableText0"/>
              <w:keepNext w:val="0"/>
            </w:pPr>
            <w:r w:rsidRPr="00552B0C">
              <w:t xml:space="preserve">Costs of substituted Gem+NabP is based on recommended dosing and mean number of treatment cycles from NAPOLI-3 trial and applies an assumed 40% rebate on government expenditure of NabP. </w:t>
            </w:r>
          </w:p>
          <w:p w14:paraId="534A621C" w14:textId="77777777" w:rsidR="00091D2A" w:rsidRPr="00552B0C" w:rsidRDefault="00091D2A">
            <w:pPr>
              <w:pStyle w:val="TableText0"/>
              <w:keepNext w:val="0"/>
            </w:pPr>
            <w:r w:rsidRPr="00552B0C">
              <w:t>Costs of substituted FOLFIRINOX is based on recommended dosing from ACCORD11/PRODIGE4 trial but uses the median number of treatment cycles from the GENERATE trial. Financial estimates were not sensitive to the number of treatment cycles of FOLFIRINOX used.</w:t>
            </w:r>
          </w:p>
        </w:tc>
      </w:tr>
      <w:tr w:rsidR="00091D2A" w:rsidRPr="00552B0C" w14:paraId="46432E03" w14:textId="77777777">
        <w:tc>
          <w:tcPr>
            <w:tcW w:w="0" w:type="auto"/>
            <w:shd w:val="clear" w:color="auto" w:fill="B8CCE4" w:themeFill="accent1" w:themeFillTint="66"/>
            <w:vAlign w:val="center"/>
          </w:tcPr>
          <w:p w14:paraId="665A2C2A" w14:textId="77777777" w:rsidR="00091D2A" w:rsidRPr="00552B0C" w:rsidRDefault="00091D2A">
            <w:pPr>
              <w:pStyle w:val="TableText0"/>
              <w:keepNext w:val="0"/>
            </w:pPr>
            <w:r w:rsidRPr="00552B0C">
              <w:t>MBS costs</w:t>
            </w:r>
          </w:p>
        </w:tc>
        <w:tc>
          <w:tcPr>
            <w:tcW w:w="0" w:type="auto"/>
            <w:shd w:val="clear" w:color="auto" w:fill="auto"/>
            <w:vAlign w:val="center"/>
          </w:tcPr>
          <w:p w14:paraId="2C5D34A8" w14:textId="77777777" w:rsidR="00091D2A" w:rsidRPr="00552B0C" w:rsidRDefault="00091D2A">
            <w:pPr>
              <w:pStyle w:val="TableText0"/>
            </w:pPr>
            <w:r w:rsidRPr="00552B0C">
              <w:t>$118.30</w:t>
            </w:r>
          </w:p>
          <w:p w14:paraId="0EB9CC01" w14:textId="77777777" w:rsidR="00091D2A" w:rsidRPr="00552B0C" w:rsidRDefault="00091D2A">
            <w:pPr>
              <w:pStyle w:val="TableText0"/>
              <w:keepNext w:val="0"/>
            </w:pPr>
            <w:r w:rsidRPr="00552B0C">
              <w:rPr>
                <w:shd w:val="clear" w:color="auto" w:fill="B8CCE4" w:themeFill="accent1" w:themeFillTint="66"/>
              </w:rPr>
              <w:t>MBS item number 13950</w:t>
            </w:r>
          </w:p>
        </w:tc>
        <w:tc>
          <w:tcPr>
            <w:tcW w:w="0" w:type="auto"/>
            <w:shd w:val="clear" w:color="auto" w:fill="auto"/>
            <w:vAlign w:val="center"/>
          </w:tcPr>
          <w:p w14:paraId="08D3F3F8" w14:textId="2771CFBA" w:rsidR="00091D2A" w:rsidRPr="00552B0C" w:rsidRDefault="00091D2A">
            <w:pPr>
              <w:pStyle w:val="TableText0"/>
              <w:keepNext w:val="0"/>
            </w:pPr>
            <w:r w:rsidRPr="00552B0C">
              <w:t>This is appropriate.</w:t>
            </w:r>
            <w:r w:rsidR="007B61D6" w:rsidRPr="00552B0C">
              <w:t xml:space="preserve"> Net costs to MBS decreased in comparison with the previous submission as a result of substitution of Gem+NabP (3 administrations per cycle) by NALIRIFOX (2 administrations per cycle).</w:t>
            </w:r>
          </w:p>
        </w:tc>
      </w:tr>
    </w:tbl>
    <w:p w14:paraId="1A48F66B" w14:textId="77777777" w:rsidR="00091D2A" w:rsidRPr="009C4673" w:rsidRDefault="00091D2A" w:rsidP="00091D2A">
      <w:pPr>
        <w:pStyle w:val="FooterTableFigure"/>
        <w:rPr>
          <w:szCs w:val="18"/>
        </w:rPr>
      </w:pPr>
      <w:r w:rsidRPr="009C4673">
        <w:rPr>
          <w:szCs w:val="18"/>
        </w:rPr>
        <w:t>Source: Compiled during the evaluation</w:t>
      </w:r>
    </w:p>
    <w:p w14:paraId="7C222BBA" w14:textId="005A6D50" w:rsidR="00091D2A" w:rsidRPr="009C4673" w:rsidRDefault="00091D2A" w:rsidP="00091D2A">
      <w:pPr>
        <w:pStyle w:val="FooterTableFigure"/>
        <w:rPr>
          <w:szCs w:val="18"/>
          <w:lang w:eastAsia="en-GB"/>
        </w:rPr>
      </w:pPr>
      <w:r w:rsidRPr="009C4673">
        <w:rPr>
          <w:szCs w:val="18"/>
        </w:rPr>
        <w:t xml:space="preserve">Abbreviations: AEMP, Approved ex-manufacturer price; AIHW, Australian Institute of Health and Welfare; FOLFIRINOX, Fluorouracil, Folinic Acid, Irinotecan, Oxaliplatin; </w:t>
      </w:r>
      <w:r w:rsidRPr="009C4673">
        <w:rPr>
          <w:szCs w:val="18"/>
          <w:lang w:val="en-US"/>
        </w:rPr>
        <w:t xml:space="preserve">Gem+NabP, gemcitabine plus nanoparticle albumin-bound paclitaxel; MBS, Medicare Benefits Schedule; mPAC, </w:t>
      </w:r>
      <w:r w:rsidRPr="009C4673">
        <w:rPr>
          <w:szCs w:val="18"/>
        </w:rPr>
        <w:t xml:space="preserve">metastatic pancreatic adenocarcinoma; nal-IRI, nanoliposomal irinotecan; </w:t>
      </w:r>
      <w:r w:rsidRPr="009C4673">
        <w:rPr>
          <w:szCs w:val="18"/>
          <w:lang w:val="en-US"/>
        </w:rPr>
        <w:t>NALIRIFOX, nanoliposomal irinotecan (nal-IRI) in combination with 5-fluorouracil, leucovorin/folinic acid, and oxaliplatin</w:t>
      </w:r>
      <w:r w:rsidRPr="009C4673">
        <w:rPr>
          <w:szCs w:val="18"/>
        </w:rPr>
        <w:t xml:space="preserve">; PBS, Pharmaceutical Benefits Scheme; </w:t>
      </w:r>
      <w:r w:rsidR="00EA724A" w:rsidRPr="009C4673">
        <w:rPr>
          <w:szCs w:val="18"/>
        </w:rPr>
        <w:t xml:space="preserve">PURPLE, Pancreatic cancer: Understanding Routine Practice &amp; Lifting End registry; </w:t>
      </w:r>
      <w:r w:rsidRPr="009C4673">
        <w:rPr>
          <w:szCs w:val="18"/>
        </w:rPr>
        <w:t>RPBS, Repatriation Pharmaceutical Benefits Scheme.</w:t>
      </w:r>
    </w:p>
    <w:p w14:paraId="45F47C00" w14:textId="31A8CE10" w:rsidR="00091D2A" w:rsidRPr="009C4673" w:rsidRDefault="00091D2A" w:rsidP="00091D2A">
      <w:pPr>
        <w:pStyle w:val="FooterTableFigure"/>
        <w:rPr>
          <w:szCs w:val="18"/>
        </w:rPr>
      </w:pPr>
      <w:r w:rsidRPr="009C4673">
        <w:rPr>
          <w:szCs w:val="18"/>
          <w:shd w:val="clear" w:color="auto" w:fill="95B3D7" w:themeFill="accent1" w:themeFillTint="99"/>
        </w:rPr>
        <w:t>Blue shading</w:t>
      </w:r>
      <w:r w:rsidRPr="009C4673">
        <w:rPr>
          <w:szCs w:val="18"/>
        </w:rPr>
        <w:t xml:space="preserve"> indicates these data sources and key inputs were unchanged from the original submission</w:t>
      </w:r>
    </w:p>
    <w:p w14:paraId="1886D659" w14:textId="4CA390B8" w:rsidR="00D837AD" w:rsidRPr="009C4673" w:rsidRDefault="00D837AD" w:rsidP="00D837AD">
      <w:pPr>
        <w:pStyle w:val="FooterTableFigure"/>
        <w:rPr>
          <w:i/>
          <w:iCs/>
          <w:szCs w:val="18"/>
        </w:rPr>
      </w:pPr>
      <w:r w:rsidRPr="009C4673">
        <w:rPr>
          <w:i/>
          <w:iCs/>
          <w:szCs w:val="18"/>
        </w:rPr>
        <w:t>The redacted values correspond to the following ranges:</w:t>
      </w:r>
      <w:r w:rsidR="008D0998" w:rsidRPr="009C4673">
        <w:rPr>
          <w:i/>
          <w:iCs/>
          <w:szCs w:val="18"/>
        </w:rPr>
        <w:t xml:space="preserve"> </w:t>
      </w:r>
    </w:p>
    <w:p w14:paraId="07D9DE71" w14:textId="6B6AD8AD" w:rsidR="00D837AD" w:rsidRPr="009C4673" w:rsidRDefault="00D837AD" w:rsidP="00D837AD">
      <w:pPr>
        <w:pStyle w:val="FooterTableFigure"/>
        <w:rPr>
          <w:i/>
          <w:iCs/>
          <w:szCs w:val="18"/>
        </w:rPr>
      </w:pPr>
      <w:r w:rsidRPr="009C4673">
        <w:rPr>
          <w:i/>
          <w:iCs/>
          <w:szCs w:val="18"/>
          <w:vertAlign w:val="superscript"/>
        </w:rPr>
        <w:t>1</w:t>
      </w:r>
      <w:r w:rsidR="008D0998" w:rsidRPr="009C4673">
        <w:rPr>
          <w:i/>
          <w:iCs/>
          <w:szCs w:val="18"/>
        </w:rPr>
        <w:t xml:space="preserve"> </w:t>
      </w:r>
      <w:r w:rsidR="00BC1A4D" w:rsidRPr="009C4673">
        <w:rPr>
          <w:i/>
          <w:iCs/>
          <w:szCs w:val="18"/>
        </w:rPr>
        <w:t>500</w:t>
      </w:r>
      <w:r w:rsidR="00BC1A4D" w:rsidRPr="009C4673">
        <w:rPr>
          <w:rFonts w:ascii="Arial" w:hAnsi="Arial"/>
          <w:i/>
          <w:iCs/>
          <w:szCs w:val="18"/>
        </w:rPr>
        <w:t> </w:t>
      </w:r>
      <w:r w:rsidR="00BC1A4D" w:rsidRPr="009C4673">
        <w:rPr>
          <w:i/>
          <w:iCs/>
          <w:szCs w:val="18"/>
        </w:rPr>
        <w:t>to</w:t>
      </w:r>
      <w:r w:rsidR="00BC1A4D" w:rsidRPr="009C4673">
        <w:rPr>
          <w:rFonts w:ascii="Arial" w:hAnsi="Arial"/>
          <w:i/>
          <w:iCs/>
          <w:szCs w:val="18"/>
        </w:rPr>
        <w:t> </w:t>
      </w:r>
      <w:r w:rsidR="00BC1A4D" w:rsidRPr="009C4673">
        <w:rPr>
          <w:i/>
          <w:iCs/>
          <w:szCs w:val="18"/>
        </w:rPr>
        <w:t>&lt;</w:t>
      </w:r>
      <w:r w:rsidR="00BC1A4D" w:rsidRPr="009C4673">
        <w:rPr>
          <w:rFonts w:ascii="Arial" w:hAnsi="Arial"/>
          <w:i/>
          <w:iCs/>
          <w:szCs w:val="18"/>
        </w:rPr>
        <w:t> </w:t>
      </w:r>
      <w:r w:rsidR="00BC1A4D" w:rsidRPr="009C4673">
        <w:rPr>
          <w:i/>
          <w:iCs/>
          <w:szCs w:val="18"/>
        </w:rPr>
        <w:t>5,000</w:t>
      </w:r>
    </w:p>
    <w:p w14:paraId="68E5BE78" w14:textId="14ED0447" w:rsidR="00D837AD" w:rsidRPr="009C4673" w:rsidRDefault="00D837AD" w:rsidP="00091D2A">
      <w:pPr>
        <w:pStyle w:val="FooterTableFigure"/>
        <w:rPr>
          <w:sz w:val="20"/>
        </w:rPr>
      </w:pPr>
      <w:r w:rsidRPr="009C4673">
        <w:rPr>
          <w:i/>
          <w:iCs/>
          <w:szCs w:val="18"/>
          <w:vertAlign w:val="superscript"/>
        </w:rPr>
        <w:t>2</w:t>
      </w:r>
      <w:r w:rsidR="008D0998" w:rsidRPr="009C4673">
        <w:rPr>
          <w:i/>
          <w:iCs/>
          <w:szCs w:val="18"/>
        </w:rPr>
        <w:t xml:space="preserve"> </w:t>
      </w:r>
      <w:r w:rsidR="001B72A2" w:rsidRPr="009C4673">
        <w:rPr>
          <w:i/>
          <w:iCs/>
          <w:szCs w:val="18"/>
        </w:rPr>
        <w:t>10,000</w:t>
      </w:r>
      <w:r w:rsidR="001B72A2" w:rsidRPr="009C4673">
        <w:rPr>
          <w:rFonts w:ascii="Arial" w:hAnsi="Arial"/>
          <w:i/>
          <w:iCs/>
          <w:szCs w:val="18"/>
        </w:rPr>
        <w:t> </w:t>
      </w:r>
      <w:r w:rsidR="001B72A2" w:rsidRPr="009C4673">
        <w:rPr>
          <w:i/>
          <w:iCs/>
          <w:szCs w:val="18"/>
        </w:rPr>
        <w:t>to</w:t>
      </w:r>
      <w:r w:rsidR="001B72A2" w:rsidRPr="009C4673">
        <w:rPr>
          <w:rFonts w:ascii="Arial" w:hAnsi="Arial"/>
          <w:i/>
          <w:iCs/>
          <w:szCs w:val="18"/>
        </w:rPr>
        <w:t> </w:t>
      </w:r>
      <w:r w:rsidR="001B72A2" w:rsidRPr="009C4673">
        <w:rPr>
          <w:i/>
          <w:iCs/>
          <w:szCs w:val="18"/>
        </w:rPr>
        <w:t>&lt;</w:t>
      </w:r>
      <w:r w:rsidR="001B72A2" w:rsidRPr="009C4673">
        <w:rPr>
          <w:rFonts w:ascii="Arial" w:hAnsi="Arial"/>
          <w:i/>
          <w:iCs/>
          <w:szCs w:val="18"/>
        </w:rPr>
        <w:t> </w:t>
      </w:r>
      <w:r w:rsidR="001B72A2" w:rsidRPr="009C4673">
        <w:rPr>
          <w:i/>
          <w:iCs/>
          <w:szCs w:val="18"/>
        </w:rPr>
        <w:t>20,000</w:t>
      </w:r>
    </w:p>
    <w:p w14:paraId="4F45E889" w14:textId="0D969571" w:rsidR="00091D2A" w:rsidRPr="00552B0C" w:rsidRDefault="00091D2A" w:rsidP="00552B0C">
      <w:pPr>
        <w:pStyle w:val="3-BodyText"/>
        <w:numPr>
          <w:ilvl w:val="1"/>
          <w:numId w:val="5"/>
        </w:numPr>
        <w:rPr>
          <w:color w:val="0066FF"/>
        </w:rPr>
      </w:pPr>
      <w:r w:rsidRPr="00552B0C">
        <w:t xml:space="preserve">The estimated use and financial implications of PBS listing of nal-IRI is presented in </w:t>
      </w:r>
      <w:r w:rsidRPr="00552B0C">
        <w:rPr>
          <w:color w:val="0066FF"/>
        </w:rPr>
        <w:fldChar w:fldCharType="begin" w:fldLock="1"/>
      </w:r>
      <w:r w:rsidRPr="00552B0C">
        <w:instrText xml:space="preserve"> REF _Ref176532049 \h </w:instrText>
      </w:r>
      <w:r w:rsidR="00B87FAE" w:rsidRPr="00552B0C">
        <w:rPr>
          <w:color w:val="0066FF"/>
        </w:rPr>
        <w:instrText xml:space="preserve"> \* MERGEFORMAT </w:instrText>
      </w:r>
      <w:r w:rsidRPr="00552B0C">
        <w:rPr>
          <w:color w:val="0066FF"/>
        </w:rPr>
      </w:r>
      <w:r w:rsidRPr="00552B0C">
        <w:rPr>
          <w:color w:val="0066FF"/>
        </w:rPr>
        <w:fldChar w:fldCharType="separate"/>
      </w:r>
      <w:r w:rsidR="001C19B6" w:rsidRPr="00552B0C">
        <w:t xml:space="preserve">Table </w:t>
      </w:r>
      <w:r w:rsidR="001C19B6">
        <w:rPr>
          <w:noProof/>
        </w:rPr>
        <w:t>20</w:t>
      </w:r>
      <w:r w:rsidRPr="00552B0C">
        <w:rPr>
          <w:color w:val="0066FF"/>
        </w:rPr>
        <w:fldChar w:fldCharType="end"/>
      </w:r>
      <w:r w:rsidRPr="00552B0C">
        <w:t xml:space="preserve">. These results are based on an assumed 40% rebate on NabP. </w:t>
      </w:r>
    </w:p>
    <w:p w14:paraId="47F6B61F" w14:textId="4D18E1F1" w:rsidR="00C25D9C" w:rsidRPr="00552B0C" w:rsidRDefault="00E16AD8" w:rsidP="000D5DFD">
      <w:pPr>
        <w:pStyle w:val="Caption"/>
      </w:pPr>
      <w:bookmarkStart w:id="95" w:name="_Ref176532049"/>
      <w:r w:rsidRPr="00552B0C">
        <w:lastRenderedPageBreak/>
        <w:t xml:space="preserve">Table </w:t>
      </w:r>
      <w:r w:rsidR="001C19B6">
        <w:fldChar w:fldCharType="begin" w:fldLock="1"/>
      </w:r>
      <w:r w:rsidR="001C19B6">
        <w:instrText xml:space="preserve"> SEQ Table \* ARABIC </w:instrText>
      </w:r>
      <w:r w:rsidR="001C19B6">
        <w:fldChar w:fldCharType="separate"/>
      </w:r>
      <w:r w:rsidR="001C19B6">
        <w:rPr>
          <w:noProof/>
        </w:rPr>
        <w:t>20</w:t>
      </w:r>
      <w:r w:rsidR="001C19B6">
        <w:rPr>
          <w:noProof/>
        </w:rPr>
        <w:fldChar w:fldCharType="end"/>
      </w:r>
      <w:bookmarkEnd w:id="95"/>
      <w:r w:rsidRPr="00552B0C">
        <w:t>:</w:t>
      </w:r>
      <w:r w:rsidR="002A2F50" w:rsidRPr="00552B0C">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Estimated use and financial implications"/>
      </w:tblPr>
      <w:tblGrid>
        <w:gridCol w:w="2122"/>
        <w:gridCol w:w="992"/>
        <w:gridCol w:w="994"/>
        <w:gridCol w:w="990"/>
        <w:gridCol w:w="994"/>
        <w:gridCol w:w="992"/>
        <w:gridCol w:w="992"/>
        <w:gridCol w:w="941"/>
      </w:tblGrid>
      <w:tr w:rsidR="00091D2A" w:rsidRPr="00552B0C" w14:paraId="2DC06C26" w14:textId="77777777" w:rsidTr="00877E57">
        <w:trPr>
          <w:tblHeader/>
        </w:trPr>
        <w:tc>
          <w:tcPr>
            <w:tcW w:w="1177" w:type="pct"/>
            <w:shd w:val="clear" w:color="auto" w:fill="auto"/>
            <w:vAlign w:val="center"/>
          </w:tcPr>
          <w:p w14:paraId="5EB5A1BF" w14:textId="77777777" w:rsidR="00091D2A" w:rsidRPr="00552B0C" w:rsidRDefault="00091D2A" w:rsidP="000D5DFD">
            <w:pPr>
              <w:pStyle w:val="In-tableHeading"/>
              <w:keepLines/>
            </w:pPr>
          </w:p>
        </w:tc>
        <w:tc>
          <w:tcPr>
            <w:tcW w:w="550" w:type="pct"/>
            <w:shd w:val="clear" w:color="auto" w:fill="auto"/>
            <w:vAlign w:val="center"/>
          </w:tcPr>
          <w:p w14:paraId="790AF819" w14:textId="77777777" w:rsidR="00091D2A" w:rsidRPr="00552B0C" w:rsidRDefault="00091D2A" w:rsidP="000D5DFD">
            <w:pPr>
              <w:pStyle w:val="In-tableHeading"/>
              <w:keepLines/>
              <w:jc w:val="center"/>
            </w:pPr>
            <w:r w:rsidRPr="00552B0C">
              <w:rPr>
                <w:bCs/>
              </w:rPr>
              <w:t>Year 1 (2025)</w:t>
            </w:r>
          </w:p>
        </w:tc>
        <w:tc>
          <w:tcPr>
            <w:tcW w:w="551" w:type="pct"/>
            <w:shd w:val="clear" w:color="auto" w:fill="auto"/>
            <w:vAlign w:val="center"/>
          </w:tcPr>
          <w:p w14:paraId="34DCBD83" w14:textId="77777777" w:rsidR="00091D2A" w:rsidRPr="00552B0C" w:rsidRDefault="00091D2A" w:rsidP="000D5DFD">
            <w:pPr>
              <w:pStyle w:val="In-tableHeading"/>
              <w:keepLines/>
              <w:jc w:val="center"/>
            </w:pPr>
            <w:r w:rsidRPr="00552B0C">
              <w:rPr>
                <w:bCs/>
              </w:rPr>
              <w:t>Year 2 (2026)</w:t>
            </w:r>
          </w:p>
        </w:tc>
        <w:tc>
          <w:tcPr>
            <w:tcW w:w="549" w:type="pct"/>
            <w:shd w:val="clear" w:color="auto" w:fill="auto"/>
            <w:vAlign w:val="center"/>
          </w:tcPr>
          <w:p w14:paraId="135F09C2" w14:textId="77777777" w:rsidR="00091D2A" w:rsidRPr="00552B0C" w:rsidRDefault="00091D2A" w:rsidP="000D5DFD">
            <w:pPr>
              <w:pStyle w:val="In-tableHeading"/>
              <w:keepLines/>
              <w:jc w:val="center"/>
            </w:pPr>
            <w:r w:rsidRPr="00552B0C">
              <w:rPr>
                <w:bCs/>
              </w:rPr>
              <w:t>Year 3 (2027)</w:t>
            </w:r>
          </w:p>
        </w:tc>
        <w:tc>
          <w:tcPr>
            <w:tcW w:w="551" w:type="pct"/>
            <w:shd w:val="clear" w:color="auto" w:fill="auto"/>
            <w:vAlign w:val="center"/>
          </w:tcPr>
          <w:p w14:paraId="40060FAC" w14:textId="77777777" w:rsidR="00091D2A" w:rsidRPr="00552B0C" w:rsidRDefault="00091D2A" w:rsidP="000D5DFD">
            <w:pPr>
              <w:pStyle w:val="In-tableHeading"/>
              <w:keepLines/>
              <w:jc w:val="center"/>
            </w:pPr>
            <w:r w:rsidRPr="00552B0C">
              <w:rPr>
                <w:bCs/>
              </w:rPr>
              <w:t>Year 4 (2028)</w:t>
            </w:r>
          </w:p>
        </w:tc>
        <w:tc>
          <w:tcPr>
            <w:tcW w:w="550" w:type="pct"/>
            <w:shd w:val="clear" w:color="auto" w:fill="auto"/>
            <w:vAlign w:val="center"/>
          </w:tcPr>
          <w:p w14:paraId="43941C2A" w14:textId="77777777" w:rsidR="00091D2A" w:rsidRPr="00552B0C" w:rsidRDefault="00091D2A" w:rsidP="000D5DFD">
            <w:pPr>
              <w:pStyle w:val="In-tableHeading"/>
              <w:keepLines/>
              <w:jc w:val="center"/>
            </w:pPr>
            <w:r w:rsidRPr="00552B0C">
              <w:rPr>
                <w:bCs/>
              </w:rPr>
              <w:t>Year 5 (2029)</w:t>
            </w:r>
          </w:p>
        </w:tc>
        <w:tc>
          <w:tcPr>
            <w:tcW w:w="550" w:type="pct"/>
            <w:vAlign w:val="center"/>
          </w:tcPr>
          <w:p w14:paraId="24095991" w14:textId="77777777" w:rsidR="00091D2A" w:rsidRPr="00552B0C" w:rsidRDefault="00091D2A" w:rsidP="000D5DFD">
            <w:pPr>
              <w:pStyle w:val="In-tableHeading"/>
              <w:keepLines/>
              <w:jc w:val="center"/>
            </w:pPr>
            <w:r w:rsidRPr="00552B0C">
              <w:rPr>
                <w:bCs/>
              </w:rPr>
              <w:t>Year 6 (2030)</w:t>
            </w:r>
          </w:p>
        </w:tc>
        <w:tc>
          <w:tcPr>
            <w:tcW w:w="522" w:type="pct"/>
          </w:tcPr>
          <w:p w14:paraId="15BDCF25" w14:textId="77777777" w:rsidR="00091D2A" w:rsidRPr="00552B0C" w:rsidRDefault="00091D2A" w:rsidP="000D5DFD">
            <w:pPr>
              <w:pStyle w:val="In-tableHeading"/>
              <w:keepLines/>
              <w:jc w:val="center"/>
            </w:pPr>
            <w:r w:rsidRPr="00552B0C">
              <w:t>Total over 6 years</w:t>
            </w:r>
          </w:p>
        </w:tc>
      </w:tr>
      <w:tr w:rsidR="00091D2A" w:rsidRPr="00552B0C" w14:paraId="7EABED93" w14:textId="77777777" w:rsidTr="00877E57">
        <w:tc>
          <w:tcPr>
            <w:tcW w:w="4478" w:type="pct"/>
            <w:gridSpan w:val="7"/>
            <w:shd w:val="clear" w:color="auto" w:fill="auto"/>
            <w:vAlign w:val="center"/>
          </w:tcPr>
          <w:p w14:paraId="4A01C000" w14:textId="77777777" w:rsidR="00091D2A" w:rsidRPr="00552B0C" w:rsidRDefault="00091D2A" w:rsidP="000D5DFD">
            <w:pPr>
              <w:pStyle w:val="In-tableHeading"/>
              <w:keepLines/>
              <w:jc w:val="both"/>
            </w:pPr>
            <w:r w:rsidRPr="00552B0C">
              <w:t>Estimated extent of use</w:t>
            </w:r>
          </w:p>
        </w:tc>
        <w:tc>
          <w:tcPr>
            <w:tcW w:w="522" w:type="pct"/>
          </w:tcPr>
          <w:p w14:paraId="402FA3CE" w14:textId="77777777" w:rsidR="00091D2A" w:rsidRPr="00552B0C" w:rsidRDefault="00091D2A" w:rsidP="000D5DFD">
            <w:pPr>
              <w:pStyle w:val="In-tableHeading"/>
              <w:keepLines/>
            </w:pPr>
          </w:p>
        </w:tc>
      </w:tr>
      <w:tr w:rsidR="00091D2A" w:rsidRPr="00552B0C" w14:paraId="6245E80D" w14:textId="77777777" w:rsidTr="00877E57">
        <w:tc>
          <w:tcPr>
            <w:tcW w:w="1177" w:type="pct"/>
            <w:shd w:val="clear" w:color="auto" w:fill="auto"/>
            <w:vAlign w:val="center"/>
          </w:tcPr>
          <w:p w14:paraId="24C61525" w14:textId="77777777" w:rsidR="00091D2A" w:rsidRPr="00552B0C" w:rsidRDefault="00091D2A" w:rsidP="000D5DFD">
            <w:pPr>
              <w:pStyle w:val="TableText0"/>
              <w:keepLines/>
              <w:rPr>
                <w:rFonts w:ascii="Times" w:hAnsi="Times"/>
              </w:rPr>
            </w:pPr>
            <w:r w:rsidRPr="00552B0C">
              <w:t>Number of patients treated</w:t>
            </w:r>
          </w:p>
        </w:tc>
        <w:tc>
          <w:tcPr>
            <w:tcW w:w="550" w:type="pct"/>
            <w:shd w:val="clear" w:color="auto" w:fill="auto"/>
            <w:vAlign w:val="center"/>
          </w:tcPr>
          <w:p w14:paraId="5E25DFEA" w14:textId="245953C5" w:rsidR="00091D2A" w:rsidRPr="00F8550F" w:rsidRDefault="005F3BC8" w:rsidP="000D5DFD">
            <w:pPr>
              <w:pStyle w:val="TableText0"/>
              <w:keepLines/>
              <w:jc w:val="center"/>
              <w:rPr>
                <w:vertAlign w:val="superscript"/>
              </w:rPr>
            </w:pPr>
            <w:r w:rsidRPr="00F73F98">
              <w:rPr>
                <w:rStyle w:val="normaltextrun"/>
                <w:rFonts w:cs="Segoe UI" w:hint="eastAsia"/>
                <w:color w:val="000000"/>
                <w:w w:val="24"/>
                <w:szCs w:val="20"/>
                <w:shd w:val="solid" w:color="000000" w:fill="000000"/>
                <w:fitText w:val="107" w:id="-760998134"/>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7" w:id="-760998134"/>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7" w:id="-760998134"/>
                <w14:textFill>
                  <w14:solidFill>
                    <w14:srgbClr w14:val="000000">
                      <w14:alpha w14:val="100000"/>
                    </w14:srgbClr>
                  </w14:solidFill>
                </w14:textFill>
              </w:rPr>
              <w:t xml:space="preserve">　</w:t>
            </w:r>
            <w:r w:rsidR="00F8550F">
              <w:rPr>
                <w:rStyle w:val="normaltextrun"/>
                <w:rFonts w:cs="Segoe UI"/>
                <w:szCs w:val="20"/>
                <w:vertAlign w:val="superscript"/>
              </w:rPr>
              <w:t>1</w:t>
            </w:r>
          </w:p>
        </w:tc>
        <w:tc>
          <w:tcPr>
            <w:tcW w:w="551" w:type="pct"/>
            <w:shd w:val="clear" w:color="auto" w:fill="auto"/>
            <w:vAlign w:val="center"/>
          </w:tcPr>
          <w:p w14:paraId="6E0C0C0A" w14:textId="3DF6C5EB" w:rsidR="00091D2A" w:rsidRPr="00975A9C" w:rsidRDefault="005F3BC8" w:rsidP="000D5DFD">
            <w:pPr>
              <w:pStyle w:val="TableText0"/>
              <w:keepLines/>
              <w:jc w:val="center"/>
              <w:rPr>
                <w:highlight w:val="darkGray"/>
              </w:rPr>
            </w:pPr>
            <w:r w:rsidRPr="00F73F98">
              <w:rPr>
                <w:rStyle w:val="normaltextrun"/>
                <w:rFonts w:cs="Segoe UI" w:hint="eastAsia"/>
                <w:color w:val="000000"/>
                <w:w w:val="24"/>
                <w:szCs w:val="20"/>
                <w:shd w:val="solid" w:color="000000" w:fill="000000"/>
                <w:fitText w:val="108" w:id="-760998133"/>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8" w:id="-760998133"/>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8" w:id="-760998133"/>
                <w14:textFill>
                  <w14:solidFill>
                    <w14:srgbClr w14:val="000000">
                      <w14:alpha w14:val="100000"/>
                    </w14:srgbClr>
                  </w14:solidFill>
                </w14:textFill>
              </w:rPr>
              <w:t xml:space="preserve">　</w:t>
            </w:r>
            <w:r w:rsidR="00F8550F">
              <w:rPr>
                <w:rStyle w:val="normaltextrun"/>
                <w:rFonts w:cs="Segoe UI"/>
                <w:szCs w:val="20"/>
                <w:vertAlign w:val="superscript"/>
              </w:rPr>
              <w:t>1</w:t>
            </w:r>
          </w:p>
        </w:tc>
        <w:tc>
          <w:tcPr>
            <w:tcW w:w="549" w:type="pct"/>
            <w:shd w:val="clear" w:color="auto" w:fill="auto"/>
            <w:vAlign w:val="center"/>
          </w:tcPr>
          <w:p w14:paraId="5F36DB62" w14:textId="2629DB04" w:rsidR="00091D2A" w:rsidRPr="00975A9C" w:rsidRDefault="005F3BC8" w:rsidP="000D5DFD">
            <w:pPr>
              <w:pStyle w:val="TableText0"/>
              <w:keepLines/>
              <w:jc w:val="center"/>
              <w:rPr>
                <w:highlight w:val="darkGray"/>
              </w:rPr>
            </w:pPr>
            <w:r w:rsidRPr="00F73F98">
              <w:rPr>
                <w:rStyle w:val="normaltextrun"/>
                <w:rFonts w:cs="Segoe UI" w:hint="eastAsia"/>
                <w:color w:val="000000"/>
                <w:w w:val="21"/>
                <w:szCs w:val="20"/>
                <w:shd w:val="solid" w:color="000000" w:fill="000000"/>
                <w:fitText w:val="96" w:id="-760998132"/>
                <w14:textFill>
                  <w14:solidFill>
                    <w14:srgbClr w14:val="000000">
                      <w14:alpha w14:val="100000"/>
                    </w14:srgbClr>
                  </w14:solidFill>
                </w14:textFill>
              </w:rPr>
              <w:t xml:space="preserve">　</w:t>
            </w:r>
            <w:r w:rsidRPr="00F73F98">
              <w:rPr>
                <w:rStyle w:val="normaltextrun"/>
                <w:rFonts w:cs="Segoe UI"/>
                <w:color w:val="000000"/>
                <w:w w:val="21"/>
                <w:szCs w:val="20"/>
                <w:shd w:val="solid" w:color="000000" w:fill="000000"/>
                <w:fitText w:val="96" w:id="-760998132"/>
                <w14:textFill>
                  <w14:solidFill>
                    <w14:srgbClr w14:val="000000">
                      <w14:alpha w14:val="100000"/>
                    </w14:srgbClr>
                  </w14:solidFill>
                </w14:textFill>
              </w:rPr>
              <w:t>|</w:t>
            </w:r>
            <w:r w:rsidRPr="00F73F98">
              <w:rPr>
                <w:rStyle w:val="normaltextrun"/>
                <w:rFonts w:cs="Segoe UI" w:hint="eastAsia"/>
                <w:color w:val="000000"/>
                <w:w w:val="21"/>
                <w:szCs w:val="20"/>
                <w:shd w:val="solid" w:color="000000" w:fill="000000"/>
                <w:fitText w:val="96" w:id="-760998132"/>
                <w14:textFill>
                  <w14:solidFill>
                    <w14:srgbClr w14:val="000000">
                      <w14:alpha w14:val="100000"/>
                    </w14:srgbClr>
                  </w14:solidFill>
                </w14:textFill>
              </w:rPr>
              <w:t xml:space="preserve">　</w:t>
            </w:r>
            <w:r w:rsidR="00F8550F">
              <w:rPr>
                <w:rStyle w:val="normaltextrun"/>
                <w:rFonts w:cs="Segoe UI"/>
                <w:szCs w:val="20"/>
                <w:vertAlign w:val="superscript"/>
              </w:rPr>
              <w:t>1</w:t>
            </w:r>
          </w:p>
        </w:tc>
        <w:tc>
          <w:tcPr>
            <w:tcW w:w="551" w:type="pct"/>
            <w:shd w:val="clear" w:color="auto" w:fill="auto"/>
            <w:vAlign w:val="center"/>
          </w:tcPr>
          <w:p w14:paraId="568B3344" w14:textId="65D62A8E" w:rsidR="00091D2A" w:rsidRPr="00975A9C" w:rsidRDefault="005F3BC8" w:rsidP="000D5DFD">
            <w:pPr>
              <w:pStyle w:val="TableText0"/>
              <w:keepLines/>
              <w:jc w:val="center"/>
              <w:rPr>
                <w:highlight w:val="darkGray"/>
              </w:rPr>
            </w:pPr>
            <w:r w:rsidRPr="00F73F98">
              <w:rPr>
                <w:rStyle w:val="normaltextrun"/>
                <w:rFonts w:cs="Segoe UI" w:hint="eastAsia"/>
                <w:color w:val="000000"/>
                <w:w w:val="24"/>
                <w:szCs w:val="20"/>
                <w:shd w:val="solid" w:color="000000" w:fill="000000"/>
                <w:fitText w:val="108" w:id="-760998131"/>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8" w:id="-760998131"/>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8" w:id="-760998131"/>
                <w14:textFill>
                  <w14:solidFill>
                    <w14:srgbClr w14:val="000000">
                      <w14:alpha w14:val="100000"/>
                    </w14:srgbClr>
                  </w14:solidFill>
                </w14:textFill>
              </w:rPr>
              <w:t xml:space="preserve">　</w:t>
            </w:r>
            <w:r w:rsidR="00F8550F">
              <w:rPr>
                <w:rStyle w:val="normaltextrun"/>
                <w:rFonts w:cs="Segoe UI"/>
                <w:szCs w:val="20"/>
                <w:vertAlign w:val="superscript"/>
              </w:rPr>
              <w:t>1</w:t>
            </w:r>
          </w:p>
        </w:tc>
        <w:tc>
          <w:tcPr>
            <w:tcW w:w="550" w:type="pct"/>
            <w:shd w:val="clear" w:color="auto" w:fill="auto"/>
            <w:vAlign w:val="center"/>
          </w:tcPr>
          <w:p w14:paraId="353A8A6D" w14:textId="4C977B67" w:rsidR="00091D2A" w:rsidRPr="00975A9C" w:rsidRDefault="005F3BC8" w:rsidP="000D5DFD">
            <w:pPr>
              <w:pStyle w:val="TableText0"/>
              <w:keepLines/>
              <w:jc w:val="center"/>
              <w:rPr>
                <w:highlight w:val="darkGray"/>
              </w:rPr>
            </w:pPr>
            <w:r w:rsidRPr="00F73F98">
              <w:rPr>
                <w:rStyle w:val="normaltextrun"/>
                <w:rFonts w:cs="Segoe UI" w:hint="eastAsia"/>
                <w:color w:val="000000"/>
                <w:w w:val="24"/>
                <w:szCs w:val="20"/>
                <w:shd w:val="solid" w:color="000000" w:fill="000000"/>
                <w:fitText w:val="108" w:id="-760998130"/>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8" w:id="-760998130"/>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8" w:id="-760998130"/>
                <w14:textFill>
                  <w14:solidFill>
                    <w14:srgbClr w14:val="000000">
                      <w14:alpha w14:val="100000"/>
                    </w14:srgbClr>
                  </w14:solidFill>
                </w14:textFill>
              </w:rPr>
              <w:t xml:space="preserve">　</w:t>
            </w:r>
            <w:r w:rsidR="00F8550F">
              <w:rPr>
                <w:rStyle w:val="normaltextrun"/>
                <w:rFonts w:cs="Segoe UI"/>
                <w:szCs w:val="20"/>
                <w:vertAlign w:val="superscript"/>
              </w:rPr>
              <w:t>1</w:t>
            </w:r>
          </w:p>
        </w:tc>
        <w:tc>
          <w:tcPr>
            <w:tcW w:w="550" w:type="pct"/>
            <w:vAlign w:val="center"/>
          </w:tcPr>
          <w:p w14:paraId="21DD3F75" w14:textId="1842796F" w:rsidR="00091D2A" w:rsidRPr="00975A9C" w:rsidRDefault="005F3BC8" w:rsidP="000D5DFD">
            <w:pPr>
              <w:pStyle w:val="TableText0"/>
              <w:keepLines/>
              <w:jc w:val="center"/>
              <w:rPr>
                <w:highlight w:val="darkGray"/>
              </w:rPr>
            </w:pPr>
            <w:r w:rsidRPr="00F73F98">
              <w:rPr>
                <w:rStyle w:val="normaltextrun"/>
                <w:rFonts w:cs="Segoe UI" w:hint="eastAsia"/>
                <w:color w:val="000000"/>
                <w:w w:val="21"/>
                <w:szCs w:val="20"/>
                <w:shd w:val="solid" w:color="000000" w:fill="000000"/>
                <w:fitText w:val="97" w:id="-760998129"/>
                <w14:textFill>
                  <w14:solidFill>
                    <w14:srgbClr w14:val="000000">
                      <w14:alpha w14:val="100000"/>
                    </w14:srgbClr>
                  </w14:solidFill>
                </w14:textFill>
              </w:rPr>
              <w:t xml:space="preserve">　</w:t>
            </w:r>
            <w:r w:rsidRPr="00F73F98">
              <w:rPr>
                <w:rStyle w:val="normaltextrun"/>
                <w:rFonts w:cs="Segoe UI"/>
                <w:color w:val="000000"/>
                <w:w w:val="21"/>
                <w:szCs w:val="20"/>
                <w:shd w:val="solid" w:color="000000" w:fill="000000"/>
                <w:fitText w:val="97" w:id="-760998129"/>
                <w14:textFill>
                  <w14:solidFill>
                    <w14:srgbClr w14:val="000000">
                      <w14:alpha w14:val="100000"/>
                    </w14:srgbClr>
                  </w14:solidFill>
                </w14:textFill>
              </w:rPr>
              <w:t>|</w:t>
            </w:r>
            <w:r w:rsidRPr="00F73F98">
              <w:rPr>
                <w:rStyle w:val="normaltextrun"/>
                <w:rFonts w:cs="Segoe UI" w:hint="eastAsia"/>
                <w:color w:val="000000"/>
                <w:w w:val="21"/>
                <w:szCs w:val="20"/>
                <w:shd w:val="solid" w:color="000000" w:fill="000000"/>
                <w:fitText w:val="97" w:id="-760998129"/>
                <w14:textFill>
                  <w14:solidFill>
                    <w14:srgbClr w14:val="000000">
                      <w14:alpha w14:val="100000"/>
                    </w14:srgbClr>
                  </w14:solidFill>
                </w14:textFill>
              </w:rPr>
              <w:t xml:space="preserve">　</w:t>
            </w:r>
            <w:r w:rsidR="00F8550F">
              <w:rPr>
                <w:rStyle w:val="normaltextrun"/>
                <w:rFonts w:cs="Segoe UI"/>
                <w:szCs w:val="20"/>
                <w:vertAlign w:val="superscript"/>
              </w:rPr>
              <w:t>1</w:t>
            </w:r>
          </w:p>
        </w:tc>
        <w:tc>
          <w:tcPr>
            <w:tcW w:w="522" w:type="pct"/>
            <w:vAlign w:val="center"/>
          </w:tcPr>
          <w:p w14:paraId="3FD82666" w14:textId="70878B3A" w:rsidR="00091D2A" w:rsidRPr="00894CAF" w:rsidRDefault="005F3BC8" w:rsidP="000D5DFD">
            <w:pPr>
              <w:pStyle w:val="TableText0"/>
              <w:keepLines/>
              <w:jc w:val="center"/>
              <w:rPr>
                <w:highlight w:val="darkGray"/>
                <w:vertAlign w:val="superscript"/>
              </w:rPr>
            </w:pPr>
            <w:r w:rsidRPr="00F73F98">
              <w:rPr>
                <w:rFonts w:hint="eastAsia"/>
                <w:color w:val="000000"/>
                <w:w w:val="15"/>
                <w:shd w:val="solid" w:color="000000" w:fill="000000"/>
                <w:fitText w:val="54" w:id="-760998128"/>
                <w14:textFill>
                  <w14:solidFill>
                    <w14:srgbClr w14:val="000000">
                      <w14:alpha w14:val="100000"/>
                    </w14:srgbClr>
                  </w14:solidFill>
                </w14:textFill>
              </w:rPr>
              <w:t xml:space="preserve">　</w:t>
            </w:r>
            <w:r w:rsidRPr="00F73F98">
              <w:rPr>
                <w:color w:val="000000"/>
                <w:w w:val="15"/>
                <w:shd w:val="solid" w:color="000000" w:fill="000000"/>
                <w:fitText w:val="54" w:id="-760998128"/>
                <w14:textFill>
                  <w14:solidFill>
                    <w14:srgbClr w14:val="000000">
                      <w14:alpha w14:val="100000"/>
                    </w14:srgbClr>
                  </w14:solidFill>
                </w14:textFill>
              </w:rPr>
              <w:t>|</w:t>
            </w:r>
            <w:r w:rsidRPr="00F73F98">
              <w:rPr>
                <w:rFonts w:hint="eastAsia"/>
                <w:color w:val="000000"/>
                <w:spacing w:val="-11"/>
                <w:w w:val="15"/>
                <w:shd w:val="solid" w:color="000000" w:fill="000000"/>
                <w:fitText w:val="54" w:id="-760998128"/>
                <w14:textFill>
                  <w14:solidFill>
                    <w14:srgbClr w14:val="000000">
                      <w14:alpha w14:val="100000"/>
                    </w14:srgbClr>
                  </w14:solidFill>
                </w14:textFill>
              </w:rPr>
              <w:t xml:space="preserve">　</w:t>
            </w:r>
            <w:r w:rsidR="00894CAF" w:rsidRPr="00CE6541">
              <w:rPr>
                <w:vertAlign w:val="superscript"/>
              </w:rPr>
              <w:t>2</w:t>
            </w:r>
          </w:p>
        </w:tc>
      </w:tr>
      <w:tr w:rsidR="00091D2A" w:rsidRPr="00552B0C" w14:paraId="67AB0323" w14:textId="77777777" w:rsidTr="00877E57">
        <w:tc>
          <w:tcPr>
            <w:tcW w:w="1177" w:type="pct"/>
            <w:shd w:val="clear" w:color="auto" w:fill="auto"/>
            <w:vAlign w:val="center"/>
          </w:tcPr>
          <w:p w14:paraId="2EE42220" w14:textId="77777777" w:rsidR="00091D2A" w:rsidRPr="00552B0C" w:rsidRDefault="00091D2A" w:rsidP="000D5DFD">
            <w:pPr>
              <w:pStyle w:val="TableText0"/>
              <w:keepLines/>
              <w:rPr>
                <w:rFonts w:ascii="Times" w:hAnsi="Times"/>
              </w:rPr>
            </w:pPr>
            <w:r w:rsidRPr="00552B0C">
              <w:t>Number of scripts dispensed</w:t>
            </w:r>
            <w:r w:rsidRPr="00552B0C">
              <w:rPr>
                <w:vertAlign w:val="superscript"/>
              </w:rPr>
              <w:t>a</w:t>
            </w:r>
          </w:p>
        </w:tc>
        <w:tc>
          <w:tcPr>
            <w:tcW w:w="550" w:type="pct"/>
            <w:shd w:val="clear" w:color="auto" w:fill="auto"/>
            <w:vAlign w:val="center"/>
          </w:tcPr>
          <w:p w14:paraId="00FDF295" w14:textId="575AD7EB" w:rsidR="00091D2A" w:rsidRPr="00DF199C" w:rsidRDefault="005F3BC8" w:rsidP="000D5DFD">
            <w:pPr>
              <w:pStyle w:val="TableText0"/>
              <w:keepLines/>
              <w:jc w:val="center"/>
              <w:rPr>
                <w:vertAlign w:val="superscript"/>
              </w:rPr>
            </w:pPr>
            <w:r w:rsidRPr="00F73F98">
              <w:rPr>
                <w:rStyle w:val="normaltextrun"/>
                <w:rFonts w:cs="Segoe UI" w:hint="eastAsia"/>
                <w:color w:val="000000"/>
                <w:w w:val="24"/>
                <w:szCs w:val="20"/>
                <w:shd w:val="solid" w:color="000000" w:fill="000000"/>
                <w:fitText w:val="107" w:id="-760998144"/>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7" w:id="-760998144"/>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7" w:id="-760998144"/>
                <w14:textFill>
                  <w14:solidFill>
                    <w14:srgbClr w14:val="000000">
                      <w14:alpha w14:val="100000"/>
                    </w14:srgbClr>
                  </w14:solidFill>
                </w14:textFill>
              </w:rPr>
              <w:t xml:space="preserve">　</w:t>
            </w:r>
            <w:r w:rsidR="00DF199C">
              <w:rPr>
                <w:rStyle w:val="normaltextrun"/>
                <w:rFonts w:cs="Segoe UI"/>
                <w:szCs w:val="20"/>
                <w:vertAlign w:val="superscript"/>
              </w:rPr>
              <w:t>3</w:t>
            </w:r>
          </w:p>
        </w:tc>
        <w:tc>
          <w:tcPr>
            <w:tcW w:w="551" w:type="pct"/>
            <w:shd w:val="clear" w:color="auto" w:fill="auto"/>
            <w:vAlign w:val="center"/>
          </w:tcPr>
          <w:p w14:paraId="294FE026" w14:textId="5127FFD5" w:rsidR="00091D2A" w:rsidRPr="00975A9C" w:rsidRDefault="005F3BC8" w:rsidP="000D5DFD">
            <w:pPr>
              <w:pStyle w:val="TableText0"/>
              <w:keepLines/>
              <w:jc w:val="center"/>
              <w:rPr>
                <w:highlight w:val="darkGray"/>
              </w:rPr>
            </w:pPr>
            <w:r w:rsidRPr="00F73F98">
              <w:rPr>
                <w:rStyle w:val="normaltextrun"/>
                <w:rFonts w:cs="Segoe UI" w:hint="eastAsia"/>
                <w:color w:val="000000"/>
                <w:w w:val="24"/>
                <w:szCs w:val="20"/>
                <w:shd w:val="solid" w:color="000000" w:fill="000000"/>
                <w:fitText w:val="108" w:id="-760998143"/>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8" w:id="-760998143"/>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8" w:id="-760998143"/>
                <w14:textFill>
                  <w14:solidFill>
                    <w14:srgbClr w14:val="000000">
                      <w14:alpha w14:val="100000"/>
                    </w14:srgbClr>
                  </w14:solidFill>
                </w14:textFill>
              </w:rPr>
              <w:t xml:space="preserve">　</w:t>
            </w:r>
            <w:r w:rsidR="00DF199C">
              <w:rPr>
                <w:rStyle w:val="normaltextrun"/>
                <w:rFonts w:cs="Segoe UI"/>
                <w:szCs w:val="20"/>
                <w:vertAlign w:val="superscript"/>
              </w:rPr>
              <w:t>3</w:t>
            </w:r>
          </w:p>
        </w:tc>
        <w:tc>
          <w:tcPr>
            <w:tcW w:w="549" w:type="pct"/>
            <w:shd w:val="clear" w:color="auto" w:fill="auto"/>
            <w:vAlign w:val="center"/>
          </w:tcPr>
          <w:p w14:paraId="7856D71D" w14:textId="416A404F" w:rsidR="00091D2A" w:rsidRPr="00975A9C" w:rsidRDefault="005F3BC8" w:rsidP="000D5DFD">
            <w:pPr>
              <w:pStyle w:val="TableText0"/>
              <w:keepLines/>
              <w:jc w:val="center"/>
              <w:rPr>
                <w:highlight w:val="darkGray"/>
              </w:rPr>
            </w:pPr>
            <w:r w:rsidRPr="00F73F98">
              <w:rPr>
                <w:rStyle w:val="normaltextrun"/>
                <w:rFonts w:cs="Segoe UI" w:hint="eastAsia"/>
                <w:color w:val="000000"/>
                <w:w w:val="21"/>
                <w:szCs w:val="20"/>
                <w:shd w:val="solid" w:color="000000" w:fill="000000"/>
                <w:fitText w:val="96" w:id="-760998142"/>
                <w14:textFill>
                  <w14:solidFill>
                    <w14:srgbClr w14:val="000000">
                      <w14:alpha w14:val="100000"/>
                    </w14:srgbClr>
                  </w14:solidFill>
                </w14:textFill>
              </w:rPr>
              <w:t xml:space="preserve">　</w:t>
            </w:r>
            <w:r w:rsidRPr="00F73F98">
              <w:rPr>
                <w:rStyle w:val="normaltextrun"/>
                <w:rFonts w:cs="Segoe UI"/>
                <w:color w:val="000000"/>
                <w:w w:val="21"/>
                <w:szCs w:val="20"/>
                <w:shd w:val="solid" w:color="000000" w:fill="000000"/>
                <w:fitText w:val="96" w:id="-760998142"/>
                <w14:textFill>
                  <w14:solidFill>
                    <w14:srgbClr w14:val="000000">
                      <w14:alpha w14:val="100000"/>
                    </w14:srgbClr>
                  </w14:solidFill>
                </w14:textFill>
              </w:rPr>
              <w:t>|</w:t>
            </w:r>
            <w:r w:rsidRPr="00F73F98">
              <w:rPr>
                <w:rStyle w:val="normaltextrun"/>
                <w:rFonts w:cs="Segoe UI" w:hint="eastAsia"/>
                <w:color w:val="000000"/>
                <w:w w:val="21"/>
                <w:szCs w:val="20"/>
                <w:shd w:val="solid" w:color="000000" w:fill="000000"/>
                <w:fitText w:val="96" w:id="-760998142"/>
                <w14:textFill>
                  <w14:solidFill>
                    <w14:srgbClr w14:val="000000">
                      <w14:alpha w14:val="100000"/>
                    </w14:srgbClr>
                  </w14:solidFill>
                </w14:textFill>
              </w:rPr>
              <w:t xml:space="preserve">　</w:t>
            </w:r>
            <w:r w:rsidR="00DF199C">
              <w:rPr>
                <w:rStyle w:val="normaltextrun"/>
                <w:rFonts w:cs="Segoe UI"/>
                <w:szCs w:val="20"/>
                <w:vertAlign w:val="superscript"/>
              </w:rPr>
              <w:t>3</w:t>
            </w:r>
          </w:p>
        </w:tc>
        <w:tc>
          <w:tcPr>
            <w:tcW w:w="551" w:type="pct"/>
            <w:shd w:val="clear" w:color="auto" w:fill="auto"/>
            <w:vAlign w:val="center"/>
          </w:tcPr>
          <w:p w14:paraId="3687598D" w14:textId="527751CC" w:rsidR="00091D2A" w:rsidRPr="00975A9C" w:rsidRDefault="005F3BC8" w:rsidP="000D5DFD">
            <w:pPr>
              <w:pStyle w:val="TableText0"/>
              <w:keepLines/>
              <w:jc w:val="center"/>
              <w:rPr>
                <w:highlight w:val="darkGray"/>
              </w:rPr>
            </w:pPr>
            <w:r w:rsidRPr="00F73F98">
              <w:rPr>
                <w:rStyle w:val="normaltextrun"/>
                <w:rFonts w:cs="Segoe UI" w:hint="eastAsia"/>
                <w:color w:val="000000"/>
                <w:w w:val="24"/>
                <w:szCs w:val="20"/>
                <w:shd w:val="solid" w:color="000000" w:fill="000000"/>
                <w:fitText w:val="108" w:id="-760998141"/>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8" w:id="-760998141"/>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8" w:id="-760998141"/>
                <w14:textFill>
                  <w14:solidFill>
                    <w14:srgbClr w14:val="000000">
                      <w14:alpha w14:val="100000"/>
                    </w14:srgbClr>
                  </w14:solidFill>
                </w14:textFill>
              </w:rPr>
              <w:t xml:space="preserve">　</w:t>
            </w:r>
            <w:r w:rsidR="00DF199C">
              <w:rPr>
                <w:rStyle w:val="normaltextrun"/>
                <w:rFonts w:cs="Segoe UI"/>
                <w:szCs w:val="20"/>
                <w:vertAlign w:val="superscript"/>
              </w:rPr>
              <w:t>3</w:t>
            </w:r>
          </w:p>
        </w:tc>
        <w:tc>
          <w:tcPr>
            <w:tcW w:w="550" w:type="pct"/>
            <w:shd w:val="clear" w:color="auto" w:fill="auto"/>
            <w:vAlign w:val="center"/>
          </w:tcPr>
          <w:p w14:paraId="01834893" w14:textId="1405BAA7" w:rsidR="00091D2A" w:rsidRPr="00975A9C" w:rsidRDefault="005F3BC8" w:rsidP="000D5DFD">
            <w:pPr>
              <w:pStyle w:val="TableText0"/>
              <w:keepLines/>
              <w:jc w:val="center"/>
              <w:rPr>
                <w:highlight w:val="darkGray"/>
              </w:rPr>
            </w:pPr>
            <w:r w:rsidRPr="00F73F98">
              <w:rPr>
                <w:rStyle w:val="normaltextrun"/>
                <w:rFonts w:cs="Segoe UI" w:hint="eastAsia"/>
                <w:color w:val="000000"/>
                <w:w w:val="24"/>
                <w:szCs w:val="20"/>
                <w:shd w:val="solid" w:color="000000" w:fill="000000"/>
                <w:fitText w:val="108" w:id="-760998140"/>
                <w14:textFill>
                  <w14:solidFill>
                    <w14:srgbClr w14:val="000000">
                      <w14:alpha w14:val="100000"/>
                    </w14:srgbClr>
                  </w14:solidFill>
                </w14:textFill>
              </w:rPr>
              <w:t xml:space="preserve">　</w:t>
            </w:r>
            <w:r w:rsidRPr="00F73F98">
              <w:rPr>
                <w:rStyle w:val="normaltextrun"/>
                <w:rFonts w:cs="Segoe UI"/>
                <w:color w:val="000000"/>
                <w:w w:val="24"/>
                <w:szCs w:val="20"/>
                <w:shd w:val="solid" w:color="000000" w:fill="000000"/>
                <w:fitText w:val="108" w:id="-760998140"/>
                <w14:textFill>
                  <w14:solidFill>
                    <w14:srgbClr w14:val="000000">
                      <w14:alpha w14:val="100000"/>
                    </w14:srgbClr>
                  </w14:solidFill>
                </w14:textFill>
              </w:rPr>
              <w:t>|</w:t>
            </w:r>
            <w:r w:rsidRPr="00F73F98">
              <w:rPr>
                <w:rStyle w:val="normaltextrun"/>
                <w:rFonts w:cs="Segoe UI" w:hint="eastAsia"/>
                <w:color w:val="000000"/>
                <w:w w:val="24"/>
                <w:szCs w:val="20"/>
                <w:shd w:val="solid" w:color="000000" w:fill="000000"/>
                <w:fitText w:val="108" w:id="-760998140"/>
                <w14:textFill>
                  <w14:solidFill>
                    <w14:srgbClr w14:val="000000">
                      <w14:alpha w14:val="100000"/>
                    </w14:srgbClr>
                  </w14:solidFill>
                </w14:textFill>
              </w:rPr>
              <w:t xml:space="preserve">　</w:t>
            </w:r>
            <w:r w:rsidR="00DF199C">
              <w:rPr>
                <w:rStyle w:val="normaltextrun"/>
                <w:rFonts w:cs="Segoe UI"/>
                <w:szCs w:val="20"/>
                <w:vertAlign w:val="superscript"/>
              </w:rPr>
              <w:t>3</w:t>
            </w:r>
          </w:p>
        </w:tc>
        <w:tc>
          <w:tcPr>
            <w:tcW w:w="550" w:type="pct"/>
            <w:vAlign w:val="center"/>
          </w:tcPr>
          <w:p w14:paraId="2483D46B" w14:textId="0E96F0E2" w:rsidR="00091D2A" w:rsidRPr="00975A9C" w:rsidRDefault="005F3BC8" w:rsidP="000D5DFD">
            <w:pPr>
              <w:pStyle w:val="TableText0"/>
              <w:keepLines/>
              <w:jc w:val="center"/>
              <w:rPr>
                <w:highlight w:val="darkGray"/>
              </w:rPr>
            </w:pPr>
            <w:r w:rsidRPr="00F73F98">
              <w:rPr>
                <w:rStyle w:val="normaltextrun"/>
                <w:rFonts w:cs="Segoe UI" w:hint="eastAsia"/>
                <w:color w:val="000000"/>
                <w:w w:val="21"/>
                <w:szCs w:val="20"/>
                <w:shd w:val="solid" w:color="000000" w:fill="000000"/>
                <w:fitText w:val="97" w:id="-760998139"/>
                <w14:textFill>
                  <w14:solidFill>
                    <w14:srgbClr w14:val="000000">
                      <w14:alpha w14:val="100000"/>
                    </w14:srgbClr>
                  </w14:solidFill>
                </w14:textFill>
              </w:rPr>
              <w:t xml:space="preserve">　</w:t>
            </w:r>
            <w:r w:rsidRPr="00F73F98">
              <w:rPr>
                <w:rStyle w:val="normaltextrun"/>
                <w:rFonts w:cs="Segoe UI"/>
                <w:color w:val="000000"/>
                <w:w w:val="21"/>
                <w:szCs w:val="20"/>
                <w:shd w:val="solid" w:color="000000" w:fill="000000"/>
                <w:fitText w:val="97" w:id="-760998139"/>
                <w14:textFill>
                  <w14:solidFill>
                    <w14:srgbClr w14:val="000000">
                      <w14:alpha w14:val="100000"/>
                    </w14:srgbClr>
                  </w14:solidFill>
                </w14:textFill>
              </w:rPr>
              <w:t>|</w:t>
            </w:r>
            <w:r w:rsidRPr="00F73F98">
              <w:rPr>
                <w:rStyle w:val="normaltextrun"/>
                <w:rFonts w:cs="Segoe UI" w:hint="eastAsia"/>
                <w:color w:val="000000"/>
                <w:w w:val="21"/>
                <w:szCs w:val="20"/>
                <w:shd w:val="solid" w:color="000000" w:fill="000000"/>
                <w:fitText w:val="97" w:id="-760998139"/>
                <w14:textFill>
                  <w14:solidFill>
                    <w14:srgbClr w14:val="000000">
                      <w14:alpha w14:val="100000"/>
                    </w14:srgbClr>
                  </w14:solidFill>
                </w14:textFill>
              </w:rPr>
              <w:t xml:space="preserve">　</w:t>
            </w:r>
            <w:r w:rsidR="00DF199C">
              <w:rPr>
                <w:rStyle w:val="normaltextrun"/>
                <w:rFonts w:cs="Segoe UI"/>
                <w:szCs w:val="20"/>
                <w:vertAlign w:val="superscript"/>
              </w:rPr>
              <w:t>3</w:t>
            </w:r>
          </w:p>
        </w:tc>
        <w:tc>
          <w:tcPr>
            <w:tcW w:w="522" w:type="pct"/>
            <w:vAlign w:val="center"/>
          </w:tcPr>
          <w:p w14:paraId="7078DC5E" w14:textId="08C7DD02" w:rsidR="00091D2A" w:rsidRPr="00BA3975" w:rsidRDefault="005F3BC8" w:rsidP="000D5DFD">
            <w:pPr>
              <w:pStyle w:val="TableText0"/>
              <w:keepLines/>
              <w:jc w:val="center"/>
              <w:rPr>
                <w:highlight w:val="darkGray"/>
                <w:vertAlign w:val="superscript"/>
              </w:rPr>
            </w:pPr>
            <w:r w:rsidRPr="00F73F98">
              <w:rPr>
                <w:rStyle w:val="normaltextrun"/>
                <w:rFonts w:cs="Segoe UI" w:hint="eastAsia"/>
                <w:color w:val="000000"/>
                <w:w w:val="15"/>
                <w:szCs w:val="20"/>
                <w:shd w:val="solid" w:color="000000" w:fill="000000"/>
                <w:fitText w:val="54" w:id="-760998138"/>
                <w14:textFill>
                  <w14:solidFill>
                    <w14:srgbClr w14:val="000000">
                      <w14:alpha w14:val="100000"/>
                    </w14:srgbClr>
                  </w14:solidFill>
                </w14:textFill>
              </w:rPr>
              <w:t xml:space="preserve">　</w:t>
            </w:r>
            <w:r w:rsidRPr="00F73F98">
              <w:rPr>
                <w:rStyle w:val="normaltextrun"/>
                <w:rFonts w:cs="Segoe UI"/>
                <w:color w:val="000000"/>
                <w:w w:val="15"/>
                <w:szCs w:val="20"/>
                <w:shd w:val="solid" w:color="000000" w:fill="000000"/>
                <w:fitText w:val="54" w:id="-760998138"/>
                <w14:textFill>
                  <w14:solidFill>
                    <w14:srgbClr w14:val="000000">
                      <w14:alpha w14:val="100000"/>
                    </w14:srgbClr>
                  </w14:solidFill>
                </w14:textFill>
              </w:rPr>
              <w:t>|</w:t>
            </w:r>
            <w:r w:rsidRPr="00F73F98">
              <w:rPr>
                <w:rStyle w:val="normaltextrun"/>
                <w:rFonts w:cs="Segoe UI" w:hint="eastAsia"/>
                <w:color w:val="000000"/>
                <w:spacing w:val="-11"/>
                <w:w w:val="15"/>
                <w:szCs w:val="20"/>
                <w:shd w:val="solid" w:color="000000" w:fill="000000"/>
                <w:fitText w:val="54" w:id="-760998138"/>
                <w14:textFill>
                  <w14:solidFill>
                    <w14:srgbClr w14:val="000000">
                      <w14:alpha w14:val="100000"/>
                    </w14:srgbClr>
                  </w14:solidFill>
                </w14:textFill>
              </w:rPr>
              <w:t xml:space="preserve">　</w:t>
            </w:r>
            <w:r w:rsidR="00BA3975" w:rsidRPr="00CE6541">
              <w:rPr>
                <w:rStyle w:val="normaltextrun"/>
                <w:rFonts w:cs="Segoe UI"/>
                <w:szCs w:val="20"/>
                <w:vertAlign w:val="superscript"/>
              </w:rPr>
              <w:t>4</w:t>
            </w:r>
          </w:p>
        </w:tc>
      </w:tr>
      <w:tr w:rsidR="00091D2A" w:rsidRPr="00552B0C" w14:paraId="384D166F" w14:textId="77777777" w:rsidTr="00877E57">
        <w:tc>
          <w:tcPr>
            <w:tcW w:w="4478" w:type="pct"/>
            <w:gridSpan w:val="7"/>
            <w:shd w:val="clear" w:color="auto" w:fill="auto"/>
            <w:vAlign w:val="center"/>
          </w:tcPr>
          <w:p w14:paraId="26A4370C" w14:textId="77777777" w:rsidR="00091D2A" w:rsidRPr="00552B0C" w:rsidRDefault="00091D2A" w:rsidP="000D5DFD">
            <w:pPr>
              <w:pStyle w:val="In-tableHeading"/>
              <w:keepLines/>
              <w:jc w:val="both"/>
            </w:pPr>
            <w:r w:rsidRPr="00552B0C">
              <w:t>Estimated financial implications of nal-IRI</w:t>
            </w:r>
          </w:p>
        </w:tc>
        <w:tc>
          <w:tcPr>
            <w:tcW w:w="522" w:type="pct"/>
          </w:tcPr>
          <w:p w14:paraId="04E09F54" w14:textId="77777777" w:rsidR="00091D2A" w:rsidRPr="00552B0C" w:rsidRDefault="00091D2A" w:rsidP="000D5DFD">
            <w:pPr>
              <w:pStyle w:val="In-tableHeading"/>
              <w:keepLines/>
            </w:pPr>
          </w:p>
        </w:tc>
      </w:tr>
      <w:tr w:rsidR="00091D2A" w:rsidRPr="00552B0C" w14:paraId="39BF4EA3" w14:textId="77777777" w:rsidTr="00877E57">
        <w:tc>
          <w:tcPr>
            <w:tcW w:w="1177" w:type="pct"/>
            <w:shd w:val="clear" w:color="auto" w:fill="auto"/>
            <w:vAlign w:val="center"/>
          </w:tcPr>
          <w:p w14:paraId="00626DA8" w14:textId="77777777" w:rsidR="00091D2A" w:rsidRPr="00552B0C" w:rsidRDefault="00091D2A" w:rsidP="000D5DFD">
            <w:pPr>
              <w:pStyle w:val="TableText0"/>
              <w:keepLines/>
            </w:pPr>
            <w:r w:rsidRPr="00552B0C">
              <w:t>Cost to PBS/RPBS less copayments</w:t>
            </w:r>
          </w:p>
        </w:tc>
        <w:tc>
          <w:tcPr>
            <w:tcW w:w="550" w:type="pct"/>
            <w:shd w:val="clear" w:color="auto" w:fill="auto"/>
            <w:vAlign w:val="center"/>
          </w:tcPr>
          <w:p w14:paraId="5B156487" w14:textId="7C21448F" w:rsidR="00091D2A" w:rsidRPr="00541F02" w:rsidRDefault="00091D2A" w:rsidP="005F3BC8">
            <w:pPr>
              <w:pStyle w:val="TableText0"/>
              <w:keepLines/>
              <w:jc w:val="center"/>
              <w:rPr>
                <w:vertAlign w:val="superscript"/>
              </w:rPr>
            </w:pPr>
            <w:r w:rsidRPr="00552B0C">
              <w:rPr>
                <w:rStyle w:val="normaltextrun"/>
                <w:rFonts w:cs="Segoe UI"/>
                <w:szCs w:val="20"/>
              </w:rPr>
              <w:t>$</w:t>
            </w:r>
            <w:r w:rsidR="005F3BC8" w:rsidRPr="00F73F98">
              <w:rPr>
                <w:rStyle w:val="normaltextrun"/>
                <w:rFonts w:cs="Segoe UI"/>
                <w:color w:val="000000"/>
                <w:spacing w:val="50"/>
                <w:szCs w:val="20"/>
                <w:shd w:val="solid" w:color="000000" w:fill="000000"/>
                <w:fitText w:val="322" w:id="-760998137"/>
                <w14:textFill>
                  <w14:solidFill>
                    <w14:srgbClr w14:val="000000">
                      <w14:alpha w14:val="100000"/>
                    </w14:srgbClr>
                  </w14:solidFill>
                </w14:textFill>
              </w:rPr>
              <w:t>|||</w:t>
            </w:r>
            <w:r w:rsidR="005F3BC8" w:rsidRPr="00F73F98">
              <w:rPr>
                <w:rStyle w:val="normaltextrun"/>
                <w:rFonts w:cs="Segoe UI"/>
                <w:color w:val="000000"/>
                <w:spacing w:val="2"/>
                <w:szCs w:val="20"/>
                <w:shd w:val="solid" w:color="000000" w:fill="000000"/>
                <w:fitText w:val="322" w:id="-760998137"/>
                <w14:textFill>
                  <w14:solidFill>
                    <w14:srgbClr w14:val="000000">
                      <w14:alpha w14:val="100000"/>
                    </w14:srgbClr>
                  </w14:solidFill>
                </w14:textFill>
              </w:rPr>
              <w:t>|</w:t>
            </w:r>
            <w:r w:rsidR="00541F02">
              <w:rPr>
                <w:rStyle w:val="normaltextrun"/>
                <w:rFonts w:cs="Segoe UI"/>
                <w:szCs w:val="20"/>
                <w:vertAlign w:val="superscript"/>
              </w:rPr>
              <w:t>5</w:t>
            </w:r>
          </w:p>
        </w:tc>
        <w:tc>
          <w:tcPr>
            <w:tcW w:w="551" w:type="pct"/>
            <w:shd w:val="clear" w:color="auto" w:fill="auto"/>
            <w:vAlign w:val="center"/>
          </w:tcPr>
          <w:p w14:paraId="5EBE661C" w14:textId="2553C87E" w:rsidR="00091D2A" w:rsidRPr="00552B0C" w:rsidRDefault="00091D2A" w:rsidP="005F3BC8">
            <w:pPr>
              <w:pStyle w:val="TableText0"/>
              <w:keepLines/>
              <w:jc w:val="center"/>
            </w:pPr>
            <w:r w:rsidRPr="00552B0C">
              <w:rPr>
                <w:rStyle w:val="normaltextrun"/>
                <w:rFonts w:cs="Segoe UI"/>
                <w:szCs w:val="20"/>
              </w:rPr>
              <w:t>$</w:t>
            </w:r>
            <w:r w:rsidR="005F3BC8" w:rsidRPr="005F3BC8">
              <w:rPr>
                <w:rStyle w:val="normaltextrun"/>
                <w:rFonts w:cs="Segoe UI"/>
                <w:color w:val="000000"/>
                <w:spacing w:val="50"/>
                <w:szCs w:val="20"/>
                <w:shd w:val="solid" w:color="000000" w:fill="000000"/>
                <w:fitText w:val="323" w:id="-760998136"/>
                <w14:textFill>
                  <w14:solidFill>
                    <w14:srgbClr w14:val="000000">
                      <w14:alpha w14:val="100000"/>
                    </w14:srgbClr>
                  </w14:solidFill>
                </w14:textFill>
              </w:rPr>
              <w:t>|||</w:t>
            </w:r>
            <w:r w:rsidR="005F3BC8" w:rsidRPr="005F3BC8">
              <w:rPr>
                <w:rStyle w:val="normaltextrun"/>
                <w:rFonts w:cs="Segoe UI"/>
                <w:color w:val="000000"/>
                <w:spacing w:val="3"/>
                <w:szCs w:val="20"/>
                <w:shd w:val="solid" w:color="000000" w:fill="000000"/>
                <w:fitText w:val="323" w:id="-760998136"/>
                <w14:textFill>
                  <w14:solidFill>
                    <w14:srgbClr w14:val="000000">
                      <w14:alpha w14:val="100000"/>
                    </w14:srgbClr>
                  </w14:solidFill>
                </w14:textFill>
              </w:rPr>
              <w:t>|</w:t>
            </w:r>
            <w:r w:rsidR="00D57E65">
              <w:rPr>
                <w:rStyle w:val="normaltextrun"/>
                <w:rFonts w:cs="Segoe UI"/>
                <w:szCs w:val="20"/>
                <w:vertAlign w:val="superscript"/>
              </w:rPr>
              <w:t>5</w:t>
            </w:r>
          </w:p>
        </w:tc>
        <w:tc>
          <w:tcPr>
            <w:tcW w:w="549" w:type="pct"/>
            <w:shd w:val="clear" w:color="auto" w:fill="auto"/>
            <w:vAlign w:val="center"/>
          </w:tcPr>
          <w:p w14:paraId="49602AF2" w14:textId="322BE54D" w:rsidR="00091D2A" w:rsidRPr="00552B0C" w:rsidRDefault="00091D2A" w:rsidP="005F3BC8">
            <w:pPr>
              <w:pStyle w:val="TableText0"/>
              <w:keepLines/>
              <w:jc w:val="center"/>
            </w:pPr>
            <w:r w:rsidRPr="00552B0C">
              <w:rPr>
                <w:rStyle w:val="normaltextrun"/>
                <w:rFonts w:cs="Segoe UI"/>
                <w:szCs w:val="20"/>
              </w:rPr>
              <w:t>$</w:t>
            </w:r>
            <w:r w:rsidR="005F3BC8" w:rsidRPr="005F3BC8">
              <w:rPr>
                <w:rStyle w:val="normaltextrun"/>
                <w:rFonts w:cs="Segoe UI"/>
                <w:color w:val="000000"/>
                <w:spacing w:val="50"/>
                <w:szCs w:val="20"/>
                <w:shd w:val="solid" w:color="000000" w:fill="000000"/>
                <w:fitText w:val="322" w:id="-760998135"/>
                <w14:textFill>
                  <w14:solidFill>
                    <w14:srgbClr w14:val="000000">
                      <w14:alpha w14:val="100000"/>
                    </w14:srgbClr>
                  </w14:solidFill>
                </w14:textFill>
              </w:rPr>
              <w:t>|||</w:t>
            </w:r>
            <w:r w:rsidR="005F3BC8" w:rsidRPr="005F3BC8">
              <w:rPr>
                <w:rStyle w:val="normaltextrun"/>
                <w:rFonts w:cs="Segoe UI"/>
                <w:color w:val="000000"/>
                <w:spacing w:val="2"/>
                <w:szCs w:val="20"/>
                <w:shd w:val="solid" w:color="000000" w:fill="000000"/>
                <w:fitText w:val="322" w:id="-760998135"/>
                <w14:textFill>
                  <w14:solidFill>
                    <w14:srgbClr w14:val="000000">
                      <w14:alpha w14:val="100000"/>
                    </w14:srgbClr>
                  </w14:solidFill>
                </w14:textFill>
              </w:rPr>
              <w:t>|</w:t>
            </w:r>
            <w:r w:rsidR="00D57E65">
              <w:rPr>
                <w:rStyle w:val="normaltextrun"/>
                <w:rFonts w:cs="Segoe UI"/>
                <w:szCs w:val="20"/>
                <w:vertAlign w:val="superscript"/>
              </w:rPr>
              <w:t>5</w:t>
            </w:r>
          </w:p>
        </w:tc>
        <w:tc>
          <w:tcPr>
            <w:tcW w:w="551" w:type="pct"/>
            <w:shd w:val="clear" w:color="auto" w:fill="auto"/>
            <w:vAlign w:val="center"/>
          </w:tcPr>
          <w:p w14:paraId="095C598A" w14:textId="5B97EC47" w:rsidR="00091D2A" w:rsidRPr="00552B0C" w:rsidRDefault="00091D2A" w:rsidP="005F3BC8">
            <w:pPr>
              <w:pStyle w:val="TableText0"/>
              <w:keepLines/>
              <w:jc w:val="center"/>
            </w:pPr>
            <w:r w:rsidRPr="00552B0C">
              <w:rPr>
                <w:rStyle w:val="normaltextrun"/>
                <w:rFonts w:cs="Segoe UI"/>
                <w:szCs w:val="20"/>
              </w:rPr>
              <w:t>$</w:t>
            </w:r>
            <w:r w:rsidR="005F3BC8" w:rsidRPr="005F3BC8">
              <w:rPr>
                <w:rStyle w:val="normaltextrun"/>
                <w:rFonts w:cs="Segoe UI"/>
                <w:color w:val="000000"/>
                <w:spacing w:val="50"/>
                <w:szCs w:val="20"/>
                <w:shd w:val="solid" w:color="000000" w:fill="000000"/>
                <w:fitText w:val="323" w:id="-760998134"/>
                <w14:textFill>
                  <w14:solidFill>
                    <w14:srgbClr w14:val="000000">
                      <w14:alpha w14:val="100000"/>
                    </w14:srgbClr>
                  </w14:solidFill>
                </w14:textFill>
              </w:rPr>
              <w:t>|||</w:t>
            </w:r>
            <w:r w:rsidR="005F3BC8" w:rsidRPr="005F3BC8">
              <w:rPr>
                <w:rStyle w:val="normaltextrun"/>
                <w:rFonts w:cs="Segoe UI"/>
                <w:color w:val="000000"/>
                <w:spacing w:val="3"/>
                <w:szCs w:val="20"/>
                <w:shd w:val="solid" w:color="000000" w:fill="000000"/>
                <w:fitText w:val="323" w:id="-760998134"/>
                <w14:textFill>
                  <w14:solidFill>
                    <w14:srgbClr w14:val="000000">
                      <w14:alpha w14:val="100000"/>
                    </w14:srgbClr>
                  </w14:solidFill>
                </w14:textFill>
              </w:rPr>
              <w:t>|</w:t>
            </w:r>
            <w:r w:rsidR="00D57E65">
              <w:rPr>
                <w:rStyle w:val="normaltextrun"/>
                <w:rFonts w:cs="Segoe UI"/>
                <w:szCs w:val="20"/>
                <w:vertAlign w:val="superscript"/>
              </w:rPr>
              <w:t>5</w:t>
            </w:r>
          </w:p>
        </w:tc>
        <w:tc>
          <w:tcPr>
            <w:tcW w:w="550" w:type="pct"/>
            <w:shd w:val="clear" w:color="auto" w:fill="auto"/>
            <w:vAlign w:val="center"/>
          </w:tcPr>
          <w:p w14:paraId="36E3AB85" w14:textId="027EBDAE" w:rsidR="00091D2A" w:rsidRPr="00036E7E" w:rsidRDefault="00091D2A" w:rsidP="005F3BC8">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color w:val="000000"/>
                <w:spacing w:val="50"/>
                <w:szCs w:val="20"/>
                <w:shd w:val="solid" w:color="000000" w:fill="000000"/>
                <w:fitText w:val="322" w:id="-760997888"/>
                <w14:textFill>
                  <w14:solidFill>
                    <w14:srgbClr w14:val="000000">
                      <w14:alpha w14:val="100000"/>
                    </w14:srgbClr>
                  </w14:solidFill>
                </w14:textFill>
              </w:rPr>
              <w:t>|||</w:t>
            </w:r>
            <w:r w:rsidR="005F3BC8" w:rsidRPr="005F3BC8">
              <w:rPr>
                <w:rStyle w:val="normaltextrun"/>
                <w:rFonts w:cs="Segoe UI"/>
                <w:color w:val="000000"/>
                <w:spacing w:val="2"/>
                <w:szCs w:val="20"/>
                <w:shd w:val="solid" w:color="000000" w:fill="000000"/>
                <w:fitText w:val="322" w:id="-760997888"/>
                <w14:textFill>
                  <w14:solidFill>
                    <w14:srgbClr w14:val="000000">
                      <w14:alpha w14:val="100000"/>
                    </w14:srgbClr>
                  </w14:solidFill>
                </w14:textFill>
              </w:rPr>
              <w:t>|</w:t>
            </w:r>
            <w:r w:rsidR="00036E7E">
              <w:rPr>
                <w:rStyle w:val="normaltextrun"/>
                <w:rFonts w:cs="Segoe UI"/>
                <w:szCs w:val="20"/>
                <w:vertAlign w:val="superscript"/>
              </w:rPr>
              <w:t>6</w:t>
            </w:r>
          </w:p>
        </w:tc>
        <w:tc>
          <w:tcPr>
            <w:tcW w:w="550" w:type="pct"/>
            <w:vAlign w:val="center"/>
          </w:tcPr>
          <w:p w14:paraId="5737E37C" w14:textId="3738DA84" w:rsidR="00091D2A" w:rsidRPr="00397430" w:rsidRDefault="00091D2A" w:rsidP="005F3BC8">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color w:val="000000"/>
                <w:spacing w:val="50"/>
                <w:szCs w:val="20"/>
                <w:shd w:val="solid" w:color="000000" w:fill="000000"/>
                <w:fitText w:val="322" w:id="-760997887"/>
                <w14:textFill>
                  <w14:solidFill>
                    <w14:srgbClr w14:val="000000">
                      <w14:alpha w14:val="100000"/>
                    </w14:srgbClr>
                  </w14:solidFill>
                </w14:textFill>
              </w:rPr>
              <w:t>|||</w:t>
            </w:r>
            <w:r w:rsidR="005F3BC8" w:rsidRPr="005F3BC8">
              <w:rPr>
                <w:rStyle w:val="normaltextrun"/>
                <w:rFonts w:cs="Segoe UI"/>
                <w:color w:val="000000"/>
                <w:spacing w:val="2"/>
                <w:szCs w:val="20"/>
                <w:shd w:val="solid" w:color="000000" w:fill="000000"/>
                <w:fitText w:val="322" w:id="-760997887"/>
                <w14:textFill>
                  <w14:solidFill>
                    <w14:srgbClr w14:val="000000">
                      <w14:alpha w14:val="100000"/>
                    </w14:srgbClr>
                  </w14:solidFill>
                </w14:textFill>
              </w:rPr>
              <w:t>|</w:t>
            </w:r>
            <w:r w:rsidR="00397430">
              <w:rPr>
                <w:rStyle w:val="normaltextrun"/>
                <w:rFonts w:cs="Segoe UI"/>
                <w:szCs w:val="20"/>
                <w:vertAlign w:val="superscript"/>
              </w:rPr>
              <w:t>6</w:t>
            </w:r>
          </w:p>
        </w:tc>
        <w:tc>
          <w:tcPr>
            <w:tcW w:w="522" w:type="pct"/>
            <w:vAlign w:val="center"/>
          </w:tcPr>
          <w:p w14:paraId="161EE18B" w14:textId="7A97E281" w:rsidR="00091D2A" w:rsidRPr="009618BD" w:rsidRDefault="00091D2A" w:rsidP="005F3BC8">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color w:val="000000"/>
                <w:spacing w:val="50"/>
                <w:szCs w:val="20"/>
                <w:shd w:val="solid" w:color="000000" w:fill="000000"/>
                <w:fitText w:val="323" w:id="-760997886"/>
                <w14:textFill>
                  <w14:solidFill>
                    <w14:srgbClr w14:val="000000">
                      <w14:alpha w14:val="100000"/>
                    </w14:srgbClr>
                  </w14:solidFill>
                </w14:textFill>
              </w:rPr>
              <w:t>|||</w:t>
            </w:r>
            <w:r w:rsidR="005F3BC8" w:rsidRPr="005F3BC8">
              <w:rPr>
                <w:rStyle w:val="normaltextrun"/>
                <w:rFonts w:cs="Segoe UI"/>
                <w:color w:val="000000"/>
                <w:spacing w:val="3"/>
                <w:szCs w:val="20"/>
                <w:shd w:val="solid" w:color="000000" w:fill="000000"/>
                <w:fitText w:val="323" w:id="-760997886"/>
                <w14:textFill>
                  <w14:solidFill>
                    <w14:srgbClr w14:val="000000">
                      <w14:alpha w14:val="100000"/>
                    </w14:srgbClr>
                  </w14:solidFill>
                </w14:textFill>
              </w:rPr>
              <w:t>|</w:t>
            </w:r>
            <w:r w:rsidR="002A71E3">
              <w:rPr>
                <w:rStyle w:val="normaltextrun"/>
                <w:rFonts w:cs="Segoe UI"/>
                <w:szCs w:val="20"/>
                <w:vertAlign w:val="superscript"/>
              </w:rPr>
              <w:t>10</w:t>
            </w:r>
          </w:p>
        </w:tc>
      </w:tr>
      <w:tr w:rsidR="00091D2A" w:rsidRPr="00552B0C" w14:paraId="137B86C6" w14:textId="77777777" w:rsidTr="00877E57">
        <w:tc>
          <w:tcPr>
            <w:tcW w:w="4478" w:type="pct"/>
            <w:gridSpan w:val="7"/>
            <w:shd w:val="clear" w:color="auto" w:fill="auto"/>
            <w:vAlign w:val="center"/>
          </w:tcPr>
          <w:p w14:paraId="7B38A571" w14:textId="77777777" w:rsidR="00091D2A" w:rsidRPr="00552B0C" w:rsidRDefault="00091D2A" w:rsidP="000D5DFD">
            <w:pPr>
              <w:pStyle w:val="TableText0"/>
              <w:keepLines/>
              <w:rPr>
                <w:b/>
                <w:bCs w:val="0"/>
                <w:vertAlign w:val="superscript"/>
              </w:rPr>
            </w:pPr>
            <w:r w:rsidRPr="00552B0C">
              <w:rPr>
                <w:b/>
                <w:bCs w:val="0"/>
              </w:rPr>
              <w:t xml:space="preserve">Estimated financial implications for other medicines </w:t>
            </w:r>
            <w:r w:rsidRPr="00552B0C">
              <w:rPr>
                <w:b/>
                <w:bCs w:val="0"/>
                <w:vertAlign w:val="superscript"/>
              </w:rPr>
              <w:t>b</w:t>
            </w:r>
          </w:p>
        </w:tc>
        <w:tc>
          <w:tcPr>
            <w:tcW w:w="522" w:type="pct"/>
          </w:tcPr>
          <w:p w14:paraId="472FE546" w14:textId="77777777" w:rsidR="00091D2A" w:rsidRPr="00552B0C" w:rsidRDefault="00091D2A" w:rsidP="000D5DFD">
            <w:pPr>
              <w:pStyle w:val="TableText0"/>
              <w:keepLines/>
            </w:pPr>
          </w:p>
        </w:tc>
      </w:tr>
      <w:tr w:rsidR="00091D2A" w:rsidRPr="00552B0C" w14:paraId="28E3DCDC" w14:textId="77777777" w:rsidTr="00877E57">
        <w:tc>
          <w:tcPr>
            <w:tcW w:w="1177" w:type="pct"/>
            <w:shd w:val="clear" w:color="auto" w:fill="auto"/>
            <w:vAlign w:val="center"/>
          </w:tcPr>
          <w:p w14:paraId="04EE1354" w14:textId="77777777" w:rsidR="00091D2A" w:rsidRPr="00552B0C" w:rsidRDefault="00091D2A" w:rsidP="000D5DFD">
            <w:pPr>
              <w:pStyle w:val="TableText0"/>
              <w:keepLines/>
            </w:pPr>
            <w:r w:rsidRPr="00552B0C">
              <w:t>Cost to PBS/RPBS less copayments</w:t>
            </w:r>
          </w:p>
        </w:tc>
        <w:tc>
          <w:tcPr>
            <w:tcW w:w="550" w:type="pct"/>
            <w:shd w:val="clear" w:color="auto" w:fill="auto"/>
            <w:vAlign w:val="center"/>
          </w:tcPr>
          <w:p w14:paraId="3C68363D" w14:textId="7D1D721A" w:rsidR="00091D2A" w:rsidRPr="00BD41B4"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5"/>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5"/>
                <w14:textFill>
                  <w14:solidFill>
                    <w14:srgbClr w14:val="000000">
                      <w14:alpha w14:val="100000"/>
                    </w14:srgbClr>
                  </w14:solidFill>
                </w14:textFill>
              </w:rPr>
              <w:t>|</w:t>
            </w:r>
            <w:r w:rsidR="00BD41B4">
              <w:rPr>
                <w:rStyle w:val="normaltextrun"/>
                <w:rFonts w:cs="Segoe UI"/>
                <w:szCs w:val="20"/>
                <w:vertAlign w:val="superscript"/>
              </w:rPr>
              <w:t>7</w:t>
            </w:r>
          </w:p>
        </w:tc>
        <w:tc>
          <w:tcPr>
            <w:tcW w:w="551" w:type="pct"/>
            <w:shd w:val="clear" w:color="auto" w:fill="auto"/>
            <w:vAlign w:val="center"/>
          </w:tcPr>
          <w:p w14:paraId="04F588E5" w14:textId="566E4B5A"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4"/>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4"/>
                <w14:textFill>
                  <w14:solidFill>
                    <w14:srgbClr w14:val="000000">
                      <w14:alpha w14:val="100000"/>
                    </w14:srgbClr>
                  </w14:solidFill>
                </w14:textFill>
              </w:rPr>
              <w:t>|</w:t>
            </w:r>
            <w:r w:rsidR="00BD41B4">
              <w:rPr>
                <w:rStyle w:val="normaltextrun"/>
                <w:rFonts w:cs="Segoe UI"/>
                <w:szCs w:val="20"/>
                <w:vertAlign w:val="superscript"/>
              </w:rPr>
              <w:t>7</w:t>
            </w:r>
          </w:p>
        </w:tc>
        <w:tc>
          <w:tcPr>
            <w:tcW w:w="549" w:type="pct"/>
            <w:shd w:val="clear" w:color="auto" w:fill="auto"/>
            <w:vAlign w:val="center"/>
          </w:tcPr>
          <w:p w14:paraId="5A917EA6" w14:textId="60B5B7E9"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3"/>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3"/>
                <w14:textFill>
                  <w14:solidFill>
                    <w14:srgbClr w14:val="000000">
                      <w14:alpha w14:val="100000"/>
                    </w14:srgbClr>
                  </w14:solidFill>
                </w14:textFill>
              </w:rPr>
              <w:t>|</w:t>
            </w:r>
            <w:r w:rsidR="00BD41B4">
              <w:rPr>
                <w:rStyle w:val="normaltextrun"/>
                <w:rFonts w:cs="Segoe UI"/>
                <w:szCs w:val="20"/>
                <w:vertAlign w:val="superscript"/>
              </w:rPr>
              <w:t>7</w:t>
            </w:r>
          </w:p>
        </w:tc>
        <w:tc>
          <w:tcPr>
            <w:tcW w:w="551" w:type="pct"/>
            <w:shd w:val="clear" w:color="auto" w:fill="auto"/>
            <w:vAlign w:val="center"/>
          </w:tcPr>
          <w:p w14:paraId="1AB48EC2" w14:textId="46621B40"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2"/>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2"/>
                <w14:textFill>
                  <w14:solidFill>
                    <w14:srgbClr w14:val="000000">
                      <w14:alpha w14:val="100000"/>
                    </w14:srgbClr>
                  </w14:solidFill>
                </w14:textFill>
              </w:rPr>
              <w:t>|</w:t>
            </w:r>
            <w:r w:rsidR="00BD41B4">
              <w:rPr>
                <w:rStyle w:val="normaltextrun"/>
                <w:rFonts w:cs="Segoe UI"/>
                <w:szCs w:val="20"/>
                <w:vertAlign w:val="superscript"/>
              </w:rPr>
              <w:t>7</w:t>
            </w:r>
          </w:p>
        </w:tc>
        <w:tc>
          <w:tcPr>
            <w:tcW w:w="550" w:type="pct"/>
            <w:shd w:val="clear" w:color="auto" w:fill="auto"/>
            <w:vAlign w:val="center"/>
          </w:tcPr>
          <w:p w14:paraId="1BD563E6" w14:textId="57CF28D5"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6"/>
                <w:szCs w:val="20"/>
                <w:shd w:val="solid" w:color="000000" w:fill="000000"/>
                <w:fitText w:val="182" w:id="-760997881"/>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2" w:id="-760997881"/>
                <w14:textFill>
                  <w14:solidFill>
                    <w14:srgbClr w14:val="000000">
                      <w14:alpha w14:val="100000"/>
                    </w14:srgbClr>
                  </w14:solidFill>
                </w14:textFill>
              </w:rPr>
              <w:t>|</w:t>
            </w:r>
            <w:r w:rsidR="00BD41B4">
              <w:rPr>
                <w:rStyle w:val="normaltextrun"/>
                <w:rFonts w:cs="Segoe UI"/>
                <w:szCs w:val="20"/>
                <w:vertAlign w:val="superscript"/>
              </w:rPr>
              <w:t>7</w:t>
            </w:r>
          </w:p>
        </w:tc>
        <w:tc>
          <w:tcPr>
            <w:tcW w:w="550" w:type="pct"/>
            <w:vAlign w:val="center"/>
          </w:tcPr>
          <w:p w14:paraId="6466239A" w14:textId="19744B2A"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0"/>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0"/>
                <w14:textFill>
                  <w14:solidFill>
                    <w14:srgbClr w14:val="000000">
                      <w14:alpha w14:val="100000"/>
                    </w14:srgbClr>
                  </w14:solidFill>
                </w14:textFill>
              </w:rPr>
              <w:t>|</w:t>
            </w:r>
            <w:r w:rsidR="00BD41B4">
              <w:rPr>
                <w:rStyle w:val="normaltextrun"/>
                <w:rFonts w:cs="Segoe UI"/>
                <w:szCs w:val="20"/>
                <w:vertAlign w:val="superscript"/>
              </w:rPr>
              <w:t>7</w:t>
            </w:r>
          </w:p>
        </w:tc>
        <w:tc>
          <w:tcPr>
            <w:tcW w:w="522" w:type="pct"/>
            <w:vAlign w:val="center"/>
          </w:tcPr>
          <w:p w14:paraId="3D70BBDD" w14:textId="1BE481D5" w:rsidR="00091D2A" w:rsidRPr="0032228C" w:rsidRDefault="00091D2A" w:rsidP="000D5DFD">
            <w:pPr>
              <w:keepNext/>
              <w:keepLines/>
              <w:jc w:val="center"/>
              <w:rPr>
                <w:rFonts w:ascii="Arial Narrow" w:hAnsi="Arial Narrow"/>
                <w:sz w:val="20"/>
                <w:szCs w:val="20"/>
                <w:vertAlign w:val="superscript"/>
              </w:rPr>
            </w:pPr>
            <w:r w:rsidRPr="00552B0C">
              <w:rPr>
                <w:rFonts w:ascii="Arial Narrow" w:hAnsi="Arial Narrow"/>
                <w:sz w:val="20"/>
                <w:szCs w:val="20"/>
              </w:rPr>
              <w:t>-$</w:t>
            </w:r>
            <w:r w:rsidR="005F3BC8" w:rsidRPr="005F3BC8">
              <w:rPr>
                <w:rFonts w:ascii="Arial Narrow" w:hAnsi="Arial Narrow" w:hint="eastAsia"/>
                <w:color w:val="000000"/>
                <w:w w:val="29"/>
                <w:sz w:val="20"/>
                <w:szCs w:val="20"/>
                <w:shd w:val="solid" w:color="000000" w:fill="000000"/>
                <w:fitText w:val="129" w:id="-760997879"/>
                <w14:textFill>
                  <w14:solidFill>
                    <w14:srgbClr w14:val="000000">
                      <w14:alpha w14:val="100000"/>
                    </w14:srgbClr>
                  </w14:solidFill>
                </w14:textFill>
              </w:rPr>
              <w:t xml:space="preserve">　</w:t>
            </w:r>
            <w:r w:rsidR="005F3BC8" w:rsidRPr="005F3BC8">
              <w:rPr>
                <w:rFonts w:ascii="Arial Narrow" w:hAnsi="Arial Narrow"/>
                <w:color w:val="000000"/>
                <w:w w:val="29"/>
                <w:sz w:val="20"/>
                <w:szCs w:val="20"/>
                <w:shd w:val="solid" w:color="000000" w:fill="000000"/>
                <w:fitText w:val="129" w:id="-760997879"/>
                <w14:textFill>
                  <w14:solidFill>
                    <w14:srgbClr w14:val="000000">
                      <w14:alpha w14:val="100000"/>
                    </w14:srgbClr>
                  </w14:solidFill>
                </w14:textFill>
              </w:rPr>
              <w:t>|</w:t>
            </w:r>
            <w:r w:rsidR="005F3BC8" w:rsidRPr="005F3BC8">
              <w:rPr>
                <w:rFonts w:ascii="Arial Narrow" w:hAnsi="Arial Narrow" w:hint="eastAsia"/>
                <w:color w:val="000000"/>
                <w:w w:val="29"/>
                <w:sz w:val="20"/>
                <w:szCs w:val="20"/>
                <w:shd w:val="solid" w:color="000000" w:fill="000000"/>
                <w:fitText w:val="129" w:id="-760997879"/>
                <w14:textFill>
                  <w14:solidFill>
                    <w14:srgbClr w14:val="000000">
                      <w14:alpha w14:val="100000"/>
                    </w14:srgbClr>
                  </w14:solidFill>
                </w14:textFill>
              </w:rPr>
              <w:t xml:space="preserve">　</w:t>
            </w:r>
            <w:r w:rsidR="009E5F06">
              <w:rPr>
                <w:rFonts w:ascii="Arial Narrow" w:hAnsi="Arial Narrow"/>
                <w:sz w:val="20"/>
                <w:szCs w:val="20"/>
                <w:vertAlign w:val="superscript"/>
              </w:rPr>
              <w:t>7</w:t>
            </w:r>
          </w:p>
        </w:tc>
      </w:tr>
      <w:tr w:rsidR="00091D2A" w:rsidRPr="00552B0C" w14:paraId="3F98F9FA" w14:textId="77777777">
        <w:tc>
          <w:tcPr>
            <w:tcW w:w="5000" w:type="pct"/>
            <w:gridSpan w:val="8"/>
            <w:shd w:val="clear" w:color="auto" w:fill="auto"/>
            <w:vAlign w:val="center"/>
          </w:tcPr>
          <w:p w14:paraId="489CBA04" w14:textId="77777777" w:rsidR="00091D2A" w:rsidRPr="00552B0C" w:rsidRDefault="00091D2A" w:rsidP="000D5DFD">
            <w:pPr>
              <w:pStyle w:val="In-tableHeading"/>
              <w:keepLines/>
              <w:jc w:val="both"/>
            </w:pPr>
            <w:r w:rsidRPr="00552B0C">
              <w:t>Net financial implications</w:t>
            </w:r>
            <w:r w:rsidRPr="00552B0C">
              <w:rPr>
                <w:color w:val="4BACC6" w:themeColor="accent5"/>
              </w:rPr>
              <w:t xml:space="preserve"> </w:t>
            </w:r>
          </w:p>
        </w:tc>
      </w:tr>
      <w:tr w:rsidR="00091D2A" w:rsidRPr="00552B0C" w14:paraId="55CDD682" w14:textId="77777777" w:rsidTr="00877E57">
        <w:tc>
          <w:tcPr>
            <w:tcW w:w="1177" w:type="pct"/>
            <w:shd w:val="clear" w:color="auto" w:fill="auto"/>
            <w:vAlign w:val="center"/>
          </w:tcPr>
          <w:p w14:paraId="6ABAD372" w14:textId="77777777" w:rsidR="00091D2A" w:rsidRPr="00552B0C" w:rsidRDefault="00091D2A" w:rsidP="000D5DFD">
            <w:pPr>
              <w:pStyle w:val="TableText0"/>
              <w:keepLines/>
            </w:pPr>
            <w:r w:rsidRPr="00552B0C">
              <w:t>Net cost to PBS/RPBS</w:t>
            </w:r>
          </w:p>
        </w:tc>
        <w:tc>
          <w:tcPr>
            <w:tcW w:w="550" w:type="pct"/>
            <w:shd w:val="clear" w:color="auto" w:fill="auto"/>
            <w:vAlign w:val="center"/>
          </w:tcPr>
          <w:p w14:paraId="1C4E9E46" w14:textId="33EA1B5D"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hint="eastAsia"/>
                <w:color w:val="000000"/>
                <w:w w:val="33"/>
                <w:szCs w:val="20"/>
                <w:shd w:val="solid" w:color="000000" w:fill="000000"/>
                <w:fitText w:val="150" w:id="-760997878"/>
                <w14:textFill>
                  <w14:solidFill>
                    <w14:srgbClr w14:val="000000">
                      <w14:alpha w14:val="100000"/>
                    </w14:srgbClr>
                  </w14:solidFill>
                </w14:textFill>
              </w:rPr>
              <w:t xml:space="preserve">　</w:t>
            </w:r>
            <w:r w:rsidR="005F3BC8" w:rsidRPr="005F3BC8">
              <w:rPr>
                <w:rStyle w:val="normaltextrun"/>
                <w:rFonts w:cs="Segoe UI"/>
                <w:color w:val="000000"/>
                <w:w w:val="33"/>
                <w:szCs w:val="20"/>
                <w:shd w:val="solid" w:color="000000" w:fill="000000"/>
                <w:fitText w:val="150" w:id="-760997878"/>
                <w14:textFill>
                  <w14:solidFill>
                    <w14:srgbClr w14:val="000000">
                      <w14:alpha w14:val="100000"/>
                    </w14:srgbClr>
                  </w14:solidFill>
                </w14:textFill>
              </w:rPr>
              <w:t>|</w:t>
            </w:r>
            <w:r w:rsidR="005F3BC8" w:rsidRPr="005F3BC8">
              <w:rPr>
                <w:rStyle w:val="normaltextrun"/>
                <w:rFonts w:cs="Segoe UI" w:hint="eastAsia"/>
                <w:color w:val="000000"/>
                <w:spacing w:val="4"/>
                <w:w w:val="33"/>
                <w:szCs w:val="20"/>
                <w:shd w:val="solid" w:color="000000" w:fill="000000"/>
                <w:fitText w:val="150" w:id="-760997878"/>
                <w14:textFill>
                  <w14:solidFill>
                    <w14:srgbClr w14:val="000000">
                      <w14:alpha w14:val="100000"/>
                    </w14:srgbClr>
                  </w14:solidFill>
                </w14:textFill>
              </w:rPr>
              <w:t xml:space="preserve">　</w:t>
            </w:r>
            <w:r w:rsidR="000B6F2A">
              <w:rPr>
                <w:rStyle w:val="normaltextrun"/>
                <w:rFonts w:cs="Segoe UI"/>
                <w:szCs w:val="20"/>
                <w:vertAlign w:val="superscript"/>
              </w:rPr>
              <w:t>8</w:t>
            </w:r>
          </w:p>
        </w:tc>
        <w:tc>
          <w:tcPr>
            <w:tcW w:w="551" w:type="pct"/>
            <w:shd w:val="clear" w:color="auto" w:fill="auto"/>
            <w:vAlign w:val="center"/>
          </w:tcPr>
          <w:p w14:paraId="0F1A9F73" w14:textId="78009286" w:rsidR="00091D2A" w:rsidRPr="00036E7E"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color w:val="000000"/>
                <w:spacing w:val="65"/>
                <w:szCs w:val="20"/>
                <w:shd w:val="solid" w:color="000000" w:fill="000000"/>
                <w:fitText w:val="151" w:id="-760997877"/>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51" w:id="-760997877"/>
                <w14:textFill>
                  <w14:solidFill>
                    <w14:srgbClr w14:val="000000">
                      <w14:alpha w14:val="100000"/>
                    </w14:srgbClr>
                  </w14:solidFill>
                </w14:textFill>
              </w:rPr>
              <w:t>|</w:t>
            </w:r>
            <w:r w:rsidR="00036E7E">
              <w:rPr>
                <w:rStyle w:val="normaltextrun"/>
                <w:rFonts w:cs="Segoe UI"/>
                <w:szCs w:val="20"/>
                <w:vertAlign w:val="superscript"/>
              </w:rPr>
              <w:t>5</w:t>
            </w:r>
          </w:p>
        </w:tc>
        <w:tc>
          <w:tcPr>
            <w:tcW w:w="549" w:type="pct"/>
            <w:shd w:val="clear" w:color="auto" w:fill="auto"/>
            <w:vAlign w:val="center"/>
          </w:tcPr>
          <w:p w14:paraId="0B63C537" w14:textId="4E63205F" w:rsidR="00091D2A" w:rsidRPr="00036E7E"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hint="eastAsia"/>
                <w:color w:val="000000"/>
                <w:w w:val="33"/>
                <w:szCs w:val="20"/>
                <w:shd w:val="solid" w:color="000000" w:fill="000000"/>
                <w:fitText w:val="150" w:id="-760997876"/>
                <w14:textFill>
                  <w14:solidFill>
                    <w14:srgbClr w14:val="000000">
                      <w14:alpha w14:val="100000"/>
                    </w14:srgbClr>
                  </w14:solidFill>
                </w14:textFill>
              </w:rPr>
              <w:t xml:space="preserve">　</w:t>
            </w:r>
            <w:r w:rsidR="005F3BC8" w:rsidRPr="005F3BC8">
              <w:rPr>
                <w:rStyle w:val="normaltextrun"/>
                <w:rFonts w:cs="Segoe UI"/>
                <w:color w:val="000000"/>
                <w:w w:val="33"/>
                <w:szCs w:val="20"/>
                <w:shd w:val="solid" w:color="000000" w:fill="000000"/>
                <w:fitText w:val="150" w:id="-760997876"/>
                <w14:textFill>
                  <w14:solidFill>
                    <w14:srgbClr w14:val="000000">
                      <w14:alpha w14:val="100000"/>
                    </w14:srgbClr>
                  </w14:solidFill>
                </w14:textFill>
              </w:rPr>
              <w:t>|</w:t>
            </w:r>
            <w:r w:rsidR="005F3BC8" w:rsidRPr="005F3BC8">
              <w:rPr>
                <w:rStyle w:val="normaltextrun"/>
                <w:rFonts w:cs="Segoe UI" w:hint="eastAsia"/>
                <w:color w:val="000000"/>
                <w:spacing w:val="4"/>
                <w:w w:val="33"/>
                <w:szCs w:val="20"/>
                <w:shd w:val="solid" w:color="000000" w:fill="000000"/>
                <w:fitText w:val="150" w:id="-760997876"/>
                <w14:textFill>
                  <w14:solidFill>
                    <w14:srgbClr w14:val="000000">
                      <w14:alpha w14:val="100000"/>
                    </w14:srgbClr>
                  </w14:solidFill>
                </w14:textFill>
              </w:rPr>
              <w:t xml:space="preserve">　</w:t>
            </w:r>
            <w:r w:rsidR="00036E7E">
              <w:rPr>
                <w:rStyle w:val="normaltextrun"/>
                <w:rFonts w:cs="Segoe UI"/>
                <w:szCs w:val="20"/>
                <w:vertAlign w:val="superscript"/>
              </w:rPr>
              <w:t>5</w:t>
            </w:r>
          </w:p>
        </w:tc>
        <w:tc>
          <w:tcPr>
            <w:tcW w:w="551" w:type="pct"/>
            <w:shd w:val="clear" w:color="auto" w:fill="auto"/>
            <w:vAlign w:val="center"/>
          </w:tcPr>
          <w:p w14:paraId="0D917892" w14:textId="19699DC7" w:rsidR="00091D2A" w:rsidRPr="00036E7E"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color w:val="000000"/>
                <w:spacing w:val="65"/>
                <w:szCs w:val="20"/>
                <w:shd w:val="solid" w:color="000000" w:fill="000000"/>
                <w:fitText w:val="151" w:id="-760997875"/>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51" w:id="-760997875"/>
                <w14:textFill>
                  <w14:solidFill>
                    <w14:srgbClr w14:val="000000">
                      <w14:alpha w14:val="100000"/>
                    </w14:srgbClr>
                  </w14:solidFill>
                </w14:textFill>
              </w:rPr>
              <w:t>|</w:t>
            </w:r>
            <w:r w:rsidR="00036E7E">
              <w:rPr>
                <w:rStyle w:val="normaltextrun"/>
                <w:rFonts w:cs="Segoe UI"/>
                <w:szCs w:val="20"/>
                <w:vertAlign w:val="superscript"/>
              </w:rPr>
              <w:t>5</w:t>
            </w:r>
          </w:p>
        </w:tc>
        <w:tc>
          <w:tcPr>
            <w:tcW w:w="550" w:type="pct"/>
            <w:shd w:val="clear" w:color="auto" w:fill="auto"/>
            <w:vAlign w:val="center"/>
          </w:tcPr>
          <w:p w14:paraId="20CB2540" w14:textId="2B05A638" w:rsidR="00091D2A" w:rsidRPr="00036E7E"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hint="eastAsia"/>
                <w:color w:val="000000"/>
                <w:w w:val="33"/>
                <w:szCs w:val="20"/>
                <w:shd w:val="solid" w:color="000000" w:fill="000000"/>
                <w:fitText w:val="150" w:id="-760997874"/>
                <w14:textFill>
                  <w14:solidFill>
                    <w14:srgbClr w14:val="000000">
                      <w14:alpha w14:val="100000"/>
                    </w14:srgbClr>
                  </w14:solidFill>
                </w14:textFill>
              </w:rPr>
              <w:t xml:space="preserve">　</w:t>
            </w:r>
            <w:r w:rsidR="005F3BC8" w:rsidRPr="005F3BC8">
              <w:rPr>
                <w:rStyle w:val="normaltextrun"/>
                <w:rFonts w:cs="Segoe UI"/>
                <w:color w:val="000000"/>
                <w:w w:val="33"/>
                <w:szCs w:val="20"/>
                <w:shd w:val="solid" w:color="000000" w:fill="000000"/>
                <w:fitText w:val="150" w:id="-760997874"/>
                <w14:textFill>
                  <w14:solidFill>
                    <w14:srgbClr w14:val="000000">
                      <w14:alpha w14:val="100000"/>
                    </w14:srgbClr>
                  </w14:solidFill>
                </w14:textFill>
              </w:rPr>
              <w:t>|</w:t>
            </w:r>
            <w:r w:rsidR="005F3BC8" w:rsidRPr="005F3BC8">
              <w:rPr>
                <w:rStyle w:val="normaltextrun"/>
                <w:rFonts w:cs="Segoe UI" w:hint="eastAsia"/>
                <w:color w:val="000000"/>
                <w:spacing w:val="4"/>
                <w:w w:val="33"/>
                <w:szCs w:val="20"/>
                <w:shd w:val="solid" w:color="000000" w:fill="000000"/>
                <w:fitText w:val="150" w:id="-760997874"/>
                <w14:textFill>
                  <w14:solidFill>
                    <w14:srgbClr w14:val="000000">
                      <w14:alpha w14:val="100000"/>
                    </w14:srgbClr>
                  </w14:solidFill>
                </w14:textFill>
              </w:rPr>
              <w:t xml:space="preserve">　</w:t>
            </w:r>
            <w:r w:rsidR="00036E7E">
              <w:rPr>
                <w:rStyle w:val="normaltextrun"/>
                <w:rFonts w:cs="Segoe UI"/>
                <w:szCs w:val="20"/>
                <w:vertAlign w:val="superscript"/>
              </w:rPr>
              <w:t>5</w:t>
            </w:r>
          </w:p>
        </w:tc>
        <w:tc>
          <w:tcPr>
            <w:tcW w:w="550" w:type="pct"/>
            <w:vAlign w:val="center"/>
          </w:tcPr>
          <w:p w14:paraId="2C60C22C" w14:textId="2F83AF50" w:rsidR="00091D2A" w:rsidRPr="00036E7E" w:rsidRDefault="00091D2A" w:rsidP="000D5DFD">
            <w:pPr>
              <w:pStyle w:val="TableText0"/>
              <w:keepLines/>
              <w:jc w:val="center"/>
              <w:rPr>
                <w:rStyle w:val="normaltextrun"/>
                <w:rFonts w:cs="Segoe UI"/>
                <w:vertAlign w:val="superscript"/>
              </w:rPr>
            </w:pPr>
            <w:r w:rsidRPr="00552B0C">
              <w:rPr>
                <w:rStyle w:val="normaltextrun"/>
                <w:rFonts w:cs="Segoe UI"/>
              </w:rPr>
              <w:t>$</w:t>
            </w:r>
            <w:r w:rsidR="005F3BC8" w:rsidRPr="005F3BC8">
              <w:rPr>
                <w:rStyle w:val="normaltextrun"/>
                <w:rFonts w:cs="Segoe UI"/>
                <w:color w:val="000000"/>
                <w:spacing w:val="65"/>
                <w:shd w:val="solid" w:color="000000" w:fill="000000"/>
                <w:fitText w:val="151" w:id="-760997873"/>
                <w14:textFill>
                  <w14:solidFill>
                    <w14:srgbClr w14:val="000000">
                      <w14:alpha w14:val="100000"/>
                    </w14:srgbClr>
                  </w14:solidFill>
                </w14:textFill>
              </w:rPr>
              <w:t>|</w:t>
            </w:r>
            <w:r w:rsidR="005F3BC8" w:rsidRPr="005F3BC8">
              <w:rPr>
                <w:rStyle w:val="normaltextrun"/>
                <w:rFonts w:cs="Segoe UI"/>
                <w:color w:val="000000"/>
                <w:spacing w:val="1"/>
                <w:shd w:val="solid" w:color="000000" w:fill="000000"/>
                <w:fitText w:val="151" w:id="-760997873"/>
                <w14:textFill>
                  <w14:solidFill>
                    <w14:srgbClr w14:val="000000">
                      <w14:alpha w14:val="100000"/>
                    </w14:srgbClr>
                  </w14:solidFill>
                </w14:textFill>
              </w:rPr>
              <w:t>|</w:t>
            </w:r>
            <w:r w:rsidR="00036E7E">
              <w:rPr>
                <w:rStyle w:val="normaltextrun"/>
                <w:rFonts w:cs="Segoe UI"/>
                <w:vertAlign w:val="superscript"/>
              </w:rPr>
              <w:t>5</w:t>
            </w:r>
          </w:p>
        </w:tc>
        <w:tc>
          <w:tcPr>
            <w:tcW w:w="522" w:type="pct"/>
            <w:vAlign w:val="center"/>
          </w:tcPr>
          <w:p w14:paraId="1705D51F" w14:textId="078D6618" w:rsidR="00091D2A" w:rsidRPr="00FA0DA3"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hint="eastAsia"/>
                <w:color w:val="000000"/>
                <w:w w:val="26"/>
                <w:szCs w:val="20"/>
                <w:shd w:val="solid" w:color="000000" w:fill="000000"/>
                <w:fitText w:val="118" w:id="-760997872"/>
                <w14:textFill>
                  <w14:solidFill>
                    <w14:srgbClr w14:val="000000">
                      <w14:alpha w14:val="100000"/>
                    </w14:srgbClr>
                  </w14:solidFill>
                </w14:textFill>
              </w:rPr>
              <w:t xml:space="preserve">　</w:t>
            </w:r>
            <w:r w:rsidR="005F3BC8" w:rsidRPr="005F3BC8">
              <w:rPr>
                <w:rStyle w:val="normaltextrun"/>
                <w:rFonts w:cs="Segoe UI"/>
                <w:color w:val="000000"/>
                <w:w w:val="26"/>
                <w:szCs w:val="20"/>
                <w:shd w:val="solid" w:color="000000" w:fill="000000"/>
                <w:fitText w:val="118" w:id="-760997872"/>
                <w14:textFill>
                  <w14:solidFill>
                    <w14:srgbClr w14:val="000000">
                      <w14:alpha w14:val="100000"/>
                    </w14:srgbClr>
                  </w14:solidFill>
                </w14:textFill>
              </w:rPr>
              <w:t>|</w:t>
            </w:r>
            <w:r w:rsidR="005F3BC8" w:rsidRPr="005F3BC8">
              <w:rPr>
                <w:rStyle w:val="normaltextrun"/>
                <w:rFonts w:cs="Segoe UI" w:hint="eastAsia"/>
                <w:color w:val="000000"/>
                <w:w w:val="26"/>
                <w:szCs w:val="20"/>
                <w:shd w:val="solid" w:color="000000" w:fill="000000"/>
                <w:fitText w:val="118" w:id="-760997872"/>
                <w14:textFill>
                  <w14:solidFill>
                    <w14:srgbClr w14:val="000000">
                      <w14:alpha w14:val="100000"/>
                    </w14:srgbClr>
                  </w14:solidFill>
                </w14:textFill>
              </w:rPr>
              <w:t xml:space="preserve">　</w:t>
            </w:r>
            <w:r w:rsidR="00FA0DA3">
              <w:rPr>
                <w:rStyle w:val="normaltextrun"/>
                <w:rFonts w:cs="Segoe UI"/>
                <w:szCs w:val="20"/>
                <w:vertAlign w:val="superscript"/>
              </w:rPr>
              <w:t>9</w:t>
            </w:r>
          </w:p>
        </w:tc>
      </w:tr>
      <w:tr w:rsidR="00091D2A" w:rsidRPr="00552B0C" w14:paraId="616BF484" w14:textId="77777777" w:rsidTr="00877E57">
        <w:tc>
          <w:tcPr>
            <w:tcW w:w="1177" w:type="pct"/>
            <w:shd w:val="clear" w:color="auto" w:fill="auto"/>
            <w:vAlign w:val="center"/>
          </w:tcPr>
          <w:p w14:paraId="54AB27AC" w14:textId="7E2F3DB2" w:rsidR="00091D2A" w:rsidRPr="00552B0C" w:rsidRDefault="00091D2A" w:rsidP="000D5DFD">
            <w:pPr>
              <w:pStyle w:val="TableText0"/>
              <w:keepLines/>
              <w:rPr>
                <w:rFonts w:ascii="Times" w:hAnsi="Times"/>
              </w:rPr>
            </w:pPr>
            <w:r w:rsidRPr="00552B0C">
              <w:t>Net cost to MBS</w:t>
            </w:r>
          </w:p>
        </w:tc>
        <w:tc>
          <w:tcPr>
            <w:tcW w:w="550" w:type="pct"/>
            <w:shd w:val="clear" w:color="auto" w:fill="auto"/>
            <w:vAlign w:val="center"/>
          </w:tcPr>
          <w:p w14:paraId="451DC148" w14:textId="04323E63"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8"/>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8"/>
                <w14:textFill>
                  <w14:solidFill>
                    <w14:srgbClr w14:val="000000">
                      <w14:alpha w14:val="100000"/>
                    </w14:srgbClr>
                  </w14:solidFill>
                </w14:textFill>
              </w:rPr>
              <w:t>|</w:t>
            </w:r>
            <w:r w:rsidR="00BD41B4">
              <w:rPr>
                <w:rStyle w:val="normaltextrun"/>
                <w:rFonts w:cs="Segoe UI"/>
                <w:szCs w:val="20"/>
                <w:vertAlign w:val="superscript"/>
              </w:rPr>
              <w:t>7</w:t>
            </w:r>
          </w:p>
        </w:tc>
        <w:tc>
          <w:tcPr>
            <w:tcW w:w="551" w:type="pct"/>
            <w:shd w:val="clear" w:color="auto" w:fill="auto"/>
            <w:vAlign w:val="center"/>
          </w:tcPr>
          <w:p w14:paraId="218CD228" w14:textId="6BE4C85C"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7"/>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7"/>
                <w14:textFill>
                  <w14:solidFill>
                    <w14:srgbClr w14:val="000000">
                      <w14:alpha w14:val="100000"/>
                    </w14:srgbClr>
                  </w14:solidFill>
                </w14:textFill>
              </w:rPr>
              <w:t>|</w:t>
            </w:r>
            <w:r w:rsidR="00BD41B4">
              <w:rPr>
                <w:rStyle w:val="normaltextrun"/>
                <w:rFonts w:cs="Segoe UI"/>
                <w:szCs w:val="20"/>
                <w:vertAlign w:val="superscript"/>
              </w:rPr>
              <w:t>7</w:t>
            </w:r>
          </w:p>
        </w:tc>
        <w:tc>
          <w:tcPr>
            <w:tcW w:w="549" w:type="pct"/>
            <w:shd w:val="clear" w:color="auto" w:fill="auto"/>
            <w:vAlign w:val="center"/>
          </w:tcPr>
          <w:p w14:paraId="32670AB2" w14:textId="390F8483"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6"/>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6"/>
                <w14:textFill>
                  <w14:solidFill>
                    <w14:srgbClr w14:val="000000">
                      <w14:alpha w14:val="100000"/>
                    </w14:srgbClr>
                  </w14:solidFill>
                </w14:textFill>
              </w:rPr>
              <w:t>|</w:t>
            </w:r>
            <w:r w:rsidR="00BD41B4">
              <w:rPr>
                <w:rStyle w:val="normaltextrun"/>
                <w:rFonts w:cs="Segoe UI"/>
                <w:szCs w:val="20"/>
                <w:vertAlign w:val="superscript"/>
              </w:rPr>
              <w:t>7</w:t>
            </w:r>
          </w:p>
        </w:tc>
        <w:tc>
          <w:tcPr>
            <w:tcW w:w="551" w:type="pct"/>
            <w:shd w:val="clear" w:color="auto" w:fill="auto"/>
            <w:vAlign w:val="center"/>
          </w:tcPr>
          <w:p w14:paraId="3612110D" w14:textId="52E131BB"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5"/>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5"/>
                <w14:textFill>
                  <w14:solidFill>
                    <w14:srgbClr w14:val="000000">
                      <w14:alpha w14:val="100000"/>
                    </w14:srgbClr>
                  </w14:solidFill>
                </w14:textFill>
              </w:rPr>
              <w:t>|</w:t>
            </w:r>
            <w:r w:rsidR="00BD41B4">
              <w:rPr>
                <w:rStyle w:val="normaltextrun"/>
                <w:rFonts w:cs="Segoe UI"/>
                <w:szCs w:val="20"/>
                <w:vertAlign w:val="superscript"/>
              </w:rPr>
              <w:t>7</w:t>
            </w:r>
          </w:p>
        </w:tc>
        <w:tc>
          <w:tcPr>
            <w:tcW w:w="550" w:type="pct"/>
            <w:shd w:val="clear" w:color="auto" w:fill="auto"/>
            <w:vAlign w:val="center"/>
          </w:tcPr>
          <w:p w14:paraId="6E24F703" w14:textId="515D3B35"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6"/>
                <w:szCs w:val="20"/>
                <w:shd w:val="solid" w:color="000000" w:fill="000000"/>
                <w:fitText w:val="182" w:id="-760997884"/>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2" w:id="-760997884"/>
                <w14:textFill>
                  <w14:solidFill>
                    <w14:srgbClr w14:val="000000">
                      <w14:alpha w14:val="100000"/>
                    </w14:srgbClr>
                  </w14:solidFill>
                </w14:textFill>
              </w:rPr>
              <w:t>|</w:t>
            </w:r>
            <w:r w:rsidR="00BD41B4">
              <w:rPr>
                <w:rStyle w:val="normaltextrun"/>
                <w:rFonts w:cs="Segoe UI"/>
                <w:szCs w:val="20"/>
                <w:vertAlign w:val="superscript"/>
              </w:rPr>
              <w:t>7</w:t>
            </w:r>
          </w:p>
        </w:tc>
        <w:tc>
          <w:tcPr>
            <w:tcW w:w="550" w:type="pct"/>
            <w:vAlign w:val="center"/>
          </w:tcPr>
          <w:p w14:paraId="1B251F62" w14:textId="6B480308"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97"/>
                <w:szCs w:val="20"/>
                <w:shd w:val="solid" w:color="000000" w:fill="000000"/>
                <w:fitText w:val="183" w:id="-760997883"/>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83" w:id="-760997883"/>
                <w14:textFill>
                  <w14:solidFill>
                    <w14:srgbClr w14:val="000000">
                      <w14:alpha w14:val="100000"/>
                    </w14:srgbClr>
                  </w14:solidFill>
                </w14:textFill>
              </w:rPr>
              <w:t>|</w:t>
            </w:r>
            <w:r w:rsidR="00BD41B4">
              <w:rPr>
                <w:rStyle w:val="normaltextrun"/>
                <w:rFonts w:cs="Segoe UI"/>
                <w:szCs w:val="20"/>
                <w:vertAlign w:val="superscript"/>
              </w:rPr>
              <w:t>7</w:t>
            </w:r>
          </w:p>
        </w:tc>
        <w:tc>
          <w:tcPr>
            <w:tcW w:w="522" w:type="pct"/>
            <w:vAlign w:val="center"/>
          </w:tcPr>
          <w:p w14:paraId="7A31BEA7" w14:textId="50F34BC0"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hint="eastAsia"/>
                <w:color w:val="000000"/>
                <w:w w:val="29"/>
                <w:szCs w:val="20"/>
                <w:shd w:val="solid" w:color="000000" w:fill="000000"/>
                <w:fitText w:val="129" w:id="-760997882"/>
                <w14:textFill>
                  <w14:solidFill>
                    <w14:srgbClr w14:val="000000">
                      <w14:alpha w14:val="100000"/>
                    </w14:srgbClr>
                  </w14:solidFill>
                </w14:textFill>
              </w:rPr>
              <w:t xml:space="preserve">　</w:t>
            </w:r>
            <w:r w:rsidR="005F3BC8" w:rsidRPr="005F3BC8">
              <w:rPr>
                <w:rStyle w:val="normaltextrun"/>
                <w:rFonts w:cs="Segoe UI"/>
                <w:color w:val="000000"/>
                <w:w w:val="29"/>
                <w:szCs w:val="20"/>
                <w:shd w:val="solid" w:color="000000" w:fill="000000"/>
                <w:fitText w:val="129" w:id="-760997882"/>
                <w14:textFill>
                  <w14:solidFill>
                    <w14:srgbClr w14:val="000000">
                      <w14:alpha w14:val="100000"/>
                    </w14:srgbClr>
                  </w14:solidFill>
                </w14:textFill>
              </w:rPr>
              <w:t>|</w:t>
            </w:r>
            <w:r w:rsidR="005F3BC8" w:rsidRPr="005F3BC8">
              <w:rPr>
                <w:rStyle w:val="normaltextrun"/>
                <w:rFonts w:cs="Segoe UI" w:hint="eastAsia"/>
                <w:color w:val="000000"/>
                <w:w w:val="29"/>
                <w:szCs w:val="20"/>
                <w:shd w:val="solid" w:color="000000" w:fill="000000"/>
                <w:fitText w:val="129" w:id="-760997882"/>
                <w14:textFill>
                  <w14:solidFill>
                    <w14:srgbClr w14:val="000000">
                      <w14:alpha w14:val="100000"/>
                    </w14:srgbClr>
                  </w14:solidFill>
                </w14:textFill>
              </w:rPr>
              <w:t xml:space="preserve">　</w:t>
            </w:r>
            <w:r w:rsidR="00BD41B4">
              <w:rPr>
                <w:rStyle w:val="normaltextrun"/>
                <w:rFonts w:cs="Segoe UI"/>
                <w:szCs w:val="20"/>
                <w:vertAlign w:val="superscript"/>
              </w:rPr>
              <w:t>7</w:t>
            </w:r>
          </w:p>
        </w:tc>
      </w:tr>
      <w:tr w:rsidR="00091D2A" w:rsidRPr="00552B0C" w14:paraId="6E093AA6" w14:textId="77777777" w:rsidTr="00877E57">
        <w:tc>
          <w:tcPr>
            <w:tcW w:w="1177" w:type="pct"/>
            <w:shd w:val="clear" w:color="auto" w:fill="auto"/>
            <w:vAlign w:val="center"/>
          </w:tcPr>
          <w:p w14:paraId="059062DE" w14:textId="77777777" w:rsidR="00091D2A" w:rsidRPr="00552B0C" w:rsidRDefault="00091D2A" w:rsidP="000D5DFD">
            <w:pPr>
              <w:pStyle w:val="TableText0"/>
              <w:keepLines/>
            </w:pPr>
            <w:r w:rsidRPr="00552B0C">
              <w:t>Net cost to Australian Government health budget</w:t>
            </w:r>
          </w:p>
        </w:tc>
        <w:tc>
          <w:tcPr>
            <w:tcW w:w="550" w:type="pct"/>
            <w:shd w:val="clear" w:color="auto" w:fill="auto"/>
            <w:vAlign w:val="center"/>
          </w:tcPr>
          <w:p w14:paraId="0F2D9C3E" w14:textId="0FC35947" w:rsidR="00091D2A" w:rsidRPr="00B472E6"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hint="eastAsia"/>
                <w:color w:val="000000"/>
                <w:w w:val="33"/>
                <w:szCs w:val="20"/>
                <w:shd w:val="solid" w:color="000000" w:fill="000000"/>
                <w:fitText w:val="150" w:id="-760997881"/>
                <w14:textFill>
                  <w14:solidFill>
                    <w14:srgbClr w14:val="000000">
                      <w14:alpha w14:val="100000"/>
                    </w14:srgbClr>
                  </w14:solidFill>
                </w14:textFill>
              </w:rPr>
              <w:t xml:space="preserve">　</w:t>
            </w:r>
            <w:r w:rsidR="005F3BC8" w:rsidRPr="005F3BC8">
              <w:rPr>
                <w:rStyle w:val="normaltextrun"/>
                <w:rFonts w:cs="Segoe UI"/>
                <w:color w:val="000000"/>
                <w:w w:val="33"/>
                <w:szCs w:val="20"/>
                <w:shd w:val="solid" w:color="000000" w:fill="000000"/>
                <w:fitText w:val="150" w:id="-760997881"/>
                <w14:textFill>
                  <w14:solidFill>
                    <w14:srgbClr w14:val="000000">
                      <w14:alpha w14:val="100000"/>
                    </w14:srgbClr>
                  </w14:solidFill>
                </w14:textFill>
              </w:rPr>
              <w:t>|</w:t>
            </w:r>
            <w:r w:rsidR="005F3BC8" w:rsidRPr="005F3BC8">
              <w:rPr>
                <w:rStyle w:val="normaltextrun"/>
                <w:rFonts w:cs="Segoe UI" w:hint="eastAsia"/>
                <w:color w:val="000000"/>
                <w:spacing w:val="4"/>
                <w:w w:val="33"/>
                <w:szCs w:val="20"/>
                <w:shd w:val="solid" w:color="000000" w:fill="000000"/>
                <w:fitText w:val="150" w:id="-760997881"/>
                <w14:textFill>
                  <w14:solidFill>
                    <w14:srgbClr w14:val="000000">
                      <w14:alpha w14:val="100000"/>
                    </w14:srgbClr>
                  </w14:solidFill>
                </w14:textFill>
              </w:rPr>
              <w:t xml:space="preserve">　</w:t>
            </w:r>
            <w:r w:rsidR="000B6F2A">
              <w:rPr>
                <w:rStyle w:val="normaltextrun"/>
                <w:rFonts w:cs="Segoe UI"/>
                <w:szCs w:val="20"/>
                <w:vertAlign w:val="superscript"/>
              </w:rPr>
              <w:t>8</w:t>
            </w:r>
          </w:p>
        </w:tc>
        <w:tc>
          <w:tcPr>
            <w:tcW w:w="551" w:type="pct"/>
            <w:shd w:val="clear" w:color="auto" w:fill="auto"/>
            <w:vAlign w:val="center"/>
          </w:tcPr>
          <w:p w14:paraId="63CFB5D6" w14:textId="5F1A74C0"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65"/>
                <w:szCs w:val="20"/>
                <w:shd w:val="solid" w:color="000000" w:fill="000000"/>
                <w:fitText w:val="151" w:id="-760997880"/>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51" w:id="-760997880"/>
                <w14:textFill>
                  <w14:solidFill>
                    <w14:srgbClr w14:val="000000">
                      <w14:alpha w14:val="100000"/>
                    </w14:srgbClr>
                  </w14:solidFill>
                </w14:textFill>
              </w:rPr>
              <w:t>|</w:t>
            </w:r>
            <w:r w:rsidR="00113A80">
              <w:rPr>
                <w:rStyle w:val="normaltextrun"/>
                <w:rFonts w:cs="Segoe UI"/>
                <w:szCs w:val="20"/>
                <w:vertAlign w:val="superscript"/>
              </w:rPr>
              <w:t>5</w:t>
            </w:r>
          </w:p>
        </w:tc>
        <w:tc>
          <w:tcPr>
            <w:tcW w:w="549" w:type="pct"/>
            <w:shd w:val="clear" w:color="auto" w:fill="auto"/>
            <w:vAlign w:val="center"/>
          </w:tcPr>
          <w:p w14:paraId="327FBF3D" w14:textId="53C20DA4"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hint="eastAsia"/>
                <w:color w:val="000000"/>
                <w:w w:val="33"/>
                <w:szCs w:val="20"/>
                <w:shd w:val="solid" w:color="000000" w:fill="000000"/>
                <w:fitText w:val="150" w:id="-760997879"/>
                <w14:textFill>
                  <w14:solidFill>
                    <w14:srgbClr w14:val="000000">
                      <w14:alpha w14:val="100000"/>
                    </w14:srgbClr>
                  </w14:solidFill>
                </w14:textFill>
              </w:rPr>
              <w:t xml:space="preserve">　</w:t>
            </w:r>
            <w:r w:rsidR="005F3BC8" w:rsidRPr="005F3BC8">
              <w:rPr>
                <w:rStyle w:val="normaltextrun"/>
                <w:rFonts w:cs="Segoe UI"/>
                <w:color w:val="000000"/>
                <w:w w:val="33"/>
                <w:szCs w:val="20"/>
                <w:shd w:val="solid" w:color="000000" w:fill="000000"/>
                <w:fitText w:val="150" w:id="-760997879"/>
                <w14:textFill>
                  <w14:solidFill>
                    <w14:srgbClr w14:val="000000">
                      <w14:alpha w14:val="100000"/>
                    </w14:srgbClr>
                  </w14:solidFill>
                </w14:textFill>
              </w:rPr>
              <w:t>|</w:t>
            </w:r>
            <w:r w:rsidR="005F3BC8" w:rsidRPr="005F3BC8">
              <w:rPr>
                <w:rStyle w:val="normaltextrun"/>
                <w:rFonts w:cs="Segoe UI" w:hint="eastAsia"/>
                <w:color w:val="000000"/>
                <w:spacing w:val="4"/>
                <w:w w:val="33"/>
                <w:szCs w:val="20"/>
                <w:shd w:val="solid" w:color="000000" w:fill="000000"/>
                <w:fitText w:val="150" w:id="-760997879"/>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1" w:type="pct"/>
            <w:shd w:val="clear" w:color="auto" w:fill="auto"/>
            <w:vAlign w:val="center"/>
          </w:tcPr>
          <w:p w14:paraId="69D86199" w14:textId="479AF91A"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65"/>
                <w:szCs w:val="20"/>
                <w:shd w:val="solid" w:color="000000" w:fill="000000"/>
                <w:fitText w:val="151" w:id="-760997878"/>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51" w:id="-760997878"/>
                <w14:textFill>
                  <w14:solidFill>
                    <w14:srgbClr w14:val="000000">
                      <w14:alpha w14:val="100000"/>
                    </w14:srgbClr>
                  </w14:solidFill>
                </w14:textFill>
              </w:rPr>
              <w:t>|</w:t>
            </w:r>
            <w:r w:rsidR="00113A80">
              <w:rPr>
                <w:rStyle w:val="normaltextrun"/>
                <w:rFonts w:cs="Segoe UI"/>
                <w:szCs w:val="20"/>
                <w:vertAlign w:val="superscript"/>
              </w:rPr>
              <w:t>5</w:t>
            </w:r>
          </w:p>
        </w:tc>
        <w:tc>
          <w:tcPr>
            <w:tcW w:w="550" w:type="pct"/>
            <w:shd w:val="clear" w:color="auto" w:fill="auto"/>
            <w:vAlign w:val="center"/>
          </w:tcPr>
          <w:p w14:paraId="2D250DA4" w14:textId="26881EE1"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hint="eastAsia"/>
                <w:color w:val="000000"/>
                <w:w w:val="33"/>
                <w:szCs w:val="20"/>
                <w:shd w:val="solid" w:color="000000" w:fill="000000"/>
                <w:fitText w:val="150" w:id="-760997877"/>
                <w14:textFill>
                  <w14:solidFill>
                    <w14:srgbClr w14:val="000000">
                      <w14:alpha w14:val="100000"/>
                    </w14:srgbClr>
                  </w14:solidFill>
                </w14:textFill>
              </w:rPr>
              <w:t xml:space="preserve">　</w:t>
            </w:r>
            <w:r w:rsidR="005F3BC8" w:rsidRPr="005F3BC8">
              <w:rPr>
                <w:rStyle w:val="normaltextrun"/>
                <w:rFonts w:cs="Segoe UI"/>
                <w:color w:val="000000"/>
                <w:w w:val="33"/>
                <w:szCs w:val="20"/>
                <w:shd w:val="solid" w:color="000000" w:fill="000000"/>
                <w:fitText w:val="150" w:id="-760997877"/>
                <w14:textFill>
                  <w14:solidFill>
                    <w14:srgbClr w14:val="000000">
                      <w14:alpha w14:val="100000"/>
                    </w14:srgbClr>
                  </w14:solidFill>
                </w14:textFill>
              </w:rPr>
              <w:t>|</w:t>
            </w:r>
            <w:r w:rsidR="005F3BC8" w:rsidRPr="005F3BC8">
              <w:rPr>
                <w:rStyle w:val="normaltextrun"/>
                <w:rFonts w:cs="Segoe UI" w:hint="eastAsia"/>
                <w:color w:val="000000"/>
                <w:spacing w:val="4"/>
                <w:w w:val="33"/>
                <w:szCs w:val="20"/>
                <w:shd w:val="solid" w:color="000000" w:fill="000000"/>
                <w:fitText w:val="150" w:id="-760997877"/>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0" w:type="pct"/>
            <w:vAlign w:val="center"/>
          </w:tcPr>
          <w:p w14:paraId="01890501" w14:textId="4370DED5" w:rsidR="00091D2A" w:rsidRPr="00552B0C" w:rsidRDefault="00091D2A" w:rsidP="000D5DFD">
            <w:pPr>
              <w:pStyle w:val="TableText0"/>
              <w:keepLines/>
              <w:jc w:val="center"/>
            </w:pPr>
            <w:r w:rsidRPr="00552B0C">
              <w:rPr>
                <w:rStyle w:val="normaltextrun"/>
                <w:rFonts w:cs="Segoe UI"/>
                <w:szCs w:val="20"/>
              </w:rPr>
              <w:t>$</w:t>
            </w:r>
            <w:r w:rsidR="005F3BC8" w:rsidRPr="005F3BC8">
              <w:rPr>
                <w:rStyle w:val="normaltextrun"/>
                <w:rFonts w:cs="Segoe UI"/>
                <w:color w:val="000000"/>
                <w:spacing w:val="65"/>
                <w:szCs w:val="20"/>
                <w:shd w:val="solid" w:color="000000" w:fill="000000"/>
                <w:fitText w:val="151" w:id="-760997876"/>
                <w14:textFill>
                  <w14:solidFill>
                    <w14:srgbClr w14:val="000000">
                      <w14:alpha w14:val="100000"/>
                    </w14:srgbClr>
                  </w14:solidFill>
                </w14:textFill>
              </w:rPr>
              <w:t>|</w:t>
            </w:r>
            <w:r w:rsidR="005F3BC8" w:rsidRPr="005F3BC8">
              <w:rPr>
                <w:rStyle w:val="normaltextrun"/>
                <w:rFonts w:cs="Segoe UI"/>
                <w:color w:val="000000"/>
                <w:spacing w:val="1"/>
                <w:szCs w:val="20"/>
                <w:shd w:val="solid" w:color="000000" w:fill="000000"/>
                <w:fitText w:val="151" w:id="-760997876"/>
                <w14:textFill>
                  <w14:solidFill>
                    <w14:srgbClr w14:val="000000">
                      <w14:alpha w14:val="100000"/>
                    </w14:srgbClr>
                  </w14:solidFill>
                </w14:textFill>
              </w:rPr>
              <w:t>|</w:t>
            </w:r>
            <w:r w:rsidR="00113A80">
              <w:rPr>
                <w:rStyle w:val="normaltextrun"/>
                <w:rFonts w:cs="Segoe UI"/>
                <w:szCs w:val="20"/>
                <w:vertAlign w:val="superscript"/>
              </w:rPr>
              <w:t>5</w:t>
            </w:r>
          </w:p>
        </w:tc>
        <w:tc>
          <w:tcPr>
            <w:tcW w:w="522" w:type="pct"/>
            <w:vAlign w:val="center"/>
          </w:tcPr>
          <w:p w14:paraId="0091A23A" w14:textId="059585EE" w:rsidR="00091D2A" w:rsidRPr="00FA0DA3" w:rsidRDefault="00091D2A" w:rsidP="000D5DFD">
            <w:pPr>
              <w:pStyle w:val="TableText0"/>
              <w:keepLines/>
              <w:jc w:val="center"/>
              <w:rPr>
                <w:vertAlign w:val="superscript"/>
              </w:rPr>
            </w:pPr>
            <w:r w:rsidRPr="00552B0C">
              <w:rPr>
                <w:rStyle w:val="normaltextrun"/>
                <w:rFonts w:cs="Segoe UI"/>
                <w:szCs w:val="20"/>
              </w:rPr>
              <w:t>$</w:t>
            </w:r>
            <w:r w:rsidR="005F3BC8" w:rsidRPr="005F3BC8">
              <w:rPr>
                <w:rStyle w:val="normaltextrun"/>
                <w:rFonts w:cs="Segoe UI" w:hint="eastAsia"/>
                <w:color w:val="000000"/>
                <w:w w:val="26"/>
                <w:szCs w:val="20"/>
                <w:shd w:val="solid" w:color="000000" w:fill="000000"/>
                <w:fitText w:val="118" w:id="-760997875"/>
                <w14:textFill>
                  <w14:solidFill>
                    <w14:srgbClr w14:val="000000">
                      <w14:alpha w14:val="100000"/>
                    </w14:srgbClr>
                  </w14:solidFill>
                </w14:textFill>
              </w:rPr>
              <w:t xml:space="preserve">　</w:t>
            </w:r>
            <w:r w:rsidR="005F3BC8" w:rsidRPr="005F3BC8">
              <w:rPr>
                <w:rStyle w:val="normaltextrun"/>
                <w:rFonts w:cs="Segoe UI"/>
                <w:color w:val="000000"/>
                <w:w w:val="26"/>
                <w:szCs w:val="20"/>
                <w:shd w:val="solid" w:color="000000" w:fill="000000"/>
                <w:fitText w:val="118" w:id="-760997875"/>
                <w14:textFill>
                  <w14:solidFill>
                    <w14:srgbClr w14:val="000000">
                      <w14:alpha w14:val="100000"/>
                    </w14:srgbClr>
                  </w14:solidFill>
                </w14:textFill>
              </w:rPr>
              <w:t>|</w:t>
            </w:r>
            <w:r w:rsidR="005F3BC8" w:rsidRPr="005F3BC8">
              <w:rPr>
                <w:rStyle w:val="normaltextrun"/>
                <w:rFonts w:cs="Segoe UI" w:hint="eastAsia"/>
                <w:color w:val="000000"/>
                <w:w w:val="26"/>
                <w:szCs w:val="20"/>
                <w:shd w:val="solid" w:color="000000" w:fill="000000"/>
                <w:fitText w:val="118" w:id="-760997875"/>
                <w14:textFill>
                  <w14:solidFill>
                    <w14:srgbClr w14:val="000000">
                      <w14:alpha w14:val="100000"/>
                    </w14:srgbClr>
                  </w14:solidFill>
                </w14:textFill>
              </w:rPr>
              <w:t xml:space="preserve">　</w:t>
            </w:r>
            <w:r w:rsidR="00FA0DA3">
              <w:rPr>
                <w:rStyle w:val="normaltextrun"/>
                <w:rFonts w:cs="Segoe UI"/>
                <w:szCs w:val="20"/>
                <w:vertAlign w:val="superscript"/>
              </w:rPr>
              <w:t>9</w:t>
            </w:r>
          </w:p>
        </w:tc>
      </w:tr>
      <w:tr w:rsidR="00091D2A" w:rsidRPr="00552B0C" w14:paraId="42E6DF97" w14:textId="77777777" w:rsidTr="00877E57">
        <w:trPr>
          <w:trHeight w:val="304"/>
        </w:trPr>
        <w:tc>
          <w:tcPr>
            <w:tcW w:w="4478" w:type="pct"/>
            <w:gridSpan w:val="7"/>
            <w:shd w:val="clear" w:color="auto" w:fill="B8CCE4" w:themeFill="accent1" w:themeFillTint="66"/>
            <w:vAlign w:val="center"/>
          </w:tcPr>
          <w:p w14:paraId="731BE4C1" w14:textId="77777777" w:rsidR="00091D2A" w:rsidRPr="00552B0C" w:rsidRDefault="00091D2A" w:rsidP="000D5DFD">
            <w:pPr>
              <w:pStyle w:val="In-tableHeading"/>
              <w:keepLines/>
              <w:jc w:val="both"/>
            </w:pPr>
            <w:r w:rsidRPr="00552B0C">
              <w:t xml:space="preserve">Previous submission (March 2024 PBAC meeting) </w:t>
            </w:r>
          </w:p>
        </w:tc>
        <w:tc>
          <w:tcPr>
            <w:tcW w:w="522" w:type="pct"/>
            <w:shd w:val="clear" w:color="auto" w:fill="B8CCE4" w:themeFill="accent1" w:themeFillTint="66"/>
          </w:tcPr>
          <w:p w14:paraId="1023A7BE" w14:textId="77777777" w:rsidR="00091D2A" w:rsidRPr="00552B0C" w:rsidRDefault="00091D2A" w:rsidP="000D5DFD">
            <w:pPr>
              <w:pStyle w:val="In-tableHeading"/>
              <w:keepLines/>
            </w:pPr>
          </w:p>
        </w:tc>
      </w:tr>
      <w:tr w:rsidR="00091D2A" w:rsidRPr="00552B0C" w14:paraId="72A4A8E3" w14:textId="77777777" w:rsidTr="00877E57">
        <w:tc>
          <w:tcPr>
            <w:tcW w:w="1177" w:type="pct"/>
            <w:shd w:val="clear" w:color="auto" w:fill="B8CCE4" w:themeFill="accent1" w:themeFillTint="66"/>
            <w:vAlign w:val="center"/>
          </w:tcPr>
          <w:p w14:paraId="2E1C8D35" w14:textId="77777777" w:rsidR="00091D2A" w:rsidRPr="00552B0C" w:rsidRDefault="00091D2A" w:rsidP="000D5DFD">
            <w:pPr>
              <w:pStyle w:val="TableText0"/>
              <w:keepLines/>
            </w:pPr>
            <w:r w:rsidRPr="00552B0C">
              <w:t>Net cost to PBS/RPBS</w:t>
            </w:r>
          </w:p>
        </w:tc>
        <w:tc>
          <w:tcPr>
            <w:tcW w:w="550" w:type="pct"/>
            <w:shd w:val="clear" w:color="auto" w:fill="B8CCE4" w:themeFill="accent1" w:themeFillTint="66"/>
            <w:vAlign w:val="center"/>
          </w:tcPr>
          <w:p w14:paraId="1861EC91" w14:textId="1F890854" w:rsidR="00091D2A" w:rsidRPr="00552B0C" w:rsidRDefault="00091D2A" w:rsidP="000D5DFD">
            <w:pPr>
              <w:pStyle w:val="TableText0"/>
              <w:keepLines/>
              <w:jc w:val="center"/>
            </w:pPr>
            <w:r w:rsidRPr="00552B0C">
              <w:t>$</w:t>
            </w:r>
            <w:r w:rsidR="005F3BC8" w:rsidRPr="005F3BC8">
              <w:rPr>
                <w:rFonts w:hint="eastAsia"/>
                <w:color w:val="000000"/>
                <w:w w:val="33"/>
                <w:shd w:val="solid" w:color="000000" w:fill="000000"/>
                <w:fitText w:val="150" w:id="-760997874"/>
                <w14:textFill>
                  <w14:solidFill>
                    <w14:srgbClr w14:val="000000">
                      <w14:alpha w14:val="100000"/>
                    </w14:srgbClr>
                  </w14:solidFill>
                </w14:textFill>
              </w:rPr>
              <w:t xml:space="preserve">　</w:t>
            </w:r>
            <w:r w:rsidR="005F3BC8" w:rsidRPr="005F3BC8">
              <w:rPr>
                <w:color w:val="000000"/>
                <w:w w:val="33"/>
                <w:shd w:val="solid" w:color="000000" w:fill="000000"/>
                <w:fitText w:val="150" w:id="-760997874"/>
                <w14:textFill>
                  <w14:solidFill>
                    <w14:srgbClr w14:val="000000">
                      <w14:alpha w14:val="100000"/>
                    </w14:srgbClr>
                  </w14:solidFill>
                </w14:textFill>
              </w:rPr>
              <w:t>|</w:t>
            </w:r>
            <w:r w:rsidR="005F3BC8" w:rsidRPr="005F3BC8">
              <w:rPr>
                <w:rFonts w:hint="eastAsia"/>
                <w:color w:val="000000"/>
                <w:spacing w:val="4"/>
                <w:w w:val="33"/>
                <w:shd w:val="solid" w:color="000000" w:fill="000000"/>
                <w:fitText w:val="150" w:id="-760997874"/>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1" w:type="pct"/>
            <w:shd w:val="clear" w:color="auto" w:fill="B8CCE4" w:themeFill="accent1" w:themeFillTint="66"/>
            <w:vAlign w:val="center"/>
          </w:tcPr>
          <w:p w14:paraId="7FBD46FF" w14:textId="54AD0A35" w:rsidR="00091D2A" w:rsidRPr="00552B0C" w:rsidRDefault="00091D2A" w:rsidP="000D5DFD">
            <w:pPr>
              <w:pStyle w:val="TableText0"/>
              <w:keepLines/>
              <w:jc w:val="center"/>
            </w:pPr>
            <w:r w:rsidRPr="00552B0C">
              <w:t>$</w:t>
            </w:r>
            <w:r w:rsidR="005F3BC8" w:rsidRPr="005F3BC8">
              <w:rPr>
                <w:color w:val="000000"/>
                <w:spacing w:val="65"/>
                <w:shd w:val="solid" w:color="000000" w:fill="000000"/>
                <w:fitText w:val="151" w:id="-760997873"/>
                <w14:textFill>
                  <w14:solidFill>
                    <w14:srgbClr w14:val="000000">
                      <w14:alpha w14:val="100000"/>
                    </w14:srgbClr>
                  </w14:solidFill>
                </w14:textFill>
              </w:rPr>
              <w:t>|</w:t>
            </w:r>
            <w:r w:rsidR="005F3BC8" w:rsidRPr="005F3BC8">
              <w:rPr>
                <w:color w:val="000000"/>
                <w:spacing w:val="1"/>
                <w:shd w:val="solid" w:color="000000" w:fill="000000"/>
                <w:fitText w:val="151" w:id="-760997873"/>
                <w14:textFill>
                  <w14:solidFill>
                    <w14:srgbClr w14:val="000000">
                      <w14:alpha w14:val="100000"/>
                    </w14:srgbClr>
                  </w14:solidFill>
                </w14:textFill>
              </w:rPr>
              <w:t>|</w:t>
            </w:r>
            <w:r w:rsidR="0032228C">
              <w:rPr>
                <w:rStyle w:val="normaltextrun"/>
                <w:rFonts w:cs="Segoe UI"/>
                <w:szCs w:val="20"/>
                <w:vertAlign w:val="superscript"/>
              </w:rPr>
              <w:t>5</w:t>
            </w:r>
          </w:p>
        </w:tc>
        <w:tc>
          <w:tcPr>
            <w:tcW w:w="549" w:type="pct"/>
            <w:shd w:val="clear" w:color="auto" w:fill="B8CCE4" w:themeFill="accent1" w:themeFillTint="66"/>
            <w:vAlign w:val="center"/>
          </w:tcPr>
          <w:p w14:paraId="1B599A0D" w14:textId="0E4BA4B0" w:rsidR="00091D2A" w:rsidRPr="00552B0C" w:rsidRDefault="00091D2A" w:rsidP="000D5DFD">
            <w:pPr>
              <w:pStyle w:val="TableText0"/>
              <w:keepLines/>
              <w:jc w:val="center"/>
            </w:pPr>
            <w:r w:rsidRPr="00552B0C">
              <w:t>$</w:t>
            </w:r>
            <w:r w:rsidR="005F3BC8" w:rsidRPr="005F3BC8">
              <w:rPr>
                <w:rFonts w:hint="eastAsia"/>
                <w:color w:val="000000"/>
                <w:w w:val="33"/>
                <w:shd w:val="solid" w:color="000000" w:fill="000000"/>
                <w:fitText w:val="150" w:id="-760997872"/>
                <w14:textFill>
                  <w14:solidFill>
                    <w14:srgbClr w14:val="000000">
                      <w14:alpha w14:val="100000"/>
                    </w14:srgbClr>
                  </w14:solidFill>
                </w14:textFill>
              </w:rPr>
              <w:t xml:space="preserve">　</w:t>
            </w:r>
            <w:r w:rsidR="005F3BC8" w:rsidRPr="005F3BC8">
              <w:rPr>
                <w:color w:val="000000"/>
                <w:w w:val="33"/>
                <w:shd w:val="solid" w:color="000000" w:fill="000000"/>
                <w:fitText w:val="150" w:id="-760997872"/>
                <w14:textFill>
                  <w14:solidFill>
                    <w14:srgbClr w14:val="000000">
                      <w14:alpha w14:val="100000"/>
                    </w14:srgbClr>
                  </w14:solidFill>
                </w14:textFill>
              </w:rPr>
              <w:t>|</w:t>
            </w:r>
            <w:r w:rsidR="005F3BC8" w:rsidRPr="005F3BC8">
              <w:rPr>
                <w:rFonts w:hint="eastAsia"/>
                <w:color w:val="000000"/>
                <w:spacing w:val="4"/>
                <w:w w:val="33"/>
                <w:shd w:val="solid" w:color="000000" w:fill="000000"/>
                <w:fitText w:val="150" w:id="-760997872"/>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1" w:type="pct"/>
            <w:shd w:val="clear" w:color="auto" w:fill="B8CCE4" w:themeFill="accent1" w:themeFillTint="66"/>
            <w:vAlign w:val="center"/>
          </w:tcPr>
          <w:p w14:paraId="5777B079" w14:textId="7628035D" w:rsidR="00091D2A" w:rsidRPr="00552B0C" w:rsidRDefault="00091D2A" w:rsidP="000D5DFD">
            <w:pPr>
              <w:pStyle w:val="TableText0"/>
              <w:keepLines/>
              <w:jc w:val="center"/>
            </w:pPr>
            <w:r w:rsidRPr="00552B0C">
              <w:t>$</w:t>
            </w:r>
            <w:r w:rsidR="005F3BC8" w:rsidRPr="005F3BC8">
              <w:rPr>
                <w:color w:val="000000"/>
                <w:spacing w:val="65"/>
                <w:shd w:val="solid" w:color="000000" w:fill="000000"/>
                <w:fitText w:val="151" w:id="-760997888"/>
                <w14:textFill>
                  <w14:solidFill>
                    <w14:srgbClr w14:val="000000">
                      <w14:alpha w14:val="100000"/>
                    </w14:srgbClr>
                  </w14:solidFill>
                </w14:textFill>
              </w:rPr>
              <w:t>|</w:t>
            </w:r>
            <w:r w:rsidR="005F3BC8" w:rsidRPr="005F3BC8">
              <w:rPr>
                <w:color w:val="000000"/>
                <w:spacing w:val="1"/>
                <w:shd w:val="solid" w:color="000000" w:fill="000000"/>
                <w:fitText w:val="151" w:id="-760997888"/>
                <w14:textFill>
                  <w14:solidFill>
                    <w14:srgbClr w14:val="000000">
                      <w14:alpha w14:val="100000"/>
                    </w14:srgbClr>
                  </w14:solidFill>
                </w14:textFill>
              </w:rPr>
              <w:t>|</w:t>
            </w:r>
            <w:r w:rsidR="00113A80">
              <w:rPr>
                <w:rStyle w:val="normaltextrun"/>
                <w:rFonts w:cs="Segoe UI"/>
                <w:szCs w:val="20"/>
                <w:vertAlign w:val="superscript"/>
              </w:rPr>
              <w:t>5</w:t>
            </w:r>
          </w:p>
        </w:tc>
        <w:tc>
          <w:tcPr>
            <w:tcW w:w="550" w:type="pct"/>
            <w:shd w:val="clear" w:color="auto" w:fill="B8CCE4" w:themeFill="accent1" w:themeFillTint="66"/>
            <w:vAlign w:val="center"/>
          </w:tcPr>
          <w:p w14:paraId="25BA044D" w14:textId="0B56952D" w:rsidR="00091D2A" w:rsidRPr="00552B0C" w:rsidRDefault="00091D2A" w:rsidP="000D5DFD">
            <w:pPr>
              <w:pStyle w:val="TableText0"/>
              <w:keepLines/>
              <w:jc w:val="center"/>
            </w:pPr>
            <w:r w:rsidRPr="00552B0C">
              <w:t>$</w:t>
            </w:r>
            <w:r w:rsidR="005F3BC8" w:rsidRPr="005F3BC8">
              <w:rPr>
                <w:rFonts w:hint="eastAsia"/>
                <w:color w:val="000000"/>
                <w:w w:val="33"/>
                <w:shd w:val="solid" w:color="000000" w:fill="000000"/>
                <w:fitText w:val="150" w:id="-760997887"/>
                <w14:textFill>
                  <w14:solidFill>
                    <w14:srgbClr w14:val="000000">
                      <w14:alpha w14:val="100000"/>
                    </w14:srgbClr>
                  </w14:solidFill>
                </w14:textFill>
              </w:rPr>
              <w:t xml:space="preserve">　</w:t>
            </w:r>
            <w:r w:rsidR="005F3BC8" w:rsidRPr="005F3BC8">
              <w:rPr>
                <w:color w:val="000000"/>
                <w:w w:val="33"/>
                <w:shd w:val="solid" w:color="000000" w:fill="000000"/>
                <w:fitText w:val="150" w:id="-760997887"/>
                <w14:textFill>
                  <w14:solidFill>
                    <w14:srgbClr w14:val="000000">
                      <w14:alpha w14:val="100000"/>
                    </w14:srgbClr>
                  </w14:solidFill>
                </w14:textFill>
              </w:rPr>
              <w:t>|</w:t>
            </w:r>
            <w:r w:rsidR="005F3BC8" w:rsidRPr="005F3BC8">
              <w:rPr>
                <w:rFonts w:hint="eastAsia"/>
                <w:color w:val="000000"/>
                <w:spacing w:val="4"/>
                <w:w w:val="33"/>
                <w:shd w:val="solid" w:color="000000" w:fill="000000"/>
                <w:fitText w:val="150" w:id="-760997887"/>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0" w:type="pct"/>
            <w:shd w:val="clear" w:color="auto" w:fill="B8CCE4" w:themeFill="accent1" w:themeFillTint="66"/>
            <w:vAlign w:val="center"/>
          </w:tcPr>
          <w:p w14:paraId="6C43B87D" w14:textId="37BF2CF5" w:rsidR="00091D2A" w:rsidRPr="00552B0C" w:rsidRDefault="00091D2A" w:rsidP="000D5DFD">
            <w:pPr>
              <w:pStyle w:val="TableText0"/>
              <w:keepLines/>
              <w:jc w:val="center"/>
            </w:pPr>
            <w:r w:rsidRPr="00552B0C">
              <w:t>$</w:t>
            </w:r>
            <w:r w:rsidR="005F3BC8" w:rsidRPr="005F3BC8">
              <w:rPr>
                <w:color w:val="000000"/>
                <w:spacing w:val="65"/>
                <w:shd w:val="solid" w:color="000000" w:fill="000000"/>
                <w:fitText w:val="151" w:id="-760997886"/>
                <w14:textFill>
                  <w14:solidFill>
                    <w14:srgbClr w14:val="000000">
                      <w14:alpha w14:val="100000"/>
                    </w14:srgbClr>
                  </w14:solidFill>
                </w14:textFill>
              </w:rPr>
              <w:t>|</w:t>
            </w:r>
            <w:r w:rsidR="005F3BC8" w:rsidRPr="005F3BC8">
              <w:rPr>
                <w:color w:val="000000"/>
                <w:spacing w:val="1"/>
                <w:shd w:val="solid" w:color="000000" w:fill="000000"/>
                <w:fitText w:val="151" w:id="-760997886"/>
                <w14:textFill>
                  <w14:solidFill>
                    <w14:srgbClr w14:val="000000">
                      <w14:alpha w14:val="100000"/>
                    </w14:srgbClr>
                  </w14:solidFill>
                </w14:textFill>
              </w:rPr>
              <w:t>|</w:t>
            </w:r>
            <w:r w:rsidR="00113A80">
              <w:rPr>
                <w:rStyle w:val="normaltextrun"/>
                <w:rFonts w:cs="Segoe UI"/>
                <w:szCs w:val="20"/>
                <w:vertAlign w:val="superscript"/>
              </w:rPr>
              <w:t>5</w:t>
            </w:r>
          </w:p>
        </w:tc>
        <w:tc>
          <w:tcPr>
            <w:tcW w:w="522" w:type="pct"/>
            <w:shd w:val="clear" w:color="auto" w:fill="B8CCE4" w:themeFill="accent1" w:themeFillTint="66"/>
            <w:vAlign w:val="center"/>
          </w:tcPr>
          <w:p w14:paraId="7D098E4A" w14:textId="15661B6B" w:rsidR="00091D2A" w:rsidRPr="00DC43D2" w:rsidRDefault="00091D2A" w:rsidP="000D5DFD">
            <w:pPr>
              <w:pStyle w:val="TableText0"/>
              <w:keepLines/>
              <w:jc w:val="center"/>
              <w:rPr>
                <w:vertAlign w:val="superscript"/>
              </w:rPr>
            </w:pPr>
            <w:r w:rsidRPr="00552B0C">
              <w:t>$</w:t>
            </w:r>
            <w:r w:rsidR="005F3BC8" w:rsidRPr="005F3BC8">
              <w:rPr>
                <w:rFonts w:hint="eastAsia"/>
                <w:color w:val="000000"/>
                <w:w w:val="31"/>
                <w:shd w:val="solid" w:color="000000" w:fill="000000"/>
                <w:fitText w:val="140" w:id="-760997885"/>
                <w14:textFill>
                  <w14:solidFill>
                    <w14:srgbClr w14:val="000000">
                      <w14:alpha w14:val="100000"/>
                    </w14:srgbClr>
                  </w14:solidFill>
                </w14:textFill>
              </w:rPr>
              <w:t xml:space="preserve">　</w:t>
            </w:r>
            <w:r w:rsidR="005F3BC8" w:rsidRPr="005F3BC8">
              <w:rPr>
                <w:color w:val="000000"/>
                <w:w w:val="31"/>
                <w:shd w:val="solid" w:color="000000" w:fill="000000"/>
                <w:fitText w:val="140" w:id="-760997885"/>
                <w14:textFill>
                  <w14:solidFill>
                    <w14:srgbClr w14:val="000000">
                      <w14:alpha w14:val="100000"/>
                    </w14:srgbClr>
                  </w14:solidFill>
                </w14:textFill>
              </w:rPr>
              <w:t>|</w:t>
            </w:r>
            <w:r w:rsidR="005F3BC8" w:rsidRPr="005F3BC8">
              <w:rPr>
                <w:rFonts w:hint="eastAsia"/>
                <w:color w:val="000000"/>
                <w:w w:val="31"/>
                <w:shd w:val="solid" w:color="000000" w:fill="000000"/>
                <w:fitText w:val="140" w:id="-760997885"/>
                <w14:textFill>
                  <w14:solidFill>
                    <w14:srgbClr w14:val="000000">
                      <w14:alpha w14:val="100000"/>
                    </w14:srgbClr>
                  </w14:solidFill>
                </w14:textFill>
              </w:rPr>
              <w:t xml:space="preserve">　</w:t>
            </w:r>
            <w:r w:rsidR="00DC43D2">
              <w:rPr>
                <w:vertAlign w:val="superscript"/>
              </w:rPr>
              <w:t>11</w:t>
            </w:r>
          </w:p>
        </w:tc>
      </w:tr>
      <w:tr w:rsidR="00091D2A" w:rsidRPr="00552B0C" w14:paraId="2115CC22" w14:textId="77777777" w:rsidTr="00877E57">
        <w:tc>
          <w:tcPr>
            <w:tcW w:w="1177" w:type="pct"/>
            <w:shd w:val="clear" w:color="auto" w:fill="B8CCE4" w:themeFill="accent1" w:themeFillTint="66"/>
            <w:vAlign w:val="center"/>
          </w:tcPr>
          <w:p w14:paraId="31EFFDFB" w14:textId="77777777" w:rsidR="00091D2A" w:rsidRPr="00552B0C" w:rsidRDefault="00091D2A" w:rsidP="000D5DFD">
            <w:pPr>
              <w:pStyle w:val="TableText0"/>
              <w:keepLines/>
            </w:pPr>
            <w:r w:rsidRPr="00552B0C">
              <w:rPr>
                <w:szCs w:val="20"/>
              </w:rPr>
              <w:t>Net cost to MBS (80%)</w:t>
            </w:r>
          </w:p>
        </w:tc>
        <w:tc>
          <w:tcPr>
            <w:tcW w:w="550" w:type="pct"/>
            <w:shd w:val="clear" w:color="auto" w:fill="B8CCE4" w:themeFill="accent1" w:themeFillTint="66"/>
            <w:vAlign w:val="center"/>
          </w:tcPr>
          <w:p w14:paraId="5EEF6737" w14:textId="3255ECDA" w:rsidR="00091D2A" w:rsidRPr="00552B0C" w:rsidRDefault="00091D2A" w:rsidP="000D5DFD">
            <w:pPr>
              <w:pStyle w:val="TableText0"/>
              <w:keepLines/>
              <w:jc w:val="center"/>
            </w:pPr>
            <w:r w:rsidRPr="00552B0C">
              <w:t>-$</w:t>
            </w:r>
            <w:r w:rsidR="005F3BC8" w:rsidRPr="005F3BC8">
              <w:rPr>
                <w:color w:val="000000"/>
                <w:spacing w:val="97"/>
                <w:shd w:val="solid" w:color="000000" w:fill="000000"/>
                <w:fitText w:val="183" w:id="-760997884"/>
                <w14:textFill>
                  <w14:solidFill>
                    <w14:srgbClr w14:val="000000">
                      <w14:alpha w14:val="100000"/>
                    </w14:srgbClr>
                  </w14:solidFill>
                </w14:textFill>
              </w:rPr>
              <w:t>|</w:t>
            </w:r>
            <w:r w:rsidR="005F3BC8" w:rsidRPr="005F3BC8">
              <w:rPr>
                <w:color w:val="000000"/>
                <w:spacing w:val="1"/>
                <w:shd w:val="solid" w:color="000000" w:fill="000000"/>
                <w:fitText w:val="183" w:id="-760997884"/>
                <w14:textFill>
                  <w14:solidFill>
                    <w14:srgbClr w14:val="000000">
                      <w14:alpha w14:val="100000"/>
                    </w14:srgbClr>
                  </w14:solidFill>
                </w14:textFill>
              </w:rPr>
              <w:t>|</w:t>
            </w:r>
            <w:r w:rsidR="00BD41B4">
              <w:rPr>
                <w:rStyle w:val="normaltextrun"/>
                <w:rFonts w:cs="Segoe UI"/>
                <w:szCs w:val="20"/>
                <w:vertAlign w:val="superscript"/>
              </w:rPr>
              <w:t>7</w:t>
            </w:r>
          </w:p>
        </w:tc>
        <w:tc>
          <w:tcPr>
            <w:tcW w:w="551" w:type="pct"/>
            <w:shd w:val="clear" w:color="auto" w:fill="B8CCE4" w:themeFill="accent1" w:themeFillTint="66"/>
            <w:vAlign w:val="center"/>
          </w:tcPr>
          <w:p w14:paraId="21578B70" w14:textId="2E76AD2C" w:rsidR="00091D2A" w:rsidRPr="00552B0C" w:rsidRDefault="00091D2A" w:rsidP="000D5DFD">
            <w:pPr>
              <w:pStyle w:val="TableText0"/>
              <w:keepLines/>
              <w:jc w:val="center"/>
            </w:pPr>
            <w:r w:rsidRPr="00552B0C">
              <w:t>-$</w:t>
            </w:r>
            <w:r w:rsidR="005F3BC8" w:rsidRPr="005F3BC8">
              <w:rPr>
                <w:color w:val="000000"/>
                <w:spacing w:val="97"/>
                <w:shd w:val="solid" w:color="000000" w:fill="000000"/>
                <w:fitText w:val="183" w:id="-760997883"/>
                <w14:textFill>
                  <w14:solidFill>
                    <w14:srgbClr w14:val="000000">
                      <w14:alpha w14:val="100000"/>
                    </w14:srgbClr>
                  </w14:solidFill>
                </w14:textFill>
              </w:rPr>
              <w:t>|</w:t>
            </w:r>
            <w:r w:rsidR="005F3BC8" w:rsidRPr="005F3BC8">
              <w:rPr>
                <w:color w:val="000000"/>
                <w:spacing w:val="1"/>
                <w:shd w:val="solid" w:color="000000" w:fill="000000"/>
                <w:fitText w:val="183" w:id="-760997883"/>
                <w14:textFill>
                  <w14:solidFill>
                    <w14:srgbClr w14:val="000000">
                      <w14:alpha w14:val="100000"/>
                    </w14:srgbClr>
                  </w14:solidFill>
                </w14:textFill>
              </w:rPr>
              <w:t>|</w:t>
            </w:r>
            <w:r w:rsidR="00BD41B4">
              <w:rPr>
                <w:rStyle w:val="normaltextrun"/>
                <w:rFonts w:cs="Segoe UI"/>
                <w:szCs w:val="20"/>
                <w:vertAlign w:val="superscript"/>
              </w:rPr>
              <w:t>7</w:t>
            </w:r>
          </w:p>
        </w:tc>
        <w:tc>
          <w:tcPr>
            <w:tcW w:w="549" w:type="pct"/>
            <w:shd w:val="clear" w:color="auto" w:fill="B8CCE4" w:themeFill="accent1" w:themeFillTint="66"/>
            <w:vAlign w:val="center"/>
          </w:tcPr>
          <w:p w14:paraId="368D1517" w14:textId="0BA8EC24" w:rsidR="00091D2A" w:rsidRPr="00552B0C" w:rsidRDefault="00091D2A" w:rsidP="000D5DFD">
            <w:pPr>
              <w:pStyle w:val="TableText0"/>
              <w:keepLines/>
              <w:jc w:val="center"/>
            </w:pPr>
            <w:r w:rsidRPr="00552B0C">
              <w:t>-$</w:t>
            </w:r>
            <w:r w:rsidR="005F3BC8" w:rsidRPr="005F3BC8">
              <w:rPr>
                <w:color w:val="000000"/>
                <w:spacing w:val="97"/>
                <w:shd w:val="solid" w:color="000000" w:fill="000000"/>
                <w:fitText w:val="183" w:id="-760997882"/>
                <w14:textFill>
                  <w14:solidFill>
                    <w14:srgbClr w14:val="000000">
                      <w14:alpha w14:val="100000"/>
                    </w14:srgbClr>
                  </w14:solidFill>
                </w14:textFill>
              </w:rPr>
              <w:t>|</w:t>
            </w:r>
            <w:r w:rsidR="005F3BC8" w:rsidRPr="005F3BC8">
              <w:rPr>
                <w:color w:val="000000"/>
                <w:spacing w:val="1"/>
                <w:shd w:val="solid" w:color="000000" w:fill="000000"/>
                <w:fitText w:val="183" w:id="-760997882"/>
                <w14:textFill>
                  <w14:solidFill>
                    <w14:srgbClr w14:val="000000">
                      <w14:alpha w14:val="100000"/>
                    </w14:srgbClr>
                  </w14:solidFill>
                </w14:textFill>
              </w:rPr>
              <w:t>|</w:t>
            </w:r>
            <w:r w:rsidR="00BD41B4">
              <w:rPr>
                <w:rStyle w:val="normaltextrun"/>
                <w:rFonts w:cs="Segoe UI"/>
                <w:szCs w:val="20"/>
                <w:vertAlign w:val="superscript"/>
              </w:rPr>
              <w:t>7</w:t>
            </w:r>
          </w:p>
        </w:tc>
        <w:tc>
          <w:tcPr>
            <w:tcW w:w="551" w:type="pct"/>
            <w:shd w:val="clear" w:color="auto" w:fill="B8CCE4" w:themeFill="accent1" w:themeFillTint="66"/>
            <w:vAlign w:val="center"/>
          </w:tcPr>
          <w:p w14:paraId="5D6EDF2E" w14:textId="4ED6AFC5" w:rsidR="00091D2A" w:rsidRPr="00552B0C" w:rsidRDefault="00091D2A" w:rsidP="000D5DFD">
            <w:pPr>
              <w:pStyle w:val="TableText0"/>
              <w:keepLines/>
              <w:jc w:val="center"/>
            </w:pPr>
            <w:r w:rsidRPr="00552B0C">
              <w:t>-$</w:t>
            </w:r>
            <w:r w:rsidR="005F3BC8" w:rsidRPr="005F3BC8">
              <w:rPr>
                <w:color w:val="000000"/>
                <w:spacing w:val="97"/>
                <w:shd w:val="solid" w:color="000000" w:fill="000000"/>
                <w:fitText w:val="183" w:id="-760997881"/>
                <w14:textFill>
                  <w14:solidFill>
                    <w14:srgbClr w14:val="000000">
                      <w14:alpha w14:val="100000"/>
                    </w14:srgbClr>
                  </w14:solidFill>
                </w14:textFill>
              </w:rPr>
              <w:t>|</w:t>
            </w:r>
            <w:r w:rsidR="005F3BC8" w:rsidRPr="005F3BC8">
              <w:rPr>
                <w:color w:val="000000"/>
                <w:spacing w:val="1"/>
                <w:shd w:val="solid" w:color="000000" w:fill="000000"/>
                <w:fitText w:val="183" w:id="-760997881"/>
                <w14:textFill>
                  <w14:solidFill>
                    <w14:srgbClr w14:val="000000">
                      <w14:alpha w14:val="100000"/>
                    </w14:srgbClr>
                  </w14:solidFill>
                </w14:textFill>
              </w:rPr>
              <w:t>|</w:t>
            </w:r>
            <w:r w:rsidR="00BD41B4">
              <w:rPr>
                <w:rStyle w:val="normaltextrun"/>
                <w:rFonts w:cs="Segoe UI"/>
                <w:szCs w:val="20"/>
                <w:vertAlign w:val="superscript"/>
              </w:rPr>
              <w:t>7</w:t>
            </w:r>
          </w:p>
        </w:tc>
        <w:tc>
          <w:tcPr>
            <w:tcW w:w="550" w:type="pct"/>
            <w:shd w:val="clear" w:color="auto" w:fill="B8CCE4" w:themeFill="accent1" w:themeFillTint="66"/>
            <w:vAlign w:val="center"/>
          </w:tcPr>
          <w:p w14:paraId="0174E106" w14:textId="01390A7C" w:rsidR="00091D2A" w:rsidRPr="00552B0C" w:rsidRDefault="00091D2A" w:rsidP="000D5DFD">
            <w:pPr>
              <w:pStyle w:val="TableText0"/>
              <w:keepLines/>
              <w:jc w:val="center"/>
            </w:pPr>
            <w:r w:rsidRPr="00552B0C">
              <w:t>-$</w:t>
            </w:r>
            <w:r w:rsidR="005F3BC8" w:rsidRPr="005F3BC8">
              <w:rPr>
                <w:color w:val="000000"/>
                <w:spacing w:val="96"/>
                <w:shd w:val="solid" w:color="000000" w:fill="000000"/>
                <w:fitText w:val="182" w:id="-760997880"/>
                <w14:textFill>
                  <w14:solidFill>
                    <w14:srgbClr w14:val="000000">
                      <w14:alpha w14:val="100000"/>
                    </w14:srgbClr>
                  </w14:solidFill>
                </w14:textFill>
              </w:rPr>
              <w:t>|</w:t>
            </w:r>
            <w:r w:rsidR="005F3BC8" w:rsidRPr="005F3BC8">
              <w:rPr>
                <w:color w:val="000000"/>
                <w:spacing w:val="1"/>
                <w:shd w:val="solid" w:color="000000" w:fill="000000"/>
                <w:fitText w:val="182" w:id="-760997880"/>
                <w14:textFill>
                  <w14:solidFill>
                    <w14:srgbClr w14:val="000000">
                      <w14:alpha w14:val="100000"/>
                    </w14:srgbClr>
                  </w14:solidFill>
                </w14:textFill>
              </w:rPr>
              <w:t>|</w:t>
            </w:r>
            <w:r w:rsidR="00BD41B4">
              <w:rPr>
                <w:rStyle w:val="normaltextrun"/>
                <w:rFonts w:cs="Segoe UI"/>
                <w:szCs w:val="20"/>
                <w:vertAlign w:val="superscript"/>
              </w:rPr>
              <w:t>7</w:t>
            </w:r>
          </w:p>
        </w:tc>
        <w:tc>
          <w:tcPr>
            <w:tcW w:w="550" w:type="pct"/>
            <w:shd w:val="clear" w:color="auto" w:fill="B8CCE4" w:themeFill="accent1" w:themeFillTint="66"/>
          </w:tcPr>
          <w:p w14:paraId="7BE95993" w14:textId="6E4A814A" w:rsidR="00091D2A" w:rsidRPr="00552B0C" w:rsidRDefault="00091D2A" w:rsidP="000D5DFD">
            <w:pPr>
              <w:pStyle w:val="TableText0"/>
              <w:keepLines/>
              <w:jc w:val="center"/>
            </w:pPr>
            <w:r w:rsidRPr="00552B0C">
              <w:t>-$</w:t>
            </w:r>
            <w:r w:rsidR="005F3BC8" w:rsidRPr="005F3BC8">
              <w:rPr>
                <w:color w:val="000000"/>
                <w:spacing w:val="97"/>
                <w:shd w:val="solid" w:color="000000" w:fill="000000"/>
                <w:fitText w:val="183" w:id="-760997879"/>
                <w14:textFill>
                  <w14:solidFill>
                    <w14:srgbClr w14:val="000000">
                      <w14:alpha w14:val="100000"/>
                    </w14:srgbClr>
                  </w14:solidFill>
                </w14:textFill>
              </w:rPr>
              <w:t>|</w:t>
            </w:r>
            <w:r w:rsidR="005F3BC8" w:rsidRPr="005F3BC8">
              <w:rPr>
                <w:color w:val="000000"/>
                <w:spacing w:val="1"/>
                <w:shd w:val="solid" w:color="000000" w:fill="000000"/>
                <w:fitText w:val="183" w:id="-760997879"/>
                <w14:textFill>
                  <w14:solidFill>
                    <w14:srgbClr w14:val="000000">
                      <w14:alpha w14:val="100000"/>
                    </w14:srgbClr>
                  </w14:solidFill>
                </w14:textFill>
              </w:rPr>
              <w:t>|</w:t>
            </w:r>
            <w:r w:rsidR="00BD41B4">
              <w:rPr>
                <w:rStyle w:val="normaltextrun"/>
                <w:rFonts w:cs="Segoe UI"/>
                <w:szCs w:val="20"/>
                <w:vertAlign w:val="superscript"/>
              </w:rPr>
              <w:t>7</w:t>
            </w:r>
          </w:p>
        </w:tc>
        <w:tc>
          <w:tcPr>
            <w:tcW w:w="522" w:type="pct"/>
            <w:shd w:val="clear" w:color="auto" w:fill="B8CCE4" w:themeFill="accent1" w:themeFillTint="66"/>
            <w:vAlign w:val="center"/>
          </w:tcPr>
          <w:p w14:paraId="421E57A9" w14:textId="52EB6CBD" w:rsidR="00091D2A" w:rsidRPr="00552B0C" w:rsidRDefault="00091D2A" w:rsidP="000D5DFD">
            <w:pPr>
              <w:pStyle w:val="TableText0"/>
              <w:keepLines/>
              <w:jc w:val="center"/>
            </w:pPr>
            <w:r w:rsidRPr="00552B0C">
              <w:rPr>
                <w:rFonts w:cs="Arial"/>
                <w:szCs w:val="20"/>
              </w:rPr>
              <w:t>-$</w:t>
            </w:r>
            <w:r w:rsidR="005F3BC8" w:rsidRPr="005F3BC8">
              <w:rPr>
                <w:rFonts w:cs="Arial" w:hint="eastAsia"/>
                <w:color w:val="000000"/>
                <w:w w:val="29"/>
                <w:szCs w:val="20"/>
                <w:shd w:val="solid" w:color="000000" w:fill="000000"/>
                <w:fitText w:val="129" w:id="-760997878"/>
                <w14:textFill>
                  <w14:solidFill>
                    <w14:srgbClr w14:val="000000">
                      <w14:alpha w14:val="100000"/>
                    </w14:srgbClr>
                  </w14:solidFill>
                </w14:textFill>
              </w:rPr>
              <w:t xml:space="preserve">　</w:t>
            </w:r>
            <w:r w:rsidR="005F3BC8" w:rsidRPr="005F3BC8">
              <w:rPr>
                <w:rFonts w:cs="Arial"/>
                <w:color w:val="000000"/>
                <w:w w:val="29"/>
                <w:szCs w:val="20"/>
                <w:shd w:val="solid" w:color="000000" w:fill="000000"/>
                <w:fitText w:val="129" w:id="-760997878"/>
                <w14:textFill>
                  <w14:solidFill>
                    <w14:srgbClr w14:val="000000">
                      <w14:alpha w14:val="100000"/>
                    </w14:srgbClr>
                  </w14:solidFill>
                </w14:textFill>
              </w:rPr>
              <w:t>|</w:t>
            </w:r>
            <w:r w:rsidR="005F3BC8" w:rsidRPr="005F3BC8">
              <w:rPr>
                <w:rFonts w:cs="Arial" w:hint="eastAsia"/>
                <w:color w:val="000000"/>
                <w:w w:val="29"/>
                <w:szCs w:val="20"/>
                <w:shd w:val="solid" w:color="000000" w:fill="000000"/>
                <w:fitText w:val="129" w:id="-760997878"/>
                <w14:textFill>
                  <w14:solidFill>
                    <w14:srgbClr w14:val="000000">
                      <w14:alpha w14:val="100000"/>
                    </w14:srgbClr>
                  </w14:solidFill>
                </w14:textFill>
              </w:rPr>
              <w:t xml:space="preserve">　</w:t>
            </w:r>
            <w:r w:rsidR="00BD41B4">
              <w:rPr>
                <w:rStyle w:val="normaltextrun"/>
                <w:rFonts w:cs="Segoe UI"/>
                <w:szCs w:val="20"/>
                <w:vertAlign w:val="superscript"/>
              </w:rPr>
              <w:t>7</w:t>
            </w:r>
          </w:p>
        </w:tc>
      </w:tr>
      <w:tr w:rsidR="00091D2A" w:rsidRPr="00552B0C" w14:paraId="30DE42B2" w14:textId="77777777" w:rsidTr="00877E57">
        <w:tc>
          <w:tcPr>
            <w:tcW w:w="1177" w:type="pct"/>
            <w:shd w:val="clear" w:color="auto" w:fill="B8CCE4" w:themeFill="accent1" w:themeFillTint="66"/>
            <w:vAlign w:val="center"/>
          </w:tcPr>
          <w:p w14:paraId="5C44F0BE" w14:textId="77777777" w:rsidR="00091D2A" w:rsidRPr="00552B0C" w:rsidRDefault="00091D2A" w:rsidP="000D5DFD">
            <w:pPr>
              <w:pStyle w:val="TableText0"/>
              <w:keepLines/>
            </w:pPr>
            <w:r w:rsidRPr="00552B0C">
              <w:rPr>
                <w:szCs w:val="20"/>
              </w:rPr>
              <w:t>Net cost to Australian Government health budget</w:t>
            </w:r>
          </w:p>
        </w:tc>
        <w:tc>
          <w:tcPr>
            <w:tcW w:w="550" w:type="pct"/>
            <w:shd w:val="clear" w:color="auto" w:fill="B8CCE4" w:themeFill="accent1" w:themeFillTint="66"/>
            <w:vAlign w:val="center"/>
          </w:tcPr>
          <w:p w14:paraId="5BD4924C" w14:textId="67E1F0C1" w:rsidR="00091D2A" w:rsidRPr="00552B0C" w:rsidRDefault="00091D2A" w:rsidP="000D5DFD">
            <w:pPr>
              <w:pStyle w:val="TableText0"/>
              <w:keepLines/>
              <w:jc w:val="center"/>
            </w:pPr>
            <w:r w:rsidRPr="00552B0C">
              <w:t>$</w:t>
            </w:r>
            <w:r w:rsidR="005F3BC8" w:rsidRPr="005F3BC8">
              <w:rPr>
                <w:rFonts w:hint="eastAsia"/>
                <w:color w:val="000000"/>
                <w:w w:val="33"/>
                <w:shd w:val="solid" w:color="000000" w:fill="000000"/>
                <w:fitText w:val="150" w:id="-760997877"/>
                <w14:textFill>
                  <w14:solidFill>
                    <w14:srgbClr w14:val="000000">
                      <w14:alpha w14:val="100000"/>
                    </w14:srgbClr>
                  </w14:solidFill>
                </w14:textFill>
              </w:rPr>
              <w:t xml:space="preserve">　</w:t>
            </w:r>
            <w:r w:rsidR="005F3BC8" w:rsidRPr="005F3BC8">
              <w:rPr>
                <w:color w:val="000000"/>
                <w:w w:val="33"/>
                <w:shd w:val="solid" w:color="000000" w:fill="000000"/>
                <w:fitText w:val="150" w:id="-760997877"/>
                <w14:textFill>
                  <w14:solidFill>
                    <w14:srgbClr w14:val="000000">
                      <w14:alpha w14:val="100000"/>
                    </w14:srgbClr>
                  </w14:solidFill>
                </w14:textFill>
              </w:rPr>
              <w:t>|</w:t>
            </w:r>
            <w:r w:rsidR="005F3BC8" w:rsidRPr="005F3BC8">
              <w:rPr>
                <w:rFonts w:hint="eastAsia"/>
                <w:color w:val="000000"/>
                <w:spacing w:val="4"/>
                <w:w w:val="33"/>
                <w:shd w:val="solid" w:color="000000" w:fill="000000"/>
                <w:fitText w:val="150" w:id="-760997877"/>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1" w:type="pct"/>
            <w:shd w:val="clear" w:color="auto" w:fill="B8CCE4" w:themeFill="accent1" w:themeFillTint="66"/>
            <w:vAlign w:val="center"/>
          </w:tcPr>
          <w:p w14:paraId="04FD4F52" w14:textId="4150B715" w:rsidR="00091D2A" w:rsidRPr="00552B0C" w:rsidRDefault="00091D2A" w:rsidP="000D5DFD">
            <w:pPr>
              <w:pStyle w:val="TableText0"/>
              <w:keepLines/>
              <w:jc w:val="center"/>
            </w:pPr>
            <w:r w:rsidRPr="00552B0C">
              <w:t>$</w:t>
            </w:r>
            <w:r w:rsidR="005F3BC8" w:rsidRPr="005F3BC8">
              <w:rPr>
                <w:color w:val="000000"/>
                <w:spacing w:val="65"/>
                <w:shd w:val="solid" w:color="000000" w:fill="000000"/>
                <w:fitText w:val="151" w:id="-760997876"/>
                <w14:textFill>
                  <w14:solidFill>
                    <w14:srgbClr w14:val="000000">
                      <w14:alpha w14:val="100000"/>
                    </w14:srgbClr>
                  </w14:solidFill>
                </w14:textFill>
              </w:rPr>
              <w:t>|</w:t>
            </w:r>
            <w:r w:rsidR="005F3BC8" w:rsidRPr="005F3BC8">
              <w:rPr>
                <w:color w:val="000000"/>
                <w:spacing w:val="1"/>
                <w:shd w:val="solid" w:color="000000" w:fill="000000"/>
                <w:fitText w:val="151" w:id="-760997876"/>
                <w14:textFill>
                  <w14:solidFill>
                    <w14:srgbClr w14:val="000000">
                      <w14:alpha w14:val="100000"/>
                    </w14:srgbClr>
                  </w14:solidFill>
                </w14:textFill>
              </w:rPr>
              <w:t>|</w:t>
            </w:r>
            <w:r w:rsidR="00113A80">
              <w:rPr>
                <w:rStyle w:val="normaltextrun"/>
                <w:rFonts w:cs="Segoe UI"/>
                <w:szCs w:val="20"/>
                <w:vertAlign w:val="superscript"/>
              </w:rPr>
              <w:t>5</w:t>
            </w:r>
          </w:p>
        </w:tc>
        <w:tc>
          <w:tcPr>
            <w:tcW w:w="549" w:type="pct"/>
            <w:shd w:val="clear" w:color="auto" w:fill="B8CCE4" w:themeFill="accent1" w:themeFillTint="66"/>
            <w:vAlign w:val="center"/>
          </w:tcPr>
          <w:p w14:paraId="04D8AAE0" w14:textId="04C42591" w:rsidR="00091D2A" w:rsidRPr="00552B0C" w:rsidRDefault="00091D2A" w:rsidP="000D5DFD">
            <w:pPr>
              <w:pStyle w:val="TableText0"/>
              <w:keepLines/>
              <w:jc w:val="center"/>
            </w:pPr>
            <w:r w:rsidRPr="00552B0C">
              <w:t>$</w:t>
            </w:r>
            <w:r w:rsidR="005F3BC8" w:rsidRPr="005F3BC8">
              <w:rPr>
                <w:rFonts w:hint="eastAsia"/>
                <w:color w:val="000000"/>
                <w:w w:val="33"/>
                <w:shd w:val="solid" w:color="000000" w:fill="000000"/>
                <w:fitText w:val="150" w:id="-760997875"/>
                <w14:textFill>
                  <w14:solidFill>
                    <w14:srgbClr w14:val="000000">
                      <w14:alpha w14:val="100000"/>
                    </w14:srgbClr>
                  </w14:solidFill>
                </w14:textFill>
              </w:rPr>
              <w:t xml:space="preserve">　</w:t>
            </w:r>
            <w:r w:rsidR="005F3BC8" w:rsidRPr="005F3BC8">
              <w:rPr>
                <w:color w:val="000000"/>
                <w:w w:val="33"/>
                <w:shd w:val="solid" w:color="000000" w:fill="000000"/>
                <w:fitText w:val="150" w:id="-760997875"/>
                <w14:textFill>
                  <w14:solidFill>
                    <w14:srgbClr w14:val="000000">
                      <w14:alpha w14:val="100000"/>
                    </w14:srgbClr>
                  </w14:solidFill>
                </w14:textFill>
              </w:rPr>
              <w:t>|</w:t>
            </w:r>
            <w:r w:rsidR="005F3BC8" w:rsidRPr="005F3BC8">
              <w:rPr>
                <w:rFonts w:hint="eastAsia"/>
                <w:color w:val="000000"/>
                <w:spacing w:val="4"/>
                <w:w w:val="33"/>
                <w:shd w:val="solid" w:color="000000" w:fill="000000"/>
                <w:fitText w:val="150" w:id="-760997875"/>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1" w:type="pct"/>
            <w:shd w:val="clear" w:color="auto" w:fill="B8CCE4" w:themeFill="accent1" w:themeFillTint="66"/>
            <w:vAlign w:val="center"/>
          </w:tcPr>
          <w:p w14:paraId="071FFBB1" w14:textId="2242EC7F" w:rsidR="00091D2A" w:rsidRPr="00552B0C" w:rsidRDefault="00091D2A" w:rsidP="000D5DFD">
            <w:pPr>
              <w:pStyle w:val="TableText0"/>
              <w:keepLines/>
              <w:jc w:val="center"/>
            </w:pPr>
            <w:r w:rsidRPr="00552B0C">
              <w:t>$</w:t>
            </w:r>
            <w:r w:rsidR="005F3BC8" w:rsidRPr="005F3BC8">
              <w:rPr>
                <w:color w:val="000000"/>
                <w:spacing w:val="65"/>
                <w:shd w:val="solid" w:color="000000" w:fill="000000"/>
                <w:fitText w:val="151" w:id="-760997874"/>
                <w14:textFill>
                  <w14:solidFill>
                    <w14:srgbClr w14:val="000000">
                      <w14:alpha w14:val="100000"/>
                    </w14:srgbClr>
                  </w14:solidFill>
                </w14:textFill>
              </w:rPr>
              <w:t>|</w:t>
            </w:r>
            <w:r w:rsidR="005F3BC8" w:rsidRPr="005F3BC8">
              <w:rPr>
                <w:color w:val="000000"/>
                <w:spacing w:val="1"/>
                <w:shd w:val="solid" w:color="000000" w:fill="000000"/>
                <w:fitText w:val="151" w:id="-760997874"/>
                <w14:textFill>
                  <w14:solidFill>
                    <w14:srgbClr w14:val="000000">
                      <w14:alpha w14:val="100000"/>
                    </w14:srgbClr>
                  </w14:solidFill>
                </w14:textFill>
              </w:rPr>
              <w:t>|</w:t>
            </w:r>
            <w:r w:rsidR="00113A80">
              <w:rPr>
                <w:rStyle w:val="normaltextrun"/>
                <w:rFonts w:cs="Segoe UI"/>
                <w:szCs w:val="20"/>
                <w:vertAlign w:val="superscript"/>
              </w:rPr>
              <w:t>5</w:t>
            </w:r>
          </w:p>
        </w:tc>
        <w:tc>
          <w:tcPr>
            <w:tcW w:w="550" w:type="pct"/>
            <w:shd w:val="clear" w:color="auto" w:fill="B8CCE4" w:themeFill="accent1" w:themeFillTint="66"/>
            <w:vAlign w:val="center"/>
          </w:tcPr>
          <w:p w14:paraId="71075E22" w14:textId="31B8CF0E" w:rsidR="00091D2A" w:rsidRPr="00552B0C" w:rsidRDefault="00091D2A" w:rsidP="000D5DFD">
            <w:pPr>
              <w:pStyle w:val="TableText0"/>
              <w:keepLines/>
              <w:jc w:val="center"/>
            </w:pPr>
            <w:r w:rsidRPr="00552B0C">
              <w:t>$</w:t>
            </w:r>
            <w:r w:rsidR="005F3BC8" w:rsidRPr="005F3BC8">
              <w:rPr>
                <w:rFonts w:hint="eastAsia"/>
                <w:color w:val="000000"/>
                <w:w w:val="33"/>
                <w:shd w:val="solid" w:color="000000" w:fill="000000"/>
                <w:fitText w:val="150" w:id="-760997873"/>
                <w14:textFill>
                  <w14:solidFill>
                    <w14:srgbClr w14:val="000000">
                      <w14:alpha w14:val="100000"/>
                    </w14:srgbClr>
                  </w14:solidFill>
                </w14:textFill>
              </w:rPr>
              <w:t xml:space="preserve">　</w:t>
            </w:r>
            <w:r w:rsidR="005F3BC8" w:rsidRPr="005F3BC8">
              <w:rPr>
                <w:color w:val="000000"/>
                <w:w w:val="33"/>
                <w:shd w:val="solid" w:color="000000" w:fill="000000"/>
                <w:fitText w:val="150" w:id="-760997873"/>
                <w14:textFill>
                  <w14:solidFill>
                    <w14:srgbClr w14:val="000000">
                      <w14:alpha w14:val="100000"/>
                    </w14:srgbClr>
                  </w14:solidFill>
                </w14:textFill>
              </w:rPr>
              <w:t>|</w:t>
            </w:r>
            <w:r w:rsidR="005F3BC8" w:rsidRPr="005F3BC8">
              <w:rPr>
                <w:rFonts w:hint="eastAsia"/>
                <w:color w:val="000000"/>
                <w:spacing w:val="4"/>
                <w:w w:val="33"/>
                <w:shd w:val="solid" w:color="000000" w:fill="000000"/>
                <w:fitText w:val="150" w:id="-760997873"/>
                <w14:textFill>
                  <w14:solidFill>
                    <w14:srgbClr w14:val="000000">
                      <w14:alpha w14:val="100000"/>
                    </w14:srgbClr>
                  </w14:solidFill>
                </w14:textFill>
              </w:rPr>
              <w:t xml:space="preserve">　</w:t>
            </w:r>
            <w:r w:rsidR="00113A80">
              <w:rPr>
                <w:rStyle w:val="normaltextrun"/>
                <w:rFonts w:cs="Segoe UI"/>
                <w:szCs w:val="20"/>
                <w:vertAlign w:val="superscript"/>
              </w:rPr>
              <w:t>5</w:t>
            </w:r>
          </w:p>
        </w:tc>
        <w:tc>
          <w:tcPr>
            <w:tcW w:w="550" w:type="pct"/>
            <w:shd w:val="clear" w:color="auto" w:fill="B8CCE4" w:themeFill="accent1" w:themeFillTint="66"/>
            <w:vAlign w:val="center"/>
          </w:tcPr>
          <w:p w14:paraId="42B33E54" w14:textId="60E9EE7A" w:rsidR="00091D2A" w:rsidRPr="00552B0C" w:rsidRDefault="00091D2A" w:rsidP="000D5DFD">
            <w:pPr>
              <w:pStyle w:val="TableText0"/>
              <w:keepLines/>
              <w:jc w:val="center"/>
            </w:pPr>
            <w:r w:rsidRPr="00552B0C">
              <w:t>$</w:t>
            </w:r>
            <w:r w:rsidR="005F3BC8" w:rsidRPr="005F3BC8">
              <w:rPr>
                <w:color w:val="000000"/>
                <w:spacing w:val="65"/>
                <w:shd w:val="solid" w:color="000000" w:fill="000000"/>
                <w:fitText w:val="151" w:id="-760997872"/>
                <w14:textFill>
                  <w14:solidFill>
                    <w14:srgbClr w14:val="000000">
                      <w14:alpha w14:val="100000"/>
                    </w14:srgbClr>
                  </w14:solidFill>
                </w14:textFill>
              </w:rPr>
              <w:t>|</w:t>
            </w:r>
            <w:r w:rsidR="005F3BC8" w:rsidRPr="005F3BC8">
              <w:rPr>
                <w:color w:val="000000"/>
                <w:spacing w:val="1"/>
                <w:shd w:val="solid" w:color="000000" w:fill="000000"/>
                <w:fitText w:val="151" w:id="-760997872"/>
                <w14:textFill>
                  <w14:solidFill>
                    <w14:srgbClr w14:val="000000">
                      <w14:alpha w14:val="100000"/>
                    </w14:srgbClr>
                  </w14:solidFill>
                </w14:textFill>
              </w:rPr>
              <w:t>|</w:t>
            </w:r>
            <w:r w:rsidR="00113A80">
              <w:rPr>
                <w:rStyle w:val="normaltextrun"/>
                <w:rFonts w:cs="Segoe UI"/>
                <w:szCs w:val="20"/>
                <w:vertAlign w:val="superscript"/>
              </w:rPr>
              <w:t>5</w:t>
            </w:r>
          </w:p>
        </w:tc>
        <w:tc>
          <w:tcPr>
            <w:tcW w:w="522" w:type="pct"/>
            <w:shd w:val="clear" w:color="auto" w:fill="B8CCE4" w:themeFill="accent1" w:themeFillTint="66"/>
            <w:vAlign w:val="center"/>
          </w:tcPr>
          <w:p w14:paraId="716AFFA5" w14:textId="5C80D4EB" w:rsidR="00091D2A" w:rsidRPr="00DC43D2" w:rsidRDefault="00091D2A" w:rsidP="000D5DFD">
            <w:pPr>
              <w:pStyle w:val="TableText0"/>
              <w:keepLines/>
              <w:jc w:val="center"/>
              <w:rPr>
                <w:vertAlign w:val="superscript"/>
              </w:rPr>
            </w:pPr>
            <w:r w:rsidRPr="00552B0C">
              <w:rPr>
                <w:rFonts w:cs="Arial"/>
                <w:szCs w:val="20"/>
              </w:rPr>
              <w:t>$</w:t>
            </w:r>
            <w:r w:rsidR="005F3BC8" w:rsidRPr="005F3BC8">
              <w:rPr>
                <w:rFonts w:cs="Arial" w:hint="eastAsia"/>
                <w:color w:val="000000"/>
                <w:w w:val="31"/>
                <w:szCs w:val="20"/>
                <w:shd w:val="solid" w:color="000000" w:fill="000000"/>
                <w:fitText w:val="140" w:id="-760997888"/>
                <w14:textFill>
                  <w14:solidFill>
                    <w14:srgbClr w14:val="000000">
                      <w14:alpha w14:val="100000"/>
                    </w14:srgbClr>
                  </w14:solidFill>
                </w14:textFill>
              </w:rPr>
              <w:t xml:space="preserve">　</w:t>
            </w:r>
            <w:r w:rsidR="005F3BC8" w:rsidRPr="005F3BC8">
              <w:rPr>
                <w:rFonts w:cs="Arial"/>
                <w:color w:val="000000"/>
                <w:w w:val="31"/>
                <w:szCs w:val="20"/>
                <w:shd w:val="solid" w:color="000000" w:fill="000000"/>
                <w:fitText w:val="140" w:id="-760997888"/>
                <w14:textFill>
                  <w14:solidFill>
                    <w14:srgbClr w14:val="000000">
                      <w14:alpha w14:val="100000"/>
                    </w14:srgbClr>
                  </w14:solidFill>
                </w14:textFill>
              </w:rPr>
              <w:t>|</w:t>
            </w:r>
            <w:r w:rsidR="005F3BC8" w:rsidRPr="005F3BC8">
              <w:rPr>
                <w:rFonts w:cs="Arial" w:hint="eastAsia"/>
                <w:color w:val="000000"/>
                <w:spacing w:val="4"/>
                <w:w w:val="31"/>
                <w:szCs w:val="20"/>
                <w:shd w:val="solid" w:color="000000" w:fill="000000"/>
                <w:fitText w:val="140" w:id="-760997888"/>
                <w14:textFill>
                  <w14:solidFill>
                    <w14:srgbClr w14:val="000000">
                      <w14:alpha w14:val="100000"/>
                    </w14:srgbClr>
                  </w14:solidFill>
                </w14:textFill>
              </w:rPr>
              <w:t xml:space="preserve">　</w:t>
            </w:r>
            <w:r w:rsidR="00DC43D2">
              <w:rPr>
                <w:rFonts w:cs="Arial"/>
                <w:szCs w:val="20"/>
                <w:vertAlign w:val="superscript"/>
              </w:rPr>
              <w:t>11</w:t>
            </w:r>
          </w:p>
        </w:tc>
      </w:tr>
    </w:tbl>
    <w:p w14:paraId="59B173EA" w14:textId="77777777" w:rsidR="00091D2A" w:rsidRPr="00552B0C" w:rsidRDefault="00091D2A" w:rsidP="000D5DFD">
      <w:pPr>
        <w:pStyle w:val="FooterTableFigure"/>
        <w:keepNext/>
        <w:keepLines/>
      </w:pPr>
      <w:r w:rsidRPr="00552B0C">
        <w:t>Source: Compiled and corrected during the evaluation</w:t>
      </w:r>
    </w:p>
    <w:p w14:paraId="07B8BC44" w14:textId="3DAF560C" w:rsidR="00091D2A" w:rsidRPr="00552B0C" w:rsidRDefault="00091D2A" w:rsidP="000D5DFD">
      <w:pPr>
        <w:pStyle w:val="FooterTableFigure"/>
        <w:keepNext/>
        <w:keepLines/>
        <w:rPr>
          <w:rStyle w:val="CommentReference"/>
          <w:b w:val="0"/>
          <w:sz w:val="18"/>
          <w:szCs w:val="22"/>
        </w:rPr>
      </w:pPr>
      <w:r w:rsidRPr="00552B0C">
        <w:t xml:space="preserve">Abbreviations: MBS, Medicare Benefits Schedule; </w:t>
      </w:r>
      <w:r w:rsidR="00EA07B4" w:rsidRPr="00552B0C">
        <w:t>nal-IRI, nanolip</w:t>
      </w:r>
      <w:r w:rsidR="00B21117" w:rsidRPr="00552B0C">
        <w:t xml:space="preserve">osomal irinotecan; </w:t>
      </w:r>
      <w:r w:rsidRPr="00552B0C">
        <w:t>PBS, Pharmaceutical Benefits Scheme; RPBS, Repatriation Pharmaceutical Benefits Scheme.</w:t>
      </w:r>
    </w:p>
    <w:p w14:paraId="551B3187" w14:textId="77777777" w:rsidR="00091D2A" w:rsidRPr="00552B0C" w:rsidRDefault="00091D2A" w:rsidP="000D5DFD">
      <w:pPr>
        <w:pStyle w:val="FooterTableFigure"/>
        <w:keepNext/>
        <w:keepLines/>
      </w:pPr>
      <w:r w:rsidRPr="00552B0C">
        <w:rPr>
          <w:vertAlign w:val="superscript"/>
        </w:rPr>
        <w:t>a</w:t>
      </w:r>
      <w:r w:rsidRPr="00552B0C">
        <w:t xml:space="preserve"> Assuming 13 scripts per patient per treatment course as estimated by the resubmission.</w:t>
      </w:r>
    </w:p>
    <w:p w14:paraId="0F47E40F" w14:textId="77777777" w:rsidR="00091D2A" w:rsidRPr="00552B0C" w:rsidRDefault="00091D2A" w:rsidP="000D5DFD">
      <w:pPr>
        <w:pStyle w:val="FooterTableFigure"/>
        <w:keepNext/>
        <w:keepLines/>
      </w:pPr>
      <w:r w:rsidRPr="00552B0C">
        <w:rPr>
          <w:vertAlign w:val="superscript"/>
        </w:rPr>
        <w:t xml:space="preserve">b </w:t>
      </w:r>
      <w:r w:rsidRPr="00552B0C">
        <w:t>Assumed split of substituted market share of Gem+NabP(75%) and FOLFIRINOX(25%)</w:t>
      </w:r>
    </w:p>
    <w:p w14:paraId="5404C906" w14:textId="77777777" w:rsidR="00091D2A" w:rsidRPr="00552B0C" w:rsidRDefault="00091D2A" w:rsidP="000D5DFD">
      <w:pPr>
        <w:pStyle w:val="FooterTableFigure"/>
        <w:keepNext/>
        <w:keepLines/>
      </w:pPr>
      <w:r w:rsidRPr="00552B0C">
        <w:t>Note: Results in italics represent corrected values.</w:t>
      </w:r>
    </w:p>
    <w:p w14:paraId="71A6F76E" w14:textId="77777777" w:rsidR="00877E57" w:rsidRDefault="00091D2A" w:rsidP="005679BA">
      <w:pPr>
        <w:pStyle w:val="FooterTableFigure"/>
        <w:keepNext/>
        <w:keepLines/>
        <w:rPr>
          <w:szCs w:val="18"/>
        </w:rPr>
      </w:pPr>
      <w:r w:rsidRPr="00552B0C">
        <w:rPr>
          <w:szCs w:val="18"/>
          <w:shd w:val="clear" w:color="auto" w:fill="95B3D7" w:themeFill="accent1" w:themeFillTint="99"/>
        </w:rPr>
        <w:t>Blue shading</w:t>
      </w:r>
      <w:r w:rsidRPr="00552B0C">
        <w:rPr>
          <w:szCs w:val="18"/>
        </w:rPr>
        <w:t xml:space="preserve"> indicates these data sources and key inputs were unchanged from the original submission</w:t>
      </w:r>
    </w:p>
    <w:p w14:paraId="44547E9D" w14:textId="2DC82101" w:rsidR="005679BA" w:rsidRPr="0066296F" w:rsidRDefault="005679BA" w:rsidP="005679BA">
      <w:pPr>
        <w:pStyle w:val="FooterTableFigure"/>
        <w:keepNext/>
        <w:keepLines/>
        <w:rPr>
          <w:i/>
          <w:iCs/>
        </w:rPr>
      </w:pPr>
      <w:r w:rsidRPr="0066296F">
        <w:rPr>
          <w:i/>
          <w:iCs/>
        </w:rPr>
        <w:t>The redacted values correspond to the following ranges:</w:t>
      </w:r>
      <w:r w:rsidR="008D0998" w:rsidRPr="0066296F">
        <w:rPr>
          <w:i/>
          <w:iCs/>
        </w:rPr>
        <w:t xml:space="preserve"> </w:t>
      </w:r>
    </w:p>
    <w:p w14:paraId="788A156A" w14:textId="01651879" w:rsidR="005679BA" w:rsidRPr="0066296F" w:rsidRDefault="005679BA" w:rsidP="005679BA">
      <w:pPr>
        <w:pStyle w:val="FooterTableFigure"/>
        <w:keepNext/>
        <w:keepLines/>
        <w:rPr>
          <w:i/>
          <w:iCs/>
        </w:rPr>
      </w:pPr>
      <w:r w:rsidRPr="0066296F">
        <w:rPr>
          <w:i/>
          <w:iCs/>
          <w:vertAlign w:val="superscript"/>
        </w:rPr>
        <w:t>1</w:t>
      </w:r>
      <w:r w:rsidR="008D0998" w:rsidRPr="0066296F">
        <w:rPr>
          <w:i/>
          <w:iCs/>
        </w:rPr>
        <w:t xml:space="preserve"> </w:t>
      </w:r>
      <w:r w:rsidR="00F8550F" w:rsidRPr="0066296F">
        <w:rPr>
          <w:i/>
          <w:iCs/>
        </w:rPr>
        <w:t>500</w:t>
      </w:r>
      <w:r w:rsidR="00F8550F" w:rsidRPr="0066296F">
        <w:rPr>
          <w:rFonts w:ascii="Arial" w:hAnsi="Arial"/>
          <w:i/>
          <w:iCs/>
        </w:rPr>
        <w:t> </w:t>
      </w:r>
      <w:r w:rsidR="00F8550F" w:rsidRPr="0066296F">
        <w:rPr>
          <w:i/>
          <w:iCs/>
        </w:rPr>
        <w:t>to</w:t>
      </w:r>
      <w:r w:rsidR="00F8550F" w:rsidRPr="0066296F">
        <w:rPr>
          <w:rFonts w:ascii="Arial" w:hAnsi="Arial"/>
          <w:i/>
          <w:iCs/>
        </w:rPr>
        <w:t> </w:t>
      </w:r>
      <w:r w:rsidR="00F8550F" w:rsidRPr="0066296F">
        <w:rPr>
          <w:i/>
          <w:iCs/>
        </w:rPr>
        <w:t>&lt;</w:t>
      </w:r>
      <w:r w:rsidR="00F8550F" w:rsidRPr="0066296F">
        <w:rPr>
          <w:rFonts w:ascii="Arial" w:hAnsi="Arial"/>
          <w:i/>
          <w:iCs/>
        </w:rPr>
        <w:t> </w:t>
      </w:r>
      <w:r w:rsidR="00F8550F" w:rsidRPr="0066296F">
        <w:rPr>
          <w:i/>
          <w:iCs/>
        </w:rPr>
        <w:t>5,000 </w:t>
      </w:r>
    </w:p>
    <w:p w14:paraId="64646F2E" w14:textId="28161B18" w:rsidR="005679BA" w:rsidRPr="0066296F" w:rsidRDefault="005679BA" w:rsidP="005679BA">
      <w:pPr>
        <w:pStyle w:val="FooterTableFigure"/>
        <w:keepNext/>
        <w:keepLines/>
        <w:rPr>
          <w:i/>
          <w:iCs/>
        </w:rPr>
      </w:pPr>
      <w:r w:rsidRPr="0066296F">
        <w:rPr>
          <w:i/>
          <w:iCs/>
          <w:vertAlign w:val="superscript"/>
        </w:rPr>
        <w:t>2</w:t>
      </w:r>
      <w:r w:rsidR="008D0998" w:rsidRPr="0066296F">
        <w:rPr>
          <w:i/>
          <w:iCs/>
        </w:rPr>
        <w:t xml:space="preserve"> </w:t>
      </w:r>
      <w:r w:rsidR="00894CAF" w:rsidRPr="0066296F">
        <w:rPr>
          <w:i/>
          <w:iCs/>
        </w:rPr>
        <w:t>5,000</w:t>
      </w:r>
      <w:r w:rsidR="00894CAF" w:rsidRPr="0066296F">
        <w:rPr>
          <w:rFonts w:ascii="Arial" w:hAnsi="Arial"/>
          <w:i/>
          <w:iCs/>
        </w:rPr>
        <w:t> </w:t>
      </w:r>
      <w:r w:rsidR="00894CAF" w:rsidRPr="0066296F">
        <w:rPr>
          <w:i/>
          <w:iCs/>
        </w:rPr>
        <w:t>to</w:t>
      </w:r>
      <w:r w:rsidR="00894CAF" w:rsidRPr="0066296F">
        <w:rPr>
          <w:rFonts w:ascii="Arial" w:hAnsi="Arial"/>
          <w:i/>
          <w:iCs/>
        </w:rPr>
        <w:t> </w:t>
      </w:r>
      <w:r w:rsidR="00894CAF" w:rsidRPr="0066296F">
        <w:rPr>
          <w:i/>
          <w:iCs/>
        </w:rPr>
        <w:t>&lt;</w:t>
      </w:r>
      <w:r w:rsidR="00894CAF" w:rsidRPr="0066296F">
        <w:rPr>
          <w:rFonts w:ascii="Arial" w:hAnsi="Arial"/>
          <w:i/>
          <w:iCs/>
        </w:rPr>
        <w:t> </w:t>
      </w:r>
      <w:r w:rsidR="00894CAF" w:rsidRPr="0066296F">
        <w:rPr>
          <w:i/>
          <w:iCs/>
        </w:rPr>
        <w:t>10,000 </w:t>
      </w:r>
    </w:p>
    <w:p w14:paraId="7C0A124C" w14:textId="4DC728CA" w:rsidR="005679BA" w:rsidRPr="0066296F" w:rsidRDefault="005679BA" w:rsidP="005679BA">
      <w:pPr>
        <w:pStyle w:val="FooterTableFigure"/>
        <w:keepNext/>
        <w:keepLines/>
        <w:rPr>
          <w:i/>
          <w:iCs/>
        </w:rPr>
      </w:pPr>
      <w:r w:rsidRPr="0066296F">
        <w:rPr>
          <w:i/>
          <w:iCs/>
          <w:vertAlign w:val="superscript"/>
        </w:rPr>
        <w:t>3</w:t>
      </w:r>
      <w:r w:rsidR="008D0998" w:rsidRPr="0066296F">
        <w:rPr>
          <w:i/>
          <w:iCs/>
        </w:rPr>
        <w:t xml:space="preserve"> </w:t>
      </w:r>
      <w:r w:rsidR="00DF199C" w:rsidRPr="0066296F">
        <w:rPr>
          <w:i/>
          <w:iCs/>
        </w:rPr>
        <w:t>10,000</w:t>
      </w:r>
      <w:r w:rsidR="00DF199C" w:rsidRPr="0066296F">
        <w:rPr>
          <w:rFonts w:ascii="Arial" w:hAnsi="Arial"/>
          <w:i/>
          <w:iCs/>
        </w:rPr>
        <w:t> </w:t>
      </w:r>
      <w:r w:rsidR="00DF199C" w:rsidRPr="0066296F">
        <w:rPr>
          <w:i/>
          <w:iCs/>
        </w:rPr>
        <w:t>to</w:t>
      </w:r>
      <w:r w:rsidR="00DF199C" w:rsidRPr="0066296F">
        <w:rPr>
          <w:rFonts w:ascii="Arial" w:hAnsi="Arial"/>
          <w:i/>
          <w:iCs/>
        </w:rPr>
        <w:t> </w:t>
      </w:r>
      <w:r w:rsidR="00DF199C" w:rsidRPr="0066296F">
        <w:rPr>
          <w:i/>
          <w:iCs/>
        </w:rPr>
        <w:t>&lt;</w:t>
      </w:r>
      <w:r w:rsidR="00DF199C" w:rsidRPr="0066296F">
        <w:rPr>
          <w:rFonts w:ascii="Arial" w:hAnsi="Arial"/>
          <w:i/>
          <w:iCs/>
        </w:rPr>
        <w:t> </w:t>
      </w:r>
      <w:r w:rsidR="00DF199C" w:rsidRPr="0066296F">
        <w:rPr>
          <w:i/>
          <w:iCs/>
        </w:rPr>
        <w:t>20,000</w:t>
      </w:r>
    </w:p>
    <w:p w14:paraId="296CDE9A" w14:textId="6F295907" w:rsidR="005679BA" w:rsidRPr="0066296F" w:rsidRDefault="005679BA" w:rsidP="005679BA">
      <w:pPr>
        <w:pStyle w:val="FooterTableFigure"/>
        <w:keepNext/>
        <w:keepLines/>
        <w:rPr>
          <w:i/>
          <w:iCs/>
        </w:rPr>
      </w:pPr>
      <w:r w:rsidRPr="0066296F">
        <w:rPr>
          <w:i/>
          <w:iCs/>
          <w:vertAlign w:val="superscript"/>
        </w:rPr>
        <w:t>4</w:t>
      </w:r>
      <w:r w:rsidR="008D0998" w:rsidRPr="0066296F">
        <w:rPr>
          <w:i/>
          <w:iCs/>
        </w:rPr>
        <w:t xml:space="preserve"> </w:t>
      </w:r>
      <w:r w:rsidR="00BA3975" w:rsidRPr="0066296F">
        <w:rPr>
          <w:i/>
          <w:iCs/>
        </w:rPr>
        <w:t>90,000</w:t>
      </w:r>
      <w:r w:rsidR="00BA3975" w:rsidRPr="0066296F">
        <w:rPr>
          <w:rFonts w:ascii="Arial" w:hAnsi="Arial"/>
          <w:i/>
          <w:iCs/>
        </w:rPr>
        <w:t> </w:t>
      </w:r>
      <w:r w:rsidR="00BA3975" w:rsidRPr="0066296F">
        <w:rPr>
          <w:i/>
          <w:iCs/>
        </w:rPr>
        <w:t>to</w:t>
      </w:r>
      <w:r w:rsidR="00BA3975" w:rsidRPr="0066296F">
        <w:rPr>
          <w:rFonts w:ascii="Arial" w:hAnsi="Arial"/>
          <w:i/>
          <w:iCs/>
        </w:rPr>
        <w:t> </w:t>
      </w:r>
      <w:r w:rsidR="00BA3975" w:rsidRPr="0066296F">
        <w:rPr>
          <w:i/>
          <w:iCs/>
        </w:rPr>
        <w:t>&lt;</w:t>
      </w:r>
      <w:r w:rsidR="00BA3975" w:rsidRPr="0066296F">
        <w:rPr>
          <w:rFonts w:ascii="Arial" w:hAnsi="Arial"/>
          <w:i/>
          <w:iCs/>
        </w:rPr>
        <w:t> </w:t>
      </w:r>
      <w:r w:rsidR="00BA3975" w:rsidRPr="0066296F">
        <w:rPr>
          <w:i/>
          <w:iCs/>
        </w:rPr>
        <w:t>100,000 </w:t>
      </w:r>
    </w:p>
    <w:p w14:paraId="50A4907D" w14:textId="0CCA19C4" w:rsidR="005679BA" w:rsidRPr="0066296F" w:rsidRDefault="005679BA" w:rsidP="005679BA">
      <w:pPr>
        <w:pStyle w:val="FooterTableFigure"/>
        <w:keepNext/>
        <w:keepLines/>
        <w:rPr>
          <w:i/>
          <w:iCs/>
        </w:rPr>
      </w:pPr>
      <w:r w:rsidRPr="0066296F">
        <w:rPr>
          <w:i/>
          <w:iCs/>
          <w:vertAlign w:val="superscript"/>
        </w:rPr>
        <w:t>5</w:t>
      </w:r>
      <w:r w:rsidR="008D0998" w:rsidRPr="0066296F">
        <w:rPr>
          <w:i/>
          <w:iCs/>
        </w:rPr>
        <w:t xml:space="preserve"> </w:t>
      </w:r>
      <w:r w:rsidR="00541F02" w:rsidRPr="0066296F">
        <w:rPr>
          <w:i/>
          <w:iCs/>
        </w:rPr>
        <w:t>$10</w:t>
      </w:r>
      <w:r w:rsidR="00541F02" w:rsidRPr="0066296F">
        <w:rPr>
          <w:rFonts w:ascii="Arial" w:hAnsi="Arial"/>
          <w:i/>
          <w:iCs/>
        </w:rPr>
        <w:t> </w:t>
      </w:r>
      <w:r w:rsidR="00541F02" w:rsidRPr="0066296F">
        <w:rPr>
          <w:i/>
          <w:iCs/>
        </w:rPr>
        <w:t>million</w:t>
      </w:r>
      <w:r w:rsidR="00541F02" w:rsidRPr="0066296F">
        <w:rPr>
          <w:rFonts w:ascii="Arial" w:hAnsi="Arial"/>
          <w:i/>
          <w:iCs/>
        </w:rPr>
        <w:t> </w:t>
      </w:r>
      <w:r w:rsidR="00541F02" w:rsidRPr="0066296F">
        <w:rPr>
          <w:i/>
          <w:iCs/>
        </w:rPr>
        <w:t>to</w:t>
      </w:r>
      <w:r w:rsidR="00541F02" w:rsidRPr="0066296F">
        <w:rPr>
          <w:rFonts w:ascii="Arial" w:hAnsi="Arial"/>
          <w:i/>
          <w:iCs/>
        </w:rPr>
        <w:t> </w:t>
      </w:r>
      <w:r w:rsidR="00541F02" w:rsidRPr="0066296F">
        <w:rPr>
          <w:i/>
          <w:iCs/>
        </w:rPr>
        <w:t>&lt;</w:t>
      </w:r>
      <w:r w:rsidR="00541F02" w:rsidRPr="0066296F">
        <w:rPr>
          <w:rFonts w:ascii="Arial" w:hAnsi="Arial"/>
          <w:i/>
          <w:iCs/>
        </w:rPr>
        <w:t> </w:t>
      </w:r>
      <w:r w:rsidR="00541F02" w:rsidRPr="0066296F">
        <w:rPr>
          <w:i/>
          <w:iCs/>
        </w:rPr>
        <w:t>$20</w:t>
      </w:r>
      <w:r w:rsidR="00541F02" w:rsidRPr="0066296F">
        <w:rPr>
          <w:rFonts w:ascii="Arial" w:hAnsi="Arial"/>
          <w:i/>
          <w:iCs/>
        </w:rPr>
        <w:t> </w:t>
      </w:r>
      <w:r w:rsidR="00541F02" w:rsidRPr="0066296F">
        <w:rPr>
          <w:i/>
          <w:iCs/>
        </w:rPr>
        <w:t>million</w:t>
      </w:r>
    </w:p>
    <w:p w14:paraId="5447DD61" w14:textId="7633445B" w:rsidR="005679BA" w:rsidRPr="0066296F" w:rsidRDefault="005679BA" w:rsidP="005679BA">
      <w:pPr>
        <w:pStyle w:val="FooterTableFigure"/>
        <w:keepNext/>
        <w:keepLines/>
        <w:rPr>
          <w:i/>
          <w:iCs/>
        </w:rPr>
      </w:pPr>
      <w:r w:rsidRPr="0066296F">
        <w:rPr>
          <w:i/>
          <w:iCs/>
          <w:vertAlign w:val="superscript"/>
        </w:rPr>
        <w:t>6</w:t>
      </w:r>
      <w:r w:rsidR="008D0998" w:rsidRPr="0066296F">
        <w:rPr>
          <w:i/>
          <w:iCs/>
        </w:rPr>
        <w:t xml:space="preserve"> </w:t>
      </w:r>
      <w:r w:rsidR="00397430" w:rsidRPr="0066296F">
        <w:rPr>
          <w:i/>
          <w:iCs/>
        </w:rPr>
        <w:t>$20</w:t>
      </w:r>
      <w:r w:rsidR="00397430" w:rsidRPr="0066296F">
        <w:rPr>
          <w:rFonts w:ascii="Arial" w:hAnsi="Arial"/>
          <w:i/>
          <w:iCs/>
        </w:rPr>
        <w:t> </w:t>
      </w:r>
      <w:r w:rsidR="00397430" w:rsidRPr="0066296F">
        <w:rPr>
          <w:i/>
          <w:iCs/>
        </w:rPr>
        <w:t>million</w:t>
      </w:r>
      <w:r w:rsidR="00397430" w:rsidRPr="0066296F">
        <w:rPr>
          <w:rFonts w:ascii="Arial" w:hAnsi="Arial"/>
          <w:i/>
          <w:iCs/>
        </w:rPr>
        <w:t> </w:t>
      </w:r>
      <w:r w:rsidR="00397430" w:rsidRPr="0066296F">
        <w:rPr>
          <w:i/>
          <w:iCs/>
        </w:rPr>
        <w:t>to</w:t>
      </w:r>
      <w:r w:rsidR="00397430" w:rsidRPr="0066296F">
        <w:rPr>
          <w:rFonts w:ascii="Arial" w:hAnsi="Arial"/>
          <w:i/>
          <w:iCs/>
        </w:rPr>
        <w:t> </w:t>
      </w:r>
      <w:r w:rsidR="00397430" w:rsidRPr="0066296F">
        <w:rPr>
          <w:i/>
          <w:iCs/>
        </w:rPr>
        <w:t>&lt;</w:t>
      </w:r>
      <w:r w:rsidR="00397430" w:rsidRPr="0066296F">
        <w:rPr>
          <w:rFonts w:ascii="Arial" w:hAnsi="Arial"/>
          <w:i/>
          <w:iCs/>
        </w:rPr>
        <w:t> </w:t>
      </w:r>
      <w:r w:rsidR="00397430" w:rsidRPr="0066296F">
        <w:rPr>
          <w:i/>
          <w:iCs/>
        </w:rPr>
        <w:t>$30</w:t>
      </w:r>
      <w:r w:rsidR="00397430" w:rsidRPr="0066296F">
        <w:rPr>
          <w:rFonts w:ascii="Arial" w:hAnsi="Arial"/>
          <w:i/>
          <w:iCs/>
        </w:rPr>
        <w:t> </w:t>
      </w:r>
      <w:r w:rsidR="00397430" w:rsidRPr="0066296F">
        <w:rPr>
          <w:i/>
          <w:iCs/>
        </w:rPr>
        <w:t>million </w:t>
      </w:r>
    </w:p>
    <w:p w14:paraId="53F1E529" w14:textId="535FCFFC" w:rsidR="009E5F06" w:rsidRPr="0066296F" w:rsidRDefault="005679BA" w:rsidP="00BD41B4">
      <w:pPr>
        <w:pStyle w:val="FooterTableFigure"/>
        <w:keepNext/>
        <w:keepLines/>
        <w:rPr>
          <w:i/>
          <w:iCs/>
        </w:rPr>
      </w:pPr>
      <w:r w:rsidRPr="0066296F">
        <w:rPr>
          <w:i/>
          <w:iCs/>
          <w:vertAlign w:val="superscript"/>
        </w:rPr>
        <w:t>7</w:t>
      </w:r>
      <w:r w:rsidR="008D0998" w:rsidRPr="0066296F">
        <w:rPr>
          <w:i/>
          <w:iCs/>
        </w:rPr>
        <w:t xml:space="preserve"> </w:t>
      </w:r>
      <w:r w:rsidR="009E5F06" w:rsidRPr="0066296F">
        <w:rPr>
          <w:i/>
          <w:iCs/>
        </w:rPr>
        <w:t>net cost saving</w:t>
      </w:r>
    </w:p>
    <w:p w14:paraId="5E15544F" w14:textId="246AB3B9" w:rsidR="00BD41B4" w:rsidRPr="0066296F" w:rsidRDefault="00C55CB9" w:rsidP="00BD41B4">
      <w:pPr>
        <w:pStyle w:val="FooterTableFigure"/>
        <w:keepNext/>
        <w:keepLines/>
        <w:rPr>
          <w:i/>
          <w:iCs/>
        </w:rPr>
      </w:pPr>
      <w:r w:rsidRPr="0066296F">
        <w:rPr>
          <w:i/>
          <w:iCs/>
          <w:vertAlign w:val="superscript"/>
        </w:rPr>
        <w:t>8</w:t>
      </w:r>
      <w:r w:rsidR="008D0998" w:rsidRPr="0066296F">
        <w:rPr>
          <w:i/>
          <w:iCs/>
        </w:rPr>
        <w:t xml:space="preserve"> </w:t>
      </w:r>
      <w:r w:rsidR="000B6F2A" w:rsidRPr="0066296F">
        <w:rPr>
          <w:i/>
          <w:iCs/>
        </w:rPr>
        <w:t>$0</w:t>
      </w:r>
      <w:r w:rsidR="000B6F2A" w:rsidRPr="0066296F">
        <w:rPr>
          <w:rFonts w:ascii="Arial" w:hAnsi="Arial"/>
          <w:i/>
          <w:iCs/>
        </w:rPr>
        <w:t> </w:t>
      </w:r>
      <w:r w:rsidR="000B6F2A" w:rsidRPr="0066296F">
        <w:rPr>
          <w:i/>
          <w:iCs/>
        </w:rPr>
        <w:t>to</w:t>
      </w:r>
      <w:r w:rsidR="000B6F2A" w:rsidRPr="0066296F">
        <w:rPr>
          <w:rFonts w:ascii="Arial" w:hAnsi="Arial"/>
          <w:i/>
          <w:iCs/>
        </w:rPr>
        <w:t> </w:t>
      </w:r>
      <w:r w:rsidR="000B6F2A" w:rsidRPr="0066296F">
        <w:rPr>
          <w:i/>
          <w:iCs/>
        </w:rPr>
        <w:t>&lt;</w:t>
      </w:r>
      <w:r w:rsidR="000B6F2A" w:rsidRPr="0066296F">
        <w:rPr>
          <w:rFonts w:ascii="Arial" w:hAnsi="Arial"/>
          <w:i/>
          <w:iCs/>
        </w:rPr>
        <w:t> </w:t>
      </w:r>
      <w:r w:rsidR="000B6F2A" w:rsidRPr="0066296F">
        <w:rPr>
          <w:i/>
          <w:iCs/>
        </w:rPr>
        <w:t>$10</w:t>
      </w:r>
      <w:r w:rsidR="000B6F2A" w:rsidRPr="0066296F">
        <w:rPr>
          <w:rFonts w:ascii="Arial" w:hAnsi="Arial"/>
          <w:i/>
          <w:iCs/>
        </w:rPr>
        <w:t> </w:t>
      </w:r>
      <w:r w:rsidR="000B6F2A" w:rsidRPr="0066296F">
        <w:rPr>
          <w:i/>
          <w:iCs/>
        </w:rPr>
        <w:t>million</w:t>
      </w:r>
    </w:p>
    <w:p w14:paraId="4D749487" w14:textId="77777777" w:rsidR="00CB3F93" w:rsidRDefault="00C55CB9" w:rsidP="000D5DFD">
      <w:pPr>
        <w:pStyle w:val="FooterTableFigure"/>
        <w:keepNext/>
        <w:keepLines/>
        <w:rPr>
          <w:i/>
          <w:iCs/>
        </w:rPr>
      </w:pPr>
      <w:r w:rsidRPr="0066296F">
        <w:rPr>
          <w:i/>
          <w:iCs/>
          <w:vertAlign w:val="superscript"/>
        </w:rPr>
        <w:t>9</w:t>
      </w:r>
      <w:r w:rsidR="00BD41B4" w:rsidRPr="0066296F">
        <w:rPr>
          <w:i/>
          <w:iCs/>
        </w:rPr>
        <w:t> $</w:t>
      </w:r>
      <w:r w:rsidR="00FA0DA3" w:rsidRPr="0066296F">
        <w:rPr>
          <w:i/>
          <w:iCs/>
        </w:rPr>
        <w:t>60</w:t>
      </w:r>
      <w:r w:rsidR="00FA0DA3" w:rsidRPr="0066296F">
        <w:rPr>
          <w:rFonts w:ascii="Arial" w:hAnsi="Arial"/>
          <w:i/>
          <w:iCs/>
        </w:rPr>
        <w:t> </w:t>
      </w:r>
      <w:r w:rsidR="00FA0DA3" w:rsidRPr="0066296F">
        <w:rPr>
          <w:i/>
          <w:iCs/>
        </w:rPr>
        <w:t>million</w:t>
      </w:r>
      <w:r w:rsidR="00FA0DA3" w:rsidRPr="0066296F">
        <w:rPr>
          <w:rFonts w:ascii="Arial" w:hAnsi="Arial"/>
          <w:i/>
          <w:iCs/>
        </w:rPr>
        <w:t> </w:t>
      </w:r>
      <w:r w:rsidR="00FA0DA3" w:rsidRPr="0066296F">
        <w:rPr>
          <w:i/>
          <w:iCs/>
        </w:rPr>
        <w:t>to</w:t>
      </w:r>
      <w:r w:rsidR="00FA0DA3" w:rsidRPr="0066296F">
        <w:rPr>
          <w:rFonts w:ascii="Arial" w:hAnsi="Arial"/>
          <w:i/>
          <w:iCs/>
        </w:rPr>
        <w:t> </w:t>
      </w:r>
      <w:r w:rsidR="00FA0DA3" w:rsidRPr="0066296F">
        <w:rPr>
          <w:i/>
          <w:iCs/>
        </w:rPr>
        <w:t>&lt;</w:t>
      </w:r>
      <w:r w:rsidR="00FA0DA3" w:rsidRPr="0066296F">
        <w:rPr>
          <w:rFonts w:ascii="Arial" w:hAnsi="Arial"/>
          <w:i/>
          <w:iCs/>
        </w:rPr>
        <w:t> </w:t>
      </w:r>
      <w:r w:rsidR="00FA0DA3" w:rsidRPr="0066296F">
        <w:rPr>
          <w:i/>
          <w:iCs/>
        </w:rPr>
        <w:t>$70</w:t>
      </w:r>
      <w:r w:rsidR="00FA0DA3" w:rsidRPr="0066296F">
        <w:rPr>
          <w:rFonts w:ascii="Arial" w:hAnsi="Arial"/>
          <w:i/>
          <w:iCs/>
        </w:rPr>
        <w:t> </w:t>
      </w:r>
      <w:r w:rsidR="00FA0DA3" w:rsidRPr="0066296F">
        <w:rPr>
          <w:i/>
          <w:iCs/>
        </w:rPr>
        <w:t>million</w:t>
      </w:r>
    </w:p>
    <w:p w14:paraId="7F1E5D48" w14:textId="2F304E2B" w:rsidR="00CB3F93" w:rsidRDefault="00E37A37" w:rsidP="000D5DFD">
      <w:pPr>
        <w:pStyle w:val="FooterTableFigure"/>
        <w:keepNext/>
        <w:keepLines/>
        <w:rPr>
          <w:i/>
          <w:iCs/>
        </w:rPr>
      </w:pPr>
      <w:r w:rsidRPr="0066296F">
        <w:rPr>
          <w:i/>
          <w:iCs/>
          <w:vertAlign w:val="superscript"/>
        </w:rPr>
        <w:t>1</w:t>
      </w:r>
      <w:r w:rsidR="00CB3F93">
        <w:rPr>
          <w:i/>
          <w:iCs/>
          <w:vertAlign w:val="superscript"/>
        </w:rPr>
        <w:t>0</w:t>
      </w:r>
      <w:r w:rsidRPr="0066296F">
        <w:rPr>
          <w:i/>
          <w:iCs/>
        </w:rPr>
        <w:t> </w:t>
      </w:r>
      <w:r w:rsidR="00842EE6" w:rsidRPr="0066296F">
        <w:rPr>
          <w:i/>
          <w:iCs/>
        </w:rPr>
        <w:t>$100</w:t>
      </w:r>
      <w:r w:rsidR="00842EE6" w:rsidRPr="0066296F">
        <w:rPr>
          <w:rFonts w:ascii="Arial" w:hAnsi="Arial"/>
          <w:i/>
          <w:iCs/>
        </w:rPr>
        <w:t> </w:t>
      </w:r>
      <w:r w:rsidR="00842EE6" w:rsidRPr="0066296F">
        <w:rPr>
          <w:i/>
          <w:iCs/>
        </w:rPr>
        <w:t>million</w:t>
      </w:r>
      <w:r w:rsidR="00842EE6" w:rsidRPr="0066296F">
        <w:rPr>
          <w:rFonts w:ascii="Arial" w:hAnsi="Arial"/>
          <w:i/>
          <w:iCs/>
        </w:rPr>
        <w:t> </w:t>
      </w:r>
      <w:r w:rsidR="00842EE6" w:rsidRPr="0066296F">
        <w:rPr>
          <w:i/>
          <w:iCs/>
        </w:rPr>
        <w:t>to</w:t>
      </w:r>
      <w:r w:rsidR="00842EE6" w:rsidRPr="0066296F">
        <w:rPr>
          <w:rFonts w:ascii="Arial" w:hAnsi="Arial"/>
          <w:i/>
          <w:iCs/>
        </w:rPr>
        <w:t> </w:t>
      </w:r>
      <w:r w:rsidR="00842EE6" w:rsidRPr="0066296F">
        <w:rPr>
          <w:i/>
          <w:iCs/>
        </w:rPr>
        <w:t>&lt;</w:t>
      </w:r>
      <w:r w:rsidR="00842EE6" w:rsidRPr="0066296F">
        <w:rPr>
          <w:rFonts w:ascii="Arial" w:hAnsi="Arial"/>
          <w:i/>
          <w:iCs/>
        </w:rPr>
        <w:t> </w:t>
      </w:r>
      <w:r w:rsidR="00842EE6" w:rsidRPr="0066296F">
        <w:rPr>
          <w:i/>
          <w:iCs/>
        </w:rPr>
        <w:t>$200</w:t>
      </w:r>
      <w:r w:rsidR="00842EE6" w:rsidRPr="0066296F">
        <w:rPr>
          <w:rFonts w:ascii="Arial" w:hAnsi="Arial"/>
          <w:i/>
          <w:iCs/>
        </w:rPr>
        <w:t> </w:t>
      </w:r>
      <w:r w:rsidR="00842EE6" w:rsidRPr="0066296F">
        <w:rPr>
          <w:i/>
          <w:iCs/>
        </w:rPr>
        <w:t>million</w:t>
      </w:r>
    </w:p>
    <w:p w14:paraId="56A0C026" w14:textId="223C51E4" w:rsidR="00091D2A" w:rsidRPr="0066296F" w:rsidRDefault="00DC43D2" w:rsidP="00877E57">
      <w:pPr>
        <w:pStyle w:val="FooterTableFigure"/>
        <w:keepLines/>
        <w:rPr>
          <w:i/>
          <w:iCs/>
        </w:rPr>
      </w:pPr>
      <w:r w:rsidRPr="0066296F">
        <w:rPr>
          <w:i/>
          <w:iCs/>
          <w:vertAlign w:val="superscript"/>
        </w:rPr>
        <w:t>11</w:t>
      </w:r>
      <w:r w:rsidR="00E37A37" w:rsidRPr="0066296F">
        <w:rPr>
          <w:i/>
          <w:iCs/>
        </w:rPr>
        <w:t> </w:t>
      </w:r>
      <w:r w:rsidRPr="0066296F">
        <w:rPr>
          <w:i/>
          <w:iCs/>
        </w:rPr>
        <w:t>$90</w:t>
      </w:r>
      <w:r w:rsidRPr="0066296F">
        <w:rPr>
          <w:rFonts w:ascii="Arial" w:hAnsi="Arial"/>
          <w:i/>
          <w:iCs/>
        </w:rPr>
        <w:t> </w:t>
      </w:r>
      <w:r w:rsidRPr="0066296F">
        <w:rPr>
          <w:i/>
          <w:iCs/>
        </w:rPr>
        <w:t>million</w:t>
      </w:r>
      <w:r w:rsidRPr="0066296F">
        <w:rPr>
          <w:rFonts w:ascii="Arial" w:hAnsi="Arial"/>
          <w:i/>
          <w:iCs/>
        </w:rPr>
        <w:t> </w:t>
      </w:r>
      <w:r w:rsidRPr="0066296F">
        <w:rPr>
          <w:i/>
          <w:iCs/>
        </w:rPr>
        <w:t>to</w:t>
      </w:r>
      <w:r w:rsidRPr="0066296F">
        <w:rPr>
          <w:rFonts w:ascii="Arial" w:hAnsi="Arial"/>
          <w:i/>
          <w:iCs/>
        </w:rPr>
        <w:t> </w:t>
      </w:r>
      <w:r w:rsidRPr="0066296F">
        <w:rPr>
          <w:i/>
          <w:iCs/>
        </w:rPr>
        <w:t>&lt;</w:t>
      </w:r>
      <w:r w:rsidRPr="0066296F">
        <w:rPr>
          <w:rFonts w:ascii="Arial" w:hAnsi="Arial"/>
          <w:i/>
          <w:iCs/>
        </w:rPr>
        <w:t> </w:t>
      </w:r>
      <w:r w:rsidRPr="0066296F">
        <w:rPr>
          <w:i/>
          <w:iCs/>
        </w:rPr>
        <w:t>$100</w:t>
      </w:r>
      <w:r w:rsidRPr="0066296F">
        <w:rPr>
          <w:rFonts w:ascii="Arial" w:hAnsi="Arial"/>
          <w:i/>
          <w:iCs/>
        </w:rPr>
        <w:t> </w:t>
      </w:r>
      <w:r w:rsidRPr="0066296F">
        <w:rPr>
          <w:i/>
          <w:iCs/>
        </w:rPr>
        <w:t>million</w:t>
      </w:r>
    </w:p>
    <w:p w14:paraId="6FF84AE4" w14:textId="14A0F77E" w:rsidR="00091D2A" w:rsidRPr="00552B0C" w:rsidRDefault="00091D2A" w:rsidP="00552B0C">
      <w:pPr>
        <w:pStyle w:val="3-BodyText"/>
        <w:numPr>
          <w:ilvl w:val="1"/>
          <w:numId w:val="5"/>
        </w:numPr>
      </w:pPr>
      <w:r w:rsidRPr="00552B0C">
        <w:t xml:space="preserve">The net cost to the Australian Government health budget of listing nal-IRI was estimated to be </w:t>
      </w:r>
      <w:r w:rsidR="00DC43D2" w:rsidRPr="00541F02">
        <w:t>$10</w:t>
      </w:r>
      <w:r w:rsidR="00DC43D2" w:rsidRPr="00541F02">
        <w:rPr>
          <w:rFonts w:ascii="Arial" w:hAnsi="Arial"/>
        </w:rPr>
        <w:t> </w:t>
      </w:r>
      <w:r w:rsidR="00DC43D2" w:rsidRPr="00541F02">
        <w:t>million</w:t>
      </w:r>
      <w:r w:rsidR="00DC43D2" w:rsidRPr="00541F02">
        <w:rPr>
          <w:rFonts w:ascii="Arial" w:hAnsi="Arial"/>
        </w:rPr>
        <w:t> </w:t>
      </w:r>
      <w:r w:rsidR="00DC43D2" w:rsidRPr="00541F02">
        <w:t>to</w:t>
      </w:r>
      <w:r w:rsidR="00DC43D2" w:rsidRPr="00541F02">
        <w:rPr>
          <w:rFonts w:ascii="Arial" w:hAnsi="Arial"/>
        </w:rPr>
        <w:t> </w:t>
      </w:r>
      <w:r w:rsidR="00DC43D2" w:rsidRPr="00541F02">
        <w:t>&lt;</w:t>
      </w:r>
      <w:r w:rsidR="00DC43D2" w:rsidRPr="00541F02">
        <w:rPr>
          <w:rFonts w:ascii="Arial" w:hAnsi="Arial"/>
        </w:rPr>
        <w:t> </w:t>
      </w:r>
      <w:r w:rsidR="00DC43D2" w:rsidRPr="00541F02">
        <w:t>$20</w:t>
      </w:r>
      <w:r w:rsidR="00DC43D2" w:rsidRPr="00541F02">
        <w:rPr>
          <w:rFonts w:ascii="Arial" w:hAnsi="Arial"/>
        </w:rPr>
        <w:t> </w:t>
      </w:r>
      <w:r w:rsidR="00DC43D2" w:rsidRPr="00541F02">
        <w:t>million</w:t>
      </w:r>
      <w:r w:rsidR="00DC43D2" w:rsidRPr="00552B0C" w:rsidDel="00DC43D2">
        <w:t xml:space="preserve"> </w:t>
      </w:r>
      <w:r w:rsidRPr="00552B0C">
        <w:t xml:space="preserve">in Year 6, and a total of </w:t>
      </w:r>
      <w:r w:rsidR="00DC43D2" w:rsidRPr="00BD41B4">
        <w:t>$</w:t>
      </w:r>
      <w:r w:rsidR="00DC43D2" w:rsidRPr="00FA0DA3">
        <w:t>60</w:t>
      </w:r>
      <w:r w:rsidR="0066296F">
        <w:rPr>
          <w:rFonts w:ascii="Arial" w:hAnsi="Arial"/>
        </w:rPr>
        <w:t> </w:t>
      </w:r>
      <w:r w:rsidR="00DC43D2" w:rsidRPr="00FA0DA3">
        <w:t>million</w:t>
      </w:r>
      <w:r w:rsidR="0066296F">
        <w:rPr>
          <w:rFonts w:ascii="Arial" w:hAnsi="Arial"/>
        </w:rPr>
        <w:t> </w:t>
      </w:r>
      <w:r w:rsidR="00DC43D2" w:rsidRPr="00FA0DA3">
        <w:t>to</w:t>
      </w:r>
      <w:r w:rsidR="00DC43D2" w:rsidRPr="00FA0DA3">
        <w:rPr>
          <w:rFonts w:ascii="Arial" w:hAnsi="Arial"/>
        </w:rPr>
        <w:t> </w:t>
      </w:r>
      <w:r w:rsidR="00DC43D2" w:rsidRPr="00FA0DA3">
        <w:t>&lt;</w:t>
      </w:r>
      <w:r w:rsidR="00DC43D2" w:rsidRPr="00FA0DA3">
        <w:rPr>
          <w:rFonts w:ascii="Arial" w:hAnsi="Arial"/>
        </w:rPr>
        <w:t> </w:t>
      </w:r>
      <w:r w:rsidR="00DC43D2" w:rsidRPr="00FA0DA3">
        <w:t>$70</w:t>
      </w:r>
      <w:r w:rsidR="00DC43D2" w:rsidRPr="00FA0DA3">
        <w:rPr>
          <w:rFonts w:ascii="Arial" w:hAnsi="Arial"/>
        </w:rPr>
        <w:t> </w:t>
      </w:r>
      <w:r w:rsidR="00DC43D2" w:rsidRPr="00FA0DA3">
        <w:t>million</w:t>
      </w:r>
      <w:r w:rsidR="00DC43D2" w:rsidRPr="00552B0C" w:rsidDel="00DC43D2">
        <w:t xml:space="preserve"> </w:t>
      </w:r>
      <w:r w:rsidRPr="00552B0C">
        <w:t xml:space="preserve">in the first 6 years of listing. This compares to a total of </w:t>
      </w:r>
      <w:r w:rsidR="00DC43D2" w:rsidRPr="00DC43D2">
        <w:t>$90</w:t>
      </w:r>
      <w:r w:rsidR="001F1798">
        <w:rPr>
          <w:rFonts w:ascii="Arial" w:hAnsi="Arial"/>
        </w:rPr>
        <w:t> </w:t>
      </w:r>
      <w:r w:rsidR="00DC43D2" w:rsidRPr="00DC43D2">
        <w:t>million</w:t>
      </w:r>
      <w:r w:rsidR="00DC43D2" w:rsidRPr="00DC43D2">
        <w:rPr>
          <w:rFonts w:ascii="Arial" w:hAnsi="Arial"/>
        </w:rPr>
        <w:t> </w:t>
      </w:r>
      <w:r w:rsidR="00DC43D2" w:rsidRPr="00DC43D2">
        <w:t>to</w:t>
      </w:r>
      <w:r w:rsidR="00DC43D2" w:rsidRPr="00DC43D2">
        <w:rPr>
          <w:rFonts w:ascii="Arial" w:hAnsi="Arial"/>
        </w:rPr>
        <w:t> </w:t>
      </w:r>
      <w:r w:rsidR="00DC43D2" w:rsidRPr="00DC43D2">
        <w:t>&lt;</w:t>
      </w:r>
      <w:r w:rsidR="00DC43D2" w:rsidRPr="00DC43D2">
        <w:rPr>
          <w:rFonts w:ascii="Arial" w:hAnsi="Arial"/>
        </w:rPr>
        <w:t> </w:t>
      </w:r>
      <w:r w:rsidR="00DC43D2" w:rsidRPr="00DC43D2">
        <w:t>$100</w:t>
      </w:r>
      <w:r w:rsidR="00DC43D2" w:rsidRPr="00DC43D2">
        <w:rPr>
          <w:rFonts w:ascii="Arial" w:hAnsi="Arial"/>
        </w:rPr>
        <w:t> </w:t>
      </w:r>
      <w:r w:rsidR="00DC43D2" w:rsidRPr="00DC43D2">
        <w:t>million</w:t>
      </w:r>
      <w:r w:rsidR="0066296F">
        <w:t xml:space="preserve"> </w:t>
      </w:r>
      <w:r w:rsidRPr="00552B0C">
        <w:t xml:space="preserve">in the first 6 years of listing in the March 2024 submission. </w:t>
      </w:r>
    </w:p>
    <w:p w14:paraId="235E0BE9" w14:textId="77777777" w:rsidR="00091D2A" w:rsidRPr="00552B0C" w:rsidRDefault="00091D2A" w:rsidP="00552B0C">
      <w:pPr>
        <w:pStyle w:val="3-BodyText"/>
        <w:numPr>
          <w:ilvl w:val="1"/>
          <w:numId w:val="5"/>
        </w:numPr>
      </w:pPr>
      <w:r w:rsidRPr="00552B0C">
        <w:t>The financial estimates were likely overestimated. This was due to the market share of Gem+NabP and FOLFIRINOX being overestimated (as up to 23% of PAC patients may receive other first-line chemotherapy options) and uncertainty around the extent to which Gem+NabP may be substituted by NALIRIFOX in clinical practice.</w:t>
      </w:r>
    </w:p>
    <w:p w14:paraId="69FB9F84" w14:textId="5ADCD5F3" w:rsidR="00091D2A" w:rsidRPr="00552B0C" w:rsidRDefault="00091D2A" w:rsidP="00552B0C">
      <w:pPr>
        <w:pStyle w:val="3-BodyText"/>
        <w:numPr>
          <w:ilvl w:val="1"/>
          <w:numId w:val="5"/>
        </w:numPr>
        <w:rPr>
          <w:lang w:val="en-US"/>
        </w:rPr>
      </w:pPr>
      <w:r w:rsidRPr="00552B0C">
        <w:rPr>
          <w:rStyle w:val="3-BodyTextChar"/>
        </w:rPr>
        <w:lastRenderedPageBreak/>
        <w:t xml:space="preserve">Results of key sensitivity analyses undertaken during the evaluation are presented in </w:t>
      </w:r>
      <w:r w:rsidRPr="00552B0C">
        <w:rPr>
          <w:rStyle w:val="3-BodyTextChar"/>
        </w:rPr>
        <w:fldChar w:fldCharType="begin" w:fldLock="1"/>
      </w:r>
      <w:r w:rsidRPr="00552B0C">
        <w:rPr>
          <w:rStyle w:val="3-BodyTextChar"/>
        </w:rPr>
        <w:instrText xml:space="preserve"> REF _Ref176377874 \h </w:instrText>
      </w:r>
      <w:r w:rsidR="00B87FAE" w:rsidRPr="00552B0C">
        <w:rPr>
          <w:rStyle w:val="3-BodyTextChar"/>
        </w:rPr>
        <w:instrText xml:space="preserve"> \* MERGEFORMAT </w:instrText>
      </w:r>
      <w:r w:rsidRPr="00552B0C">
        <w:rPr>
          <w:rStyle w:val="3-BodyTextChar"/>
        </w:rPr>
      </w:r>
      <w:r w:rsidRPr="00552B0C">
        <w:rPr>
          <w:rStyle w:val="3-BodyTextChar"/>
        </w:rPr>
        <w:fldChar w:fldCharType="separate"/>
      </w:r>
      <w:r w:rsidR="001C19B6" w:rsidRPr="00552B0C">
        <w:t xml:space="preserve">Table </w:t>
      </w:r>
      <w:r w:rsidR="001C19B6">
        <w:rPr>
          <w:noProof/>
        </w:rPr>
        <w:t>21</w:t>
      </w:r>
      <w:r w:rsidRPr="00552B0C">
        <w:rPr>
          <w:rStyle w:val="3-BodyTextChar"/>
        </w:rPr>
        <w:fldChar w:fldCharType="end"/>
      </w:r>
      <w:r w:rsidRPr="00552B0C">
        <w:rPr>
          <w:rStyle w:val="3-BodyTextChar"/>
        </w:rPr>
        <w:t>.</w:t>
      </w:r>
    </w:p>
    <w:p w14:paraId="75237BCB" w14:textId="3FB9D988" w:rsidR="00091D2A" w:rsidRPr="00552B0C" w:rsidRDefault="00091D2A" w:rsidP="00091D2A">
      <w:pPr>
        <w:pStyle w:val="Caption"/>
        <w:rPr>
          <w:lang w:val="en-US"/>
        </w:rPr>
      </w:pPr>
      <w:bookmarkStart w:id="96" w:name="_Ref176377874"/>
      <w:r w:rsidRPr="00552B0C">
        <w:t xml:space="preserve">Table </w:t>
      </w:r>
      <w:r w:rsidR="001C19B6">
        <w:fldChar w:fldCharType="begin" w:fldLock="1"/>
      </w:r>
      <w:r w:rsidR="001C19B6">
        <w:instrText xml:space="preserve"> SEQ Table \* ARABIC </w:instrText>
      </w:r>
      <w:r w:rsidR="001C19B6">
        <w:fldChar w:fldCharType="separate"/>
      </w:r>
      <w:r w:rsidR="001C19B6">
        <w:rPr>
          <w:noProof/>
        </w:rPr>
        <w:t>21</w:t>
      </w:r>
      <w:r w:rsidR="001C19B6">
        <w:rPr>
          <w:noProof/>
        </w:rPr>
        <w:fldChar w:fldCharType="end"/>
      </w:r>
      <w:bookmarkEnd w:id="96"/>
      <w:r w:rsidRPr="00552B0C">
        <w:rPr>
          <w:lang w:val="en-US"/>
        </w:rPr>
        <w:t>: Results of sensitivity analyses for financial estimates conducted during the evaluation</w:t>
      </w:r>
    </w:p>
    <w:tbl>
      <w:tblPr>
        <w:tblStyle w:val="TableGrid"/>
        <w:tblW w:w="5000" w:type="pct"/>
        <w:jc w:val="center"/>
        <w:tblLayout w:type="fixed"/>
        <w:tblCellMar>
          <w:left w:w="57" w:type="dxa"/>
          <w:right w:w="57" w:type="dxa"/>
        </w:tblCellMar>
        <w:tblLook w:val="04A0" w:firstRow="1" w:lastRow="0" w:firstColumn="1" w:lastColumn="0" w:noHBand="0" w:noVBand="1"/>
        <w:tblCaption w:val="Table 21: Results of sensitivity analyses for financial estimates conducted during the evaluation"/>
      </w:tblPr>
      <w:tblGrid>
        <w:gridCol w:w="2124"/>
        <w:gridCol w:w="853"/>
        <w:gridCol w:w="851"/>
        <w:gridCol w:w="849"/>
        <w:gridCol w:w="851"/>
        <w:gridCol w:w="849"/>
        <w:gridCol w:w="851"/>
        <w:gridCol w:w="994"/>
        <w:gridCol w:w="795"/>
      </w:tblGrid>
      <w:tr w:rsidR="006B4C5C" w:rsidRPr="00687B1C" w14:paraId="5C5CA2B4" w14:textId="77777777" w:rsidTr="006B4C5C">
        <w:trPr>
          <w:trHeight w:val="20"/>
          <w:tblHeader/>
          <w:jc w:val="center"/>
        </w:trPr>
        <w:tc>
          <w:tcPr>
            <w:tcW w:w="1177" w:type="pct"/>
            <w:shd w:val="clear" w:color="auto" w:fill="auto"/>
            <w:vAlign w:val="center"/>
          </w:tcPr>
          <w:p w14:paraId="6D5109B6" w14:textId="77777777" w:rsidR="00091D2A" w:rsidRPr="00687B1C" w:rsidRDefault="00091D2A" w:rsidP="00687B1C">
            <w:pPr>
              <w:pStyle w:val="PBACTabletext"/>
              <w:keepNext w:val="0"/>
              <w:spacing w:after="0"/>
              <w:jc w:val="center"/>
              <w:rPr>
                <w:b/>
                <w:bCs/>
                <w:szCs w:val="20"/>
              </w:rPr>
            </w:pPr>
          </w:p>
        </w:tc>
        <w:tc>
          <w:tcPr>
            <w:tcW w:w="473" w:type="pct"/>
            <w:shd w:val="clear" w:color="auto" w:fill="auto"/>
            <w:vAlign w:val="center"/>
          </w:tcPr>
          <w:p w14:paraId="58EE8BC5" w14:textId="77777777" w:rsidR="00091D2A" w:rsidRPr="00687B1C" w:rsidRDefault="00091D2A" w:rsidP="00687B1C">
            <w:pPr>
              <w:pStyle w:val="PBACTabletext"/>
              <w:keepNext w:val="0"/>
              <w:spacing w:after="0"/>
              <w:jc w:val="center"/>
              <w:rPr>
                <w:b/>
                <w:bCs/>
                <w:szCs w:val="20"/>
              </w:rPr>
            </w:pPr>
            <w:r w:rsidRPr="00687B1C">
              <w:rPr>
                <w:b/>
                <w:bCs/>
                <w:szCs w:val="20"/>
              </w:rPr>
              <w:t>Year 1 (2025)</w:t>
            </w:r>
          </w:p>
        </w:tc>
        <w:tc>
          <w:tcPr>
            <w:tcW w:w="472" w:type="pct"/>
            <w:shd w:val="clear" w:color="auto" w:fill="auto"/>
            <w:vAlign w:val="center"/>
          </w:tcPr>
          <w:p w14:paraId="5274D9C2" w14:textId="77777777" w:rsidR="00091D2A" w:rsidRPr="00687B1C" w:rsidRDefault="00091D2A" w:rsidP="00687B1C">
            <w:pPr>
              <w:pStyle w:val="PBACTabletext"/>
              <w:keepNext w:val="0"/>
              <w:spacing w:after="0"/>
              <w:jc w:val="center"/>
              <w:rPr>
                <w:b/>
                <w:bCs/>
                <w:szCs w:val="20"/>
              </w:rPr>
            </w:pPr>
            <w:r w:rsidRPr="00687B1C">
              <w:rPr>
                <w:b/>
                <w:bCs/>
                <w:szCs w:val="20"/>
              </w:rPr>
              <w:t>Year 2 (2026)</w:t>
            </w:r>
          </w:p>
        </w:tc>
        <w:tc>
          <w:tcPr>
            <w:tcW w:w="471" w:type="pct"/>
            <w:shd w:val="clear" w:color="auto" w:fill="auto"/>
            <w:vAlign w:val="center"/>
          </w:tcPr>
          <w:p w14:paraId="67D2D578" w14:textId="77777777" w:rsidR="00091D2A" w:rsidRPr="00687B1C" w:rsidRDefault="00091D2A" w:rsidP="00687B1C">
            <w:pPr>
              <w:pStyle w:val="PBACTabletext"/>
              <w:keepNext w:val="0"/>
              <w:spacing w:after="0"/>
              <w:jc w:val="center"/>
              <w:rPr>
                <w:b/>
                <w:bCs/>
                <w:szCs w:val="20"/>
              </w:rPr>
            </w:pPr>
            <w:r w:rsidRPr="00687B1C">
              <w:rPr>
                <w:b/>
                <w:bCs/>
                <w:szCs w:val="20"/>
              </w:rPr>
              <w:t>Year 3 (2027)</w:t>
            </w:r>
          </w:p>
        </w:tc>
        <w:tc>
          <w:tcPr>
            <w:tcW w:w="472" w:type="pct"/>
            <w:shd w:val="clear" w:color="auto" w:fill="auto"/>
            <w:vAlign w:val="center"/>
          </w:tcPr>
          <w:p w14:paraId="1E544F50" w14:textId="77777777" w:rsidR="00091D2A" w:rsidRPr="00687B1C" w:rsidRDefault="00091D2A" w:rsidP="00687B1C">
            <w:pPr>
              <w:pStyle w:val="PBACTabletext"/>
              <w:keepNext w:val="0"/>
              <w:spacing w:after="0"/>
              <w:jc w:val="center"/>
              <w:rPr>
                <w:b/>
                <w:bCs/>
                <w:szCs w:val="20"/>
              </w:rPr>
            </w:pPr>
            <w:r w:rsidRPr="00687B1C">
              <w:rPr>
                <w:b/>
                <w:bCs/>
                <w:szCs w:val="20"/>
              </w:rPr>
              <w:t>Year 4 (2028)</w:t>
            </w:r>
          </w:p>
        </w:tc>
        <w:tc>
          <w:tcPr>
            <w:tcW w:w="471" w:type="pct"/>
            <w:shd w:val="clear" w:color="auto" w:fill="auto"/>
            <w:vAlign w:val="center"/>
          </w:tcPr>
          <w:p w14:paraId="23736710" w14:textId="77777777" w:rsidR="00091D2A" w:rsidRPr="00687B1C" w:rsidRDefault="00091D2A" w:rsidP="00687B1C">
            <w:pPr>
              <w:pStyle w:val="PBACTabletext"/>
              <w:keepNext w:val="0"/>
              <w:spacing w:after="0"/>
              <w:jc w:val="center"/>
              <w:rPr>
                <w:b/>
                <w:bCs/>
                <w:szCs w:val="20"/>
              </w:rPr>
            </w:pPr>
            <w:r w:rsidRPr="00687B1C">
              <w:rPr>
                <w:b/>
                <w:bCs/>
                <w:szCs w:val="20"/>
              </w:rPr>
              <w:t>Year 5 (2029)</w:t>
            </w:r>
          </w:p>
        </w:tc>
        <w:tc>
          <w:tcPr>
            <w:tcW w:w="472" w:type="pct"/>
            <w:shd w:val="clear" w:color="auto" w:fill="auto"/>
            <w:vAlign w:val="center"/>
          </w:tcPr>
          <w:p w14:paraId="1D4590BB" w14:textId="77777777" w:rsidR="00091D2A" w:rsidRPr="00687B1C" w:rsidRDefault="00091D2A" w:rsidP="00687B1C">
            <w:pPr>
              <w:pStyle w:val="PBACTabletext"/>
              <w:keepNext w:val="0"/>
              <w:spacing w:after="0"/>
              <w:jc w:val="center"/>
              <w:rPr>
                <w:b/>
                <w:bCs/>
                <w:szCs w:val="20"/>
              </w:rPr>
            </w:pPr>
            <w:r w:rsidRPr="00687B1C">
              <w:rPr>
                <w:b/>
                <w:bCs/>
                <w:szCs w:val="20"/>
              </w:rPr>
              <w:t>Year 6 (2030)</w:t>
            </w:r>
          </w:p>
        </w:tc>
        <w:tc>
          <w:tcPr>
            <w:tcW w:w="551" w:type="pct"/>
            <w:vAlign w:val="center"/>
          </w:tcPr>
          <w:p w14:paraId="10CE0717" w14:textId="77777777" w:rsidR="00091D2A" w:rsidRPr="00687B1C" w:rsidRDefault="00091D2A" w:rsidP="00687B1C">
            <w:pPr>
              <w:pStyle w:val="PBACTabletext"/>
              <w:keepNext w:val="0"/>
              <w:spacing w:after="0"/>
              <w:jc w:val="center"/>
              <w:rPr>
                <w:b/>
                <w:bCs/>
                <w:szCs w:val="20"/>
              </w:rPr>
            </w:pPr>
            <w:r w:rsidRPr="00687B1C">
              <w:rPr>
                <w:b/>
                <w:bCs/>
                <w:szCs w:val="20"/>
              </w:rPr>
              <w:t>Total over 6 years</w:t>
            </w:r>
          </w:p>
        </w:tc>
        <w:tc>
          <w:tcPr>
            <w:tcW w:w="442" w:type="pct"/>
            <w:shd w:val="clear" w:color="auto" w:fill="auto"/>
            <w:vAlign w:val="center"/>
          </w:tcPr>
          <w:p w14:paraId="4AF2B6D3" w14:textId="225BD906" w:rsidR="00091D2A" w:rsidRPr="00687B1C" w:rsidRDefault="00091D2A" w:rsidP="00687B1C">
            <w:pPr>
              <w:pStyle w:val="PBACTabletext"/>
              <w:keepNext w:val="0"/>
              <w:spacing w:after="0"/>
              <w:jc w:val="center"/>
              <w:rPr>
                <w:b/>
                <w:bCs/>
                <w:szCs w:val="20"/>
              </w:rPr>
            </w:pPr>
            <w:r w:rsidRPr="00687B1C">
              <w:rPr>
                <w:b/>
                <w:bCs/>
                <w:szCs w:val="20"/>
              </w:rPr>
              <w:t>% change</w:t>
            </w:r>
          </w:p>
        </w:tc>
      </w:tr>
      <w:tr w:rsidR="006B4C5C" w:rsidRPr="00687B1C" w14:paraId="674F9446" w14:textId="77777777" w:rsidTr="006B4C5C">
        <w:trPr>
          <w:trHeight w:val="20"/>
          <w:jc w:val="center"/>
        </w:trPr>
        <w:tc>
          <w:tcPr>
            <w:tcW w:w="1177" w:type="pct"/>
            <w:shd w:val="clear" w:color="auto" w:fill="auto"/>
            <w:vAlign w:val="center"/>
          </w:tcPr>
          <w:p w14:paraId="68DABC5D" w14:textId="77777777" w:rsidR="00091D2A" w:rsidRPr="00687B1C" w:rsidRDefault="00091D2A" w:rsidP="00687B1C">
            <w:pPr>
              <w:pStyle w:val="PBACTabletext"/>
              <w:keepNext w:val="0"/>
              <w:spacing w:after="0"/>
              <w:rPr>
                <w:b/>
                <w:bCs/>
                <w:szCs w:val="20"/>
              </w:rPr>
            </w:pPr>
            <w:r w:rsidRPr="00687B1C">
              <w:rPr>
                <w:b/>
                <w:bCs/>
                <w:szCs w:val="20"/>
              </w:rPr>
              <w:t xml:space="preserve">Net cost health system </w:t>
            </w:r>
          </w:p>
          <w:p w14:paraId="2A7927FC" w14:textId="77777777" w:rsidR="00091D2A" w:rsidRPr="00687B1C" w:rsidRDefault="00091D2A" w:rsidP="00687B1C">
            <w:pPr>
              <w:pStyle w:val="PBACTabletext"/>
              <w:keepNext w:val="0"/>
              <w:spacing w:after="0"/>
              <w:rPr>
                <w:b/>
                <w:bCs/>
                <w:szCs w:val="20"/>
                <w:vertAlign w:val="superscript"/>
              </w:rPr>
            </w:pPr>
            <w:r w:rsidRPr="00687B1C">
              <w:rPr>
                <w:b/>
                <w:bCs/>
                <w:szCs w:val="20"/>
              </w:rPr>
              <w:t xml:space="preserve">(base case) </w:t>
            </w:r>
          </w:p>
        </w:tc>
        <w:tc>
          <w:tcPr>
            <w:tcW w:w="473" w:type="pct"/>
            <w:shd w:val="clear" w:color="auto" w:fill="auto"/>
            <w:vAlign w:val="center"/>
          </w:tcPr>
          <w:p w14:paraId="04FFAD1E" w14:textId="4CD17C0A" w:rsidR="00091D2A" w:rsidRPr="00687B1C" w:rsidRDefault="00091D2A" w:rsidP="00687B1C">
            <w:pPr>
              <w:pStyle w:val="PBACTabletext"/>
              <w:keepNext w:val="0"/>
              <w:spacing w:after="0"/>
              <w:jc w:val="center"/>
              <w:rPr>
                <w:b/>
                <w:szCs w:val="20"/>
                <w:vertAlign w:val="superscript"/>
              </w:rPr>
            </w:pPr>
            <w:r w:rsidRPr="00687B1C">
              <w:rPr>
                <w:b/>
                <w:szCs w:val="20"/>
              </w:rPr>
              <w:t>$</w:t>
            </w:r>
            <w:r w:rsidR="005F3BC8" w:rsidRPr="005F3BC8">
              <w:rPr>
                <w:b/>
                <w:color w:val="000000"/>
                <w:spacing w:val="39"/>
                <w:szCs w:val="20"/>
                <w:shd w:val="solid" w:color="000000" w:fill="000000"/>
                <w:fitText w:val="301" w:id="-760997887"/>
                <w14:textFill>
                  <w14:solidFill>
                    <w14:srgbClr w14:val="000000">
                      <w14:alpha w14:val="100000"/>
                    </w14:srgbClr>
                  </w14:solidFill>
                </w14:textFill>
              </w:rPr>
              <w:t>|||</w:t>
            </w:r>
            <w:r w:rsidR="005F3BC8" w:rsidRPr="005F3BC8">
              <w:rPr>
                <w:b/>
                <w:color w:val="000000"/>
                <w:spacing w:val="1"/>
                <w:szCs w:val="20"/>
                <w:shd w:val="solid" w:color="000000" w:fill="000000"/>
                <w:fitText w:val="301" w:id="-760997887"/>
                <w14:textFill>
                  <w14:solidFill>
                    <w14:srgbClr w14:val="000000">
                      <w14:alpha w14:val="100000"/>
                    </w14:srgbClr>
                  </w14:solidFill>
                </w14:textFill>
              </w:rPr>
              <w:t>|</w:t>
            </w:r>
            <w:r w:rsidR="00F07B8A" w:rsidRPr="00687B1C">
              <w:rPr>
                <w:b/>
                <w:szCs w:val="20"/>
                <w:vertAlign w:val="superscript"/>
              </w:rPr>
              <w:t>1</w:t>
            </w:r>
          </w:p>
        </w:tc>
        <w:tc>
          <w:tcPr>
            <w:tcW w:w="472" w:type="pct"/>
            <w:shd w:val="clear" w:color="auto" w:fill="auto"/>
            <w:vAlign w:val="center"/>
          </w:tcPr>
          <w:p w14:paraId="5FA0FEB6" w14:textId="46149E59" w:rsidR="00091D2A" w:rsidRPr="00687B1C" w:rsidRDefault="00091D2A" w:rsidP="00687B1C">
            <w:pPr>
              <w:pStyle w:val="PBACTabletext"/>
              <w:keepNext w:val="0"/>
              <w:spacing w:after="0"/>
              <w:jc w:val="center"/>
              <w:rPr>
                <w:b/>
                <w:szCs w:val="20"/>
                <w:vertAlign w:val="superscript"/>
              </w:rPr>
            </w:pPr>
            <w:r w:rsidRPr="00687B1C">
              <w:rPr>
                <w:b/>
                <w:szCs w:val="20"/>
              </w:rPr>
              <w:t>$</w:t>
            </w:r>
            <w:r w:rsidR="005F3BC8" w:rsidRPr="005F3BC8">
              <w:rPr>
                <w:b/>
                <w:color w:val="000000"/>
                <w:spacing w:val="49"/>
                <w:szCs w:val="20"/>
                <w:shd w:val="solid" w:color="000000" w:fill="000000"/>
                <w:fitText w:val="237" w:id="-760997886"/>
                <w14:textFill>
                  <w14:solidFill>
                    <w14:srgbClr w14:val="000000">
                      <w14:alpha w14:val="100000"/>
                    </w14:srgbClr>
                  </w14:solidFill>
                </w14:textFill>
              </w:rPr>
              <w:t>||</w:t>
            </w:r>
            <w:r w:rsidR="005F3BC8" w:rsidRPr="005F3BC8">
              <w:rPr>
                <w:b/>
                <w:color w:val="000000"/>
                <w:spacing w:val="2"/>
                <w:szCs w:val="20"/>
                <w:shd w:val="solid" w:color="000000" w:fill="000000"/>
                <w:fitText w:val="237" w:id="-760997886"/>
                <w14:textFill>
                  <w14:solidFill>
                    <w14:srgbClr w14:val="000000">
                      <w14:alpha w14:val="100000"/>
                    </w14:srgbClr>
                  </w14:solidFill>
                </w14:textFill>
              </w:rPr>
              <w:t>|</w:t>
            </w:r>
            <w:r w:rsidR="00497236" w:rsidRPr="00687B1C">
              <w:rPr>
                <w:b/>
                <w:szCs w:val="20"/>
                <w:vertAlign w:val="superscript"/>
              </w:rPr>
              <w:t>2</w:t>
            </w:r>
          </w:p>
        </w:tc>
        <w:tc>
          <w:tcPr>
            <w:tcW w:w="471" w:type="pct"/>
            <w:shd w:val="clear" w:color="auto" w:fill="auto"/>
            <w:vAlign w:val="center"/>
          </w:tcPr>
          <w:p w14:paraId="3E586967" w14:textId="169AACFD" w:rsidR="00091D2A" w:rsidRPr="00687B1C" w:rsidRDefault="00091D2A" w:rsidP="00687B1C">
            <w:pPr>
              <w:pStyle w:val="PBACTabletext"/>
              <w:keepNext w:val="0"/>
              <w:spacing w:after="0"/>
              <w:jc w:val="center"/>
              <w:rPr>
                <w:b/>
                <w:szCs w:val="20"/>
                <w:vertAlign w:val="superscript"/>
              </w:rPr>
            </w:pPr>
            <w:r w:rsidRPr="00687B1C">
              <w:rPr>
                <w:b/>
                <w:szCs w:val="20"/>
              </w:rPr>
              <w:t>$</w:t>
            </w:r>
            <w:r w:rsidR="005F3BC8" w:rsidRPr="005F3BC8">
              <w:rPr>
                <w:b/>
                <w:color w:val="000000"/>
                <w:spacing w:val="43"/>
                <w:szCs w:val="20"/>
                <w:shd w:val="solid" w:color="000000" w:fill="000000"/>
                <w:fitText w:val="225" w:id="-760997885"/>
                <w14:textFill>
                  <w14:solidFill>
                    <w14:srgbClr w14:val="000000">
                      <w14:alpha w14:val="100000"/>
                    </w14:srgbClr>
                  </w14:solidFill>
                </w14:textFill>
              </w:rPr>
              <w:t>||</w:t>
            </w:r>
            <w:r w:rsidR="005F3BC8" w:rsidRPr="005F3BC8">
              <w:rPr>
                <w:b/>
                <w:color w:val="000000"/>
                <w:spacing w:val="2"/>
                <w:szCs w:val="20"/>
                <w:shd w:val="solid" w:color="000000" w:fill="000000"/>
                <w:fitText w:val="225" w:id="-760997885"/>
                <w14:textFill>
                  <w14:solidFill>
                    <w14:srgbClr w14:val="000000">
                      <w14:alpha w14:val="100000"/>
                    </w14:srgbClr>
                  </w14:solidFill>
                </w14:textFill>
              </w:rPr>
              <w:t>|</w:t>
            </w:r>
            <w:r w:rsidR="00497236" w:rsidRPr="00687B1C">
              <w:rPr>
                <w:b/>
                <w:szCs w:val="20"/>
                <w:vertAlign w:val="superscript"/>
              </w:rPr>
              <w:t>2</w:t>
            </w:r>
          </w:p>
        </w:tc>
        <w:tc>
          <w:tcPr>
            <w:tcW w:w="472" w:type="pct"/>
            <w:shd w:val="clear" w:color="auto" w:fill="auto"/>
            <w:vAlign w:val="center"/>
          </w:tcPr>
          <w:p w14:paraId="60D073BA" w14:textId="14B1350D" w:rsidR="00091D2A" w:rsidRPr="00687B1C" w:rsidRDefault="00091D2A" w:rsidP="00687B1C">
            <w:pPr>
              <w:pStyle w:val="PBACTabletext"/>
              <w:keepNext w:val="0"/>
              <w:spacing w:after="0"/>
              <w:jc w:val="center"/>
              <w:rPr>
                <w:b/>
                <w:szCs w:val="20"/>
              </w:rPr>
            </w:pPr>
            <w:r w:rsidRPr="00687B1C">
              <w:rPr>
                <w:b/>
                <w:szCs w:val="20"/>
              </w:rPr>
              <w:t>$</w:t>
            </w:r>
            <w:r w:rsidR="005F3BC8" w:rsidRPr="005F3BC8">
              <w:rPr>
                <w:b/>
                <w:color w:val="000000"/>
                <w:spacing w:val="44"/>
                <w:szCs w:val="20"/>
                <w:shd w:val="solid" w:color="000000" w:fill="000000"/>
                <w:fitText w:val="226" w:id="-760997884"/>
                <w14:textFill>
                  <w14:solidFill>
                    <w14:srgbClr w14:val="000000">
                      <w14:alpha w14:val="100000"/>
                    </w14:srgbClr>
                  </w14:solidFill>
                </w14:textFill>
              </w:rPr>
              <w:t>||</w:t>
            </w:r>
            <w:r w:rsidR="005F3BC8" w:rsidRPr="005F3BC8">
              <w:rPr>
                <w:b/>
                <w:color w:val="000000"/>
                <w:spacing w:val="1"/>
                <w:szCs w:val="20"/>
                <w:shd w:val="solid" w:color="000000" w:fill="000000"/>
                <w:fitText w:val="226" w:id="-760997884"/>
                <w14:textFill>
                  <w14:solidFill>
                    <w14:srgbClr w14:val="000000">
                      <w14:alpha w14:val="100000"/>
                    </w14:srgbClr>
                  </w14:solidFill>
                </w14:textFill>
              </w:rPr>
              <w:t>|</w:t>
            </w:r>
            <w:r w:rsidR="00497236" w:rsidRPr="00687B1C">
              <w:rPr>
                <w:b/>
                <w:szCs w:val="20"/>
                <w:vertAlign w:val="superscript"/>
              </w:rPr>
              <w:t>2</w:t>
            </w:r>
          </w:p>
        </w:tc>
        <w:tc>
          <w:tcPr>
            <w:tcW w:w="471" w:type="pct"/>
            <w:shd w:val="clear" w:color="auto" w:fill="auto"/>
            <w:vAlign w:val="center"/>
          </w:tcPr>
          <w:p w14:paraId="37F48235" w14:textId="793DA0A9" w:rsidR="00091D2A" w:rsidRPr="00687B1C" w:rsidRDefault="00091D2A" w:rsidP="00687B1C">
            <w:pPr>
              <w:pStyle w:val="PBACTabletext"/>
              <w:keepNext w:val="0"/>
              <w:spacing w:after="0"/>
              <w:jc w:val="center"/>
              <w:rPr>
                <w:b/>
                <w:szCs w:val="20"/>
              </w:rPr>
            </w:pPr>
            <w:r w:rsidRPr="00687B1C">
              <w:rPr>
                <w:b/>
                <w:szCs w:val="20"/>
              </w:rPr>
              <w:t>$</w:t>
            </w:r>
            <w:r w:rsidR="005F3BC8" w:rsidRPr="005F3BC8">
              <w:rPr>
                <w:b/>
                <w:color w:val="000000"/>
                <w:spacing w:val="49"/>
                <w:szCs w:val="20"/>
                <w:shd w:val="solid" w:color="000000" w:fill="000000"/>
                <w:fitText w:val="236" w:id="-760997883"/>
                <w14:textFill>
                  <w14:solidFill>
                    <w14:srgbClr w14:val="000000">
                      <w14:alpha w14:val="100000"/>
                    </w14:srgbClr>
                  </w14:solidFill>
                </w14:textFill>
              </w:rPr>
              <w:t>||</w:t>
            </w:r>
            <w:r w:rsidR="005F3BC8" w:rsidRPr="005F3BC8">
              <w:rPr>
                <w:b/>
                <w:color w:val="000000"/>
                <w:spacing w:val="1"/>
                <w:szCs w:val="20"/>
                <w:shd w:val="solid" w:color="000000" w:fill="000000"/>
                <w:fitText w:val="236" w:id="-760997883"/>
                <w14:textFill>
                  <w14:solidFill>
                    <w14:srgbClr w14:val="000000">
                      <w14:alpha w14:val="100000"/>
                    </w14:srgbClr>
                  </w14:solidFill>
                </w14:textFill>
              </w:rPr>
              <w:t>|</w:t>
            </w:r>
            <w:r w:rsidR="00497236" w:rsidRPr="00687B1C">
              <w:rPr>
                <w:b/>
                <w:szCs w:val="20"/>
                <w:vertAlign w:val="superscript"/>
              </w:rPr>
              <w:t>2</w:t>
            </w:r>
          </w:p>
        </w:tc>
        <w:tc>
          <w:tcPr>
            <w:tcW w:w="472" w:type="pct"/>
            <w:shd w:val="clear" w:color="auto" w:fill="auto"/>
            <w:vAlign w:val="center"/>
          </w:tcPr>
          <w:p w14:paraId="3A340AB7" w14:textId="67B0073C" w:rsidR="00091D2A" w:rsidRPr="00687B1C" w:rsidRDefault="00091D2A" w:rsidP="00687B1C">
            <w:pPr>
              <w:pStyle w:val="PBACTabletext"/>
              <w:keepNext w:val="0"/>
              <w:spacing w:after="0"/>
              <w:jc w:val="center"/>
              <w:rPr>
                <w:b/>
                <w:szCs w:val="20"/>
              </w:rPr>
            </w:pPr>
            <w:r w:rsidRPr="00687B1C">
              <w:rPr>
                <w:b/>
                <w:szCs w:val="20"/>
              </w:rPr>
              <w:t>$</w:t>
            </w:r>
            <w:r w:rsidR="005F3BC8" w:rsidRPr="005F3BC8">
              <w:rPr>
                <w:b/>
                <w:color w:val="000000"/>
                <w:spacing w:val="44"/>
                <w:szCs w:val="20"/>
                <w:shd w:val="solid" w:color="000000" w:fill="000000"/>
                <w:fitText w:val="226" w:id="-760997882"/>
                <w14:textFill>
                  <w14:solidFill>
                    <w14:srgbClr w14:val="000000">
                      <w14:alpha w14:val="100000"/>
                    </w14:srgbClr>
                  </w14:solidFill>
                </w14:textFill>
              </w:rPr>
              <w:t>||</w:t>
            </w:r>
            <w:r w:rsidR="005F3BC8" w:rsidRPr="005F3BC8">
              <w:rPr>
                <w:b/>
                <w:color w:val="000000"/>
                <w:spacing w:val="1"/>
                <w:szCs w:val="20"/>
                <w:shd w:val="solid" w:color="000000" w:fill="000000"/>
                <w:fitText w:val="226" w:id="-760997882"/>
                <w14:textFill>
                  <w14:solidFill>
                    <w14:srgbClr w14:val="000000">
                      <w14:alpha w14:val="100000"/>
                    </w14:srgbClr>
                  </w14:solidFill>
                </w14:textFill>
              </w:rPr>
              <w:t>|</w:t>
            </w:r>
            <w:r w:rsidR="00497236" w:rsidRPr="00687B1C">
              <w:rPr>
                <w:b/>
                <w:szCs w:val="20"/>
                <w:vertAlign w:val="superscript"/>
              </w:rPr>
              <w:t>2</w:t>
            </w:r>
          </w:p>
        </w:tc>
        <w:tc>
          <w:tcPr>
            <w:tcW w:w="551" w:type="pct"/>
            <w:vAlign w:val="center"/>
          </w:tcPr>
          <w:p w14:paraId="798BD1B0" w14:textId="5F2413C6" w:rsidR="00091D2A" w:rsidRPr="00687B1C" w:rsidRDefault="00091D2A" w:rsidP="00687B1C">
            <w:pPr>
              <w:pStyle w:val="PBACTabletext"/>
              <w:keepNext w:val="0"/>
              <w:spacing w:after="0"/>
              <w:jc w:val="center"/>
              <w:rPr>
                <w:b/>
                <w:szCs w:val="20"/>
                <w:vertAlign w:val="superscript"/>
              </w:rPr>
            </w:pPr>
            <w:r w:rsidRPr="00687B1C">
              <w:rPr>
                <w:b/>
                <w:szCs w:val="20"/>
              </w:rPr>
              <w:t>$</w:t>
            </w:r>
            <w:r w:rsidR="005F3BC8" w:rsidRPr="005F3BC8">
              <w:rPr>
                <w:b/>
                <w:color w:val="000000"/>
                <w:spacing w:val="44"/>
                <w:szCs w:val="20"/>
                <w:shd w:val="solid" w:color="000000" w:fill="000000"/>
                <w:fitText w:val="226" w:id="-760997881"/>
                <w14:textFill>
                  <w14:solidFill>
                    <w14:srgbClr w14:val="000000">
                      <w14:alpha w14:val="100000"/>
                    </w14:srgbClr>
                  </w14:solidFill>
                </w14:textFill>
              </w:rPr>
              <w:t>||</w:t>
            </w:r>
            <w:r w:rsidR="005F3BC8" w:rsidRPr="005F3BC8">
              <w:rPr>
                <w:b/>
                <w:color w:val="000000"/>
                <w:spacing w:val="1"/>
                <w:szCs w:val="20"/>
                <w:shd w:val="solid" w:color="000000" w:fill="000000"/>
                <w:fitText w:val="226" w:id="-760997881"/>
                <w14:textFill>
                  <w14:solidFill>
                    <w14:srgbClr w14:val="000000">
                      <w14:alpha w14:val="100000"/>
                    </w14:srgbClr>
                  </w14:solidFill>
                </w14:textFill>
              </w:rPr>
              <w:t>|</w:t>
            </w:r>
            <w:r w:rsidR="00910FD8" w:rsidRPr="00687B1C">
              <w:rPr>
                <w:b/>
                <w:szCs w:val="20"/>
                <w:vertAlign w:val="superscript"/>
              </w:rPr>
              <w:t>3</w:t>
            </w:r>
          </w:p>
        </w:tc>
        <w:tc>
          <w:tcPr>
            <w:tcW w:w="442" w:type="pct"/>
            <w:shd w:val="clear" w:color="auto" w:fill="auto"/>
            <w:vAlign w:val="center"/>
          </w:tcPr>
          <w:p w14:paraId="03F84A85" w14:textId="77777777" w:rsidR="00091D2A" w:rsidRPr="00687B1C" w:rsidRDefault="00091D2A" w:rsidP="00687B1C">
            <w:pPr>
              <w:pStyle w:val="PBACTabletext"/>
              <w:keepNext w:val="0"/>
              <w:spacing w:after="0"/>
              <w:jc w:val="center"/>
              <w:rPr>
                <w:b/>
                <w:bCs/>
                <w:szCs w:val="20"/>
              </w:rPr>
            </w:pPr>
            <w:r w:rsidRPr="00687B1C">
              <w:rPr>
                <w:b/>
                <w:bCs/>
                <w:szCs w:val="20"/>
              </w:rPr>
              <w:t>-</w:t>
            </w:r>
          </w:p>
        </w:tc>
      </w:tr>
      <w:tr w:rsidR="00091D2A" w:rsidRPr="00687B1C" w14:paraId="3787E635" w14:textId="77777777" w:rsidTr="00687B1C">
        <w:trPr>
          <w:trHeight w:val="20"/>
          <w:jc w:val="center"/>
        </w:trPr>
        <w:tc>
          <w:tcPr>
            <w:tcW w:w="5000" w:type="pct"/>
            <w:gridSpan w:val="9"/>
          </w:tcPr>
          <w:p w14:paraId="72F837F7" w14:textId="2F8526DF" w:rsidR="00091D2A" w:rsidRPr="00687B1C" w:rsidRDefault="00091D2A" w:rsidP="00687B1C">
            <w:pPr>
              <w:pStyle w:val="PBACTabletext"/>
              <w:keepNext w:val="0"/>
              <w:spacing w:after="0"/>
              <w:rPr>
                <w:b/>
                <w:bCs/>
                <w:szCs w:val="20"/>
              </w:rPr>
            </w:pPr>
            <w:r w:rsidRPr="00687B1C">
              <w:rPr>
                <w:b/>
                <w:bCs/>
                <w:szCs w:val="20"/>
              </w:rPr>
              <w:t xml:space="preserve">Extent of substitution of Gem+NabP by NALIRIFOX (base case: </w:t>
            </w:r>
            <w:r w:rsidR="005F3BC8" w:rsidRPr="005F3BC8">
              <w:rPr>
                <w:b/>
                <w:bCs/>
                <w:color w:val="000000"/>
                <w:spacing w:val="57"/>
                <w:szCs w:val="20"/>
                <w:shd w:val="solid" w:color="000000" w:fill="000000"/>
                <w:fitText w:val="355" w:id="-760997880"/>
                <w14:textFill>
                  <w14:solidFill>
                    <w14:srgbClr w14:val="000000">
                      <w14:alpha w14:val="100000"/>
                    </w14:srgbClr>
                  </w14:solidFill>
                </w14:textFill>
              </w:rPr>
              <w:t>|||</w:t>
            </w:r>
            <w:r w:rsidR="005F3BC8" w:rsidRPr="005F3BC8">
              <w:rPr>
                <w:b/>
                <w:bCs/>
                <w:color w:val="000000"/>
                <w:spacing w:val="1"/>
                <w:szCs w:val="20"/>
                <w:shd w:val="solid" w:color="000000" w:fill="000000"/>
                <w:fitText w:val="355" w:id="-760997880"/>
                <w14:textFill>
                  <w14:solidFill>
                    <w14:srgbClr w14:val="000000">
                      <w14:alpha w14:val="100000"/>
                    </w14:srgbClr>
                  </w14:solidFill>
                </w14:textFill>
              </w:rPr>
              <w:t>|</w:t>
            </w:r>
            <w:r w:rsidRPr="00687B1C">
              <w:rPr>
                <w:b/>
                <w:bCs/>
                <w:szCs w:val="20"/>
              </w:rPr>
              <w:t xml:space="preserve">% in Year 1, </w:t>
            </w:r>
            <w:r w:rsidR="005F3BC8" w:rsidRPr="005F3BC8">
              <w:rPr>
                <w:b/>
                <w:bCs/>
                <w:color w:val="000000"/>
                <w:spacing w:val="57"/>
                <w:szCs w:val="20"/>
                <w:shd w:val="solid" w:color="000000" w:fill="000000"/>
                <w:fitText w:val="355" w:id="-760997879"/>
                <w14:textFill>
                  <w14:solidFill>
                    <w14:srgbClr w14:val="000000">
                      <w14:alpha w14:val="100000"/>
                    </w14:srgbClr>
                  </w14:solidFill>
                </w14:textFill>
              </w:rPr>
              <w:t>|||</w:t>
            </w:r>
            <w:r w:rsidR="005F3BC8" w:rsidRPr="005F3BC8">
              <w:rPr>
                <w:b/>
                <w:bCs/>
                <w:color w:val="000000"/>
                <w:spacing w:val="1"/>
                <w:szCs w:val="20"/>
                <w:shd w:val="solid" w:color="000000" w:fill="000000"/>
                <w:fitText w:val="355" w:id="-760997879"/>
                <w14:textFill>
                  <w14:solidFill>
                    <w14:srgbClr w14:val="000000">
                      <w14:alpha w14:val="100000"/>
                    </w14:srgbClr>
                  </w14:solidFill>
                </w14:textFill>
              </w:rPr>
              <w:t>|</w:t>
            </w:r>
            <w:r w:rsidRPr="00687B1C">
              <w:rPr>
                <w:b/>
                <w:bCs/>
                <w:szCs w:val="20"/>
              </w:rPr>
              <w:t>% in Years 2-6)</w:t>
            </w:r>
          </w:p>
        </w:tc>
      </w:tr>
      <w:tr w:rsidR="006B4C5C" w:rsidRPr="00687B1C" w14:paraId="0CFAC851" w14:textId="77777777" w:rsidTr="006B4C5C">
        <w:trPr>
          <w:trHeight w:val="20"/>
          <w:jc w:val="center"/>
        </w:trPr>
        <w:tc>
          <w:tcPr>
            <w:tcW w:w="1177" w:type="pct"/>
            <w:vAlign w:val="center"/>
          </w:tcPr>
          <w:p w14:paraId="7397533F" w14:textId="77777777" w:rsidR="00091D2A" w:rsidRPr="00687B1C" w:rsidRDefault="00091D2A" w:rsidP="00687B1C">
            <w:pPr>
              <w:pStyle w:val="PBACTabletext"/>
              <w:keepNext w:val="0"/>
              <w:spacing w:after="0"/>
              <w:rPr>
                <w:szCs w:val="20"/>
              </w:rPr>
            </w:pPr>
            <w:r w:rsidRPr="00687B1C">
              <w:rPr>
                <w:szCs w:val="20"/>
              </w:rPr>
              <w:t>Assume constant at 25% across all years</w:t>
            </w:r>
          </w:p>
        </w:tc>
        <w:tc>
          <w:tcPr>
            <w:tcW w:w="473" w:type="pct"/>
            <w:vAlign w:val="center"/>
          </w:tcPr>
          <w:p w14:paraId="0F61897B" w14:textId="5793667E" w:rsidR="00091D2A" w:rsidRPr="00687B1C" w:rsidRDefault="00091D2A" w:rsidP="006B4C5C">
            <w:pPr>
              <w:pStyle w:val="TableText0"/>
              <w:keepNext w:val="0"/>
              <w:jc w:val="center"/>
              <w:rPr>
                <w:szCs w:val="20"/>
                <w:vertAlign w:val="superscript"/>
              </w:rPr>
            </w:pPr>
            <w:r w:rsidRPr="00687B1C">
              <w:rPr>
                <w:rFonts w:cs="Arial"/>
                <w:szCs w:val="20"/>
              </w:rPr>
              <w:t>$</w:t>
            </w:r>
            <w:r w:rsidR="005F3BC8" w:rsidRPr="005F3BC8">
              <w:rPr>
                <w:rFonts w:cs="Arial"/>
                <w:color w:val="000000"/>
                <w:spacing w:val="50"/>
                <w:szCs w:val="20"/>
                <w:shd w:val="solid" w:color="000000" w:fill="000000"/>
                <w:fitText w:val="323" w:id="-760997878"/>
                <w14:textFill>
                  <w14:solidFill>
                    <w14:srgbClr w14:val="000000">
                      <w14:alpha w14:val="100000"/>
                    </w14:srgbClr>
                  </w14:solidFill>
                </w14:textFill>
              </w:rPr>
              <w:t>|||</w:t>
            </w:r>
            <w:r w:rsidR="005F3BC8" w:rsidRPr="005F3BC8">
              <w:rPr>
                <w:rFonts w:cs="Arial"/>
                <w:color w:val="000000"/>
                <w:spacing w:val="3"/>
                <w:szCs w:val="20"/>
                <w:shd w:val="solid" w:color="000000" w:fill="000000"/>
                <w:fitText w:val="323" w:id="-760997878"/>
                <w14:textFill>
                  <w14:solidFill>
                    <w14:srgbClr w14:val="000000">
                      <w14:alpha w14:val="100000"/>
                    </w14:srgbClr>
                  </w14:solidFill>
                </w14:textFill>
              </w:rPr>
              <w:t>|</w:t>
            </w:r>
            <w:r w:rsidR="00497236" w:rsidRPr="00687B1C">
              <w:rPr>
                <w:rFonts w:cs="Arial"/>
                <w:szCs w:val="20"/>
                <w:vertAlign w:val="superscript"/>
              </w:rPr>
              <w:t>1</w:t>
            </w:r>
          </w:p>
        </w:tc>
        <w:tc>
          <w:tcPr>
            <w:tcW w:w="472" w:type="pct"/>
            <w:vAlign w:val="center"/>
          </w:tcPr>
          <w:p w14:paraId="2BE3F53F" w14:textId="711AB8EC" w:rsidR="00091D2A" w:rsidRPr="00687B1C" w:rsidRDefault="00091D2A" w:rsidP="006B4C5C">
            <w:pPr>
              <w:pStyle w:val="TableText0"/>
              <w:keepNext w:val="0"/>
              <w:jc w:val="center"/>
              <w:rPr>
                <w:szCs w:val="20"/>
              </w:rPr>
            </w:pPr>
            <w:r w:rsidRPr="00687B1C">
              <w:rPr>
                <w:rFonts w:cs="Arial"/>
                <w:szCs w:val="20"/>
              </w:rPr>
              <w:t>$</w:t>
            </w:r>
            <w:r w:rsidR="005F3BC8" w:rsidRPr="005F3BC8">
              <w:rPr>
                <w:rFonts w:cs="Arial"/>
                <w:color w:val="000000"/>
                <w:spacing w:val="50"/>
                <w:szCs w:val="20"/>
                <w:shd w:val="solid" w:color="000000" w:fill="000000"/>
                <w:fitText w:val="323" w:id="-760997877"/>
                <w14:textFill>
                  <w14:solidFill>
                    <w14:srgbClr w14:val="000000">
                      <w14:alpha w14:val="100000"/>
                    </w14:srgbClr>
                  </w14:solidFill>
                </w14:textFill>
              </w:rPr>
              <w:t>|||</w:t>
            </w:r>
            <w:r w:rsidR="005F3BC8" w:rsidRPr="005F3BC8">
              <w:rPr>
                <w:rFonts w:cs="Arial"/>
                <w:color w:val="000000"/>
                <w:spacing w:val="3"/>
                <w:szCs w:val="20"/>
                <w:shd w:val="solid" w:color="000000" w:fill="000000"/>
                <w:fitText w:val="323" w:id="-760997877"/>
                <w14:textFill>
                  <w14:solidFill>
                    <w14:srgbClr w14:val="000000">
                      <w14:alpha w14:val="100000"/>
                    </w14:srgbClr>
                  </w14:solidFill>
                </w14:textFill>
              </w:rPr>
              <w:t>|</w:t>
            </w:r>
            <w:r w:rsidR="00497236" w:rsidRPr="00687B1C">
              <w:rPr>
                <w:rFonts w:cs="Arial"/>
                <w:szCs w:val="20"/>
                <w:vertAlign w:val="superscript"/>
              </w:rPr>
              <w:t>1</w:t>
            </w:r>
          </w:p>
        </w:tc>
        <w:tc>
          <w:tcPr>
            <w:tcW w:w="471" w:type="pct"/>
            <w:vAlign w:val="center"/>
          </w:tcPr>
          <w:p w14:paraId="63444940" w14:textId="5D13FBA3" w:rsidR="00091D2A" w:rsidRPr="00687B1C" w:rsidRDefault="00091D2A" w:rsidP="006B4C5C">
            <w:pPr>
              <w:pStyle w:val="TableText0"/>
              <w:keepNext w:val="0"/>
              <w:jc w:val="center"/>
              <w:rPr>
                <w:szCs w:val="20"/>
              </w:rPr>
            </w:pPr>
            <w:r w:rsidRPr="00687B1C">
              <w:rPr>
                <w:rFonts w:cs="Arial"/>
                <w:szCs w:val="20"/>
              </w:rPr>
              <w:t>$</w:t>
            </w:r>
            <w:r w:rsidR="005F3BC8" w:rsidRPr="005F3BC8">
              <w:rPr>
                <w:rFonts w:cs="Arial"/>
                <w:color w:val="000000"/>
                <w:spacing w:val="50"/>
                <w:szCs w:val="20"/>
                <w:shd w:val="solid" w:color="000000" w:fill="000000"/>
                <w:fitText w:val="322" w:id="-760997876"/>
                <w14:textFill>
                  <w14:solidFill>
                    <w14:srgbClr w14:val="000000">
                      <w14:alpha w14:val="100000"/>
                    </w14:srgbClr>
                  </w14:solidFill>
                </w14:textFill>
              </w:rPr>
              <w:t>|||</w:t>
            </w:r>
            <w:r w:rsidR="005F3BC8" w:rsidRPr="005F3BC8">
              <w:rPr>
                <w:rFonts w:cs="Arial"/>
                <w:color w:val="000000"/>
                <w:spacing w:val="2"/>
                <w:szCs w:val="20"/>
                <w:shd w:val="solid" w:color="000000" w:fill="000000"/>
                <w:fitText w:val="322" w:id="-760997876"/>
                <w14:textFill>
                  <w14:solidFill>
                    <w14:srgbClr w14:val="000000">
                      <w14:alpha w14:val="100000"/>
                    </w14:srgbClr>
                  </w14:solidFill>
                </w14:textFill>
              </w:rPr>
              <w:t>|</w:t>
            </w:r>
            <w:r w:rsidR="00497236" w:rsidRPr="00687B1C">
              <w:rPr>
                <w:rFonts w:cs="Arial"/>
                <w:szCs w:val="20"/>
                <w:vertAlign w:val="superscript"/>
              </w:rPr>
              <w:t>1</w:t>
            </w:r>
          </w:p>
        </w:tc>
        <w:tc>
          <w:tcPr>
            <w:tcW w:w="472" w:type="pct"/>
            <w:vAlign w:val="center"/>
          </w:tcPr>
          <w:p w14:paraId="4DBB1482" w14:textId="6F76E403" w:rsidR="00091D2A" w:rsidRPr="00687B1C" w:rsidRDefault="00091D2A" w:rsidP="006B4C5C">
            <w:pPr>
              <w:pStyle w:val="TableText0"/>
              <w:keepNext w:val="0"/>
              <w:jc w:val="center"/>
              <w:rPr>
                <w:szCs w:val="20"/>
              </w:rPr>
            </w:pPr>
            <w:r w:rsidRPr="00687B1C">
              <w:rPr>
                <w:rFonts w:cs="Arial"/>
                <w:szCs w:val="20"/>
              </w:rPr>
              <w:t>$</w:t>
            </w:r>
            <w:r w:rsidR="005F3BC8" w:rsidRPr="005F3BC8">
              <w:rPr>
                <w:rFonts w:cs="Arial"/>
                <w:color w:val="000000"/>
                <w:spacing w:val="50"/>
                <w:szCs w:val="20"/>
                <w:shd w:val="solid" w:color="000000" w:fill="000000"/>
                <w:fitText w:val="323" w:id="-760997875"/>
                <w14:textFill>
                  <w14:solidFill>
                    <w14:srgbClr w14:val="000000">
                      <w14:alpha w14:val="100000"/>
                    </w14:srgbClr>
                  </w14:solidFill>
                </w14:textFill>
              </w:rPr>
              <w:t>|||</w:t>
            </w:r>
            <w:r w:rsidR="005F3BC8" w:rsidRPr="005F3BC8">
              <w:rPr>
                <w:rFonts w:cs="Arial"/>
                <w:color w:val="000000"/>
                <w:spacing w:val="3"/>
                <w:szCs w:val="20"/>
                <w:shd w:val="solid" w:color="000000" w:fill="000000"/>
                <w:fitText w:val="323" w:id="-760997875"/>
                <w14:textFill>
                  <w14:solidFill>
                    <w14:srgbClr w14:val="000000">
                      <w14:alpha w14:val="100000"/>
                    </w14:srgbClr>
                  </w14:solidFill>
                </w14:textFill>
              </w:rPr>
              <w:t>|</w:t>
            </w:r>
            <w:r w:rsidR="00497236" w:rsidRPr="00687B1C">
              <w:rPr>
                <w:rFonts w:cs="Arial"/>
                <w:szCs w:val="20"/>
                <w:vertAlign w:val="superscript"/>
              </w:rPr>
              <w:t>1</w:t>
            </w:r>
          </w:p>
        </w:tc>
        <w:tc>
          <w:tcPr>
            <w:tcW w:w="471" w:type="pct"/>
            <w:vAlign w:val="center"/>
          </w:tcPr>
          <w:p w14:paraId="1D0EAD86" w14:textId="7D1035CA" w:rsidR="00091D2A" w:rsidRPr="00687B1C" w:rsidRDefault="00091D2A" w:rsidP="006B4C5C">
            <w:pPr>
              <w:pStyle w:val="TableText0"/>
              <w:keepNext w:val="0"/>
              <w:jc w:val="center"/>
              <w:rPr>
                <w:szCs w:val="20"/>
              </w:rPr>
            </w:pPr>
            <w:r w:rsidRPr="00687B1C">
              <w:rPr>
                <w:rFonts w:cs="Arial"/>
                <w:szCs w:val="20"/>
              </w:rPr>
              <w:t>$</w:t>
            </w:r>
            <w:r w:rsidR="005F3BC8" w:rsidRPr="005F3BC8">
              <w:rPr>
                <w:rFonts w:cs="Arial"/>
                <w:color w:val="000000"/>
                <w:spacing w:val="50"/>
                <w:szCs w:val="20"/>
                <w:shd w:val="solid" w:color="000000" w:fill="000000"/>
                <w:fitText w:val="322" w:id="-760997874"/>
                <w14:textFill>
                  <w14:solidFill>
                    <w14:srgbClr w14:val="000000">
                      <w14:alpha w14:val="100000"/>
                    </w14:srgbClr>
                  </w14:solidFill>
                </w14:textFill>
              </w:rPr>
              <w:t>|||</w:t>
            </w:r>
            <w:r w:rsidR="005F3BC8" w:rsidRPr="005F3BC8">
              <w:rPr>
                <w:rFonts w:cs="Arial"/>
                <w:color w:val="000000"/>
                <w:spacing w:val="2"/>
                <w:szCs w:val="20"/>
                <w:shd w:val="solid" w:color="000000" w:fill="000000"/>
                <w:fitText w:val="322" w:id="-760997874"/>
                <w14:textFill>
                  <w14:solidFill>
                    <w14:srgbClr w14:val="000000">
                      <w14:alpha w14:val="100000"/>
                    </w14:srgbClr>
                  </w14:solidFill>
                </w14:textFill>
              </w:rPr>
              <w:t>|</w:t>
            </w:r>
            <w:r w:rsidR="00497236" w:rsidRPr="00687B1C">
              <w:rPr>
                <w:rFonts w:cs="Arial"/>
                <w:szCs w:val="20"/>
                <w:vertAlign w:val="superscript"/>
              </w:rPr>
              <w:t>1</w:t>
            </w:r>
          </w:p>
        </w:tc>
        <w:tc>
          <w:tcPr>
            <w:tcW w:w="472" w:type="pct"/>
            <w:vAlign w:val="center"/>
          </w:tcPr>
          <w:p w14:paraId="5723AF8A" w14:textId="16B5EBE5" w:rsidR="00091D2A" w:rsidRPr="00687B1C" w:rsidRDefault="00091D2A" w:rsidP="006B4C5C">
            <w:pPr>
              <w:pStyle w:val="TableText0"/>
              <w:keepNext w:val="0"/>
              <w:jc w:val="center"/>
              <w:rPr>
                <w:szCs w:val="20"/>
              </w:rPr>
            </w:pPr>
            <w:r w:rsidRPr="00687B1C">
              <w:rPr>
                <w:rFonts w:cs="Arial"/>
                <w:szCs w:val="20"/>
              </w:rPr>
              <w:t>$</w:t>
            </w:r>
            <w:r w:rsidR="005F3BC8" w:rsidRPr="005F3BC8">
              <w:rPr>
                <w:rFonts w:cs="Arial"/>
                <w:color w:val="000000"/>
                <w:spacing w:val="50"/>
                <w:szCs w:val="20"/>
                <w:shd w:val="solid" w:color="000000" w:fill="000000"/>
                <w:fitText w:val="323" w:id="-760997873"/>
                <w14:textFill>
                  <w14:solidFill>
                    <w14:srgbClr w14:val="000000">
                      <w14:alpha w14:val="100000"/>
                    </w14:srgbClr>
                  </w14:solidFill>
                </w14:textFill>
              </w:rPr>
              <w:t>|||</w:t>
            </w:r>
            <w:r w:rsidR="005F3BC8" w:rsidRPr="005F3BC8">
              <w:rPr>
                <w:rFonts w:cs="Arial"/>
                <w:color w:val="000000"/>
                <w:spacing w:val="3"/>
                <w:szCs w:val="20"/>
                <w:shd w:val="solid" w:color="000000" w:fill="000000"/>
                <w:fitText w:val="323" w:id="-760997873"/>
                <w14:textFill>
                  <w14:solidFill>
                    <w14:srgbClr w14:val="000000">
                      <w14:alpha w14:val="100000"/>
                    </w14:srgbClr>
                  </w14:solidFill>
                </w14:textFill>
              </w:rPr>
              <w:t>|</w:t>
            </w:r>
            <w:r w:rsidR="00497236" w:rsidRPr="00687B1C">
              <w:rPr>
                <w:rFonts w:cs="Arial"/>
                <w:szCs w:val="20"/>
                <w:vertAlign w:val="superscript"/>
              </w:rPr>
              <w:t>1</w:t>
            </w:r>
          </w:p>
        </w:tc>
        <w:tc>
          <w:tcPr>
            <w:tcW w:w="551" w:type="pct"/>
            <w:vAlign w:val="center"/>
          </w:tcPr>
          <w:p w14:paraId="0F123460" w14:textId="798F1A52" w:rsidR="00091D2A" w:rsidRPr="00687B1C" w:rsidRDefault="00091D2A" w:rsidP="006B4C5C">
            <w:pPr>
              <w:pStyle w:val="PBACTabletext"/>
              <w:keepNext w:val="0"/>
              <w:spacing w:after="0"/>
              <w:jc w:val="center"/>
              <w:rPr>
                <w:szCs w:val="20"/>
              </w:rPr>
            </w:pPr>
            <w:r w:rsidRPr="00687B1C">
              <w:rPr>
                <w:szCs w:val="20"/>
              </w:rPr>
              <w:t>$</w:t>
            </w:r>
            <w:r w:rsidR="005F3BC8" w:rsidRPr="005F3BC8">
              <w:rPr>
                <w:color w:val="000000"/>
                <w:spacing w:val="107"/>
                <w:szCs w:val="20"/>
                <w:shd w:val="solid" w:color="000000" w:fill="000000"/>
                <w:fitText w:val="193" w:id="-760997872"/>
                <w14:textFill>
                  <w14:solidFill>
                    <w14:srgbClr w14:val="000000">
                      <w14:alpha w14:val="100000"/>
                    </w14:srgbClr>
                  </w14:solidFill>
                </w14:textFill>
              </w:rPr>
              <w:t>|</w:t>
            </w:r>
            <w:r w:rsidR="005F3BC8" w:rsidRPr="005F3BC8">
              <w:rPr>
                <w:color w:val="000000"/>
                <w:spacing w:val="1"/>
                <w:szCs w:val="20"/>
                <w:shd w:val="solid" w:color="000000" w:fill="000000"/>
                <w:fitText w:val="193" w:id="-760997872"/>
                <w14:textFill>
                  <w14:solidFill>
                    <w14:srgbClr w14:val="000000">
                      <w14:alpha w14:val="100000"/>
                    </w14:srgbClr>
                  </w14:solidFill>
                </w14:textFill>
              </w:rPr>
              <w:t>|</w:t>
            </w:r>
            <w:r w:rsidR="00497236" w:rsidRPr="00687B1C">
              <w:rPr>
                <w:szCs w:val="20"/>
                <w:vertAlign w:val="superscript"/>
              </w:rPr>
              <w:t>1</w:t>
            </w:r>
          </w:p>
        </w:tc>
        <w:tc>
          <w:tcPr>
            <w:tcW w:w="442" w:type="pct"/>
            <w:vAlign w:val="center"/>
          </w:tcPr>
          <w:p w14:paraId="4870084A" w14:textId="77777777" w:rsidR="00091D2A" w:rsidRPr="00872E7D" w:rsidRDefault="00091D2A" w:rsidP="00687B1C">
            <w:pPr>
              <w:pStyle w:val="PBACTabletext"/>
              <w:keepNext w:val="0"/>
              <w:spacing w:after="0"/>
              <w:jc w:val="center"/>
              <w:rPr>
                <w:szCs w:val="20"/>
              </w:rPr>
            </w:pPr>
            <w:r w:rsidRPr="00872E7D">
              <w:rPr>
                <w:szCs w:val="20"/>
              </w:rPr>
              <w:t>-37%</w:t>
            </w:r>
          </w:p>
        </w:tc>
      </w:tr>
      <w:tr w:rsidR="006B4C5C" w:rsidRPr="00687B1C" w14:paraId="2407AFAB" w14:textId="77777777" w:rsidTr="006B4C5C">
        <w:trPr>
          <w:trHeight w:val="20"/>
          <w:jc w:val="center"/>
        </w:trPr>
        <w:tc>
          <w:tcPr>
            <w:tcW w:w="1177" w:type="pct"/>
            <w:vAlign w:val="center"/>
          </w:tcPr>
          <w:p w14:paraId="0BE37F34" w14:textId="77777777" w:rsidR="00091D2A" w:rsidRPr="00687B1C" w:rsidRDefault="00091D2A" w:rsidP="00687B1C">
            <w:pPr>
              <w:pStyle w:val="PBACTabletext"/>
              <w:keepNext w:val="0"/>
              <w:spacing w:after="0"/>
              <w:rPr>
                <w:szCs w:val="20"/>
              </w:rPr>
            </w:pPr>
            <w:r w:rsidRPr="00687B1C">
              <w:rPr>
                <w:szCs w:val="20"/>
              </w:rPr>
              <w:t>Assume substitution of FOLFIRINOX only (0% Gem+NabP)</w:t>
            </w:r>
          </w:p>
        </w:tc>
        <w:tc>
          <w:tcPr>
            <w:tcW w:w="473" w:type="pct"/>
            <w:vAlign w:val="center"/>
          </w:tcPr>
          <w:p w14:paraId="3193B513" w14:textId="26F646D8" w:rsidR="00091D2A" w:rsidRPr="00687B1C" w:rsidRDefault="00091D2A" w:rsidP="00687B1C">
            <w:pPr>
              <w:pStyle w:val="PBACTabletext"/>
              <w:keepNext w:val="0"/>
              <w:spacing w:after="0"/>
              <w:jc w:val="center"/>
              <w:rPr>
                <w:szCs w:val="20"/>
                <w:vertAlign w:val="superscript"/>
              </w:rPr>
            </w:pPr>
            <w:r w:rsidRPr="00687B1C">
              <w:rPr>
                <w:szCs w:val="20"/>
              </w:rPr>
              <w:t>$</w:t>
            </w:r>
            <w:r w:rsidR="005F3BC8" w:rsidRPr="006B4C5C">
              <w:rPr>
                <w:color w:val="000000"/>
                <w:spacing w:val="172"/>
                <w:szCs w:val="20"/>
                <w:shd w:val="solid" w:color="000000" w:fill="000000"/>
                <w:fitText w:val="258" w:id="-760997888"/>
                <w14:textFill>
                  <w14:solidFill>
                    <w14:srgbClr w14:val="000000">
                      <w14:alpha w14:val="100000"/>
                    </w14:srgbClr>
                  </w14:solidFill>
                </w14:textFill>
              </w:rPr>
              <w:t>|</w:t>
            </w:r>
            <w:r w:rsidR="005F3BC8" w:rsidRPr="006B4C5C">
              <w:rPr>
                <w:color w:val="000000"/>
                <w:szCs w:val="20"/>
                <w:shd w:val="solid" w:color="000000" w:fill="000000"/>
                <w:fitText w:val="258" w:id="-760997888"/>
                <w14:textFill>
                  <w14:solidFill>
                    <w14:srgbClr w14:val="000000">
                      <w14:alpha w14:val="100000"/>
                    </w14:srgbClr>
                  </w14:solidFill>
                </w14:textFill>
              </w:rPr>
              <w:t>|</w:t>
            </w:r>
            <w:r w:rsidR="00910FD8" w:rsidRPr="00687B1C">
              <w:rPr>
                <w:szCs w:val="20"/>
                <w:vertAlign w:val="superscript"/>
              </w:rPr>
              <w:t>1</w:t>
            </w:r>
          </w:p>
        </w:tc>
        <w:tc>
          <w:tcPr>
            <w:tcW w:w="472" w:type="pct"/>
            <w:vAlign w:val="center"/>
          </w:tcPr>
          <w:p w14:paraId="0A9662D0" w14:textId="3941306F"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97"/>
                <w:szCs w:val="20"/>
                <w:shd w:val="solid" w:color="000000" w:fill="000000"/>
                <w:fitText w:val="183" w:id="-760997887"/>
                <w14:textFill>
                  <w14:solidFill>
                    <w14:srgbClr w14:val="000000">
                      <w14:alpha w14:val="100000"/>
                    </w14:srgbClr>
                  </w14:solidFill>
                </w14:textFill>
              </w:rPr>
              <w:t>|</w:t>
            </w:r>
            <w:r w:rsidR="005F3BC8" w:rsidRPr="005F3BC8">
              <w:rPr>
                <w:color w:val="000000"/>
                <w:spacing w:val="1"/>
                <w:szCs w:val="20"/>
                <w:shd w:val="solid" w:color="000000" w:fill="000000"/>
                <w:fitText w:val="183" w:id="-760997887"/>
                <w14:textFill>
                  <w14:solidFill>
                    <w14:srgbClr w14:val="000000">
                      <w14:alpha w14:val="100000"/>
                    </w14:srgbClr>
                  </w14:solidFill>
                </w14:textFill>
              </w:rPr>
              <w:t>|</w:t>
            </w:r>
            <w:r w:rsidR="00910FD8" w:rsidRPr="00687B1C">
              <w:rPr>
                <w:szCs w:val="20"/>
                <w:vertAlign w:val="superscript"/>
              </w:rPr>
              <w:t>1</w:t>
            </w:r>
          </w:p>
        </w:tc>
        <w:tc>
          <w:tcPr>
            <w:tcW w:w="471" w:type="pct"/>
            <w:vAlign w:val="center"/>
          </w:tcPr>
          <w:p w14:paraId="46596EEC" w14:textId="056758F3"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08"/>
                <w:szCs w:val="20"/>
                <w:shd w:val="solid" w:color="000000" w:fill="000000"/>
                <w:fitText w:val="194" w:id="-760997886"/>
                <w14:textFill>
                  <w14:solidFill>
                    <w14:srgbClr w14:val="000000">
                      <w14:alpha w14:val="100000"/>
                    </w14:srgbClr>
                  </w14:solidFill>
                </w14:textFill>
              </w:rPr>
              <w:t>|</w:t>
            </w:r>
            <w:r w:rsidR="005F3BC8" w:rsidRPr="005F3BC8">
              <w:rPr>
                <w:color w:val="000000"/>
                <w:spacing w:val="1"/>
                <w:szCs w:val="20"/>
                <w:shd w:val="solid" w:color="000000" w:fill="000000"/>
                <w:fitText w:val="194" w:id="-760997886"/>
                <w14:textFill>
                  <w14:solidFill>
                    <w14:srgbClr w14:val="000000">
                      <w14:alpha w14:val="100000"/>
                    </w14:srgbClr>
                  </w14:solidFill>
                </w14:textFill>
              </w:rPr>
              <w:t>|</w:t>
            </w:r>
            <w:r w:rsidR="00910FD8" w:rsidRPr="00687B1C">
              <w:rPr>
                <w:szCs w:val="20"/>
                <w:vertAlign w:val="superscript"/>
              </w:rPr>
              <w:t>1</w:t>
            </w:r>
          </w:p>
        </w:tc>
        <w:tc>
          <w:tcPr>
            <w:tcW w:w="472" w:type="pct"/>
            <w:vAlign w:val="center"/>
          </w:tcPr>
          <w:p w14:paraId="700137C3" w14:textId="628AB51E"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08"/>
                <w:szCs w:val="20"/>
                <w:shd w:val="solid" w:color="000000" w:fill="000000"/>
                <w:fitText w:val="194" w:id="-760997885"/>
                <w14:textFill>
                  <w14:solidFill>
                    <w14:srgbClr w14:val="000000">
                      <w14:alpha w14:val="100000"/>
                    </w14:srgbClr>
                  </w14:solidFill>
                </w14:textFill>
              </w:rPr>
              <w:t>|</w:t>
            </w:r>
            <w:r w:rsidR="005F3BC8" w:rsidRPr="005F3BC8">
              <w:rPr>
                <w:color w:val="000000"/>
                <w:spacing w:val="1"/>
                <w:szCs w:val="20"/>
                <w:shd w:val="solid" w:color="000000" w:fill="000000"/>
                <w:fitText w:val="194" w:id="-760997885"/>
                <w14:textFill>
                  <w14:solidFill>
                    <w14:srgbClr w14:val="000000">
                      <w14:alpha w14:val="100000"/>
                    </w14:srgbClr>
                  </w14:solidFill>
                </w14:textFill>
              </w:rPr>
              <w:t>|</w:t>
            </w:r>
            <w:r w:rsidR="00910FD8" w:rsidRPr="00687B1C">
              <w:rPr>
                <w:szCs w:val="20"/>
                <w:vertAlign w:val="superscript"/>
              </w:rPr>
              <w:t>1</w:t>
            </w:r>
          </w:p>
        </w:tc>
        <w:tc>
          <w:tcPr>
            <w:tcW w:w="471" w:type="pct"/>
            <w:vAlign w:val="center"/>
          </w:tcPr>
          <w:p w14:paraId="79C5207C" w14:textId="37EAE219"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96"/>
                <w:szCs w:val="20"/>
                <w:shd w:val="solid" w:color="000000" w:fill="000000"/>
                <w:fitText w:val="182" w:id="-760997884"/>
                <w14:textFill>
                  <w14:solidFill>
                    <w14:srgbClr w14:val="000000">
                      <w14:alpha w14:val="100000"/>
                    </w14:srgbClr>
                  </w14:solidFill>
                </w14:textFill>
              </w:rPr>
              <w:t>|</w:t>
            </w:r>
            <w:r w:rsidR="005F3BC8" w:rsidRPr="005F3BC8">
              <w:rPr>
                <w:color w:val="000000"/>
                <w:spacing w:val="1"/>
                <w:szCs w:val="20"/>
                <w:shd w:val="solid" w:color="000000" w:fill="000000"/>
                <w:fitText w:val="182" w:id="-760997884"/>
                <w14:textFill>
                  <w14:solidFill>
                    <w14:srgbClr w14:val="000000">
                      <w14:alpha w14:val="100000"/>
                    </w14:srgbClr>
                  </w14:solidFill>
                </w14:textFill>
              </w:rPr>
              <w:t>|</w:t>
            </w:r>
            <w:r w:rsidR="00910FD8" w:rsidRPr="00687B1C">
              <w:rPr>
                <w:szCs w:val="20"/>
                <w:vertAlign w:val="superscript"/>
              </w:rPr>
              <w:t>1</w:t>
            </w:r>
          </w:p>
        </w:tc>
        <w:tc>
          <w:tcPr>
            <w:tcW w:w="472" w:type="pct"/>
            <w:vAlign w:val="center"/>
          </w:tcPr>
          <w:p w14:paraId="1A7C1D93" w14:textId="265274C4"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08"/>
                <w:szCs w:val="20"/>
                <w:shd w:val="solid" w:color="000000" w:fill="000000"/>
                <w:fitText w:val="194" w:id="-760997883"/>
                <w14:textFill>
                  <w14:solidFill>
                    <w14:srgbClr w14:val="000000">
                      <w14:alpha w14:val="100000"/>
                    </w14:srgbClr>
                  </w14:solidFill>
                </w14:textFill>
              </w:rPr>
              <w:t>|</w:t>
            </w:r>
            <w:r w:rsidR="005F3BC8" w:rsidRPr="005F3BC8">
              <w:rPr>
                <w:color w:val="000000"/>
                <w:spacing w:val="1"/>
                <w:szCs w:val="20"/>
                <w:shd w:val="solid" w:color="000000" w:fill="000000"/>
                <w:fitText w:val="194" w:id="-760997883"/>
                <w14:textFill>
                  <w14:solidFill>
                    <w14:srgbClr w14:val="000000">
                      <w14:alpha w14:val="100000"/>
                    </w14:srgbClr>
                  </w14:solidFill>
                </w14:textFill>
              </w:rPr>
              <w:t>|</w:t>
            </w:r>
            <w:r w:rsidR="00910FD8" w:rsidRPr="00687B1C">
              <w:rPr>
                <w:szCs w:val="20"/>
                <w:vertAlign w:val="superscript"/>
              </w:rPr>
              <w:t>1</w:t>
            </w:r>
          </w:p>
        </w:tc>
        <w:tc>
          <w:tcPr>
            <w:tcW w:w="551" w:type="pct"/>
            <w:vAlign w:val="center"/>
          </w:tcPr>
          <w:p w14:paraId="268752DE" w14:textId="32F72C6C" w:rsidR="00091D2A" w:rsidRPr="00687B1C" w:rsidRDefault="00091D2A" w:rsidP="00687B1C">
            <w:pPr>
              <w:pStyle w:val="PBACTabletext"/>
              <w:keepNext w:val="0"/>
              <w:spacing w:after="0"/>
              <w:jc w:val="center"/>
              <w:rPr>
                <w:szCs w:val="20"/>
                <w:vertAlign w:val="superscript"/>
              </w:rPr>
            </w:pPr>
            <w:r w:rsidRPr="00687B1C">
              <w:rPr>
                <w:szCs w:val="20"/>
              </w:rPr>
              <w:t>$</w:t>
            </w:r>
            <w:r w:rsidR="005F3BC8" w:rsidRPr="005F3BC8">
              <w:rPr>
                <w:color w:val="000000"/>
                <w:spacing w:val="107"/>
                <w:szCs w:val="20"/>
                <w:shd w:val="solid" w:color="000000" w:fill="000000"/>
                <w:fitText w:val="193" w:id="-760997882"/>
                <w14:textFill>
                  <w14:solidFill>
                    <w14:srgbClr w14:val="000000">
                      <w14:alpha w14:val="100000"/>
                    </w14:srgbClr>
                  </w14:solidFill>
                </w14:textFill>
              </w:rPr>
              <w:t>|</w:t>
            </w:r>
            <w:r w:rsidR="005F3BC8" w:rsidRPr="005F3BC8">
              <w:rPr>
                <w:color w:val="000000"/>
                <w:spacing w:val="1"/>
                <w:szCs w:val="20"/>
                <w:shd w:val="solid" w:color="000000" w:fill="000000"/>
                <w:fitText w:val="193" w:id="-760997882"/>
                <w14:textFill>
                  <w14:solidFill>
                    <w14:srgbClr w14:val="000000">
                      <w14:alpha w14:val="100000"/>
                    </w14:srgbClr>
                  </w14:solidFill>
                </w14:textFill>
              </w:rPr>
              <w:t>|</w:t>
            </w:r>
            <w:r w:rsidR="00910FD8" w:rsidRPr="00687B1C">
              <w:rPr>
                <w:szCs w:val="20"/>
                <w:vertAlign w:val="superscript"/>
              </w:rPr>
              <w:t>2</w:t>
            </w:r>
          </w:p>
        </w:tc>
        <w:tc>
          <w:tcPr>
            <w:tcW w:w="442" w:type="pct"/>
            <w:vAlign w:val="center"/>
          </w:tcPr>
          <w:p w14:paraId="3082C68C" w14:textId="77777777" w:rsidR="00091D2A" w:rsidRPr="00872E7D" w:rsidRDefault="00091D2A" w:rsidP="00687B1C">
            <w:pPr>
              <w:pStyle w:val="PBACTabletext"/>
              <w:keepNext w:val="0"/>
              <w:spacing w:after="0"/>
              <w:jc w:val="center"/>
              <w:rPr>
                <w:szCs w:val="20"/>
              </w:rPr>
            </w:pPr>
            <w:r w:rsidRPr="00872E7D">
              <w:rPr>
                <w:szCs w:val="20"/>
              </w:rPr>
              <w:t>-76%</w:t>
            </w:r>
          </w:p>
        </w:tc>
      </w:tr>
      <w:tr w:rsidR="00091D2A" w:rsidRPr="00687B1C" w14:paraId="335A8231" w14:textId="77777777" w:rsidTr="00687B1C">
        <w:trPr>
          <w:trHeight w:val="20"/>
          <w:jc w:val="center"/>
        </w:trPr>
        <w:tc>
          <w:tcPr>
            <w:tcW w:w="5000" w:type="pct"/>
            <w:gridSpan w:val="9"/>
            <w:vAlign w:val="center"/>
          </w:tcPr>
          <w:p w14:paraId="55EAFF8C" w14:textId="77777777" w:rsidR="00091D2A" w:rsidRPr="00872E7D" w:rsidRDefault="00091D2A" w:rsidP="00687B1C">
            <w:pPr>
              <w:pStyle w:val="PBACTabletext"/>
              <w:keepNext w:val="0"/>
              <w:spacing w:after="0"/>
              <w:rPr>
                <w:b/>
                <w:bCs/>
                <w:szCs w:val="20"/>
              </w:rPr>
            </w:pPr>
            <w:r w:rsidRPr="00872E7D">
              <w:rPr>
                <w:b/>
                <w:bCs/>
                <w:szCs w:val="20"/>
              </w:rPr>
              <w:t>Market share of Gem+NabP and FOLFIRINOX (base case=85.1% Gem+NabP/14.9% FOLFIRINOX)</w:t>
            </w:r>
          </w:p>
        </w:tc>
      </w:tr>
      <w:tr w:rsidR="006B4C5C" w:rsidRPr="00687B1C" w14:paraId="5096B1A3" w14:textId="77777777" w:rsidTr="006B4C5C">
        <w:trPr>
          <w:trHeight w:val="20"/>
          <w:jc w:val="center"/>
        </w:trPr>
        <w:tc>
          <w:tcPr>
            <w:tcW w:w="1177" w:type="pct"/>
            <w:vAlign w:val="center"/>
          </w:tcPr>
          <w:p w14:paraId="32414D98" w14:textId="77777777" w:rsidR="00091D2A" w:rsidRPr="00687B1C" w:rsidRDefault="00091D2A" w:rsidP="00687B1C">
            <w:pPr>
              <w:pStyle w:val="PBACTabletext"/>
              <w:keepNext w:val="0"/>
              <w:spacing w:after="0"/>
              <w:rPr>
                <w:szCs w:val="20"/>
              </w:rPr>
            </w:pPr>
            <w:r w:rsidRPr="00687B1C">
              <w:rPr>
                <w:szCs w:val="20"/>
              </w:rPr>
              <w:t>66.5% Gem+NabP/</w:t>
            </w:r>
          </w:p>
          <w:p w14:paraId="0E4A981D" w14:textId="77777777" w:rsidR="00091D2A" w:rsidRPr="00687B1C" w:rsidRDefault="00091D2A" w:rsidP="00687B1C">
            <w:pPr>
              <w:pStyle w:val="PBACTabletext"/>
              <w:keepNext w:val="0"/>
              <w:spacing w:after="0"/>
              <w:rPr>
                <w:szCs w:val="20"/>
              </w:rPr>
            </w:pPr>
            <w:r w:rsidRPr="00687B1C">
              <w:rPr>
                <w:szCs w:val="20"/>
              </w:rPr>
              <w:t xml:space="preserve">10.9% FOLFIRINOX </w:t>
            </w:r>
          </w:p>
        </w:tc>
        <w:tc>
          <w:tcPr>
            <w:tcW w:w="473" w:type="pct"/>
            <w:vAlign w:val="center"/>
          </w:tcPr>
          <w:p w14:paraId="5EBA467B" w14:textId="0A897306"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72"/>
                <w:szCs w:val="20"/>
                <w:shd w:val="solid" w:color="000000" w:fill="000000"/>
                <w:fitText w:val="258" w:id="-760997881"/>
                <w14:textFill>
                  <w14:solidFill>
                    <w14:srgbClr w14:val="000000">
                      <w14:alpha w14:val="100000"/>
                    </w14:srgbClr>
                  </w14:solidFill>
                </w14:textFill>
              </w:rPr>
              <w:t>|</w:t>
            </w:r>
            <w:r w:rsidR="005F3BC8" w:rsidRPr="005F3BC8">
              <w:rPr>
                <w:color w:val="000000"/>
                <w:spacing w:val="1"/>
                <w:szCs w:val="20"/>
                <w:shd w:val="solid" w:color="000000" w:fill="000000"/>
                <w:fitText w:val="258" w:id="-760997881"/>
                <w14:textFill>
                  <w14:solidFill>
                    <w14:srgbClr w14:val="000000">
                      <w14:alpha w14:val="100000"/>
                    </w14:srgbClr>
                  </w14:solidFill>
                </w14:textFill>
              </w:rPr>
              <w:t>|</w:t>
            </w:r>
            <w:r w:rsidR="00910FD8" w:rsidRPr="00687B1C">
              <w:rPr>
                <w:szCs w:val="20"/>
                <w:vertAlign w:val="superscript"/>
              </w:rPr>
              <w:t>1</w:t>
            </w:r>
          </w:p>
        </w:tc>
        <w:tc>
          <w:tcPr>
            <w:tcW w:w="472" w:type="pct"/>
            <w:vAlign w:val="center"/>
          </w:tcPr>
          <w:p w14:paraId="2B2ED47F" w14:textId="03C401B8"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97"/>
                <w:szCs w:val="20"/>
                <w:shd w:val="solid" w:color="000000" w:fill="000000"/>
                <w:fitText w:val="183" w:id="-760997880"/>
                <w14:textFill>
                  <w14:solidFill>
                    <w14:srgbClr w14:val="000000">
                      <w14:alpha w14:val="100000"/>
                    </w14:srgbClr>
                  </w14:solidFill>
                </w14:textFill>
              </w:rPr>
              <w:t>|</w:t>
            </w:r>
            <w:r w:rsidR="005F3BC8" w:rsidRPr="005F3BC8">
              <w:rPr>
                <w:color w:val="000000"/>
                <w:spacing w:val="1"/>
                <w:szCs w:val="20"/>
                <w:shd w:val="solid" w:color="000000" w:fill="000000"/>
                <w:fitText w:val="183" w:id="-760997880"/>
                <w14:textFill>
                  <w14:solidFill>
                    <w14:srgbClr w14:val="000000">
                      <w14:alpha w14:val="100000"/>
                    </w14:srgbClr>
                  </w14:solidFill>
                </w14:textFill>
              </w:rPr>
              <w:t>|</w:t>
            </w:r>
            <w:r w:rsidR="00910FD8" w:rsidRPr="00687B1C">
              <w:rPr>
                <w:szCs w:val="20"/>
                <w:vertAlign w:val="superscript"/>
              </w:rPr>
              <w:t>1</w:t>
            </w:r>
          </w:p>
        </w:tc>
        <w:tc>
          <w:tcPr>
            <w:tcW w:w="471" w:type="pct"/>
            <w:vAlign w:val="center"/>
          </w:tcPr>
          <w:p w14:paraId="3E9AD09F" w14:textId="4F1D6C3E"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08"/>
                <w:szCs w:val="20"/>
                <w:shd w:val="solid" w:color="000000" w:fill="000000"/>
                <w:fitText w:val="194" w:id="-760997879"/>
                <w14:textFill>
                  <w14:solidFill>
                    <w14:srgbClr w14:val="000000">
                      <w14:alpha w14:val="100000"/>
                    </w14:srgbClr>
                  </w14:solidFill>
                </w14:textFill>
              </w:rPr>
              <w:t>|</w:t>
            </w:r>
            <w:r w:rsidR="005F3BC8" w:rsidRPr="005F3BC8">
              <w:rPr>
                <w:color w:val="000000"/>
                <w:spacing w:val="1"/>
                <w:szCs w:val="20"/>
                <w:shd w:val="solid" w:color="000000" w:fill="000000"/>
                <w:fitText w:val="194" w:id="-760997879"/>
                <w14:textFill>
                  <w14:solidFill>
                    <w14:srgbClr w14:val="000000">
                      <w14:alpha w14:val="100000"/>
                    </w14:srgbClr>
                  </w14:solidFill>
                </w14:textFill>
              </w:rPr>
              <w:t>|</w:t>
            </w:r>
            <w:r w:rsidR="00910FD8" w:rsidRPr="00687B1C">
              <w:rPr>
                <w:szCs w:val="20"/>
                <w:vertAlign w:val="superscript"/>
              </w:rPr>
              <w:t>1</w:t>
            </w:r>
          </w:p>
        </w:tc>
        <w:tc>
          <w:tcPr>
            <w:tcW w:w="472" w:type="pct"/>
            <w:vAlign w:val="center"/>
          </w:tcPr>
          <w:p w14:paraId="54423E59" w14:textId="7942CDB6"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08"/>
                <w:szCs w:val="20"/>
                <w:shd w:val="solid" w:color="000000" w:fill="000000"/>
                <w:fitText w:val="194" w:id="-760997878"/>
                <w14:textFill>
                  <w14:solidFill>
                    <w14:srgbClr w14:val="000000">
                      <w14:alpha w14:val="100000"/>
                    </w14:srgbClr>
                  </w14:solidFill>
                </w14:textFill>
              </w:rPr>
              <w:t>|</w:t>
            </w:r>
            <w:r w:rsidR="005F3BC8" w:rsidRPr="005F3BC8">
              <w:rPr>
                <w:color w:val="000000"/>
                <w:spacing w:val="1"/>
                <w:szCs w:val="20"/>
                <w:shd w:val="solid" w:color="000000" w:fill="000000"/>
                <w:fitText w:val="194" w:id="-760997878"/>
                <w14:textFill>
                  <w14:solidFill>
                    <w14:srgbClr w14:val="000000">
                      <w14:alpha w14:val="100000"/>
                    </w14:srgbClr>
                  </w14:solidFill>
                </w14:textFill>
              </w:rPr>
              <w:t>|</w:t>
            </w:r>
            <w:r w:rsidR="00910FD8" w:rsidRPr="00687B1C">
              <w:rPr>
                <w:szCs w:val="20"/>
                <w:vertAlign w:val="superscript"/>
              </w:rPr>
              <w:t>1</w:t>
            </w:r>
          </w:p>
        </w:tc>
        <w:tc>
          <w:tcPr>
            <w:tcW w:w="471" w:type="pct"/>
            <w:vAlign w:val="center"/>
          </w:tcPr>
          <w:p w14:paraId="0C5ECD54" w14:textId="1C1A987B"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96"/>
                <w:szCs w:val="20"/>
                <w:shd w:val="solid" w:color="000000" w:fill="000000"/>
                <w:fitText w:val="182" w:id="-760997877"/>
                <w14:textFill>
                  <w14:solidFill>
                    <w14:srgbClr w14:val="000000">
                      <w14:alpha w14:val="100000"/>
                    </w14:srgbClr>
                  </w14:solidFill>
                </w14:textFill>
              </w:rPr>
              <w:t>|</w:t>
            </w:r>
            <w:r w:rsidR="005F3BC8" w:rsidRPr="005F3BC8">
              <w:rPr>
                <w:color w:val="000000"/>
                <w:spacing w:val="1"/>
                <w:szCs w:val="20"/>
                <w:shd w:val="solid" w:color="000000" w:fill="000000"/>
                <w:fitText w:val="182" w:id="-760997877"/>
                <w14:textFill>
                  <w14:solidFill>
                    <w14:srgbClr w14:val="000000">
                      <w14:alpha w14:val="100000"/>
                    </w14:srgbClr>
                  </w14:solidFill>
                </w14:textFill>
              </w:rPr>
              <w:t>|</w:t>
            </w:r>
            <w:r w:rsidR="00910FD8" w:rsidRPr="00687B1C">
              <w:rPr>
                <w:szCs w:val="20"/>
                <w:vertAlign w:val="superscript"/>
              </w:rPr>
              <w:t>1</w:t>
            </w:r>
          </w:p>
        </w:tc>
        <w:tc>
          <w:tcPr>
            <w:tcW w:w="472" w:type="pct"/>
            <w:vAlign w:val="center"/>
          </w:tcPr>
          <w:p w14:paraId="2BF7BFB2" w14:textId="7584AE38" w:rsidR="00091D2A" w:rsidRPr="00687B1C" w:rsidRDefault="00091D2A" w:rsidP="00687B1C">
            <w:pPr>
              <w:pStyle w:val="PBACTabletext"/>
              <w:keepNext w:val="0"/>
              <w:spacing w:after="0"/>
              <w:jc w:val="center"/>
              <w:rPr>
                <w:szCs w:val="20"/>
              </w:rPr>
            </w:pPr>
            <w:r w:rsidRPr="00687B1C">
              <w:rPr>
                <w:szCs w:val="20"/>
              </w:rPr>
              <w:t>$</w:t>
            </w:r>
            <w:r w:rsidR="005F3BC8" w:rsidRPr="005F3BC8">
              <w:rPr>
                <w:color w:val="000000"/>
                <w:spacing w:val="108"/>
                <w:szCs w:val="20"/>
                <w:shd w:val="solid" w:color="000000" w:fill="000000"/>
                <w:fitText w:val="194" w:id="-760997876"/>
                <w14:textFill>
                  <w14:solidFill>
                    <w14:srgbClr w14:val="000000">
                      <w14:alpha w14:val="100000"/>
                    </w14:srgbClr>
                  </w14:solidFill>
                </w14:textFill>
              </w:rPr>
              <w:t>|</w:t>
            </w:r>
            <w:r w:rsidR="005F3BC8" w:rsidRPr="005F3BC8">
              <w:rPr>
                <w:color w:val="000000"/>
                <w:spacing w:val="1"/>
                <w:szCs w:val="20"/>
                <w:shd w:val="solid" w:color="000000" w:fill="000000"/>
                <w:fitText w:val="194" w:id="-760997876"/>
                <w14:textFill>
                  <w14:solidFill>
                    <w14:srgbClr w14:val="000000">
                      <w14:alpha w14:val="100000"/>
                    </w14:srgbClr>
                  </w14:solidFill>
                </w14:textFill>
              </w:rPr>
              <w:t>|</w:t>
            </w:r>
            <w:r w:rsidR="00910FD8" w:rsidRPr="00687B1C">
              <w:rPr>
                <w:szCs w:val="20"/>
                <w:vertAlign w:val="superscript"/>
              </w:rPr>
              <w:t>1</w:t>
            </w:r>
          </w:p>
        </w:tc>
        <w:tc>
          <w:tcPr>
            <w:tcW w:w="551" w:type="pct"/>
            <w:vAlign w:val="center"/>
          </w:tcPr>
          <w:p w14:paraId="5A81E1A2" w14:textId="58BB6C6C" w:rsidR="00091D2A" w:rsidRPr="00687B1C" w:rsidRDefault="00091D2A" w:rsidP="00687B1C">
            <w:pPr>
              <w:pStyle w:val="PBACTabletext"/>
              <w:keepNext w:val="0"/>
              <w:spacing w:after="0"/>
              <w:jc w:val="center"/>
              <w:rPr>
                <w:szCs w:val="20"/>
                <w:vertAlign w:val="superscript"/>
              </w:rPr>
            </w:pPr>
            <w:r w:rsidRPr="00687B1C">
              <w:rPr>
                <w:szCs w:val="20"/>
              </w:rPr>
              <w:t>$</w:t>
            </w:r>
            <w:r w:rsidR="005F3BC8" w:rsidRPr="005F3BC8">
              <w:rPr>
                <w:color w:val="000000"/>
                <w:spacing w:val="107"/>
                <w:szCs w:val="20"/>
                <w:shd w:val="solid" w:color="000000" w:fill="000000"/>
                <w:fitText w:val="193" w:id="-760997875"/>
                <w14:textFill>
                  <w14:solidFill>
                    <w14:srgbClr w14:val="000000">
                      <w14:alpha w14:val="100000"/>
                    </w14:srgbClr>
                  </w14:solidFill>
                </w14:textFill>
              </w:rPr>
              <w:t>|</w:t>
            </w:r>
            <w:r w:rsidR="005F3BC8" w:rsidRPr="005F3BC8">
              <w:rPr>
                <w:color w:val="000000"/>
                <w:spacing w:val="1"/>
                <w:szCs w:val="20"/>
                <w:shd w:val="solid" w:color="000000" w:fill="000000"/>
                <w:fitText w:val="193" w:id="-760997875"/>
                <w14:textFill>
                  <w14:solidFill>
                    <w14:srgbClr w14:val="000000">
                      <w14:alpha w14:val="100000"/>
                    </w14:srgbClr>
                  </w14:solidFill>
                </w14:textFill>
              </w:rPr>
              <w:t>|</w:t>
            </w:r>
            <w:r w:rsidR="00221B16" w:rsidRPr="00687B1C">
              <w:rPr>
                <w:szCs w:val="20"/>
                <w:vertAlign w:val="superscript"/>
              </w:rPr>
              <w:t>4</w:t>
            </w:r>
          </w:p>
        </w:tc>
        <w:tc>
          <w:tcPr>
            <w:tcW w:w="442" w:type="pct"/>
            <w:vAlign w:val="center"/>
          </w:tcPr>
          <w:p w14:paraId="43B9F91D" w14:textId="77777777" w:rsidR="00091D2A" w:rsidRPr="00872E7D" w:rsidRDefault="00091D2A" w:rsidP="00687B1C">
            <w:pPr>
              <w:pStyle w:val="PBACTabletext"/>
              <w:keepNext w:val="0"/>
              <w:spacing w:after="0"/>
              <w:jc w:val="center"/>
              <w:rPr>
                <w:szCs w:val="20"/>
              </w:rPr>
            </w:pPr>
            <w:r w:rsidRPr="00872E7D">
              <w:rPr>
                <w:szCs w:val="20"/>
              </w:rPr>
              <w:t>-24%</w:t>
            </w:r>
          </w:p>
        </w:tc>
      </w:tr>
    </w:tbl>
    <w:p w14:paraId="4029ADD4" w14:textId="77777777" w:rsidR="00091D2A" w:rsidRPr="006B4C5C" w:rsidRDefault="00091D2A" w:rsidP="00C81C2F">
      <w:pPr>
        <w:pStyle w:val="PBACTblFignote"/>
        <w:jc w:val="both"/>
        <w:rPr>
          <w:lang w:val="en-US"/>
        </w:rPr>
      </w:pPr>
      <w:r w:rsidRPr="006B4C5C">
        <w:rPr>
          <w:lang w:val="en-US"/>
        </w:rPr>
        <w:t>Source: Compiled during the evaluation.</w:t>
      </w:r>
    </w:p>
    <w:p w14:paraId="19FE8246" w14:textId="77777777" w:rsidR="00091D2A" w:rsidRPr="006B4C5C" w:rsidRDefault="00091D2A" w:rsidP="00C81C2F">
      <w:pPr>
        <w:pStyle w:val="PBACTblFignote"/>
        <w:jc w:val="both"/>
      </w:pPr>
      <w:r w:rsidRPr="006B4C5C">
        <w:rPr>
          <w:lang w:val="en-US"/>
        </w:rPr>
        <w:t>Abbreviations: Gem+NabP, gemcitabine plus nanoparticle albumin-bound paclitaxel; FOLFIRINOX, Fluorouracil, Folinic Acid, Irinotecan, Oxaliplatin; nal-IRI, nanoliposomal irinotecan; NALIRIFOX, nanoliposomal irinotecan (nal-IRI) in combination with 5-fluorouracil, leucovorin/folinic acid, and oxaliplatin</w:t>
      </w:r>
      <w:r w:rsidRPr="006B4C5C">
        <w:t>.</w:t>
      </w:r>
    </w:p>
    <w:p w14:paraId="5FC558B0" w14:textId="4C656665" w:rsidR="00A03370" w:rsidRPr="006B4C5C" w:rsidRDefault="00091D2A" w:rsidP="00A03370">
      <w:pPr>
        <w:pStyle w:val="PBACTblFignote"/>
        <w:rPr>
          <w:rFonts w:eastAsia="Calibri"/>
          <w:i/>
          <w:iCs/>
          <w:szCs w:val="20"/>
        </w:rPr>
      </w:pPr>
      <w:r w:rsidRPr="006B4C5C">
        <w:t>Note: Results in italics represent sensitivity analyses undertaking during the evaluation.</w:t>
      </w:r>
      <w:r w:rsidR="00A03370" w:rsidRPr="006B4C5C">
        <w:br/>
      </w:r>
      <w:r w:rsidR="00A03370" w:rsidRPr="006B4C5C">
        <w:rPr>
          <w:rFonts w:eastAsia="Calibri"/>
          <w:i/>
          <w:iCs/>
          <w:szCs w:val="20"/>
        </w:rPr>
        <w:t>The redacted values correspond to the following ranges:</w:t>
      </w:r>
      <w:r w:rsidR="000E3819" w:rsidRPr="006B4C5C">
        <w:rPr>
          <w:rFonts w:eastAsia="Calibri"/>
          <w:i/>
          <w:iCs/>
          <w:szCs w:val="20"/>
        </w:rPr>
        <w:t xml:space="preserve"> </w:t>
      </w:r>
    </w:p>
    <w:p w14:paraId="30E845C9" w14:textId="7404E61D" w:rsidR="00A03370" w:rsidRPr="006B4C5C" w:rsidRDefault="00A03370" w:rsidP="00A03370">
      <w:pPr>
        <w:pStyle w:val="PBACTblFignote"/>
        <w:jc w:val="both"/>
        <w:rPr>
          <w:rFonts w:eastAsia="Calibri"/>
          <w:i/>
          <w:iCs/>
          <w:szCs w:val="20"/>
        </w:rPr>
      </w:pPr>
      <w:r w:rsidRPr="006B4C5C">
        <w:rPr>
          <w:rFonts w:eastAsia="Calibri"/>
          <w:i/>
          <w:iCs/>
          <w:szCs w:val="20"/>
          <w:vertAlign w:val="superscript"/>
        </w:rPr>
        <w:t>1</w:t>
      </w:r>
      <w:r w:rsidR="000E3819" w:rsidRPr="006B4C5C">
        <w:rPr>
          <w:rFonts w:eastAsia="Calibri"/>
          <w:i/>
          <w:iCs/>
          <w:szCs w:val="20"/>
        </w:rPr>
        <w:t xml:space="preserve"> </w:t>
      </w:r>
      <w:r w:rsidR="00F07B8A" w:rsidRPr="006B4C5C">
        <w:rPr>
          <w:rFonts w:eastAsia="Calibri"/>
          <w:i/>
          <w:iCs/>
          <w:szCs w:val="20"/>
        </w:rPr>
        <w:t>$0</w:t>
      </w:r>
      <w:r w:rsidR="00F07B8A" w:rsidRPr="006B4C5C">
        <w:rPr>
          <w:rFonts w:ascii="Arial" w:eastAsia="Calibri" w:hAnsi="Arial"/>
          <w:i/>
          <w:iCs/>
          <w:szCs w:val="20"/>
        </w:rPr>
        <w:t> </w:t>
      </w:r>
      <w:r w:rsidR="00F07B8A" w:rsidRPr="006B4C5C">
        <w:rPr>
          <w:rFonts w:eastAsia="Calibri"/>
          <w:i/>
          <w:iCs/>
          <w:szCs w:val="20"/>
        </w:rPr>
        <w:t>to</w:t>
      </w:r>
      <w:r w:rsidR="00F07B8A" w:rsidRPr="006B4C5C">
        <w:rPr>
          <w:rFonts w:ascii="Arial" w:eastAsia="Calibri" w:hAnsi="Arial"/>
          <w:i/>
          <w:iCs/>
          <w:szCs w:val="20"/>
        </w:rPr>
        <w:t> </w:t>
      </w:r>
      <w:r w:rsidR="00F07B8A" w:rsidRPr="006B4C5C">
        <w:rPr>
          <w:rFonts w:eastAsia="Calibri"/>
          <w:i/>
          <w:iCs/>
          <w:szCs w:val="20"/>
        </w:rPr>
        <w:t>&lt;</w:t>
      </w:r>
      <w:r w:rsidR="00F07B8A" w:rsidRPr="006B4C5C">
        <w:rPr>
          <w:rFonts w:ascii="Arial" w:eastAsia="Calibri" w:hAnsi="Arial"/>
          <w:i/>
          <w:iCs/>
          <w:szCs w:val="20"/>
        </w:rPr>
        <w:t> </w:t>
      </w:r>
      <w:r w:rsidR="00F07B8A" w:rsidRPr="006B4C5C">
        <w:rPr>
          <w:rFonts w:eastAsia="Calibri"/>
          <w:i/>
          <w:iCs/>
          <w:szCs w:val="20"/>
        </w:rPr>
        <w:t>$10</w:t>
      </w:r>
      <w:r w:rsidR="00F07B8A" w:rsidRPr="006B4C5C">
        <w:rPr>
          <w:rFonts w:ascii="Arial" w:eastAsia="Calibri" w:hAnsi="Arial"/>
          <w:i/>
          <w:iCs/>
          <w:szCs w:val="20"/>
        </w:rPr>
        <w:t> </w:t>
      </w:r>
      <w:r w:rsidR="00F07B8A" w:rsidRPr="006B4C5C">
        <w:rPr>
          <w:rFonts w:eastAsia="Calibri"/>
          <w:i/>
          <w:iCs/>
          <w:szCs w:val="20"/>
        </w:rPr>
        <w:t>million </w:t>
      </w:r>
    </w:p>
    <w:p w14:paraId="59C9EE6F" w14:textId="58EA4C99" w:rsidR="00A03370" w:rsidRPr="006B4C5C" w:rsidRDefault="00A03370" w:rsidP="00A03370">
      <w:pPr>
        <w:pStyle w:val="PBACTblFignote"/>
        <w:jc w:val="both"/>
        <w:rPr>
          <w:rFonts w:eastAsia="Calibri"/>
          <w:i/>
          <w:iCs/>
          <w:szCs w:val="20"/>
        </w:rPr>
      </w:pPr>
      <w:r w:rsidRPr="006B4C5C">
        <w:rPr>
          <w:rFonts w:eastAsia="Calibri"/>
          <w:i/>
          <w:iCs/>
          <w:szCs w:val="20"/>
          <w:vertAlign w:val="superscript"/>
        </w:rPr>
        <w:t>2</w:t>
      </w:r>
      <w:r w:rsidR="000E3819" w:rsidRPr="006B4C5C">
        <w:rPr>
          <w:rFonts w:eastAsia="Calibri"/>
          <w:i/>
          <w:iCs/>
          <w:szCs w:val="20"/>
        </w:rPr>
        <w:t xml:space="preserve"> </w:t>
      </w:r>
      <w:r w:rsidR="00497236" w:rsidRPr="006B4C5C">
        <w:rPr>
          <w:rFonts w:eastAsia="Calibri"/>
          <w:i/>
          <w:iCs/>
          <w:szCs w:val="20"/>
        </w:rPr>
        <w:t>$10</w:t>
      </w:r>
      <w:r w:rsidR="00497236" w:rsidRPr="006B4C5C">
        <w:rPr>
          <w:rFonts w:ascii="Arial" w:eastAsia="Calibri" w:hAnsi="Arial"/>
          <w:i/>
          <w:iCs/>
          <w:szCs w:val="20"/>
        </w:rPr>
        <w:t> </w:t>
      </w:r>
      <w:r w:rsidR="00497236" w:rsidRPr="006B4C5C">
        <w:rPr>
          <w:rFonts w:eastAsia="Calibri"/>
          <w:i/>
          <w:iCs/>
          <w:szCs w:val="20"/>
        </w:rPr>
        <w:t>million</w:t>
      </w:r>
      <w:r w:rsidR="00497236" w:rsidRPr="006B4C5C">
        <w:rPr>
          <w:rFonts w:ascii="Arial" w:eastAsia="Calibri" w:hAnsi="Arial"/>
          <w:i/>
          <w:iCs/>
          <w:szCs w:val="20"/>
        </w:rPr>
        <w:t> </w:t>
      </w:r>
      <w:r w:rsidR="00497236" w:rsidRPr="006B4C5C">
        <w:rPr>
          <w:rFonts w:eastAsia="Calibri"/>
          <w:i/>
          <w:iCs/>
          <w:szCs w:val="20"/>
        </w:rPr>
        <w:t>to</w:t>
      </w:r>
      <w:r w:rsidR="00497236" w:rsidRPr="006B4C5C">
        <w:rPr>
          <w:rFonts w:ascii="Arial" w:eastAsia="Calibri" w:hAnsi="Arial"/>
          <w:i/>
          <w:iCs/>
          <w:szCs w:val="20"/>
        </w:rPr>
        <w:t> </w:t>
      </w:r>
      <w:r w:rsidR="00497236" w:rsidRPr="006B4C5C">
        <w:rPr>
          <w:rFonts w:eastAsia="Calibri"/>
          <w:i/>
          <w:iCs/>
          <w:szCs w:val="20"/>
        </w:rPr>
        <w:t>&lt;</w:t>
      </w:r>
      <w:r w:rsidR="00497236" w:rsidRPr="006B4C5C">
        <w:rPr>
          <w:rFonts w:ascii="Arial" w:eastAsia="Calibri" w:hAnsi="Arial"/>
          <w:i/>
          <w:iCs/>
          <w:szCs w:val="20"/>
        </w:rPr>
        <w:t> </w:t>
      </w:r>
      <w:r w:rsidR="00497236" w:rsidRPr="006B4C5C">
        <w:rPr>
          <w:rFonts w:eastAsia="Calibri"/>
          <w:i/>
          <w:iCs/>
          <w:szCs w:val="20"/>
        </w:rPr>
        <w:t>$20</w:t>
      </w:r>
      <w:r w:rsidR="00497236" w:rsidRPr="006B4C5C">
        <w:rPr>
          <w:rFonts w:ascii="Arial" w:eastAsia="Calibri" w:hAnsi="Arial"/>
          <w:i/>
          <w:iCs/>
          <w:szCs w:val="20"/>
        </w:rPr>
        <w:t> </w:t>
      </w:r>
      <w:r w:rsidR="00497236" w:rsidRPr="006B4C5C">
        <w:rPr>
          <w:rFonts w:eastAsia="Calibri"/>
          <w:i/>
          <w:iCs/>
          <w:szCs w:val="20"/>
        </w:rPr>
        <w:t>million </w:t>
      </w:r>
    </w:p>
    <w:p w14:paraId="32CCFDEE" w14:textId="379D12C5" w:rsidR="00A03370" w:rsidRPr="006B4C5C" w:rsidRDefault="00A03370" w:rsidP="00A03370">
      <w:pPr>
        <w:pStyle w:val="PBACTblFignote"/>
        <w:jc w:val="both"/>
        <w:rPr>
          <w:rFonts w:eastAsia="Calibri"/>
          <w:i/>
          <w:iCs/>
          <w:szCs w:val="20"/>
        </w:rPr>
      </w:pPr>
      <w:r w:rsidRPr="006B4C5C">
        <w:rPr>
          <w:rFonts w:eastAsia="Calibri"/>
          <w:i/>
          <w:iCs/>
          <w:szCs w:val="20"/>
          <w:vertAlign w:val="superscript"/>
        </w:rPr>
        <w:t>3</w:t>
      </w:r>
      <w:r w:rsidR="000E3819" w:rsidRPr="006B4C5C">
        <w:rPr>
          <w:rFonts w:eastAsia="Calibri"/>
          <w:i/>
          <w:iCs/>
          <w:szCs w:val="20"/>
        </w:rPr>
        <w:t xml:space="preserve"> </w:t>
      </w:r>
      <w:r w:rsidR="00910FD8" w:rsidRPr="006B4C5C">
        <w:rPr>
          <w:rFonts w:eastAsia="Calibri"/>
          <w:i/>
          <w:iCs/>
          <w:szCs w:val="20"/>
        </w:rPr>
        <w:t>$60</w:t>
      </w:r>
      <w:r w:rsidR="00910FD8" w:rsidRPr="006B4C5C">
        <w:rPr>
          <w:rFonts w:ascii="Arial" w:eastAsia="Calibri" w:hAnsi="Arial"/>
          <w:i/>
          <w:iCs/>
          <w:szCs w:val="20"/>
        </w:rPr>
        <w:t> </w:t>
      </w:r>
      <w:r w:rsidR="00910FD8" w:rsidRPr="006B4C5C">
        <w:rPr>
          <w:rFonts w:eastAsia="Calibri"/>
          <w:i/>
          <w:iCs/>
          <w:szCs w:val="20"/>
        </w:rPr>
        <w:t>million</w:t>
      </w:r>
      <w:r w:rsidR="00910FD8" w:rsidRPr="006B4C5C">
        <w:rPr>
          <w:rFonts w:ascii="Arial" w:eastAsia="Calibri" w:hAnsi="Arial"/>
          <w:i/>
          <w:iCs/>
          <w:szCs w:val="20"/>
        </w:rPr>
        <w:t> </w:t>
      </w:r>
      <w:r w:rsidR="00910FD8" w:rsidRPr="006B4C5C">
        <w:rPr>
          <w:rFonts w:eastAsia="Calibri"/>
          <w:i/>
          <w:iCs/>
          <w:szCs w:val="20"/>
        </w:rPr>
        <w:t>to</w:t>
      </w:r>
      <w:r w:rsidR="00910FD8" w:rsidRPr="006B4C5C">
        <w:rPr>
          <w:rFonts w:ascii="Arial" w:eastAsia="Calibri" w:hAnsi="Arial"/>
          <w:i/>
          <w:iCs/>
          <w:szCs w:val="20"/>
        </w:rPr>
        <w:t> </w:t>
      </w:r>
      <w:r w:rsidR="00910FD8" w:rsidRPr="006B4C5C">
        <w:rPr>
          <w:rFonts w:eastAsia="Calibri"/>
          <w:i/>
          <w:iCs/>
          <w:szCs w:val="20"/>
        </w:rPr>
        <w:t>&lt;</w:t>
      </w:r>
      <w:r w:rsidR="00910FD8" w:rsidRPr="006B4C5C">
        <w:rPr>
          <w:rFonts w:ascii="Arial" w:eastAsia="Calibri" w:hAnsi="Arial"/>
          <w:i/>
          <w:iCs/>
          <w:szCs w:val="20"/>
        </w:rPr>
        <w:t> </w:t>
      </w:r>
      <w:r w:rsidR="00910FD8" w:rsidRPr="006B4C5C">
        <w:rPr>
          <w:rFonts w:eastAsia="Calibri"/>
          <w:i/>
          <w:iCs/>
          <w:szCs w:val="20"/>
        </w:rPr>
        <w:t>$70</w:t>
      </w:r>
      <w:r w:rsidR="00910FD8" w:rsidRPr="006B4C5C">
        <w:rPr>
          <w:rFonts w:ascii="Arial" w:eastAsia="Calibri" w:hAnsi="Arial"/>
          <w:i/>
          <w:iCs/>
          <w:szCs w:val="20"/>
        </w:rPr>
        <w:t> </w:t>
      </w:r>
      <w:r w:rsidR="00910FD8" w:rsidRPr="006B4C5C">
        <w:rPr>
          <w:rFonts w:eastAsia="Calibri"/>
          <w:i/>
          <w:iCs/>
          <w:szCs w:val="20"/>
        </w:rPr>
        <w:t>million </w:t>
      </w:r>
    </w:p>
    <w:p w14:paraId="53D86C41" w14:textId="234A1E5B" w:rsidR="00091D2A" w:rsidRPr="006B4C5C" w:rsidRDefault="00A03370" w:rsidP="006B4C5C">
      <w:pPr>
        <w:pStyle w:val="PBACTblFignote"/>
        <w:keepNext w:val="0"/>
        <w:spacing w:after="120"/>
        <w:contextualSpacing w:val="0"/>
        <w:jc w:val="both"/>
      </w:pPr>
      <w:r w:rsidRPr="006B4C5C">
        <w:rPr>
          <w:rFonts w:eastAsia="Calibri"/>
          <w:i/>
          <w:iCs/>
          <w:szCs w:val="20"/>
          <w:vertAlign w:val="superscript"/>
        </w:rPr>
        <w:t>4</w:t>
      </w:r>
      <w:r w:rsidR="000E3819" w:rsidRPr="006B4C5C">
        <w:rPr>
          <w:rFonts w:eastAsia="Calibri"/>
          <w:i/>
          <w:iCs/>
          <w:szCs w:val="20"/>
        </w:rPr>
        <w:t xml:space="preserve"> </w:t>
      </w:r>
      <w:r w:rsidR="00221B16" w:rsidRPr="006B4C5C">
        <w:rPr>
          <w:rFonts w:eastAsia="Calibri"/>
          <w:i/>
          <w:iCs/>
          <w:szCs w:val="20"/>
        </w:rPr>
        <w:t>$40</w:t>
      </w:r>
      <w:r w:rsidR="00221B16" w:rsidRPr="006B4C5C">
        <w:rPr>
          <w:rFonts w:ascii="Arial" w:eastAsia="Calibri" w:hAnsi="Arial"/>
          <w:i/>
          <w:iCs/>
          <w:szCs w:val="20"/>
        </w:rPr>
        <w:t> </w:t>
      </w:r>
      <w:r w:rsidR="00221B16" w:rsidRPr="006B4C5C">
        <w:rPr>
          <w:rFonts w:eastAsia="Calibri"/>
          <w:i/>
          <w:iCs/>
          <w:szCs w:val="20"/>
        </w:rPr>
        <w:t>million</w:t>
      </w:r>
      <w:r w:rsidR="00221B16" w:rsidRPr="006B4C5C">
        <w:rPr>
          <w:rFonts w:ascii="Arial" w:eastAsia="Calibri" w:hAnsi="Arial"/>
          <w:i/>
          <w:iCs/>
          <w:szCs w:val="20"/>
        </w:rPr>
        <w:t> </w:t>
      </w:r>
      <w:r w:rsidR="00221B16" w:rsidRPr="006B4C5C">
        <w:rPr>
          <w:rFonts w:eastAsia="Calibri"/>
          <w:i/>
          <w:iCs/>
          <w:szCs w:val="20"/>
        </w:rPr>
        <w:t>to</w:t>
      </w:r>
      <w:r w:rsidR="00221B16" w:rsidRPr="006B4C5C">
        <w:rPr>
          <w:rFonts w:ascii="Arial" w:eastAsia="Calibri" w:hAnsi="Arial"/>
          <w:i/>
          <w:iCs/>
          <w:szCs w:val="20"/>
        </w:rPr>
        <w:t> </w:t>
      </w:r>
      <w:r w:rsidR="00221B16" w:rsidRPr="006B4C5C">
        <w:rPr>
          <w:rFonts w:eastAsia="Calibri"/>
          <w:i/>
          <w:iCs/>
          <w:szCs w:val="20"/>
        </w:rPr>
        <w:t>&lt;</w:t>
      </w:r>
      <w:r w:rsidR="00221B16" w:rsidRPr="006B4C5C">
        <w:rPr>
          <w:rFonts w:ascii="Arial" w:eastAsia="Calibri" w:hAnsi="Arial"/>
          <w:i/>
          <w:iCs/>
          <w:szCs w:val="20"/>
        </w:rPr>
        <w:t> </w:t>
      </w:r>
      <w:r w:rsidR="00221B16" w:rsidRPr="006B4C5C">
        <w:rPr>
          <w:rFonts w:eastAsia="Calibri"/>
          <w:i/>
          <w:iCs/>
          <w:szCs w:val="20"/>
        </w:rPr>
        <w:t>$50</w:t>
      </w:r>
      <w:r w:rsidR="00221B16" w:rsidRPr="006B4C5C">
        <w:rPr>
          <w:rFonts w:ascii="Arial" w:eastAsia="Calibri" w:hAnsi="Arial"/>
          <w:i/>
          <w:iCs/>
          <w:szCs w:val="20"/>
        </w:rPr>
        <w:t> </w:t>
      </w:r>
      <w:r w:rsidR="00221B16" w:rsidRPr="006B4C5C">
        <w:rPr>
          <w:rFonts w:eastAsia="Calibri"/>
          <w:i/>
          <w:iCs/>
          <w:szCs w:val="20"/>
        </w:rPr>
        <w:t>million</w:t>
      </w:r>
      <w:r w:rsidR="00221B16" w:rsidRPr="006B4C5C">
        <w:rPr>
          <w:rFonts w:eastAsia="Calibri"/>
          <w:szCs w:val="20"/>
        </w:rPr>
        <w:t> </w:t>
      </w:r>
    </w:p>
    <w:p w14:paraId="3AD09C39" w14:textId="2737B6DE" w:rsidR="00976EEF" w:rsidRPr="00552B0C" w:rsidRDefault="00091D2A" w:rsidP="00976EEF">
      <w:pPr>
        <w:pStyle w:val="3-BodyText"/>
      </w:pPr>
      <w:r w:rsidRPr="00552B0C">
        <w:t>The financial estimates are highly sensitive to the assumed extent of substitution of Gem+NabP by NALIRIFOX and the estimated market share of Gem+NabP and FOLFIRINOX (collectively forming the proposed uptake rate of NALIRIFOX). The PBAC previously noted that financial estimates were highly sensitive to the medicines replaced (para 7.14, irinotecan (nanoliposomal), PSD, March 2024 PBAC submission).</w:t>
      </w:r>
      <w:r w:rsidR="00976EEF" w:rsidRPr="00552B0C">
        <w:t xml:space="preserve"> </w:t>
      </w:r>
    </w:p>
    <w:p w14:paraId="1F54C780" w14:textId="196CCAE6" w:rsidR="00976EEF" w:rsidRDefault="006D04D2" w:rsidP="00976EEF">
      <w:pPr>
        <w:pStyle w:val="3-BodyText"/>
      </w:pPr>
      <w:r>
        <w:t xml:space="preserve">The </w:t>
      </w:r>
      <w:r w:rsidR="00976EEF" w:rsidRPr="00552B0C">
        <w:t xml:space="preserve">ESC advised that given its view the comparator and therapy most likely to be replaced in practice would be FOLFIRINOX (rather than Gem+NabP) </w:t>
      </w:r>
      <w:r w:rsidR="00193B7D">
        <w:t xml:space="preserve">and </w:t>
      </w:r>
      <w:r w:rsidR="00976EEF" w:rsidRPr="00552B0C">
        <w:t>that the utilisation and financial estimates should be revised on that basis.</w:t>
      </w:r>
      <w:r w:rsidR="00552B0C">
        <w:t xml:space="preserve"> </w:t>
      </w:r>
    </w:p>
    <w:p w14:paraId="533A7E74" w14:textId="66D7EAAC" w:rsidR="00552B0C" w:rsidRDefault="00552B0C" w:rsidP="00552B0C">
      <w:pPr>
        <w:pStyle w:val="3-BodyText"/>
        <w:numPr>
          <w:ilvl w:val="0"/>
          <w:numId w:val="0"/>
        </w:numPr>
        <w:ind w:left="720"/>
        <w:rPr>
          <w:i/>
        </w:rPr>
      </w:pPr>
      <w:r w:rsidRPr="00C33D30">
        <w:rPr>
          <w:i/>
        </w:rPr>
        <w:t>For more detail on PBAC’s view, see section 7 PBAC outcome.</w:t>
      </w:r>
      <w:r>
        <w:rPr>
          <w:i/>
        </w:rPr>
        <w:t xml:space="preserve"> </w:t>
      </w:r>
    </w:p>
    <w:p w14:paraId="64051C6E" w14:textId="77777777" w:rsidR="00552B0C" w:rsidRPr="0090150D" w:rsidRDefault="00552B0C" w:rsidP="00552B0C">
      <w:pPr>
        <w:pStyle w:val="2-SectionHeading"/>
        <w:numPr>
          <w:ilvl w:val="0"/>
          <w:numId w:val="1"/>
        </w:numPr>
      </w:pPr>
      <w:bookmarkStart w:id="97" w:name="_Hlk76381249"/>
      <w:r w:rsidRPr="0090150D">
        <w:t>PBAC Outcome</w:t>
      </w:r>
    </w:p>
    <w:p w14:paraId="4604FBE9" w14:textId="279C1BC9" w:rsidR="000C43F6" w:rsidRDefault="000C43F6" w:rsidP="000C43F6">
      <w:pPr>
        <w:pStyle w:val="3-BodyText"/>
        <w:rPr>
          <w:lang w:val="en-GB"/>
        </w:rPr>
      </w:pPr>
      <w:bookmarkStart w:id="98" w:name="_Hlk111543188"/>
      <w:r w:rsidRPr="000C43F6">
        <w:rPr>
          <w:lang w:val="en-GB"/>
        </w:rPr>
        <w:t>The PBAC did not recommend the listing of nanoliposomal irinotecan (nal-IRI), as part of the NALIRIFOX regimen (</w:t>
      </w:r>
      <w:r w:rsidR="00FB2827">
        <w:rPr>
          <w:lang w:val="en-GB"/>
        </w:rPr>
        <w:t>containing</w:t>
      </w:r>
      <w:r w:rsidRPr="000C43F6">
        <w:rPr>
          <w:lang w:val="en-GB"/>
        </w:rPr>
        <w:t xml:space="preserve"> oxaliplatin, 5-fluor</w:t>
      </w:r>
      <w:r w:rsidR="00047D57">
        <w:rPr>
          <w:lang w:val="en-GB"/>
        </w:rPr>
        <w:t>our</w:t>
      </w:r>
      <w:r w:rsidRPr="000C43F6">
        <w:rPr>
          <w:lang w:val="en-GB"/>
        </w:rPr>
        <w:t>acil</w:t>
      </w:r>
      <w:r w:rsidR="00047D57">
        <w:rPr>
          <w:lang w:val="en-GB"/>
        </w:rPr>
        <w:t xml:space="preserve"> (5-FU)</w:t>
      </w:r>
      <w:r w:rsidRPr="000C43F6">
        <w:rPr>
          <w:lang w:val="en-GB"/>
        </w:rPr>
        <w:t xml:space="preserve"> and folinic acid/le</w:t>
      </w:r>
      <w:r w:rsidR="00047D57">
        <w:rPr>
          <w:lang w:val="en-GB"/>
        </w:rPr>
        <w:t>u</w:t>
      </w:r>
      <w:r w:rsidRPr="000C43F6">
        <w:rPr>
          <w:lang w:val="en-GB"/>
        </w:rPr>
        <w:t xml:space="preserve">covorin), for the treatment of metastatic pancreatic adenocarcinoma (mPAC). </w:t>
      </w:r>
      <w:r w:rsidR="00722DE2">
        <w:rPr>
          <w:lang w:val="en-GB"/>
        </w:rPr>
        <w:t>Consistent with its previous advice, t</w:t>
      </w:r>
      <w:r w:rsidR="00722DE2" w:rsidRPr="00456281">
        <w:t xml:space="preserve">he PBAC considered that the combination regimen known as FOLFIRINOX (containing irinotecan, 5-FU, LV and oxaliplatin) was the relevant main comparator in the proposed population, rather than gemcitabine with nanoparticle albumin-bound paclitaxel (Gem+NabP) as nominated by the </w:t>
      </w:r>
      <w:r w:rsidR="00722DE2">
        <w:t>re</w:t>
      </w:r>
      <w:r w:rsidR="00722DE2" w:rsidRPr="00456281">
        <w:t>submission.</w:t>
      </w:r>
      <w:r w:rsidR="000E3819">
        <w:t xml:space="preserve"> </w:t>
      </w:r>
      <w:r w:rsidRPr="000C43F6">
        <w:rPr>
          <w:lang w:val="en-GB"/>
        </w:rPr>
        <w:t xml:space="preserve">In not recommending the listing, the Committee considered the resubmission had not substantively addressed </w:t>
      </w:r>
      <w:r w:rsidR="00F70783" w:rsidRPr="000C43F6">
        <w:rPr>
          <w:lang w:val="en-GB"/>
        </w:rPr>
        <w:t>its</w:t>
      </w:r>
      <w:r w:rsidRPr="000C43F6">
        <w:rPr>
          <w:lang w:val="en-GB"/>
        </w:rPr>
        <w:t xml:space="preserve"> previous concerns relating to the comparator and that the comparative clinical evidence did not adequately support the </w:t>
      </w:r>
      <w:r w:rsidRPr="000C43F6">
        <w:rPr>
          <w:lang w:val="en-GB"/>
        </w:rPr>
        <w:lastRenderedPageBreak/>
        <w:t xml:space="preserve">claims made in the submission. Therefore, the PBAC considered the economic analysis approach taken by the resubmission was </w:t>
      </w:r>
      <w:r w:rsidR="000816CF">
        <w:rPr>
          <w:lang w:val="en-GB"/>
        </w:rPr>
        <w:t>not informative</w:t>
      </w:r>
      <w:r w:rsidRPr="000C43F6">
        <w:rPr>
          <w:lang w:val="en-GB"/>
        </w:rPr>
        <w:t xml:space="preserve">. </w:t>
      </w:r>
    </w:p>
    <w:p w14:paraId="3C2A07E0" w14:textId="6D92604A" w:rsidR="00C40279" w:rsidRPr="000C43F6" w:rsidRDefault="00C40279" w:rsidP="000C43F6">
      <w:pPr>
        <w:pStyle w:val="3-BodyText"/>
        <w:rPr>
          <w:lang w:val="en-GB"/>
        </w:rPr>
      </w:pPr>
      <w:r>
        <w:rPr>
          <w:lang w:val="en-GB"/>
        </w:rPr>
        <w:t>The main reason for this outcome was due to inappropriate comparator selection.</w:t>
      </w:r>
    </w:p>
    <w:p w14:paraId="7C0F2D24" w14:textId="60DB0364" w:rsidR="000C43F6" w:rsidRPr="000C43F6" w:rsidRDefault="000C43F6" w:rsidP="000C43F6">
      <w:pPr>
        <w:pStyle w:val="3-BodyText"/>
        <w:rPr>
          <w:lang w:val="en-GB"/>
        </w:rPr>
      </w:pPr>
      <w:r w:rsidRPr="000C43F6">
        <w:rPr>
          <w:lang w:val="en-GB"/>
        </w:rPr>
        <w:t xml:space="preserve">The PBAC recognised there remains a high clinical need for effective therapies for mPAC and there is a strong desire from patients and their families for improved treatments. However, the Committee considered the presented evidence </w:t>
      </w:r>
      <w:r w:rsidR="00722DE2">
        <w:rPr>
          <w:lang w:val="en-GB"/>
        </w:rPr>
        <w:t>did</w:t>
      </w:r>
      <w:r w:rsidR="00722DE2" w:rsidRPr="000C43F6">
        <w:rPr>
          <w:lang w:val="en-GB"/>
        </w:rPr>
        <w:t xml:space="preserve"> </w:t>
      </w:r>
      <w:r w:rsidRPr="000C43F6">
        <w:rPr>
          <w:lang w:val="en-GB"/>
        </w:rPr>
        <w:t xml:space="preserve">not adequately support a conclusion that </w:t>
      </w:r>
      <w:r w:rsidR="00936768">
        <w:rPr>
          <w:lang w:val="en-GB"/>
        </w:rPr>
        <w:t>the NALIRIFOX regimen</w:t>
      </w:r>
      <w:r w:rsidRPr="000C43F6">
        <w:rPr>
          <w:lang w:val="en-GB"/>
        </w:rPr>
        <w:t xml:space="preserve"> is superior in terms of comparative effectiveness or safety to</w:t>
      </w:r>
      <w:r w:rsidR="00936768">
        <w:rPr>
          <w:lang w:val="en-GB"/>
        </w:rPr>
        <w:t xml:space="preserve"> the FOLFIRINOX regimen (containing </w:t>
      </w:r>
      <w:r w:rsidRPr="000C43F6">
        <w:rPr>
          <w:lang w:val="en-GB"/>
        </w:rPr>
        <w:t>regular irinotecan</w:t>
      </w:r>
      <w:r w:rsidR="00936768">
        <w:rPr>
          <w:lang w:val="en-GB"/>
        </w:rPr>
        <w:t>)</w:t>
      </w:r>
      <w:r w:rsidRPr="000C43F6">
        <w:rPr>
          <w:lang w:val="en-GB"/>
        </w:rPr>
        <w:t xml:space="preserve">, therefore a listing of nal-IRI would not substantively address this need. </w:t>
      </w:r>
    </w:p>
    <w:p w14:paraId="460AB7A8" w14:textId="135C370D" w:rsidR="000C43F6" w:rsidRDefault="000C43F6" w:rsidP="000C43F6">
      <w:pPr>
        <w:pStyle w:val="3-BodyText"/>
        <w:rPr>
          <w:lang w:val="en-GB"/>
        </w:rPr>
      </w:pPr>
      <w:r w:rsidRPr="000C43F6">
        <w:rPr>
          <w:lang w:val="en-GB"/>
        </w:rPr>
        <w:t>The Committee noted the resubmission had amended t</w:t>
      </w:r>
      <w:r w:rsidR="00302CA3">
        <w:rPr>
          <w:lang w:val="en-GB"/>
        </w:rPr>
        <w:t>he</w:t>
      </w:r>
      <w:r w:rsidRPr="000C43F6">
        <w:rPr>
          <w:lang w:val="en-GB"/>
        </w:rPr>
        <w:t xml:space="preserve"> requested listing to exclude patients with an ECOG performance status of 2, aligning the requested population for nal-IRI (as part of the NALIRIFOX regimen) with that of standard irinotecan (as part of the FOLFIRINOX regimen) and </w:t>
      </w:r>
      <w:r w:rsidR="00FE2B68" w:rsidRPr="000C43F6">
        <w:rPr>
          <w:lang w:val="en-GB"/>
        </w:rPr>
        <w:t>considered</w:t>
      </w:r>
      <w:r w:rsidRPr="000C43F6">
        <w:rPr>
          <w:lang w:val="en-GB"/>
        </w:rPr>
        <w:t xml:space="preserve"> this was reasonable, as the populations</w:t>
      </w:r>
      <w:r>
        <w:rPr>
          <w:lang w:val="en-GB"/>
        </w:rPr>
        <w:t xml:space="preserve"> and place in therapy</w:t>
      </w:r>
      <w:r w:rsidRPr="000C43F6">
        <w:rPr>
          <w:lang w:val="en-GB"/>
        </w:rPr>
        <w:t xml:space="preserve"> </w:t>
      </w:r>
      <w:r>
        <w:rPr>
          <w:lang w:val="en-GB"/>
        </w:rPr>
        <w:t>for these treatments</w:t>
      </w:r>
      <w:r w:rsidRPr="000C43F6">
        <w:rPr>
          <w:lang w:val="en-GB"/>
        </w:rPr>
        <w:t xml:space="preserve"> </w:t>
      </w:r>
      <w:r w:rsidR="005035AB">
        <w:rPr>
          <w:lang w:val="en-GB"/>
        </w:rPr>
        <w:t xml:space="preserve">were </w:t>
      </w:r>
      <w:r>
        <w:rPr>
          <w:lang w:val="en-GB"/>
        </w:rPr>
        <w:t>effectively</w:t>
      </w:r>
      <w:r w:rsidRPr="000C43F6">
        <w:rPr>
          <w:lang w:val="en-GB"/>
        </w:rPr>
        <w:t xml:space="preserve"> the same.</w:t>
      </w:r>
    </w:p>
    <w:bookmarkEnd w:id="98"/>
    <w:p w14:paraId="55D25391" w14:textId="58817989" w:rsidR="00936768" w:rsidRDefault="00936768" w:rsidP="00552B0C">
      <w:pPr>
        <w:widowControl w:val="0"/>
        <w:numPr>
          <w:ilvl w:val="1"/>
          <w:numId w:val="1"/>
        </w:numPr>
        <w:spacing w:after="120"/>
        <w:rPr>
          <w:rFonts w:asciiTheme="minorHAnsi" w:hAnsiTheme="minorHAnsi"/>
          <w:snapToGrid w:val="0"/>
          <w:lang w:val="en-GB"/>
        </w:rPr>
      </w:pPr>
      <w:r w:rsidRPr="00936768">
        <w:rPr>
          <w:rFonts w:asciiTheme="minorHAnsi" w:hAnsiTheme="minorHAnsi"/>
          <w:snapToGrid w:val="0"/>
          <w:lang w:val="en-GB"/>
        </w:rPr>
        <w:t xml:space="preserve">The PBAC recalled the original submission in March 2024 had nominated a chemotherapy regimen of gemcitabine plus nanoparticle albumin-bound paclitaxel (Gem+NabP) as the sole comparator and its advice that any resubmission should nominate FOLFIRINOX as the main comparator, and if there was insufficient evidence to support a claim of superiority of the NALIRIFOX over FOLFIRINOX, the appropriate form of economic evaluation would be a cost minimisation approach (see paragraph </w:t>
      </w:r>
      <w:r w:rsidR="00F70783">
        <w:rPr>
          <w:rFonts w:asciiTheme="minorHAnsi" w:hAnsiTheme="minorHAnsi"/>
          <w:snapToGrid w:val="0"/>
          <w:lang w:val="en-GB"/>
        </w:rPr>
        <w:fldChar w:fldCharType="begin" w:fldLock="1"/>
      </w:r>
      <w:r w:rsidR="00F70783">
        <w:rPr>
          <w:rFonts w:asciiTheme="minorHAnsi" w:hAnsiTheme="minorHAnsi"/>
          <w:snapToGrid w:val="0"/>
          <w:lang w:val="en-GB"/>
        </w:rPr>
        <w:instrText xml:space="preserve"> REF _Ref183594962 \r \h </w:instrText>
      </w:r>
      <w:r w:rsidR="00F70783">
        <w:rPr>
          <w:rFonts w:asciiTheme="minorHAnsi" w:hAnsiTheme="minorHAnsi"/>
          <w:snapToGrid w:val="0"/>
          <w:lang w:val="en-GB"/>
        </w:rPr>
      </w:r>
      <w:r w:rsidR="00F70783">
        <w:rPr>
          <w:rFonts w:asciiTheme="minorHAnsi" w:hAnsiTheme="minorHAnsi"/>
          <w:snapToGrid w:val="0"/>
          <w:lang w:val="en-GB"/>
        </w:rPr>
        <w:fldChar w:fldCharType="separate"/>
      </w:r>
      <w:r w:rsidR="001C19B6">
        <w:rPr>
          <w:rFonts w:asciiTheme="minorHAnsi" w:hAnsiTheme="minorHAnsi"/>
          <w:snapToGrid w:val="0"/>
          <w:lang w:val="en-GB"/>
        </w:rPr>
        <w:t>5.3</w:t>
      </w:r>
      <w:r w:rsidR="00F70783">
        <w:rPr>
          <w:rFonts w:asciiTheme="minorHAnsi" w:hAnsiTheme="minorHAnsi"/>
          <w:snapToGrid w:val="0"/>
          <w:lang w:val="en-GB"/>
        </w:rPr>
        <w:fldChar w:fldCharType="end"/>
      </w:r>
      <w:r w:rsidR="00F70783">
        <w:rPr>
          <w:rFonts w:asciiTheme="minorHAnsi" w:hAnsiTheme="minorHAnsi"/>
          <w:snapToGrid w:val="0"/>
          <w:lang w:val="en-GB"/>
        </w:rPr>
        <w:t>-</w:t>
      </w:r>
      <w:r w:rsidR="00F70783">
        <w:rPr>
          <w:rFonts w:asciiTheme="minorHAnsi" w:hAnsiTheme="minorHAnsi"/>
          <w:snapToGrid w:val="0"/>
          <w:lang w:val="en-GB"/>
        </w:rPr>
        <w:fldChar w:fldCharType="begin" w:fldLock="1"/>
      </w:r>
      <w:r w:rsidR="00F70783">
        <w:rPr>
          <w:rFonts w:asciiTheme="minorHAnsi" w:hAnsiTheme="minorHAnsi"/>
          <w:snapToGrid w:val="0"/>
          <w:lang w:val="en-GB"/>
        </w:rPr>
        <w:instrText xml:space="preserve"> REF _Ref183594967 \r \h </w:instrText>
      </w:r>
      <w:r w:rsidR="00F70783">
        <w:rPr>
          <w:rFonts w:asciiTheme="minorHAnsi" w:hAnsiTheme="minorHAnsi"/>
          <w:snapToGrid w:val="0"/>
          <w:lang w:val="en-GB"/>
        </w:rPr>
      </w:r>
      <w:r w:rsidR="00F70783">
        <w:rPr>
          <w:rFonts w:asciiTheme="minorHAnsi" w:hAnsiTheme="minorHAnsi"/>
          <w:snapToGrid w:val="0"/>
          <w:lang w:val="en-GB"/>
        </w:rPr>
        <w:fldChar w:fldCharType="separate"/>
      </w:r>
      <w:r w:rsidR="001C19B6">
        <w:rPr>
          <w:rFonts w:asciiTheme="minorHAnsi" w:hAnsiTheme="minorHAnsi"/>
          <w:snapToGrid w:val="0"/>
          <w:lang w:val="en-GB"/>
        </w:rPr>
        <w:t>5.5</w:t>
      </w:r>
      <w:r w:rsidR="00F70783">
        <w:rPr>
          <w:rFonts w:asciiTheme="minorHAnsi" w:hAnsiTheme="minorHAnsi"/>
          <w:snapToGrid w:val="0"/>
          <w:lang w:val="en-GB"/>
        </w:rPr>
        <w:fldChar w:fldCharType="end"/>
      </w:r>
      <w:r w:rsidRPr="00936768">
        <w:rPr>
          <w:rFonts w:asciiTheme="minorHAnsi" w:hAnsiTheme="minorHAnsi"/>
          <w:snapToGrid w:val="0"/>
          <w:lang w:val="en-GB"/>
        </w:rPr>
        <w:t xml:space="preserve">). The Committee noted the resubmission had nominated a weighted comparator of 75% Gem+NabP and 25% FOLFIRINOX, with the PSCR arguing that NALIRIFOX will primarily replace Gem+NabP in practice and that a cost minimisation would result in a lower price for NALIRIFOX than Gem+NabP, which </w:t>
      </w:r>
      <w:r w:rsidR="005035AB">
        <w:rPr>
          <w:rFonts w:asciiTheme="minorHAnsi" w:hAnsiTheme="minorHAnsi"/>
          <w:snapToGrid w:val="0"/>
          <w:lang w:val="en-GB"/>
        </w:rPr>
        <w:t xml:space="preserve">the sponsor considered </w:t>
      </w:r>
      <w:r w:rsidRPr="00936768">
        <w:rPr>
          <w:rFonts w:asciiTheme="minorHAnsi" w:hAnsiTheme="minorHAnsi"/>
          <w:snapToGrid w:val="0"/>
          <w:lang w:val="en-GB"/>
        </w:rPr>
        <w:t>was inappropriate as there was randomised controlled trial (RCT) evidence showing superior overall survival (OS) for NALI</w:t>
      </w:r>
      <w:r w:rsidR="00FB2827">
        <w:rPr>
          <w:rFonts w:asciiTheme="minorHAnsi" w:hAnsiTheme="minorHAnsi"/>
          <w:snapToGrid w:val="0"/>
          <w:lang w:val="en-GB"/>
        </w:rPr>
        <w:t>R</w:t>
      </w:r>
      <w:r w:rsidRPr="00936768">
        <w:rPr>
          <w:rFonts w:asciiTheme="minorHAnsi" w:hAnsiTheme="minorHAnsi"/>
          <w:snapToGrid w:val="0"/>
          <w:lang w:val="en-GB"/>
        </w:rPr>
        <w:t xml:space="preserve">IFOX over Gem+NabP (see paragraph </w:t>
      </w:r>
      <w:r w:rsidR="00F70783">
        <w:rPr>
          <w:rFonts w:asciiTheme="minorHAnsi" w:hAnsiTheme="minorHAnsi"/>
          <w:snapToGrid w:val="0"/>
          <w:lang w:val="en-GB"/>
        </w:rPr>
        <w:fldChar w:fldCharType="begin" w:fldLock="1"/>
      </w:r>
      <w:r w:rsidR="00F70783">
        <w:rPr>
          <w:rFonts w:asciiTheme="minorHAnsi" w:hAnsiTheme="minorHAnsi"/>
          <w:snapToGrid w:val="0"/>
          <w:lang w:val="en-GB"/>
        </w:rPr>
        <w:instrText xml:space="preserve"> REF _Ref183594947 \r \h </w:instrText>
      </w:r>
      <w:r w:rsidR="00F70783">
        <w:rPr>
          <w:rFonts w:asciiTheme="minorHAnsi" w:hAnsiTheme="minorHAnsi"/>
          <w:snapToGrid w:val="0"/>
          <w:lang w:val="en-GB"/>
        </w:rPr>
      </w:r>
      <w:r w:rsidR="00F70783">
        <w:rPr>
          <w:rFonts w:asciiTheme="minorHAnsi" w:hAnsiTheme="minorHAnsi"/>
          <w:snapToGrid w:val="0"/>
          <w:lang w:val="en-GB"/>
        </w:rPr>
        <w:fldChar w:fldCharType="separate"/>
      </w:r>
      <w:r w:rsidR="001C19B6">
        <w:rPr>
          <w:rFonts w:asciiTheme="minorHAnsi" w:hAnsiTheme="minorHAnsi"/>
          <w:snapToGrid w:val="0"/>
          <w:lang w:val="en-GB"/>
        </w:rPr>
        <w:t>5.6</w:t>
      </w:r>
      <w:r w:rsidR="00F70783">
        <w:rPr>
          <w:rFonts w:asciiTheme="minorHAnsi" w:hAnsiTheme="minorHAnsi"/>
          <w:snapToGrid w:val="0"/>
          <w:lang w:val="en-GB"/>
        </w:rPr>
        <w:fldChar w:fldCharType="end"/>
      </w:r>
      <w:r w:rsidRPr="00936768">
        <w:rPr>
          <w:rFonts w:asciiTheme="minorHAnsi" w:hAnsiTheme="minorHAnsi"/>
          <w:snapToGrid w:val="0"/>
          <w:lang w:val="en-GB"/>
        </w:rPr>
        <w:t>). However, the PBAC considered that in practice, the population most likely to be considered for NALIRIFOX was most aligned with the population who would receive FOLFIRINOX and considered the nomination of Gem+NabP as the primary comparator remained inappropriate.</w:t>
      </w:r>
      <w:r w:rsidR="00AC2400">
        <w:rPr>
          <w:rFonts w:asciiTheme="minorHAnsi" w:hAnsiTheme="minorHAnsi"/>
          <w:snapToGrid w:val="0"/>
          <w:lang w:val="en-GB"/>
        </w:rPr>
        <w:t xml:space="preserve"> T</w:t>
      </w:r>
      <w:r w:rsidR="00AC2400" w:rsidRPr="00AC2400">
        <w:rPr>
          <w:rFonts w:asciiTheme="minorHAnsi" w:hAnsiTheme="minorHAnsi"/>
          <w:snapToGrid w:val="0"/>
          <w:lang w:val="en-GB"/>
        </w:rPr>
        <w:t>he PBAC</w:t>
      </w:r>
      <w:r w:rsidR="00AC2400">
        <w:rPr>
          <w:rFonts w:asciiTheme="minorHAnsi" w:hAnsiTheme="minorHAnsi"/>
          <w:snapToGrid w:val="0"/>
          <w:lang w:val="en-GB"/>
        </w:rPr>
        <w:t xml:space="preserve"> considered this view on the likely population and appropriate comparator</w:t>
      </w:r>
      <w:r w:rsidR="00D96A1E">
        <w:rPr>
          <w:rFonts w:asciiTheme="minorHAnsi" w:hAnsiTheme="minorHAnsi"/>
          <w:snapToGrid w:val="0"/>
          <w:lang w:val="en-GB"/>
        </w:rPr>
        <w:t xml:space="preserve"> for NALIRIFOX</w:t>
      </w:r>
      <w:r w:rsidR="00AC2400">
        <w:rPr>
          <w:rFonts w:asciiTheme="minorHAnsi" w:hAnsiTheme="minorHAnsi"/>
          <w:snapToGrid w:val="0"/>
          <w:lang w:val="en-GB"/>
        </w:rPr>
        <w:t xml:space="preserve"> was further reinforced by the available safety data, which indicated the </w:t>
      </w:r>
      <w:r w:rsidR="00AC2400" w:rsidRPr="00AC2400">
        <w:rPr>
          <w:rFonts w:asciiTheme="minorHAnsi" w:hAnsiTheme="minorHAnsi"/>
          <w:snapToGrid w:val="0"/>
          <w:lang w:val="en-GB"/>
        </w:rPr>
        <w:t>adverse event profiles of NALIRIFOX and Gem+NabP are different, and the gastrointestinal side effects of NALIRIFOX are more likely to require hospitalisation and negatively impact quality of life</w:t>
      </w:r>
      <w:r w:rsidR="00AC2400">
        <w:rPr>
          <w:rFonts w:asciiTheme="minorHAnsi" w:hAnsiTheme="minorHAnsi"/>
          <w:snapToGrid w:val="0"/>
          <w:lang w:val="en-GB"/>
        </w:rPr>
        <w:t xml:space="preserve">, </w:t>
      </w:r>
      <w:r w:rsidR="00D96A1E">
        <w:rPr>
          <w:rFonts w:asciiTheme="minorHAnsi" w:hAnsiTheme="minorHAnsi"/>
          <w:snapToGrid w:val="0"/>
          <w:lang w:val="en-GB"/>
        </w:rPr>
        <w:t>whilst</w:t>
      </w:r>
      <w:r w:rsidR="00AC2400">
        <w:rPr>
          <w:rFonts w:asciiTheme="minorHAnsi" w:hAnsiTheme="minorHAnsi"/>
          <w:snapToGrid w:val="0"/>
          <w:lang w:val="en-GB"/>
        </w:rPr>
        <w:t xml:space="preserve"> NALIRIFOX and FOLFIRINOX</w:t>
      </w:r>
      <w:r w:rsidR="00D96A1E">
        <w:rPr>
          <w:rFonts w:asciiTheme="minorHAnsi" w:hAnsiTheme="minorHAnsi"/>
          <w:snapToGrid w:val="0"/>
          <w:lang w:val="en-GB"/>
        </w:rPr>
        <w:t xml:space="preserve"> are likely to have similar toxicities</w:t>
      </w:r>
      <w:r w:rsidR="00AC2400">
        <w:rPr>
          <w:rFonts w:asciiTheme="minorHAnsi" w:hAnsiTheme="minorHAnsi"/>
          <w:snapToGrid w:val="0"/>
          <w:lang w:val="en-GB"/>
        </w:rPr>
        <w:t xml:space="preserve"> (discussed further below)</w:t>
      </w:r>
      <w:r w:rsidR="00D96A1E">
        <w:rPr>
          <w:rFonts w:asciiTheme="minorHAnsi" w:hAnsiTheme="minorHAnsi"/>
          <w:snapToGrid w:val="0"/>
          <w:lang w:val="en-GB"/>
        </w:rPr>
        <w:t xml:space="preserve">. </w:t>
      </w:r>
      <w:bookmarkStart w:id="99" w:name="_Hlk184146939"/>
      <w:r w:rsidRPr="00936768">
        <w:rPr>
          <w:rFonts w:asciiTheme="minorHAnsi" w:hAnsiTheme="minorHAnsi"/>
          <w:snapToGrid w:val="0"/>
          <w:lang w:val="en-GB"/>
        </w:rPr>
        <w:t xml:space="preserve">Furthermore, as the Committee considered the evidence did not substantiate a claim that NALIRIFOX is superior to FOLFIRINOX (discussed further in the paragraphs below), and the resubmission did not identify a cohort of patients who could not receive FOLFIRINOX but could be considered eligible for NALIRIFOX, that the weighted comparator approach used in the submission was also inappropriate. On that basis, the PBAC re-affirmed its previously expressed view that FOLFIRINOX was the appropriate comparator for NALIRIFOX. </w:t>
      </w:r>
    </w:p>
    <w:bookmarkEnd w:id="99"/>
    <w:p w14:paraId="280CDEBC" w14:textId="2DCD9407" w:rsidR="00EB03A3" w:rsidRDefault="00EB03A3" w:rsidP="00552B0C">
      <w:pPr>
        <w:widowControl w:val="0"/>
        <w:numPr>
          <w:ilvl w:val="1"/>
          <w:numId w:val="1"/>
        </w:numPr>
        <w:spacing w:after="120"/>
        <w:rPr>
          <w:rFonts w:asciiTheme="minorHAnsi" w:hAnsiTheme="minorHAnsi"/>
          <w:snapToGrid w:val="0"/>
          <w:lang w:val="en-GB"/>
        </w:rPr>
      </w:pPr>
      <w:r w:rsidRPr="00EB03A3">
        <w:rPr>
          <w:rFonts w:asciiTheme="minorHAnsi" w:hAnsiTheme="minorHAnsi"/>
          <w:snapToGrid w:val="0"/>
          <w:lang w:val="en-GB"/>
        </w:rPr>
        <w:lastRenderedPageBreak/>
        <w:t>The PBAC noted that compared to the March 2024 submission, the resubmission had not included any new clinical trials</w:t>
      </w:r>
      <w:r w:rsidR="00F70783">
        <w:rPr>
          <w:rFonts w:asciiTheme="minorHAnsi" w:hAnsiTheme="minorHAnsi"/>
          <w:snapToGrid w:val="0"/>
          <w:lang w:val="en-GB"/>
        </w:rPr>
        <w:t xml:space="preserve"> but </w:t>
      </w:r>
      <w:r w:rsidRPr="00EB03A3">
        <w:rPr>
          <w:rFonts w:asciiTheme="minorHAnsi" w:hAnsiTheme="minorHAnsi"/>
          <w:snapToGrid w:val="0"/>
          <w:lang w:val="en-GB"/>
        </w:rPr>
        <w:t>noted updated results for the overall survival (OS) outcome from the pivotal NAPOLI-3 trial out to a median follow-up of 29.5</w:t>
      </w:r>
      <w:r w:rsidR="006B4C5C">
        <w:rPr>
          <w:rFonts w:asciiTheme="minorHAnsi" w:hAnsiTheme="minorHAnsi"/>
          <w:snapToGrid w:val="0"/>
          <w:lang w:val="en-GB"/>
        </w:rPr>
        <w:t> </w:t>
      </w:r>
      <w:r w:rsidRPr="00EB03A3">
        <w:rPr>
          <w:rFonts w:asciiTheme="minorHAnsi" w:hAnsiTheme="minorHAnsi"/>
          <w:snapToGrid w:val="0"/>
          <w:lang w:val="en-GB"/>
        </w:rPr>
        <w:t>months was provided (based on patient-level data and a poster presentation</w:t>
      </w:r>
      <w:r w:rsidR="006561D9">
        <w:rPr>
          <w:rFonts w:asciiTheme="minorHAnsi" w:hAnsiTheme="minorHAnsi"/>
          <w:snapToGrid w:val="0"/>
          <w:lang w:val="en-GB"/>
        </w:rPr>
        <w:t xml:space="preserve">, </w:t>
      </w:r>
      <w:r w:rsidRPr="00EB03A3">
        <w:rPr>
          <w:rFonts w:asciiTheme="minorHAnsi" w:hAnsiTheme="minorHAnsi"/>
          <w:snapToGrid w:val="0"/>
          <w:lang w:val="en-GB"/>
        </w:rPr>
        <w:t xml:space="preserve">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_Ref183529315 \r \h </w:instrText>
      </w:r>
      <w:r>
        <w:rPr>
          <w:rFonts w:asciiTheme="minorHAnsi" w:hAnsiTheme="minorHAnsi"/>
          <w:snapToGrid w:val="0"/>
          <w:lang w:val="en-GB"/>
        </w:rPr>
      </w:r>
      <w:r>
        <w:rPr>
          <w:rFonts w:asciiTheme="minorHAnsi" w:hAnsiTheme="minorHAnsi"/>
          <w:snapToGrid w:val="0"/>
          <w:lang w:val="en-GB"/>
        </w:rPr>
        <w:fldChar w:fldCharType="separate"/>
      </w:r>
      <w:r w:rsidR="001C19B6">
        <w:rPr>
          <w:rFonts w:asciiTheme="minorHAnsi" w:hAnsiTheme="minorHAnsi"/>
          <w:snapToGrid w:val="0"/>
          <w:lang w:val="en-GB"/>
        </w:rPr>
        <w:t>6.7</w:t>
      </w:r>
      <w:r>
        <w:rPr>
          <w:rFonts w:asciiTheme="minorHAnsi" w:hAnsiTheme="minorHAnsi"/>
          <w:snapToGrid w:val="0"/>
          <w:lang w:val="en-GB"/>
        </w:rPr>
        <w:fldChar w:fldCharType="end"/>
      </w:r>
      <w:r w:rsidRPr="00EB03A3">
        <w:rPr>
          <w:rFonts w:asciiTheme="minorHAnsi" w:hAnsiTheme="minorHAnsi"/>
          <w:snapToGrid w:val="0"/>
          <w:lang w:val="en-GB"/>
        </w:rPr>
        <w:t>). The PBAC also noted the presented evidence from the GENERATE trial, which was used to inform a single-ste</w:t>
      </w:r>
      <w:r>
        <w:rPr>
          <w:rFonts w:asciiTheme="minorHAnsi" w:hAnsiTheme="minorHAnsi"/>
          <w:snapToGrid w:val="0"/>
          <w:lang w:val="en-GB"/>
        </w:rPr>
        <w:t>p</w:t>
      </w:r>
      <w:r w:rsidRPr="00EB03A3">
        <w:rPr>
          <w:rFonts w:asciiTheme="minorHAnsi" w:hAnsiTheme="minorHAnsi"/>
          <w:snapToGrid w:val="0"/>
          <w:lang w:val="en-GB"/>
        </w:rPr>
        <w:t xml:space="preserve"> indirect treatment comparison (ITC) of NALIRIFOX and FOLFIRINOX, remained limited to an abstract, a deck of presentation slides and a published protocol (see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_Ref183529322 \r \h </w:instrText>
      </w:r>
      <w:r>
        <w:rPr>
          <w:rFonts w:asciiTheme="minorHAnsi" w:hAnsiTheme="minorHAnsi"/>
          <w:snapToGrid w:val="0"/>
          <w:lang w:val="en-GB"/>
        </w:rPr>
      </w:r>
      <w:r>
        <w:rPr>
          <w:rFonts w:asciiTheme="minorHAnsi" w:hAnsiTheme="minorHAnsi"/>
          <w:snapToGrid w:val="0"/>
          <w:lang w:val="en-GB"/>
        </w:rPr>
        <w:fldChar w:fldCharType="separate"/>
      </w:r>
      <w:r w:rsidR="001C19B6">
        <w:rPr>
          <w:rFonts w:asciiTheme="minorHAnsi" w:hAnsiTheme="minorHAnsi"/>
          <w:snapToGrid w:val="0"/>
          <w:lang w:val="en-GB"/>
        </w:rPr>
        <w:t>6.6</w:t>
      </w:r>
      <w:r>
        <w:rPr>
          <w:rFonts w:asciiTheme="minorHAnsi" w:hAnsiTheme="minorHAnsi"/>
          <w:snapToGrid w:val="0"/>
          <w:lang w:val="en-GB"/>
        </w:rPr>
        <w:fldChar w:fldCharType="end"/>
      </w:r>
      <w:r w:rsidRPr="00EB03A3">
        <w:rPr>
          <w:rFonts w:asciiTheme="minorHAnsi" w:hAnsiTheme="minorHAnsi"/>
          <w:snapToGrid w:val="0"/>
          <w:lang w:val="en-GB"/>
        </w:rPr>
        <w:t>). The Committee further noted that whilst the MPACT and ACCORD11/PRODIGE4 trials from the previous submission were included, the resubmission argued the multi-step indirect treatment comparisons (ITCs) of NALIRIFOX and FOLFIRINOX</w:t>
      </w:r>
      <w:r w:rsidR="00913CA7">
        <w:rPr>
          <w:rFonts w:asciiTheme="minorHAnsi" w:hAnsiTheme="minorHAnsi"/>
          <w:snapToGrid w:val="0"/>
          <w:lang w:val="en-GB"/>
        </w:rPr>
        <w:t xml:space="preserve"> (via comparators Gem+NabP in MPACT and gemcitabine monotherapy in MPACT and ACCORD11/PRODIGE4)</w:t>
      </w:r>
      <w:r w:rsidRPr="00EB03A3">
        <w:rPr>
          <w:rFonts w:asciiTheme="minorHAnsi" w:hAnsiTheme="minorHAnsi"/>
          <w:snapToGrid w:val="0"/>
          <w:lang w:val="en-GB"/>
        </w:rPr>
        <w:t xml:space="preserve"> should be considered less reliable than the single-step ITC based on the GENERATE trial.</w:t>
      </w:r>
    </w:p>
    <w:p w14:paraId="39E77F64" w14:textId="25DFBB76" w:rsidR="00EB03A3" w:rsidRDefault="00EB03A3" w:rsidP="00552B0C">
      <w:pPr>
        <w:widowControl w:val="0"/>
        <w:numPr>
          <w:ilvl w:val="1"/>
          <w:numId w:val="1"/>
        </w:numPr>
        <w:spacing w:after="120"/>
        <w:rPr>
          <w:rFonts w:asciiTheme="minorHAnsi" w:hAnsiTheme="minorHAnsi"/>
          <w:snapToGrid w:val="0"/>
          <w:lang w:val="en-GB"/>
        </w:rPr>
      </w:pPr>
      <w:r w:rsidRPr="00EB03A3">
        <w:rPr>
          <w:rFonts w:asciiTheme="minorHAnsi" w:hAnsiTheme="minorHAnsi"/>
          <w:snapToGrid w:val="0"/>
          <w:lang w:val="en-GB"/>
        </w:rPr>
        <w:t xml:space="preserve">The PBAC considered that, in principle, a single-step ITC may typically be preferred to a multi-step ITC, as steps through additional comparators add inherent additional uncertainty to any such comparisons; however, the PBAC also considered that the robustness of the trials, their exchangeability, transitivity issues and applicability to the Australian context are important factors when considering whether a comparison is reliable and informative to support decision-making. The PBAC </w:t>
      </w:r>
      <w:r w:rsidR="00080E23">
        <w:rPr>
          <w:rFonts w:asciiTheme="minorHAnsi" w:hAnsiTheme="minorHAnsi"/>
          <w:snapToGrid w:val="0"/>
          <w:lang w:val="en-GB"/>
        </w:rPr>
        <w:t xml:space="preserve">considered that </w:t>
      </w:r>
      <w:r w:rsidRPr="00EB03A3">
        <w:rPr>
          <w:rFonts w:asciiTheme="minorHAnsi" w:hAnsiTheme="minorHAnsi"/>
          <w:snapToGrid w:val="0"/>
          <w:lang w:val="en-GB"/>
        </w:rPr>
        <w:t>based on the limited available information, the GENERATE trial was</w:t>
      </w:r>
      <w:r w:rsidR="000E3819">
        <w:rPr>
          <w:rFonts w:asciiTheme="minorHAnsi" w:hAnsiTheme="minorHAnsi"/>
          <w:snapToGrid w:val="0"/>
          <w:lang w:val="en-GB"/>
        </w:rPr>
        <w:t xml:space="preserve"> </w:t>
      </w:r>
      <w:r w:rsidRPr="00EB03A3">
        <w:rPr>
          <w:rFonts w:asciiTheme="minorHAnsi" w:hAnsiTheme="minorHAnsi"/>
          <w:snapToGrid w:val="0"/>
          <w:lang w:val="en-GB"/>
        </w:rPr>
        <w:t>not a reliable basis for assessing the comparative effectiveness of NALIRIFOX and FOLFIRINOX, because compared to the pivotal NAPOLI-3 trial, GENERATE had a different population and setting (GENERATE was limited to Japan and people of Asian heritage),</w:t>
      </w:r>
      <w:r w:rsidR="00F70783">
        <w:rPr>
          <w:rFonts w:asciiTheme="minorHAnsi" w:hAnsiTheme="minorHAnsi"/>
          <w:snapToGrid w:val="0"/>
          <w:lang w:val="en-GB"/>
        </w:rPr>
        <w:t xml:space="preserve"> used a modified FOLFIRINOX regimen (mFOLFIRINOX),</w:t>
      </w:r>
      <w:r w:rsidRPr="00EB03A3">
        <w:rPr>
          <w:rFonts w:asciiTheme="minorHAnsi" w:hAnsiTheme="minorHAnsi"/>
          <w:snapToGrid w:val="0"/>
          <w:lang w:val="en-GB"/>
        </w:rPr>
        <w:t xml:space="preserve"> patients tended to be older and had generally better baseline performance status, as well as different proportions with liver metastases and 2 or more metastatic sites (lower in GENERATE) (discussed further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_Ref176769180 \r \h </w:instrText>
      </w:r>
      <w:r>
        <w:rPr>
          <w:rFonts w:asciiTheme="minorHAnsi" w:hAnsiTheme="minorHAnsi"/>
          <w:snapToGrid w:val="0"/>
          <w:lang w:val="en-GB"/>
        </w:rPr>
      </w:r>
      <w:r>
        <w:rPr>
          <w:rFonts w:asciiTheme="minorHAnsi" w:hAnsiTheme="minorHAnsi"/>
          <w:snapToGrid w:val="0"/>
          <w:lang w:val="en-GB"/>
        </w:rPr>
        <w:fldChar w:fldCharType="separate"/>
      </w:r>
      <w:r w:rsidR="001C19B6">
        <w:rPr>
          <w:rFonts w:asciiTheme="minorHAnsi" w:hAnsiTheme="minorHAnsi"/>
          <w:snapToGrid w:val="0"/>
          <w:lang w:val="en-GB"/>
        </w:rPr>
        <w:t>6.15</w:t>
      </w:r>
      <w:r>
        <w:rPr>
          <w:rFonts w:asciiTheme="minorHAnsi" w:hAnsiTheme="minorHAnsi"/>
          <w:snapToGrid w:val="0"/>
          <w:lang w:val="en-GB"/>
        </w:rPr>
        <w:fldChar w:fldCharType="end"/>
      </w:r>
      <w:r w:rsidRPr="00EB03A3">
        <w:rPr>
          <w:rFonts w:asciiTheme="minorHAnsi" w:hAnsiTheme="minorHAnsi"/>
          <w:snapToGrid w:val="0"/>
          <w:lang w:val="en-GB"/>
        </w:rPr>
        <w:t>). Furthermore, the PBAC also reiterated previous concerns that the results of the GENERATE trial, which reported a median OS of 17.0</w:t>
      </w:r>
      <w:r w:rsidR="006B4C5C">
        <w:rPr>
          <w:rFonts w:asciiTheme="minorHAnsi" w:hAnsiTheme="minorHAnsi"/>
          <w:snapToGrid w:val="0"/>
          <w:lang w:val="en-GB"/>
        </w:rPr>
        <w:t> </w:t>
      </w:r>
      <w:r w:rsidRPr="00EB03A3">
        <w:rPr>
          <w:rFonts w:asciiTheme="minorHAnsi" w:hAnsiTheme="minorHAnsi"/>
          <w:snapToGrid w:val="0"/>
          <w:lang w:val="en-GB"/>
        </w:rPr>
        <w:t xml:space="preserve">months with Gem+NabP, appeared to be incongruent with the 9.2 months median OS reported in NAPOLI-3, and inconsistent with the results of the multi-step ITC and published analysis (Nichetti 2024) it had considered in March 2024. </w:t>
      </w:r>
    </w:p>
    <w:p w14:paraId="356E3F90" w14:textId="66D88998" w:rsidR="004B7C4D" w:rsidRDefault="00EA7422" w:rsidP="00552B0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Overall</w:t>
      </w:r>
      <w:r w:rsidR="00EB03A3" w:rsidRPr="00EB03A3">
        <w:rPr>
          <w:rFonts w:asciiTheme="minorHAnsi" w:hAnsiTheme="minorHAnsi"/>
          <w:snapToGrid w:val="0"/>
          <w:lang w:val="en-GB"/>
        </w:rPr>
        <w:t>, the PBAC considered the NAPOLI-3 and GENERATE trials were likely not sufficiently exchangeable for an ITC to be reliable, and considered the matching-adjusted indirect comparison (MAIC) approach, which used a propensity score model to re-weight individual patient-level data from NAPOLI-3 onto GENERATE, had not</w:t>
      </w:r>
      <w:r w:rsidR="003A1084">
        <w:rPr>
          <w:rFonts w:asciiTheme="minorHAnsi" w:hAnsiTheme="minorHAnsi"/>
          <w:snapToGrid w:val="0"/>
          <w:lang w:val="en-GB"/>
        </w:rPr>
        <w:t xml:space="preserve"> or could not</w:t>
      </w:r>
      <w:r w:rsidR="003A1084">
        <w:rPr>
          <w:rStyle w:val="CommentReference"/>
          <w:rFonts w:cs="Times New Roman"/>
        </w:rPr>
        <w:t xml:space="preserve"> </w:t>
      </w:r>
      <w:r w:rsidR="00EB03A3" w:rsidRPr="00EB03A3">
        <w:rPr>
          <w:rFonts w:asciiTheme="minorHAnsi" w:hAnsiTheme="minorHAnsi"/>
          <w:snapToGrid w:val="0"/>
          <w:lang w:val="en-GB"/>
        </w:rPr>
        <w:t>account for multiple variables which may be impactful</w:t>
      </w:r>
      <w:r w:rsidR="004B7C4D">
        <w:rPr>
          <w:rFonts w:asciiTheme="minorHAnsi" w:hAnsiTheme="minorHAnsi"/>
          <w:snapToGrid w:val="0"/>
          <w:lang w:val="en-GB"/>
        </w:rPr>
        <w:t xml:space="preserve"> (see paragraph </w:t>
      </w:r>
      <w:r w:rsidR="004B7C4D">
        <w:rPr>
          <w:rFonts w:asciiTheme="minorHAnsi" w:hAnsiTheme="minorHAnsi"/>
          <w:snapToGrid w:val="0"/>
          <w:lang w:val="en-GB"/>
        </w:rPr>
        <w:fldChar w:fldCharType="begin" w:fldLock="1"/>
      </w:r>
      <w:r w:rsidR="004B7C4D">
        <w:rPr>
          <w:rFonts w:asciiTheme="minorHAnsi" w:hAnsiTheme="minorHAnsi"/>
          <w:snapToGrid w:val="0"/>
          <w:lang w:val="en-GB"/>
        </w:rPr>
        <w:instrText xml:space="preserve"> REF _Ref176369938 \r \h </w:instrText>
      </w:r>
      <w:r w:rsidR="004B7C4D">
        <w:rPr>
          <w:rFonts w:asciiTheme="minorHAnsi" w:hAnsiTheme="minorHAnsi"/>
          <w:snapToGrid w:val="0"/>
          <w:lang w:val="en-GB"/>
        </w:rPr>
      </w:r>
      <w:r w:rsidR="004B7C4D">
        <w:rPr>
          <w:rFonts w:asciiTheme="minorHAnsi" w:hAnsiTheme="minorHAnsi"/>
          <w:snapToGrid w:val="0"/>
          <w:lang w:val="en-GB"/>
        </w:rPr>
        <w:fldChar w:fldCharType="separate"/>
      </w:r>
      <w:r w:rsidR="001C19B6">
        <w:rPr>
          <w:rFonts w:asciiTheme="minorHAnsi" w:hAnsiTheme="minorHAnsi"/>
          <w:snapToGrid w:val="0"/>
          <w:lang w:val="en-GB"/>
        </w:rPr>
        <w:t>6.35</w:t>
      </w:r>
      <w:r w:rsidR="004B7C4D">
        <w:rPr>
          <w:rFonts w:asciiTheme="minorHAnsi" w:hAnsiTheme="minorHAnsi"/>
          <w:snapToGrid w:val="0"/>
          <w:lang w:val="en-GB"/>
        </w:rPr>
        <w:fldChar w:fldCharType="end"/>
      </w:r>
      <w:r w:rsidR="004B7C4D">
        <w:rPr>
          <w:rFonts w:asciiTheme="minorHAnsi" w:hAnsiTheme="minorHAnsi"/>
          <w:snapToGrid w:val="0"/>
          <w:lang w:val="en-GB"/>
        </w:rPr>
        <w:t>)</w:t>
      </w:r>
      <w:r w:rsidR="00EB03A3" w:rsidRPr="00EB03A3">
        <w:rPr>
          <w:rFonts w:asciiTheme="minorHAnsi" w:hAnsiTheme="minorHAnsi"/>
          <w:snapToGrid w:val="0"/>
          <w:lang w:val="en-GB"/>
        </w:rPr>
        <w:t>, and the lack of available detail about the GENERATE trial led to substantial uncertainty about whether a MAIC analysis could overcome the numerous differences between the trials</w:t>
      </w:r>
      <w:r w:rsidR="004B7C4D">
        <w:rPr>
          <w:rFonts w:asciiTheme="minorHAnsi" w:hAnsiTheme="minorHAnsi"/>
          <w:snapToGrid w:val="0"/>
          <w:lang w:val="en-GB"/>
        </w:rPr>
        <w:t>.</w:t>
      </w:r>
      <w:r>
        <w:rPr>
          <w:rFonts w:asciiTheme="minorHAnsi" w:hAnsiTheme="minorHAnsi"/>
          <w:snapToGrid w:val="0"/>
          <w:lang w:val="en-GB"/>
        </w:rPr>
        <w:t xml:space="preserve"> T</w:t>
      </w:r>
      <w:r w:rsidR="00EB03A3" w:rsidRPr="00EB03A3">
        <w:rPr>
          <w:rFonts w:asciiTheme="minorHAnsi" w:hAnsiTheme="minorHAnsi"/>
          <w:snapToGrid w:val="0"/>
          <w:lang w:val="en-GB"/>
        </w:rPr>
        <w:t>he PBAC considered the issues with the GENERATE trial remained too substantial for it to be considered reliable to assess the comparative effectiveness of NALIRIFOX and FOLFIRINOX, and therefore reaffirmed its view expressed in March</w:t>
      </w:r>
      <w:r w:rsidR="006B4C5C">
        <w:rPr>
          <w:rFonts w:asciiTheme="minorHAnsi" w:hAnsiTheme="minorHAnsi"/>
          <w:snapToGrid w:val="0"/>
          <w:lang w:val="en-GB"/>
        </w:rPr>
        <w:t> </w:t>
      </w:r>
      <w:r w:rsidR="00EB03A3" w:rsidRPr="00EB03A3">
        <w:rPr>
          <w:rFonts w:asciiTheme="minorHAnsi" w:hAnsiTheme="minorHAnsi"/>
          <w:snapToGrid w:val="0"/>
          <w:lang w:val="en-GB"/>
        </w:rPr>
        <w:t xml:space="preserve">2024 that a claim of superior comparative effectiveness of NALIRIFOX over </w:t>
      </w:r>
      <w:r w:rsidR="00EB03A3" w:rsidRPr="00EB03A3">
        <w:rPr>
          <w:rFonts w:asciiTheme="minorHAnsi" w:hAnsiTheme="minorHAnsi"/>
          <w:snapToGrid w:val="0"/>
          <w:lang w:val="en-GB"/>
        </w:rPr>
        <w:lastRenderedPageBreak/>
        <w:t>FOLFIRINOX was not supported.</w:t>
      </w:r>
    </w:p>
    <w:p w14:paraId="5B369D0E" w14:textId="536C1A67" w:rsidR="0066153F" w:rsidRDefault="005B13B1" w:rsidP="00552B0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comparative safety</w:t>
      </w:r>
      <w:r w:rsidR="00207335" w:rsidRPr="00207335">
        <w:rPr>
          <w:rFonts w:asciiTheme="minorHAnsi" w:hAnsiTheme="minorHAnsi"/>
          <w:snapToGrid w:val="0"/>
          <w:lang w:val="en-GB"/>
        </w:rPr>
        <w:t xml:space="preserve"> </w:t>
      </w:r>
      <w:r>
        <w:rPr>
          <w:rFonts w:asciiTheme="minorHAnsi" w:hAnsiTheme="minorHAnsi"/>
          <w:snapToGrid w:val="0"/>
          <w:lang w:val="en-GB"/>
        </w:rPr>
        <w:t>c</w:t>
      </w:r>
      <w:r w:rsidR="00207335" w:rsidRPr="00207335">
        <w:rPr>
          <w:rFonts w:asciiTheme="minorHAnsi" w:hAnsiTheme="minorHAnsi"/>
          <w:snapToGrid w:val="0"/>
          <w:lang w:val="en-GB"/>
        </w:rPr>
        <w:t>ompared to FOLFIRINOX, the Committee considered the results of the presented ITC to be unreliable given the concerns about the GENERATE study (discussed above), and recalled the available data it had previously considered, including the Nichetti 2024 study, suggested that NALI</w:t>
      </w:r>
      <w:r w:rsidR="00FB2827">
        <w:rPr>
          <w:rFonts w:asciiTheme="minorHAnsi" w:hAnsiTheme="minorHAnsi"/>
          <w:snapToGrid w:val="0"/>
          <w:lang w:val="en-GB"/>
        </w:rPr>
        <w:t>R</w:t>
      </w:r>
      <w:r w:rsidR="00207335" w:rsidRPr="00207335">
        <w:rPr>
          <w:rFonts w:asciiTheme="minorHAnsi" w:hAnsiTheme="minorHAnsi"/>
          <w:snapToGrid w:val="0"/>
          <w:lang w:val="en-GB"/>
        </w:rPr>
        <w:t>I</w:t>
      </w:r>
      <w:r w:rsidR="00FB2827">
        <w:rPr>
          <w:rFonts w:asciiTheme="minorHAnsi" w:hAnsiTheme="minorHAnsi"/>
          <w:snapToGrid w:val="0"/>
          <w:lang w:val="en-GB"/>
        </w:rPr>
        <w:t>F</w:t>
      </w:r>
      <w:r w:rsidR="00207335" w:rsidRPr="00207335">
        <w:rPr>
          <w:rFonts w:asciiTheme="minorHAnsi" w:hAnsiTheme="minorHAnsi"/>
          <w:snapToGrid w:val="0"/>
          <w:lang w:val="en-GB"/>
        </w:rPr>
        <w:t>OX and FOLFIRINOX have similar toxicities. Therefore, the PBAC considered the claim that NALI</w:t>
      </w:r>
      <w:r w:rsidR="00FB2827">
        <w:rPr>
          <w:rFonts w:asciiTheme="minorHAnsi" w:hAnsiTheme="minorHAnsi"/>
          <w:snapToGrid w:val="0"/>
          <w:lang w:val="en-GB"/>
        </w:rPr>
        <w:t>R</w:t>
      </w:r>
      <w:r w:rsidR="00207335" w:rsidRPr="00207335">
        <w:rPr>
          <w:rFonts w:asciiTheme="minorHAnsi" w:hAnsiTheme="minorHAnsi"/>
          <w:snapToGrid w:val="0"/>
          <w:lang w:val="en-GB"/>
        </w:rPr>
        <w:t>I</w:t>
      </w:r>
      <w:r w:rsidR="00FB2827">
        <w:rPr>
          <w:rFonts w:asciiTheme="minorHAnsi" w:hAnsiTheme="minorHAnsi"/>
          <w:snapToGrid w:val="0"/>
          <w:lang w:val="en-GB"/>
        </w:rPr>
        <w:t>F</w:t>
      </w:r>
      <w:r w:rsidR="00207335" w:rsidRPr="00207335">
        <w:rPr>
          <w:rFonts w:asciiTheme="minorHAnsi" w:hAnsiTheme="minorHAnsi"/>
          <w:snapToGrid w:val="0"/>
          <w:lang w:val="en-GB"/>
        </w:rPr>
        <w:t>OX has advantages over FOLFIRINOX in terms of comparative safety was not adequately supported.</w:t>
      </w:r>
    </w:p>
    <w:p w14:paraId="465462BE" w14:textId="73AF4ECF" w:rsidR="00552B0C" w:rsidRPr="00CE42B4" w:rsidRDefault="00207335" w:rsidP="00552B0C">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resubmission presented a cost utility analysis based on a weighted comparator approach, nominating </w:t>
      </w:r>
      <w:r w:rsidR="00FE2B68">
        <w:rPr>
          <w:rFonts w:asciiTheme="minorHAnsi" w:hAnsiTheme="minorHAnsi"/>
          <w:snapToGrid w:val="0"/>
          <w:lang w:val="en-GB"/>
        </w:rPr>
        <w:t xml:space="preserve">a weighting of 75% Gem+NabP and 25% FOLFIRINOX. The Committee recalled it had previously stated that any resubmission would need to nominate FOLFIRINOX as the main comparator, and if there was insufficient evidence to support a claim of superior comparative effectiveness or safety, the appropriate form of economic evaluation would be a cost minimisation approach (see paragraph </w:t>
      </w:r>
      <w:r w:rsidR="00FE2B68">
        <w:rPr>
          <w:rFonts w:asciiTheme="minorHAnsi" w:hAnsiTheme="minorHAnsi"/>
          <w:snapToGrid w:val="0"/>
          <w:lang w:val="en-GB"/>
        </w:rPr>
        <w:fldChar w:fldCharType="begin" w:fldLock="1"/>
      </w:r>
      <w:r w:rsidR="00FE2B68">
        <w:rPr>
          <w:rFonts w:asciiTheme="minorHAnsi" w:hAnsiTheme="minorHAnsi"/>
          <w:snapToGrid w:val="0"/>
          <w:lang w:val="en-GB"/>
        </w:rPr>
        <w:instrText xml:space="preserve"> REF _Ref183594967 \r \h </w:instrText>
      </w:r>
      <w:r w:rsidR="00FE2B68">
        <w:rPr>
          <w:rFonts w:asciiTheme="minorHAnsi" w:hAnsiTheme="minorHAnsi"/>
          <w:snapToGrid w:val="0"/>
          <w:lang w:val="en-GB"/>
        </w:rPr>
      </w:r>
      <w:r w:rsidR="00FE2B68">
        <w:rPr>
          <w:rFonts w:asciiTheme="minorHAnsi" w:hAnsiTheme="minorHAnsi"/>
          <w:snapToGrid w:val="0"/>
          <w:lang w:val="en-GB"/>
        </w:rPr>
        <w:fldChar w:fldCharType="separate"/>
      </w:r>
      <w:r w:rsidR="001C19B6">
        <w:rPr>
          <w:rFonts w:asciiTheme="minorHAnsi" w:hAnsiTheme="minorHAnsi"/>
          <w:snapToGrid w:val="0"/>
          <w:lang w:val="en-GB"/>
        </w:rPr>
        <w:t>5.5</w:t>
      </w:r>
      <w:r w:rsidR="00FE2B68">
        <w:rPr>
          <w:rFonts w:asciiTheme="minorHAnsi" w:hAnsiTheme="minorHAnsi"/>
          <w:snapToGrid w:val="0"/>
          <w:lang w:val="en-GB"/>
        </w:rPr>
        <w:fldChar w:fldCharType="end"/>
      </w:r>
      <w:r w:rsidR="00FE2B68">
        <w:rPr>
          <w:rFonts w:asciiTheme="minorHAnsi" w:hAnsiTheme="minorHAnsi"/>
          <w:snapToGrid w:val="0"/>
          <w:lang w:val="en-GB"/>
        </w:rPr>
        <w:t>). Noting the resubmission had neither nominated FOLFIRINOX as the main comparator, nor adequately supported claims of superior comparative effectiveness or safety, nor</w:t>
      </w:r>
      <w:r w:rsidR="00B35009">
        <w:rPr>
          <w:rFonts w:asciiTheme="minorHAnsi" w:hAnsiTheme="minorHAnsi"/>
          <w:snapToGrid w:val="0"/>
          <w:lang w:val="en-GB"/>
        </w:rPr>
        <w:t xml:space="preserve"> adequately</w:t>
      </w:r>
      <w:r w:rsidR="00FE2B68">
        <w:rPr>
          <w:rFonts w:asciiTheme="minorHAnsi" w:hAnsiTheme="minorHAnsi"/>
          <w:snapToGrid w:val="0"/>
          <w:lang w:val="en-GB"/>
        </w:rPr>
        <w:t xml:space="preserve"> justified that the population who would likely be considered eligible for NALIRIFOX was different to FOLFIRINOX, the PBAC considered the economic evaluation approach taken by the submission to be inappropriate and reaffirmed its previously expressed view with respect to the appropriate form of economic evaluation. </w:t>
      </w:r>
    </w:p>
    <w:p w14:paraId="1D2ED986" w14:textId="090066A0" w:rsidR="00C40279" w:rsidRDefault="00C40279" w:rsidP="00552B0C">
      <w:pPr>
        <w:widowControl w:val="0"/>
        <w:numPr>
          <w:ilvl w:val="1"/>
          <w:numId w:val="1"/>
        </w:numPr>
        <w:spacing w:after="120"/>
        <w:rPr>
          <w:rFonts w:asciiTheme="minorHAnsi" w:hAnsiTheme="minorHAnsi"/>
          <w:snapToGrid w:val="0"/>
          <w:lang w:val="en-GB"/>
        </w:rPr>
      </w:pPr>
      <w:r w:rsidRPr="00C40279">
        <w:rPr>
          <w:rFonts w:asciiTheme="minorHAnsi" w:hAnsiTheme="minorHAnsi"/>
          <w:snapToGrid w:val="0"/>
          <w:lang w:val="en-GB"/>
        </w:rPr>
        <w:t xml:space="preserve">The PBAC noted the resubmission estimated NALIRIFOX would replace approximately </w:t>
      </w:r>
      <w:r w:rsidR="005F3BC8" w:rsidRPr="00993109">
        <w:rPr>
          <w:rFonts w:asciiTheme="minorHAnsi" w:hAnsiTheme="minorHAnsi"/>
          <w:snapToGrid w:val="0"/>
          <w:color w:val="000000"/>
          <w:w w:val="15"/>
          <w:shd w:val="solid" w:color="000000" w:fill="000000"/>
          <w:fitText w:val="-20" w:id="-760997874"/>
          <w:lang w:val="en-GB"/>
          <w14:textFill>
            <w14:solidFill>
              <w14:srgbClr w14:val="000000">
                <w14:alpha w14:val="100000"/>
              </w14:srgbClr>
            </w14:solidFill>
          </w14:textFill>
        </w:rPr>
        <w:t xml:space="preserve">|  </w:t>
      </w:r>
      <w:r w:rsidR="005F3BC8" w:rsidRPr="00993109">
        <w:rPr>
          <w:rFonts w:asciiTheme="minorHAnsi" w:hAnsiTheme="minorHAnsi"/>
          <w:snapToGrid w:val="0"/>
          <w:color w:val="000000"/>
          <w:spacing w:val="-69"/>
          <w:w w:val="15"/>
          <w:shd w:val="solid" w:color="000000" w:fill="000000"/>
          <w:fitText w:val="-20" w:id="-760997874"/>
          <w:lang w:val="en-GB"/>
          <w14:textFill>
            <w14:solidFill>
              <w14:srgbClr w14:val="000000">
                <w14:alpha w14:val="100000"/>
              </w14:srgbClr>
            </w14:solidFill>
          </w14:textFill>
        </w:rPr>
        <w:t>|</w:t>
      </w:r>
      <w:r w:rsidRPr="00C40279">
        <w:rPr>
          <w:rFonts w:asciiTheme="minorHAnsi" w:hAnsiTheme="minorHAnsi"/>
          <w:snapToGrid w:val="0"/>
          <w:lang w:val="en-GB"/>
        </w:rPr>
        <w:t>% of Gem+NabP use</w:t>
      </w:r>
      <w:r>
        <w:rPr>
          <w:rFonts w:asciiTheme="minorHAnsi" w:hAnsiTheme="minorHAnsi"/>
          <w:snapToGrid w:val="0"/>
          <w:lang w:val="en-GB"/>
        </w:rPr>
        <w:t xml:space="preserve"> (see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_Ref176359960 \h </w:instrText>
      </w:r>
      <w:r>
        <w:rPr>
          <w:rFonts w:asciiTheme="minorHAnsi" w:hAnsiTheme="minorHAnsi"/>
          <w:snapToGrid w:val="0"/>
          <w:lang w:val="en-GB"/>
        </w:rPr>
      </w:r>
      <w:r>
        <w:rPr>
          <w:rFonts w:asciiTheme="minorHAnsi" w:hAnsiTheme="minorHAnsi"/>
          <w:snapToGrid w:val="0"/>
          <w:lang w:val="en-GB"/>
        </w:rPr>
        <w:fldChar w:fldCharType="separate"/>
      </w:r>
      <w:r w:rsidR="001C19B6" w:rsidRPr="00552B0C">
        <w:t xml:space="preserve">Table </w:t>
      </w:r>
      <w:r w:rsidR="001C19B6">
        <w:rPr>
          <w:noProof/>
        </w:rPr>
        <w:t>19</w:t>
      </w:r>
      <w:r>
        <w:rPr>
          <w:rFonts w:asciiTheme="minorHAnsi" w:hAnsiTheme="minorHAnsi"/>
          <w:snapToGrid w:val="0"/>
          <w:lang w:val="en-GB"/>
        </w:rPr>
        <w:fldChar w:fldCharType="end"/>
      </w:r>
      <w:r>
        <w:rPr>
          <w:rFonts w:asciiTheme="minorHAnsi" w:hAnsiTheme="minorHAnsi"/>
          <w:snapToGrid w:val="0"/>
          <w:lang w:val="en-GB"/>
        </w:rPr>
        <w:t>)</w:t>
      </w:r>
      <w:r w:rsidRPr="00C40279">
        <w:rPr>
          <w:rFonts w:asciiTheme="minorHAnsi" w:hAnsiTheme="minorHAnsi"/>
          <w:snapToGrid w:val="0"/>
          <w:lang w:val="en-GB"/>
        </w:rPr>
        <w:t xml:space="preserve"> and considered this was likely to be overestimated, given its view that the NALIRIFOX was more likely to be used in the population who would be considered for FOLFIRINOX. Therefore, the Committee considered the utilisation and financial estimates likely overestimated the use of NALIRIFOX in practice, as it would predominantly replace FOLFIRINOX. </w:t>
      </w:r>
    </w:p>
    <w:p w14:paraId="44035E54" w14:textId="16E52627" w:rsidR="000D776B" w:rsidRPr="000D776B" w:rsidRDefault="000D776B">
      <w:pPr>
        <w:pStyle w:val="3-BodyText"/>
        <w:rPr>
          <w:lang w:val="en-GB"/>
        </w:rPr>
      </w:pPr>
      <w:r w:rsidRPr="00456281">
        <w:t xml:space="preserve">The PBAC considered </w:t>
      </w:r>
      <w:r w:rsidR="00095CDF">
        <w:t>any re-submission should be a standard re-entry submission and noted it</w:t>
      </w:r>
      <w:r w:rsidRPr="000D776B">
        <w:rPr>
          <w:lang w:val="en-GB"/>
        </w:rPr>
        <w:t xml:space="preserve"> may be lodged at any future standard due date for PBAC submissions using </w:t>
      </w:r>
      <w:r w:rsidR="00095CDF">
        <w:rPr>
          <w:lang w:val="en-GB"/>
        </w:rPr>
        <w:t>this pathway.</w:t>
      </w:r>
    </w:p>
    <w:p w14:paraId="543036C9" w14:textId="08847E1F" w:rsidR="00552B0C" w:rsidRPr="00305FA4" w:rsidRDefault="00552B0C" w:rsidP="00552B0C">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58B29A9B" w14:textId="77777777" w:rsidR="00552B0C" w:rsidRPr="00525B39" w:rsidRDefault="00552B0C" w:rsidP="0071021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BBE76D8" w14:textId="43EFFD0A" w:rsidR="00F82B05" w:rsidRDefault="00552B0C" w:rsidP="009757CD">
      <w:pPr>
        <w:rPr>
          <w:rFonts w:asciiTheme="minorHAnsi" w:hAnsiTheme="minorHAnsi"/>
          <w:bCs/>
          <w:snapToGrid w:val="0"/>
          <w:lang w:val="en-GB"/>
        </w:rPr>
      </w:pPr>
      <w:r>
        <w:rPr>
          <w:rFonts w:asciiTheme="minorHAnsi" w:hAnsiTheme="minorHAnsi"/>
          <w:bCs/>
          <w:snapToGrid w:val="0"/>
          <w:lang w:val="en-GB"/>
        </w:rPr>
        <w:t>Not recommended</w:t>
      </w:r>
      <w:bookmarkEnd w:id="97"/>
    </w:p>
    <w:p w14:paraId="16740447" w14:textId="15792EB7" w:rsidR="00F82B05" w:rsidRPr="00D60801" w:rsidRDefault="00F82B05" w:rsidP="00D60801">
      <w:pPr>
        <w:pStyle w:val="2-SectionHeading"/>
        <w:numPr>
          <w:ilvl w:val="0"/>
          <w:numId w:val="1"/>
        </w:numPr>
      </w:pPr>
      <w:r w:rsidRPr="00061CBE">
        <w:t>Context for Decision</w:t>
      </w:r>
    </w:p>
    <w:p w14:paraId="7BD4DA8D" w14:textId="77777777" w:rsidR="00F82B05" w:rsidRPr="00061CBE" w:rsidRDefault="00F82B05" w:rsidP="00F82B05">
      <w:pPr>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061CBE">
        <w:rPr>
          <w:bCs/>
          <w:lang w:val="en-GB"/>
        </w:rPr>
        <w:lastRenderedPageBreak/>
        <w:t>merits of the medicine or the circumstances in which it should be made available through the PBS. The PBAC welcomes applications containing new information at any time.</w:t>
      </w:r>
    </w:p>
    <w:p w14:paraId="2FD14D5B" w14:textId="003A7A0D" w:rsidR="00F82B05" w:rsidRPr="00061CBE" w:rsidRDefault="00F82B05" w:rsidP="00D60801">
      <w:pPr>
        <w:pStyle w:val="2-SectionHeading"/>
        <w:numPr>
          <w:ilvl w:val="0"/>
          <w:numId w:val="1"/>
        </w:numPr>
      </w:pPr>
      <w:r w:rsidRPr="00061CBE">
        <w:t>Sponsor’s Comment</w:t>
      </w:r>
    </w:p>
    <w:p w14:paraId="5E418E89" w14:textId="384F714E" w:rsidR="00F82B05" w:rsidRPr="006335D5" w:rsidRDefault="00D15106" w:rsidP="00305FA4">
      <w:pPr>
        <w:ind w:left="720"/>
        <w:rPr>
          <w:b/>
          <w:caps/>
          <w:sz w:val="32"/>
        </w:rPr>
      </w:pPr>
      <w:r w:rsidRPr="00D15106">
        <w:rPr>
          <w:bCs/>
        </w:rPr>
        <w:t xml:space="preserve">Servier is disappointed by this outcome. Servier thanks the clinical community who had provided advice to inform the two submissions to PBAC, and thanks the patient community for their valuable input to the PBAC. Servier reaffirms its commitment to people living with metastatic pancreatic cancer and will continue to make nal-IRI available for patients via a private script. </w:t>
      </w:r>
    </w:p>
    <w:sectPr w:rsidR="00F82B05" w:rsidRPr="006335D5" w:rsidSect="00856415">
      <w:headerReference w:type="default" r:id="rId11"/>
      <w:footerReference w:type="default" r:id="rId1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9730A" w14:textId="77777777" w:rsidR="0091416C" w:rsidRDefault="0091416C" w:rsidP="00124A51">
      <w:r>
        <w:separator/>
      </w:r>
    </w:p>
    <w:p w14:paraId="2C8F22CC" w14:textId="77777777" w:rsidR="0091416C" w:rsidRDefault="0091416C"/>
  </w:endnote>
  <w:endnote w:type="continuationSeparator" w:id="0">
    <w:p w14:paraId="6EFC337C" w14:textId="77777777" w:rsidR="0091416C" w:rsidRDefault="0091416C" w:rsidP="00124A51">
      <w:r>
        <w:continuationSeparator/>
      </w:r>
    </w:p>
    <w:p w14:paraId="5C501C3F" w14:textId="77777777" w:rsidR="0091416C" w:rsidRDefault="0091416C"/>
  </w:endnote>
  <w:endnote w:type="continuationNotice" w:id="1">
    <w:p w14:paraId="4958DAFF" w14:textId="77777777" w:rsidR="0091416C" w:rsidRDefault="009141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bookmarkStart w:id="101" w:name="_Hlk76375156"/>
  <w:p w14:paraId="37484CD3" w14:textId="637754FB" w:rsidR="00D843F2" w:rsidRPr="00552B0C" w:rsidRDefault="00552B0C" w:rsidP="00552B0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1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847FE" w14:textId="77777777" w:rsidR="0091416C" w:rsidRDefault="0091416C" w:rsidP="00124A51">
      <w:r>
        <w:separator/>
      </w:r>
    </w:p>
    <w:p w14:paraId="2FDE8EE6" w14:textId="77777777" w:rsidR="0091416C" w:rsidRDefault="0091416C"/>
  </w:footnote>
  <w:footnote w:type="continuationSeparator" w:id="0">
    <w:p w14:paraId="58C340E8" w14:textId="77777777" w:rsidR="0091416C" w:rsidRDefault="0091416C" w:rsidP="00124A51">
      <w:r>
        <w:continuationSeparator/>
      </w:r>
    </w:p>
    <w:p w14:paraId="559DE1E7" w14:textId="77777777" w:rsidR="0091416C" w:rsidRDefault="0091416C"/>
  </w:footnote>
  <w:footnote w:type="continuationNotice" w:id="1">
    <w:p w14:paraId="30C849C2" w14:textId="77777777" w:rsidR="0091416C" w:rsidRDefault="0091416C"/>
  </w:footnote>
  <w:footnote w:id="2">
    <w:p w14:paraId="3B310119" w14:textId="037729D5" w:rsidR="00091D2A" w:rsidRDefault="00091D2A" w:rsidP="00091D2A">
      <w:pPr>
        <w:pStyle w:val="FootnoteText"/>
        <w:jc w:val="left"/>
      </w:pPr>
      <w:r>
        <w:rPr>
          <w:rStyle w:val="FootnoteReference"/>
          <w:rFonts w:eastAsiaTheme="minorHAnsi"/>
        </w:rPr>
        <w:footnoteRef/>
      </w:r>
      <w:r>
        <w:t xml:space="preserve"> </w:t>
      </w:r>
      <w:r>
        <w:rPr>
          <w:rStyle w:val="normaltextrun"/>
          <w:color w:val="000000"/>
          <w:shd w:val="clear" w:color="auto" w:fill="FFFFFF"/>
          <w:lang w:val="en-US"/>
        </w:rPr>
        <w:t xml:space="preserve">Ellis et al., (2014). 'American Society of Clinical Oncology perspective: raising the bar for clinical trials by defining clinically meaningful outcomes', J Clin Oncol, 32(12), 1277-80. </w:t>
      </w:r>
      <w:hyperlink r:id="rId1" w:history="1">
        <w:r w:rsidRPr="00E46620">
          <w:rPr>
            <w:rStyle w:val="Hyperlink"/>
            <w:shd w:val="clear" w:color="auto" w:fill="FFFFFF"/>
            <w:lang w:val="en-US"/>
          </w:rPr>
          <w:t>https://ascopubs.org/doi/10.1200/JCO.2013.53.8009</w:t>
        </w:r>
      </w:hyperlink>
      <w:r>
        <w:rPr>
          <w:rStyle w:val="eop"/>
          <w:color w:val="000000"/>
          <w:shd w:val="clear" w:color="auto" w:fill="FFFFFF"/>
        </w:rPr>
        <w:t> </w:t>
      </w:r>
    </w:p>
  </w:footnote>
  <w:footnote w:id="3">
    <w:p w14:paraId="6203E2D0" w14:textId="77777777" w:rsidR="00091D2A" w:rsidRDefault="00091D2A" w:rsidP="00091D2A">
      <w:pPr>
        <w:pStyle w:val="FootnoteText"/>
      </w:pPr>
      <w:r>
        <w:rPr>
          <w:rStyle w:val="FootnoteReference"/>
        </w:rPr>
        <w:footnoteRef/>
      </w:r>
      <w:r>
        <w:t xml:space="preserve"> Australian Institute of Health and Welfare, (2023),</w:t>
      </w:r>
      <w:r w:rsidRPr="00CE02E6">
        <w:t xml:space="preserve"> </w:t>
      </w:r>
      <w:r>
        <w:t>‘</w:t>
      </w:r>
      <w:r w:rsidRPr="00CE02E6">
        <w:t>Cancer data in Australia, Cancer rankings data visualisation</w:t>
      </w:r>
      <w:r>
        <w:t xml:space="preserve">’, </w:t>
      </w:r>
      <w:r w:rsidRPr="00CE02E6">
        <w:t>https://www.aihw.gov.au/reports/cancer/cancer-data-in-australia/contents/rankings</w:t>
      </w:r>
    </w:p>
  </w:footnote>
  <w:footnote w:id="4">
    <w:p w14:paraId="4A213162" w14:textId="77777777" w:rsidR="00091D2A" w:rsidRPr="008B3A33" w:rsidRDefault="00091D2A" w:rsidP="00091D2A">
      <w:pPr>
        <w:pStyle w:val="FootnoteText"/>
      </w:pPr>
      <w:r>
        <w:rPr>
          <w:rStyle w:val="FootnoteReference"/>
        </w:rPr>
        <w:footnoteRef/>
      </w:r>
      <w:r w:rsidRPr="008B3A33">
        <w:t xml:space="preserve"> Tempero MA, Malafa MP et al, (2017), ‘Pancreatic adenocarcinoma, version 2.2017, NCCN clinical practice guidelines in oncology’, J Natl Compr Can Netw, 2017;15(8):1028–61</w:t>
      </w:r>
    </w:p>
  </w:footnote>
  <w:footnote w:id="5">
    <w:p w14:paraId="7670650C" w14:textId="77777777" w:rsidR="00091D2A" w:rsidRDefault="00091D2A" w:rsidP="00091D2A">
      <w:pPr>
        <w:pStyle w:val="FootnoteText"/>
      </w:pPr>
      <w:r>
        <w:rPr>
          <w:rStyle w:val="FootnoteReference"/>
        </w:rPr>
        <w:footnoteRef/>
      </w:r>
      <w:r w:rsidRPr="008B3A33">
        <w:t xml:space="preserve"> Bockhorn M, Uzunoglu F</w:t>
      </w:r>
      <w:r>
        <w:t>G et al, (2014),</w:t>
      </w:r>
      <w:r w:rsidRPr="008B3A33">
        <w:t xml:space="preserve"> </w:t>
      </w:r>
      <w:r>
        <w:t>‘</w:t>
      </w:r>
      <w:r w:rsidRPr="008B3A33">
        <w:t>Borderline resectable pancreatic cancer: A consensus statement by the International Study Group of Pancreatic Surgery (ISGPS)</w:t>
      </w:r>
      <w:r>
        <w:t xml:space="preserve">’, </w:t>
      </w:r>
      <w:r w:rsidRPr="008B3A33">
        <w:t>Surgery</w:t>
      </w:r>
      <w:r>
        <w:t>,</w:t>
      </w:r>
      <w:r w:rsidRPr="008B3A33">
        <w:t xml:space="preserve"> 2014;155(6):977–88</w:t>
      </w:r>
    </w:p>
  </w:footnote>
  <w:footnote w:id="6">
    <w:p w14:paraId="50E18581" w14:textId="77777777" w:rsidR="00091D2A" w:rsidRDefault="00091D2A" w:rsidP="00091D2A">
      <w:pPr>
        <w:pStyle w:val="FootnoteText"/>
      </w:pPr>
      <w:r>
        <w:rPr>
          <w:rStyle w:val="FootnoteReference"/>
        </w:rPr>
        <w:footnoteRef/>
      </w:r>
      <w:r w:rsidRPr="008D5FBC">
        <w:t xml:space="preserve"> Malik NK, May KS et al</w:t>
      </w:r>
      <w:r>
        <w:t>, (2012), ‘</w:t>
      </w:r>
      <w:r w:rsidRPr="008D5FBC">
        <w:t>Treatment of locally advanced unresectable pancreatic cancer: a 10-year experience</w:t>
      </w:r>
      <w:r>
        <w:t>’,</w:t>
      </w:r>
      <w:r w:rsidRPr="008D5FBC">
        <w:t xml:space="preserve"> J Gastrointest Oncol</w:t>
      </w:r>
      <w:r>
        <w:t xml:space="preserve">, </w:t>
      </w:r>
      <w:r w:rsidRPr="008D5FBC">
        <w:t>Dec;3(4):326-34</w:t>
      </w:r>
    </w:p>
  </w:footnote>
  <w:footnote w:id="7">
    <w:p w14:paraId="76CB8159" w14:textId="77777777" w:rsidR="00091D2A" w:rsidRPr="008D5FBC" w:rsidRDefault="00091D2A" w:rsidP="00091D2A">
      <w:pPr>
        <w:pStyle w:val="FootnoteText"/>
        <w:rPr>
          <w:b/>
          <w:bCs/>
        </w:rPr>
      </w:pPr>
      <w:r>
        <w:rPr>
          <w:rStyle w:val="FootnoteReference"/>
        </w:rPr>
        <w:footnoteRef/>
      </w:r>
      <w:r>
        <w:t xml:space="preserve"> </w:t>
      </w:r>
      <w:r w:rsidRPr="008D5FBC">
        <w:t>Puckett Y, Garfield K</w:t>
      </w:r>
      <w:r>
        <w:t>, (2023), ‘</w:t>
      </w:r>
      <w:r w:rsidRPr="008D5FBC">
        <w:t>Pancreatic Cancer</w:t>
      </w:r>
      <w:r>
        <w:t xml:space="preserve">’, </w:t>
      </w:r>
      <w:r w:rsidRPr="008D5FBC">
        <w:t>Available from: https://www.ncbi.nlm.nih.gov/books/NBK518996</w:t>
      </w:r>
      <w:r w:rsidRPr="000D57F7">
        <w:t>/</w:t>
      </w:r>
    </w:p>
  </w:footnote>
  <w:footnote w:id="8">
    <w:p w14:paraId="782E2B37" w14:textId="77777777" w:rsidR="00091D2A" w:rsidRDefault="00091D2A" w:rsidP="00091D2A">
      <w:pPr>
        <w:pStyle w:val="FootnoteText"/>
      </w:pPr>
      <w:r>
        <w:rPr>
          <w:rStyle w:val="FootnoteReference"/>
        </w:rPr>
        <w:footnoteRef/>
      </w:r>
      <w:r w:rsidRPr="0098205B">
        <w:t xml:space="preserve"> Cabasag C.J., Arnold M et al, </w:t>
      </w:r>
      <w:r>
        <w:t>(2022), ‘</w:t>
      </w:r>
      <w:r w:rsidRPr="0098205B">
        <w:t>Pancreatic cancer survival by stage and age in seven high-income countries (ICBP SURVMARK-2): a population-based study</w:t>
      </w:r>
      <w:r>
        <w:t>’,</w:t>
      </w:r>
      <w:r w:rsidRPr="0098205B">
        <w:t xml:space="preserve"> Br J Cancer 126, 1774–1782 (2022)</w:t>
      </w:r>
    </w:p>
  </w:footnote>
  <w:footnote w:id="9">
    <w:p w14:paraId="1E3CCECD" w14:textId="77777777" w:rsidR="00091D2A" w:rsidRPr="00F93573" w:rsidRDefault="00091D2A" w:rsidP="00091D2A">
      <w:pPr>
        <w:pStyle w:val="FootnoteText"/>
        <w:rPr>
          <w:lang w:val="da-DK"/>
        </w:rPr>
      </w:pPr>
      <w:r>
        <w:rPr>
          <w:rStyle w:val="FootnoteReference"/>
        </w:rPr>
        <w:footnoteRef/>
      </w:r>
      <w:r>
        <w:t xml:space="preserve"> </w:t>
      </w:r>
      <w:r w:rsidRPr="00CE02E6">
        <w:t>Loveday BPT, Lipton L</w:t>
      </w:r>
      <w:r>
        <w:t xml:space="preserve"> et al, (2019),</w:t>
      </w:r>
      <w:r w:rsidRPr="00CE02E6">
        <w:t xml:space="preserve"> </w:t>
      </w:r>
      <w:r>
        <w:t>‘</w:t>
      </w:r>
      <w:r w:rsidRPr="00CE02E6">
        <w:t>Pancreatic cancer: An update on diagnosis and management</w:t>
      </w:r>
      <w:r>
        <w:t>’,</w:t>
      </w:r>
      <w:r w:rsidRPr="00CE02E6">
        <w:t xml:space="preserve"> Aust J Gen Pract. </w:t>
      </w:r>
      <w:r w:rsidRPr="00F93573">
        <w:rPr>
          <w:lang w:val="da-DK"/>
        </w:rPr>
        <w:t>2019 Dec;48(12):826-831</w:t>
      </w:r>
    </w:p>
  </w:footnote>
  <w:footnote w:id="10">
    <w:p w14:paraId="1DD63EA7" w14:textId="77777777" w:rsidR="00091D2A" w:rsidRPr="00F93573" w:rsidRDefault="00091D2A" w:rsidP="00091D2A">
      <w:pPr>
        <w:pStyle w:val="FootnoteText"/>
        <w:rPr>
          <w:lang w:val="da-DK"/>
        </w:rPr>
      </w:pPr>
      <w:r>
        <w:rPr>
          <w:rStyle w:val="FootnoteReference"/>
        </w:rPr>
        <w:footnoteRef/>
      </w:r>
      <w:r w:rsidRPr="00F93573">
        <w:rPr>
          <w:lang w:val="da-DK"/>
        </w:rPr>
        <w:t xml:space="preserve"> Kleeff J, Korc M et al, (2016), ‘Pancreatic cancer’, Nat. Rev. Dis. Primers 2, 16022. </w:t>
      </w:r>
    </w:p>
  </w:footnote>
  <w:footnote w:id="11">
    <w:p w14:paraId="3F2E5EA4" w14:textId="77777777" w:rsidR="00091D2A" w:rsidRDefault="00091D2A" w:rsidP="00091D2A">
      <w:pPr>
        <w:pStyle w:val="FootnoteText"/>
      </w:pPr>
      <w:r w:rsidRPr="03D95ED9">
        <w:rPr>
          <w:rStyle w:val="FootnoteReference"/>
        </w:rPr>
        <w:footnoteRef/>
      </w:r>
      <w:r>
        <w:t xml:space="preserve"> Lee, B, (2023), ‘Use of Metastatic Pancreatic Cancer Treatment Algorithms in Routine Clinical Practice in Australia - a PURPLE Translational Registry study’</w:t>
      </w:r>
    </w:p>
  </w:footnote>
  <w:footnote w:id="12">
    <w:p w14:paraId="70F1887A" w14:textId="77777777" w:rsidR="00091D2A" w:rsidRDefault="00091D2A" w:rsidP="00091D2A">
      <w:pPr>
        <w:pStyle w:val="FootnoteText"/>
      </w:pPr>
      <w:r>
        <w:rPr>
          <w:rStyle w:val="FootnoteReference"/>
        </w:rPr>
        <w:footnoteRef/>
      </w:r>
      <w:r>
        <w:t xml:space="preserve"> </w:t>
      </w:r>
      <w:r w:rsidRPr="000B64B2">
        <w:t>Barbier et al</w:t>
      </w:r>
      <w:r>
        <w:t>.</w:t>
      </w:r>
      <w:r w:rsidRPr="000B64B2">
        <w:t>, (2020</w:t>
      </w:r>
      <w:r>
        <w:t>), ‘</w:t>
      </w:r>
      <w:r w:rsidRPr="000B64B2">
        <w:t>Differentiation of liposomal irinotecan from dose‐dense non‐liposomal irinotecan in patient‐derived pancreatic cancer xenograft tumor models</w:t>
      </w:r>
      <w:r>
        <w:t>’,</w:t>
      </w:r>
      <w:r w:rsidRPr="000B64B2">
        <w:t xml:space="preserve"> J Clin Oncol</w:t>
      </w:r>
      <w:r>
        <w:t xml:space="preserve">, </w:t>
      </w:r>
      <w:r w:rsidRPr="000B64B2">
        <w:t>38:e16724</w:t>
      </w:r>
    </w:p>
  </w:footnote>
  <w:footnote w:id="13">
    <w:p w14:paraId="7D0D946C" w14:textId="77777777" w:rsidR="00091D2A" w:rsidRDefault="00091D2A" w:rsidP="00091D2A">
      <w:pPr>
        <w:pStyle w:val="FootnoteText"/>
      </w:pPr>
      <w:r>
        <w:rPr>
          <w:rStyle w:val="FootnoteReference"/>
        </w:rPr>
        <w:footnoteRef/>
      </w:r>
      <w:r w:rsidRPr="000B64B2">
        <w:t xml:space="preserve"> Kalra et al</w:t>
      </w:r>
      <w:r>
        <w:t>.</w:t>
      </w:r>
      <w:r w:rsidRPr="000B64B2">
        <w:t>,</w:t>
      </w:r>
      <w:r>
        <w:t xml:space="preserve"> (2014), ‘</w:t>
      </w:r>
      <w:r w:rsidRPr="000B64B2">
        <w:t>Preclinical activity of nanoliposomal irinotecan is governed by tumor deposition and intratumor pro-drug conversion</w:t>
      </w:r>
      <w:r>
        <w:t xml:space="preserve">’, </w:t>
      </w:r>
      <w:r w:rsidRPr="000B64B2">
        <w:t>Cancer Res</w:t>
      </w:r>
      <w:r>
        <w:t xml:space="preserve">, </w:t>
      </w:r>
      <w:r w:rsidRPr="000B64B2">
        <w:t>74(23):7003-13</w:t>
      </w:r>
    </w:p>
  </w:footnote>
  <w:footnote w:id="14">
    <w:p w14:paraId="0D03E6DA" w14:textId="77777777" w:rsidR="00091D2A" w:rsidRDefault="00091D2A" w:rsidP="00091D2A">
      <w:pPr>
        <w:pStyle w:val="FootnoteText"/>
      </w:pPr>
      <w:r>
        <w:rPr>
          <w:rStyle w:val="FootnoteReference"/>
        </w:rPr>
        <w:footnoteRef/>
      </w:r>
      <w:r>
        <w:t xml:space="preserve"> EviQ, (2022), ‘</w:t>
      </w:r>
      <w:r w:rsidRPr="001F48F2">
        <w:t>Pancreas metastatic FOLFIRINOX (modified) (fluorouracil leucovorin irinotecan oxaliplatin)</w:t>
      </w:r>
      <w:r>
        <w:t xml:space="preserve">’, </w:t>
      </w:r>
      <w:r w:rsidRPr="001F48F2">
        <w:t>https://www.eviq.org.au/medical-oncology/upper-gastrointestinal/pancreas-and-biliary/1512-pancreas-metastatic-folfirinox-modified-fl</w:t>
      </w:r>
    </w:p>
  </w:footnote>
  <w:footnote w:id="15">
    <w:p w14:paraId="0732CC14" w14:textId="2D769F5C" w:rsidR="0009253E" w:rsidRDefault="0009253E">
      <w:pPr>
        <w:pStyle w:val="FootnoteText"/>
      </w:pPr>
      <w:r>
        <w:rPr>
          <w:rStyle w:val="FootnoteReference"/>
        </w:rPr>
        <w:footnoteRef/>
      </w:r>
      <w:r>
        <w:t xml:space="preserve"> </w:t>
      </w:r>
      <w:r w:rsidRPr="0009253E">
        <w:t>Cherny NI, Dafni U, Bogaerts J, et al: ESMO-Magnitude of Clinical Benefit Scale version 1.1. Annals of Oncology 28:2340-2366, 2017</w:t>
      </w:r>
    </w:p>
  </w:footnote>
  <w:footnote w:id="16">
    <w:p w14:paraId="5F650874" w14:textId="2EC72ADD" w:rsidR="002F7CEE" w:rsidRDefault="002F7CEE">
      <w:pPr>
        <w:pStyle w:val="FootnoteText"/>
      </w:pPr>
      <w:r>
        <w:rPr>
          <w:rStyle w:val="FootnoteReference"/>
        </w:rPr>
        <w:footnoteRef/>
      </w:r>
      <w:r>
        <w:t xml:space="preserve"> Mizusawa, J., Ohba, A., et al. (2023). Protocol of a randomized </w:t>
      </w:r>
      <w:r w:rsidRPr="008F666D">
        <w:t>phase</w:t>
      </w:r>
      <w:r>
        <w:t xml:space="preserve"> </w:t>
      </w:r>
      <w:r w:rsidRPr="008F666D">
        <w:t>II/III</w:t>
      </w:r>
      <w:r>
        <w:t xml:space="preserve"> </w:t>
      </w:r>
      <w:r w:rsidRPr="008F666D">
        <w:t>study</w:t>
      </w:r>
      <w:r>
        <w:t xml:space="preserve"> </w:t>
      </w:r>
      <w:r w:rsidRPr="008F666D">
        <w:t>of</w:t>
      </w:r>
      <w:r>
        <w:t xml:space="preserve"> </w:t>
      </w:r>
      <w:r w:rsidRPr="008F666D">
        <w:t>gemcitabine</w:t>
      </w:r>
      <w:r>
        <w:t xml:space="preserve"> </w:t>
      </w:r>
      <w:r w:rsidRPr="008F666D">
        <w:t>plus</w:t>
      </w:r>
      <w:r>
        <w:t xml:space="preserve"> </w:t>
      </w:r>
      <w:r w:rsidRPr="008F666D">
        <w:t>nab-paclitaxel</w:t>
      </w:r>
      <w:r>
        <w:t xml:space="preserve"> </w:t>
      </w:r>
      <w:r w:rsidRPr="008F666D">
        <w:t>combination</w:t>
      </w:r>
      <w:r>
        <w:t xml:space="preserve"> </w:t>
      </w:r>
      <w:r w:rsidRPr="008F666D">
        <w:t>therapy</w:t>
      </w:r>
      <w:r>
        <w:t xml:space="preserve"> </w:t>
      </w:r>
      <w:r w:rsidRPr="008F666D">
        <w:t>versus</w:t>
      </w:r>
      <w:r>
        <w:t xml:space="preserve"> </w:t>
      </w:r>
      <w:r w:rsidRPr="008F666D">
        <w:t>modified</w:t>
      </w:r>
      <w:r>
        <w:t xml:space="preserve"> </w:t>
      </w:r>
      <w:r w:rsidRPr="008F666D">
        <w:t>FOLFIRINOX</w:t>
      </w:r>
      <w:r>
        <w:t xml:space="preserve"> </w:t>
      </w:r>
      <w:r w:rsidRPr="008F666D">
        <w:t>versus</w:t>
      </w:r>
      <w:r>
        <w:t xml:space="preserve"> </w:t>
      </w:r>
      <w:r w:rsidRPr="008F666D">
        <w:t>S</w:t>
      </w:r>
      <w:r>
        <w:t>-</w:t>
      </w:r>
      <w:r w:rsidRPr="008F666D">
        <w:t>IROX</w:t>
      </w:r>
      <w:r>
        <w:t xml:space="preserve"> </w:t>
      </w:r>
      <w:r w:rsidRPr="008F666D">
        <w:t>for</w:t>
      </w:r>
      <w:r>
        <w:t xml:space="preserve"> </w:t>
      </w:r>
      <w:r w:rsidRPr="008F666D">
        <w:t>metastatic</w:t>
      </w:r>
      <w:r>
        <w:t xml:space="preserve"> </w:t>
      </w:r>
      <w:r w:rsidRPr="008F666D">
        <w:t>or</w:t>
      </w:r>
      <w:r>
        <w:t xml:space="preserve"> </w:t>
      </w:r>
      <w:r w:rsidRPr="008F666D">
        <w:t>recurrent</w:t>
      </w:r>
      <w:r>
        <w:t xml:space="preserve"> </w:t>
      </w:r>
      <w:r w:rsidRPr="008F666D">
        <w:t>pancreatic</w:t>
      </w:r>
      <w:r>
        <w:t xml:space="preserve"> </w:t>
      </w:r>
      <w:r w:rsidRPr="008F666D">
        <w:t>cancer:</w:t>
      </w:r>
      <w:r>
        <w:t xml:space="preserve"> </w:t>
      </w:r>
      <w:r w:rsidRPr="008F666D">
        <w:t>JCOG1611</w:t>
      </w:r>
      <w:r>
        <w:t xml:space="preserve"> </w:t>
      </w:r>
      <w:r w:rsidRPr="008F666D">
        <w:t>(GENERATE)</w:t>
      </w:r>
      <w:r>
        <w:t xml:space="preserve">. </w:t>
      </w:r>
      <w:r>
        <w:rPr>
          <w:i/>
          <w:iCs/>
        </w:rPr>
        <w:t>Japanese Journal of Clinical Oncology</w:t>
      </w:r>
      <w:r>
        <w:t xml:space="preserve">. 53(1), 80-84. </w:t>
      </w:r>
      <w:hyperlink r:id="rId2" w:history="1">
        <w:r w:rsidRPr="00F40178">
          <w:rPr>
            <w:rStyle w:val="Hyperlink"/>
          </w:rPr>
          <w:t>https://doi.org/10.1093/jjco/hyac146</w:t>
        </w:r>
      </w:hyperlink>
    </w:p>
  </w:footnote>
  <w:footnote w:id="17">
    <w:p w14:paraId="56F2449D" w14:textId="77777777" w:rsidR="00091D2A" w:rsidRDefault="00091D2A" w:rsidP="00091D2A">
      <w:pPr>
        <w:pStyle w:val="FootnoteText"/>
      </w:pPr>
      <w:r>
        <w:rPr>
          <w:rStyle w:val="FootnoteReference"/>
        </w:rPr>
        <w:footnoteRef/>
      </w:r>
      <w:r>
        <w:t xml:space="preserve"> </w:t>
      </w:r>
      <w:r w:rsidRPr="00EE09EC">
        <w:t>Nichetti F et al.</w:t>
      </w:r>
      <w:r>
        <w:t xml:space="preserve"> </w:t>
      </w:r>
      <w:r w:rsidRPr="00EE09EC">
        <w:t>(2024) ‘NALIRIFOX, FOLFIRINOX, and Gemcitabine With Nab-Paclitaxel as First-Line Chemotherapy for Metastatic Pancreatic Cancer: A Systematic Review and Meta-Analysis. JAMA Netw Open. 2024;7(1):e2350756. doi:</w:t>
      </w:r>
      <w:r>
        <w:t xml:space="preserve"> </w:t>
      </w:r>
      <w:r w:rsidRPr="00CE0150">
        <w:rPr>
          <w:rStyle w:val="Hyperlink"/>
        </w:rPr>
        <w:t>10.1001/jamanetworkopen.2023.50756</w:t>
      </w:r>
      <w:r>
        <w:t xml:space="preserve">   </w:t>
      </w:r>
    </w:p>
  </w:footnote>
  <w:footnote w:id="18">
    <w:p w14:paraId="273F176C" w14:textId="77777777" w:rsidR="00091D2A" w:rsidRDefault="00091D2A" w:rsidP="00091D2A">
      <w:pPr>
        <w:pStyle w:val="FootnoteText"/>
      </w:pPr>
      <w:r>
        <w:rPr>
          <w:rStyle w:val="FootnoteReference"/>
        </w:rPr>
        <w:footnoteRef/>
      </w:r>
      <w:r>
        <w:t xml:space="preserve"> </w:t>
      </w:r>
      <w:r w:rsidRPr="00586445">
        <w:t>Olakowski M</w:t>
      </w:r>
      <w:r>
        <w:t>. &amp;</w:t>
      </w:r>
      <w:r w:rsidRPr="00586445">
        <w:t xml:space="preserve"> Bułdak Ł.</w:t>
      </w:r>
      <w:r>
        <w:t xml:space="preserve"> (2022),</w:t>
      </w:r>
      <w:r w:rsidRPr="00586445">
        <w:t xml:space="preserve"> </w:t>
      </w:r>
      <w:r>
        <w:t>‘</w:t>
      </w:r>
      <w:r w:rsidRPr="00586445">
        <w:t>Modifiable and Non-Modifiable Risk Factors for the Development of Non-Hereditary Pancreatic Cancer</w:t>
      </w:r>
      <w:r>
        <w:t>’,</w:t>
      </w:r>
      <w:r w:rsidRPr="00586445">
        <w:t xml:space="preserve"> Medicina (Kaunas)</w:t>
      </w:r>
      <w:r>
        <w:t xml:space="preserve">, </w:t>
      </w:r>
      <w:r w:rsidRPr="00586445">
        <w:t>58(8):978. doi: 10.3390/medicina58080978.</w:t>
      </w:r>
    </w:p>
  </w:footnote>
  <w:footnote w:id="19">
    <w:p w14:paraId="3A7262A7" w14:textId="77777777" w:rsidR="00091D2A" w:rsidRDefault="00091D2A" w:rsidP="00091D2A">
      <w:pPr>
        <w:pStyle w:val="FootnoteText"/>
      </w:pPr>
      <w:r>
        <w:rPr>
          <w:rStyle w:val="FootnoteReference"/>
        </w:rPr>
        <w:footnoteRef/>
      </w:r>
      <w:r>
        <w:t xml:space="preserve"> </w:t>
      </w:r>
      <w:r w:rsidRPr="0055249F">
        <w:t>Anama-Green C</w:t>
      </w:r>
      <w:r>
        <w:t xml:space="preserve">. &amp; </w:t>
      </w:r>
      <w:r w:rsidRPr="0055249F">
        <w:t>Quinn M.</w:t>
      </w:r>
      <w:r>
        <w:t xml:space="preserve"> (2021), ‘</w:t>
      </w:r>
      <w:r w:rsidRPr="0055249F">
        <w:t>Survival Analysis of Demographic Factors Associated With 5+ Year Survival of Pancreatic Carcinoma</w:t>
      </w:r>
      <w:r>
        <w:t>’,</w:t>
      </w:r>
      <w:r w:rsidRPr="0055249F">
        <w:t xml:space="preserve"> Cureus</w:t>
      </w:r>
      <w:r>
        <w:t xml:space="preserve">, </w:t>
      </w:r>
      <w:r w:rsidRPr="0055249F">
        <w:t>13(1):e13032. doi: 10.7759/cureus.13032.</w:t>
      </w:r>
    </w:p>
  </w:footnote>
  <w:footnote w:id="20">
    <w:p w14:paraId="513F6108" w14:textId="77777777" w:rsidR="00091D2A" w:rsidRDefault="00091D2A" w:rsidP="00091D2A">
      <w:pPr>
        <w:pStyle w:val="FootnoteText"/>
      </w:pPr>
      <w:r>
        <w:rPr>
          <w:rStyle w:val="FootnoteReference"/>
        </w:rPr>
        <w:footnoteRef/>
      </w:r>
      <w:r>
        <w:t xml:space="preserve"> </w:t>
      </w:r>
      <w:r w:rsidRPr="00B85AA5">
        <w:t>Wu</w:t>
      </w:r>
      <w:r>
        <w:t xml:space="preserve"> et al.</w:t>
      </w:r>
      <w:r w:rsidRPr="00B85AA5">
        <w:t xml:space="preserve"> (2021)</w:t>
      </w:r>
      <w:r>
        <w:t>,</w:t>
      </w:r>
      <w:r w:rsidRPr="00B85AA5">
        <w:t xml:space="preserve"> </w:t>
      </w:r>
      <w:r>
        <w:t>‘</w:t>
      </w:r>
      <w:r w:rsidRPr="00B85AA5">
        <w:t>Clinical significance of site-specific metastases in pancreatic cancer: a study based on both clinical trial and real-world data</w:t>
      </w:r>
      <w:r>
        <w:t xml:space="preserve">’, </w:t>
      </w:r>
      <w:r w:rsidRPr="00B85AA5">
        <w:rPr>
          <w:i/>
          <w:iCs/>
        </w:rPr>
        <w:t>Journal of Cancer</w:t>
      </w:r>
      <w:r w:rsidRPr="00B85AA5">
        <w:t>, 12(6), 1715-1721. https://doi.org/10.7150/jca.50317.</w:t>
      </w:r>
    </w:p>
  </w:footnote>
  <w:footnote w:id="21">
    <w:p w14:paraId="077A4ADF" w14:textId="77777777" w:rsidR="00091D2A" w:rsidRDefault="00091D2A" w:rsidP="00091D2A">
      <w:pPr>
        <w:pStyle w:val="FootnoteText"/>
      </w:pPr>
      <w:r>
        <w:rPr>
          <w:rStyle w:val="FootnoteReference"/>
        </w:rPr>
        <w:footnoteRef/>
      </w:r>
      <w:r>
        <w:t xml:space="preserve"> Le N. &amp;Sund M. (2016), ‘</w:t>
      </w:r>
      <w:r w:rsidRPr="00E14369">
        <w:t>Prognostic and predictive markers in pancreatic adenocarcinoma</w:t>
      </w:r>
      <w:r>
        <w:t xml:space="preserve">’, Digestive and Liver Disease, 48 (3), 223-230. </w:t>
      </w:r>
      <w:r w:rsidRPr="00230130">
        <w:t>https://doi.org/10.1016/j.dld.2015.11.001</w:t>
      </w:r>
    </w:p>
  </w:footnote>
  <w:footnote w:id="22">
    <w:p w14:paraId="7997141E" w14:textId="77777777" w:rsidR="00091D2A" w:rsidRDefault="00091D2A" w:rsidP="00091D2A">
      <w:pPr>
        <w:pStyle w:val="FootnoteText"/>
      </w:pPr>
      <w:r>
        <w:rPr>
          <w:rStyle w:val="FootnoteReference"/>
        </w:rPr>
        <w:footnoteRef/>
      </w:r>
      <w:r>
        <w:t xml:space="preserve"> </w:t>
      </w:r>
      <w:r w:rsidRPr="00413322">
        <w:t>Li et al.</w:t>
      </w:r>
      <w:r>
        <w:t xml:space="preserve"> (2022),</w:t>
      </w:r>
      <w:r w:rsidRPr="00413322">
        <w:t> </w:t>
      </w:r>
      <w:r>
        <w:t>‘</w:t>
      </w:r>
      <w:r w:rsidRPr="00413322">
        <w:t>Prognosis and survival analysis of patients with pancreatic cancer: retrospective experience of a single institution</w:t>
      </w:r>
      <w:r>
        <w:t>’</w:t>
      </w:r>
      <w:r w:rsidRPr="00413322">
        <w:t>. </w:t>
      </w:r>
      <w:r w:rsidRPr="005E3BAF">
        <w:t>World J Surg Onc</w:t>
      </w:r>
      <w:r>
        <w:t>ology,</w:t>
      </w:r>
      <w:r w:rsidRPr="005E3BAF">
        <w:t> 20, 11</w:t>
      </w:r>
      <w:r>
        <w:t xml:space="preserve"> </w:t>
      </w:r>
      <w:r w:rsidRPr="00D37831">
        <w:t>(2022)</w:t>
      </w:r>
      <w:r w:rsidRPr="00413322">
        <w:t>. https://doi.org/10.1186/s12957-021-02478-x</w:t>
      </w:r>
    </w:p>
  </w:footnote>
  <w:footnote w:id="23">
    <w:p w14:paraId="33EBAB33" w14:textId="77777777" w:rsidR="00091D2A" w:rsidRDefault="00091D2A" w:rsidP="00091D2A">
      <w:pPr>
        <w:pStyle w:val="FootnoteText"/>
      </w:pPr>
      <w:r>
        <w:rPr>
          <w:rStyle w:val="FootnoteReference"/>
        </w:rPr>
        <w:footnoteRef/>
      </w:r>
      <w:r>
        <w:t xml:space="preserve"> </w:t>
      </w:r>
      <w:r w:rsidRPr="002C3E98">
        <w:t xml:space="preserve">Hartwig </w:t>
      </w:r>
      <w:r>
        <w:t>et al. (2013), ‘</w:t>
      </w:r>
      <w:r w:rsidRPr="002C3E98">
        <w:t>CA19-9 in potentially resectable pancreatic cancer: perspective to adjust surgical and perioperative therapy</w:t>
      </w:r>
      <w:r>
        <w:t xml:space="preserve">’, </w:t>
      </w:r>
      <w:r w:rsidRPr="002C3E98">
        <w:t>Ann Surg Oncol. 2013 Jul;20(7):2188-96. doi: 10.1245/s10434-012-2809-1.</w:t>
      </w:r>
    </w:p>
  </w:footnote>
  <w:footnote w:id="24">
    <w:p w14:paraId="7313975F" w14:textId="77777777" w:rsidR="00091D2A" w:rsidRDefault="00091D2A" w:rsidP="00091D2A">
      <w:pPr>
        <w:pStyle w:val="FootnoteText"/>
      </w:pPr>
      <w:r>
        <w:rPr>
          <w:rStyle w:val="FootnoteReference"/>
        </w:rPr>
        <w:footnoteRef/>
      </w:r>
      <w:r>
        <w:t xml:space="preserve"> eviQ (2022), ‘</w:t>
      </w:r>
      <w:r w:rsidRPr="00265E63">
        <w:t>Pancreas metastatic FOLFIRINOX (modified) (fluorouracil leucovorin irinotecan oxaliplatin)</w:t>
      </w:r>
      <w:r>
        <w:t xml:space="preserve">’, </w:t>
      </w:r>
      <w:hyperlink r:id="rId3" w:history="1">
        <w:r w:rsidRPr="00713187">
          <w:rPr>
            <w:rStyle w:val="Hyperlink"/>
          </w:rPr>
          <w:t>https://www.eviq.org.au/medical-oncology/upper-gastrointestinal/pancreas-and-biliary/1512-pancreas-metastatic-folfirinox-modified-fl</w:t>
        </w:r>
      </w:hyperlink>
    </w:p>
  </w:footnote>
  <w:footnote w:id="25">
    <w:p w14:paraId="51A2FB2A" w14:textId="77777777" w:rsidR="00091D2A" w:rsidRDefault="00091D2A" w:rsidP="00091D2A">
      <w:pPr>
        <w:pStyle w:val="FootnoteText"/>
      </w:pPr>
      <w:r>
        <w:rPr>
          <w:rStyle w:val="FootnoteReference"/>
        </w:rPr>
        <w:footnoteRef/>
      </w:r>
      <w:r>
        <w:t xml:space="preserve"> </w:t>
      </w:r>
      <w:r w:rsidRPr="00291580">
        <w:t>EviQ, (2022), ‘Folinic acid (calcium folinate or Leucovorin®): low dose or high dose’, https://www.eviq.org.au/additional-clinical-information/3065-folinic-acid-calcium-folinate-or-leucovorin</w:t>
      </w:r>
    </w:p>
  </w:footnote>
  <w:footnote w:id="26">
    <w:p w14:paraId="748A6A93" w14:textId="77777777" w:rsidR="00091D2A" w:rsidRDefault="00091D2A" w:rsidP="00091D2A">
      <w:pPr>
        <w:pStyle w:val="FootnoteText"/>
      </w:pPr>
      <w:r>
        <w:rPr>
          <w:rStyle w:val="FootnoteReference"/>
          <w:rFonts w:eastAsiaTheme="minorHAnsi"/>
        </w:rPr>
        <w:footnoteRef/>
      </w:r>
      <w:r>
        <w:t xml:space="preserve"> eviQ (2022), ‘</w:t>
      </w:r>
      <w:r w:rsidRPr="00265E63">
        <w:t>Pancreas metastatic FOLFIRINOX (modified) (fluorouracil leucovorin irinotecan oxaliplatin)</w:t>
      </w:r>
      <w:r>
        <w:t xml:space="preserve">’, </w:t>
      </w:r>
      <w:hyperlink r:id="rId4" w:history="1">
        <w:r w:rsidRPr="00713187">
          <w:rPr>
            <w:rStyle w:val="Hyperlink"/>
          </w:rPr>
          <w:t>https://www.eviq.org.au/medical-oncology/upper-gastrointestinal/pancreas-and-biliary/1512-pancreas-metastatic-folfirinox-modified-fl</w:t>
        </w:r>
      </w:hyperlink>
    </w:p>
  </w:footnote>
  <w:footnote w:id="27">
    <w:p w14:paraId="7D276DF4" w14:textId="77777777" w:rsidR="00091D2A" w:rsidRDefault="00091D2A" w:rsidP="00091D2A">
      <w:pPr>
        <w:pStyle w:val="FootnoteText"/>
      </w:pPr>
      <w:r>
        <w:rPr>
          <w:rStyle w:val="FootnoteReference"/>
        </w:rPr>
        <w:footnoteRef/>
      </w:r>
      <w:r>
        <w:t xml:space="preserve"> </w:t>
      </w:r>
      <w:r w:rsidRPr="00A92301">
        <w:t>Tong</w:t>
      </w:r>
      <w:r>
        <w:t xml:space="preserve"> </w:t>
      </w:r>
      <w:r w:rsidRPr="00A92301">
        <w:t>et al. </w:t>
      </w:r>
      <w:r>
        <w:t>(2018), ‘</w:t>
      </w:r>
      <w:r w:rsidRPr="00A92301">
        <w:t>The benefits of modified FOLFIRINOX for advanced pancreatic cancer and its induced adverse events: a systematic review and meta-analysis</w:t>
      </w:r>
      <w:r>
        <w:t>’,</w:t>
      </w:r>
      <w:r w:rsidRPr="00A92301">
        <w:t> </w:t>
      </w:r>
      <w:r w:rsidRPr="00B5405A">
        <w:rPr>
          <w:i/>
          <w:iCs/>
        </w:rPr>
        <w:t>Sci Rep</w:t>
      </w:r>
      <w:r w:rsidRPr="00B5405A">
        <w:t> 8, 8666</w:t>
      </w:r>
      <w:r w:rsidRPr="00A92301">
        <w:t>. https://doi.org/10.1038/s41598-018-26811-9</w:t>
      </w:r>
    </w:p>
  </w:footnote>
  <w:footnote w:id="28">
    <w:p w14:paraId="6CB220D9" w14:textId="77777777" w:rsidR="00091D2A" w:rsidRDefault="00091D2A" w:rsidP="00FA7A35">
      <w:pPr>
        <w:pStyle w:val="FootnoteText"/>
      </w:pPr>
      <w:r>
        <w:rPr>
          <w:rStyle w:val="FootnoteReference"/>
          <w:rFonts w:eastAsiaTheme="minorHAnsi"/>
        </w:rPr>
        <w:footnoteRef/>
      </w:r>
      <w:r>
        <w:t xml:space="preserve"> </w:t>
      </w:r>
      <w:r>
        <w:rPr>
          <w:rStyle w:val="normaltextrun"/>
          <w:color w:val="000000"/>
          <w:shd w:val="clear" w:color="auto" w:fill="FFFFFF"/>
          <w:lang w:val="en-US"/>
        </w:rPr>
        <w:t xml:space="preserve">Ellis et al., (2014). 'American Society of Clinical Oncology perspective: raising the bar for clinical trials by defining clinically meaningful outcomes', J Clin Oncol, 32(12), 1277-80. </w:t>
      </w:r>
      <w:hyperlink r:id="rId5" w:history="1">
        <w:r w:rsidRPr="00E46620">
          <w:rPr>
            <w:rStyle w:val="Hyperlink"/>
            <w:shd w:val="clear" w:color="auto" w:fill="FFFFFF"/>
            <w:lang w:val="en-US"/>
          </w:rPr>
          <w:t>https://ascopubs.org/doi/10.1200/JCO.2013.53.8009</w:t>
        </w:r>
      </w:hyperlink>
      <w:r>
        <w:rPr>
          <w:rStyle w:val="eop"/>
          <w:color w:val="000000"/>
          <w:shd w:val="clear" w:color="auto" w:fill="FFFFFF"/>
        </w:rPr>
        <w:t> </w:t>
      </w:r>
    </w:p>
  </w:footnote>
  <w:footnote w:id="29">
    <w:p w14:paraId="009B2D9B" w14:textId="3E445526" w:rsidR="00C75BBC" w:rsidRDefault="00C75BBC" w:rsidP="00FA7A35">
      <w:pPr>
        <w:pStyle w:val="FootnoteText"/>
      </w:pPr>
      <w:r>
        <w:rPr>
          <w:rStyle w:val="FootnoteReference"/>
        </w:rPr>
        <w:footnoteRef/>
      </w:r>
      <w:r>
        <w:t xml:space="preserve"> </w:t>
      </w:r>
      <w:r w:rsidRPr="00E7616D">
        <w:t>Cooray, P., Zalcberg, J. (2024). First-line treatments for metastatic pancreatic cancer: Overview of key trials shaping the treatment landscape in Australia. Key Opinions in Medicine.</w:t>
      </w:r>
      <w:r>
        <w:t xml:space="preserve"> Available online at </w:t>
      </w:r>
      <w:r w:rsidRPr="00E7616D">
        <w:t>https://keyopinions.info/downloads/first-line-treatments-for-metastatic-pancreatic-cancer/</w:t>
      </w:r>
    </w:p>
  </w:footnote>
  <w:footnote w:id="30">
    <w:p w14:paraId="08A324BD" w14:textId="77777777" w:rsidR="00091D2A" w:rsidRDefault="00091D2A" w:rsidP="00FA7A35">
      <w:pPr>
        <w:pStyle w:val="FootnoteText"/>
      </w:pPr>
      <w:r>
        <w:rPr>
          <w:rStyle w:val="FootnoteReference"/>
        </w:rPr>
        <w:footnoteRef/>
      </w:r>
      <w:r>
        <w:t xml:space="preserve"> </w:t>
      </w:r>
      <w:r w:rsidRPr="006112D5">
        <w:t>Besselink MG</w:t>
      </w:r>
      <w:r>
        <w:t>. &amp;</w:t>
      </w:r>
      <w:r w:rsidRPr="006112D5">
        <w:t xml:space="preserve"> Wilmink JW.</w:t>
      </w:r>
      <w:r>
        <w:t xml:space="preserve"> (2023), ‘</w:t>
      </w:r>
      <w:r w:rsidRPr="006112D5">
        <w:t>Treating metastatic pancreatic ductal adenocarcinoma: NALIRIFOX as new standard?</w:t>
      </w:r>
      <w:r>
        <w:t xml:space="preserve">’, </w:t>
      </w:r>
      <w:r w:rsidRPr="006112D5">
        <w:t>The Lancet; Published online 11 September 2023. DOI: https://doi.org/10.1016/S0140-6736(23)01521-0</w:t>
      </w:r>
    </w:p>
  </w:footnote>
  <w:footnote w:id="31">
    <w:p w14:paraId="75C51C88" w14:textId="77777777" w:rsidR="00091D2A" w:rsidRDefault="00091D2A" w:rsidP="00FA7A35">
      <w:pPr>
        <w:pStyle w:val="FootnoteText"/>
      </w:pPr>
      <w:r>
        <w:rPr>
          <w:rStyle w:val="FootnoteReference"/>
        </w:rPr>
        <w:footnoteRef/>
      </w:r>
      <w:r>
        <w:t xml:space="preserve"> </w:t>
      </w:r>
      <w:r w:rsidRPr="00CD2421">
        <w:t xml:space="preserve">Cherny </w:t>
      </w:r>
      <w:r>
        <w:t>et al. (2015), ‘</w:t>
      </w:r>
      <w:r w:rsidRPr="00CD2421">
        <w:t>A standardised, generic, validated approach to stratify the magnitude of clinical benefit that can be anticipated from anti-cancer therapies: the European Society for Medical Oncology Magnitude of Clinical Benefit Scale (ESMO-MCBS)</w:t>
      </w:r>
      <w:r>
        <w:t>’,</w:t>
      </w:r>
      <w:r w:rsidRPr="00CD2421">
        <w:t xml:space="preserve"> Ann Oncol. 2015 Aug;26(8):1547-73. doi: 10.1093/annonc/mdv249.</w:t>
      </w:r>
    </w:p>
  </w:footnote>
  <w:footnote w:id="32">
    <w:p w14:paraId="25E47E40" w14:textId="77777777" w:rsidR="00091D2A" w:rsidRPr="00E936B6" w:rsidRDefault="00091D2A" w:rsidP="00FA7A35">
      <w:pPr>
        <w:pStyle w:val="FootnoteText"/>
        <w:rPr>
          <w:lang w:val="pt-PT"/>
        </w:rPr>
      </w:pPr>
      <w:r>
        <w:rPr>
          <w:rStyle w:val="FootnoteReference"/>
        </w:rPr>
        <w:footnoteRef/>
      </w:r>
      <w:r>
        <w:t xml:space="preserve"> </w:t>
      </w:r>
      <w:r w:rsidRPr="00E828CA">
        <w:t>Jenei</w:t>
      </w:r>
      <w:r>
        <w:t xml:space="preserve"> et al. (2022), ‘</w:t>
      </w:r>
      <w:r w:rsidRPr="00E828CA">
        <w:t>Cancer medicines on the WHO Model List of Essential Medicines: processes, challenges, and a way forward</w:t>
      </w:r>
      <w:r>
        <w:t>’,</w:t>
      </w:r>
      <w:r w:rsidRPr="00E828CA">
        <w:t xml:space="preserve"> Lancet Glob Health. </w:t>
      </w:r>
      <w:r w:rsidRPr="00E936B6">
        <w:rPr>
          <w:lang w:val="pt-PT"/>
        </w:rPr>
        <w:t>2022 Dec;10(12):e1860-e1866. doi: 10.1016/S2214-109X(22)00376-X.</w:t>
      </w:r>
    </w:p>
  </w:footnote>
  <w:footnote w:id="33">
    <w:p w14:paraId="5B04FED6" w14:textId="7E4485B6" w:rsidR="00C2185F" w:rsidRDefault="00C2185F">
      <w:pPr>
        <w:pStyle w:val="FootnoteText"/>
      </w:pPr>
      <w:r>
        <w:rPr>
          <w:rStyle w:val="FootnoteReference"/>
        </w:rPr>
        <w:footnoteRef/>
      </w:r>
      <w:r w:rsidRPr="00E936B6">
        <w:rPr>
          <w:lang w:val="pt-PT"/>
        </w:rPr>
        <w:t xml:space="preserve"> Phillippo et al. </w:t>
      </w:r>
      <w:r>
        <w:t>(2018), ‘</w:t>
      </w:r>
      <w:r w:rsidRPr="00067A49">
        <w:t>Methods for Population-Adjusted Indirect Comparisons in Health Technology Appraisal</w:t>
      </w:r>
      <w:r>
        <w:t>’,</w:t>
      </w:r>
      <w:r w:rsidRPr="00067A49">
        <w:t xml:space="preserve"> Med Decis Making. 2018 Feb;38(2):200-211. doi: 10.1177/0272989X17725740</w:t>
      </w:r>
    </w:p>
  </w:footnote>
  <w:footnote w:id="34">
    <w:p w14:paraId="0019094E" w14:textId="3EBE4247" w:rsidR="00AF13ED" w:rsidRPr="00E936B6" w:rsidRDefault="00AF13ED" w:rsidP="00C2040E">
      <w:pPr>
        <w:pStyle w:val="FootnoteText"/>
        <w:rPr>
          <w:lang w:val="pt-PT"/>
        </w:rPr>
      </w:pPr>
      <w:r>
        <w:rPr>
          <w:rStyle w:val="FootnoteReference"/>
        </w:rPr>
        <w:footnoteRef/>
      </w:r>
      <w:r>
        <w:t xml:space="preserve"> Jennifer J. Knox et al., Early results of the PASS-01 trial: Pancreatic adenocarcinoma signature stratification for treatment-01.. </w:t>
      </w:r>
      <w:r w:rsidRPr="00E936B6">
        <w:rPr>
          <w:lang w:val="pt-PT"/>
        </w:rPr>
        <w:t xml:space="preserve">JCO 42, LBA4004-LBA4004(2024). </w:t>
      </w:r>
    </w:p>
  </w:footnote>
  <w:footnote w:id="35">
    <w:p w14:paraId="50E86E8A" w14:textId="1D4A8E05" w:rsidR="00AF13ED" w:rsidRPr="00E936B6" w:rsidRDefault="00AF13ED" w:rsidP="005E18BE">
      <w:pPr>
        <w:pStyle w:val="FootnoteText"/>
        <w:jc w:val="left"/>
        <w:rPr>
          <w:lang w:val="pt-PT"/>
        </w:rPr>
      </w:pPr>
      <w:r>
        <w:rPr>
          <w:rStyle w:val="FootnoteReference"/>
        </w:rPr>
        <w:footnoteRef/>
      </w:r>
      <w:r w:rsidRPr="00E936B6">
        <w:rPr>
          <w:lang w:val="pt-PT"/>
        </w:rPr>
        <w:t xml:space="preserve"> www.vumedi.com/video/ascor-2024-insights-biomarker-directed-treatment-for-pancreatic-adenocarcinoma-early-results-from-th/</w:t>
      </w:r>
    </w:p>
  </w:footnote>
  <w:footnote w:id="36">
    <w:p w14:paraId="06622848" w14:textId="575B35D7" w:rsidR="004E3F22" w:rsidRDefault="004E3F22">
      <w:pPr>
        <w:pStyle w:val="FootnoteText"/>
      </w:pPr>
      <w:r>
        <w:rPr>
          <w:rStyle w:val="FootnoteReference"/>
        </w:rPr>
        <w:footnoteRef/>
      </w:r>
      <w:r>
        <w:t xml:space="preserve"> Cooray, P., Zalcberg, J. (2024). First-line treatments for metastatic pancreatic cancer: Overview of key trials shaping the treatment landscape in Australia. </w:t>
      </w:r>
      <w:r w:rsidRPr="003E76E3">
        <w:rPr>
          <w:i/>
          <w:iCs/>
        </w:rPr>
        <w:t xml:space="preserve">Key Opinions in Medicine </w:t>
      </w:r>
      <w:r w:rsidRPr="00C43F10">
        <w:t>(Ahead of print).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D539C" w14:textId="7EF35B02" w:rsidR="00552B0C" w:rsidRPr="00056684" w:rsidRDefault="75E1E867" w:rsidP="75E1E867">
    <w:pPr>
      <w:pStyle w:val="Header"/>
      <w:ind w:left="360"/>
      <w:rPr>
        <w:rFonts w:asciiTheme="minorHAnsi" w:hAnsiTheme="minorHAnsi"/>
        <w:i/>
        <w:iCs/>
        <w:color w:val="808080"/>
      </w:rPr>
    </w:pPr>
    <w:bookmarkStart w:id="100" w:name="_Hlk76375146"/>
    <w:r w:rsidRPr="00FC0E6B">
      <w:rPr>
        <w:rFonts w:asciiTheme="minorHAnsi" w:hAnsiTheme="minorHAnsi"/>
        <w:i/>
        <w:iCs/>
      </w:rPr>
      <w:t>Public Summary Document – November 2024 PBAC Meeting</w:t>
    </w:r>
  </w:p>
  <w:bookmarkEnd w:id="100"/>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944A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DC28C1"/>
    <w:multiLevelType w:val="hybridMultilevel"/>
    <w:tmpl w:val="F57C4F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30855"/>
    <w:multiLevelType w:val="hybridMultilevel"/>
    <w:tmpl w:val="D0EEB9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9877DDC"/>
    <w:multiLevelType w:val="hybridMultilevel"/>
    <w:tmpl w:val="7542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F67E66"/>
    <w:multiLevelType w:val="hybridMultilevel"/>
    <w:tmpl w:val="CB6097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06334CD"/>
    <w:multiLevelType w:val="hybridMultilevel"/>
    <w:tmpl w:val="BB24EE8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4D1568"/>
    <w:multiLevelType w:val="hybridMultilevel"/>
    <w:tmpl w:val="E2268A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F1721A1"/>
    <w:multiLevelType w:val="hybridMultilevel"/>
    <w:tmpl w:val="8D22C1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091391F"/>
    <w:multiLevelType w:val="hybridMultilevel"/>
    <w:tmpl w:val="219EFD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E5B30"/>
    <w:multiLevelType w:val="hybridMultilevel"/>
    <w:tmpl w:val="1B7C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81EA6796"/>
    <w:lvl w:ilvl="0" w:tplc="6C72ADAE">
      <w:start w:val="1"/>
      <w:numFmt w:val="bullet"/>
      <w:pStyle w:val="ListParagraph"/>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94B7933"/>
    <w:multiLevelType w:val="hybridMultilevel"/>
    <w:tmpl w:val="CC2A21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4E63FD"/>
    <w:multiLevelType w:val="hybridMultilevel"/>
    <w:tmpl w:val="46569E1C"/>
    <w:lvl w:ilvl="0" w:tplc="CB840A52">
      <w:start w:val="1"/>
      <w:numFmt w:val="bullet"/>
      <w:lvlText w:val=""/>
      <w:lvlJc w:val="left"/>
      <w:pPr>
        <w:ind w:left="1134" w:hanging="360"/>
      </w:pPr>
      <w:rPr>
        <w:rFonts w:ascii="Symbol" w:hAnsi="Symbol" w:hint="default"/>
        <w:color w:val="auto"/>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1" w15:restartNumberingAfterBreak="0">
    <w:nsid w:val="5434047B"/>
    <w:multiLevelType w:val="hybridMultilevel"/>
    <w:tmpl w:val="00F65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5E267ED"/>
    <w:multiLevelType w:val="hybridMultilevel"/>
    <w:tmpl w:val="9F2855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D8200B"/>
    <w:multiLevelType w:val="hybridMultilevel"/>
    <w:tmpl w:val="1C182C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E8691C"/>
    <w:multiLevelType w:val="hybridMultilevel"/>
    <w:tmpl w:val="C51EC1F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8659716">
    <w:abstractNumId w:val="29"/>
  </w:num>
  <w:num w:numId="2" w16cid:durableId="204829521">
    <w:abstractNumId w:val="16"/>
  </w:num>
  <w:num w:numId="3" w16cid:durableId="875047941">
    <w:abstractNumId w:val="18"/>
  </w:num>
  <w:num w:numId="4" w16cid:durableId="570195607">
    <w:abstractNumId w:val="29"/>
  </w:num>
  <w:num w:numId="5" w16cid:durableId="1561940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994018">
    <w:abstractNumId w:val="24"/>
  </w:num>
  <w:num w:numId="7" w16cid:durableId="561990914">
    <w:abstractNumId w:val="6"/>
  </w:num>
  <w:num w:numId="8" w16cid:durableId="1131243875">
    <w:abstractNumId w:val="17"/>
  </w:num>
  <w:num w:numId="9" w16cid:durableId="478157817">
    <w:abstractNumId w:val="21"/>
  </w:num>
  <w:num w:numId="10" w16cid:durableId="696078797">
    <w:abstractNumId w:val="8"/>
  </w:num>
  <w:num w:numId="11" w16cid:durableId="411245701">
    <w:abstractNumId w:val="15"/>
  </w:num>
  <w:num w:numId="12" w16cid:durableId="347145881">
    <w:abstractNumId w:val="20"/>
  </w:num>
  <w:num w:numId="13" w16cid:durableId="1404180838">
    <w:abstractNumId w:val="7"/>
  </w:num>
  <w:num w:numId="14" w16cid:durableId="1204294928">
    <w:abstractNumId w:val="13"/>
  </w:num>
  <w:num w:numId="15" w16cid:durableId="1661231190">
    <w:abstractNumId w:val="2"/>
  </w:num>
  <w:num w:numId="16" w16cid:durableId="446313266">
    <w:abstractNumId w:val="19"/>
  </w:num>
  <w:num w:numId="17" w16cid:durableId="1030953264">
    <w:abstractNumId w:val="5"/>
  </w:num>
  <w:num w:numId="18" w16cid:durableId="1867132482">
    <w:abstractNumId w:val="25"/>
  </w:num>
  <w:num w:numId="19" w16cid:durableId="1616060170">
    <w:abstractNumId w:val="28"/>
  </w:num>
  <w:num w:numId="20" w16cid:durableId="1021971401">
    <w:abstractNumId w:val="10"/>
  </w:num>
  <w:num w:numId="21" w16cid:durableId="126240624">
    <w:abstractNumId w:val="26"/>
  </w:num>
  <w:num w:numId="22" w16cid:durableId="1660116426">
    <w:abstractNumId w:val="3"/>
  </w:num>
  <w:num w:numId="23" w16cid:durableId="408699874">
    <w:abstractNumId w:val="22"/>
  </w:num>
  <w:num w:numId="24" w16cid:durableId="1569418770">
    <w:abstractNumId w:val="4"/>
  </w:num>
  <w:num w:numId="25" w16cid:durableId="705176722">
    <w:abstractNumId w:val="1"/>
  </w:num>
  <w:num w:numId="26" w16cid:durableId="1926569401">
    <w:abstractNumId w:val="11"/>
  </w:num>
  <w:num w:numId="27" w16cid:durableId="1979457665">
    <w:abstractNumId w:val="12"/>
  </w:num>
  <w:num w:numId="28" w16cid:durableId="2038313566">
    <w:abstractNumId w:val="9"/>
  </w:num>
  <w:num w:numId="29" w16cid:durableId="129744317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9997201">
    <w:abstractNumId w:val="27"/>
  </w:num>
  <w:num w:numId="31" w16cid:durableId="1744176845">
    <w:abstractNumId w:val="14"/>
  </w:num>
  <w:num w:numId="32" w16cid:durableId="1994554564">
    <w:abstractNumId w:val="29"/>
  </w:num>
  <w:num w:numId="33" w16cid:durableId="2084136208">
    <w:abstractNumId w:val="0"/>
  </w:num>
  <w:num w:numId="34" w16cid:durableId="1715109625">
    <w:abstractNumId w:val="30"/>
  </w:num>
  <w:num w:numId="35" w16cid:durableId="544879408">
    <w:abstractNumId w:val="29"/>
  </w:num>
  <w:num w:numId="36" w16cid:durableId="663047975">
    <w:abstractNumId w:val="29"/>
  </w:num>
  <w:num w:numId="37" w16cid:durableId="753479175">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23"/>
    <w:rsid w:val="0000070F"/>
    <w:rsid w:val="00000790"/>
    <w:rsid w:val="0000103E"/>
    <w:rsid w:val="0000110B"/>
    <w:rsid w:val="00001316"/>
    <w:rsid w:val="0000216A"/>
    <w:rsid w:val="0000231D"/>
    <w:rsid w:val="00003499"/>
    <w:rsid w:val="000035DA"/>
    <w:rsid w:val="000039B7"/>
    <w:rsid w:val="00003EAC"/>
    <w:rsid w:val="0000468D"/>
    <w:rsid w:val="000047CD"/>
    <w:rsid w:val="00005024"/>
    <w:rsid w:val="000056B9"/>
    <w:rsid w:val="00005BE6"/>
    <w:rsid w:val="0000639A"/>
    <w:rsid w:val="00006E53"/>
    <w:rsid w:val="00007935"/>
    <w:rsid w:val="00007C06"/>
    <w:rsid w:val="00010917"/>
    <w:rsid w:val="000110DC"/>
    <w:rsid w:val="00011CAC"/>
    <w:rsid w:val="00013247"/>
    <w:rsid w:val="000134E9"/>
    <w:rsid w:val="000135B4"/>
    <w:rsid w:val="0001381F"/>
    <w:rsid w:val="0001402A"/>
    <w:rsid w:val="0001436D"/>
    <w:rsid w:val="00015886"/>
    <w:rsid w:val="000162EF"/>
    <w:rsid w:val="00016344"/>
    <w:rsid w:val="000207C9"/>
    <w:rsid w:val="000212F2"/>
    <w:rsid w:val="000213F7"/>
    <w:rsid w:val="000216A8"/>
    <w:rsid w:val="00021A0E"/>
    <w:rsid w:val="0002225F"/>
    <w:rsid w:val="0002250B"/>
    <w:rsid w:val="000228BB"/>
    <w:rsid w:val="00022950"/>
    <w:rsid w:val="00022F82"/>
    <w:rsid w:val="00023763"/>
    <w:rsid w:val="00023A80"/>
    <w:rsid w:val="00023DAC"/>
    <w:rsid w:val="00024485"/>
    <w:rsid w:val="00024EB5"/>
    <w:rsid w:val="00025086"/>
    <w:rsid w:val="000255F8"/>
    <w:rsid w:val="00025D6C"/>
    <w:rsid w:val="00026581"/>
    <w:rsid w:val="00026B33"/>
    <w:rsid w:val="000274B8"/>
    <w:rsid w:val="00027EFD"/>
    <w:rsid w:val="00030D25"/>
    <w:rsid w:val="00031F9A"/>
    <w:rsid w:val="00032893"/>
    <w:rsid w:val="00032A09"/>
    <w:rsid w:val="00032E67"/>
    <w:rsid w:val="00033863"/>
    <w:rsid w:val="00033B0B"/>
    <w:rsid w:val="000344B4"/>
    <w:rsid w:val="00034721"/>
    <w:rsid w:val="000358D2"/>
    <w:rsid w:val="00035DC0"/>
    <w:rsid w:val="00036829"/>
    <w:rsid w:val="00036E7E"/>
    <w:rsid w:val="000370B8"/>
    <w:rsid w:val="0003786C"/>
    <w:rsid w:val="00037E45"/>
    <w:rsid w:val="00040895"/>
    <w:rsid w:val="00040A70"/>
    <w:rsid w:val="00040BDD"/>
    <w:rsid w:val="000410A0"/>
    <w:rsid w:val="000410FF"/>
    <w:rsid w:val="000414E4"/>
    <w:rsid w:val="00042293"/>
    <w:rsid w:val="000422FD"/>
    <w:rsid w:val="00042882"/>
    <w:rsid w:val="000428CA"/>
    <w:rsid w:val="000435EE"/>
    <w:rsid w:val="00043C37"/>
    <w:rsid w:val="000443C9"/>
    <w:rsid w:val="000449D8"/>
    <w:rsid w:val="00045017"/>
    <w:rsid w:val="00045105"/>
    <w:rsid w:val="00045300"/>
    <w:rsid w:val="00045A2B"/>
    <w:rsid w:val="0004643B"/>
    <w:rsid w:val="0004698F"/>
    <w:rsid w:val="00046B82"/>
    <w:rsid w:val="00046D64"/>
    <w:rsid w:val="00047545"/>
    <w:rsid w:val="00047D57"/>
    <w:rsid w:val="00047D96"/>
    <w:rsid w:val="000508C2"/>
    <w:rsid w:val="00050E04"/>
    <w:rsid w:val="00050E7E"/>
    <w:rsid w:val="000516CD"/>
    <w:rsid w:val="000519C2"/>
    <w:rsid w:val="00051BE1"/>
    <w:rsid w:val="000522B8"/>
    <w:rsid w:val="00052CB4"/>
    <w:rsid w:val="0005380E"/>
    <w:rsid w:val="000539D0"/>
    <w:rsid w:val="00053D17"/>
    <w:rsid w:val="00054015"/>
    <w:rsid w:val="0005408C"/>
    <w:rsid w:val="0005417E"/>
    <w:rsid w:val="00054621"/>
    <w:rsid w:val="000546D7"/>
    <w:rsid w:val="00054A8D"/>
    <w:rsid w:val="00055BD7"/>
    <w:rsid w:val="00055E94"/>
    <w:rsid w:val="00056B62"/>
    <w:rsid w:val="00056ECF"/>
    <w:rsid w:val="00057106"/>
    <w:rsid w:val="000604CA"/>
    <w:rsid w:val="000604DF"/>
    <w:rsid w:val="0006103A"/>
    <w:rsid w:val="00061B31"/>
    <w:rsid w:val="00062324"/>
    <w:rsid w:val="0006261F"/>
    <w:rsid w:val="000629B6"/>
    <w:rsid w:val="000633C3"/>
    <w:rsid w:val="0006382F"/>
    <w:rsid w:val="0006506E"/>
    <w:rsid w:val="000653B5"/>
    <w:rsid w:val="000653CC"/>
    <w:rsid w:val="00065E86"/>
    <w:rsid w:val="00066360"/>
    <w:rsid w:val="00066459"/>
    <w:rsid w:val="00066AF8"/>
    <w:rsid w:val="0006791A"/>
    <w:rsid w:val="00071248"/>
    <w:rsid w:val="000713BE"/>
    <w:rsid w:val="000720B9"/>
    <w:rsid w:val="00072850"/>
    <w:rsid w:val="00072F48"/>
    <w:rsid w:val="00073049"/>
    <w:rsid w:val="0007355C"/>
    <w:rsid w:val="000737F7"/>
    <w:rsid w:val="00073AAD"/>
    <w:rsid w:val="000754E4"/>
    <w:rsid w:val="000755BD"/>
    <w:rsid w:val="000757DF"/>
    <w:rsid w:val="0007580D"/>
    <w:rsid w:val="000758CE"/>
    <w:rsid w:val="00076037"/>
    <w:rsid w:val="0007672F"/>
    <w:rsid w:val="00076AE6"/>
    <w:rsid w:val="00076B54"/>
    <w:rsid w:val="000774F0"/>
    <w:rsid w:val="00077CCB"/>
    <w:rsid w:val="0008020C"/>
    <w:rsid w:val="0008022B"/>
    <w:rsid w:val="00080909"/>
    <w:rsid w:val="00080E23"/>
    <w:rsid w:val="00080F00"/>
    <w:rsid w:val="000812CA"/>
    <w:rsid w:val="0008150E"/>
    <w:rsid w:val="000816CD"/>
    <w:rsid w:val="000816CF"/>
    <w:rsid w:val="00081E63"/>
    <w:rsid w:val="0008258D"/>
    <w:rsid w:val="00082F54"/>
    <w:rsid w:val="00083E99"/>
    <w:rsid w:val="00084D17"/>
    <w:rsid w:val="00084FA8"/>
    <w:rsid w:val="000856C5"/>
    <w:rsid w:val="00085C31"/>
    <w:rsid w:val="000867E6"/>
    <w:rsid w:val="00086C74"/>
    <w:rsid w:val="000878C5"/>
    <w:rsid w:val="000902D9"/>
    <w:rsid w:val="000904E9"/>
    <w:rsid w:val="00090C7E"/>
    <w:rsid w:val="000911AC"/>
    <w:rsid w:val="00091918"/>
    <w:rsid w:val="00091AA7"/>
    <w:rsid w:val="00091D2A"/>
    <w:rsid w:val="000922DB"/>
    <w:rsid w:val="0009253E"/>
    <w:rsid w:val="00092600"/>
    <w:rsid w:val="0009262B"/>
    <w:rsid w:val="0009311A"/>
    <w:rsid w:val="00093310"/>
    <w:rsid w:val="0009370D"/>
    <w:rsid w:val="00093940"/>
    <w:rsid w:val="00093B19"/>
    <w:rsid w:val="00093E78"/>
    <w:rsid w:val="0009445C"/>
    <w:rsid w:val="00094C14"/>
    <w:rsid w:val="00095200"/>
    <w:rsid w:val="0009553F"/>
    <w:rsid w:val="00095CDF"/>
    <w:rsid w:val="00095DAF"/>
    <w:rsid w:val="00095FE5"/>
    <w:rsid w:val="00096284"/>
    <w:rsid w:val="00096EAC"/>
    <w:rsid w:val="000A09B2"/>
    <w:rsid w:val="000A0AD8"/>
    <w:rsid w:val="000A1B3F"/>
    <w:rsid w:val="000A1BC0"/>
    <w:rsid w:val="000A2F9E"/>
    <w:rsid w:val="000A3E47"/>
    <w:rsid w:val="000A3EA0"/>
    <w:rsid w:val="000A4CCA"/>
    <w:rsid w:val="000A4D9F"/>
    <w:rsid w:val="000A502C"/>
    <w:rsid w:val="000A51F6"/>
    <w:rsid w:val="000A522B"/>
    <w:rsid w:val="000A525E"/>
    <w:rsid w:val="000A5A86"/>
    <w:rsid w:val="000A5F4F"/>
    <w:rsid w:val="000A6039"/>
    <w:rsid w:val="000A61A2"/>
    <w:rsid w:val="000A647D"/>
    <w:rsid w:val="000A67DD"/>
    <w:rsid w:val="000A69AA"/>
    <w:rsid w:val="000A7453"/>
    <w:rsid w:val="000A760A"/>
    <w:rsid w:val="000A7D08"/>
    <w:rsid w:val="000A7F3A"/>
    <w:rsid w:val="000A7FB4"/>
    <w:rsid w:val="000B0121"/>
    <w:rsid w:val="000B01B1"/>
    <w:rsid w:val="000B05AF"/>
    <w:rsid w:val="000B0670"/>
    <w:rsid w:val="000B0834"/>
    <w:rsid w:val="000B0E75"/>
    <w:rsid w:val="000B1AED"/>
    <w:rsid w:val="000B1B12"/>
    <w:rsid w:val="000B2DCB"/>
    <w:rsid w:val="000B3946"/>
    <w:rsid w:val="000B3D3D"/>
    <w:rsid w:val="000B3FC4"/>
    <w:rsid w:val="000B5CE0"/>
    <w:rsid w:val="000B6CAC"/>
    <w:rsid w:val="000B6F2A"/>
    <w:rsid w:val="000B7612"/>
    <w:rsid w:val="000B78AE"/>
    <w:rsid w:val="000C0225"/>
    <w:rsid w:val="000C0762"/>
    <w:rsid w:val="000C10A7"/>
    <w:rsid w:val="000C1A86"/>
    <w:rsid w:val="000C1B12"/>
    <w:rsid w:val="000C22C1"/>
    <w:rsid w:val="000C3CAC"/>
    <w:rsid w:val="000C3DF9"/>
    <w:rsid w:val="000C43F6"/>
    <w:rsid w:val="000C4C22"/>
    <w:rsid w:val="000C4CF2"/>
    <w:rsid w:val="000C4D19"/>
    <w:rsid w:val="000C4F93"/>
    <w:rsid w:val="000C510F"/>
    <w:rsid w:val="000C523B"/>
    <w:rsid w:val="000C57A3"/>
    <w:rsid w:val="000C601C"/>
    <w:rsid w:val="000C6713"/>
    <w:rsid w:val="000D0EA7"/>
    <w:rsid w:val="000D1BFC"/>
    <w:rsid w:val="000D1D5D"/>
    <w:rsid w:val="000D23DF"/>
    <w:rsid w:val="000D24C9"/>
    <w:rsid w:val="000D281A"/>
    <w:rsid w:val="000D2848"/>
    <w:rsid w:val="000D2E9F"/>
    <w:rsid w:val="000D3203"/>
    <w:rsid w:val="000D326A"/>
    <w:rsid w:val="000D359A"/>
    <w:rsid w:val="000D4DC8"/>
    <w:rsid w:val="000D4EE3"/>
    <w:rsid w:val="000D51FB"/>
    <w:rsid w:val="000D5C01"/>
    <w:rsid w:val="000D5DFD"/>
    <w:rsid w:val="000D61F1"/>
    <w:rsid w:val="000D6661"/>
    <w:rsid w:val="000D6B78"/>
    <w:rsid w:val="000D6E41"/>
    <w:rsid w:val="000D76F9"/>
    <w:rsid w:val="000D776B"/>
    <w:rsid w:val="000E0366"/>
    <w:rsid w:val="000E0501"/>
    <w:rsid w:val="000E060D"/>
    <w:rsid w:val="000E0640"/>
    <w:rsid w:val="000E0E8D"/>
    <w:rsid w:val="000E0EEC"/>
    <w:rsid w:val="000E11A9"/>
    <w:rsid w:val="000E135D"/>
    <w:rsid w:val="000E176C"/>
    <w:rsid w:val="000E2334"/>
    <w:rsid w:val="000E23F3"/>
    <w:rsid w:val="000E2F0E"/>
    <w:rsid w:val="000E3819"/>
    <w:rsid w:val="000E383B"/>
    <w:rsid w:val="000E41A9"/>
    <w:rsid w:val="000E50C2"/>
    <w:rsid w:val="000E5813"/>
    <w:rsid w:val="000E5EA0"/>
    <w:rsid w:val="000E6722"/>
    <w:rsid w:val="000E6BDF"/>
    <w:rsid w:val="000E6DA1"/>
    <w:rsid w:val="000E6E2E"/>
    <w:rsid w:val="000E6F26"/>
    <w:rsid w:val="000E7FB0"/>
    <w:rsid w:val="000F00BA"/>
    <w:rsid w:val="000F02BA"/>
    <w:rsid w:val="000F0C7D"/>
    <w:rsid w:val="000F0C9E"/>
    <w:rsid w:val="000F0F96"/>
    <w:rsid w:val="000F21D1"/>
    <w:rsid w:val="000F2381"/>
    <w:rsid w:val="000F261D"/>
    <w:rsid w:val="000F316A"/>
    <w:rsid w:val="000F3282"/>
    <w:rsid w:val="000F328A"/>
    <w:rsid w:val="000F32A4"/>
    <w:rsid w:val="000F3A9D"/>
    <w:rsid w:val="000F3C74"/>
    <w:rsid w:val="000F3DD4"/>
    <w:rsid w:val="000F4237"/>
    <w:rsid w:val="000F4B12"/>
    <w:rsid w:val="000F4BB8"/>
    <w:rsid w:val="000F4BC3"/>
    <w:rsid w:val="000F4D99"/>
    <w:rsid w:val="000F4FA9"/>
    <w:rsid w:val="000F5293"/>
    <w:rsid w:val="000F53FB"/>
    <w:rsid w:val="000F56DE"/>
    <w:rsid w:val="000F5B32"/>
    <w:rsid w:val="000F5CD0"/>
    <w:rsid w:val="000F6653"/>
    <w:rsid w:val="000F6680"/>
    <w:rsid w:val="000F6905"/>
    <w:rsid w:val="000F7127"/>
    <w:rsid w:val="000F7B54"/>
    <w:rsid w:val="001000B3"/>
    <w:rsid w:val="001009E5"/>
    <w:rsid w:val="00100F8A"/>
    <w:rsid w:val="001013C0"/>
    <w:rsid w:val="00101774"/>
    <w:rsid w:val="0010303A"/>
    <w:rsid w:val="0010399A"/>
    <w:rsid w:val="0010452E"/>
    <w:rsid w:val="00104BD6"/>
    <w:rsid w:val="00104C38"/>
    <w:rsid w:val="0010502A"/>
    <w:rsid w:val="001051CF"/>
    <w:rsid w:val="001055A6"/>
    <w:rsid w:val="00105AE2"/>
    <w:rsid w:val="001060C6"/>
    <w:rsid w:val="00106930"/>
    <w:rsid w:val="00106B80"/>
    <w:rsid w:val="0010728A"/>
    <w:rsid w:val="001072A2"/>
    <w:rsid w:val="0010767F"/>
    <w:rsid w:val="00107E2C"/>
    <w:rsid w:val="001100C3"/>
    <w:rsid w:val="0011032E"/>
    <w:rsid w:val="00110DB0"/>
    <w:rsid w:val="0011137A"/>
    <w:rsid w:val="00111D78"/>
    <w:rsid w:val="001122C1"/>
    <w:rsid w:val="001129CE"/>
    <w:rsid w:val="0011348B"/>
    <w:rsid w:val="00113592"/>
    <w:rsid w:val="00113A80"/>
    <w:rsid w:val="00113ACA"/>
    <w:rsid w:val="00113FE8"/>
    <w:rsid w:val="001141EE"/>
    <w:rsid w:val="001152B1"/>
    <w:rsid w:val="00115982"/>
    <w:rsid w:val="0011674F"/>
    <w:rsid w:val="00116753"/>
    <w:rsid w:val="00116C53"/>
    <w:rsid w:val="00120BA0"/>
    <w:rsid w:val="00120F5C"/>
    <w:rsid w:val="00121799"/>
    <w:rsid w:val="001222FC"/>
    <w:rsid w:val="001229B8"/>
    <w:rsid w:val="00122A5B"/>
    <w:rsid w:val="00123902"/>
    <w:rsid w:val="001245FB"/>
    <w:rsid w:val="001248DF"/>
    <w:rsid w:val="00124A51"/>
    <w:rsid w:val="00125395"/>
    <w:rsid w:val="001253E7"/>
    <w:rsid w:val="001256DC"/>
    <w:rsid w:val="0012571C"/>
    <w:rsid w:val="0012592B"/>
    <w:rsid w:val="00125A5C"/>
    <w:rsid w:val="00125BAC"/>
    <w:rsid w:val="0012632F"/>
    <w:rsid w:val="00126621"/>
    <w:rsid w:val="00126B1D"/>
    <w:rsid w:val="001270D3"/>
    <w:rsid w:val="00127782"/>
    <w:rsid w:val="00127B2F"/>
    <w:rsid w:val="00127E04"/>
    <w:rsid w:val="001300CB"/>
    <w:rsid w:val="001301E9"/>
    <w:rsid w:val="001308AE"/>
    <w:rsid w:val="00130E67"/>
    <w:rsid w:val="001313D2"/>
    <w:rsid w:val="00131D82"/>
    <w:rsid w:val="00131F96"/>
    <w:rsid w:val="00132B22"/>
    <w:rsid w:val="00132E0B"/>
    <w:rsid w:val="00133578"/>
    <w:rsid w:val="00133D36"/>
    <w:rsid w:val="00133D37"/>
    <w:rsid w:val="00134DE1"/>
    <w:rsid w:val="00134E94"/>
    <w:rsid w:val="00135088"/>
    <w:rsid w:val="00135349"/>
    <w:rsid w:val="00135406"/>
    <w:rsid w:val="00135421"/>
    <w:rsid w:val="001355E1"/>
    <w:rsid w:val="00135703"/>
    <w:rsid w:val="00135A8B"/>
    <w:rsid w:val="00136254"/>
    <w:rsid w:val="00136C52"/>
    <w:rsid w:val="00137250"/>
    <w:rsid w:val="001374CA"/>
    <w:rsid w:val="00137645"/>
    <w:rsid w:val="0013795E"/>
    <w:rsid w:val="00137DD2"/>
    <w:rsid w:val="001400A6"/>
    <w:rsid w:val="0014015A"/>
    <w:rsid w:val="001406A7"/>
    <w:rsid w:val="00140E99"/>
    <w:rsid w:val="001411B3"/>
    <w:rsid w:val="0014194A"/>
    <w:rsid w:val="00141BF5"/>
    <w:rsid w:val="00141C47"/>
    <w:rsid w:val="00141EEF"/>
    <w:rsid w:val="00142067"/>
    <w:rsid w:val="00142BEC"/>
    <w:rsid w:val="0014302A"/>
    <w:rsid w:val="001437A8"/>
    <w:rsid w:val="00143D96"/>
    <w:rsid w:val="00143F67"/>
    <w:rsid w:val="001443CD"/>
    <w:rsid w:val="001447D1"/>
    <w:rsid w:val="00145046"/>
    <w:rsid w:val="00145234"/>
    <w:rsid w:val="00145390"/>
    <w:rsid w:val="00145540"/>
    <w:rsid w:val="001456B0"/>
    <w:rsid w:val="001470BA"/>
    <w:rsid w:val="0014752E"/>
    <w:rsid w:val="00147E56"/>
    <w:rsid w:val="00151022"/>
    <w:rsid w:val="0015112D"/>
    <w:rsid w:val="00151176"/>
    <w:rsid w:val="001512A6"/>
    <w:rsid w:val="001517AA"/>
    <w:rsid w:val="00151E25"/>
    <w:rsid w:val="001529DE"/>
    <w:rsid w:val="00153581"/>
    <w:rsid w:val="001547AB"/>
    <w:rsid w:val="00155BFB"/>
    <w:rsid w:val="00155FBA"/>
    <w:rsid w:val="00156F8F"/>
    <w:rsid w:val="00157130"/>
    <w:rsid w:val="00157223"/>
    <w:rsid w:val="001576B1"/>
    <w:rsid w:val="0016027C"/>
    <w:rsid w:val="0016047B"/>
    <w:rsid w:val="00160572"/>
    <w:rsid w:val="00160A4C"/>
    <w:rsid w:val="00162913"/>
    <w:rsid w:val="00163084"/>
    <w:rsid w:val="001634B8"/>
    <w:rsid w:val="00163A42"/>
    <w:rsid w:val="00163EFF"/>
    <w:rsid w:val="00163F66"/>
    <w:rsid w:val="00164167"/>
    <w:rsid w:val="00164762"/>
    <w:rsid w:val="0016478E"/>
    <w:rsid w:val="00164BED"/>
    <w:rsid w:val="00165896"/>
    <w:rsid w:val="00165EC4"/>
    <w:rsid w:val="001661FB"/>
    <w:rsid w:val="00166257"/>
    <w:rsid w:val="00166369"/>
    <w:rsid w:val="001671A0"/>
    <w:rsid w:val="0016767F"/>
    <w:rsid w:val="00167821"/>
    <w:rsid w:val="0016791C"/>
    <w:rsid w:val="00167E18"/>
    <w:rsid w:val="00170A92"/>
    <w:rsid w:val="00170F06"/>
    <w:rsid w:val="0017132B"/>
    <w:rsid w:val="00171449"/>
    <w:rsid w:val="001714C1"/>
    <w:rsid w:val="00171B77"/>
    <w:rsid w:val="00171B8B"/>
    <w:rsid w:val="00171CC9"/>
    <w:rsid w:val="00173565"/>
    <w:rsid w:val="0017374D"/>
    <w:rsid w:val="00173B07"/>
    <w:rsid w:val="001751FA"/>
    <w:rsid w:val="001754D6"/>
    <w:rsid w:val="00175584"/>
    <w:rsid w:val="001760EC"/>
    <w:rsid w:val="00176C29"/>
    <w:rsid w:val="0017750B"/>
    <w:rsid w:val="001779B1"/>
    <w:rsid w:val="00180072"/>
    <w:rsid w:val="00180387"/>
    <w:rsid w:val="0018073C"/>
    <w:rsid w:val="00180DD0"/>
    <w:rsid w:val="0018100D"/>
    <w:rsid w:val="00181C10"/>
    <w:rsid w:val="00181CD7"/>
    <w:rsid w:val="00181D9C"/>
    <w:rsid w:val="0018229D"/>
    <w:rsid w:val="001828C2"/>
    <w:rsid w:val="00182953"/>
    <w:rsid w:val="00182BE2"/>
    <w:rsid w:val="00182C2B"/>
    <w:rsid w:val="00182FB4"/>
    <w:rsid w:val="00183359"/>
    <w:rsid w:val="00183442"/>
    <w:rsid w:val="001834A8"/>
    <w:rsid w:val="00183753"/>
    <w:rsid w:val="001837FF"/>
    <w:rsid w:val="001838EF"/>
    <w:rsid w:val="00183E65"/>
    <w:rsid w:val="00183EF9"/>
    <w:rsid w:val="00183F31"/>
    <w:rsid w:val="00184B0E"/>
    <w:rsid w:val="00184FFD"/>
    <w:rsid w:val="00185076"/>
    <w:rsid w:val="0018517A"/>
    <w:rsid w:val="001856FF"/>
    <w:rsid w:val="001859F2"/>
    <w:rsid w:val="00185FD4"/>
    <w:rsid w:val="001869B2"/>
    <w:rsid w:val="0018747B"/>
    <w:rsid w:val="0018752F"/>
    <w:rsid w:val="00190401"/>
    <w:rsid w:val="00191726"/>
    <w:rsid w:val="0019182A"/>
    <w:rsid w:val="00191894"/>
    <w:rsid w:val="00191B3E"/>
    <w:rsid w:val="001935E1"/>
    <w:rsid w:val="00193838"/>
    <w:rsid w:val="00193B7D"/>
    <w:rsid w:val="001941EC"/>
    <w:rsid w:val="00194AD8"/>
    <w:rsid w:val="00194F6E"/>
    <w:rsid w:val="00195222"/>
    <w:rsid w:val="00195452"/>
    <w:rsid w:val="001954A3"/>
    <w:rsid w:val="00195CDE"/>
    <w:rsid w:val="001967A5"/>
    <w:rsid w:val="00196CD1"/>
    <w:rsid w:val="001975D8"/>
    <w:rsid w:val="00197B18"/>
    <w:rsid w:val="00197DD6"/>
    <w:rsid w:val="001A05BD"/>
    <w:rsid w:val="001A0EB5"/>
    <w:rsid w:val="001A178E"/>
    <w:rsid w:val="001A17D7"/>
    <w:rsid w:val="001A18B3"/>
    <w:rsid w:val="001A2106"/>
    <w:rsid w:val="001A2EF2"/>
    <w:rsid w:val="001A431D"/>
    <w:rsid w:val="001A43FA"/>
    <w:rsid w:val="001A4489"/>
    <w:rsid w:val="001A47C5"/>
    <w:rsid w:val="001A4A9B"/>
    <w:rsid w:val="001A4AE9"/>
    <w:rsid w:val="001A4E2A"/>
    <w:rsid w:val="001A54DA"/>
    <w:rsid w:val="001A59FB"/>
    <w:rsid w:val="001A5E9E"/>
    <w:rsid w:val="001A6354"/>
    <w:rsid w:val="001A6366"/>
    <w:rsid w:val="001A6425"/>
    <w:rsid w:val="001A69B8"/>
    <w:rsid w:val="001A6B9A"/>
    <w:rsid w:val="001A6C28"/>
    <w:rsid w:val="001A730B"/>
    <w:rsid w:val="001A7A2F"/>
    <w:rsid w:val="001A7A58"/>
    <w:rsid w:val="001A7AE8"/>
    <w:rsid w:val="001A7C15"/>
    <w:rsid w:val="001A7F12"/>
    <w:rsid w:val="001B00A5"/>
    <w:rsid w:val="001B01EE"/>
    <w:rsid w:val="001B035E"/>
    <w:rsid w:val="001B204E"/>
    <w:rsid w:val="001B2372"/>
    <w:rsid w:val="001B2741"/>
    <w:rsid w:val="001B2CB1"/>
    <w:rsid w:val="001B2DF1"/>
    <w:rsid w:val="001B3443"/>
    <w:rsid w:val="001B3590"/>
    <w:rsid w:val="001B39F1"/>
    <w:rsid w:val="001B3DED"/>
    <w:rsid w:val="001B4237"/>
    <w:rsid w:val="001B4B7D"/>
    <w:rsid w:val="001B4C53"/>
    <w:rsid w:val="001B4CD7"/>
    <w:rsid w:val="001B4D20"/>
    <w:rsid w:val="001B50EB"/>
    <w:rsid w:val="001B578B"/>
    <w:rsid w:val="001B6276"/>
    <w:rsid w:val="001B7082"/>
    <w:rsid w:val="001B72A2"/>
    <w:rsid w:val="001B7F84"/>
    <w:rsid w:val="001C03F5"/>
    <w:rsid w:val="001C1206"/>
    <w:rsid w:val="001C161A"/>
    <w:rsid w:val="001C19B6"/>
    <w:rsid w:val="001C21AB"/>
    <w:rsid w:val="001C25A2"/>
    <w:rsid w:val="001C2A9B"/>
    <w:rsid w:val="001C2FF1"/>
    <w:rsid w:val="001C31A2"/>
    <w:rsid w:val="001C3DD6"/>
    <w:rsid w:val="001C418A"/>
    <w:rsid w:val="001C4299"/>
    <w:rsid w:val="001C4874"/>
    <w:rsid w:val="001C4BD5"/>
    <w:rsid w:val="001C548D"/>
    <w:rsid w:val="001C5CD9"/>
    <w:rsid w:val="001C5F94"/>
    <w:rsid w:val="001C67FA"/>
    <w:rsid w:val="001C6B2E"/>
    <w:rsid w:val="001C6E66"/>
    <w:rsid w:val="001C78C9"/>
    <w:rsid w:val="001C7984"/>
    <w:rsid w:val="001C7B8C"/>
    <w:rsid w:val="001D0399"/>
    <w:rsid w:val="001D0F01"/>
    <w:rsid w:val="001D1100"/>
    <w:rsid w:val="001D1391"/>
    <w:rsid w:val="001D1776"/>
    <w:rsid w:val="001D2263"/>
    <w:rsid w:val="001D25D7"/>
    <w:rsid w:val="001D2633"/>
    <w:rsid w:val="001D30E2"/>
    <w:rsid w:val="001D3A16"/>
    <w:rsid w:val="001D3B7C"/>
    <w:rsid w:val="001D3D1C"/>
    <w:rsid w:val="001D508D"/>
    <w:rsid w:val="001D50B2"/>
    <w:rsid w:val="001D68CE"/>
    <w:rsid w:val="001D6F6B"/>
    <w:rsid w:val="001D71F4"/>
    <w:rsid w:val="001D7645"/>
    <w:rsid w:val="001D7B89"/>
    <w:rsid w:val="001E102A"/>
    <w:rsid w:val="001E1E86"/>
    <w:rsid w:val="001E2338"/>
    <w:rsid w:val="001E238E"/>
    <w:rsid w:val="001E2483"/>
    <w:rsid w:val="001E2B1E"/>
    <w:rsid w:val="001E2CFF"/>
    <w:rsid w:val="001E2F24"/>
    <w:rsid w:val="001E30D4"/>
    <w:rsid w:val="001E3227"/>
    <w:rsid w:val="001E34DF"/>
    <w:rsid w:val="001E3DCC"/>
    <w:rsid w:val="001E463F"/>
    <w:rsid w:val="001E493D"/>
    <w:rsid w:val="001E52EB"/>
    <w:rsid w:val="001E58A4"/>
    <w:rsid w:val="001E5F35"/>
    <w:rsid w:val="001E61D2"/>
    <w:rsid w:val="001E667F"/>
    <w:rsid w:val="001E6CC8"/>
    <w:rsid w:val="001E7281"/>
    <w:rsid w:val="001E740C"/>
    <w:rsid w:val="001F0F01"/>
    <w:rsid w:val="001F1235"/>
    <w:rsid w:val="001F1798"/>
    <w:rsid w:val="001F1CB3"/>
    <w:rsid w:val="001F1D4F"/>
    <w:rsid w:val="001F1D8B"/>
    <w:rsid w:val="001F2B09"/>
    <w:rsid w:val="001F2B1F"/>
    <w:rsid w:val="001F38AC"/>
    <w:rsid w:val="001F38B5"/>
    <w:rsid w:val="001F3928"/>
    <w:rsid w:val="001F4081"/>
    <w:rsid w:val="001F49B0"/>
    <w:rsid w:val="001F4A9E"/>
    <w:rsid w:val="001F4B18"/>
    <w:rsid w:val="001F57B9"/>
    <w:rsid w:val="001F5CAE"/>
    <w:rsid w:val="001F68C0"/>
    <w:rsid w:val="001F692C"/>
    <w:rsid w:val="001F7361"/>
    <w:rsid w:val="002011B0"/>
    <w:rsid w:val="002028D9"/>
    <w:rsid w:val="00203181"/>
    <w:rsid w:val="00203783"/>
    <w:rsid w:val="0020385F"/>
    <w:rsid w:val="00203917"/>
    <w:rsid w:val="00203ED0"/>
    <w:rsid w:val="00203F3C"/>
    <w:rsid w:val="00204387"/>
    <w:rsid w:val="002066E9"/>
    <w:rsid w:val="002068A0"/>
    <w:rsid w:val="00206941"/>
    <w:rsid w:val="00207021"/>
    <w:rsid w:val="0020715C"/>
    <w:rsid w:val="0020732F"/>
    <w:rsid w:val="00207335"/>
    <w:rsid w:val="0020770F"/>
    <w:rsid w:val="00207772"/>
    <w:rsid w:val="00207D00"/>
    <w:rsid w:val="0021046A"/>
    <w:rsid w:val="002105C1"/>
    <w:rsid w:val="00210783"/>
    <w:rsid w:val="00210E2E"/>
    <w:rsid w:val="002116FD"/>
    <w:rsid w:val="00211BCC"/>
    <w:rsid w:val="002127D7"/>
    <w:rsid w:val="0021280B"/>
    <w:rsid w:val="00212F47"/>
    <w:rsid w:val="00212F6C"/>
    <w:rsid w:val="00213EF5"/>
    <w:rsid w:val="00213FA5"/>
    <w:rsid w:val="00213FDD"/>
    <w:rsid w:val="002142D2"/>
    <w:rsid w:val="0021442E"/>
    <w:rsid w:val="0021474F"/>
    <w:rsid w:val="002148BB"/>
    <w:rsid w:val="002150F9"/>
    <w:rsid w:val="00215153"/>
    <w:rsid w:val="00215194"/>
    <w:rsid w:val="0021565C"/>
    <w:rsid w:val="0021568E"/>
    <w:rsid w:val="00215A01"/>
    <w:rsid w:val="00215A65"/>
    <w:rsid w:val="0021621D"/>
    <w:rsid w:val="00216BF5"/>
    <w:rsid w:val="00220436"/>
    <w:rsid w:val="00221748"/>
    <w:rsid w:val="00221B16"/>
    <w:rsid w:val="0022228B"/>
    <w:rsid w:val="002231D8"/>
    <w:rsid w:val="002236F6"/>
    <w:rsid w:val="00223B49"/>
    <w:rsid w:val="00223C7F"/>
    <w:rsid w:val="00223D5A"/>
    <w:rsid w:val="00223DFE"/>
    <w:rsid w:val="002246A4"/>
    <w:rsid w:val="00224783"/>
    <w:rsid w:val="00224B7E"/>
    <w:rsid w:val="00224DD4"/>
    <w:rsid w:val="00225A57"/>
    <w:rsid w:val="002263B3"/>
    <w:rsid w:val="0022670F"/>
    <w:rsid w:val="0022672C"/>
    <w:rsid w:val="0022694A"/>
    <w:rsid w:val="002270F4"/>
    <w:rsid w:val="002278A0"/>
    <w:rsid w:val="00227D7C"/>
    <w:rsid w:val="00230861"/>
    <w:rsid w:val="0023090E"/>
    <w:rsid w:val="002309CC"/>
    <w:rsid w:val="00230F18"/>
    <w:rsid w:val="00231BA9"/>
    <w:rsid w:val="00231ED3"/>
    <w:rsid w:val="0023209F"/>
    <w:rsid w:val="002324C6"/>
    <w:rsid w:val="0023257C"/>
    <w:rsid w:val="00232742"/>
    <w:rsid w:val="00232D88"/>
    <w:rsid w:val="00233C01"/>
    <w:rsid w:val="002340C4"/>
    <w:rsid w:val="0023413C"/>
    <w:rsid w:val="0023420A"/>
    <w:rsid w:val="002346F0"/>
    <w:rsid w:val="00234713"/>
    <w:rsid w:val="0023494B"/>
    <w:rsid w:val="00234D2B"/>
    <w:rsid w:val="0023592C"/>
    <w:rsid w:val="0023599F"/>
    <w:rsid w:val="00235FF2"/>
    <w:rsid w:val="0023603E"/>
    <w:rsid w:val="0023629D"/>
    <w:rsid w:val="00236474"/>
    <w:rsid w:val="0023687B"/>
    <w:rsid w:val="00237255"/>
    <w:rsid w:val="0024037E"/>
    <w:rsid w:val="00241160"/>
    <w:rsid w:val="0024177F"/>
    <w:rsid w:val="00241FB7"/>
    <w:rsid w:val="002424AF"/>
    <w:rsid w:val="00242D1B"/>
    <w:rsid w:val="00243041"/>
    <w:rsid w:val="00243343"/>
    <w:rsid w:val="0024351F"/>
    <w:rsid w:val="002438D0"/>
    <w:rsid w:val="002439DC"/>
    <w:rsid w:val="002441D2"/>
    <w:rsid w:val="00244DC8"/>
    <w:rsid w:val="002453B2"/>
    <w:rsid w:val="002458BA"/>
    <w:rsid w:val="00245A4B"/>
    <w:rsid w:val="00245BB6"/>
    <w:rsid w:val="00245CE9"/>
    <w:rsid w:val="00245FA1"/>
    <w:rsid w:val="00246002"/>
    <w:rsid w:val="0024636C"/>
    <w:rsid w:val="00246A12"/>
    <w:rsid w:val="00247110"/>
    <w:rsid w:val="00247925"/>
    <w:rsid w:val="00247CA4"/>
    <w:rsid w:val="00250153"/>
    <w:rsid w:val="002504D5"/>
    <w:rsid w:val="00250554"/>
    <w:rsid w:val="00250A19"/>
    <w:rsid w:val="00251006"/>
    <w:rsid w:val="0025122C"/>
    <w:rsid w:val="00251302"/>
    <w:rsid w:val="00251D11"/>
    <w:rsid w:val="00251E99"/>
    <w:rsid w:val="002522CD"/>
    <w:rsid w:val="002524D5"/>
    <w:rsid w:val="0025357C"/>
    <w:rsid w:val="002536F0"/>
    <w:rsid w:val="00253925"/>
    <w:rsid w:val="00253B1D"/>
    <w:rsid w:val="00254DCF"/>
    <w:rsid w:val="0025534B"/>
    <w:rsid w:val="00255B62"/>
    <w:rsid w:val="00255BB7"/>
    <w:rsid w:val="002563A0"/>
    <w:rsid w:val="00256F41"/>
    <w:rsid w:val="0025709F"/>
    <w:rsid w:val="00257541"/>
    <w:rsid w:val="00257A39"/>
    <w:rsid w:val="00257AC4"/>
    <w:rsid w:val="00257BBE"/>
    <w:rsid w:val="0026008E"/>
    <w:rsid w:val="00260C88"/>
    <w:rsid w:val="00260FCC"/>
    <w:rsid w:val="002611D3"/>
    <w:rsid w:val="00261EEF"/>
    <w:rsid w:val="00262215"/>
    <w:rsid w:val="00262A1A"/>
    <w:rsid w:val="00262A87"/>
    <w:rsid w:val="00262CA2"/>
    <w:rsid w:val="00263287"/>
    <w:rsid w:val="00263688"/>
    <w:rsid w:val="00263A04"/>
    <w:rsid w:val="00263B58"/>
    <w:rsid w:val="00263DBB"/>
    <w:rsid w:val="002648FD"/>
    <w:rsid w:val="00264BDD"/>
    <w:rsid w:val="00264D26"/>
    <w:rsid w:val="00265375"/>
    <w:rsid w:val="00266278"/>
    <w:rsid w:val="00267642"/>
    <w:rsid w:val="00267AEA"/>
    <w:rsid w:val="00267F49"/>
    <w:rsid w:val="002700E6"/>
    <w:rsid w:val="00270486"/>
    <w:rsid w:val="0027125C"/>
    <w:rsid w:val="00271490"/>
    <w:rsid w:val="00271D0E"/>
    <w:rsid w:val="00271DCA"/>
    <w:rsid w:val="0027294B"/>
    <w:rsid w:val="002738E3"/>
    <w:rsid w:val="00273E77"/>
    <w:rsid w:val="00273EB4"/>
    <w:rsid w:val="00274682"/>
    <w:rsid w:val="00274986"/>
    <w:rsid w:val="00274A64"/>
    <w:rsid w:val="00275158"/>
    <w:rsid w:val="00275C5A"/>
    <w:rsid w:val="00276270"/>
    <w:rsid w:val="00276C75"/>
    <w:rsid w:val="0027733F"/>
    <w:rsid w:val="0027741E"/>
    <w:rsid w:val="00277D79"/>
    <w:rsid w:val="00281014"/>
    <w:rsid w:val="002817CF"/>
    <w:rsid w:val="00281B84"/>
    <w:rsid w:val="00282CEB"/>
    <w:rsid w:val="002834CB"/>
    <w:rsid w:val="0028373D"/>
    <w:rsid w:val="00284753"/>
    <w:rsid w:val="00284F0D"/>
    <w:rsid w:val="00285BCE"/>
    <w:rsid w:val="0028665D"/>
    <w:rsid w:val="0028678D"/>
    <w:rsid w:val="00286936"/>
    <w:rsid w:val="00286A39"/>
    <w:rsid w:val="00286AD7"/>
    <w:rsid w:val="00286FA4"/>
    <w:rsid w:val="002872F5"/>
    <w:rsid w:val="0029069A"/>
    <w:rsid w:val="0029109F"/>
    <w:rsid w:val="002910D0"/>
    <w:rsid w:val="002928C5"/>
    <w:rsid w:val="002936AE"/>
    <w:rsid w:val="00294784"/>
    <w:rsid w:val="00294CC3"/>
    <w:rsid w:val="002952DA"/>
    <w:rsid w:val="002956A5"/>
    <w:rsid w:val="002965A6"/>
    <w:rsid w:val="00296891"/>
    <w:rsid w:val="00296A2F"/>
    <w:rsid w:val="00296C9D"/>
    <w:rsid w:val="002971B7"/>
    <w:rsid w:val="002976A4"/>
    <w:rsid w:val="002979CF"/>
    <w:rsid w:val="00297B62"/>
    <w:rsid w:val="00297DB1"/>
    <w:rsid w:val="00297E86"/>
    <w:rsid w:val="002A0958"/>
    <w:rsid w:val="002A14AB"/>
    <w:rsid w:val="002A16A5"/>
    <w:rsid w:val="002A1E7A"/>
    <w:rsid w:val="002A2ADE"/>
    <w:rsid w:val="002A2F50"/>
    <w:rsid w:val="002A4009"/>
    <w:rsid w:val="002A4C1A"/>
    <w:rsid w:val="002A5A70"/>
    <w:rsid w:val="002A6661"/>
    <w:rsid w:val="002A71E3"/>
    <w:rsid w:val="002A7943"/>
    <w:rsid w:val="002B00C4"/>
    <w:rsid w:val="002B05A1"/>
    <w:rsid w:val="002B09A4"/>
    <w:rsid w:val="002B0FCE"/>
    <w:rsid w:val="002B1284"/>
    <w:rsid w:val="002B1C1F"/>
    <w:rsid w:val="002B2025"/>
    <w:rsid w:val="002B2773"/>
    <w:rsid w:val="002B3C1D"/>
    <w:rsid w:val="002B3E08"/>
    <w:rsid w:val="002B4326"/>
    <w:rsid w:val="002B432F"/>
    <w:rsid w:val="002B4364"/>
    <w:rsid w:val="002B45A1"/>
    <w:rsid w:val="002B47F2"/>
    <w:rsid w:val="002B5549"/>
    <w:rsid w:val="002B62B3"/>
    <w:rsid w:val="002B6754"/>
    <w:rsid w:val="002B6B3D"/>
    <w:rsid w:val="002B6CCE"/>
    <w:rsid w:val="002B771C"/>
    <w:rsid w:val="002B7B2D"/>
    <w:rsid w:val="002C17CD"/>
    <w:rsid w:val="002C2510"/>
    <w:rsid w:val="002C2620"/>
    <w:rsid w:val="002C2655"/>
    <w:rsid w:val="002C2695"/>
    <w:rsid w:val="002C2775"/>
    <w:rsid w:val="002C27C1"/>
    <w:rsid w:val="002C2A3F"/>
    <w:rsid w:val="002C36E3"/>
    <w:rsid w:val="002C3D31"/>
    <w:rsid w:val="002C3DCF"/>
    <w:rsid w:val="002C454B"/>
    <w:rsid w:val="002C507F"/>
    <w:rsid w:val="002C5099"/>
    <w:rsid w:val="002C5803"/>
    <w:rsid w:val="002C5870"/>
    <w:rsid w:val="002C5889"/>
    <w:rsid w:val="002C5C89"/>
    <w:rsid w:val="002C5ED6"/>
    <w:rsid w:val="002C65D9"/>
    <w:rsid w:val="002C6C53"/>
    <w:rsid w:val="002C71CE"/>
    <w:rsid w:val="002C7345"/>
    <w:rsid w:val="002C7C6A"/>
    <w:rsid w:val="002D030E"/>
    <w:rsid w:val="002D08F8"/>
    <w:rsid w:val="002D0B2E"/>
    <w:rsid w:val="002D18FB"/>
    <w:rsid w:val="002D1ACE"/>
    <w:rsid w:val="002D1B80"/>
    <w:rsid w:val="002D2C65"/>
    <w:rsid w:val="002D3973"/>
    <w:rsid w:val="002D4C9B"/>
    <w:rsid w:val="002D521E"/>
    <w:rsid w:val="002D577C"/>
    <w:rsid w:val="002D5DE5"/>
    <w:rsid w:val="002D5FB1"/>
    <w:rsid w:val="002D7832"/>
    <w:rsid w:val="002E0C69"/>
    <w:rsid w:val="002E0F4C"/>
    <w:rsid w:val="002E1071"/>
    <w:rsid w:val="002E15B9"/>
    <w:rsid w:val="002E200E"/>
    <w:rsid w:val="002E2158"/>
    <w:rsid w:val="002E2608"/>
    <w:rsid w:val="002E288D"/>
    <w:rsid w:val="002E3081"/>
    <w:rsid w:val="002E4F02"/>
    <w:rsid w:val="002E5D58"/>
    <w:rsid w:val="002E5E33"/>
    <w:rsid w:val="002E7722"/>
    <w:rsid w:val="002E7938"/>
    <w:rsid w:val="002F07BA"/>
    <w:rsid w:val="002F0A13"/>
    <w:rsid w:val="002F0CC3"/>
    <w:rsid w:val="002F0DA9"/>
    <w:rsid w:val="002F0EFD"/>
    <w:rsid w:val="002F1014"/>
    <w:rsid w:val="002F1037"/>
    <w:rsid w:val="002F10B8"/>
    <w:rsid w:val="002F16D3"/>
    <w:rsid w:val="002F19B2"/>
    <w:rsid w:val="002F1E3B"/>
    <w:rsid w:val="002F2736"/>
    <w:rsid w:val="002F2EF5"/>
    <w:rsid w:val="002F3B39"/>
    <w:rsid w:val="002F3C4C"/>
    <w:rsid w:val="002F3F9E"/>
    <w:rsid w:val="002F3FCA"/>
    <w:rsid w:val="002F436C"/>
    <w:rsid w:val="002F51B5"/>
    <w:rsid w:val="002F5C02"/>
    <w:rsid w:val="002F5D2C"/>
    <w:rsid w:val="002F5E24"/>
    <w:rsid w:val="002F61B9"/>
    <w:rsid w:val="002F643C"/>
    <w:rsid w:val="002F6716"/>
    <w:rsid w:val="002F6D06"/>
    <w:rsid w:val="002F71C0"/>
    <w:rsid w:val="002F7293"/>
    <w:rsid w:val="002F7458"/>
    <w:rsid w:val="002F74F1"/>
    <w:rsid w:val="002F7590"/>
    <w:rsid w:val="002F7685"/>
    <w:rsid w:val="002F7CEE"/>
    <w:rsid w:val="00300510"/>
    <w:rsid w:val="00301017"/>
    <w:rsid w:val="0030155F"/>
    <w:rsid w:val="00302125"/>
    <w:rsid w:val="003022BA"/>
    <w:rsid w:val="003029C6"/>
    <w:rsid w:val="00302CA3"/>
    <w:rsid w:val="00302F12"/>
    <w:rsid w:val="00304098"/>
    <w:rsid w:val="0030419B"/>
    <w:rsid w:val="003053E5"/>
    <w:rsid w:val="0030587B"/>
    <w:rsid w:val="003058FE"/>
    <w:rsid w:val="00305CB9"/>
    <w:rsid w:val="00305FA4"/>
    <w:rsid w:val="003060FB"/>
    <w:rsid w:val="003065C3"/>
    <w:rsid w:val="00306627"/>
    <w:rsid w:val="003067CA"/>
    <w:rsid w:val="00306A8D"/>
    <w:rsid w:val="00306D98"/>
    <w:rsid w:val="00307391"/>
    <w:rsid w:val="0030748E"/>
    <w:rsid w:val="0030786C"/>
    <w:rsid w:val="0031031A"/>
    <w:rsid w:val="00310763"/>
    <w:rsid w:val="00310981"/>
    <w:rsid w:val="00311555"/>
    <w:rsid w:val="0031163E"/>
    <w:rsid w:val="00311D9B"/>
    <w:rsid w:val="00311F82"/>
    <w:rsid w:val="003124D9"/>
    <w:rsid w:val="00312594"/>
    <w:rsid w:val="0031285D"/>
    <w:rsid w:val="0031296B"/>
    <w:rsid w:val="00313285"/>
    <w:rsid w:val="00313AD3"/>
    <w:rsid w:val="003148BE"/>
    <w:rsid w:val="00314C7D"/>
    <w:rsid w:val="00314FB7"/>
    <w:rsid w:val="00315498"/>
    <w:rsid w:val="00315BA9"/>
    <w:rsid w:val="0031617D"/>
    <w:rsid w:val="00316474"/>
    <w:rsid w:val="00316F1E"/>
    <w:rsid w:val="00317770"/>
    <w:rsid w:val="00317CB3"/>
    <w:rsid w:val="00320D40"/>
    <w:rsid w:val="00321100"/>
    <w:rsid w:val="00321C80"/>
    <w:rsid w:val="00322107"/>
    <w:rsid w:val="003221A6"/>
    <w:rsid w:val="0032228C"/>
    <w:rsid w:val="00322355"/>
    <w:rsid w:val="00322846"/>
    <w:rsid w:val="00323E54"/>
    <w:rsid w:val="00324FED"/>
    <w:rsid w:val="00325143"/>
    <w:rsid w:val="00325658"/>
    <w:rsid w:val="00326DA7"/>
    <w:rsid w:val="00326E52"/>
    <w:rsid w:val="003270E4"/>
    <w:rsid w:val="00327EBB"/>
    <w:rsid w:val="0033031D"/>
    <w:rsid w:val="003303B0"/>
    <w:rsid w:val="00330DAA"/>
    <w:rsid w:val="00330E19"/>
    <w:rsid w:val="00330F5C"/>
    <w:rsid w:val="003318EA"/>
    <w:rsid w:val="00331936"/>
    <w:rsid w:val="00332044"/>
    <w:rsid w:val="00332411"/>
    <w:rsid w:val="00332E62"/>
    <w:rsid w:val="003334E0"/>
    <w:rsid w:val="003341EF"/>
    <w:rsid w:val="00334D5E"/>
    <w:rsid w:val="00335398"/>
    <w:rsid w:val="00335B62"/>
    <w:rsid w:val="00335E74"/>
    <w:rsid w:val="003366C9"/>
    <w:rsid w:val="00336CF2"/>
    <w:rsid w:val="003371B0"/>
    <w:rsid w:val="003374D8"/>
    <w:rsid w:val="0033757A"/>
    <w:rsid w:val="00337A6A"/>
    <w:rsid w:val="00337A74"/>
    <w:rsid w:val="00337AAC"/>
    <w:rsid w:val="003401A6"/>
    <w:rsid w:val="0034083F"/>
    <w:rsid w:val="00340DF1"/>
    <w:rsid w:val="00340ED7"/>
    <w:rsid w:val="00341797"/>
    <w:rsid w:val="003417E6"/>
    <w:rsid w:val="00342DA4"/>
    <w:rsid w:val="0034353A"/>
    <w:rsid w:val="00345996"/>
    <w:rsid w:val="003465C8"/>
    <w:rsid w:val="00347068"/>
    <w:rsid w:val="003472C7"/>
    <w:rsid w:val="003475D0"/>
    <w:rsid w:val="00347746"/>
    <w:rsid w:val="00350A6E"/>
    <w:rsid w:val="00350AA8"/>
    <w:rsid w:val="003517F9"/>
    <w:rsid w:val="00351A5C"/>
    <w:rsid w:val="00351B07"/>
    <w:rsid w:val="00351BA9"/>
    <w:rsid w:val="00351D5B"/>
    <w:rsid w:val="00352432"/>
    <w:rsid w:val="0035299B"/>
    <w:rsid w:val="00352A14"/>
    <w:rsid w:val="00352C61"/>
    <w:rsid w:val="003536D5"/>
    <w:rsid w:val="003536DF"/>
    <w:rsid w:val="00353E2B"/>
    <w:rsid w:val="00353F22"/>
    <w:rsid w:val="00353F66"/>
    <w:rsid w:val="003540E6"/>
    <w:rsid w:val="003545A6"/>
    <w:rsid w:val="00354991"/>
    <w:rsid w:val="00354E0C"/>
    <w:rsid w:val="00354F64"/>
    <w:rsid w:val="00355277"/>
    <w:rsid w:val="0035620E"/>
    <w:rsid w:val="003575BE"/>
    <w:rsid w:val="003576D2"/>
    <w:rsid w:val="00357A13"/>
    <w:rsid w:val="00357AC3"/>
    <w:rsid w:val="00357D0C"/>
    <w:rsid w:val="0036014C"/>
    <w:rsid w:val="00360345"/>
    <w:rsid w:val="00360640"/>
    <w:rsid w:val="00360729"/>
    <w:rsid w:val="00360833"/>
    <w:rsid w:val="00360F67"/>
    <w:rsid w:val="003613A2"/>
    <w:rsid w:val="003615C0"/>
    <w:rsid w:val="00361A05"/>
    <w:rsid w:val="00361F5B"/>
    <w:rsid w:val="00362092"/>
    <w:rsid w:val="003621AD"/>
    <w:rsid w:val="00362304"/>
    <w:rsid w:val="0036237F"/>
    <w:rsid w:val="003624C4"/>
    <w:rsid w:val="00363B00"/>
    <w:rsid w:val="00365347"/>
    <w:rsid w:val="003654AC"/>
    <w:rsid w:val="00366422"/>
    <w:rsid w:val="00367609"/>
    <w:rsid w:val="0036795A"/>
    <w:rsid w:val="00367A9C"/>
    <w:rsid w:val="003710CF"/>
    <w:rsid w:val="0037169E"/>
    <w:rsid w:val="00371BDD"/>
    <w:rsid w:val="00372238"/>
    <w:rsid w:val="00372AD1"/>
    <w:rsid w:val="00372BCB"/>
    <w:rsid w:val="00372D60"/>
    <w:rsid w:val="00373191"/>
    <w:rsid w:val="003733F0"/>
    <w:rsid w:val="003734BE"/>
    <w:rsid w:val="0037358A"/>
    <w:rsid w:val="00373611"/>
    <w:rsid w:val="0037386C"/>
    <w:rsid w:val="003750F6"/>
    <w:rsid w:val="00375CC2"/>
    <w:rsid w:val="003760FC"/>
    <w:rsid w:val="0037620A"/>
    <w:rsid w:val="003765DA"/>
    <w:rsid w:val="003766B1"/>
    <w:rsid w:val="00376C67"/>
    <w:rsid w:val="00377A14"/>
    <w:rsid w:val="0038073A"/>
    <w:rsid w:val="003816A5"/>
    <w:rsid w:val="00381841"/>
    <w:rsid w:val="00382CA7"/>
    <w:rsid w:val="00382FF0"/>
    <w:rsid w:val="003832E2"/>
    <w:rsid w:val="0038365C"/>
    <w:rsid w:val="0038369B"/>
    <w:rsid w:val="00383B78"/>
    <w:rsid w:val="00383EBD"/>
    <w:rsid w:val="00384028"/>
    <w:rsid w:val="0038408D"/>
    <w:rsid w:val="00385A9D"/>
    <w:rsid w:val="00385EF6"/>
    <w:rsid w:val="00385FFD"/>
    <w:rsid w:val="00386689"/>
    <w:rsid w:val="003868F8"/>
    <w:rsid w:val="00386C34"/>
    <w:rsid w:val="00386CD5"/>
    <w:rsid w:val="00386E61"/>
    <w:rsid w:val="00387121"/>
    <w:rsid w:val="00387D39"/>
    <w:rsid w:val="00387ED6"/>
    <w:rsid w:val="003902B1"/>
    <w:rsid w:val="00390337"/>
    <w:rsid w:val="003910B9"/>
    <w:rsid w:val="003913F7"/>
    <w:rsid w:val="003914E4"/>
    <w:rsid w:val="0039179C"/>
    <w:rsid w:val="00392A0E"/>
    <w:rsid w:val="003938FF"/>
    <w:rsid w:val="003946CA"/>
    <w:rsid w:val="00394BAE"/>
    <w:rsid w:val="003954C7"/>
    <w:rsid w:val="00396896"/>
    <w:rsid w:val="0039697C"/>
    <w:rsid w:val="00396FD0"/>
    <w:rsid w:val="00397044"/>
    <w:rsid w:val="00397430"/>
    <w:rsid w:val="00397652"/>
    <w:rsid w:val="00397D42"/>
    <w:rsid w:val="003A015F"/>
    <w:rsid w:val="003A0185"/>
    <w:rsid w:val="003A0215"/>
    <w:rsid w:val="003A1084"/>
    <w:rsid w:val="003A1A7A"/>
    <w:rsid w:val="003A2392"/>
    <w:rsid w:val="003A2831"/>
    <w:rsid w:val="003A3CB6"/>
    <w:rsid w:val="003A3ED1"/>
    <w:rsid w:val="003A400F"/>
    <w:rsid w:val="003A406C"/>
    <w:rsid w:val="003A44DB"/>
    <w:rsid w:val="003A457E"/>
    <w:rsid w:val="003A4777"/>
    <w:rsid w:val="003A4864"/>
    <w:rsid w:val="003A4976"/>
    <w:rsid w:val="003A4C14"/>
    <w:rsid w:val="003A5329"/>
    <w:rsid w:val="003A65B0"/>
    <w:rsid w:val="003A6E51"/>
    <w:rsid w:val="003B0867"/>
    <w:rsid w:val="003B16B8"/>
    <w:rsid w:val="003B1A6A"/>
    <w:rsid w:val="003B20A3"/>
    <w:rsid w:val="003B3851"/>
    <w:rsid w:val="003B3971"/>
    <w:rsid w:val="003B48E9"/>
    <w:rsid w:val="003B4D9F"/>
    <w:rsid w:val="003B55D1"/>
    <w:rsid w:val="003B59E7"/>
    <w:rsid w:val="003B5B61"/>
    <w:rsid w:val="003B5CE3"/>
    <w:rsid w:val="003B7500"/>
    <w:rsid w:val="003B7DD2"/>
    <w:rsid w:val="003C05DA"/>
    <w:rsid w:val="003C07FC"/>
    <w:rsid w:val="003C08A1"/>
    <w:rsid w:val="003C1654"/>
    <w:rsid w:val="003C1D0F"/>
    <w:rsid w:val="003C300A"/>
    <w:rsid w:val="003C3F8C"/>
    <w:rsid w:val="003C412A"/>
    <w:rsid w:val="003C4AD6"/>
    <w:rsid w:val="003C5151"/>
    <w:rsid w:val="003C5437"/>
    <w:rsid w:val="003C5542"/>
    <w:rsid w:val="003C5FA2"/>
    <w:rsid w:val="003C6047"/>
    <w:rsid w:val="003C618A"/>
    <w:rsid w:val="003C7B02"/>
    <w:rsid w:val="003C7C15"/>
    <w:rsid w:val="003C7D19"/>
    <w:rsid w:val="003C7D2F"/>
    <w:rsid w:val="003D0929"/>
    <w:rsid w:val="003D095C"/>
    <w:rsid w:val="003D0C5A"/>
    <w:rsid w:val="003D1828"/>
    <w:rsid w:val="003D1DE4"/>
    <w:rsid w:val="003D1E9A"/>
    <w:rsid w:val="003D1EEB"/>
    <w:rsid w:val="003D2422"/>
    <w:rsid w:val="003D24BB"/>
    <w:rsid w:val="003D3582"/>
    <w:rsid w:val="003D35CD"/>
    <w:rsid w:val="003D39A1"/>
    <w:rsid w:val="003D3B34"/>
    <w:rsid w:val="003D3DC0"/>
    <w:rsid w:val="003D3FBF"/>
    <w:rsid w:val="003D4A30"/>
    <w:rsid w:val="003D4A4B"/>
    <w:rsid w:val="003D5142"/>
    <w:rsid w:val="003D5B07"/>
    <w:rsid w:val="003D6873"/>
    <w:rsid w:val="003D720B"/>
    <w:rsid w:val="003D7452"/>
    <w:rsid w:val="003D79BB"/>
    <w:rsid w:val="003D7B55"/>
    <w:rsid w:val="003D7C98"/>
    <w:rsid w:val="003D7D9D"/>
    <w:rsid w:val="003E0393"/>
    <w:rsid w:val="003E0543"/>
    <w:rsid w:val="003E06EE"/>
    <w:rsid w:val="003E1C5E"/>
    <w:rsid w:val="003E43FD"/>
    <w:rsid w:val="003E5603"/>
    <w:rsid w:val="003E606F"/>
    <w:rsid w:val="003E64B8"/>
    <w:rsid w:val="003E679D"/>
    <w:rsid w:val="003E67CD"/>
    <w:rsid w:val="003E6CC7"/>
    <w:rsid w:val="003E749E"/>
    <w:rsid w:val="003E7F85"/>
    <w:rsid w:val="003F0D80"/>
    <w:rsid w:val="003F173E"/>
    <w:rsid w:val="003F342D"/>
    <w:rsid w:val="003F3DB3"/>
    <w:rsid w:val="003F4156"/>
    <w:rsid w:val="003F4C24"/>
    <w:rsid w:val="003F4CAA"/>
    <w:rsid w:val="003F4E0A"/>
    <w:rsid w:val="003F4E8B"/>
    <w:rsid w:val="003F53C5"/>
    <w:rsid w:val="003F5ADF"/>
    <w:rsid w:val="003F5C46"/>
    <w:rsid w:val="003F603A"/>
    <w:rsid w:val="003F6B95"/>
    <w:rsid w:val="003F7287"/>
    <w:rsid w:val="00400B29"/>
    <w:rsid w:val="00401033"/>
    <w:rsid w:val="004010C1"/>
    <w:rsid w:val="004017AE"/>
    <w:rsid w:val="00401A56"/>
    <w:rsid w:val="00401BBD"/>
    <w:rsid w:val="00402812"/>
    <w:rsid w:val="00402C3B"/>
    <w:rsid w:val="00403BD0"/>
    <w:rsid w:val="00404278"/>
    <w:rsid w:val="0040504B"/>
    <w:rsid w:val="00405480"/>
    <w:rsid w:val="00405884"/>
    <w:rsid w:val="004059F4"/>
    <w:rsid w:val="00405AA0"/>
    <w:rsid w:val="00405AD6"/>
    <w:rsid w:val="004062D1"/>
    <w:rsid w:val="0040722B"/>
    <w:rsid w:val="00407FE5"/>
    <w:rsid w:val="004101B0"/>
    <w:rsid w:val="004102DB"/>
    <w:rsid w:val="00410326"/>
    <w:rsid w:val="00410708"/>
    <w:rsid w:val="00410EC7"/>
    <w:rsid w:val="00411B39"/>
    <w:rsid w:val="00412162"/>
    <w:rsid w:val="00412666"/>
    <w:rsid w:val="004127A7"/>
    <w:rsid w:val="004130B6"/>
    <w:rsid w:val="00413A1E"/>
    <w:rsid w:val="00413D89"/>
    <w:rsid w:val="00413DA6"/>
    <w:rsid w:val="00414476"/>
    <w:rsid w:val="00414C2E"/>
    <w:rsid w:val="00414D5F"/>
    <w:rsid w:val="00414DCA"/>
    <w:rsid w:val="004151CF"/>
    <w:rsid w:val="004155FA"/>
    <w:rsid w:val="00415645"/>
    <w:rsid w:val="00415666"/>
    <w:rsid w:val="00415C80"/>
    <w:rsid w:val="00416307"/>
    <w:rsid w:val="00416364"/>
    <w:rsid w:val="0041664D"/>
    <w:rsid w:val="00416954"/>
    <w:rsid w:val="00416E68"/>
    <w:rsid w:val="00417094"/>
    <w:rsid w:val="00417826"/>
    <w:rsid w:val="00417F33"/>
    <w:rsid w:val="0042047F"/>
    <w:rsid w:val="004207A9"/>
    <w:rsid w:val="00420AA6"/>
    <w:rsid w:val="00420B9F"/>
    <w:rsid w:val="00420D6C"/>
    <w:rsid w:val="004213A6"/>
    <w:rsid w:val="0042192C"/>
    <w:rsid w:val="00421FDD"/>
    <w:rsid w:val="004220E7"/>
    <w:rsid w:val="00422260"/>
    <w:rsid w:val="00422574"/>
    <w:rsid w:val="00422621"/>
    <w:rsid w:val="00422D7A"/>
    <w:rsid w:val="004232C6"/>
    <w:rsid w:val="0042364A"/>
    <w:rsid w:val="00423652"/>
    <w:rsid w:val="00423D14"/>
    <w:rsid w:val="0042413F"/>
    <w:rsid w:val="00424FA6"/>
    <w:rsid w:val="00425130"/>
    <w:rsid w:val="00425674"/>
    <w:rsid w:val="00425821"/>
    <w:rsid w:val="00425F70"/>
    <w:rsid w:val="00426FBF"/>
    <w:rsid w:val="0042763E"/>
    <w:rsid w:val="00427FC8"/>
    <w:rsid w:val="00430536"/>
    <w:rsid w:val="004310D0"/>
    <w:rsid w:val="00431617"/>
    <w:rsid w:val="004319F8"/>
    <w:rsid w:val="00431A20"/>
    <w:rsid w:val="00431E55"/>
    <w:rsid w:val="004321F6"/>
    <w:rsid w:val="00432BD1"/>
    <w:rsid w:val="00433044"/>
    <w:rsid w:val="004333A1"/>
    <w:rsid w:val="0043361F"/>
    <w:rsid w:val="00433955"/>
    <w:rsid w:val="00434088"/>
    <w:rsid w:val="00434A1B"/>
    <w:rsid w:val="00434FBC"/>
    <w:rsid w:val="00435F2B"/>
    <w:rsid w:val="004368D4"/>
    <w:rsid w:val="00436F07"/>
    <w:rsid w:val="00437586"/>
    <w:rsid w:val="004375B9"/>
    <w:rsid w:val="004402CA"/>
    <w:rsid w:val="00441043"/>
    <w:rsid w:val="00441127"/>
    <w:rsid w:val="00441558"/>
    <w:rsid w:val="004427F1"/>
    <w:rsid w:val="004428D0"/>
    <w:rsid w:val="00442D1F"/>
    <w:rsid w:val="00442E9B"/>
    <w:rsid w:val="00443435"/>
    <w:rsid w:val="0044371F"/>
    <w:rsid w:val="00444077"/>
    <w:rsid w:val="00444185"/>
    <w:rsid w:val="004443A7"/>
    <w:rsid w:val="0044442C"/>
    <w:rsid w:val="00444BF7"/>
    <w:rsid w:val="00444CD3"/>
    <w:rsid w:val="00445121"/>
    <w:rsid w:val="00445941"/>
    <w:rsid w:val="00445E39"/>
    <w:rsid w:val="00445ECE"/>
    <w:rsid w:val="004464EB"/>
    <w:rsid w:val="00446610"/>
    <w:rsid w:val="00446838"/>
    <w:rsid w:val="004471BA"/>
    <w:rsid w:val="00447D26"/>
    <w:rsid w:val="00447DFC"/>
    <w:rsid w:val="004510D6"/>
    <w:rsid w:val="00451B60"/>
    <w:rsid w:val="00452081"/>
    <w:rsid w:val="00452DF2"/>
    <w:rsid w:val="00453AB2"/>
    <w:rsid w:val="0045573E"/>
    <w:rsid w:val="00455A49"/>
    <w:rsid w:val="00455D45"/>
    <w:rsid w:val="00456203"/>
    <w:rsid w:val="00456D37"/>
    <w:rsid w:val="00457ED0"/>
    <w:rsid w:val="004602C3"/>
    <w:rsid w:val="00460B97"/>
    <w:rsid w:val="00461BEF"/>
    <w:rsid w:val="00462B00"/>
    <w:rsid w:val="00462E18"/>
    <w:rsid w:val="00463302"/>
    <w:rsid w:val="00463487"/>
    <w:rsid w:val="00464595"/>
    <w:rsid w:val="00464DDE"/>
    <w:rsid w:val="00464E15"/>
    <w:rsid w:val="004651A6"/>
    <w:rsid w:val="00465781"/>
    <w:rsid w:val="004658B5"/>
    <w:rsid w:val="00466895"/>
    <w:rsid w:val="00466F93"/>
    <w:rsid w:val="0046757E"/>
    <w:rsid w:val="004676D0"/>
    <w:rsid w:val="00467712"/>
    <w:rsid w:val="00470B82"/>
    <w:rsid w:val="00471211"/>
    <w:rsid w:val="004718A4"/>
    <w:rsid w:val="00471EA5"/>
    <w:rsid w:val="0047203D"/>
    <w:rsid w:val="00472A79"/>
    <w:rsid w:val="00472BBD"/>
    <w:rsid w:val="004735A9"/>
    <w:rsid w:val="00473F19"/>
    <w:rsid w:val="00474DB0"/>
    <w:rsid w:val="0047500B"/>
    <w:rsid w:val="004751C2"/>
    <w:rsid w:val="00475C44"/>
    <w:rsid w:val="00475CB2"/>
    <w:rsid w:val="00475E22"/>
    <w:rsid w:val="004765AF"/>
    <w:rsid w:val="004769AC"/>
    <w:rsid w:val="00476E60"/>
    <w:rsid w:val="004774CC"/>
    <w:rsid w:val="004775C4"/>
    <w:rsid w:val="004777EE"/>
    <w:rsid w:val="00480013"/>
    <w:rsid w:val="0048088E"/>
    <w:rsid w:val="00480B46"/>
    <w:rsid w:val="00480F2B"/>
    <w:rsid w:val="004817A1"/>
    <w:rsid w:val="00481C54"/>
    <w:rsid w:val="00481F9F"/>
    <w:rsid w:val="00482720"/>
    <w:rsid w:val="00482C3A"/>
    <w:rsid w:val="004835E7"/>
    <w:rsid w:val="00483881"/>
    <w:rsid w:val="00484039"/>
    <w:rsid w:val="004841A6"/>
    <w:rsid w:val="004859E1"/>
    <w:rsid w:val="00485FFB"/>
    <w:rsid w:val="004867E2"/>
    <w:rsid w:val="00486E8C"/>
    <w:rsid w:val="004870FF"/>
    <w:rsid w:val="00487E01"/>
    <w:rsid w:val="00490278"/>
    <w:rsid w:val="00490810"/>
    <w:rsid w:val="004909CE"/>
    <w:rsid w:val="00490B17"/>
    <w:rsid w:val="00490E96"/>
    <w:rsid w:val="00490F6E"/>
    <w:rsid w:val="004911A3"/>
    <w:rsid w:val="004918EA"/>
    <w:rsid w:val="00491B3A"/>
    <w:rsid w:val="00491EC2"/>
    <w:rsid w:val="0049217B"/>
    <w:rsid w:val="0049259A"/>
    <w:rsid w:val="00492634"/>
    <w:rsid w:val="00492700"/>
    <w:rsid w:val="00492CFD"/>
    <w:rsid w:val="004934D1"/>
    <w:rsid w:val="00494207"/>
    <w:rsid w:val="0049423D"/>
    <w:rsid w:val="004947F5"/>
    <w:rsid w:val="00494DD5"/>
    <w:rsid w:val="00494F76"/>
    <w:rsid w:val="00495988"/>
    <w:rsid w:val="00496233"/>
    <w:rsid w:val="004962D2"/>
    <w:rsid w:val="00496BC6"/>
    <w:rsid w:val="00496D08"/>
    <w:rsid w:val="00497150"/>
    <w:rsid w:val="00497236"/>
    <w:rsid w:val="00497A8F"/>
    <w:rsid w:val="004A0DA1"/>
    <w:rsid w:val="004A110B"/>
    <w:rsid w:val="004A1396"/>
    <w:rsid w:val="004A13D6"/>
    <w:rsid w:val="004A17E7"/>
    <w:rsid w:val="004A1FF7"/>
    <w:rsid w:val="004A22AB"/>
    <w:rsid w:val="004A248B"/>
    <w:rsid w:val="004A27B0"/>
    <w:rsid w:val="004A2939"/>
    <w:rsid w:val="004A2AEA"/>
    <w:rsid w:val="004A2C50"/>
    <w:rsid w:val="004A2D28"/>
    <w:rsid w:val="004A39AF"/>
    <w:rsid w:val="004A4562"/>
    <w:rsid w:val="004A48A9"/>
    <w:rsid w:val="004A49C0"/>
    <w:rsid w:val="004A520F"/>
    <w:rsid w:val="004A52E9"/>
    <w:rsid w:val="004A6040"/>
    <w:rsid w:val="004A6597"/>
    <w:rsid w:val="004A70BE"/>
    <w:rsid w:val="004A7221"/>
    <w:rsid w:val="004A7848"/>
    <w:rsid w:val="004A793B"/>
    <w:rsid w:val="004B03C1"/>
    <w:rsid w:val="004B0909"/>
    <w:rsid w:val="004B0A5B"/>
    <w:rsid w:val="004B146F"/>
    <w:rsid w:val="004B1CB4"/>
    <w:rsid w:val="004B1F18"/>
    <w:rsid w:val="004B27A1"/>
    <w:rsid w:val="004B2D4B"/>
    <w:rsid w:val="004B2F18"/>
    <w:rsid w:val="004B314A"/>
    <w:rsid w:val="004B3B21"/>
    <w:rsid w:val="004B3DDB"/>
    <w:rsid w:val="004B3F5A"/>
    <w:rsid w:val="004B44FD"/>
    <w:rsid w:val="004B4D90"/>
    <w:rsid w:val="004B5CFC"/>
    <w:rsid w:val="004B6494"/>
    <w:rsid w:val="004B6F79"/>
    <w:rsid w:val="004B774D"/>
    <w:rsid w:val="004B7C4D"/>
    <w:rsid w:val="004C017C"/>
    <w:rsid w:val="004C0BAD"/>
    <w:rsid w:val="004C1592"/>
    <w:rsid w:val="004C22D0"/>
    <w:rsid w:val="004C2AC2"/>
    <w:rsid w:val="004C2D87"/>
    <w:rsid w:val="004C328F"/>
    <w:rsid w:val="004C3488"/>
    <w:rsid w:val="004C47C8"/>
    <w:rsid w:val="004C4AED"/>
    <w:rsid w:val="004C562B"/>
    <w:rsid w:val="004C5FAC"/>
    <w:rsid w:val="004C60DE"/>
    <w:rsid w:val="004C6670"/>
    <w:rsid w:val="004C687F"/>
    <w:rsid w:val="004C77EC"/>
    <w:rsid w:val="004C77FE"/>
    <w:rsid w:val="004D052C"/>
    <w:rsid w:val="004D0D69"/>
    <w:rsid w:val="004D2106"/>
    <w:rsid w:val="004D253C"/>
    <w:rsid w:val="004D2914"/>
    <w:rsid w:val="004D2969"/>
    <w:rsid w:val="004D2987"/>
    <w:rsid w:val="004D2C2D"/>
    <w:rsid w:val="004D2EE8"/>
    <w:rsid w:val="004D32DA"/>
    <w:rsid w:val="004D3372"/>
    <w:rsid w:val="004D33C9"/>
    <w:rsid w:val="004D358F"/>
    <w:rsid w:val="004D46B3"/>
    <w:rsid w:val="004D55B8"/>
    <w:rsid w:val="004D55DC"/>
    <w:rsid w:val="004D5954"/>
    <w:rsid w:val="004D59C1"/>
    <w:rsid w:val="004D59E7"/>
    <w:rsid w:val="004D59ED"/>
    <w:rsid w:val="004D69B5"/>
    <w:rsid w:val="004D7227"/>
    <w:rsid w:val="004D7AA6"/>
    <w:rsid w:val="004D7B5E"/>
    <w:rsid w:val="004E026D"/>
    <w:rsid w:val="004E0E7F"/>
    <w:rsid w:val="004E0EB8"/>
    <w:rsid w:val="004E18E9"/>
    <w:rsid w:val="004E1C96"/>
    <w:rsid w:val="004E2ADC"/>
    <w:rsid w:val="004E3230"/>
    <w:rsid w:val="004E3347"/>
    <w:rsid w:val="004E3532"/>
    <w:rsid w:val="004E3B6D"/>
    <w:rsid w:val="004E3F22"/>
    <w:rsid w:val="004E43B2"/>
    <w:rsid w:val="004E43FD"/>
    <w:rsid w:val="004E4862"/>
    <w:rsid w:val="004E4C5D"/>
    <w:rsid w:val="004E4F8E"/>
    <w:rsid w:val="004E5396"/>
    <w:rsid w:val="004E6928"/>
    <w:rsid w:val="004E693F"/>
    <w:rsid w:val="004E7249"/>
    <w:rsid w:val="004F06E4"/>
    <w:rsid w:val="004F0C0E"/>
    <w:rsid w:val="004F0DAF"/>
    <w:rsid w:val="004F1226"/>
    <w:rsid w:val="004F1C1E"/>
    <w:rsid w:val="004F1D02"/>
    <w:rsid w:val="004F212A"/>
    <w:rsid w:val="004F2679"/>
    <w:rsid w:val="004F28E9"/>
    <w:rsid w:val="004F2F21"/>
    <w:rsid w:val="004F2F77"/>
    <w:rsid w:val="004F3689"/>
    <w:rsid w:val="004F3DE5"/>
    <w:rsid w:val="004F456B"/>
    <w:rsid w:val="004F51ED"/>
    <w:rsid w:val="004F5205"/>
    <w:rsid w:val="004F54E0"/>
    <w:rsid w:val="004F5F00"/>
    <w:rsid w:val="004F6148"/>
    <w:rsid w:val="004F63D8"/>
    <w:rsid w:val="004F6913"/>
    <w:rsid w:val="004F6A29"/>
    <w:rsid w:val="004F6BC7"/>
    <w:rsid w:val="004F72B3"/>
    <w:rsid w:val="004F7865"/>
    <w:rsid w:val="0050003D"/>
    <w:rsid w:val="005001C2"/>
    <w:rsid w:val="0050077F"/>
    <w:rsid w:val="00500851"/>
    <w:rsid w:val="0050174E"/>
    <w:rsid w:val="00501854"/>
    <w:rsid w:val="0050219B"/>
    <w:rsid w:val="00502295"/>
    <w:rsid w:val="005022C3"/>
    <w:rsid w:val="005024FB"/>
    <w:rsid w:val="005025B0"/>
    <w:rsid w:val="00502680"/>
    <w:rsid w:val="00502BEE"/>
    <w:rsid w:val="00502E75"/>
    <w:rsid w:val="00502EAE"/>
    <w:rsid w:val="0050351D"/>
    <w:rsid w:val="005035AB"/>
    <w:rsid w:val="00503F17"/>
    <w:rsid w:val="00503F3A"/>
    <w:rsid w:val="005052DE"/>
    <w:rsid w:val="005052EE"/>
    <w:rsid w:val="00505A98"/>
    <w:rsid w:val="00505B78"/>
    <w:rsid w:val="00506184"/>
    <w:rsid w:val="005065FB"/>
    <w:rsid w:val="00506928"/>
    <w:rsid w:val="005069D0"/>
    <w:rsid w:val="00506ADD"/>
    <w:rsid w:val="00506CDD"/>
    <w:rsid w:val="00506DAF"/>
    <w:rsid w:val="0050763F"/>
    <w:rsid w:val="005077D5"/>
    <w:rsid w:val="005077EF"/>
    <w:rsid w:val="00507A8D"/>
    <w:rsid w:val="00510B0A"/>
    <w:rsid w:val="00510F5D"/>
    <w:rsid w:val="00510F7F"/>
    <w:rsid w:val="0051161E"/>
    <w:rsid w:val="00511AD5"/>
    <w:rsid w:val="00511DC7"/>
    <w:rsid w:val="0051232A"/>
    <w:rsid w:val="00512ED5"/>
    <w:rsid w:val="00513D10"/>
    <w:rsid w:val="005142C5"/>
    <w:rsid w:val="0051467E"/>
    <w:rsid w:val="00514A15"/>
    <w:rsid w:val="0051501B"/>
    <w:rsid w:val="005152B5"/>
    <w:rsid w:val="00515708"/>
    <w:rsid w:val="00515886"/>
    <w:rsid w:val="005165E1"/>
    <w:rsid w:val="005171C9"/>
    <w:rsid w:val="00517964"/>
    <w:rsid w:val="00517F5B"/>
    <w:rsid w:val="00520F6B"/>
    <w:rsid w:val="0052123C"/>
    <w:rsid w:val="00521319"/>
    <w:rsid w:val="00521CB0"/>
    <w:rsid w:val="005222BE"/>
    <w:rsid w:val="005228BF"/>
    <w:rsid w:val="00522BC8"/>
    <w:rsid w:val="00523437"/>
    <w:rsid w:val="00523C28"/>
    <w:rsid w:val="00523E8A"/>
    <w:rsid w:val="00524085"/>
    <w:rsid w:val="005253C6"/>
    <w:rsid w:val="00525BA8"/>
    <w:rsid w:val="00525D4C"/>
    <w:rsid w:val="00526618"/>
    <w:rsid w:val="0052782B"/>
    <w:rsid w:val="00527B51"/>
    <w:rsid w:val="00527BFA"/>
    <w:rsid w:val="00530DD6"/>
    <w:rsid w:val="00530F07"/>
    <w:rsid w:val="0053176B"/>
    <w:rsid w:val="005317BA"/>
    <w:rsid w:val="00531A06"/>
    <w:rsid w:val="005323CA"/>
    <w:rsid w:val="00532FCF"/>
    <w:rsid w:val="0053357F"/>
    <w:rsid w:val="005341B3"/>
    <w:rsid w:val="005349BB"/>
    <w:rsid w:val="0053574A"/>
    <w:rsid w:val="00535B27"/>
    <w:rsid w:val="00535C12"/>
    <w:rsid w:val="00536594"/>
    <w:rsid w:val="00536638"/>
    <w:rsid w:val="00536C72"/>
    <w:rsid w:val="00536EBA"/>
    <w:rsid w:val="00536F42"/>
    <w:rsid w:val="00537182"/>
    <w:rsid w:val="005401EE"/>
    <w:rsid w:val="00540501"/>
    <w:rsid w:val="005410B8"/>
    <w:rsid w:val="005413C6"/>
    <w:rsid w:val="00541775"/>
    <w:rsid w:val="00541EDD"/>
    <w:rsid w:val="00541F02"/>
    <w:rsid w:val="00541FEC"/>
    <w:rsid w:val="00542743"/>
    <w:rsid w:val="005428CA"/>
    <w:rsid w:val="00542912"/>
    <w:rsid w:val="00542C2D"/>
    <w:rsid w:val="00543410"/>
    <w:rsid w:val="00543960"/>
    <w:rsid w:val="0054421F"/>
    <w:rsid w:val="00544CEF"/>
    <w:rsid w:val="00545780"/>
    <w:rsid w:val="00545D54"/>
    <w:rsid w:val="005461CC"/>
    <w:rsid w:val="005462D5"/>
    <w:rsid w:val="005466DD"/>
    <w:rsid w:val="00546BF6"/>
    <w:rsid w:val="005478BD"/>
    <w:rsid w:val="005479E3"/>
    <w:rsid w:val="00550B7D"/>
    <w:rsid w:val="00550D11"/>
    <w:rsid w:val="00551985"/>
    <w:rsid w:val="00551AC5"/>
    <w:rsid w:val="0055227D"/>
    <w:rsid w:val="00552928"/>
    <w:rsid w:val="00552B0C"/>
    <w:rsid w:val="00552BD3"/>
    <w:rsid w:val="00552EC7"/>
    <w:rsid w:val="005532A0"/>
    <w:rsid w:val="00553653"/>
    <w:rsid w:val="0055499C"/>
    <w:rsid w:val="00555109"/>
    <w:rsid w:val="00555314"/>
    <w:rsid w:val="0055560C"/>
    <w:rsid w:val="005558AA"/>
    <w:rsid w:val="00555E83"/>
    <w:rsid w:val="00556260"/>
    <w:rsid w:val="00556B35"/>
    <w:rsid w:val="00556C2D"/>
    <w:rsid w:val="0055715E"/>
    <w:rsid w:val="0055727C"/>
    <w:rsid w:val="0055741A"/>
    <w:rsid w:val="0055762F"/>
    <w:rsid w:val="0055787E"/>
    <w:rsid w:val="00557C5C"/>
    <w:rsid w:val="00560F09"/>
    <w:rsid w:val="005611B7"/>
    <w:rsid w:val="005618D4"/>
    <w:rsid w:val="00561DAD"/>
    <w:rsid w:val="00562543"/>
    <w:rsid w:val="00562A30"/>
    <w:rsid w:val="005630F5"/>
    <w:rsid w:val="005639EA"/>
    <w:rsid w:val="00564867"/>
    <w:rsid w:val="00564B7B"/>
    <w:rsid w:val="00565744"/>
    <w:rsid w:val="00565C79"/>
    <w:rsid w:val="00565DF0"/>
    <w:rsid w:val="0056696F"/>
    <w:rsid w:val="005672A6"/>
    <w:rsid w:val="005673DF"/>
    <w:rsid w:val="00567989"/>
    <w:rsid w:val="005679BA"/>
    <w:rsid w:val="00567DAF"/>
    <w:rsid w:val="00570576"/>
    <w:rsid w:val="00571167"/>
    <w:rsid w:val="005713BA"/>
    <w:rsid w:val="00571B26"/>
    <w:rsid w:val="00571F17"/>
    <w:rsid w:val="00572269"/>
    <w:rsid w:val="0057244A"/>
    <w:rsid w:val="00572A07"/>
    <w:rsid w:val="00572B4B"/>
    <w:rsid w:val="00572C0E"/>
    <w:rsid w:val="00572EF2"/>
    <w:rsid w:val="00572F26"/>
    <w:rsid w:val="00573737"/>
    <w:rsid w:val="00574ECB"/>
    <w:rsid w:val="005750C5"/>
    <w:rsid w:val="005750FF"/>
    <w:rsid w:val="005752DE"/>
    <w:rsid w:val="00575D60"/>
    <w:rsid w:val="00575D8D"/>
    <w:rsid w:val="0057656E"/>
    <w:rsid w:val="00576956"/>
    <w:rsid w:val="00576972"/>
    <w:rsid w:val="00577248"/>
    <w:rsid w:val="005776B9"/>
    <w:rsid w:val="00577B2A"/>
    <w:rsid w:val="00580553"/>
    <w:rsid w:val="0058078B"/>
    <w:rsid w:val="00581EB4"/>
    <w:rsid w:val="00582EEB"/>
    <w:rsid w:val="00583699"/>
    <w:rsid w:val="00584238"/>
    <w:rsid w:val="005849F2"/>
    <w:rsid w:val="00584A0E"/>
    <w:rsid w:val="00584B2C"/>
    <w:rsid w:val="00584ED0"/>
    <w:rsid w:val="00585073"/>
    <w:rsid w:val="00585CDD"/>
    <w:rsid w:val="005862CE"/>
    <w:rsid w:val="00586CF9"/>
    <w:rsid w:val="00587035"/>
    <w:rsid w:val="00587058"/>
    <w:rsid w:val="005870F6"/>
    <w:rsid w:val="00587CE8"/>
    <w:rsid w:val="00587E7D"/>
    <w:rsid w:val="005904EB"/>
    <w:rsid w:val="00591957"/>
    <w:rsid w:val="00591FAA"/>
    <w:rsid w:val="0059260F"/>
    <w:rsid w:val="005927FC"/>
    <w:rsid w:val="00593018"/>
    <w:rsid w:val="0059487D"/>
    <w:rsid w:val="00594FBB"/>
    <w:rsid w:val="00595974"/>
    <w:rsid w:val="00596CF2"/>
    <w:rsid w:val="0059735B"/>
    <w:rsid w:val="005974E0"/>
    <w:rsid w:val="00597BF9"/>
    <w:rsid w:val="005A0049"/>
    <w:rsid w:val="005A024B"/>
    <w:rsid w:val="005A06E8"/>
    <w:rsid w:val="005A0C11"/>
    <w:rsid w:val="005A14B1"/>
    <w:rsid w:val="005A171B"/>
    <w:rsid w:val="005A2713"/>
    <w:rsid w:val="005A2D37"/>
    <w:rsid w:val="005A2DB1"/>
    <w:rsid w:val="005A309A"/>
    <w:rsid w:val="005A373D"/>
    <w:rsid w:val="005A4E81"/>
    <w:rsid w:val="005A4ECC"/>
    <w:rsid w:val="005A5374"/>
    <w:rsid w:val="005A5F89"/>
    <w:rsid w:val="005A75D6"/>
    <w:rsid w:val="005B017E"/>
    <w:rsid w:val="005B0B58"/>
    <w:rsid w:val="005B13B1"/>
    <w:rsid w:val="005B195E"/>
    <w:rsid w:val="005B29A7"/>
    <w:rsid w:val="005B2AE1"/>
    <w:rsid w:val="005B314E"/>
    <w:rsid w:val="005B36B5"/>
    <w:rsid w:val="005B425F"/>
    <w:rsid w:val="005B4AAF"/>
    <w:rsid w:val="005B4E53"/>
    <w:rsid w:val="005B5857"/>
    <w:rsid w:val="005B66F4"/>
    <w:rsid w:val="005B6B32"/>
    <w:rsid w:val="005B6CE4"/>
    <w:rsid w:val="005C0B8B"/>
    <w:rsid w:val="005C119C"/>
    <w:rsid w:val="005C13BF"/>
    <w:rsid w:val="005C19C4"/>
    <w:rsid w:val="005C1B83"/>
    <w:rsid w:val="005C1F5B"/>
    <w:rsid w:val="005C2037"/>
    <w:rsid w:val="005C2269"/>
    <w:rsid w:val="005C2361"/>
    <w:rsid w:val="005C25FF"/>
    <w:rsid w:val="005C2D55"/>
    <w:rsid w:val="005C2DD7"/>
    <w:rsid w:val="005C345F"/>
    <w:rsid w:val="005C346B"/>
    <w:rsid w:val="005C366D"/>
    <w:rsid w:val="005C3AFD"/>
    <w:rsid w:val="005C3C2B"/>
    <w:rsid w:val="005C4406"/>
    <w:rsid w:val="005C576D"/>
    <w:rsid w:val="005C5ABC"/>
    <w:rsid w:val="005C6139"/>
    <w:rsid w:val="005C61F7"/>
    <w:rsid w:val="005C650D"/>
    <w:rsid w:val="005C6EBD"/>
    <w:rsid w:val="005C7666"/>
    <w:rsid w:val="005C7CD6"/>
    <w:rsid w:val="005D0251"/>
    <w:rsid w:val="005D044D"/>
    <w:rsid w:val="005D0ABD"/>
    <w:rsid w:val="005D18AD"/>
    <w:rsid w:val="005D19E6"/>
    <w:rsid w:val="005D26B4"/>
    <w:rsid w:val="005D3509"/>
    <w:rsid w:val="005D35D4"/>
    <w:rsid w:val="005D3CD1"/>
    <w:rsid w:val="005D3CD8"/>
    <w:rsid w:val="005D4269"/>
    <w:rsid w:val="005D466A"/>
    <w:rsid w:val="005D4994"/>
    <w:rsid w:val="005D7AA4"/>
    <w:rsid w:val="005D7F21"/>
    <w:rsid w:val="005E18BE"/>
    <w:rsid w:val="005E1995"/>
    <w:rsid w:val="005E1A75"/>
    <w:rsid w:val="005E3FF9"/>
    <w:rsid w:val="005E4211"/>
    <w:rsid w:val="005E5365"/>
    <w:rsid w:val="005E5555"/>
    <w:rsid w:val="005E6CBC"/>
    <w:rsid w:val="005E6DA9"/>
    <w:rsid w:val="005E6DE7"/>
    <w:rsid w:val="005E6E32"/>
    <w:rsid w:val="005E72FF"/>
    <w:rsid w:val="005E73C0"/>
    <w:rsid w:val="005E7BF0"/>
    <w:rsid w:val="005E7E35"/>
    <w:rsid w:val="005F01B1"/>
    <w:rsid w:val="005F07ED"/>
    <w:rsid w:val="005F083B"/>
    <w:rsid w:val="005F08F4"/>
    <w:rsid w:val="005F0BA4"/>
    <w:rsid w:val="005F0EDD"/>
    <w:rsid w:val="005F1F4B"/>
    <w:rsid w:val="005F2502"/>
    <w:rsid w:val="005F265C"/>
    <w:rsid w:val="005F2683"/>
    <w:rsid w:val="005F2706"/>
    <w:rsid w:val="005F3877"/>
    <w:rsid w:val="005F3989"/>
    <w:rsid w:val="005F3BC8"/>
    <w:rsid w:val="005F3DC8"/>
    <w:rsid w:val="005F445D"/>
    <w:rsid w:val="005F4D63"/>
    <w:rsid w:val="005F52B6"/>
    <w:rsid w:val="005F5D7A"/>
    <w:rsid w:val="005F5ED8"/>
    <w:rsid w:val="005F64F3"/>
    <w:rsid w:val="005F6661"/>
    <w:rsid w:val="005F6A8F"/>
    <w:rsid w:val="005F6BB7"/>
    <w:rsid w:val="005F6D58"/>
    <w:rsid w:val="005F71CB"/>
    <w:rsid w:val="005F7588"/>
    <w:rsid w:val="006000FA"/>
    <w:rsid w:val="00600F08"/>
    <w:rsid w:val="00601423"/>
    <w:rsid w:val="006014CA"/>
    <w:rsid w:val="006021D6"/>
    <w:rsid w:val="0060259E"/>
    <w:rsid w:val="00602B6A"/>
    <w:rsid w:val="0060367A"/>
    <w:rsid w:val="0060391F"/>
    <w:rsid w:val="00603DB9"/>
    <w:rsid w:val="006049B5"/>
    <w:rsid w:val="00605246"/>
    <w:rsid w:val="006059E1"/>
    <w:rsid w:val="00605CA7"/>
    <w:rsid w:val="006061F9"/>
    <w:rsid w:val="00606FBA"/>
    <w:rsid w:val="00607669"/>
    <w:rsid w:val="006076F4"/>
    <w:rsid w:val="00607975"/>
    <w:rsid w:val="00607AFD"/>
    <w:rsid w:val="00610269"/>
    <w:rsid w:val="006104C6"/>
    <w:rsid w:val="0061072E"/>
    <w:rsid w:val="00611B12"/>
    <w:rsid w:val="006120A3"/>
    <w:rsid w:val="0061294E"/>
    <w:rsid w:val="00612F97"/>
    <w:rsid w:val="0061345D"/>
    <w:rsid w:val="006137FA"/>
    <w:rsid w:val="00613ED7"/>
    <w:rsid w:val="006147AB"/>
    <w:rsid w:val="00614980"/>
    <w:rsid w:val="00614ED4"/>
    <w:rsid w:val="0061549B"/>
    <w:rsid w:val="00615C9A"/>
    <w:rsid w:val="00615FFD"/>
    <w:rsid w:val="00616802"/>
    <w:rsid w:val="00616CBD"/>
    <w:rsid w:val="00617211"/>
    <w:rsid w:val="00617930"/>
    <w:rsid w:val="00617CE9"/>
    <w:rsid w:val="00617E12"/>
    <w:rsid w:val="006203B2"/>
    <w:rsid w:val="00620C25"/>
    <w:rsid w:val="00621477"/>
    <w:rsid w:val="006217A7"/>
    <w:rsid w:val="00621ADA"/>
    <w:rsid w:val="0062280C"/>
    <w:rsid w:val="006228A9"/>
    <w:rsid w:val="00622ADC"/>
    <w:rsid w:val="0062358D"/>
    <w:rsid w:val="00623F7B"/>
    <w:rsid w:val="00623F7C"/>
    <w:rsid w:val="00624210"/>
    <w:rsid w:val="00624616"/>
    <w:rsid w:val="00624BD4"/>
    <w:rsid w:val="006257C8"/>
    <w:rsid w:val="0062591B"/>
    <w:rsid w:val="00625E5D"/>
    <w:rsid w:val="00626974"/>
    <w:rsid w:val="006272A9"/>
    <w:rsid w:val="006276CD"/>
    <w:rsid w:val="006300E7"/>
    <w:rsid w:val="0063098F"/>
    <w:rsid w:val="0063158F"/>
    <w:rsid w:val="006316A7"/>
    <w:rsid w:val="006319D2"/>
    <w:rsid w:val="00631AAE"/>
    <w:rsid w:val="00631D6B"/>
    <w:rsid w:val="00632183"/>
    <w:rsid w:val="006323F2"/>
    <w:rsid w:val="0063305C"/>
    <w:rsid w:val="006330A1"/>
    <w:rsid w:val="006335D5"/>
    <w:rsid w:val="00633A91"/>
    <w:rsid w:val="00634041"/>
    <w:rsid w:val="006345BF"/>
    <w:rsid w:val="0063479F"/>
    <w:rsid w:val="00634E67"/>
    <w:rsid w:val="006353F0"/>
    <w:rsid w:val="006356BD"/>
    <w:rsid w:val="006357B5"/>
    <w:rsid w:val="00635EAC"/>
    <w:rsid w:val="0063618D"/>
    <w:rsid w:val="006364A1"/>
    <w:rsid w:val="0063678E"/>
    <w:rsid w:val="006371C2"/>
    <w:rsid w:val="00637BFD"/>
    <w:rsid w:val="00637C5C"/>
    <w:rsid w:val="00640207"/>
    <w:rsid w:val="00641C4E"/>
    <w:rsid w:val="00641E25"/>
    <w:rsid w:val="00641F97"/>
    <w:rsid w:val="00641FB3"/>
    <w:rsid w:val="00642D63"/>
    <w:rsid w:val="00642EE7"/>
    <w:rsid w:val="00643409"/>
    <w:rsid w:val="0064434C"/>
    <w:rsid w:val="006459B2"/>
    <w:rsid w:val="00647039"/>
    <w:rsid w:val="006471CC"/>
    <w:rsid w:val="006472FE"/>
    <w:rsid w:val="0064765A"/>
    <w:rsid w:val="00647A29"/>
    <w:rsid w:val="00647B59"/>
    <w:rsid w:val="0065079F"/>
    <w:rsid w:val="006511DC"/>
    <w:rsid w:val="0065132F"/>
    <w:rsid w:val="00651964"/>
    <w:rsid w:val="00652055"/>
    <w:rsid w:val="006521CA"/>
    <w:rsid w:val="006526FC"/>
    <w:rsid w:val="00652A28"/>
    <w:rsid w:val="006531E2"/>
    <w:rsid w:val="006536E2"/>
    <w:rsid w:val="0065379F"/>
    <w:rsid w:val="00653B91"/>
    <w:rsid w:val="00653CB3"/>
    <w:rsid w:val="00654782"/>
    <w:rsid w:val="00654AF3"/>
    <w:rsid w:val="006559AF"/>
    <w:rsid w:val="006559F8"/>
    <w:rsid w:val="00655F90"/>
    <w:rsid w:val="00656188"/>
    <w:rsid w:val="006561D9"/>
    <w:rsid w:val="00656AD2"/>
    <w:rsid w:val="0065715A"/>
    <w:rsid w:val="00657576"/>
    <w:rsid w:val="0065772F"/>
    <w:rsid w:val="00660718"/>
    <w:rsid w:val="006608E7"/>
    <w:rsid w:val="006610F1"/>
    <w:rsid w:val="0066141F"/>
    <w:rsid w:val="0066153F"/>
    <w:rsid w:val="006618CA"/>
    <w:rsid w:val="00661C6B"/>
    <w:rsid w:val="00661C74"/>
    <w:rsid w:val="0066296F"/>
    <w:rsid w:val="00662C8C"/>
    <w:rsid w:val="00662D3E"/>
    <w:rsid w:val="006638CA"/>
    <w:rsid w:val="00663BA4"/>
    <w:rsid w:val="00663D52"/>
    <w:rsid w:val="00663DEE"/>
    <w:rsid w:val="0066565F"/>
    <w:rsid w:val="00665770"/>
    <w:rsid w:val="00665D45"/>
    <w:rsid w:val="00665F3F"/>
    <w:rsid w:val="006664A7"/>
    <w:rsid w:val="00666DA4"/>
    <w:rsid w:val="00667BE3"/>
    <w:rsid w:val="00670BF7"/>
    <w:rsid w:val="00670EC4"/>
    <w:rsid w:val="00671004"/>
    <w:rsid w:val="00671CDB"/>
    <w:rsid w:val="00672096"/>
    <w:rsid w:val="006720FD"/>
    <w:rsid w:val="00672646"/>
    <w:rsid w:val="00672F8F"/>
    <w:rsid w:val="0067328F"/>
    <w:rsid w:val="00673637"/>
    <w:rsid w:val="006737D7"/>
    <w:rsid w:val="00673CBD"/>
    <w:rsid w:val="00674E42"/>
    <w:rsid w:val="00676029"/>
    <w:rsid w:val="00676563"/>
    <w:rsid w:val="0067734D"/>
    <w:rsid w:val="00677F84"/>
    <w:rsid w:val="00680EFA"/>
    <w:rsid w:val="006812BE"/>
    <w:rsid w:val="006813F8"/>
    <w:rsid w:val="006814DC"/>
    <w:rsid w:val="00681917"/>
    <w:rsid w:val="00681B4E"/>
    <w:rsid w:val="006820AF"/>
    <w:rsid w:val="00682112"/>
    <w:rsid w:val="006827AF"/>
    <w:rsid w:val="00682BA6"/>
    <w:rsid w:val="00682E4C"/>
    <w:rsid w:val="00682EF9"/>
    <w:rsid w:val="00683CDD"/>
    <w:rsid w:val="006846C4"/>
    <w:rsid w:val="006852FE"/>
    <w:rsid w:val="00686386"/>
    <w:rsid w:val="00686477"/>
    <w:rsid w:val="00686957"/>
    <w:rsid w:val="00686B22"/>
    <w:rsid w:val="006872AD"/>
    <w:rsid w:val="006872BA"/>
    <w:rsid w:val="00687B1C"/>
    <w:rsid w:val="00687CD9"/>
    <w:rsid w:val="0069059D"/>
    <w:rsid w:val="00690731"/>
    <w:rsid w:val="00690795"/>
    <w:rsid w:val="0069091D"/>
    <w:rsid w:val="00690A15"/>
    <w:rsid w:val="00691166"/>
    <w:rsid w:val="00691648"/>
    <w:rsid w:val="006917D7"/>
    <w:rsid w:val="006924BF"/>
    <w:rsid w:val="00693C4A"/>
    <w:rsid w:val="0069434C"/>
    <w:rsid w:val="006947EF"/>
    <w:rsid w:val="00694A66"/>
    <w:rsid w:val="00694F44"/>
    <w:rsid w:val="00694F89"/>
    <w:rsid w:val="006954A7"/>
    <w:rsid w:val="00695619"/>
    <w:rsid w:val="006956DF"/>
    <w:rsid w:val="0069589B"/>
    <w:rsid w:val="00695AC1"/>
    <w:rsid w:val="00695D69"/>
    <w:rsid w:val="00696EF9"/>
    <w:rsid w:val="00696F51"/>
    <w:rsid w:val="006970DB"/>
    <w:rsid w:val="006979A5"/>
    <w:rsid w:val="00697E12"/>
    <w:rsid w:val="006A016F"/>
    <w:rsid w:val="006A0DF7"/>
    <w:rsid w:val="006A1FBD"/>
    <w:rsid w:val="006A21DE"/>
    <w:rsid w:val="006A28D8"/>
    <w:rsid w:val="006A293E"/>
    <w:rsid w:val="006A3523"/>
    <w:rsid w:val="006A4015"/>
    <w:rsid w:val="006A4321"/>
    <w:rsid w:val="006A43D9"/>
    <w:rsid w:val="006A4BEF"/>
    <w:rsid w:val="006A4E59"/>
    <w:rsid w:val="006A66E1"/>
    <w:rsid w:val="006A6B99"/>
    <w:rsid w:val="006A793B"/>
    <w:rsid w:val="006A799E"/>
    <w:rsid w:val="006A7E5F"/>
    <w:rsid w:val="006B0524"/>
    <w:rsid w:val="006B059D"/>
    <w:rsid w:val="006B131F"/>
    <w:rsid w:val="006B203A"/>
    <w:rsid w:val="006B261B"/>
    <w:rsid w:val="006B2C90"/>
    <w:rsid w:val="006B35E6"/>
    <w:rsid w:val="006B40AC"/>
    <w:rsid w:val="006B41EC"/>
    <w:rsid w:val="006B465A"/>
    <w:rsid w:val="006B48EA"/>
    <w:rsid w:val="006B4C5C"/>
    <w:rsid w:val="006B4E01"/>
    <w:rsid w:val="006B60A9"/>
    <w:rsid w:val="006B62D2"/>
    <w:rsid w:val="006B64A1"/>
    <w:rsid w:val="006B6D74"/>
    <w:rsid w:val="006B6DD0"/>
    <w:rsid w:val="006B6DDF"/>
    <w:rsid w:val="006B6E69"/>
    <w:rsid w:val="006B7303"/>
    <w:rsid w:val="006C0399"/>
    <w:rsid w:val="006C1C45"/>
    <w:rsid w:val="006C268D"/>
    <w:rsid w:val="006C2A8E"/>
    <w:rsid w:val="006C2DBD"/>
    <w:rsid w:val="006C2E08"/>
    <w:rsid w:val="006C2EDC"/>
    <w:rsid w:val="006C30AB"/>
    <w:rsid w:val="006C3255"/>
    <w:rsid w:val="006C3BE7"/>
    <w:rsid w:val="006C3F26"/>
    <w:rsid w:val="006C4849"/>
    <w:rsid w:val="006C4ED2"/>
    <w:rsid w:val="006C554D"/>
    <w:rsid w:val="006C59C3"/>
    <w:rsid w:val="006C5DE6"/>
    <w:rsid w:val="006C5F6C"/>
    <w:rsid w:val="006C612F"/>
    <w:rsid w:val="006C74AA"/>
    <w:rsid w:val="006C7A46"/>
    <w:rsid w:val="006C7D92"/>
    <w:rsid w:val="006D04D2"/>
    <w:rsid w:val="006D0A2E"/>
    <w:rsid w:val="006D0BE9"/>
    <w:rsid w:val="006D0D17"/>
    <w:rsid w:val="006D18E7"/>
    <w:rsid w:val="006D25F3"/>
    <w:rsid w:val="006D2713"/>
    <w:rsid w:val="006D2D39"/>
    <w:rsid w:val="006D330B"/>
    <w:rsid w:val="006D3613"/>
    <w:rsid w:val="006D3C7D"/>
    <w:rsid w:val="006D4659"/>
    <w:rsid w:val="006D4E59"/>
    <w:rsid w:val="006D5BA5"/>
    <w:rsid w:val="006D5C44"/>
    <w:rsid w:val="006D5D5F"/>
    <w:rsid w:val="006D68FB"/>
    <w:rsid w:val="006D6B76"/>
    <w:rsid w:val="006D7135"/>
    <w:rsid w:val="006E0453"/>
    <w:rsid w:val="006E0568"/>
    <w:rsid w:val="006E0B45"/>
    <w:rsid w:val="006E0B83"/>
    <w:rsid w:val="006E1254"/>
    <w:rsid w:val="006E1FE4"/>
    <w:rsid w:val="006E2608"/>
    <w:rsid w:val="006E2868"/>
    <w:rsid w:val="006E3EC5"/>
    <w:rsid w:val="006E437F"/>
    <w:rsid w:val="006E4665"/>
    <w:rsid w:val="006E4B97"/>
    <w:rsid w:val="006E4DBB"/>
    <w:rsid w:val="006E52A5"/>
    <w:rsid w:val="006E539E"/>
    <w:rsid w:val="006E53B0"/>
    <w:rsid w:val="006E5845"/>
    <w:rsid w:val="006E6911"/>
    <w:rsid w:val="006E7D18"/>
    <w:rsid w:val="006F0230"/>
    <w:rsid w:val="006F029F"/>
    <w:rsid w:val="006F04A2"/>
    <w:rsid w:val="006F0657"/>
    <w:rsid w:val="006F27D2"/>
    <w:rsid w:val="006F280E"/>
    <w:rsid w:val="006F306C"/>
    <w:rsid w:val="006F323E"/>
    <w:rsid w:val="006F3256"/>
    <w:rsid w:val="006F454D"/>
    <w:rsid w:val="006F51FC"/>
    <w:rsid w:val="006F59DA"/>
    <w:rsid w:val="006F63A5"/>
    <w:rsid w:val="0070023A"/>
    <w:rsid w:val="00700750"/>
    <w:rsid w:val="00701179"/>
    <w:rsid w:val="00701395"/>
    <w:rsid w:val="0070142B"/>
    <w:rsid w:val="00701AC4"/>
    <w:rsid w:val="00701EAF"/>
    <w:rsid w:val="0070276E"/>
    <w:rsid w:val="00702F8F"/>
    <w:rsid w:val="0070365B"/>
    <w:rsid w:val="007036DA"/>
    <w:rsid w:val="0070379F"/>
    <w:rsid w:val="00704084"/>
    <w:rsid w:val="00704422"/>
    <w:rsid w:val="00704621"/>
    <w:rsid w:val="007048FB"/>
    <w:rsid w:val="00704D7A"/>
    <w:rsid w:val="00704FCE"/>
    <w:rsid w:val="00705B7A"/>
    <w:rsid w:val="00705CDD"/>
    <w:rsid w:val="00705F2A"/>
    <w:rsid w:val="00706116"/>
    <w:rsid w:val="00706686"/>
    <w:rsid w:val="00706807"/>
    <w:rsid w:val="0070699F"/>
    <w:rsid w:val="00706B09"/>
    <w:rsid w:val="00706EF6"/>
    <w:rsid w:val="007075FD"/>
    <w:rsid w:val="0070774B"/>
    <w:rsid w:val="007079FC"/>
    <w:rsid w:val="00707AFC"/>
    <w:rsid w:val="00710011"/>
    <w:rsid w:val="007100CC"/>
    <w:rsid w:val="00710215"/>
    <w:rsid w:val="00711219"/>
    <w:rsid w:val="007115D1"/>
    <w:rsid w:val="00711A36"/>
    <w:rsid w:val="00711A4C"/>
    <w:rsid w:val="00712387"/>
    <w:rsid w:val="0071241E"/>
    <w:rsid w:val="007125D3"/>
    <w:rsid w:val="007142E9"/>
    <w:rsid w:val="0071451A"/>
    <w:rsid w:val="00714C26"/>
    <w:rsid w:val="00714DB2"/>
    <w:rsid w:val="00714F6D"/>
    <w:rsid w:val="0071529C"/>
    <w:rsid w:val="00715662"/>
    <w:rsid w:val="00715AEF"/>
    <w:rsid w:val="00715F19"/>
    <w:rsid w:val="007169CF"/>
    <w:rsid w:val="00716A41"/>
    <w:rsid w:val="00716A9C"/>
    <w:rsid w:val="00716DDE"/>
    <w:rsid w:val="007170DA"/>
    <w:rsid w:val="007172AD"/>
    <w:rsid w:val="00717546"/>
    <w:rsid w:val="0071755C"/>
    <w:rsid w:val="00720801"/>
    <w:rsid w:val="00722496"/>
    <w:rsid w:val="0072294E"/>
    <w:rsid w:val="00722B1B"/>
    <w:rsid w:val="00722DE2"/>
    <w:rsid w:val="00723F14"/>
    <w:rsid w:val="0072416F"/>
    <w:rsid w:val="007243CF"/>
    <w:rsid w:val="00724415"/>
    <w:rsid w:val="007245D0"/>
    <w:rsid w:val="007248B6"/>
    <w:rsid w:val="00724AA1"/>
    <w:rsid w:val="00724B2A"/>
    <w:rsid w:val="00726536"/>
    <w:rsid w:val="00726B21"/>
    <w:rsid w:val="007273DC"/>
    <w:rsid w:val="00727C94"/>
    <w:rsid w:val="00730823"/>
    <w:rsid w:val="00730AED"/>
    <w:rsid w:val="00731129"/>
    <w:rsid w:val="00731152"/>
    <w:rsid w:val="00731B0A"/>
    <w:rsid w:val="00731EAE"/>
    <w:rsid w:val="00733073"/>
    <w:rsid w:val="00733901"/>
    <w:rsid w:val="007342B7"/>
    <w:rsid w:val="00734B30"/>
    <w:rsid w:val="00734E93"/>
    <w:rsid w:val="00735033"/>
    <w:rsid w:val="007351E9"/>
    <w:rsid w:val="007352AF"/>
    <w:rsid w:val="00735328"/>
    <w:rsid w:val="007353D5"/>
    <w:rsid w:val="00736152"/>
    <w:rsid w:val="0073685B"/>
    <w:rsid w:val="00736E58"/>
    <w:rsid w:val="00737181"/>
    <w:rsid w:val="0073759F"/>
    <w:rsid w:val="007377AE"/>
    <w:rsid w:val="00737BAE"/>
    <w:rsid w:val="00740223"/>
    <w:rsid w:val="00740A73"/>
    <w:rsid w:val="00740E34"/>
    <w:rsid w:val="007412D1"/>
    <w:rsid w:val="007415FC"/>
    <w:rsid w:val="00741AD0"/>
    <w:rsid w:val="00741BD6"/>
    <w:rsid w:val="00742091"/>
    <w:rsid w:val="00743923"/>
    <w:rsid w:val="00743C04"/>
    <w:rsid w:val="00744826"/>
    <w:rsid w:val="007448D7"/>
    <w:rsid w:val="0074498A"/>
    <w:rsid w:val="007449BF"/>
    <w:rsid w:val="0074604B"/>
    <w:rsid w:val="007463FE"/>
    <w:rsid w:val="007464D3"/>
    <w:rsid w:val="007464FC"/>
    <w:rsid w:val="00746A3E"/>
    <w:rsid w:val="00746BC0"/>
    <w:rsid w:val="00750141"/>
    <w:rsid w:val="007510B4"/>
    <w:rsid w:val="00751643"/>
    <w:rsid w:val="00751A74"/>
    <w:rsid w:val="00751D9E"/>
    <w:rsid w:val="00751EC0"/>
    <w:rsid w:val="0075210A"/>
    <w:rsid w:val="00752142"/>
    <w:rsid w:val="007523F9"/>
    <w:rsid w:val="00752432"/>
    <w:rsid w:val="007528C8"/>
    <w:rsid w:val="00752922"/>
    <w:rsid w:val="00752C84"/>
    <w:rsid w:val="0075357E"/>
    <w:rsid w:val="007539F6"/>
    <w:rsid w:val="00753AE8"/>
    <w:rsid w:val="00753B29"/>
    <w:rsid w:val="00754038"/>
    <w:rsid w:val="00754366"/>
    <w:rsid w:val="00755022"/>
    <w:rsid w:val="00755116"/>
    <w:rsid w:val="007556DA"/>
    <w:rsid w:val="0075578C"/>
    <w:rsid w:val="0075593D"/>
    <w:rsid w:val="00755BFF"/>
    <w:rsid w:val="007563D3"/>
    <w:rsid w:val="007573E8"/>
    <w:rsid w:val="00757883"/>
    <w:rsid w:val="00757E39"/>
    <w:rsid w:val="00760C4E"/>
    <w:rsid w:val="00760E09"/>
    <w:rsid w:val="00760F9E"/>
    <w:rsid w:val="00761390"/>
    <w:rsid w:val="007616E6"/>
    <w:rsid w:val="0076194A"/>
    <w:rsid w:val="00761CA5"/>
    <w:rsid w:val="00761E5E"/>
    <w:rsid w:val="007627BE"/>
    <w:rsid w:val="007631D4"/>
    <w:rsid w:val="00763752"/>
    <w:rsid w:val="00763DC0"/>
    <w:rsid w:val="00764F03"/>
    <w:rsid w:val="007653FC"/>
    <w:rsid w:val="00765B1A"/>
    <w:rsid w:val="00765DC1"/>
    <w:rsid w:val="00766D53"/>
    <w:rsid w:val="007670B7"/>
    <w:rsid w:val="007674E6"/>
    <w:rsid w:val="0076764A"/>
    <w:rsid w:val="007676E9"/>
    <w:rsid w:val="00767981"/>
    <w:rsid w:val="00767BB6"/>
    <w:rsid w:val="00770946"/>
    <w:rsid w:val="007709CC"/>
    <w:rsid w:val="00771AAC"/>
    <w:rsid w:val="007728AF"/>
    <w:rsid w:val="007728B5"/>
    <w:rsid w:val="00772935"/>
    <w:rsid w:val="00772A94"/>
    <w:rsid w:val="00772EF5"/>
    <w:rsid w:val="007746A8"/>
    <w:rsid w:val="0077501E"/>
    <w:rsid w:val="0077578D"/>
    <w:rsid w:val="00775BE7"/>
    <w:rsid w:val="00776576"/>
    <w:rsid w:val="007765F1"/>
    <w:rsid w:val="0077661E"/>
    <w:rsid w:val="007770A5"/>
    <w:rsid w:val="007772DC"/>
    <w:rsid w:val="00777335"/>
    <w:rsid w:val="00781734"/>
    <w:rsid w:val="00781AE0"/>
    <w:rsid w:val="00782397"/>
    <w:rsid w:val="007827B0"/>
    <w:rsid w:val="00782801"/>
    <w:rsid w:val="00782F9B"/>
    <w:rsid w:val="00783C1F"/>
    <w:rsid w:val="007843F2"/>
    <w:rsid w:val="007846FA"/>
    <w:rsid w:val="00785A9F"/>
    <w:rsid w:val="00786050"/>
    <w:rsid w:val="00786312"/>
    <w:rsid w:val="0078682B"/>
    <w:rsid w:val="00787291"/>
    <w:rsid w:val="00790345"/>
    <w:rsid w:val="007913A1"/>
    <w:rsid w:val="00791477"/>
    <w:rsid w:val="007925DF"/>
    <w:rsid w:val="00792AD1"/>
    <w:rsid w:val="00792E89"/>
    <w:rsid w:val="007944F5"/>
    <w:rsid w:val="00794D9B"/>
    <w:rsid w:val="007952CA"/>
    <w:rsid w:val="00796CB2"/>
    <w:rsid w:val="00796FC1"/>
    <w:rsid w:val="007A08AA"/>
    <w:rsid w:val="007A094F"/>
    <w:rsid w:val="007A0A12"/>
    <w:rsid w:val="007A132D"/>
    <w:rsid w:val="007A1345"/>
    <w:rsid w:val="007A2685"/>
    <w:rsid w:val="007A2DDB"/>
    <w:rsid w:val="007A5073"/>
    <w:rsid w:val="007A510B"/>
    <w:rsid w:val="007A5F67"/>
    <w:rsid w:val="007A69D2"/>
    <w:rsid w:val="007A6DA8"/>
    <w:rsid w:val="007A6E7A"/>
    <w:rsid w:val="007A70BA"/>
    <w:rsid w:val="007B0D68"/>
    <w:rsid w:val="007B1B67"/>
    <w:rsid w:val="007B251D"/>
    <w:rsid w:val="007B3533"/>
    <w:rsid w:val="007B3BEA"/>
    <w:rsid w:val="007B3EA5"/>
    <w:rsid w:val="007B3F1C"/>
    <w:rsid w:val="007B4336"/>
    <w:rsid w:val="007B4AF3"/>
    <w:rsid w:val="007B4F58"/>
    <w:rsid w:val="007B5072"/>
    <w:rsid w:val="007B528D"/>
    <w:rsid w:val="007B55A5"/>
    <w:rsid w:val="007B584B"/>
    <w:rsid w:val="007B5B3B"/>
    <w:rsid w:val="007B61D6"/>
    <w:rsid w:val="007B63CA"/>
    <w:rsid w:val="007B6555"/>
    <w:rsid w:val="007B698F"/>
    <w:rsid w:val="007B731B"/>
    <w:rsid w:val="007B77D1"/>
    <w:rsid w:val="007B78D2"/>
    <w:rsid w:val="007B7CFF"/>
    <w:rsid w:val="007C0064"/>
    <w:rsid w:val="007C0450"/>
    <w:rsid w:val="007C07C7"/>
    <w:rsid w:val="007C0A19"/>
    <w:rsid w:val="007C17C1"/>
    <w:rsid w:val="007C1CD9"/>
    <w:rsid w:val="007C244D"/>
    <w:rsid w:val="007C265C"/>
    <w:rsid w:val="007C32D0"/>
    <w:rsid w:val="007C32EF"/>
    <w:rsid w:val="007C361D"/>
    <w:rsid w:val="007C3F4A"/>
    <w:rsid w:val="007C46D9"/>
    <w:rsid w:val="007C494A"/>
    <w:rsid w:val="007C4B84"/>
    <w:rsid w:val="007C55AF"/>
    <w:rsid w:val="007C5F40"/>
    <w:rsid w:val="007C5F82"/>
    <w:rsid w:val="007C60AF"/>
    <w:rsid w:val="007C660E"/>
    <w:rsid w:val="007C70FF"/>
    <w:rsid w:val="007C7837"/>
    <w:rsid w:val="007C7C25"/>
    <w:rsid w:val="007D004F"/>
    <w:rsid w:val="007D02CD"/>
    <w:rsid w:val="007D035F"/>
    <w:rsid w:val="007D06B2"/>
    <w:rsid w:val="007D0A76"/>
    <w:rsid w:val="007D0B38"/>
    <w:rsid w:val="007D1592"/>
    <w:rsid w:val="007D1687"/>
    <w:rsid w:val="007D1B99"/>
    <w:rsid w:val="007D2F3D"/>
    <w:rsid w:val="007D35F9"/>
    <w:rsid w:val="007D4BC8"/>
    <w:rsid w:val="007D4C8F"/>
    <w:rsid w:val="007D520C"/>
    <w:rsid w:val="007D52DC"/>
    <w:rsid w:val="007D5440"/>
    <w:rsid w:val="007D5AD9"/>
    <w:rsid w:val="007D6122"/>
    <w:rsid w:val="007D69EB"/>
    <w:rsid w:val="007D6D55"/>
    <w:rsid w:val="007D6EE4"/>
    <w:rsid w:val="007D7782"/>
    <w:rsid w:val="007E030A"/>
    <w:rsid w:val="007E0326"/>
    <w:rsid w:val="007E051D"/>
    <w:rsid w:val="007E090B"/>
    <w:rsid w:val="007E128F"/>
    <w:rsid w:val="007E1375"/>
    <w:rsid w:val="007E1AC2"/>
    <w:rsid w:val="007E2031"/>
    <w:rsid w:val="007E220C"/>
    <w:rsid w:val="007E2234"/>
    <w:rsid w:val="007E2663"/>
    <w:rsid w:val="007E3C51"/>
    <w:rsid w:val="007E4D36"/>
    <w:rsid w:val="007E521B"/>
    <w:rsid w:val="007E6143"/>
    <w:rsid w:val="007E6567"/>
    <w:rsid w:val="007F00EA"/>
    <w:rsid w:val="007F0701"/>
    <w:rsid w:val="007F0833"/>
    <w:rsid w:val="007F0F7B"/>
    <w:rsid w:val="007F1017"/>
    <w:rsid w:val="007F1084"/>
    <w:rsid w:val="007F187B"/>
    <w:rsid w:val="007F205B"/>
    <w:rsid w:val="007F2383"/>
    <w:rsid w:val="007F2D9B"/>
    <w:rsid w:val="007F36C6"/>
    <w:rsid w:val="007F3BA5"/>
    <w:rsid w:val="007F3F2C"/>
    <w:rsid w:val="007F41D3"/>
    <w:rsid w:val="007F4A3F"/>
    <w:rsid w:val="007F4A61"/>
    <w:rsid w:val="007F4BE0"/>
    <w:rsid w:val="007F4C90"/>
    <w:rsid w:val="007F5255"/>
    <w:rsid w:val="007F56CC"/>
    <w:rsid w:val="007F5775"/>
    <w:rsid w:val="007F5D70"/>
    <w:rsid w:val="007F5F79"/>
    <w:rsid w:val="007F61C2"/>
    <w:rsid w:val="007F6415"/>
    <w:rsid w:val="007F668D"/>
    <w:rsid w:val="007F77D0"/>
    <w:rsid w:val="007F79A3"/>
    <w:rsid w:val="00800346"/>
    <w:rsid w:val="00800439"/>
    <w:rsid w:val="008016E9"/>
    <w:rsid w:val="00802C1F"/>
    <w:rsid w:val="008030DC"/>
    <w:rsid w:val="00803808"/>
    <w:rsid w:val="00803CFB"/>
    <w:rsid w:val="0080489D"/>
    <w:rsid w:val="008049B6"/>
    <w:rsid w:val="00804EC7"/>
    <w:rsid w:val="00805142"/>
    <w:rsid w:val="0080525C"/>
    <w:rsid w:val="0080552E"/>
    <w:rsid w:val="008057EF"/>
    <w:rsid w:val="008058B7"/>
    <w:rsid w:val="00805FCE"/>
    <w:rsid w:val="008064D0"/>
    <w:rsid w:val="00806BE7"/>
    <w:rsid w:val="008073B8"/>
    <w:rsid w:val="0080794C"/>
    <w:rsid w:val="00807A8B"/>
    <w:rsid w:val="00810C1A"/>
    <w:rsid w:val="00811058"/>
    <w:rsid w:val="00811383"/>
    <w:rsid w:val="00811C0D"/>
    <w:rsid w:val="00812149"/>
    <w:rsid w:val="00812773"/>
    <w:rsid w:val="00812CAC"/>
    <w:rsid w:val="00813016"/>
    <w:rsid w:val="00813B63"/>
    <w:rsid w:val="0081420C"/>
    <w:rsid w:val="008144E8"/>
    <w:rsid w:val="00814687"/>
    <w:rsid w:val="00814853"/>
    <w:rsid w:val="00814A1B"/>
    <w:rsid w:val="00814E4E"/>
    <w:rsid w:val="00815403"/>
    <w:rsid w:val="00816361"/>
    <w:rsid w:val="008166EF"/>
    <w:rsid w:val="00816F60"/>
    <w:rsid w:val="00816FEF"/>
    <w:rsid w:val="0081759C"/>
    <w:rsid w:val="00817CD5"/>
    <w:rsid w:val="00817F39"/>
    <w:rsid w:val="00820A8C"/>
    <w:rsid w:val="00820AF8"/>
    <w:rsid w:val="00820C50"/>
    <w:rsid w:val="00820D1A"/>
    <w:rsid w:val="008215FB"/>
    <w:rsid w:val="008219AA"/>
    <w:rsid w:val="00821E4B"/>
    <w:rsid w:val="008220CC"/>
    <w:rsid w:val="00823174"/>
    <w:rsid w:val="0082319B"/>
    <w:rsid w:val="00823A67"/>
    <w:rsid w:val="008240B7"/>
    <w:rsid w:val="008247CA"/>
    <w:rsid w:val="0082550A"/>
    <w:rsid w:val="00825751"/>
    <w:rsid w:val="00825ED9"/>
    <w:rsid w:val="00825FB5"/>
    <w:rsid w:val="008264EB"/>
    <w:rsid w:val="008268CE"/>
    <w:rsid w:val="00826B2B"/>
    <w:rsid w:val="008271AB"/>
    <w:rsid w:val="00827C23"/>
    <w:rsid w:val="00827C38"/>
    <w:rsid w:val="00830019"/>
    <w:rsid w:val="00830408"/>
    <w:rsid w:val="008319DB"/>
    <w:rsid w:val="00833379"/>
    <w:rsid w:val="00833810"/>
    <w:rsid w:val="00833B05"/>
    <w:rsid w:val="00834D1F"/>
    <w:rsid w:val="00835440"/>
    <w:rsid w:val="00835BEB"/>
    <w:rsid w:val="00835EA5"/>
    <w:rsid w:val="008362B4"/>
    <w:rsid w:val="008366AB"/>
    <w:rsid w:val="00836C2F"/>
    <w:rsid w:val="00836FAE"/>
    <w:rsid w:val="00836FE8"/>
    <w:rsid w:val="00837025"/>
    <w:rsid w:val="008376C5"/>
    <w:rsid w:val="00837949"/>
    <w:rsid w:val="00837990"/>
    <w:rsid w:val="00840916"/>
    <w:rsid w:val="00840CA2"/>
    <w:rsid w:val="00840D8C"/>
    <w:rsid w:val="00840D9F"/>
    <w:rsid w:val="00841C89"/>
    <w:rsid w:val="00841F64"/>
    <w:rsid w:val="008426D3"/>
    <w:rsid w:val="00842892"/>
    <w:rsid w:val="00842AD7"/>
    <w:rsid w:val="00842EE6"/>
    <w:rsid w:val="00842F7E"/>
    <w:rsid w:val="0084374F"/>
    <w:rsid w:val="008440C3"/>
    <w:rsid w:val="008449E1"/>
    <w:rsid w:val="00844A22"/>
    <w:rsid w:val="00845AE4"/>
    <w:rsid w:val="00847034"/>
    <w:rsid w:val="00847222"/>
    <w:rsid w:val="0084751C"/>
    <w:rsid w:val="00847703"/>
    <w:rsid w:val="008477EB"/>
    <w:rsid w:val="00847DF5"/>
    <w:rsid w:val="00850CEE"/>
    <w:rsid w:val="00851BE3"/>
    <w:rsid w:val="00852BD9"/>
    <w:rsid w:val="00852FE4"/>
    <w:rsid w:val="0085309D"/>
    <w:rsid w:val="00853691"/>
    <w:rsid w:val="00853C49"/>
    <w:rsid w:val="00853D8E"/>
    <w:rsid w:val="0085471E"/>
    <w:rsid w:val="00854F87"/>
    <w:rsid w:val="00855182"/>
    <w:rsid w:val="008555FE"/>
    <w:rsid w:val="00856415"/>
    <w:rsid w:val="008565D9"/>
    <w:rsid w:val="00856897"/>
    <w:rsid w:val="00856D2A"/>
    <w:rsid w:val="00856DF9"/>
    <w:rsid w:val="00856E2F"/>
    <w:rsid w:val="00856E9A"/>
    <w:rsid w:val="008573DE"/>
    <w:rsid w:val="00857FC2"/>
    <w:rsid w:val="008600DC"/>
    <w:rsid w:val="00860359"/>
    <w:rsid w:val="0086075D"/>
    <w:rsid w:val="0086087C"/>
    <w:rsid w:val="00860D69"/>
    <w:rsid w:val="008613AC"/>
    <w:rsid w:val="0086143D"/>
    <w:rsid w:val="00861B5C"/>
    <w:rsid w:val="00861E11"/>
    <w:rsid w:val="00862502"/>
    <w:rsid w:val="00862890"/>
    <w:rsid w:val="008628B1"/>
    <w:rsid w:val="008628C9"/>
    <w:rsid w:val="00862B5C"/>
    <w:rsid w:val="00862CC1"/>
    <w:rsid w:val="0086370A"/>
    <w:rsid w:val="0086387D"/>
    <w:rsid w:val="00863AB0"/>
    <w:rsid w:val="00863F02"/>
    <w:rsid w:val="008642A7"/>
    <w:rsid w:val="008643D4"/>
    <w:rsid w:val="00864502"/>
    <w:rsid w:val="00864ACE"/>
    <w:rsid w:val="00864B42"/>
    <w:rsid w:val="00864B45"/>
    <w:rsid w:val="00865033"/>
    <w:rsid w:val="00866032"/>
    <w:rsid w:val="008660D4"/>
    <w:rsid w:val="00866DF3"/>
    <w:rsid w:val="00866F89"/>
    <w:rsid w:val="00867063"/>
    <w:rsid w:val="0087004C"/>
    <w:rsid w:val="00870FCF"/>
    <w:rsid w:val="00871B98"/>
    <w:rsid w:val="00871FA9"/>
    <w:rsid w:val="00872309"/>
    <w:rsid w:val="008728E9"/>
    <w:rsid w:val="00872E7D"/>
    <w:rsid w:val="008732FB"/>
    <w:rsid w:val="0087387A"/>
    <w:rsid w:val="00874199"/>
    <w:rsid w:val="00875C83"/>
    <w:rsid w:val="00876A72"/>
    <w:rsid w:val="00876E86"/>
    <w:rsid w:val="0087711E"/>
    <w:rsid w:val="00877E57"/>
    <w:rsid w:val="00880477"/>
    <w:rsid w:val="00881494"/>
    <w:rsid w:val="00881496"/>
    <w:rsid w:val="008819DF"/>
    <w:rsid w:val="00881BE6"/>
    <w:rsid w:val="00881C04"/>
    <w:rsid w:val="008824DB"/>
    <w:rsid w:val="00882874"/>
    <w:rsid w:val="00882916"/>
    <w:rsid w:val="00882DBC"/>
    <w:rsid w:val="00882E3C"/>
    <w:rsid w:val="0088308A"/>
    <w:rsid w:val="00883716"/>
    <w:rsid w:val="00883787"/>
    <w:rsid w:val="00883BCD"/>
    <w:rsid w:val="00883DE7"/>
    <w:rsid w:val="00883F4A"/>
    <w:rsid w:val="00884590"/>
    <w:rsid w:val="00884724"/>
    <w:rsid w:val="00884884"/>
    <w:rsid w:val="008855E4"/>
    <w:rsid w:val="00885B30"/>
    <w:rsid w:val="00885F52"/>
    <w:rsid w:val="00885F9A"/>
    <w:rsid w:val="00886CD2"/>
    <w:rsid w:val="00887CB9"/>
    <w:rsid w:val="00887EC4"/>
    <w:rsid w:val="008910AF"/>
    <w:rsid w:val="008910B7"/>
    <w:rsid w:val="00891314"/>
    <w:rsid w:val="00891E1B"/>
    <w:rsid w:val="00891E6F"/>
    <w:rsid w:val="00892063"/>
    <w:rsid w:val="008920A1"/>
    <w:rsid w:val="00892451"/>
    <w:rsid w:val="00892669"/>
    <w:rsid w:val="0089275D"/>
    <w:rsid w:val="00892782"/>
    <w:rsid w:val="00892A36"/>
    <w:rsid w:val="0089322E"/>
    <w:rsid w:val="00893239"/>
    <w:rsid w:val="008935EB"/>
    <w:rsid w:val="00894489"/>
    <w:rsid w:val="00894CAF"/>
    <w:rsid w:val="00894CD6"/>
    <w:rsid w:val="008961EE"/>
    <w:rsid w:val="00896244"/>
    <w:rsid w:val="008963A5"/>
    <w:rsid w:val="008966FF"/>
    <w:rsid w:val="00896A7A"/>
    <w:rsid w:val="00896D5D"/>
    <w:rsid w:val="00896FBC"/>
    <w:rsid w:val="00897143"/>
    <w:rsid w:val="008A12E8"/>
    <w:rsid w:val="008A1F8D"/>
    <w:rsid w:val="008A1FF5"/>
    <w:rsid w:val="008A25CB"/>
    <w:rsid w:val="008A26D3"/>
    <w:rsid w:val="008A2F50"/>
    <w:rsid w:val="008A3158"/>
    <w:rsid w:val="008A3363"/>
    <w:rsid w:val="008A3371"/>
    <w:rsid w:val="008A35FF"/>
    <w:rsid w:val="008A3C3E"/>
    <w:rsid w:val="008A49D4"/>
    <w:rsid w:val="008A5136"/>
    <w:rsid w:val="008A5569"/>
    <w:rsid w:val="008A64C5"/>
    <w:rsid w:val="008A7142"/>
    <w:rsid w:val="008A71E8"/>
    <w:rsid w:val="008A738D"/>
    <w:rsid w:val="008A7953"/>
    <w:rsid w:val="008A79DE"/>
    <w:rsid w:val="008A7A5B"/>
    <w:rsid w:val="008A7C03"/>
    <w:rsid w:val="008B1757"/>
    <w:rsid w:val="008B183E"/>
    <w:rsid w:val="008B1B46"/>
    <w:rsid w:val="008B1C33"/>
    <w:rsid w:val="008B2011"/>
    <w:rsid w:val="008B2341"/>
    <w:rsid w:val="008B3120"/>
    <w:rsid w:val="008B31DB"/>
    <w:rsid w:val="008B31F5"/>
    <w:rsid w:val="008B33E3"/>
    <w:rsid w:val="008B342C"/>
    <w:rsid w:val="008B37CD"/>
    <w:rsid w:val="008B38AF"/>
    <w:rsid w:val="008B3E06"/>
    <w:rsid w:val="008B42CB"/>
    <w:rsid w:val="008B4A37"/>
    <w:rsid w:val="008B4B6F"/>
    <w:rsid w:val="008B5BA5"/>
    <w:rsid w:val="008B6F8B"/>
    <w:rsid w:val="008B71BA"/>
    <w:rsid w:val="008B77A6"/>
    <w:rsid w:val="008B7992"/>
    <w:rsid w:val="008B7D7E"/>
    <w:rsid w:val="008B7F7B"/>
    <w:rsid w:val="008C0018"/>
    <w:rsid w:val="008C1E6F"/>
    <w:rsid w:val="008C2FE1"/>
    <w:rsid w:val="008C3BCE"/>
    <w:rsid w:val="008C3E14"/>
    <w:rsid w:val="008C49DB"/>
    <w:rsid w:val="008C4D9B"/>
    <w:rsid w:val="008C5103"/>
    <w:rsid w:val="008C5576"/>
    <w:rsid w:val="008C5610"/>
    <w:rsid w:val="008C5739"/>
    <w:rsid w:val="008C6742"/>
    <w:rsid w:val="008C7282"/>
    <w:rsid w:val="008C7C9D"/>
    <w:rsid w:val="008C7ECB"/>
    <w:rsid w:val="008D05D1"/>
    <w:rsid w:val="008D07B9"/>
    <w:rsid w:val="008D0998"/>
    <w:rsid w:val="008D0CB9"/>
    <w:rsid w:val="008D11C9"/>
    <w:rsid w:val="008D2E59"/>
    <w:rsid w:val="008D318F"/>
    <w:rsid w:val="008D385E"/>
    <w:rsid w:val="008D399E"/>
    <w:rsid w:val="008D3AB9"/>
    <w:rsid w:val="008D3B86"/>
    <w:rsid w:val="008D3D46"/>
    <w:rsid w:val="008D3E52"/>
    <w:rsid w:val="008D43FD"/>
    <w:rsid w:val="008D4755"/>
    <w:rsid w:val="008D4BA1"/>
    <w:rsid w:val="008D4C3D"/>
    <w:rsid w:val="008D5884"/>
    <w:rsid w:val="008D63EF"/>
    <w:rsid w:val="008D6526"/>
    <w:rsid w:val="008D67A7"/>
    <w:rsid w:val="008D6DD9"/>
    <w:rsid w:val="008D743C"/>
    <w:rsid w:val="008D74DF"/>
    <w:rsid w:val="008D7B92"/>
    <w:rsid w:val="008E0D3C"/>
    <w:rsid w:val="008E15C2"/>
    <w:rsid w:val="008E1A43"/>
    <w:rsid w:val="008E1B9E"/>
    <w:rsid w:val="008E1D68"/>
    <w:rsid w:val="008E20FB"/>
    <w:rsid w:val="008E278A"/>
    <w:rsid w:val="008E2A7D"/>
    <w:rsid w:val="008E3321"/>
    <w:rsid w:val="008E341D"/>
    <w:rsid w:val="008E4CE0"/>
    <w:rsid w:val="008E55AB"/>
    <w:rsid w:val="008E5708"/>
    <w:rsid w:val="008E6DC8"/>
    <w:rsid w:val="008E7162"/>
    <w:rsid w:val="008E7224"/>
    <w:rsid w:val="008E7574"/>
    <w:rsid w:val="008E7716"/>
    <w:rsid w:val="008E778D"/>
    <w:rsid w:val="008E780C"/>
    <w:rsid w:val="008E7F78"/>
    <w:rsid w:val="008F05FC"/>
    <w:rsid w:val="008F091F"/>
    <w:rsid w:val="008F1029"/>
    <w:rsid w:val="008F10AF"/>
    <w:rsid w:val="008F1198"/>
    <w:rsid w:val="008F120A"/>
    <w:rsid w:val="008F13DC"/>
    <w:rsid w:val="008F15CE"/>
    <w:rsid w:val="008F2623"/>
    <w:rsid w:val="008F2635"/>
    <w:rsid w:val="008F27E0"/>
    <w:rsid w:val="008F285D"/>
    <w:rsid w:val="008F36EB"/>
    <w:rsid w:val="008F48EB"/>
    <w:rsid w:val="008F4F0B"/>
    <w:rsid w:val="008F5B26"/>
    <w:rsid w:val="008F5DBC"/>
    <w:rsid w:val="008F603D"/>
    <w:rsid w:val="008F6B4A"/>
    <w:rsid w:val="008F725A"/>
    <w:rsid w:val="008F7CCD"/>
    <w:rsid w:val="008F7D31"/>
    <w:rsid w:val="009004FA"/>
    <w:rsid w:val="00900526"/>
    <w:rsid w:val="0090069B"/>
    <w:rsid w:val="0090128B"/>
    <w:rsid w:val="009019D4"/>
    <w:rsid w:val="00901D1D"/>
    <w:rsid w:val="009020ED"/>
    <w:rsid w:val="00902C27"/>
    <w:rsid w:val="009035BA"/>
    <w:rsid w:val="009037E9"/>
    <w:rsid w:val="00903815"/>
    <w:rsid w:val="00903DD1"/>
    <w:rsid w:val="0090425A"/>
    <w:rsid w:val="00904405"/>
    <w:rsid w:val="0090440E"/>
    <w:rsid w:val="009046C4"/>
    <w:rsid w:val="00904E6B"/>
    <w:rsid w:val="00904F4F"/>
    <w:rsid w:val="0090591B"/>
    <w:rsid w:val="009062A5"/>
    <w:rsid w:val="0090644F"/>
    <w:rsid w:val="009065C2"/>
    <w:rsid w:val="00907699"/>
    <w:rsid w:val="009077E9"/>
    <w:rsid w:val="00907D7C"/>
    <w:rsid w:val="00910222"/>
    <w:rsid w:val="00910591"/>
    <w:rsid w:val="00910705"/>
    <w:rsid w:val="00910ACE"/>
    <w:rsid w:val="00910B3E"/>
    <w:rsid w:val="00910FA7"/>
    <w:rsid w:val="00910FD8"/>
    <w:rsid w:val="00911272"/>
    <w:rsid w:val="00911339"/>
    <w:rsid w:val="00911D07"/>
    <w:rsid w:val="00911EEC"/>
    <w:rsid w:val="00912581"/>
    <w:rsid w:val="009125AE"/>
    <w:rsid w:val="00912AE6"/>
    <w:rsid w:val="009135D6"/>
    <w:rsid w:val="00913BA2"/>
    <w:rsid w:val="00913CA7"/>
    <w:rsid w:val="009140AB"/>
    <w:rsid w:val="0091416C"/>
    <w:rsid w:val="00914A29"/>
    <w:rsid w:val="00914C77"/>
    <w:rsid w:val="0091567F"/>
    <w:rsid w:val="00916A51"/>
    <w:rsid w:val="009172CB"/>
    <w:rsid w:val="00917C6C"/>
    <w:rsid w:val="00920060"/>
    <w:rsid w:val="00920AC2"/>
    <w:rsid w:val="009210EE"/>
    <w:rsid w:val="00921274"/>
    <w:rsid w:val="009219D6"/>
    <w:rsid w:val="00921ACB"/>
    <w:rsid w:val="009229FB"/>
    <w:rsid w:val="00922D3C"/>
    <w:rsid w:val="00922EA8"/>
    <w:rsid w:val="00923243"/>
    <w:rsid w:val="0092369B"/>
    <w:rsid w:val="00923B5E"/>
    <w:rsid w:val="0092476C"/>
    <w:rsid w:val="00925AD7"/>
    <w:rsid w:val="00925C00"/>
    <w:rsid w:val="00926447"/>
    <w:rsid w:val="00926663"/>
    <w:rsid w:val="009268EB"/>
    <w:rsid w:val="00927BFE"/>
    <w:rsid w:val="0093066D"/>
    <w:rsid w:val="00930D4C"/>
    <w:rsid w:val="00931B74"/>
    <w:rsid w:val="00931CAE"/>
    <w:rsid w:val="00931DD7"/>
    <w:rsid w:val="00931EE0"/>
    <w:rsid w:val="00932B03"/>
    <w:rsid w:val="00932E92"/>
    <w:rsid w:val="00932EA5"/>
    <w:rsid w:val="00934988"/>
    <w:rsid w:val="00936045"/>
    <w:rsid w:val="0093623E"/>
    <w:rsid w:val="00936405"/>
    <w:rsid w:val="00936552"/>
    <w:rsid w:val="00936768"/>
    <w:rsid w:val="00937089"/>
    <w:rsid w:val="00937640"/>
    <w:rsid w:val="009378C9"/>
    <w:rsid w:val="009407C1"/>
    <w:rsid w:val="00940895"/>
    <w:rsid w:val="009409A4"/>
    <w:rsid w:val="00940AB4"/>
    <w:rsid w:val="00940C8B"/>
    <w:rsid w:val="00941244"/>
    <w:rsid w:val="009415A8"/>
    <w:rsid w:val="0094166C"/>
    <w:rsid w:val="00941FB7"/>
    <w:rsid w:val="009425F8"/>
    <w:rsid w:val="00944AD0"/>
    <w:rsid w:val="00944F8A"/>
    <w:rsid w:val="00945872"/>
    <w:rsid w:val="009465C4"/>
    <w:rsid w:val="009465E2"/>
    <w:rsid w:val="009466C7"/>
    <w:rsid w:val="009467B4"/>
    <w:rsid w:val="009467DE"/>
    <w:rsid w:val="00946A97"/>
    <w:rsid w:val="00946BD2"/>
    <w:rsid w:val="009479F2"/>
    <w:rsid w:val="00950716"/>
    <w:rsid w:val="00950890"/>
    <w:rsid w:val="009508ED"/>
    <w:rsid w:val="009510A2"/>
    <w:rsid w:val="009511AF"/>
    <w:rsid w:val="00952BFA"/>
    <w:rsid w:val="00953257"/>
    <w:rsid w:val="00953927"/>
    <w:rsid w:val="00953C39"/>
    <w:rsid w:val="00954658"/>
    <w:rsid w:val="0095474C"/>
    <w:rsid w:val="00954830"/>
    <w:rsid w:val="00955446"/>
    <w:rsid w:val="009558E2"/>
    <w:rsid w:val="00955C4B"/>
    <w:rsid w:val="00955EBE"/>
    <w:rsid w:val="00956338"/>
    <w:rsid w:val="00957910"/>
    <w:rsid w:val="00957D92"/>
    <w:rsid w:val="00961850"/>
    <w:rsid w:val="009618BD"/>
    <w:rsid w:val="00961E8E"/>
    <w:rsid w:val="00961EDA"/>
    <w:rsid w:val="009627AF"/>
    <w:rsid w:val="00962852"/>
    <w:rsid w:val="009629BA"/>
    <w:rsid w:val="00962CB9"/>
    <w:rsid w:val="00964312"/>
    <w:rsid w:val="00964C8E"/>
    <w:rsid w:val="00965B8A"/>
    <w:rsid w:val="00965BB4"/>
    <w:rsid w:val="00966066"/>
    <w:rsid w:val="00966999"/>
    <w:rsid w:val="00970526"/>
    <w:rsid w:val="0097071F"/>
    <w:rsid w:val="0097077E"/>
    <w:rsid w:val="00970946"/>
    <w:rsid w:val="00970C50"/>
    <w:rsid w:val="009711E2"/>
    <w:rsid w:val="009717AC"/>
    <w:rsid w:val="009719B1"/>
    <w:rsid w:val="009720C9"/>
    <w:rsid w:val="009728CD"/>
    <w:rsid w:val="00972913"/>
    <w:rsid w:val="009729B8"/>
    <w:rsid w:val="00973604"/>
    <w:rsid w:val="00973664"/>
    <w:rsid w:val="009737AF"/>
    <w:rsid w:val="009737B3"/>
    <w:rsid w:val="00973AA7"/>
    <w:rsid w:val="00973E34"/>
    <w:rsid w:val="0097483A"/>
    <w:rsid w:val="009751C1"/>
    <w:rsid w:val="00975562"/>
    <w:rsid w:val="00975736"/>
    <w:rsid w:val="009757CD"/>
    <w:rsid w:val="00975A9C"/>
    <w:rsid w:val="00976434"/>
    <w:rsid w:val="00976EEF"/>
    <w:rsid w:val="009770F0"/>
    <w:rsid w:val="0097786B"/>
    <w:rsid w:val="00977B27"/>
    <w:rsid w:val="009803DB"/>
    <w:rsid w:val="00980920"/>
    <w:rsid w:val="0098103C"/>
    <w:rsid w:val="009811F1"/>
    <w:rsid w:val="009819C0"/>
    <w:rsid w:val="009823C3"/>
    <w:rsid w:val="009823F6"/>
    <w:rsid w:val="00982466"/>
    <w:rsid w:val="0098268C"/>
    <w:rsid w:val="00982DCA"/>
    <w:rsid w:val="009836AA"/>
    <w:rsid w:val="00983851"/>
    <w:rsid w:val="00983E57"/>
    <w:rsid w:val="00983E85"/>
    <w:rsid w:val="009852F2"/>
    <w:rsid w:val="00985BC9"/>
    <w:rsid w:val="00985C43"/>
    <w:rsid w:val="00985DE2"/>
    <w:rsid w:val="0098675D"/>
    <w:rsid w:val="0098714A"/>
    <w:rsid w:val="00987BA4"/>
    <w:rsid w:val="00990B04"/>
    <w:rsid w:val="00991022"/>
    <w:rsid w:val="00991928"/>
    <w:rsid w:val="00991BBF"/>
    <w:rsid w:val="00992455"/>
    <w:rsid w:val="009926E0"/>
    <w:rsid w:val="00993109"/>
    <w:rsid w:val="0099323B"/>
    <w:rsid w:val="009936F8"/>
    <w:rsid w:val="0099451E"/>
    <w:rsid w:val="009949AB"/>
    <w:rsid w:val="009950BB"/>
    <w:rsid w:val="00995E97"/>
    <w:rsid w:val="0099648B"/>
    <w:rsid w:val="009966E1"/>
    <w:rsid w:val="00996B1A"/>
    <w:rsid w:val="009971C2"/>
    <w:rsid w:val="009972EB"/>
    <w:rsid w:val="009A0EF4"/>
    <w:rsid w:val="009A1342"/>
    <w:rsid w:val="009A1444"/>
    <w:rsid w:val="009A18F6"/>
    <w:rsid w:val="009A202A"/>
    <w:rsid w:val="009A20A7"/>
    <w:rsid w:val="009A2D9B"/>
    <w:rsid w:val="009A2DCC"/>
    <w:rsid w:val="009A33D5"/>
    <w:rsid w:val="009A3A52"/>
    <w:rsid w:val="009A47A9"/>
    <w:rsid w:val="009A4984"/>
    <w:rsid w:val="009A49BD"/>
    <w:rsid w:val="009A51C4"/>
    <w:rsid w:val="009A51D6"/>
    <w:rsid w:val="009A5638"/>
    <w:rsid w:val="009A582E"/>
    <w:rsid w:val="009A585D"/>
    <w:rsid w:val="009A5ABC"/>
    <w:rsid w:val="009A5DDE"/>
    <w:rsid w:val="009A5FF4"/>
    <w:rsid w:val="009A61EA"/>
    <w:rsid w:val="009A6267"/>
    <w:rsid w:val="009A6814"/>
    <w:rsid w:val="009A6991"/>
    <w:rsid w:val="009A6AD9"/>
    <w:rsid w:val="009A6E37"/>
    <w:rsid w:val="009A7258"/>
    <w:rsid w:val="009A7CCC"/>
    <w:rsid w:val="009A7F10"/>
    <w:rsid w:val="009B050A"/>
    <w:rsid w:val="009B052E"/>
    <w:rsid w:val="009B212B"/>
    <w:rsid w:val="009B21A9"/>
    <w:rsid w:val="009B359F"/>
    <w:rsid w:val="009B3767"/>
    <w:rsid w:val="009B37B3"/>
    <w:rsid w:val="009B3E26"/>
    <w:rsid w:val="009B4621"/>
    <w:rsid w:val="009B490D"/>
    <w:rsid w:val="009B562B"/>
    <w:rsid w:val="009B5973"/>
    <w:rsid w:val="009B7776"/>
    <w:rsid w:val="009B7FF2"/>
    <w:rsid w:val="009C1271"/>
    <w:rsid w:val="009C1DCD"/>
    <w:rsid w:val="009C1F2A"/>
    <w:rsid w:val="009C232A"/>
    <w:rsid w:val="009C2C85"/>
    <w:rsid w:val="009C3706"/>
    <w:rsid w:val="009C37B7"/>
    <w:rsid w:val="009C3A3A"/>
    <w:rsid w:val="009C3C8F"/>
    <w:rsid w:val="009C3E07"/>
    <w:rsid w:val="009C4673"/>
    <w:rsid w:val="009C49C2"/>
    <w:rsid w:val="009C4C2F"/>
    <w:rsid w:val="009C4C57"/>
    <w:rsid w:val="009C6CBC"/>
    <w:rsid w:val="009C6CEA"/>
    <w:rsid w:val="009C75EE"/>
    <w:rsid w:val="009C7B85"/>
    <w:rsid w:val="009D0254"/>
    <w:rsid w:val="009D0258"/>
    <w:rsid w:val="009D04DE"/>
    <w:rsid w:val="009D1A64"/>
    <w:rsid w:val="009D1BE6"/>
    <w:rsid w:val="009D1C76"/>
    <w:rsid w:val="009D2A2D"/>
    <w:rsid w:val="009D3BFB"/>
    <w:rsid w:val="009D4198"/>
    <w:rsid w:val="009D4310"/>
    <w:rsid w:val="009D4658"/>
    <w:rsid w:val="009D4BD0"/>
    <w:rsid w:val="009D4F90"/>
    <w:rsid w:val="009D5223"/>
    <w:rsid w:val="009D5B91"/>
    <w:rsid w:val="009D5CAB"/>
    <w:rsid w:val="009D5DEF"/>
    <w:rsid w:val="009D609F"/>
    <w:rsid w:val="009D75C6"/>
    <w:rsid w:val="009D792E"/>
    <w:rsid w:val="009D7B8A"/>
    <w:rsid w:val="009D7BC8"/>
    <w:rsid w:val="009E0091"/>
    <w:rsid w:val="009E08A2"/>
    <w:rsid w:val="009E0DFE"/>
    <w:rsid w:val="009E1535"/>
    <w:rsid w:val="009E1A54"/>
    <w:rsid w:val="009E1D1C"/>
    <w:rsid w:val="009E21AB"/>
    <w:rsid w:val="009E2756"/>
    <w:rsid w:val="009E31F6"/>
    <w:rsid w:val="009E402C"/>
    <w:rsid w:val="009E45D3"/>
    <w:rsid w:val="009E48DB"/>
    <w:rsid w:val="009E4C07"/>
    <w:rsid w:val="009E4F19"/>
    <w:rsid w:val="009E59D2"/>
    <w:rsid w:val="009E5F06"/>
    <w:rsid w:val="009E6402"/>
    <w:rsid w:val="009E6607"/>
    <w:rsid w:val="009E76F0"/>
    <w:rsid w:val="009E777F"/>
    <w:rsid w:val="009E7B3C"/>
    <w:rsid w:val="009F1398"/>
    <w:rsid w:val="009F1C2E"/>
    <w:rsid w:val="009F1FB9"/>
    <w:rsid w:val="009F2CF0"/>
    <w:rsid w:val="009F3B68"/>
    <w:rsid w:val="009F3C53"/>
    <w:rsid w:val="009F45B1"/>
    <w:rsid w:val="009F4CC6"/>
    <w:rsid w:val="009F4D77"/>
    <w:rsid w:val="009F518B"/>
    <w:rsid w:val="009F6120"/>
    <w:rsid w:val="009F6CF1"/>
    <w:rsid w:val="009F6DB0"/>
    <w:rsid w:val="009F749F"/>
    <w:rsid w:val="009F771A"/>
    <w:rsid w:val="009F786F"/>
    <w:rsid w:val="00A007D5"/>
    <w:rsid w:val="00A00A29"/>
    <w:rsid w:val="00A00D76"/>
    <w:rsid w:val="00A01184"/>
    <w:rsid w:val="00A01449"/>
    <w:rsid w:val="00A014CE"/>
    <w:rsid w:val="00A020F7"/>
    <w:rsid w:val="00A0299F"/>
    <w:rsid w:val="00A03370"/>
    <w:rsid w:val="00A033BA"/>
    <w:rsid w:val="00A037C2"/>
    <w:rsid w:val="00A03D43"/>
    <w:rsid w:val="00A03F96"/>
    <w:rsid w:val="00A04380"/>
    <w:rsid w:val="00A04786"/>
    <w:rsid w:val="00A053FF"/>
    <w:rsid w:val="00A05472"/>
    <w:rsid w:val="00A05721"/>
    <w:rsid w:val="00A05951"/>
    <w:rsid w:val="00A05C32"/>
    <w:rsid w:val="00A05E91"/>
    <w:rsid w:val="00A06375"/>
    <w:rsid w:val="00A0653F"/>
    <w:rsid w:val="00A06729"/>
    <w:rsid w:val="00A07246"/>
    <w:rsid w:val="00A1077D"/>
    <w:rsid w:val="00A107E2"/>
    <w:rsid w:val="00A119E5"/>
    <w:rsid w:val="00A11CD0"/>
    <w:rsid w:val="00A11F3A"/>
    <w:rsid w:val="00A1277C"/>
    <w:rsid w:val="00A1280D"/>
    <w:rsid w:val="00A12E10"/>
    <w:rsid w:val="00A138A8"/>
    <w:rsid w:val="00A13948"/>
    <w:rsid w:val="00A14D4C"/>
    <w:rsid w:val="00A1555B"/>
    <w:rsid w:val="00A155C5"/>
    <w:rsid w:val="00A169C3"/>
    <w:rsid w:val="00A16AD8"/>
    <w:rsid w:val="00A16C63"/>
    <w:rsid w:val="00A16D4A"/>
    <w:rsid w:val="00A17A10"/>
    <w:rsid w:val="00A200F9"/>
    <w:rsid w:val="00A2021E"/>
    <w:rsid w:val="00A205D3"/>
    <w:rsid w:val="00A20627"/>
    <w:rsid w:val="00A207A6"/>
    <w:rsid w:val="00A20A89"/>
    <w:rsid w:val="00A20DB1"/>
    <w:rsid w:val="00A211AD"/>
    <w:rsid w:val="00A213CC"/>
    <w:rsid w:val="00A2187C"/>
    <w:rsid w:val="00A21C95"/>
    <w:rsid w:val="00A21CF3"/>
    <w:rsid w:val="00A22217"/>
    <w:rsid w:val="00A22510"/>
    <w:rsid w:val="00A22644"/>
    <w:rsid w:val="00A22E99"/>
    <w:rsid w:val="00A23D63"/>
    <w:rsid w:val="00A23DA0"/>
    <w:rsid w:val="00A2417E"/>
    <w:rsid w:val="00A242B3"/>
    <w:rsid w:val="00A24421"/>
    <w:rsid w:val="00A24813"/>
    <w:rsid w:val="00A24A25"/>
    <w:rsid w:val="00A26015"/>
    <w:rsid w:val="00A27100"/>
    <w:rsid w:val="00A27AEC"/>
    <w:rsid w:val="00A300AD"/>
    <w:rsid w:val="00A3088E"/>
    <w:rsid w:val="00A309F8"/>
    <w:rsid w:val="00A30D29"/>
    <w:rsid w:val="00A3197D"/>
    <w:rsid w:val="00A319AF"/>
    <w:rsid w:val="00A320DB"/>
    <w:rsid w:val="00A325E1"/>
    <w:rsid w:val="00A33A1B"/>
    <w:rsid w:val="00A33CF9"/>
    <w:rsid w:val="00A33D88"/>
    <w:rsid w:val="00A3449B"/>
    <w:rsid w:val="00A34AAC"/>
    <w:rsid w:val="00A359E3"/>
    <w:rsid w:val="00A35D16"/>
    <w:rsid w:val="00A36A52"/>
    <w:rsid w:val="00A37527"/>
    <w:rsid w:val="00A37BCD"/>
    <w:rsid w:val="00A40130"/>
    <w:rsid w:val="00A4041D"/>
    <w:rsid w:val="00A406A8"/>
    <w:rsid w:val="00A40AC4"/>
    <w:rsid w:val="00A41689"/>
    <w:rsid w:val="00A42302"/>
    <w:rsid w:val="00A42592"/>
    <w:rsid w:val="00A42B05"/>
    <w:rsid w:val="00A4301F"/>
    <w:rsid w:val="00A4358F"/>
    <w:rsid w:val="00A43C3F"/>
    <w:rsid w:val="00A43C59"/>
    <w:rsid w:val="00A43D12"/>
    <w:rsid w:val="00A43E1D"/>
    <w:rsid w:val="00A44FEE"/>
    <w:rsid w:val="00A451D3"/>
    <w:rsid w:val="00A465D6"/>
    <w:rsid w:val="00A4661C"/>
    <w:rsid w:val="00A46B54"/>
    <w:rsid w:val="00A47490"/>
    <w:rsid w:val="00A47B95"/>
    <w:rsid w:val="00A50ECD"/>
    <w:rsid w:val="00A511C7"/>
    <w:rsid w:val="00A51495"/>
    <w:rsid w:val="00A518F3"/>
    <w:rsid w:val="00A526AB"/>
    <w:rsid w:val="00A52729"/>
    <w:rsid w:val="00A53675"/>
    <w:rsid w:val="00A5456E"/>
    <w:rsid w:val="00A548C2"/>
    <w:rsid w:val="00A549DF"/>
    <w:rsid w:val="00A54B1C"/>
    <w:rsid w:val="00A5533E"/>
    <w:rsid w:val="00A55658"/>
    <w:rsid w:val="00A5569F"/>
    <w:rsid w:val="00A55A9A"/>
    <w:rsid w:val="00A564D7"/>
    <w:rsid w:val="00A569FF"/>
    <w:rsid w:val="00A56B6A"/>
    <w:rsid w:val="00A56EDE"/>
    <w:rsid w:val="00A57324"/>
    <w:rsid w:val="00A578DC"/>
    <w:rsid w:val="00A600AC"/>
    <w:rsid w:val="00A605E8"/>
    <w:rsid w:val="00A608FA"/>
    <w:rsid w:val="00A60A0F"/>
    <w:rsid w:val="00A60E22"/>
    <w:rsid w:val="00A61711"/>
    <w:rsid w:val="00A62084"/>
    <w:rsid w:val="00A62804"/>
    <w:rsid w:val="00A62A72"/>
    <w:rsid w:val="00A63445"/>
    <w:rsid w:val="00A63865"/>
    <w:rsid w:val="00A63D08"/>
    <w:rsid w:val="00A640E2"/>
    <w:rsid w:val="00A64D65"/>
    <w:rsid w:val="00A6725B"/>
    <w:rsid w:val="00A67B76"/>
    <w:rsid w:val="00A70605"/>
    <w:rsid w:val="00A70911"/>
    <w:rsid w:val="00A719E6"/>
    <w:rsid w:val="00A71E39"/>
    <w:rsid w:val="00A73134"/>
    <w:rsid w:val="00A7365A"/>
    <w:rsid w:val="00A73815"/>
    <w:rsid w:val="00A73F26"/>
    <w:rsid w:val="00A741AB"/>
    <w:rsid w:val="00A7513F"/>
    <w:rsid w:val="00A76001"/>
    <w:rsid w:val="00A77633"/>
    <w:rsid w:val="00A776FC"/>
    <w:rsid w:val="00A777B2"/>
    <w:rsid w:val="00A77C44"/>
    <w:rsid w:val="00A806F8"/>
    <w:rsid w:val="00A80EF2"/>
    <w:rsid w:val="00A81F9E"/>
    <w:rsid w:val="00A825D4"/>
    <w:rsid w:val="00A828D1"/>
    <w:rsid w:val="00A828F6"/>
    <w:rsid w:val="00A82B73"/>
    <w:rsid w:val="00A82BCE"/>
    <w:rsid w:val="00A82F93"/>
    <w:rsid w:val="00A8382F"/>
    <w:rsid w:val="00A83A81"/>
    <w:rsid w:val="00A8463B"/>
    <w:rsid w:val="00A85DFD"/>
    <w:rsid w:val="00A8635C"/>
    <w:rsid w:val="00A86E8B"/>
    <w:rsid w:val="00A870DE"/>
    <w:rsid w:val="00A87164"/>
    <w:rsid w:val="00A871A9"/>
    <w:rsid w:val="00A90C87"/>
    <w:rsid w:val="00A917F5"/>
    <w:rsid w:val="00A91A0D"/>
    <w:rsid w:val="00A928C6"/>
    <w:rsid w:val="00A93072"/>
    <w:rsid w:val="00A93287"/>
    <w:rsid w:val="00A93589"/>
    <w:rsid w:val="00A938BD"/>
    <w:rsid w:val="00A93953"/>
    <w:rsid w:val="00A93C2D"/>
    <w:rsid w:val="00A94A37"/>
    <w:rsid w:val="00A95085"/>
    <w:rsid w:val="00A959D8"/>
    <w:rsid w:val="00A95D34"/>
    <w:rsid w:val="00A95E93"/>
    <w:rsid w:val="00A9625C"/>
    <w:rsid w:val="00A96478"/>
    <w:rsid w:val="00A96893"/>
    <w:rsid w:val="00A97CB2"/>
    <w:rsid w:val="00AA018F"/>
    <w:rsid w:val="00AA043C"/>
    <w:rsid w:val="00AA04BB"/>
    <w:rsid w:val="00AA08AA"/>
    <w:rsid w:val="00AA113D"/>
    <w:rsid w:val="00AA1511"/>
    <w:rsid w:val="00AA161F"/>
    <w:rsid w:val="00AA18BA"/>
    <w:rsid w:val="00AA1BC3"/>
    <w:rsid w:val="00AA216C"/>
    <w:rsid w:val="00AA276A"/>
    <w:rsid w:val="00AA2D3A"/>
    <w:rsid w:val="00AA3043"/>
    <w:rsid w:val="00AA3998"/>
    <w:rsid w:val="00AA39AA"/>
    <w:rsid w:val="00AA487A"/>
    <w:rsid w:val="00AA48BC"/>
    <w:rsid w:val="00AA4E3C"/>
    <w:rsid w:val="00AA5555"/>
    <w:rsid w:val="00AA63BD"/>
    <w:rsid w:val="00AA63E4"/>
    <w:rsid w:val="00AA6875"/>
    <w:rsid w:val="00AA6BD5"/>
    <w:rsid w:val="00AA6BD8"/>
    <w:rsid w:val="00AA6C7D"/>
    <w:rsid w:val="00AA70D7"/>
    <w:rsid w:val="00AA7482"/>
    <w:rsid w:val="00AA75C1"/>
    <w:rsid w:val="00AA77C1"/>
    <w:rsid w:val="00AA79E1"/>
    <w:rsid w:val="00AA7FD6"/>
    <w:rsid w:val="00AB042A"/>
    <w:rsid w:val="00AB0A5A"/>
    <w:rsid w:val="00AB0CC1"/>
    <w:rsid w:val="00AB11AD"/>
    <w:rsid w:val="00AB1227"/>
    <w:rsid w:val="00AB19EF"/>
    <w:rsid w:val="00AB2495"/>
    <w:rsid w:val="00AB2D27"/>
    <w:rsid w:val="00AB2D34"/>
    <w:rsid w:val="00AB3430"/>
    <w:rsid w:val="00AB37B9"/>
    <w:rsid w:val="00AB46A1"/>
    <w:rsid w:val="00AB472D"/>
    <w:rsid w:val="00AB4AD1"/>
    <w:rsid w:val="00AB51BB"/>
    <w:rsid w:val="00AB537F"/>
    <w:rsid w:val="00AB5AEB"/>
    <w:rsid w:val="00AB5E07"/>
    <w:rsid w:val="00AB6A31"/>
    <w:rsid w:val="00AB6AC1"/>
    <w:rsid w:val="00AB7CFA"/>
    <w:rsid w:val="00AC044C"/>
    <w:rsid w:val="00AC0A68"/>
    <w:rsid w:val="00AC136C"/>
    <w:rsid w:val="00AC1376"/>
    <w:rsid w:val="00AC17C4"/>
    <w:rsid w:val="00AC1D07"/>
    <w:rsid w:val="00AC1E8B"/>
    <w:rsid w:val="00AC1F94"/>
    <w:rsid w:val="00AC2400"/>
    <w:rsid w:val="00AC3061"/>
    <w:rsid w:val="00AC3CC1"/>
    <w:rsid w:val="00AC587B"/>
    <w:rsid w:val="00AC5B42"/>
    <w:rsid w:val="00AC5B48"/>
    <w:rsid w:val="00AC6DC2"/>
    <w:rsid w:val="00AC7024"/>
    <w:rsid w:val="00AC7225"/>
    <w:rsid w:val="00AC79F5"/>
    <w:rsid w:val="00AC7E09"/>
    <w:rsid w:val="00AD07B1"/>
    <w:rsid w:val="00AD0FF2"/>
    <w:rsid w:val="00AD1046"/>
    <w:rsid w:val="00AD1450"/>
    <w:rsid w:val="00AD15E8"/>
    <w:rsid w:val="00AD1DCB"/>
    <w:rsid w:val="00AD1E63"/>
    <w:rsid w:val="00AD263B"/>
    <w:rsid w:val="00AD280D"/>
    <w:rsid w:val="00AD31BE"/>
    <w:rsid w:val="00AD32AC"/>
    <w:rsid w:val="00AD356D"/>
    <w:rsid w:val="00AD3878"/>
    <w:rsid w:val="00AD4035"/>
    <w:rsid w:val="00AD43E1"/>
    <w:rsid w:val="00AD4B49"/>
    <w:rsid w:val="00AD4C56"/>
    <w:rsid w:val="00AD5916"/>
    <w:rsid w:val="00AD5D0A"/>
    <w:rsid w:val="00AD6502"/>
    <w:rsid w:val="00AD719A"/>
    <w:rsid w:val="00AD78BC"/>
    <w:rsid w:val="00AE01E1"/>
    <w:rsid w:val="00AE0695"/>
    <w:rsid w:val="00AE0B02"/>
    <w:rsid w:val="00AE0C74"/>
    <w:rsid w:val="00AE2A0B"/>
    <w:rsid w:val="00AE3195"/>
    <w:rsid w:val="00AE3596"/>
    <w:rsid w:val="00AE36CC"/>
    <w:rsid w:val="00AE3E7E"/>
    <w:rsid w:val="00AE4405"/>
    <w:rsid w:val="00AE69C9"/>
    <w:rsid w:val="00AE6D60"/>
    <w:rsid w:val="00AE77A6"/>
    <w:rsid w:val="00AE78C0"/>
    <w:rsid w:val="00AE7E53"/>
    <w:rsid w:val="00AF11FF"/>
    <w:rsid w:val="00AF1315"/>
    <w:rsid w:val="00AF13CF"/>
    <w:rsid w:val="00AF13ED"/>
    <w:rsid w:val="00AF19BF"/>
    <w:rsid w:val="00AF1E5B"/>
    <w:rsid w:val="00AF2DC3"/>
    <w:rsid w:val="00AF47EC"/>
    <w:rsid w:val="00AF4A35"/>
    <w:rsid w:val="00AF4F83"/>
    <w:rsid w:val="00AF50FD"/>
    <w:rsid w:val="00AF5944"/>
    <w:rsid w:val="00AF6293"/>
    <w:rsid w:val="00AF67D7"/>
    <w:rsid w:val="00AF714E"/>
    <w:rsid w:val="00AF7482"/>
    <w:rsid w:val="00AF77BF"/>
    <w:rsid w:val="00AF7BC0"/>
    <w:rsid w:val="00B000AF"/>
    <w:rsid w:val="00B0089C"/>
    <w:rsid w:val="00B01A55"/>
    <w:rsid w:val="00B01D61"/>
    <w:rsid w:val="00B021A7"/>
    <w:rsid w:val="00B027D8"/>
    <w:rsid w:val="00B02C42"/>
    <w:rsid w:val="00B033E5"/>
    <w:rsid w:val="00B03A63"/>
    <w:rsid w:val="00B04462"/>
    <w:rsid w:val="00B04C83"/>
    <w:rsid w:val="00B04FC8"/>
    <w:rsid w:val="00B0505A"/>
    <w:rsid w:val="00B06453"/>
    <w:rsid w:val="00B070C4"/>
    <w:rsid w:val="00B0742E"/>
    <w:rsid w:val="00B11CEB"/>
    <w:rsid w:val="00B129A4"/>
    <w:rsid w:val="00B12A47"/>
    <w:rsid w:val="00B12C69"/>
    <w:rsid w:val="00B132E2"/>
    <w:rsid w:val="00B13450"/>
    <w:rsid w:val="00B13DA7"/>
    <w:rsid w:val="00B14025"/>
    <w:rsid w:val="00B14CC3"/>
    <w:rsid w:val="00B14CEB"/>
    <w:rsid w:val="00B1518B"/>
    <w:rsid w:val="00B15BE1"/>
    <w:rsid w:val="00B164EC"/>
    <w:rsid w:val="00B1653E"/>
    <w:rsid w:val="00B1677D"/>
    <w:rsid w:val="00B16950"/>
    <w:rsid w:val="00B16D32"/>
    <w:rsid w:val="00B16FFE"/>
    <w:rsid w:val="00B17CAF"/>
    <w:rsid w:val="00B2007D"/>
    <w:rsid w:val="00B20167"/>
    <w:rsid w:val="00B201A4"/>
    <w:rsid w:val="00B201D1"/>
    <w:rsid w:val="00B20955"/>
    <w:rsid w:val="00B21117"/>
    <w:rsid w:val="00B213A6"/>
    <w:rsid w:val="00B21AE9"/>
    <w:rsid w:val="00B21D73"/>
    <w:rsid w:val="00B224B5"/>
    <w:rsid w:val="00B22946"/>
    <w:rsid w:val="00B22E73"/>
    <w:rsid w:val="00B22FF7"/>
    <w:rsid w:val="00B235B0"/>
    <w:rsid w:val="00B23A7A"/>
    <w:rsid w:val="00B24660"/>
    <w:rsid w:val="00B24DF6"/>
    <w:rsid w:val="00B25710"/>
    <w:rsid w:val="00B25A77"/>
    <w:rsid w:val="00B25DEB"/>
    <w:rsid w:val="00B260F6"/>
    <w:rsid w:val="00B2675A"/>
    <w:rsid w:val="00B2697E"/>
    <w:rsid w:val="00B27051"/>
    <w:rsid w:val="00B27A61"/>
    <w:rsid w:val="00B27DC9"/>
    <w:rsid w:val="00B302A9"/>
    <w:rsid w:val="00B30560"/>
    <w:rsid w:val="00B30BFB"/>
    <w:rsid w:val="00B31543"/>
    <w:rsid w:val="00B31D6A"/>
    <w:rsid w:val="00B31F27"/>
    <w:rsid w:val="00B32B67"/>
    <w:rsid w:val="00B32C68"/>
    <w:rsid w:val="00B33A91"/>
    <w:rsid w:val="00B33F21"/>
    <w:rsid w:val="00B342BA"/>
    <w:rsid w:val="00B3467A"/>
    <w:rsid w:val="00B3481C"/>
    <w:rsid w:val="00B34A03"/>
    <w:rsid w:val="00B34C80"/>
    <w:rsid w:val="00B34EA0"/>
    <w:rsid w:val="00B34FE2"/>
    <w:rsid w:val="00B35009"/>
    <w:rsid w:val="00B35166"/>
    <w:rsid w:val="00B352D6"/>
    <w:rsid w:val="00B357D8"/>
    <w:rsid w:val="00B360F4"/>
    <w:rsid w:val="00B3650C"/>
    <w:rsid w:val="00B36A00"/>
    <w:rsid w:val="00B3792B"/>
    <w:rsid w:val="00B37BFC"/>
    <w:rsid w:val="00B37C7D"/>
    <w:rsid w:val="00B37CF6"/>
    <w:rsid w:val="00B37E20"/>
    <w:rsid w:val="00B40358"/>
    <w:rsid w:val="00B407DD"/>
    <w:rsid w:val="00B41151"/>
    <w:rsid w:val="00B41614"/>
    <w:rsid w:val="00B41F90"/>
    <w:rsid w:val="00B4240B"/>
    <w:rsid w:val="00B42851"/>
    <w:rsid w:val="00B42F80"/>
    <w:rsid w:val="00B434E5"/>
    <w:rsid w:val="00B435BE"/>
    <w:rsid w:val="00B435CB"/>
    <w:rsid w:val="00B43DD8"/>
    <w:rsid w:val="00B4448A"/>
    <w:rsid w:val="00B44D7D"/>
    <w:rsid w:val="00B453DF"/>
    <w:rsid w:val="00B45D2C"/>
    <w:rsid w:val="00B465EC"/>
    <w:rsid w:val="00B472E6"/>
    <w:rsid w:val="00B47CA5"/>
    <w:rsid w:val="00B47F40"/>
    <w:rsid w:val="00B505C8"/>
    <w:rsid w:val="00B50651"/>
    <w:rsid w:val="00B50C2B"/>
    <w:rsid w:val="00B50DB8"/>
    <w:rsid w:val="00B51F30"/>
    <w:rsid w:val="00B52151"/>
    <w:rsid w:val="00B52162"/>
    <w:rsid w:val="00B5234A"/>
    <w:rsid w:val="00B52755"/>
    <w:rsid w:val="00B52DCA"/>
    <w:rsid w:val="00B52EA0"/>
    <w:rsid w:val="00B53654"/>
    <w:rsid w:val="00B53905"/>
    <w:rsid w:val="00B53F9F"/>
    <w:rsid w:val="00B540A3"/>
    <w:rsid w:val="00B546DB"/>
    <w:rsid w:val="00B54B5B"/>
    <w:rsid w:val="00B54E70"/>
    <w:rsid w:val="00B5562E"/>
    <w:rsid w:val="00B55862"/>
    <w:rsid w:val="00B55D65"/>
    <w:rsid w:val="00B5609F"/>
    <w:rsid w:val="00B56305"/>
    <w:rsid w:val="00B57000"/>
    <w:rsid w:val="00B60116"/>
    <w:rsid w:val="00B60311"/>
    <w:rsid w:val="00B6032A"/>
    <w:rsid w:val="00B60939"/>
    <w:rsid w:val="00B60AFD"/>
    <w:rsid w:val="00B61DDF"/>
    <w:rsid w:val="00B62715"/>
    <w:rsid w:val="00B637EA"/>
    <w:rsid w:val="00B63BDA"/>
    <w:rsid w:val="00B640FE"/>
    <w:rsid w:val="00B646E4"/>
    <w:rsid w:val="00B64CE8"/>
    <w:rsid w:val="00B65611"/>
    <w:rsid w:val="00B65A9C"/>
    <w:rsid w:val="00B662B0"/>
    <w:rsid w:val="00B666F6"/>
    <w:rsid w:val="00B667CB"/>
    <w:rsid w:val="00B669BE"/>
    <w:rsid w:val="00B670CD"/>
    <w:rsid w:val="00B67E15"/>
    <w:rsid w:val="00B70477"/>
    <w:rsid w:val="00B705C8"/>
    <w:rsid w:val="00B70DED"/>
    <w:rsid w:val="00B70E8E"/>
    <w:rsid w:val="00B71118"/>
    <w:rsid w:val="00B71DF0"/>
    <w:rsid w:val="00B73349"/>
    <w:rsid w:val="00B74A44"/>
    <w:rsid w:val="00B74F2C"/>
    <w:rsid w:val="00B75707"/>
    <w:rsid w:val="00B762A5"/>
    <w:rsid w:val="00B76C92"/>
    <w:rsid w:val="00B7737B"/>
    <w:rsid w:val="00B8077C"/>
    <w:rsid w:val="00B80C68"/>
    <w:rsid w:val="00B80EFD"/>
    <w:rsid w:val="00B813F6"/>
    <w:rsid w:val="00B818A4"/>
    <w:rsid w:val="00B81A34"/>
    <w:rsid w:val="00B823D9"/>
    <w:rsid w:val="00B82BEB"/>
    <w:rsid w:val="00B82E32"/>
    <w:rsid w:val="00B83739"/>
    <w:rsid w:val="00B84117"/>
    <w:rsid w:val="00B84590"/>
    <w:rsid w:val="00B85191"/>
    <w:rsid w:val="00B85652"/>
    <w:rsid w:val="00B858F0"/>
    <w:rsid w:val="00B858F8"/>
    <w:rsid w:val="00B85AA2"/>
    <w:rsid w:val="00B8649C"/>
    <w:rsid w:val="00B86873"/>
    <w:rsid w:val="00B8695D"/>
    <w:rsid w:val="00B86A72"/>
    <w:rsid w:val="00B870B6"/>
    <w:rsid w:val="00B8712A"/>
    <w:rsid w:val="00B8727B"/>
    <w:rsid w:val="00B87ACB"/>
    <w:rsid w:val="00B87F0A"/>
    <w:rsid w:val="00B87F67"/>
    <w:rsid w:val="00B87FAE"/>
    <w:rsid w:val="00B9064D"/>
    <w:rsid w:val="00B9065F"/>
    <w:rsid w:val="00B90C79"/>
    <w:rsid w:val="00B90E44"/>
    <w:rsid w:val="00B90E4E"/>
    <w:rsid w:val="00B91063"/>
    <w:rsid w:val="00B91511"/>
    <w:rsid w:val="00B9151C"/>
    <w:rsid w:val="00B9164F"/>
    <w:rsid w:val="00B92132"/>
    <w:rsid w:val="00B9217A"/>
    <w:rsid w:val="00B9230C"/>
    <w:rsid w:val="00B9279C"/>
    <w:rsid w:val="00B9294D"/>
    <w:rsid w:val="00B92D0B"/>
    <w:rsid w:val="00B93055"/>
    <w:rsid w:val="00B930E3"/>
    <w:rsid w:val="00B9436B"/>
    <w:rsid w:val="00B94792"/>
    <w:rsid w:val="00B94945"/>
    <w:rsid w:val="00B94BF6"/>
    <w:rsid w:val="00B94DD6"/>
    <w:rsid w:val="00B95506"/>
    <w:rsid w:val="00B956A3"/>
    <w:rsid w:val="00B959BF"/>
    <w:rsid w:val="00B96E75"/>
    <w:rsid w:val="00B96F7B"/>
    <w:rsid w:val="00B97AD3"/>
    <w:rsid w:val="00B97C39"/>
    <w:rsid w:val="00BA069A"/>
    <w:rsid w:val="00BA0C91"/>
    <w:rsid w:val="00BA12DC"/>
    <w:rsid w:val="00BA135C"/>
    <w:rsid w:val="00BA2326"/>
    <w:rsid w:val="00BA2C08"/>
    <w:rsid w:val="00BA3184"/>
    <w:rsid w:val="00BA322D"/>
    <w:rsid w:val="00BA3975"/>
    <w:rsid w:val="00BA44C0"/>
    <w:rsid w:val="00BA45BA"/>
    <w:rsid w:val="00BA4C59"/>
    <w:rsid w:val="00BA5BFD"/>
    <w:rsid w:val="00BA61E7"/>
    <w:rsid w:val="00BA63FA"/>
    <w:rsid w:val="00BA718E"/>
    <w:rsid w:val="00BB00B3"/>
    <w:rsid w:val="00BB0A63"/>
    <w:rsid w:val="00BB0BDD"/>
    <w:rsid w:val="00BB176C"/>
    <w:rsid w:val="00BB2502"/>
    <w:rsid w:val="00BB2A73"/>
    <w:rsid w:val="00BB2F15"/>
    <w:rsid w:val="00BB3A45"/>
    <w:rsid w:val="00BB3C40"/>
    <w:rsid w:val="00BB3FE8"/>
    <w:rsid w:val="00BB4020"/>
    <w:rsid w:val="00BB4ACC"/>
    <w:rsid w:val="00BB4B09"/>
    <w:rsid w:val="00BB4D4D"/>
    <w:rsid w:val="00BB5E5B"/>
    <w:rsid w:val="00BB703E"/>
    <w:rsid w:val="00BB732D"/>
    <w:rsid w:val="00BB7405"/>
    <w:rsid w:val="00BB76B5"/>
    <w:rsid w:val="00BB7E77"/>
    <w:rsid w:val="00BC02B0"/>
    <w:rsid w:val="00BC14D8"/>
    <w:rsid w:val="00BC17C4"/>
    <w:rsid w:val="00BC1A4D"/>
    <w:rsid w:val="00BC2AD1"/>
    <w:rsid w:val="00BC2AD9"/>
    <w:rsid w:val="00BC2FF9"/>
    <w:rsid w:val="00BC3631"/>
    <w:rsid w:val="00BC3F46"/>
    <w:rsid w:val="00BC461F"/>
    <w:rsid w:val="00BC49EA"/>
    <w:rsid w:val="00BC591F"/>
    <w:rsid w:val="00BC5B96"/>
    <w:rsid w:val="00BC623F"/>
    <w:rsid w:val="00BC635F"/>
    <w:rsid w:val="00BC6599"/>
    <w:rsid w:val="00BC6E10"/>
    <w:rsid w:val="00BC6E9B"/>
    <w:rsid w:val="00BC73B3"/>
    <w:rsid w:val="00BC7530"/>
    <w:rsid w:val="00BC7D6D"/>
    <w:rsid w:val="00BC7E54"/>
    <w:rsid w:val="00BD038F"/>
    <w:rsid w:val="00BD0BF8"/>
    <w:rsid w:val="00BD149E"/>
    <w:rsid w:val="00BD1DA7"/>
    <w:rsid w:val="00BD1E71"/>
    <w:rsid w:val="00BD1F4B"/>
    <w:rsid w:val="00BD2108"/>
    <w:rsid w:val="00BD248A"/>
    <w:rsid w:val="00BD2846"/>
    <w:rsid w:val="00BD2A33"/>
    <w:rsid w:val="00BD309F"/>
    <w:rsid w:val="00BD41B4"/>
    <w:rsid w:val="00BD5244"/>
    <w:rsid w:val="00BD63CE"/>
    <w:rsid w:val="00BD684C"/>
    <w:rsid w:val="00BD68A3"/>
    <w:rsid w:val="00BD6938"/>
    <w:rsid w:val="00BD6CF3"/>
    <w:rsid w:val="00BD79CF"/>
    <w:rsid w:val="00BD7BF9"/>
    <w:rsid w:val="00BD7DBD"/>
    <w:rsid w:val="00BD7F72"/>
    <w:rsid w:val="00BE0293"/>
    <w:rsid w:val="00BE02CA"/>
    <w:rsid w:val="00BE0ECA"/>
    <w:rsid w:val="00BE1BE3"/>
    <w:rsid w:val="00BE2180"/>
    <w:rsid w:val="00BE21F2"/>
    <w:rsid w:val="00BE27B8"/>
    <w:rsid w:val="00BE2B20"/>
    <w:rsid w:val="00BE38FA"/>
    <w:rsid w:val="00BE4275"/>
    <w:rsid w:val="00BE51DA"/>
    <w:rsid w:val="00BE6249"/>
    <w:rsid w:val="00BE7ABD"/>
    <w:rsid w:val="00BF06AE"/>
    <w:rsid w:val="00BF0F95"/>
    <w:rsid w:val="00BF10A1"/>
    <w:rsid w:val="00BF1B4A"/>
    <w:rsid w:val="00BF1F4F"/>
    <w:rsid w:val="00BF1F97"/>
    <w:rsid w:val="00BF23C4"/>
    <w:rsid w:val="00BF2433"/>
    <w:rsid w:val="00BF2C50"/>
    <w:rsid w:val="00BF2E6E"/>
    <w:rsid w:val="00BF32F8"/>
    <w:rsid w:val="00BF3590"/>
    <w:rsid w:val="00BF36D0"/>
    <w:rsid w:val="00BF38D7"/>
    <w:rsid w:val="00BF3C89"/>
    <w:rsid w:val="00BF4403"/>
    <w:rsid w:val="00BF4411"/>
    <w:rsid w:val="00BF48DF"/>
    <w:rsid w:val="00BF4F7A"/>
    <w:rsid w:val="00BF510F"/>
    <w:rsid w:val="00BF5FD5"/>
    <w:rsid w:val="00BF61C9"/>
    <w:rsid w:val="00BF6BD9"/>
    <w:rsid w:val="00BF6C94"/>
    <w:rsid w:val="00BF7A41"/>
    <w:rsid w:val="00C00068"/>
    <w:rsid w:val="00C00424"/>
    <w:rsid w:val="00C005E2"/>
    <w:rsid w:val="00C008F5"/>
    <w:rsid w:val="00C00BB0"/>
    <w:rsid w:val="00C01311"/>
    <w:rsid w:val="00C026C2"/>
    <w:rsid w:val="00C03755"/>
    <w:rsid w:val="00C03AD5"/>
    <w:rsid w:val="00C03C4B"/>
    <w:rsid w:val="00C048B4"/>
    <w:rsid w:val="00C04A23"/>
    <w:rsid w:val="00C056FC"/>
    <w:rsid w:val="00C0625E"/>
    <w:rsid w:val="00C06638"/>
    <w:rsid w:val="00C06974"/>
    <w:rsid w:val="00C072F6"/>
    <w:rsid w:val="00C078A1"/>
    <w:rsid w:val="00C07AD0"/>
    <w:rsid w:val="00C1013A"/>
    <w:rsid w:val="00C102FF"/>
    <w:rsid w:val="00C107A7"/>
    <w:rsid w:val="00C111CF"/>
    <w:rsid w:val="00C1179F"/>
    <w:rsid w:val="00C119E4"/>
    <w:rsid w:val="00C11A21"/>
    <w:rsid w:val="00C121E6"/>
    <w:rsid w:val="00C12673"/>
    <w:rsid w:val="00C127B9"/>
    <w:rsid w:val="00C128FA"/>
    <w:rsid w:val="00C12C14"/>
    <w:rsid w:val="00C130CA"/>
    <w:rsid w:val="00C14146"/>
    <w:rsid w:val="00C14708"/>
    <w:rsid w:val="00C15F04"/>
    <w:rsid w:val="00C16306"/>
    <w:rsid w:val="00C17377"/>
    <w:rsid w:val="00C176B3"/>
    <w:rsid w:val="00C179B3"/>
    <w:rsid w:val="00C17C61"/>
    <w:rsid w:val="00C17E3F"/>
    <w:rsid w:val="00C200AA"/>
    <w:rsid w:val="00C2040E"/>
    <w:rsid w:val="00C20ED2"/>
    <w:rsid w:val="00C20F13"/>
    <w:rsid w:val="00C2185F"/>
    <w:rsid w:val="00C2205A"/>
    <w:rsid w:val="00C22AD0"/>
    <w:rsid w:val="00C237CA"/>
    <w:rsid w:val="00C237ED"/>
    <w:rsid w:val="00C24604"/>
    <w:rsid w:val="00C24632"/>
    <w:rsid w:val="00C2487B"/>
    <w:rsid w:val="00C25418"/>
    <w:rsid w:val="00C25470"/>
    <w:rsid w:val="00C25D9C"/>
    <w:rsid w:val="00C27014"/>
    <w:rsid w:val="00C2719B"/>
    <w:rsid w:val="00C2778B"/>
    <w:rsid w:val="00C27FB2"/>
    <w:rsid w:val="00C30050"/>
    <w:rsid w:val="00C30C3B"/>
    <w:rsid w:val="00C30E09"/>
    <w:rsid w:val="00C31253"/>
    <w:rsid w:val="00C31649"/>
    <w:rsid w:val="00C326E3"/>
    <w:rsid w:val="00C330C6"/>
    <w:rsid w:val="00C33764"/>
    <w:rsid w:val="00C33D44"/>
    <w:rsid w:val="00C33E7A"/>
    <w:rsid w:val="00C3434C"/>
    <w:rsid w:val="00C34E43"/>
    <w:rsid w:val="00C355DD"/>
    <w:rsid w:val="00C35C14"/>
    <w:rsid w:val="00C36224"/>
    <w:rsid w:val="00C40279"/>
    <w:rsid w:val="00C402CB"/>
    <w:rsid w:val="00C40385"/>
    <w:rsid w:val="00C40619"/>
    <w:rsid w:val="00C40836"/>
    <w:rsid w:val="00C40F3C"/>
    <w:rsid w:val="00C41768"/>
    <w:rsid w:val="00C41DCA"/>
    <w:rsid w:val="00C420B4"/>
    <w:rsid w:val="00C434E5"/>
    <w:rsid w:val="00C4434B"/>
    <w:rsid w:val="00C444F6"/>
    <w:rsid w:val="00C4451A"/>
    <w:rsid w:val="00C445C0"/>
    <w:rsid w:val="00C44BF0"/>
    <w:rsid w:val="00C44EF5"/>
    <w:rsid w:val="00C453A6"/>
    <w:rsid w:val="00C45AB8"/>
    <w:rsid w:val="00C45B92"/>
    <w:rsid w:val="00C45C14"/>
    <w:rsid w:val="00C4607F"/>
    <w:rsid w:val="00C469C5"/>
    <w:rsid w:val="00C46A72"/>
    <w:rsid w:val="00C475AA"/>
    <w:rsid w:val="00C47A39"/>
    <w:rsid w:val="00C47EA6"/>
    <w:rsid w:val="00C50BB9"/>
    <w:rsid w:val="00C511C0"/>
    <w:rsid w:val="00C516A2"/>
    <w:rsid w:val="00C51C30"/>
    <w:rsid w:val="00C52104"/>
    <w:rsid w:val="00C527C7"/>
    <w:rsid w:val="00C52AA2"/>
    <w:rsid w:val="00C52D7C"/>
    <w:rsid w:val="00C52FD1"/>
    <w:rsid w:val="00C53C98"/>
    <w:rsid w:val="00C53E66"/>
    <w:rsid w:val="00C5489B"/>
    <w:rsid w:val="00C54A78"/>
    <w:rsid w:val="00C55258"/>
    <w:rsid w:val="00C55CB9"/>
    <w:rsid w:val="00C56FCF"/>
    <w:rsid w:val="00C57143"/>
    <w:rsid w:val="00C579F1"/>
    <w:rsid w:val="00C57B6C"/>
    <w:rsid w:val="00C61A59"/>
    <w:rsid w:val="00C628A6"/>
    <w:rsid w:val="00C62C37"/>
    <w:rsid w:val="00C635A0"/>
    <w:rsid w:val="00C64344"/>
    <w:rsid w:val="00C6434B"/>
    <w:rsid w:val="00C643C0"/>
    <w:rsid w:val="00C64CAB"/>
    <w:rsid w:val="00C65108"/>
    <w:rsid w:val="00C65576"/>
    <w:rsid w:val="00C65A59"/>
    <w:rsid w:val="00C66165"/>
    <w:rsid w:val="00C66F91"/>
    <w:rsid w:val="00C7060A"/>
    <w:rsid w:val="00C70C02"/>
    <w:rsid w:val="00C70D11"/>
    <w:rsid w:val="00C710A5"/>
    <w:rsid w:val="00C71136"/>
    <w:rsid w:val="00C7151A"/>
    <w:rsid w:val="00C717E3"/>
    <w:rsid w:val="00C71F60"/>
    <w:rsid w:val="00C72241"/>
    <w:rsid w:val="00C72491"/>
    <w:rsid w:val="00C739A8"/>
    <w:rsid w:val="00C7418E"/>
    <w:rsid w:val="00C74545"/>
    <w:rsid w:val="00C7485D"/>
    <w:rsid w:val="00C748C7"/>
    <w:rsid w:val="00C750C8"/>
    <w:rsid w:val="00C7560F"/>
    <w:rsid w:val="00C75651"/>
    <w:rsid w:val="00C75847"/>
    <w:rsid w:val="00C75BBC"/>
    <w:rsid w:val="00C75DA9"/>
    <w:rsid w:val="00C76646"/>
    <w:rsid w:val="00C76FD2"/>
    <w:rsid w:val="00C77718"/>
    <w:rsid w:val="00C80474"/>
    <w:rsid w:val="00C80590"/>
    <w:rsid w:val="00C80A0E"/>
    <w:rsid w:val="00C813B0"/>
    <w:rsid w:val="00C81593"/>
    <w:rsid w:val="00C81735"/>
    <w:rsid w:val="00C81C2F"/>
    <w:rsid w:val="00C8213F"/>
    <w:rsid w:val="00C8303F"/>
    <w:rsid w:val="00C830F3"/>
    <w:rsid w:val="00C83669"/>
    <w:rsid w:val="00C83FF6"/>
    <w:rsid w:val="00C845D0"/>
    <w:rsid w:val="00C84A60"/>
    <w:rsid w:val="00C85154"/>
    <w:rsid w:val="00C8519E"/>
    <w:rsid w:val="00C85A70"/>
    <w:rsid w:val="00C85B8E"/>
    <w:rsid w:val="00C8649A"/>
    <w:rsid w:val="00C87563"/>
    <w:rsid w:val="00C878EB"/>
    <w:rsid w:val="00C8797A"/>
    <w:rsid w:val="00C87F09"/>
    <w:rsid w:val="00C900B2"/>
    <w:rsid w:val="00C900B8"/>
    <w:rsid w:val="00C90197"/>
    <w:rsid w:val="00C90C71"/>
    <w:rsid w:val="00C91221"/>
    <w:rsid w:val="00C91400"/>
    <w:rsid w:val="00C91FD1"/>
    <w:rsid w:val="00C924C7"/>
    <w:rsid w:val="00C92968"/>
    <w:rsid w:val="00C92DBE"/>
    <w:rsid w:val="00C92FBC"/>
    <w:rsid w:val="00C92FF2"/>
    <w:rsid w:val="00C931CF"/>
    <w:rsid w:val="00C938CF"/>
    <w:rsid w:val="00C93EB9"/>
    <w:rsid w:val="00C94053"/>
    <w:rsid w:val="00C94849"/>
    <w:rsid w:val="00C95EAA"/>
    <w:rsid w:val="00C9601A"/>
    <w:rsid w:val="00C9624D"/>
    <w:rsid w:val="00C969DA"/>
    <w:rsid w:val="00CA0448"/>
    <w:rsid w:val="00CA0800"/>
    <w:rsid w:val="00CA0E6B"/>
    <w:rsid w:val="00CA16F3"/>
    <w:rsid w:val="00CA2074"/>
    <w:rsid w:val="00CA2C77"/>
    <w:rsid w:val="00CA2CAC"/>
    <w:rsid w:val="00CA3BB4"/>
    <w:rsid w:val="00CA3CB9"/>
    <w:rsid w:val="00CA3D61"/>
    <w:rsid w:val="00CA428E"/>
    <w:rsid w:val="00CA444F"/>
    <w:rsid w:val="00CA4C07"/>
    <w:rsid w:val="00CA4CB6"/>
    <w:rsid w:val="00CA5245"/>
    <w:rsid w:val="00CA58E0"/>
    <w:rsid w:val="00CA5E20"/>
    <w:rsid w:val="00CA5FCE"/>
    <w:rsid w:val="00CA71F4"/>
    <w:rsid w:val="00CA7B09"/>
    <w:rsid w:val="00CA7B4F"/>
    <w:rsid w:val="00CB07E9"/>
    <w:rsid w:val="00CB0B9E"/>
    <w:rsid w:val="00CB12A5"/>
    <w:rsid w:val="00CB13D0"/>
    <w:rsid w:val="00CB14F2"/>
    <w:rsid w:val="00CB1CAC"/>
    <w:rsid w:val="00CB25CD"/>
    <w:rsid w:val="00CB2A52"/>
    <w:rsid w:val="00CB2D9A"/>
    <w:rsid w:val="00CB2F2A"/>
    <w:rsid w:val="00CB2F6D"/>
    <w:rsid w:val="00CB3440"/>
    <w:rsid w:val="00CB39A6"/>
    <w:rsid w:val="00CB3E29"/>
    <w:rsid w:val="00CB3F93"/>
    <w:rsid w:val="00CB4147"/>
    <w:rsid w:val="00CB52BC"/>
    <w:rsid w:val="00CB5B1A"/>
    <w:rsid w:val="00CB5DFC"/>
    <w:rsid w:val="00CB6B22"/>
    <w:rsid w:val="00CB6C69"/>
    <w:rsid w:val="00CB750C"/>
    <w:rsid w:val="00CB7F5F"/>
    <w:rsid w:val="00CC0DB2"/>
    <w:rsid w:val="00CC1B39"/>
    <w:rsid w:val="00CC1BFA"/>
    <w:rsid w:val="00CC1DE6"/>
    <w:rsid w:val="00CC21BD"/>
    <w:rsid w:val="00CC2CA0"/>
    <w:rsid w:val="00CC2E9F"/>
    <w:rsid w:val="00CC35EA"/>
    <w:rsid w:val="00CC361A"/>
    <w:rsid w:val="00CC3848"/>
    <w:rsid w:val="00CC3BA5"/>
    <w:rsid w:val="00CC3CE8"/>
    <w:rsid w:val="00CC3ED2"/>
    <w:rsid w:val="00CC5F3F"/>
    <w:rsid w:val="00CC6D5E"/>
    <w:rsid w:val="00CC7089"/>
    <w:rsid w:val="00CC76C3"/>
    <w:rsid w:val="00CD0200"/>
    <w:rsid w:val="00CD073A"/>
    <w:rsid w:val="00CD11C7"/>
    <w:rsid w:val="00CD2689"/>
    <w:rsid w:val="00CD3F77"/>
    <w:rsid w:val="00CD49CE"/>
    <w:rsid w:val="00CD4B48"/>
    <w:rsid w:val="00CD4D4B"/>
    <w:rsid w:val="00CD5D46"/>
    <w:rsid w:val="00CD5E70"/>
    <w:rsid w:val="00CD695A"/>
    <w:rsid w:val="00CD6ADC"/>
    <w:rsid w:val="00CD6E2A"/>
    <w:rsid w:val="00CD7193"/>
    <w:rsid w:val="00CD7B97"/>
    <w:rsid w:val="00CE0DD8"/>
    <w:rsid w:val="00CE14CF"/>
    <w:rsid w:val="00CE16C2"/>
    <w:rsid w:val="00CE1C8E"/>
    <w:rsid w:val="00CE220F"/>
    <w:rsid w:val="00CE232A"/>
    <w:rsid w:val="00CE27DC"/>
    <w:rsid w:val="00CE38C8"/>
    <w:rsid w:val="00CE4769"/>
    <w:rsid w:val="00CE4D34"/>
    <w:rsid w:val="00CE4EE8"/>
    <w:rsid w:val="00CE524F"/>
    <w:rsid w:val="00CE5702"/>
    <w:rsid w:val="00CE58CC"/>
    <w:rsid w:val="00CE58D0"/>
    <w:rsid w:val="00CE5FB5"/>
    <w:rsid w:val="00CE6274"/>
    <w:rsid w:val="00CE6541"/>
    <w:rsid w:val="00CE65D6"/>
    <w:rsid w:val="00CE66FA"/>
    <w:rsid w:val="00CE67F4"/>
    <w:rsid w:val="00CE77B6"/>
    <w:rsid w:val="00CE7BAE"/>
    <w:rsid w:val="00CE7E66"/>
    <w:rsid w:val="00CF08D1"/>
    <w:rsid w:val="00CF0BE2"/>
    <w:rsid w:val="00CF0E92"/>
    <w:rsid w:val="00CF2740"/>
    <w:rsid w:val="00CF2B8D"/>
    <w:rsid w:val="00CF3A1B"/>
    <w:rsid w:val="00CF4150"/>
    <w:rsid w:val="00CF456B"/>
    <w:rsid w:val="00CF561B"/>
    <w:rsid w:val="00CF57AE"/>
    <w:rsid w:val="00CF5A22"/>
    <w:rsid w:val="00CF673C"/>
    <w:rsid w:val="00CF70CC"/>
    <w:rsid w:val="00D000A8"/>
    <w:rsid w:val="00D002A4"/>
    <w:rsid w:val="00D003AB"/>
    <w:rsid w:val="00D010A3"/>
    <w:rsid w:val="00D021C8"/>
    <w:rsid w:val="00D0262E"/>
    <w:rsid w:val="00D03679"/>
    <w:rsid w:val="00D036A4"/>
    <w:rsid w:val="00D03902"/>
    <w:rsid w:val="00D03BE8"/>
    <w:rsid w:val="00D03F53"/>
    <w:rsid w:val="00D0416D"/>
    <w:rsid w:val="00D0438F"/>
    <w:rsid w:val="00D04C0C"/>
    <w:rsid w:val="00D0520F"/>
    <w:rsid w:val="00D05E3D"/>
    <w:rsid w:val="00D06139"/>
    <w:rsid w:val="00D069D2"/>
    <w:rsid w:val="00D100C1"/>
    <w:rsid w:val="00D10487"/>
    <w:rsid w:val="00D1048E"/>
    <w:rsid w:val="00D107E4"/>
    <w:rsid w:val="00D110BD"/>
    <w:rsid w:val="00D11D4B"/>
    <w:rsid w:val="00D128F1"/>
    <w:rsid w:val="00D13675"/>
    <w:rsid w:val="00D13A78"/>
    <w:rsid w:val="00D13FDC"/>
    <w:rsid w:val="00D141E1"/>
    <w:rsid w:val="00D14FD5"/>
    <w:rsid w:val="00D15028"/>
    <w:rsid w:val="00D15106"/>
    <w:rsid w:val="00D15314"/>
    <w:rsid w:val="00D1598B"/>
    <w:rsid w:val="00D15B48"/>
    <w:rsid w:val="00D15CD3"/>
    <w:rsid w:val="00D162A3"/>
    <w:rsid w:val="00D16DA3"/>
    <w:rsid w:val="00D171B3"/>
    <w:rsid w:val="00D17279"/>
    <w:rsid w:val="00D1776C"/>
    <w:rsid w:val="00D17D6C"/>
    <w:rsid w:val="00D2007C"/>
    <w:rsid w:val="00D20153"/>
    <w:rsid w:val="00D20A0A"/>
    <w:rsid w:val="00D21336"/>
    <w:rsid w:val="00D21454"/>
    <w:rsid w:val="00D2155B"/>
    <w:rsid w:val="00D217C2"/>
    <w:rsid w:val="00D21BF8"/>
    <w:rsid w:val="00D2290F"/>
    <w:rsid w:val="00D22B9E"/>
    <w:rsid w:val="00D23D11"/>
    <w:rsid w:val="00D244B6"/>
    <w:rsid w:val="00D258C6"/>
    <w:rsid w:val="00D25E66"/>
    <w:rsid w:val="00D264A5"/>
    <w:rsid w:val="00D26F69"/>
    <w:rsid w:val="00D270DB"/>
    <w:rsid w:val="00D27453"/>
    <w:rsid w:val="00D2754D"/>
    <w:rsid w:val="00D276F8"/>
    <w:rsid w:val="00D27B27"/>
    <w:rsid w:val="00D27E22"/>
    <w:rsid w:val="00D30D5B"/>
    <w:rsid w:val="00D31358"/>
    <w:rsid w:val="00D31586"/>
    <w:rsid w:val="00D31694"/>
    <w:rsid w:val="00D31C15"/>
    <w:rsid w:val="00D32394"/>
    <w:rsid w:val="00D329B3"/>
    <w:rsid w:val="00D33BC6"/>
    <w:rsid w:val="00D33BE9"/>
    <w:rsid w:val="00D33C85"/>
    <w:rsid w:val="00D33F93"/>
    <w:rsid w:val="00D345BE"/>
    <w:rsid w:val="00D357FF"/>
    <w:rsid w:val="00D35CD2"/>
    <w:rsid w:val="00D361F0"/>
    <w:rsid w:val="00D3668C"/>
    <w:rsid w:val="00D3672E"/>
    <w:rsid w:val="00D370C6"/>
    <w:rsid w:val="00D37B4B"/>
    <w:rsid w:val="00D400DA"/>
    <w:rsid w:val="00D402DC"/>
    <w:rsid w:val="00D418C0"/>
    <w:rsid w:val="00D421CE"/>
    <w:rsid w:val="00D424C7"/>
    <w:rsid w:val="00D4256D"/>
    <w:rsid w:val="00D426EE"/>
    <w:rsid w:val="00D42EAE"/>
    <w:rsid w:val="00D43032"/>
    <w:rsid w:val="00D434C5"/>
    <w:rsid w:val="00D43A68"/>
    <w:rsid w:val="00D43AB4"/>
    <w:rsid w:val="00D43B2A"/>
    <w:rsid w:val="00D43C8F"/>
    <w:rsid w:val="00D43CF1"/>
    <w:rsid w:val="00D43D83"/>
    <w:rsid w:val="00D44C57"/>
    <w:rsid w:val="00D45909"/>
    <w:rsid w:val="00D45D4A"/>
    <w:rsid w:val="00D46366"/>
    <w:rsid w:val="00D463EE"/>
    <w:rsid w:val="00D464A1"/>
    <w:rsid w:val="00D4664A"/>
    <w:rsid w:val="00D46C09"/>
    <w:rsid w:val="00D47575"/>
    <w:rsid w:val="00D50470"/>
    <w:rsid w:val="00D505F1"/>
    <w:rsid w:val="00D5149A"/>
    <w:rsid w:val="00D5243B"/>
    <w:rsid w:val="00D5261F"/>
    <w:rsid w:val="00D533EC"/>
    <w:rsid w:val="00D534D2"/>
    <w:rsid w:val="00D53629"/>
    <w:rsid w:val="00D5377D"/>
    <w:rsid w:val="00D53BB2"/>
    <w:rsid w:val="00D54EA2"/>
    <w:rsid w:val="00D55D24"/>
    <w:rsid w:val="00D56589"/>
    <w:rsid w:val="00D56A95"/>
    <w:rsid w:val="00D57091"/>
    <w:rsid w:val="00D5760C"/>
    <w:rsid w:val="00D57A74"/>
    <w:rsid w:val="00D57E65"/>
    <w:rsid w:val="00D603D7"/>
    <w:rsid w:val="00D603EA"/>
    <w:rsid w:val="00D6076E"/>
    <w:rsid w:val="00D60801"/>
    <w:rsid w:val="00D60827"/>
    <w:rsid w:val="00D60A18"/>
    <w:rsid w:val="00D6132C"/>
    <w:rsid w:val="00D61CDD"/>
    <w:rsid w:val="00D61F4C"/>
    <w:rsid w:val="00D62456"/>
    <w:rsid w:val="00D624CE"/>
    <w:rsid w:val="00D628BD"/>
    <w:rsid w:val="00D62B3F"/>
    <w:rsid w:val="00D63172"/>
    <w:rsid w:val="00D64ADC"/>
    <w:rsid w:val="00D65705"/>
    <w:rsid w:val="00D6570C"/>
    <w:rsid w:val="00D677E5"/>
    <w:rsid w:val="00D67BAF"/>
    <w:rsid w:val="00D70CCB"/>
    <w:rsid w:val="00D70F16"/>
    <w:rsid w:val="00D719B4"/>
    <w:rsid w:val="00D719E7"/>
    <w:rsid w:val="00D71A6D"/>
    <w:rsid w:val="00D72117"/>
    <w:rsid w:val="00D721B2"/>
    <w:rsid w:val="00D72617"/>
    <w:rsid w:val="00D728A4"/>
    <w:rsid w:val="00D72B1E"/>
    <w:rsid w:val="00D72F57"/>
    <w:rsid w:val="00D72F81"/>
    <w:rsid w:val="00D73A4D"/>
    <w:rsid w:val="00D73CE8"/>
    <w:rsid w:val="00D74DC5"/>
    <w:rsid w:val="00D754DA"/>
    <w:rsid w:val="00D762A9"/>
    <w:rsid w:val="00D765AC"/>
    <w:rsid w:val="00D76A44"/>
    <w:rsid w:val="00D772F4"/>
    <w:rsid w:val="00D7749B"/>
    <w:rsid w:val="00D779BE"/>
    <w:rsid w:val="00D8016B"/>
    <w:rsid w:val="00D80668"/>
    <w:rsid w:val="00D80D7C"/>
    <w:rsid w:val="00D80DBB"/>
    <w:rsid w:val="00D815EF"/>
    <w:rsid w:val="00D817A0"/>
    <w:rsid w:val="00D81949"/>
    <w:rsid w:val="00D81F26"/>
    <w:rsid w:val="00D822E2"/>
    <w:rsid w:val="00D82DC2"/>
    <w:rsid w:val="00D830E5"/>
    <w:rsid w:val="00D837AD"/>
    <w:rsid w:val="00D839B9"/>
    <w:rsid w:val="00D8409A"/>
    <w:rsid w:val="00D843F2"/>
    <w:rsid w:val="00D84841"/>
    <w:rsid w:val="00D855A8"/>
    <w:rsid w:val="00D85811"/>
    <w:rsid w:val="00D85974"/>
    <w:rsid w:val="00D86231"/>
    <w:rsid w:val="00D866D0"/>
    <w:rsid w:val="00D86AEA"/>
    <w:rsid w:val="00D87C71"/>
    <w:rsid w:val="00D900B9"/>
    <w:rsid w:val="00D903B5"/>
    <w:rsid w:val="00D90519"/>
    <w:rsid w:val="00D90F91"/>
    <w:rsid w:val="00D912AB"/>
    <w:rsid w:val="00D9162F"/>
    <w:rsid w:val="00D91923"/>
    <w:rsid w:val="00D92474"/>
    <w:rsid w:val="00D930ED"/>
    <w:rsid w:val="00D93534"/>
    <w:rsid w:val="00D93753"/>
    <w:rsid w:val="00D93C96"/>
    <w:rsid w:val="00D93CAC"/>
    <w:rsid w:val="00D946B9"/>
    <w:rsid w:val="00D94F28"/>
    <w:rsid w:val="00D9549B"/>
    <w:rsid w:val="00D95F3D"/>
    <w:rsid w:val="00D96A1E"/>
    <w:rsid w:val="00D96A83"/>
    <w:rsid w:val="00D976F2"/>
    <w:rsid w:val="00DA00A1"/>
    <w:rsid w:val="00DA0303"/>
    <w:rsid w:val="00DA1C59"/>
    <w:rsid w:val="00DA1CE9"/>
    <w:rsid w:val="00DA24E9"/>
    <w:rsid w:val="00DA3167"/>
    <w:rsid w:val="00DA3446"/>
    <w:rsid w:val="00DA34F4"/>
    <w:rsid w:val="00DA404C"/>
    <w:rsid w:val="00DA4092"/>
    <w:rsid w:val="00DA4A10"/>
    <w:rsid w:val="00DA4DC3"/>
    <w:rsid w:val="00DA5630"/>
    <w:rsid w:val="00DA567C"/>
    <w:rsid w:val="00DA615A"/>
    <w:rsid w:val="00DA63BE"/>
    <w:rsid w:val="00DA773E"/>
    <w:rsid w:val="00DA77A5"/>
    <w:rsid w:val="00DB0E36"/>
    <w:rsid w:val="00DB0EE3"/>
    <w:rsid w:val="00DB13E2"/>
    <w:rsid w:val="00DB1707"/>
    <w:rsid w:val="00DB1AC3"/>
    <w:rsid w:val="00DB1F95"/>
    <w:rsid w:val="00DB24EE"/>
    <w:rsid w:val="00DB25B1"/>
    <w:rsid w:val="00DB2E09"/>
    <w:rsid w:val="00DB2F87"/>
    <w:rsid w:val="00DB351F"/>
    <w:rsid w:val="00DB376B"/>
    <w:rsid w:val="00DB3BB6"/>
    <w:rsid w:val="00DB3DBF"/>
    <w:rsid w:val="00DB4415"/>
    <w:rsid w:val="00DB484F"/>
    <w:rsid w:val="00DB48B3"/>
    <w:rsid w:val="00DB4DB5"/>
    <w:rsid w:val="00DB52EE"/>
    <w:rsid w:val="00DB537F"/>
    <w:rsid w:val="00DB5B3D"/>
    <w:rsid w:val="00DB5CDA"/>
    <w:rsid w:val="00DB6870"/>
    <w:rsid w:val="00DB6CF0"/>
    <w:rsid w:val="00DB78DC"/>
    <w:rsid w:val="00DB790B"/>
    <w:rsid w:val="00DC04F6"/>
    <w:rsid w:val="00DC0690"/>
    <w:rsid w:val="00DC0FFC"/>
    <w:rsid w:val="00DC1731"/>
    <w:rsid w:val="00DC1D65"/>
    <w:rsid w:val="00DC1D78"/>
    <w:rsid w:val="00DC2C86"/>
    <w:rsid w:val="00DC2ED7"/>
    <w:rsid w:val="00DC3186"/>
    <w:rsid w:val="00DC3C57"/>
    <w:rsid w:val="00DC4278"/>
    <w:rsid w:val="00DC43D2"/>
    <w:rsid w:val="00DC47EC"/>
    <w:rsid w:val="00DC4B6A"/>
    <w:rsid w:val="00DC4FFF"/>
    <w:rsid w:val="00DC50FF"/>
    <w:rsid w:val="00DC519C"/>
    <w:rsid w:val="00DC5501"/>
    <w:rsid w:val="00DC5DE4"/>
    <w:rsid w:val="00DC6B47"/>
    <w:rsid w:val="00DC7154"/>
    <w:rsid w:val="00DC7E8A"/>
    <w:rsid w:val="00DC7EAB"/>
    <w:rsid w:val="00DC7FAF"/>
    <w:rsid w:val="00DC7FF1"/>
    <w:rsid w:val="00DD0F40"/>
    <w:rsid w:val="00DD0F78"/>
    <w:rsid w:val="00DD11CF"/>
    <w:rsid w:val="00DD20E5"/>
    <w:rsid w:val="00DD273C"/>
    <w:rsid w:val="00DD3095"/>
    <w:rsid w:val="00DD316B"/>
    <w:rsid w:val="00DD3F28"/>
    <w:rsid w:val="00DD4446"/>
    <w:rsid w:val="00DD4537"/>
    <w:rsid w:val="00DD4E15"/>
    <w:rsid w:val="00DD5D51"/>
    <w:rsid w:val="00DD6348"/>
    <w:rsid w:val="00DD7ED1"/>
    <w:rsid w:val="00DE003E"/>
    <w:rsid w:val="00DE00AB"/>
    <w:rsid w:val="00DE031B"/>
    <w:rsid w:val="00DE07D3"/>
    <w:rsid w:val="00DE16B0"/>
    <w:rsid w:val="00DE1AB8"/>
    <w:rsid w:val="00DE2304"/>
    <w:rsid w:val="00DE275B"/>
    <w:rsid w:val="00DE2E91"/>
    <w:rsid w:val="00DE3138"/>
    <w:rsid w:val="00DE316D"/>
    <w:rsid w:val="00DE37F8"/>
    <w:rsid w:val="00DE3912"/>
    <w:rsid w:val="00DE4273"/>
    <w:rsid w:val="00DE4B68"/>
    <w:rsid w:val="00DE4FCB"/>
    <w:rsid w:val="00DE5D07"/>
    <w:rsid w:val="00DE6732"/>
    <w:rsid w:val="00DE6A60"/>
    <w:rsid w:val="00DE7057"/>
    <w:rsid w:val="00DE72A7"/>
    <w:rsid w:val="00DE7529"/>
    <w:rsid w:val="00DE7832"/>
    <w:rsid w:val="00DE7A85"/>
    <w:rsid w:val="00DE7BE7"/>
    <w:rsid w:val="00DE7E27"/>
    <w:rsid w:val="00DF0759"/>
    <w:rsid w:val="00DF0B7E"/>
    <w:rsid w:val="00DF125D"/>
    <w:rsid w:val="00DF18FC"/>
    <w:rsid w:val="00DF199C"/>
    <w:rsid w:val="00DF2410"/>
    <w:rsid w:val="00DF24DC"/>
    <w:rsid w:val="00DF27C4"/>
    <w:rsid w:val="00DF3220"/>
    <w:rsid w:val="00DF3A67"/>
    <w:rsid w:val="00DF4F8B"/>
    <w:rsid w:val="00DF5D2B"/>
    <w:rsid w:val="00DF5DF4"/>
    <w:rsid w:val="00DF6341"/>
    <w:rsid w:val="00DF6654"/>
    <w:rsid w:val="00DF6998"/>
    <w:rsid w:val="00DF6A0B"/>
    <w:rsid w:val="00E00A82"/>
    <w:rsid w:val="00E00C75"/>
    <w:rsid w:val="00E00E8E"/>
    <w:rsid w:val="00E00F43"/>
    <w:rsid w:val="00E024CF"/>
    <w:rsid w:val="00E0346E"/>
    <w:rsid w:val="00E0358F"/>
    <w:rsid w:val="00E0373E"/>
    <w:rsid w:val="00E03862"/>
    <w:rsid w:val="00E03948"/>
    <w:rsid w:val="00E0395C"/>
    <w:rsid w:val="00E03F72"/>
    <w:rsid w:val="00E048C1"/>
    <w:rsid w:val="00E04C45"/>
    <w:rsid w:val="00E04D02"/>
    <w:rsid w:val="00E05630"/>
    <w:rsid w:val="00E06AC1"/>
    <w:rsid w:val="00E06DBB"/>
    <w:rsid w:val="00E0741A"/>
    <w:rsid w:val="00E10149"/>
    <w:rsid w:val="00E10316"/>
    <w:rsid w:val="00E10B3F"/>
    <w:rsid w:val="00E11340"/>
    <w:rsid w:val="00E11C5F"/>
    <w:rsid w:val="00E11C86"/>
    <w:rsid w:val="00E1220B"/>
    <w:rsid w:val="00E122A1"/>
    <w:rsid w:val="00E13728"/>
    <w:rsid w:val="00E15EA7"/>
    <w:rsid w:val="00E16372"/>
    <w:rsid w:val="00E16AD8"/>
    <w:rsid w:val="00E17FFA"/>
    <w:rsid w:val="00E202CA"/>
    <w:rsid w:val="00E20E4D"/>
    <w:rsid w:val="00E20ED6"/>
    <w:rsid w:val="00E2103A"/>
    <w:rsid w:val="00E21305"/>
    <w:rsid w:val="00E21358"/>
    <w:rsid w:val="00E219B6"/>
    <w:rsid w:val="00E22025"/>
    <w:rsid w:val="00E223F8"/>
    <w:rsid w:val="00E2249B"/>
    <w:rsid w:val="00E229A7"/>
    <w:rsid w:val="00E22A0D"/>
    <w:rsid w:val="00E23F77"/>
    <w:rsid w:val="00E244F6"/>
    <w:rsid w:val="00E24825"/>
    <w:rsid w:val="00E24BA7"/>
    <w:rsid w:val="00E258DB"/>
    <w:rsid w:val="00E25BC3"/>
    <w:rsid w:val="00E25E83"/>
    <w:rsid w:val="00E26F56"/>
    <w:rsid w:val="00E2722C"/>
    <w:rsid w:val="00E27606"/>
    <w:rsid w:val="00E2771E"/>
    <w:rsid w:val="00E30FAB"/>
    <w:rsid w:val="00E311EF"/>
    <w:rsid w:val="00E32180"/>
    <w:rsid w:val="00E32902"/>
    <w:rsid w:val="00E32F01"/>
    <w:rsid w:val="00E32FE2"/>
    <w:rsid w:val="00E3474C"/>
    <w:rsid w:val="00E347DA"/>
    <w:rsid w:val="00E34948"/>
    <w:rsid w:val="00E356E8"/>
    <w:rsid w:val="00E3591C"/>
    <w:rsid w:val="00E35D41"/>
    <w:rsid w:val="00E362A4"/>
    <w:rsid w:val="00E36678"/>
    <w:rsid w:val="00E36977"/>
    <w:rsid w:val="00E3707E"/>
    <w:rsid w:val="00E37569"/>
    <w:rsid w:val="00E37A37"/>
    <w:rsid w:val="00E37B74"/>
    <w:rsid w:val="00E37D52"/>
    <w:rsid w:val="00E401B2"/>
    <w:rsid w:val="00E4030A"/>
    <w:rsid w:val="00E414AD"/>
    <w:rsid w:val="00E41D49"/>
    <w:rsid w:val="00E41E30"/>
    <w:rsid w:val="00E4277C"/>
    <w:rsid w:val="00E42862"/>
    <w:rsid w:val="00E42F73"/>
    <w:rsid w:val="00E43152"/>
    <w:rsid w:val="00E435BC"/>
    <w:rsid w:val="00E43D70"/>
    <w:rsid w:val="00E4404B"/>
    <w:rsid w:val="00E44852"/>
    <w:rsid w:val="00E44B80"/>
    <w:rsid w:val="00E44C34"/>
    <w:rsid w:val="00E45102"/>
    <w:rsid w:val="00E45136"/>
    <w:rsid w:val="00E45763"/>
    <w:rsid w:val="00E4623F"/>
    <w:rsid w:val="00E46694"/>
    <w:rsid w:val="00E466F3"/>
    <w:rsid w:val="00E474BF"/>
    <w:rsid w:val="00E47867"/>
    <w:rsid w:val="00E47977"/>
    <w:rsid w:val="00E47B2C"/>
    <w:rsid w:val="00E502EB"/>
    <w:rsid w:val="00E51041"/>
    <w:rsid w:val="00E510D9"/>
    <w:rsid w:val="00E511D1"/>
    <w:rsid w:val="00E5136A"/>
    <w:rsid w:val="00E51560"/>
    <w:rsid w:val="00E51821"/>
    <w:rsid w:val="00E51B89"/>
    <w:rsid w:val="00E51C0B"/>
    <w:rsid w:val="00E51E59"/>
    <w:rsid w:val="00E52B7C"/>
    <w:rsid w:val="00E530A9"/>
    <w:rsid w:val="00E53437"/>
    <w:rsid w:val="00E5377A"/>
    <w:rsid w:val="00E53924"/>
    <w:rsid w:val="00E53FC8"/>
    <w:rsid w:val="00E54347"/>
    <w:rsid w:val="00E54AA0"/>
    <w:rsid w:val="00E553B6"/>
    <w:rsid w:val="00E55424"/>
    <w:rsid w:val="00E55734"/>
    <w:rsid w:val="00E55915"/>
    <w:rsid w:val="00E55BB5"/>
    <w:rsid w:val="00E55BF0"/>
    <w:rsid w:val="00E568D6"/>
    <w:rsid w:val="00E56944"/>
    <w:rsid w:val="00E56BA2"/>
    <w:rsid w:val="00E57299"/>
    <w:rsid w:val="00E579FF"/>
    <w:rsid w:val="00E602A1"/>
    <w:rsid w:val="00E611DF"/>
    <w:rsid w:val="00E613D9"/>
    <w:rsid w:val="00E6236B"/>
    <w:rsid w:val="00E62810"/>
    <w:rsid w:val="00E62990"/>
    <w:rsid w:val="00E62BFE"/>
    <w:rsid w:val="00E62EE3"/>
    <w:rsid w:val="00E641F4"/>
    <w:rsid w:val="00E6451D"/>
    <w:rsid w:val="00E65E79"/>
    <w:rsid w:val="00E65F49"/>
    <w:rsid w:val="00E66964"/>
    <w:rsid w:val="00E66BA2"/>
    <w:rsid w:val="00E66E71"/>
    <w:rsid w:val="00E67196"/>
    <w:rsid w:val="00E67375"/>
    <w:rsid w:val="00E67416"/>
    <w:rsid w:val="00E674EA"/>
    <w:rsid w:val="00E67855"/>
    <w:rsid w:val="00E67E39"/>
    <w:rsid w:val="00E70C86"/>
    <w:rsid w:val="00E71553"/>
    <w:rsid w:val="00E7180B"/>
    <w:rsid w:val="00E718B6"/>
    <w:rsid w:val="00E71D81"/>
    <w:rsid w:val="00E723BA"/>
    <w:rsid w:val="00E73450"/>
    <w:rsid w:val="00E73581"/>
    <w:rsid w:val="00E7367F"/>
    <w:rsid w:val="00E73A3E"/>
    <w:rsid w:val="00E743E2"/>
    <w:rsid w:val="00E74756"/>
    <w:rsid w:val="00E7484B"/>
    <w:rsid w:val="00E7616D"/>
    <w:rsid w:val="00E76735"/>
    <w:rsid w:val="00E76B07"/>
    <w:rsid w:val="00E7758E"/>
    <w:rsid w:val="00E77963"/>
    <w:rsid w:val="00E80BFB"/>
    <w:rsid w:val="00E810E7"/>
    <w:rsid w:val="00E81918"/>
    <w:rsid w:val="00E8274E"/>
    <w:rsid w:val="00E82757"/>
    <w:rsid w:val="00E831D0"/>
    <w:rsid w:val="00E833F7"/>
    <w:rsid w:val="00E83BDF"/>
    <w:rsid w:val="00E84782"/>
    <w:rsid w:val="00E86032"/>
    <w:rsid w:val="00E86FCC"/>
    <w:rsid w:val="00E8750C"/>
    <w:rsid w:val="00E87A1D"/>
    <w:rsid w:val="00E87E84"/>
    <w:rsid w:val="00E9078F"/>
    <w:rsid w:val="00E9089E"/>
    <w:rsid w:val="00E9094A"/>
    <w:rsid w:val="00E9179B"/>
    <w:rsid w:val="00E91D35"/>
    <w:rsid w:val="00E91E14"/>
    <w:rsid w:val="00E923A8"/>
    <w:rsid w:val="00E926A5"/>
    <w:rsid w:val="00E92A3B"/>
    <w:rsid w:val="00E92C0D"/>
    <w:rsid w:val="00E92DD2"/>
    <w:rsid w:val="00E936B6"/>
    <w:rsid w:val="00E943AC"/>
    <w:rsid w:val="00E94424"/>
    <w:rsid w:val="00E9499A"/>
    <w:rsid w:val="00E95AEA"/>
    <w:rsid w:val="00E95B40"/>
    <w:rsid w:val="00E95DDA"/>
    <w:rsid w:val="00E95F46"/>
    <w:rsid w:val="00E962CC"/>
    <w:rsid w:val="00E96481"/>
    <w:rsid w:val="00E979FF"/>
    <w:rsid w:val="00EA032F"/>
    <w:rsid w:val="00EA07B4"/>
    <w:rsid w:val="00EA0EBA"/>
    <w:rsid w:val="00EA11AC"/>
    <w:rsid w:val="00EA17C3"/>
    <w:rsid w:val="00EA2041"/>
    <w:rsid w:val="00EA2442"/>
    <w:rsid w:val="00EA2CAA"/>
    <w:rsid w:val="00EA2F8B"/>
    <w:rsid w:val="00EA3864"/>
    <w:rsid w:val="00EA391D"/>
    <w:rsid w:val="00EA3F04"/>
    <w:rsid w:val="00EA3F3D"/>
    <w:rsid w:val="00EA462C"/>
    <w:rsid w:val="00EA4F83"/>
    <w:rsid w:val="00EA57F0"/>
    <w:rsid w:val="00EA58FF"/>
    <w:rsid w:val="00EA5B87"/>
    <w:rsid w:val="00EA60BC"/>
    <w:rsid w:val="00EA60C0"/>
    <w:rsid w:val="00EA6359"/>
    <w:rsid w:val="00EA69D0"/>
    <w:rsid w:val="00EA724A"/>
    <w:rsid w:val="00EA7422"/>
    <w:rsid w:val="00EA7F1C"/>
    <w:rsid w:val="00EB03A3"/>
    <w:rsid w:val="00EB0CA5"/>
    <w:rsid w:val="00EB15B6"/>
    <w:rsid w:val="00EB2367"/>
    <w:rsid w:val="00EB2830"/>
    <w:rsid w:val="00EB30B1"/>
    <w:rsid w:val="00EB3D06"/>
    <w:rsid w:val="00EB3F0E"/>
    <w:rsid w:val="00EB4153"/>
    <w:rsid w:val="00EB43EF"/>
    <w:rsid w:val="00EB4683"/>
    <w:rsid w:val="00EB4817"/>
    <w:rsid w:val="00EB4916"/>
    <w:rsid w:val="00EB49AC"/>
    <w:rsid w:val="00EB49DE"/>
    <w:rsid w:val="00EB4D89"/>
    <w:rsid w:val="00EB5587"/>
    <w:rsid w:val="00EB5AD0"/>
    <w:rsid w:val="00EB62DC"/>
    <w:rsid w:val="00EB681D"/>
    <w:rsid w:val="00EB6C94"/>
    <w:rsid w:val="00EB7E2E"/>
    <w:rsid w:val="00EC00C9"/>
    <w:rsid w:val="00EC0D6F"/>
    <w:rsid w:val="00EC0DD9"/>
    <w:rsid w:val="00EC2214"/>
    <w:rsid w:val="00EC2649"/>
    <w:rsid w:val="00EC2BEE"/>
    <w:rsid w:val="00EC31ED"/>
    <w:rsid w:val="00EC3F86"/>
    <w:rsid w:val="00EC4E0A"/>
    <w:rsid w:val="00EC5317"/>
    <w:rsid w:val="00EC5836"/>
    <w:rsid w:val="00EC611C"/>
    <w:rsid w:val="00EC688C"/>
    <w:rsid w:val="00EC6CBA"/>
    <w:rsid w:val="00EC720C"/>
    <w:rsid w:val="00EC7256"/>
    <w:rsid w:val="00ED10A5"/>
    <w:rsid w:val="00ED11B5"/>
    <w:rsid w:val="00ED12E3"/>
    <w:rsid w:val="00ED14B9"/>
    <w:rsid w:val="00ED14BD"/>
    <w:rsid w:val="00ED1CCD"/>
    <w:rsid w:val="00ED21F6"/>
    <w:rsid w:val="00ED28C6"/>
    <w:rsid w:val="00ED2F52"/>
    <w:rsid w:val="00ED4418"/>
    <w:rsid w:val="00ED4B04"/>
    <w:rsid w:val="00ED51CC"/>
    <w:rsid w:val="00ED559A"/>
    <w:rsid w:val="00ED56CB"/>
    <w:rsid w:val="00ED57EA"/>
    <w:rsid w:val="00ED5BD4"/>
    <w:rsid w:val="00ED5E5D"/>
    <w:rsid w:val="00ED5FFB"/>
    <w:rsid w:val="00ED6880"/>
    <w:rsid w:val="00ED6C77"/>
    <w:rsid w:val="00ED6FE2"/>
    <w:rsid w:val="00ED7C88"/>
    <w:rsid w:val="00ED7D44"/>
    <w:rsid w:val="00EE04B1"/>
    <w:rsid w:val="00EE07D3"/>
    <w:rsid w:val="00EE0869"/>
    <w:rsid w:val="00EE0B59"/>
    <w:rsid w:val="00EE0C06"/>
    <w:rsid w:val="00EE16E2"/>
    <w:rsid w:val="00EE1810"/>
    <w:rsid w:val="00EE1854"/>
    <w:rsid w:val="00EE1996"/>
    <w:rsid w:val="00EE1BDC"/>
    <w:rsid w:val="00EE1C01"/>
    <w:rsid w:val="00EE1CA8"/>
    <w:rsid w:val="00EE22AF"/>
    <w:rsid w:val="00EE30E1"/>
    <w:rsid w:val="00EE4AF4"/>
    <w:rsid w:val="00EE4DE2"/>
    <w:rsid w:val="00EE582C"/>
    <w:rsid w:val="00EE6B5D"/>
    <w:rsid w:val="00EE6F93"/>
    <w:rsid w:val="00EE783E"/>
    <w:rsid w:val="00EE7E94"/>
    <w:rsid w:val="00EF0171"/>
    <w:rsid w:val="00EF0656"/>
    <w:rsid w:val="00EF0685"/>
    <w:rsid w:val="00EF07ED"/>
    <w:rsid w:val="00EF0D3C"/>
    <w:rsid w:val="00EF1660"/>
    <w:rsid w:val="00EF1824"/>
    <w:rsid w:val="00EF1B25"/>
    <w:rsid w:val="00EF1DA0"/>
    <w:rsid w:val="00EF1E5D"/>
    <w:rsid w:val="00EF268A"/>
    <w:rsid w:val="00EF2751"/>
    <w:rsid w:val="00EF2778"/>
    <w:rsid w:val="00EF36D7"/>
    <w:rsid w:val="00EF3B12"/>
    <w:rsid w:val="00EF44F2"/>
    <w:rsid w:val="00EF4747"/>
    <w:rsid w:val="00EF4BF8"/>
    <w:rsid w:val="00EF4C7A"/>
    <w:rsid w:val="00EF4CF9"/>
    <w:rsid w:val="00EF51E7"/>
    <w:rsid w:val="00EF5E83"/>
    <w:rsid w:val="00EF61B8"/>
    <w:rsid w:val="00EF72D1"/>
    <w:rsid w:val="00EF7D3D"/>
    <w:rsid w:val="00F018AC"/>
    <w:rsid w:val="00F01A3C"/>
    <w:rsid w:val="00F01A47"/>
    <w:rsid w:val="00F01B07"/>
    <w:rsid w:val="00F01B8D"/>
    <w:rsid w:val="00F01EDC"/>
    <w:rsid w:val="00F02095"/>
    <w:rsid w:val="00F02253"/>
    <w:rsid w:val="00F022AD"/>
    <w:rsid w:val="00F02388"/>
    <w:rsid w:val="00F02C6E"/>
    <w:rsid w:val="00F02E90"/>
    <w:rsid w:val="00F02F68"/>
    <w:rsid w:val="00F03C2E"/>
    <w:rsid w:val="00F04273"/>
    <w:rsid w:val="00F04A66"/>
    <w:rsid w:val="00F04B4B"/>
    <w:rsid w:val="00F0516C"/>
    <w:rsid w:val="00F05309"/>
    <w:rsid w:val="00F0662C"/>
    <w:rsid w:val="00F067A2"/>
    <w:rsid w:val="00F07B8A"/>
    <w:rsid w:val="00F07B9E"/>
    <w:rsid w:val="00F0B8B0"/>
    <w:rsid w:val="00F10758"/>
    <w:rsid w:val="00F10A76"/>
    <w:rsid w:val="00F110A1"/>
    <w:rsid w:val="00F1116F"/>
    <w:rsid w:val="00F118C9"/>
    <w:rsid w:val="00F12267"/>
    <w:rsid w:val="00F12604"/>
    <w:rsid w:val="00F1263A"/>
    <w:rsid w:val="00F126AB"/>
    <w:rsid w:val="00F12C19"/>
    <w:rsid w:val="00F13562"/>
    <w:rsid w:val="00F139C5"/>
    <w:rsid w:val="00F14279"/>
    <w:rsid w:val="00F148D7"/>
    <w:rsid w:val="00F1589D"/>
    <w:rsid w:val="00F15B77"/>
    <w:rsid w:val="00F16057"/>
    <w:rsid w:val="00F17534"/>
    <w:rsid w:val="00F20144"/>
    <w:rsid w:val="00F21236"/>
    <w:rsid w:val="00F219CB"/>
    <w:rsid w:val="00F231F8"/>
    <w:rsid w:val="00F2379B"/>
    <w:rsid w:val="00F239DF"/>
    <w:rsid w:val="00F24837"/>
    <w:rsid w:val="00F249A6"/>
    <w:rsid w:val="00F24C82"/>
    <w:rsid w:val="00F2575F"/>
    <w:rsid w:val="00F258BA"/>
    <w:rsid w:val="00F2598D"/>
    <w:rsid w:val="00F25E4B"/>
    <w:rsid w:val="00F25EEF"/>
    <w:rsid w:val="00F27565"/>
    <w:rsid w:val="00F2757B"/>
    <w:rsid w:val="00F277D9"/>
    <w:rsid w:val="00F2782A"/>
    <w:rsid w:val="00F310D4"/>
    <w:rsid w:val="00F314EB"/>
    <w:rsid w:val="00F31D5A"/>
    <w:rsid w:val="00F32015"/>
    <w:rsid w:val="00F322B1"/>
    <w:rsid w:val="00F3294C"/>
    <w:rsid w:val="00F32BA2"/>
    <w:rsid w:val="00F32F04"/>
    <w:rsid w:val="00F336D9"/>
    <w:rsid w:val="00F33975"/>
    <w:rsid w:val="00F33DE9"/>
    <w:rsid w:val="00F356B7"/>
    <w:rsid w:val="00F35BAE"/>
    <w:rsid w:val="00F35E6D"/>
    <w:rsid w:val="00F3619A"/>
    <w:rsid w:val="00F36DDF"/>
    <w:rsid w:val="00F36F66"/>
    <w:rsid w:val="00F3729A"/>
    <w:rsid w:val="00F37A49"/>
    <w:rsid w:val="00F37D5C"/>
    <w:rsid w:val="00F40AAA"/>
    <w:rsid w:val="00F40ACD"/>
    <w:rsid w:val="00F40BA7"/>
    <w:rsid w:val="00F40F9D"/>
    <w:rsid w:val="00F41ACD"/>
    <w:rsid w:val="00F420C6"/>
    <w:rsid w:val="00F42155"/>
    <w:rsid w:val="00F42A4F"/>
    <w:rsid w:val="00F42D09"/>
    <w:rsid w:val="00F4369F"/>
    <w:rsid w:val="00F4374F"/>
    <w:rsid w:val="00F43B89"/>
    <w:rsid w:val="00F440A7"/>
    <w:rsid w:val="00F44423"/>
    <w:rsid w:val="00F4444C"/>
    <w:rsid w:val="00F44653"/>
    <w:rsid w:val="00F45EF8"/>
    <w:rsid w:val="00F4646D"/>
    <w:rsid w:val="00F46570"/>
    <w:rsid w:val="00F46A38"/>
    <w:rsid w:val="00F46CB6"/>
    <w:rsid w:val="00F46E23"/>
    <w:rsid w:val="00F47121"/>
    <w:rsid w:val="00F4756D"/>
    <w:rsid w:val="00F47752"/>
    <w:rsid w:val="00F47DE8"/>
    <w:rsid w:val="00F503D1"/>
    <w:rsid w:val="00F51100"/>
    <w:rsid w:val="00F512F6"/>
    <w:rsid w:val="00F514D9"/>
    <w:rsid w:val="00F51B1F"/>
    <w:rsid w:val="00F5346E"/>
    <w:rsid w:val="00F542C1"/>
    <w:rsid w:val="00F54619"/>
    <w:rsid w:val="00F54AC7"/>
    <w:rsid w:val="00F550E3"/>
    <w:rsid w:val="00F55E73"/>
    <w:rsid w:val="00F55EDA"/>
    <w:rsid w:val="00F5633F"/>
    <w:rsid w:val="00F563D2"/>
    <w:rsid w:val="00F563EC"/>
    <w:rsid w:val="00F565EC"/>
    <w:rsid w:val="00F56C80"/>
    <w:rsid w:val="00F56EE0"/>
    <w:rsid w:val="00F57C80"/>
    <w:rsid w:val="00F57C92"/>
    <w:rsid w:val="00F6001C"/>
    <w:rsid w:val="00F60092"/>
    <w:rsid w:val="00F60CA3"/>
    <w:rsid w:val="00F60E6F"/>
    <w:rsid w:val="00F6123E"/>
    <w:rsid w:val="00F6156E"/>
    <w:rsid w:val="00F61C18"/>
    <w:rsid w:val="00F62688"/>
    <w:rsid w:val="00F64408"/>
    <w:rsid w:val="00F64627"/>
    <w:rsid w:val="00F64F53"/>
    <w:rsid w:val="00F64F79"/>
    <w:rsid w:val="00F650FF"/>
    <w:rsid w:val="00F65F4B"/>
    <w:rsid w:val="00F662FE"/>
    <w:rsid w:val="00F66808"/>
    <w:rsid w:val="00F66846"/>
    <w:rsid w:val="00F67979"/>
    <w:rsid w:val="00F67A69"/>
    <w:rsid w:val="00F70783"/>
    <w:rsid w:val="00F70B69"/>
    <w:rsid w:val="00F70BFF"/>
    <w:rsid w:val="00F70C9D"/>
    <w:rsid w:val="00F72994"/>
    <w:rsid w:val="00F73506"/>
    <w:rsid w:val="00F73945"/>
    <w:rsid w:val="00F73E08"/>
    <w:rsid w:val="00F73E1D"/>
    <w:rsid w:val="00F73F98"/>
    <w:rsid w:val="00F74412"/>
    <w:rsid w:val="00F74CD9"/>
    <w:rsid w:val="00F75B9C"/>
    <w:rsid w:val="00F75DAE"/>
    <w:rsid w:val="00F75F07"/>
    <w:rsid w:val="00F760E5"/>
    <w:rsid w:val="00F76357"/>
    <w:rsid w:val="00F7636C"/>
    <w:rsid w:val="00F80215"/>
    <w:rsid w:val="00F805B4"/>
    <w:rsid w:val="00F8070E"/>
    <w:rsid w:val="00F80A7B"/>
    <w:rsid w:val="00F80BD7"/>
    <w:rsid w:val="00F80E5D"/>
    <w:rsid w:val="00F8149E"/>
    <w:rsid w:val="00F81577"/>
    <w:rsid w:val="00F819AF"/>
    <w:rsid w:val="00F81E37"/>
    <w:rsid w:val="00F81E78"/>
    <w:rsid w:val="00F820EE"/>
    <w:rsid w:val="00F82B05"/>
    <w:rsid w:val="00F82B21"/>
    <w:rsid w:val="00F82C68"/>
    <w:rsid w:val="00F82E0D"/>
    <w:rsid w:val="00F83916"/>
    <w:rsid w:val="00F83F8A"/>
    <w:rsid w:val="00F845E1"/>
    <w:rsid w:val="00F85019"/>
    <w:rsid w:val="00F851CE"/>
    <w:rsid w:val="00F8550F"/>
    <w:rsid w:val="00F859E7"/>
    <w:rsid w:val="00F87752"/>
    <w:rsid w:val="00F87D7D"/>
    <w:rsid w:val="00F87E6C"/>
    <w:rsid w:val="00F90165"/>
    <w:rsid w:val="00F90305"/>
    <w:rsid w:val="00F90ABE"/>
    <w:rsid w:val="00F90F73"/>
    <w:rsid w:val="00F91219"/>
    <w:rsid w:val="00F92444"/>
    <w:rsid w:val="00F925D0"/>
    <w:rsid w:val="00F926E9"/>
    <w:rsid w:val="00F928DA"/>
    <w:rsid w:val="00F931B1"/>
    <w:rsid w:val="00F934FB"/>
    <w:rsid w:val="00F93892"/>
    <w:rsid w:val="00F9393E"/>
    <w:rsid w:val="00F93948"/>
    <w:rsid w:val="00F93F62"/>
    <w:rsid w:val="00F93F67"/>
    <w:rsid w:val="00F948F3"/>
    <w:rsid w:val="00F94A65"/>
    <w:rsid w:val="00F9546E"/>
    <w:rsid w:val="00F96133"/>
    <w:rsid w:val="00F9642D"/>
    <w:rsid w:val="00F96FD0"/>
    <w:rsid w:val="00F97A78"/>
    <w:rsid w:val="00FA0B20"/>
    <w:rsid w:val="00FA0DA3"/>
    <w:rsid w:val="00FA0E22"/>
    <w:rsid w:val="00FA120B"/>
    <w:rsid w:val="00FA24E7"/>
    <w:rsid w:val="00FA251B"/>
    <w:rsid w:val="00FA294E"/>
    <w:rsid w:val="00FA2A05"/>
    <w:rsid w:val="00FA2B35"/>
    <w:rsid w:val="00FA312B"/>
    <w:rsid w:val="00FA457A"/>
    <w:rsid w:val="00FA5EE6"/>
    <w:rsid w:val="00FA6BC9"/>
    <w:rsid w:val="00FA6EE6"/>
    <w:rsid w:val="00FA78CE"/>
    <w:rsid w:val="00FA792C"/>
    <w:rsid w:val="00FA7956"/>
    <w:rsid w:val="00FA7A35"/>
    <w:rsid w:val="00FB02F6"/>
    <w:rsid w:val="00FB0824"/>
    <w:rsid w:val="00FB0862"/>
    <w:rsid w:val="00FB0E41"/>
    <w:rsid w:val="00FB15E2"/>
    <w:rsid w:val="00FB1849"/>
    <w:rsid w:val="00FB1A02"/>
    <w:rsid w:val="00FB20BD"/>
    <w:rsid w:val="00FB2256"/>
    <w:rsid w:val="00FB2827"/>
    <w:rsid w:val="00FB2FCB"/>
    <w:rsid w:val="00FB35C7"/>
    <w:rsid w:val="00FB37B5"/>
    <w:rsid w:val="00FB3A40"/>
    <w:rsid w:val="00FB3AE0"/>
    <w:rsid w:val="00FB4879"/>
    <w:rsid w:val="00FB4C9C"/>
    <w:rsid w:val="00FB50D7"/>
    <w:rsid w:val="00FB5304"/>
    <w:rsid w:val="00FB5671"/>
    <w:rsid w:val="00FB5C46"/>
    <w:rsid w:val="00FB71E0"/>
    <w:rsid w:val="00FB7715"/>
    <w:rsid w:val="00FB7A93"/>
    <w:rsid w:val="00FB7C55"/>
    <w:rsid w:val="00FC05B6"/>
    <w:rsid w:val="00FC0AEB"/>
    <w:rsid w:val="00FC0E6B"/>
    <w:rsid w:val="00FC1074"/>
    <w:rsid w:val="00FC118A"/>
    <w:rsid w:val="00FC159E"/>
    <w:rsid w:val="00FC1884"/>
    <w:rsid w:val="00FC27EB"/>
    <w:rsid w:val="00FC335C"/>
    <w:rsid w:val="00FC3535"/>
    <w:rsid w:val="00FC371D"/>
    <w:rsid w:val="00FC3DC6"/>
    <w:rsid w:val="00FC4300"/>
    <w:rsid w:val="00FC4592"/>
    <w:rsid w:val="00FC4EC5"/>
    <w:rsid w:val="00FC518C"/>
    <w:rsid w:val="00FC51C7"/>
    <w:rsid w:val="00FC5F0B"/>
    <w:rsid w:val="00FC6258"/>
    <w:rsid w:val="00FC71B6"/>
    <w:rsid w:val="00FC7338"/>
    <w:rsid w:val="00FD0213"/>
    <w:rsid w:val="00FD0C87"/>
    <w:rsid w:val="00FD1922"/>
    <w:rsid w:val="00FD1BC5"/>
    <w:rsid w:val="00FD1D2F"/>
    <w:rsid w:val="00FD2100"/>
    <w:rsid w:val="00FD2478"/>
    <w:rsid w:val="00FD25BF"/>
    <w:rsid w:val="00FD2BF3"/>
    <w:rsid w:val="00FD2F20"/>
    <w:rsid w:val="00FD37AC"/>
    <w:rsid w:val="00FD3C9B"/>
    <w:rsid w:val="00FD415E"/>
    <w:rsid w:val="00FD436C"/>
    <w:rsid w:val="00FD446D"/>
    <w:rsid w:val="00FD4B61"/>
    <w:rsid w:val="00FD4F2C"/>
    <w:rsid w:val="00FD5418"/>
    <w:rsid w:val="00FD5C4E"/>
    <w:rsid w:val="00FD612D"/>
    <w:rsid w:val="00FD6394"/>
    <w:rsid w:val="00FD6403"/>
    <w:rsid w:val="00FD69BB"/>
    <w:rsid w:val="00FD7190"/>
    <w:rsid w:val="00FD755A"/>
    <w:rsid w:val="00FD7713"/>
    <w:rsid w:val="00FD782E"/>
    <w:rsid w:val="00FD7833"/>
    <w:rsid w:val="00FD7CDD"/>
    <w:rsid w:val="00FD7E28"/>
    <w:rsid w:val="00FE0560"/>
    <w:rsid w:val="00FE0869"/>
    <w:rsid w:val="00FE096B"/>
    <w:rsid w:val="00FE0C4D"/>
    <w:rsid w:val="00FE0E6C"/>
    <w:rsid w:val="00FE13F4"/>
    <w:rsid w:val="00FE14DE"/>
    <w:rsid w:val="00FE1CDC"/>
    <w:rsid w:val="00FE2A52"/>
    <w:rsid w:val="00FE2B68"/>
    <w:rsid w:val="00FE4132"/>
    <w:rsid w:val="00FE4DFD"/>
    <w:rsid w:val="00FE5149"/>
    <w:rsid w:val="00FE5AEC"/>
    <w:rsid w:val="00FE68E3"/>
    <w:rsid w:val="00FE7007"/>
    <w:rsid w:val="00FE70C3"/>
    <w:rsid w:val="00FE7356"/>
    <w:rsid w:val="00FE74FF"/>
    <w:rsid w:val="00FF0178"/>
    <w:rsid w:val="00FF0447"/>
    <w:rsid w:val="00FF10CC"/>
    <w:rsid w:val="00FF1176"/>
    <w:rsid w:val="00FF199E"/>
    <w:rsid w:val="00FF1A8B"/>
    <w:rsid w:val="00FF1AF2"/>
    <w:rsid w:val="00FF273F"/>
    <w:rsid w:val="00FF2AD9"/>
    <w:rsid w:val="00FF359F"/>
    <w:rsid w:val="00FF3DCF"/>
    <w:rsid w:val="00FF3E57"/>
    <w:rsid w:val="00FF4461"/>
    <w:rsid w:val="00FF492C"/>
    <w:rsid w:val="00FF4A21"/>
    <w:rsid w:val="00FF5A47"/>
    <w:rsid w:val="00FF5AA3"/>
    <w:rsid w:val="00FF5AD8"/>
    <w:rsid w:val="00FF6B20"/>
    <w:rsid w:val="00FF76C6"/>
    <w:rsid w:val="00FF7997"/>
    <w:rsid w:val="00FF7ABB"/>
    <w:rsid w:val="010070B2"/>
    <w:rsid w:val="01422458"/>
    <w:rsid w:val="01629E60"/>
    <w:rsid w:val="01B0011D"/>
    <w:rsid w:val="027BD678"/>
    <w:rsid w:val="05DA5EAD"/>
    <w:rsid w:val="074E62EA"/>
    <w:rsid w:val="076AB5A6"/>
    <w:rsid w:val="07751042"/>
    <w:rsid w:val="07C6FCF6"/>
    <w:rsid w:val="08C27E43"/>
    <w:rsid w:val="08D91D3D"/>
    <w:rsid w:val="0A915FE9"/>
    <w:rsid w:val="0AF5F027"/>
    <w:rsid w:val="0C8B38BB"/>
    <w:rsid w:val="0CE4DC14"/>
    <w:rsid w:val="0D304E2F"/>
    <w:rsid w:val="0D33B06A"/>
    <w:rsid w:val="0E40B833"/>
    <w:rsid w:val="0ED33D3C"/>
    <w:rsid w:val="0F551C03"/>
    <w:rsid w:val="0F6AABB0"/>
    <w:rsid w:val="10156CB4"/>
    <w:rsid w:val="103C5564"/>
    <w:rsid w:val="106C7930"/>
    <w:rsid w:val="10C7E8C4"/>
    <w:rsid w:val="10E7746B"/>
    <w:rsid w:val="10E855DF"/>
    <w:rsid w:val="115E040D"/>
    <w:rsid w:val="11FFF704"/>
    <w:rsid w:val="134AB60D"/>
    <w:rsid w:val="13938A5A"/>
    <w:rsid w:val="13AACF0D"/>
    <w:rsid w:val="13EB38E2"/>
    <w:rsid w:val="143CA111"/>
    <w:rsid w:val="1471C95B"/>
    <w:rsid w:val="14C03645"/>
    <w:rsid w:val="14CAD7F7"/>
    <w:rsid w:val="15AEE18F"/>
    <w:rsid w:val="16995AA7"/>
    <w:rsid w:val="16EF217D"/>
    <w:rsid w:val="172D5BE0"/>
    <w:rsid w:val="176554A9"/>
    <w:rsid w:val="178E3235"/>
    <w:rsid w:val="18478136"/>
    <w:rsid w:val="1A37BB9D"/>
    <w:rsid w:val="1A5CF5A5"/>
    <w:rsid w:val="1A61F5C3"/>
    <w:rsid w:val="1A65C289"/>
    <w:rsid w:val="1B508D26"/>
    <w:rsid w:val="1B5CFE1A"/>
    <w:rsid w:val="1B838ED0"/>
    <w:rsid w:val="1BA12271"/>
    <w:rsid w:val="1BC4D414"/>
    <w:rsid w:val="1C20616B"/>
    <w:rsid w:val="1D5E9804"/>
    <w:rsid w:val="1D8482B6"/>
    <w:rsid w:val="1F132A12"/>
    <w:rsid w:val="1F14BFE0"/>
    <w:rsid w:val="1F280F5C"/>
    <w:rsid w:val="1F47143D"/>
    <w:rsid w:val="206724C8"/>
    <w:rsid w:val="20885BF8"/>
    <w:rsid w:val="20F094A1"/>
    <w:rsid w:val="213631FF"/>
    <w:rsid w:val="215DF76F"/>
    <w:rsid w:val="2161F261"/>
    <w:rsid w:val="229249B8"/>
    <w:rsid w:val="22F7CEE1"/>
    <w:rsid w:val="244A3619"/>
    <w:rsid w:val="2521268E"/>
    <w:rsid w:val="253C5A5C"/>
    <w:rsid w:val="258F1E62"/>
    <w:rsid w:val="25F71D79"/>
    <w:rsid w:val="26FF4874"/>
    <w:rsid w:val="28B9C5C7"/>
    <w:rsid w:val="2944F910"/>
    <w:rsid w:val="29FCEB69"/>
    <w:rsid w:val="2A590CE4"/>
    <w:rsid w:val="2A957AE5"/>
    <w:rsid w:val="2AC841F5"/>
    <w:rsid w:val="2AD11DDF"/>
    <w:rsid w:val="2B5EFB3A"/>
    <w:rsid w:val="2C38C65F"/>
    <w:rsid w:val="2C61E100"/>
    <w:rsid w:val="2CA1C9EA"/>
    <w:rsid w:val="2CB412E4"/>
    <w:rsid w:val="2CE61778"/>
    <w:rsid w:val="2CF2C65B"/>
    <w:rsid w:val="2CFE1D73"/>
    <w:rsid w:val="2D47E617"/>
    <w:rsid w:val="2D72767E"/>
    <w:rsid w:val="2E51F850"/>
    <w:rsid w:val="2EC330A2"/>
    <w:rsid w:val="2F0E0EB1"/>
    <w:rsid w:val="2F3A644A"/>
    <w:rsid w:val="2FD7289A"/>
    <w:rsid w:val="312D435F"/>
    <w:rsid w:val="3154F80D"/>
    <w:rsid w:val="31748E07"/>
    <w:rsid w:val="31AF9521"/>
    <w:rsid w:val="31B48FF4"/>
    <w:rsid w:val="323AB516"/>
    <w:rsid w:val="3362D816"/>
    <w:rsid w:val="3374C5C1"/>
    <w:rsid w:val="33EEA517"/>
    <w:rsid w:val="33F2FA3C"/>
    <w:rsid w:val="343914DB"/>
    <w:rsid w:val="3468F0CF"/>
    <w:rsid w:val="34B63B72"/>
    <w:rsid w:val="352C92F4"/>
    <w:rsid w:val="36310813"/>
    <w:rsid w:val="3687A069"/>
    <w:rsid w:val="36DDD6AE"/>
    <w:rsid w:val="36F5D3E5"/>
    <w:rsid w:val="37AA3E32"/>
    <w:rsid w:val="3858B247"/>
    <w:rsid w:val="3A3CD6AE"/>
    <w:rsid w:val="3AE754BE"/>
    <w:rsid w:val="3B3B3779"/>
    <w:rsid w:val="3B48B974"/>
    <w:rsid w:val="3B87EAC3"/>
    <w:rsid w:val="3C55A7FE"/>
    <w:rsid w:val="3C9EF209"/>
    <w:rsid w:val="3DAF7A92"/>
    <w:rsid w:val="3DC59C7D"/>
    <w:rsid w:val="3E275E62"/>
    <w:rsid w:val="3EAC27F4"/>
    <w:rsid w:val="3F9C6F57"/>
    <w:rsid w:val="3FB20FBA"/>
    <w:rsid w:val="3FC5A8D3"/>
    <w:rsid w:val="3FF6D80F"/>
    <w:rsid w:val="401FDB20"/>
    <w:rsid w:val="410772B1"/>
    <w:rsid w:val="411C7CE4"/>
    <w:rsid w:val="412217BF"/>
    <w:rsid w:val="41263A53"/>
    <w:rsid w:val="41843B97"/>
    <w:rsid w:val="41851BB8"/>
    <w:rsid w:val="41B49B42"/>
    <w:rsid w:val="420558C4"/>
    <w:rsid w:val="421325B1"/>
    <w:rsid w:val="42551736"/>
    <w:rsid w:val="436B22E4"/>
    <w:rsid w:val="43F680E7"/>
    <w:rsid w:val="44EC4874"/>
    <w:rsid w:val="45145B06"/>
    <w:rsid w:val="4559AFD6"/>
    <w:rsid w:val="459AC77B"/>
    <w:rsid w:val="461CBCFF"/>
    <w:rsid w:val="46633252"/>
    <w:rsid w:val="477B449B"/>
    <w:rsid w:val="47B158C1"/>
    <w:rsid w:val="480F593D"/>
    <w:rsid w:val="484084AE"/>
    <w:rsid w:val="48501868"/>
    <w:rsid w:val="48CA3EB3"/>
    <w:rsid w:val="491CD12C"/>
    <w:rsid w:val="4A4EE160"/>
    <w:rsid w:val="4AB9E0B4"/>
    <w:rsid w:val="4B23AFAE"/>
    <w:rsid w:val="4B323D7E"/>
    <w:rsid w:val="4BB49763"/>
    <w:rsid w:val="4C0EC1AD"/>
    <w:rsid w:val="4C3FCAA5"/>
    <w:rsid w:val="4D38AAD8"/>
    <w:rsid w:val="4DD9B746"/>
    <w:rsid w:val="4E029601"/>
    <w:rsid w:val="4E6EDD58"/>
    <w:rsid w:val="4F3E14B0"/>
    <w:rsid w:val="4F7D516C"/>
    <w:rsid w:val="4FF23788"/>
    <w:rsid w:val="4FFCA1AD"/>
    <w:rsid w:val="501C0254"/>
    <w:rsid w:val="50CC38A7"/>
    <w:rsid w:val="510E7611"/>
    <w:rsid w:val="51E9F5F0"/>
    <w:rsid w:val="52A64F93"/>
    <w:rsid w:val="5313E11B"/>
    <w:rsid w:val="536B003B"/>
    <w:rsid w:val="54B00626"/>
    <w:rsid w:val="54BD1701"/>
    <w:rsid w:val="56009DF4"/>
    <w:rsid w:val="569E9C04"/>
    <w:rsid w:val="56B2BB58"/>
    <w:rsid w:val="571D580A"/>
    <w:rsid w:val="57D8A985"/>
    <w:rsid w:val="58E1C655"/>
    <w:rsid w:val="5993638D"/>
    <w:rsid w:val="59AEE09B"/>
    <w:rsid w:val="5A131ED3"/>
    <w:rsid w:val="5AFA81CB"/>
    <w:rsid w:val="5B297AAA"/>
    <w:rsid w:val="5B4BDA43"/>
    <w:rsid w:val="5B6D1D98"/>
    <w:rsid w:val="5B96023C"/>
    <w:rsid w:val="5BB1F673"/>
    <w:rsid w:val="5C1539F3"/>
    <w:rsid w:val="5C6B1990"/>
    <w:rsid w:val="5C7D236F"/>
    <w:rsid w:val="5CF8188A"/>
    <w:rsid w:val="5D003BC9"/>
    <w:rsid w:val="5F1EF10F"/>
    <w:rsid w:val="5F9A4787"/>
    <w:rsid w:val="6024E38E"/>
    <w:rsid w:val="60666792"/>
    <w:rsid w:val="60C1534E"/>
    <w:rsid w:val="60D5871B"/>
    <w:rsid w:val="610B93F7"/>
    <w:rsid w:val="61409F46"/>
    <w:rsid w:val="61E4DE16"/>
    <w:rsid w:val="61E8096B"/>
    <w:rsid w:val="6373B75F"/>
    <w:rsid w:val="63861B06"/>
    <w:rsid w:val="638C44FD"/>
    <w:rsid w:val="647975D2"/>
    <w:rsid w:val="649223FF"/>
    <w:rsid w:val="64ADC8EB"/>
    <w:rsid w:val="64AF3A3A"/>
    <w:rsid w:val="65231DDF"/>
    <w:rsid w:val="65461725"/>
    <w:rsid w:val="65780B23"/>
    <w:rsid w:val="65D71F7E"/>
    <w:rsid w:val="661E2ECA"/>
    <w:rsid w:val="668167DE"/>
    <w:rsid w:val="67A9AD30"/>
    <w:rsid w:val="67E1A7FF"/>
    <w:rsid w:val="68FFC0E8"/>
    <w:rsid w:val="6BCBB998"/>
    <w:rsid w:val="6C093C78"/>
    <w:rsid w:val="6C6BA4EE"/>
    <w:rsid w:val="6D6C76FA"/>
    <w:rsid w:val="6DADAF9F"/>
    <w:rsid w:val="6DD959B3"/>
    <w:rsid w:val="6E108253"/>
    <w:rsid w:val="6E1EAD09"/>
    <w:rsid w:val="6E1FDC70"/>
    <w:rsid w:val="6ED348BC"/>
    <w:rsid w:val="6F23DF19"/>
    <w:rsid w:val="6F25C2D6"/>
    <w:rsid w:val="71297CE8"/>
    <w:rsid w:val="71CBE858"/>
    <w:rsid w:val="72674083"/>
    <w:rsid w:val="72E03963"/>
    <w:rsid w:val="72EB1290"/>
    <w:rsid w:val="7332C32F"/>
    <w:rsid w:val="73452CF1"/>
    <w:rsid w:val="7378D1F7"/>
    <w:rsid w:val="73A6CB03"/>
    <w:rsid w:val="74E73463"/>
    <w:rsid w:val="74F4E3E6"/>
    <w:rsid w:val="75A2E527"/>
    <w:rsid w:val="75ABB4D3"/>
    <w:rsid w:val="75E1E867"/>
    <w:rsid w:val="777DDE2B"/>
    <w:rsid w:val="78083AD2"/>
    <w:rsid w:val="78AF3586"/>
    <w:rsid w:val="79350A73"/>
    <w:rsid w:val="7A5795D7"/>
    <w:rsid w:val="7A82258C"/>
    <w:rsid w:val="7A857649"/>
    <w:rsid w:val="7AC57FF5"/>
    <w:rsid w:val="7AC80A90"/>
    <w:rsid w:val="7AE36564"/>
    <w:rsid w:val="7AE54FAA"/>
    <w:rsid w:val="7B548703"/>
    <w:rsid w:val="7BAF998E"/>
    <w:rsid w:val="7CFA5DCE"/>
    <w:rsid w:val="7D6D0207"/>
    <w:rsid w:val="7DF728AC"/>
    <w:rsid w:val="7E13B5FC"/>
    <w:rsid w:val="7E644A46"/>
    <w:rsid w:val="7F81E827"/>
    <w:rsid w:val="7FEC78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A0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qFormat/>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MSD Table Grid,Dossier table,Summary Table,PHE Table Grid,Lash Style Table,Section 3- footnotes"/>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Annotationtext,Char, Char,Char1,Char2,Comment Text Char1 Char,Comment Text Char Char Char,list paragraph 2,Comment Text ZS,Comment Text Char Char,Comment Text Char2 Char,Comment Text Char Char1 Char, Car17, Car17 Car,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 H19 Char,Annotationtext Char,Char Char, Char Char,Char1 Char,Char2 Char,Comment Text Char1 Char Char,Comment Text Char Char Char Char,list paragraph 2 Char,Comment Text ZS Char,Comment Text Char Char Char1, Car17 Char, Car17 C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normaltextrun">
    <w:name w:val="normaltextrun"/>
    <w:basedOn w:val="DefaultParagraphFont"/>
    <w:rsid w:val="003475D0"/>
  </w:style>
  <w:style w:type="character" w:customStyle="1" w:styleId="eop">
    <w:name w:val="eop"/>
    <w:basedOn w:val="DefaultParagraphFont"/>
    <w:rsid w:val="003475D0"/>
  </w:style>
  <w:style w:type="paragraph" w:customStyle="1" w:styleId="TableFigureFooter">
    <w:name w:val="Table/Figure Footer"/>
    <w:basedOn w:val="Normal"/>
    <w:next w:val="3-BodyText"/>
    <w:link w:val="TableFigureFooterChar"/>
    <w:autoRedefine/>
    <w:qFormat/>
    <w:rsid w:val="006C554D"/>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6C554D"/>
    <w:rPr>
      <w:rFonts w:ascii="Arial Narrow" w:hAnsi="Arial Narrow" w:cs="Arial"/>
      <w:snapToGrid w:val="0"/>
      <w:sz w:val="18"/>
      <w:szCs w:val="22"/>
    </w:rPr>
  </w:style>
  <w:style w:type="paragraph" w:customStyle="1" w:styleId="paragraph">
    <w:name w:val="paragraph"/>
    <w:basedOn w:val="Normal"/>
    <w:rsid w:val="00047545"/>
    <w:pPr>
      <w:spacing w:before="100" w:beforeAutospacing="1" w:after="100" w:afterAutospacing="1"/>
      <w:jc w:val="left"/>
    </w:pPr>
    <w:rPr>
      <w:rFonts w:ascii="Times New Roman" w:hAnsi="Times New Roman" w:cs="Times New Roman"/>
    </w:rPr>
  </w:style>
  <w:style w:type="paragraph" w:styleId="FootnoteText">
    <w:name w:val="footnote text"/>
    <w:basedOn w:val="Normal"/>
    <w:link w:val="FootnoteTextChar"/>
    <w:uiPriority w:val="99"/>
    <w:semiHidden/>
    <w:unhideWhenUsed/>
    <w:rsid w:val="00047545"/>
    <w:rPr>
      <w:sz w:val="20"/>
      <w:szCs w:val="20"/>
    </w:rPr>
  </w:style>
  <w:style w:type="character" w:customStyle="1" w:styleId="FootnoteTextChar">
    <w:name w:val="Footnote Text Char"/>
    <w:basedOn w:val="DefaultParagraphFont"/>
    <w:link w:val="FootnoteText"/>
    <w:uiPriority w:val="99"/>
    <w:semiHidden/>
    <w:rsid w:val="00047545"/>
    <w:rPr>
      <w:rFonts w:ascii="Calibri" w:hAnsi="Calibri" w:cs="Arial"/>
    </w:rPr>
  </w:style>
  <w:style w:type="character" w:styleId="FootnoteReference">
    <w:name w:val="footnote reference"/>
    <w:basedOn w:val="DefaultParagraphFont"/>
    <w:uiPriority w:val="99"/>
    <w:semiHidden/>
    <w:unhideWhenUsed/>
    <w:rsid w:val="00047545"/>
    <w:rPr>
      <w:vertAlign w:val="superscript"/>
    </w:rPr>
  </w:style>
  <w:style w:type="character" w:styleId="Mention">
    <w:name w:val="Mention"/>
    <w:basedOn w:val="DefaultParagraphFont"/>
    <w:uiPriority w:val="99"/>
    <w:unhideWhenUsed/>
    <w:rsid w:val="00047545"/>
    <w:rPr>
      <w:color w:val="2B579A"/>
      <w:shd w:val="clear" w:color="auto" w:fill="E1DFDD"/>
    </w:rPr>
  </w:style>
  <w:style w:type="paragraph" w:customStyle="1" w:styleId="PBACTabletext">
    <w:name w:val="PBAC Table text"/>
    <w:qFormat/>
    <w:rsid w:val="00047545"/>
    <w:pPr>
      <w:keepNext/>
      <w:keepLines/>
      <w:suppressLineNumbers/>
      <w:spacing w:after="20"/>
      <w:textboxTightWrap w:val="allLines"/>
    </w:pPr>
    <w:rPr>
      <w:rFonts w:ascii="Arial Narrow" w:hAnsi="Arial Narrow" w:cs="Arial"/>
      <w:szCs w:val="24"/>
      <w:lang w:eastAsia="en-GB"/>
    </w:rPr>
  </w:style>
  <w:style w:type="paragraph" w:styleId="EndnoteText">
    <w:name w:val="endnote text"/>
    <w:basedOn w:val="Normal"/>
    <w:link w:val="EndnoteTextChar"/>
    <w:uiPriority w:val="99"/>
    <w:semiHidden/>
    <w:unhideWhenUsed/>
    <w:rsid w:val="00047545"/>
    <w:pPr>
      <w:jc w:val="left"/>
    </w:pPr>
    <w:rPr>
      <w:rFonts w:asciiTheme="minorHAnsi" w:eastAsiaTheme="minorHAnsi" w:hAnsiTheme="minorHAnsi" w:cstheme="minorBidi"/>
      <w:kern w:val="2"/>
      <w:sz w:val="20"/>
      <w:szCs w:val="20"/>
      <w:lang w:eastAsia="en-US"/>
      <w14:ligatures w14:val="standardContextual"/>
    </w:rPr>
  </w:style>
  <w:style w:type="character" w:customStyle="1" w:styleId="EndnoteTextChar">
    <w:name w:val="Endnote Text Char"/>
    <w:basedOn w:val="DefaultParagraphFont"/>
    <w:link w:val="EndnoteText"/>
    <w:uiPriority w:val="99"/>
    <w:semiHidden/>
    <w:rsid w:val="00047545"/>
    <w:rPr>
      <w:rFonts w:asciiTheme="minorHAnsi" w:eastAsiaTheme="minorHAnsi" w:hAnsiTheme="minorHAnsi" w:cstheme="minorBidi"/>
      <w:kern w:val="2"/>
      <w:lang w:eastAsia="en-US"/>
      <w14:ligatures w14:val="standardContextual"/>
    </w:rPr>
  </w:style>
  <w:style w:type="character" w:styleId="EndnoteReference">
    <w:name w:val="endnote reference"/>
    <w:basedOn w:val="DefaultParagraphFont"/>
    <w:uiPriority w:val="99"/>
    <w:unhideWhenUsed/>
    <w:rsid w:val="00047545"/>
    <w:rPr>
      <w:vertAlign w:val="superscript"/>
    </w:rPr>
  </w:style>
  <w:style w:type="character" w:styleId="UnresolvedMention">
    <w:name w:val="Unresolved Mention"/>
    <w:basedOn w:val="DefaultParagraphFont"/>
    <w:uiPriority w:val="99"/>
    <w:semiHidden/>
    <w:unhideWhenUsed/>
    <w:rsid w:val="00047545"/>
    <w:rPr>
      <w:color w:val="605E5C"/>
      <w:shd w:val="clear" w:color="auto" w:fill="E1DFDD"/>
    </w:rPr>
  </w:style>
  <w:style w:type="paragraph" w:customStyle="1" w:styleId="Tableheading0">
    <w:name w:val="Table heading"/>
    <w:basedOn w:val="Normal"/>
    <w:link w:val="TableheadingChar"/>
    <w:qFormat/>
    <w:rsid w:val="00954830"/>
    <w:pPr>
      <w:jc w:val="left"/>
    </w:pPr>
    <w:rPr>
      <w:rFonts w:ascii="Aptos Narrow" w:eastAsiaTheme="minorHAnsi" w:hAnsi="Aptos Narrow" w:cstheme="minorBidi"/>
      <w:b/>
      <w:bCs/>
      <w:kern w:val="2"/>
      <w:sz w:val="20"/>
      <w:szCs w:val="20"/>
      <w:lang w:eastAsia="en-US"/>
      <w14:ligatures w14:val="standardContextual"/>
    </w:rPr>
  </w:style>
  <w:style w:type="character" w:customStyle="1" w:styleId="TableheadingChar">
    <w:name w:val="Table heading Char"/>
    <w:basedOn w:val="DefaultParagraphFont"/>
    <w:link w:val="Tableheading0"/>
    <w:rsid w:val="00954830"/>
    <w:rPr>
      <w:rFonts w:ascii="Aptos Narrow" w:eastAsiaTheme="minorHAnsi" w:hAnsi="Aptos Narrow" w:cstheme="minorBidi"/>
      <w:b/>
      <w:bCs/>
      <w:kern w:val="2"/>
      <w:lang w:eastAsia="en-US"/>
      <w14:ligatures w14:val="standardContextual"/>
    </w:rPr>
  </w:style>
  <w:style w:type="paragraph" w:customStyle="1" w:styleId="Tableheading-centred">
    <w:name w:val="Table heading - centred"/>
    <w:basedOn w:val="Tableheading0"/>
    <w:link w:val="Tableheading-centredChar"/>
    <w:qFormat/>
    <w:rsid w:val="00954830"/>
    <w:pPr>
      <w:jc w:val="center"/>
    </w:pPr>
  </w:style>
  <w:style w:type="character" w:customStyle="1" w:styleId="Tableheading-centredChar">
    <w:name w:val="Table heading - centred Char"/>
    <w:basedOn w:val="TableheadingChar"/>
    <w:link w:val="Tableheading-centred"/>
    <w:rsid w:val="00954830"/>
    <w:rPr>
      <w:rFonts w:ascii="Aptos Narrow" w:eastAsiaTheme="minorHAnsi" w:hAnsi="Aptos Narrow" w:cstheme="minorBidi"/>
      <w:b/>
      <w:bCs/>
      <w:kern w:val="2"/>
      <w:lang w:eastAsia="en-US"/>
      <w14:ligatures w14:val="standardContextual"/>
    </w:rPr>
  </w:style>
  <w:style w:type="paragraph" w:customStyle="1" w:styleId="Tabletext-centred">
    <w:name w:val="Table text - centred"/>
    <w:basedOn w:val="Tabletext"/>
    <w:link w:val="Tabletext-centredChar"/>
    <w:qFormat/>
    <w:rsid w:val="00954830"/>
    <w:pPr>
      <w:jc w:val="center"/>
    </w:pPr>
    <w:rPr>
      <w:rFonts w:ascii="Aptos Narrow" w:eastAsiaTheme="minorHAnsi" w:hAnsi="Aptos Narrow" w:cstheme="minorBidi"/>
      <w:snapToGrid/>
      <w:kern w:val="2"/>
      <w:szCs w:val="20"/>
      <w:lang w:eastAsia="en-US"/>
      <w14:ligatures w14:val="standardContextual"/>
    </w:rPr>
  </w:style>
  <w:style w:type="character" w:customStyle="1" w:styleId="Tabletext-centredChar">
    <w:name w:val="Table text - centred Char"/>
    <w:basedOn w:val="TabletextChar"/>
    <w:link w:val="Tabletext-centred"/>
    <w:rsid w:val="00954830"/>
    <w:rPr>
      <w:rFonts w:ascii="Aptos Narrow" w:eastAsiaTheme="minorHAnsi" w:hAnsi="Aptos Narrow" w:cstheme="minorBidi"/>
      <w:kern w:val="2"/>
      <w:lang w:eastAsia="en-US"/>
      <w14:ligatures w14:val="standardContextual"/>
    </w:rPr>
  </w:style>
  <w:style w:type="paragraph" w:customStyle="1" w:styleId="pf0">
    <w:name w:val="pf0"/>
    <w:basedOn w:val="Normal"/>
    <w:rsid w:val="00DA24E9"/>
    <w:pPr>
      <w:spacing w:before="100" w:beforeAutospacing="1" w:after="100" w:afterAutospacing="1"/>
      <w:jc w:val="left"/>
    </w:pPr>
    <w:rPr>
      <w:rFonts w:ascii="Aptos" w:hAnsi="Aptos" w:cs="Aptos"/>
    </w:rPr>
  </w:style>
  <w:style w:type="character" w:customStyle="1" w:styleId="cf01">
    <w:name w:val="cf01"/>
    <w:basedOn w:val="DefaultParagraphFont"/>
    <w:rsid w:val="001B6276"/>
    <w:rPr>
      <w:rFonts w:ascii="Segoe UI" w:hAnsi="Segoe UI" w:cs="Segoe UI" w:hint="default"/>
      <w:sz w:val="18"/>
      <w:szCs w:val="18"/>
    </w:rPr>
  </w:style>
  <w:style w:type="character" w:customStyle="1" w:styleId="cf11">
    <w:name w:val="cf11"/>
    <w:basedOn w:val="DefaultParagraphFont"/>
    <w:rsid w:val="001B6276"/>
    <w:rPr>
      <w:rFonts w:ascii="Segoe UI" w:hAnsi="Segoe UI" w:cs="Segoe UI" w:hint="default"/>
      <w:color w:val="2B579A"/>
      <w:sz w:val="18"/>
      <w:szCs w:val="18"/>
      <w:shd w:val="clear" w:color="auto" w:fill="E1DFDD"/>
    </w:rPr>
  </w:style>
  <w:style w:type="character" w:customStyle="1" w:styleId="cf21">
    <w:name w:val="cf21"/>
    <w:basedOn w:val="DefaultParagraphFont"/>
    <w:rsid w:val="001B6276"/>
    <w:rPr>
      <w:rFonts w:ascii="Segoe UI" w:hAnsi="Segoe UI" w:cs="Segoe UI" w:hint="default"/>
      <w:i/>
      <w:iCs/>
      <w:sz w:val="18"/>
      <w:szCs w:val="18"/>
    </w:rPr>
  </w:style>
  <w:style w:type="paragraph" w:customStyle="1" w:styleId="TableHeading1">
    <w:name w:val="Table Heading"/>
    <w:basedOn w:val="TableText0"/>
    <w:link w:val="TableHeadingChar0"/>
    <w:uiPriority w:val="3"/>
    <w:qFormat/>
    <w:rsid w:val="00FC71B6"/>
    <w:pPr>
      <w:keepNext w:val="0"/>
      <w:keepLines/>
      <w:spacing w:before="20" w:after="20" w:line="276" w:lineRule="auto"/>
    </w:pPr>
    <w:rPr>
      <w:rFonts w:cs="Arial"/>
      <w:b/>
      <w:bCs w:val="0"/>
      <w:szCs w:val="20"/>
      <w:lang w:bidi="en-US"/>
    </w:rPr>
  </w:style>
  <w:style w:type="character" w:customStyle="1" w:styleId="TableHeadingChar0">
    <w:name w:val="Table Heading Char"/>
    <w:basedOn w:val="DefaultParagraphFont"/>
    <w:link w:val="TableHeading1"/>
    <w:uiPriority w:val="3"/>
    <w:locked/>
    <w:rsid w:val="00FC71B6"/>
    <w:rPr>
      <w:rFonts w:ascii="Arial Narrow" w:eastAsiaTheme="majorEastAsia" w:hAnsi="Arial Narrow" w:cs="Arial"/>
      <w:b/>
      <w:lang w:bidi="en-US"/>
    </w:rPr>
  </w:style>
  <w:style w:type="paragraph" w:customStyle="1" w:styleId="PBACTblFignote">
    <w:name w:val="PBAC Tbl/Fig note"/>
    <w:qFormat/>
    <w:rsid w:val="00FC71B6"/>
    <w:pPr>
      <w:keepNext/>
      <w:keepLines/>
      <w:spacing w:after="360"/>
      <w:contextualSpacing/>
      <w:textboxTightWrap w:val="allLines"/>
    </w:pPr>
    <w:rPr>
      <w:rFonts w:ascii="Arial Narrow" w:hAnsi="Arial Narrow" w:cs="Arial"/>
      <w:sz w:val="18"/>
      <w:szCs w:val="24"/>
      <w:lang w:eastAsia="en-GB"/>
    </w:rPr>
  </w:style>
  <w:style w:type="table" w:customStyle="1" w:styleId="ASDTable1">
    <w:name w:val="ASD Table1"/>
    <w:basedOn w:val="TableNormal"/>
    <w:next w:val="TableGrid"/>
    <w:uiPriority w:val="59"/>
    <w:rsid w:val="00FC71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otablesfigures">
    <w:name w:val="Footnote to tables &amp; figures"/>
    <w:basedOn w:val="TableFooter"/>
    <w:link w:val="FootnotetotablesfiguresChar"/>
    <w:qFormat/>
    <w:rsid w:val="001447D1"/>
    <w:pPr>
      <w:spacing w:after="160"/>
      <w:jc w:val="left"/>
    </w:pPr>
    <w:rPr>
      <w:rFonts w:ascii="Aptos Narrow" w:eastAsiaTheme="minorHAnsi" w:hAnsi="Aptos Narrow" w:cstheme="minorBidi"/>
      <w:kern w:val="2"/>
      <w:szCs w:val="18"/>
      <w:lang w:eastAsia="en-US"/>
      <w14:ligatures w14:val="standardContextual"/>
    </w:rPr>
  </w:style>
  <w:style w:type="character" w:customStyle="1" w:styleId="FootnotetotablesfiguresChar">
    <w:name w:val="Footnote to tables &amp; figures Char"/>
    <w:basedOn w:val="TableFooterChar"/>
    <w:link w:val="Footnotetotablesfigures"/>
    <w:rsid w:val="001447D1"/>
    <w:rPr>
      <w:rFonts w:ascii="Aptos Narrow" w:eastAsiaTheme="minorHAnsi" w:hAnsi="Aptos Narrow" w:cstheme="minorBidi"/>
      <w:snapToGrid/>
      <w:kern w:val="2"/>
      <w:sz w:val="18"/>
      <w:szCs w:val="18"/>
      <w:lang w:eastAsia="en-US"/>
      <w14:ligatures w14:val="standardContextual"/>
    </w:rPr>
  </w:style>
  <w:style w:type="character" w:customStyle="1" w:styleId="ui-provider">
    <w:name w:val="ui-provider"/>
    <w:basedOn w:val="DefaultParagraphFont"/>
    <w:rsid w:val="000A5A86"/>
  </w:style>
  <w:style w:type="paragraph" w:customStyle="1" w:styleId="3-SubsectionHeading">
    <w:name w:val="3-Subsection Heading"/>
    <w:basedOn w:val="Heading2"/>
    <w:next w:val="Normal"/>
    <w:link w:val="3-SubsectionHeadingChar"/>
    <w:qFormat/>
    <w:rsid w:val="00552B0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552B0C"/>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497">
      <w:bodyDiv w:val="1"/>
      <w:marLeft w:val="0"/>
      <w:marRight w:val="0"/>
      <w:marTop w:val="0"/>
      <w:marBottom w:val="0"/>
      <w:divBdr>
        <w:top w:val="none" w:sz="0" w:space="0" w:color="auto"/>
        <w:left w:val="none" w:sz="0" w:space="0" w:color="auto"/>
        <w:bottom w:val="none" w:sz="0" w:space="0" w:color="auto"/>
        <w:right w:val="none" w:sz="0" w:space="0" w:color="auto"/>
      </w:divBdr>
      <w:divsChild>
        <w:div w:id="127285697">
          <w:marLeft w:val="0"/>
          <w:marRight w:val="0"/>
          <w:marTop w:val="0"/>
          <w:marBottom w:val="0"/>
          <w:divBdr>
            <w:top w:val="none" w:sz="0" w:space="0" w:color="auto"/>
            <w:left w:val="none" w:sz="0" w:space="0" w:color="auto"/>
            <w:bottom w:val="none" w:sz="0" w:space="0" w:color="auto"/>
            <w:right w:val="none" w:sz="0" w:space="0" w:color="auto"/>
          </w:divBdr>
        </w:div>
        <w:div w:id="178394634">
          <w:marLeft w:val="0"/>
          <w:marRight w:val="0"/>
          <w:marTop w:val="0"/>
          <w:marBottom w:val="0"/>
          <w:divBdr>
            <w:top w:val="none" w:sz="0" w:space="0" w:color="auto"/>
            <w:left w:val="none" w:sz="0" w:space="0" w:color="auto"/>
            <w:bottom w:val="none" w:sz="0" w:space="0" w:color="auto"/>
            <w:right w:val="none" w:sz="0" w:space="0" w:color="auto"/>
          </w:divBdr>
        </w:div>
        <w:div w:id="668211120">
          <w:marLeft w:val="0"/>
          <w:marRight w:val="0"/>
          <w:marTop w:val="0"/>
          <w:marBottom w:val="0"/>
          <w:divBdr>
            <w:top w:val="none" w:sz="0" w:space="0" w:color="auto"/>
            <w:left w:val="none" w:sz="0" w:space="0" w:color="auto"/>
            <w:bottom w:val="none" w:sz="0" w:space="0" w:color="auto"/>
            <w:right w:val="none" w:sz="0" w:space="0" w:color="auto"/>
          </w:divBdr>
        </w:div>
        <w:div w:id="852770122">
          <w:marLeft w:val="0"/>
          <w:marRight w:val="0"/>
          <w:marTop w:val="0"/>
          <w:marBottom w:val="0"/>
          <w:divBdr>
            <w:top w:val="none" w:sz="0" w:space="0" w:color="auto"/>
            <w:left w:val="none" w:sz="0" w:space="0" w:color="auto"/>
            <w:bottom w:val="none" w:sz="0" w:space="0" w:color="auto"/>
            <w:right w:val="none" w:sz="0" w:space="0" w:color="auto"/>
          </w:divBdr>
        </w:div>
        <w:div w:id="1321812219">
          <w:marLeft w:val="0"/>
          <w:marRight w:val="0"/>
          <w:marTop w:val="0"/>
          <w:marBottom w:val="0"/>
          <w:divBdr>
            <w:top w:val="none" w:sz="0" w:space="0" w:color="auto"/>
            <w:left w:val="none" w:sz="0" w:space="0" w:color="auto"/>
            <w:bottom w:val="none" w:sz="0" w:space="0" w:color="auto"/>
            <w:right w:val="none" w:sz="0" w:space="0" w:color="auto"/>
          </w:divBdr>
        </w:div>
        <w:div w:id="1491941949">
          <w:marLeft w:val="0"/>
          <w:marRight w:val="0"/>
          <w:marTop w:val="0"/>
          <w:marBottom w:val="0"/>
          <w:divBdr>
            <w:top w:val="none" w:sz="0" w:space="0" w:color="auto"/>
            <w:left w:val="none" w:sz="0" w:space="0" w:color="auto"/>
            <w:bottom w:val="none" w:sz="0" w:space="0" w:color="auto"/>
            <w:right w:val="none" w:sz="0" w:space="0" w:color="auto"/>
          </w:divBdr>
        </w:div>
        <w:div w:id="1578440774">
          <w:marLeft w:val="0"/>
          <w:marRight w:val="0"/>
          <w:marTop w:val="0"/>
          <w:marBottom w:val="0"/>
          <w:divBdr>
            <w:top w:val="none" w:sz="0" w:space="0" w:color="auto"/>
            <w:left w:val="none" w:sz="0" w:space="0" w:color="auto"/>
            <w:bottom w:val="none" w:sz="0" w:space="0" w:color="auto"/>
            <w:right w:val="none" w:sz="0" w:space="0" w:color="auto"/>
          </w:divBdr>
        </w:div>
        <w:div w:id="1582712118">
          <w:marLeft w:val="0"/>
          <w:marRight w:val="0"/>
          <w:marTop w:val="0"/>
          <w:marBottom w:val="0"/>
          <w:divBdr>
            <w:top w:val="none" w:sz="0" w:space="0" w:color="auto"/>
            <w:left w:val="none" w:sz="0" w:space="0" w:color="auto"/>
            <w:bottom w:val="none" w:sz="0" w:space="0" w:color="auto"/>
            <w:right w:val="none" w:sz="0" w:space="0" w:color="auto"/>
          </w:divBdr>
        </w:div>
      </w:divsChild>
    </w:div>
    <w:div w:id="58212977">
      <w:bodyDiv w:val="1"/>
      <w:marLeft w:val="0"/>
      <w:marRight w:val="0"/>
      <w:marTop w:val="0"/>
      <w:marBottom w:val="0"/>
      <w:divBdr>
        <w:top w:val="none" w:sz="0" w:space="0" w:color="auto"/>
        <w:left w:val="none" w:sz="0" w:space="0" w:color="auto"/>
        <w:bottom w:val="none" w:sz="0" w:space="0" w:color="auto"/>
        <w:right w:val="none" w:sz="0" w:space="0" w:color="auto"/>
      </w:divBdr>
      <w:divsChild>
        <w:div w:id="255788737">
          <w:marLeft w:val="0"/>
          <w:marRight w:val="0"/>
          <w:marTop w:val="0"/>
          <w:marBottom w:val="0"/>
          <w:divBdr>
            <w:top w:val="none" w:sz="0" w:space="0" w:color="auto"/>
            <w:left w:val="none" w:sz="0" w:space="0" w:color="auto"/>
            <w:bottom w:val="none" w:sz="0" w:space="0" w:color="auto"/>
            <w:right w:val="none" w:sz="0" w:space="0" w:color="auto"/>
          </w:divBdr>
        </w:div>
        <w:div w:id="318655928">
          <w:marLeft w:val="0"/>
          <w:marRight w:val="0"/>
          <w:marTop w:val="0"/>
          <w:marBottom w:val="0"/>
          <w:divBdr>
            <w:top w:val="none" w:sz="0" w:space="0" w:color="auto"/>
            <w:left w:val="none" w:sz="0" w:space="0" w:color="auto"/>
            <w:bottom w:val="none" w:sz="0" w:space="0" w:color="auto"/>
            <w:right w:val="none" w:sz="0" w:space="0" w:color="auto"/>
          </w:divBdr>
        </w:div>
        <w:div w:id="435757375">
          <w:marLeft w:val="0"/>
          <w:marRight w:val="0"/>
          <w:marTop w:val="0"/>
          <w:marBottom w:val="0"/>
          <w:divBdr>
            <w:top w:val="none" w:sz="0" w:space="0" w:color="auto"/>
            <w:left w:val="none" w:sz="0" w:space="0" w:color="auto"/>
            <w:bottom w:val="none" w:sz="0" w:space="0" w:color="auto"/>
            <w:right w:val="none" w:sz="0" w:space="0" w:color="auto"/>
          </w:divBdr>
        </w:div>
        <w:div w:id="485247652">
          <w:marLeft w:val="0"/>
          <w:marRight w:val="0"/>
          <w:marTop w:val="0"/>
          <w:marBottom w:val="0"/>
          <w:divBdr>
            <w:top w:val="none" w:sz="0" w:space="0" w:color="auto"/>
            <w:left w:val="none" w:sz="0" w:space="0" w:color="auto"/>
            <w:bottom w:val="none" w:sz="0" w:space="0" w:color="auto"/>
            <w:right w:val="none" w:sz="0" w:space="0" w:color="auto"/>
          </w:divBdr>
        </w:div>
        <w:div w:id="998734365">
          <w:marLeft w:val="0"/>
          <w:marRight w:val="0"/>
          <w:marTop w:val="0"/>
          <w:marBottom w:val="0"/>
          <w:divBdr>
            <w:top w:val="none" w:sz="0" w:space="0" w:color="auto"/>
            <w:left w:val="none" w:sz="0" w:space="0" w:color="auto"/>
            <w:bottom w:val="none" w:sz="0" w:space="0" w:color="auto"/>
            <w:right w:val="none" w:sz="0" w:space="0" w:color="auto"/>
          </w:divBdr>
        </w:div>
        <w:div w:id="1442872603">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383716">
      <w:bodyDiv w:val="1"/>
      <w:marLeft w:val="0"/>
      <w:marRight w:val="0"/>
      <w:marTop w:val="0"/>
      <w:marBottom w:val="0"/>
      <w:divBdr>
        <w:top w:val="none" w:sz="0" w:space="0" w:color="auto"/>
        <w:left w:val="none" w:sz="0" w:space="0" w:color="auto"/>
        <w:bottom w:val="none" w:sz="0" w:space="0" w:color="auto"/>
        <w:right w:val="none" w:sz="0" w:space="0" w:color="auto"/>
      </w:divBdr>
      <w:divsChild>
        <w:div w:id="126902371">
          <w:marLeft w:val="0"/>
          <w:marRight w:val="0"/>
          <w:marTop w:val="0"/>
          <w:marBottom w:val="0"/>
          <w:divBdr>
            <w:top w:val="none" w:sz="0" w:space="0" w:color="auto"/>
            <w:left w:val="none" w:sz="0" w:space="0" w:color="auto"/>
            <w:bottom w:val="none" w:sz="0" w:space="0" w:color="auto"/>
            <w:right w:val="none" w:sz="0" w:space="0" w:color="auto"/>
          </w:divBdr>
          <w:divsChild>
            <w:div w:id="48310747">
              <w:marLeft w:val="0"/>
              <w:marRight w:val="0"/>
              <w:marTop w:val="0"/>
              <w:marBottom w:val="0"/>
              <w:divBdr>
                <w:top w:val="none" w:sz="0" w:space="0" w:color="auto"/>
                <w:left w:val="none" w:sz="0" w:space="0" w:color="auto"/>
                <w:bottom w:val="none" w:sz="0" w:space="0" w:color="auto"/>
                <w:right w:val="none" w:sz="0" w:space="0" w:color="auto"/>
              </w:divBdr>
            </w:div>
            <w:div w:id="127553772">
              <w:marLeft w:val="0"/>
              <w:marRight w:val="0"/>
              <w:marTop w:val="0"/>
              <w:marBottom w:val="0"/>
              <w:divBdr>
                <w:top w:val="none" w:sz="0" w:space="0" w:color="auto"/>
                <w:left w:val="none" w:sz="0" w:space="0" w:color="auto"/>
                <w:bottom w:val="none" w:sz="0" w:space="0" w:color="auto"/>
                <w:right w:val="none" w:sz="0" w:space="0" w:color="auto"/>
              </w:divBdr>
            </w:div>
            <w:div w:id="379480086">
              <w:marLeft w:val="0"/>
              <w:marRight w:val="0"/>
              <w:marTop w:val="0"/>
              <w:marBottom w:val="0"/>
              <w:divBdr>
                <w:top w:val="none" w:sz="0" w:space="0" w:color="auto"/>
                <w:left w:val="none" w:sz="0" w:space="0" w:color="auto"/>
                <w:bottom w:val="none" w:sz="0" w:space="0" w:color="auto"/>
                <w:right w:val="none" w:sz="0" w:space="0" w:color="auto"/>
              </w:divBdr>
            </w:div>
            <w:div w:id="435368582">
              <w:marLeft w:val="0"/>
              <w:marRight w:val="0"/>
              <w:marTop w:val="0"/>
              <w:marBottom w:val="0"/>
              <w:divBdr>
                <w:top w:val="none" w:sz="0" w:space="0" w:color="auto"/>
                <w:left w:val="none" w:sz="0" w:space="0" w:color="auto"/>
                <w:bottom w:val="none" w:sz="0" w:space="0" w:color="auto"/>
                <w:right w:val="none" w:sz="0" w:space="0" w:color="auto"/>
              </w:divBdr>
            </w:div>
            <w:div w:id="444737821">
              <w:marLeft w:val="0"/>
              <w:marRight w:val="0"/>
              <w:marTop w:val="0"/>
              <w:marBottom w:val="0"/>
              <w:divBdr>
                <w:top w:val="none" w:sz="0" w:space="0" w:color="auto"/>
                <w:left w:val="none" w:sz="0" w:space="0" w:color="auto"/>
                <w:bottom w:val="none" w:sz="0" w:space="0" w:color="auto"/>
                <w:right w:val="none" w:sz="0" w:space="0" w:color="auto"/>
              </w:divBdr>
            </w:div>
            <w:div w:id="513764131">
              <w:marLeft w:val="0"/>
              <w:marRight w:val="0"/>
              <w:marTop w:val="0"/>
              <w:marBottom w:val="0"/>
              <w:divBdr>
                <w:top w:val="none" w:sz="0" w:space="0" w:color="auto"/>
                <w:left w:val="none" w:sz="0" w:space="0" w:color="auto"/>
                <w:bottom w:val="none" w:sz="0" w:space="0" w:color="auto"/>
                <w:right w:val="none" w:sz="0" w:space="0" w:color="auto"/>
              </w:divBdr>
            </w:div>
            <w:div w:id="1025860835">
              <w:marLeft w:val="0"/>
              <w:marRight w:val="0"/>
              <w:marTop w:val="0"/>
              <w:marBottom w:val="0"/>
              <w:divBdr>
                <w:top w:val="none" w:sz="0" w:space="0" w:color="auto"/>
                <w:left w:val="none" w:sz="0" w:space="0" w:color="auto"/>
                <w:bottom w:val="none" w:sz="0" w:space="0" w:color="auto"/>
                <w:right w:val="none" w:sz="0" w:space="0" w:color="auto"/>
              </w:divBdr>
            </w:div>
            <w:div w:id="1071663152">
              <w:marLeft w:val="0"/>
              <w:marRight w:val="0"/>
              <w:marTop w:val="0"/>
              <w:marBottom w:val="0"/>
              <w:divBdr>
                <w:top w:val="none" w:sz="0" w:space="0" w:color="auto"/>
                <w:left w:val="none" w:sz="0" w:space="0" w:color="auto"/>
                <w:bottom w:val="none" w:sz="0" w:space="0" w:color="auto"/>
                <w:right w:val="none" w:sz="0" w:space="0" w:color="auto"/>
              </w:divBdr>
            </w:div>
            <w:div w:id="1143232657">
              <w:marLeft w:val="0"/>
              <w:marRight w:val="0"/>
              <w:marTop w:val="0"/>
              <w:marBottom w:val="0"/>
              <w:divBdr>
                <w:top w:val="none" w:sz="0" w:space="0" w:color="auto"/>
                <w:left w:val="none" w:sz="0" w:space="0" w:color="auto"/>
                <w:bottom w:val="none" w:sz="0" w:space="0" w:color="auto"/>
                <w:right w:val="none" w:sz="0" w:space="0" w:color="auto"/>
              </w:divBdr>
            </w:div>
            <w:div w:id="1234200524">
              <w:marLeft w:val="0"/>
              <w:marRight w:val="0"/>
              <w:marTop w:val="0"/>
              <w:marBottom w:val="0"/>
              <w:divBdr>
                <w:top w:val="none" w:sz="0" w:space="0" w:color="auto"/>
                <w:left w:val="none" w:sz="0" w:space="0" w:color="auto"/>
                <w:bottom w:val="none" w:sz="0" w:space="0" w:color="auto"/>
                <w:right w:val="none" w:sz="0" w:space="0" w:color="auto"/>
              </w:divBdr>
            </w:div>
            <w:div w:id="1304964289">
              <w:marLeft w:val="0"/>
              <w:marRight w:val="0"/>
              <w:marTop w:val="0"/>
              <w:marBottom w:val="0"/>
              <w:divBdr>
                <w:top w:val="none" w:sz="0" w:space="0" w:color="auto"/>
                <w:left w:val="none" w:sz="0" w:space="0" w:color="auto"/>
                <w:bottom w:val="none" w:sz="0" w:space="0" w:color="auto"/>
                <w:right w:val="none" w:sz="0" w:space="0" w:color="auto"/>
              </w:divBdr>
            </w:div>
            <w:div w:id="1334532435">
              <w:marLeft w:val="0"/>
              <w:marRight w:val="0"/>
              <w:marTop w:val="0"/>
              <w:marBottom w:val="0"/>
              <w:divBdr>
                <w:top w:val="none" w:sz="0" w:space="0" w:color="auto"/>
                <w:left w:val="none" w:sz="0" w:space="0" w:color="auto"/>
                <w:bottom w:val="none" w:sz="0" w:space="0" w:color="auto"/>
                <w:right w:val="none" w:sz="0" w:space="0" w:color="auto"/>
              </w:divBdr>
            </w:div>
            <w:div w:id="1419518004">
              <w:marLeft w:val="0"/>
              <w:marRight w:val="0"/>
              <w:marTop w:val="0"/>
              <w:marBottom w:val="0"/>
              <w:divBdr>
                <w:top w:val="none" w:sz="0" w:space="0" w:color="auto"/>
                <w:left w:val="none" w:sz="0" w:space="0" w:color="auto"/>
                <w:bottom w:val="none" w:sz="0" w:space="0" w:color="auto"/>
                <w:right w:val="none" w:sz="0" w:space="0" w:color="auto"/>
              </w:divBdr>
            </w:div>
            <w:div w:id="1663855638">
              <w:marLeft w:val="0"/>
              <w:marRight w:val="0"/>
              <w:marTop w:val="0"/>
              <w:marBottom w:val="0"/>
              <w:divBdr>
                <w:top w:val="none" w:sz="0" w:space="0" w:color="auto"/>
                <w:left w:val="none" w:sz="0" w:space="0" w:color="auto"/>
                <w:bottom w:val="none" w:sz="0" w:space="0" w:color="auto"/>
                <w:right w:val="none" w:sz="0" w:space="0" w:color="auto"/>
              </w:divBdr>
            </w:div>
            <w:div w:id="1711487957">
              <w:marLeft w:val="0"/>
              <w:marRight w:val="0"/>
              <w:marTop w:val="0"/>
              <w:marBottom w:val="0"/>
              <w:divBdr>
                <w:top w:val="none" w:sz="0" w:space="0" w:color="auto"/>
                <w:left w:val="none" w:sz="0" w:space="0" w:color="auto"/>
                <w:bottom w:val="none" w:sz="0" w:space="0" w:color="auto"/>
                <w:right w:val="none" w:sz="0" w:space="0" w:color="auto"/>
              </w:divBdr>
            </w:div>
            <w:div w:id="1731807948">
              <w:marLeft w:val="0"/>
              <w:marRight w:val="0"/>
              <w:marTop w:val="0"/>
              <w:marBottom w:val="0"/>
              <w:divBdr>
                <w:top w:val="none" w:sz="0" w:space="0" w:color="auto"/>
                <w:left w:val="none" w:sz="0" w:space="0" w:color="auto"/>
                <w:bottom w:val="none" w:sz="0" w:space="0" w:color="auto"/>
                <w:right w:val="none" w:sz="0" w:space="0" w:color="auto"/>
              </w:divBdr>
            </w:div>
            <w:div w:id="1789468190">
              <w:marLeft w:val="0"/>
              <w:marRight w:val="0"/>
              <w:marTop w:val="0"/>
              <w:marBottom w:val="0"/>
              <w:divBdr>
                <w:top w:val="none" w:sz="0" w:space="0" w:color="auto"/>
                <w:left w:val="none" w:sz="0" w:space="0" w:color="auto"/>
                <w:bottom w:val="none" w:sz="0" w:space="0" w:color="auto"/>
                <w:right w:val="none" w:sz="0" w:space="0" w:color="auto"/>
              </w:divBdr>
            </w:div>
            <w:div w:id="1885483622">
              <w:marLeft w:val="0"/>
              <w:marRight w:val="0"/>
              <w:marTop w:val="0"/>
              <w:marBottom w:val="0"/>
              <w:divBdr>
                <w:top w:val="none" w:sz="0" w:space="0" w:color="auto"/>
                <w:left w:val="none" w:sz="0" w:space="0" w:color="auto"/>
                <w:bottom w:val="none" w:sz="0" w:space="0" w:color="auto"/>
                <w:right w:val="none" w:sz="0" w:space="0" w:color="auto"/>
              </w:divBdr>
            </w:div>
            <w:div w:id="1891188148">
              <w:marLeft w:val="0"/>
              <w:marRight w:val="0"/>
              <w:marTop w:val="0"/>
              <w:marBottom w:val="0"/>
              <w:divBdr>
                <w:top w:val="none" w:sz="0" w:space="0" w:color="auto"/>
                <w:left w:val="none" w:sz="0" w:space="0" w:color="auto"/>
                <w:bottom w:val="none" w:sz="0" w:space="0" w:color="auto"/>
                <w:right w:val="none" w:sz="0" w:space="0" w:color="auto"/>
              </w:divBdr>
            </w:div>
            <w:div w:id="1974822526">
              <w:marLeft w:val="0"/>
              <w:marRight w:val="0"/>
              <w:marTop w:val="0"/>
              <w:marBottom w:val="0"/>
              <w:divBdr>
                <w:top w:val="none" w:sz="0" w:space="0" w:color="auto"/>
                <w:left w:val="none" w:sz="0" w:space="0" w:color="auto"/>
                <w:bottom w:val="none" w:sz="0" w:space="0" w:color="auto"/>
                <w:right w:val="none" w:sz="0" w:space="0" w:color="auto"/>
              </w:divBdr>
            </w:div>
            <w:div w:id="2118326830">
              <w:marLeft w:val="0"/>
              <w:marRight w:val="0"/>
              <w:marTop w:val="0"/>
              <w:marBottom w:val="0"/>
              <w:divBdr>
                <w:top w:val="none" w:sz="0" w:space="0" w:color="auto"/>
                <w:left w:val="none" w:sz="0" w:space="0" w:color="auto"/>
                <w:bottom w:val="none" w:sz="0" w:space="0" w:color="auto"/>
                <w:right w:val="none" w:sz="0" w:space="0" w:color="auto"/>
              </w:divBdr>
            </w:div>
            <w:div w:id="2119712315">
              <w:marLeft w:val="0"/>
              <w:marRight w:val="0"/>
              <w:marTop w:val="0"/>
              <w:marBottom w:val="0"/>
              <w:divBdr>
                <w:top w:val="none" w:sz="0" w:space="0" w:color="auto"/>
                <w:left w:val="none" w:sz="0" w:space="0" w:color="auto"/>
                <w:bottom w:val="none" w:sz="0" w:space="0" w:color="auto"/>
                <w:right w:val="none" w:sz="0" w:space="0" w:color="auto"/>
              </w:divBdr>
            </w:div>
            <w:div w:id="2146698787">
              <w:marLeft w:val="0"/>
              <w:marRight w:val="0"/>
              <w:marTop w:val="0"/>
              <w:marBottom w:val="0"/>
              <w:divBdr>
                <w:top w:val="none" w:sz="0" w:space="0" w:color="auto"/>
                <w:left w:val="none" w:sz="0" w:space="0" w:color="auto"/>
                <w:bottom w:val="none" w:sz="0" w:space="0" w:color="auto"/>
                <w:right w:val="none" w:sz="0" w:space="0" w:color="auto"/>
              </w:divBdr>
            </w:div>
          </w:divsChild>
        </w:div>
        <w:div w:id="460811229">
          <w:marLeft w:val="0"/>
          <w:marRight w:val="0"/>
          <w:marTop w:val="0"/>
          <w:marBottom w:val="0"/>
          <w:divBdr>
            <w:top w:val="none" w:sz="0" w:space="0" w:color="auto"/>
            <w:left w:val="none" w:sz="0" w:space="0" w:color="auto"/>
            <w:bottom w:val="none" w:sz="0" w:space="0" w:color="auto"/>
            <w:right w:val="none" w:sz="0" w:space="0" w:color="auto"/>
          </w:divBdr>
          <w:divsChild>
            <w:div w:id="23210005">
              <w:marLeft w:val="0"/>
              <w:marRight w:val="0"/>
              <w:marTop w:val="0"/>
              <w:marBottom w:val="0"/>
              <w:divBdr>
                <w:top w:val="none" w:sz="0" w:space="0" w:color="auto"/>
                <w:left w:val="none" w:sz="0" w:space="0" w:color="auto"/>
                <w:bottom w:val="none" w:sz="0" w:space="0" w:color="auto"/>
                <w:right w:val="none" w:sz="0" w:space="0" w:color="auto"/>
              </w:divBdr>
            </w:div>
            <w:div w:id="147599718">
              <w:marLeft w:val="0"/>
              <w:marRight w:val="0"/>
              <w:marTop w:val="0"/>
              <w:marBottom w:val="0"/>
              <w:divBdr>
                <w:top w:val="none" w:sz="0" w:space="0" w:color="auto"/>
                <w:left w:val="none" w:sz="0" w:space="0" w:color="auto"/>
                <w:bottom w:val="none" w:sz="0" w:space="0" w:color="auto"/>
                <w:right w:val="none" w:sz="0" w:space="0" w:color="auto"/>
              </w:divBdr>
            </w:div>
            <w:div w:id="164900072">
              <w:marLeft w:val="0"/>
              <w:marRight w:val="0"/>
              <w:marTop w:val="0"/>
              <w:marBottom w:val="0"/>
              <w:divBdr>
                <w:top w:val="none" w:sz="0" w:space="0" w:color="auto"/>
                <w:left w:val="none" w:sz="0" w:space="0" w:color="auto"/>
                <w:bottom w:val="none" w:sz="0" w:space="0" w:color="auto"/>
                <w:right w:val="none" w:sz="0" w:space="0" w:color="auto"/>
              </w:divBdr>
            </w:div>
            <w:div w:id="295376309">
              <w:marLeft w:val="0"/>
              <w:marRight w:val="0"/>
              <w:marTop w:val="0"/>
              <w:marBottom w:val="0"/>
              <w:divBdr>
                <w:top w:val="none" w:sz="0" w:space="0" w:color="auto"/>
                <w:left w:val="none" w:sz="0" w:space="0" w:color="auto"/>
                <w:bottom w:val="none" w:sz="0" w:space="0" w:color="auto"/>
                <w:right w:val="none" w:sz="0" w:space="0" w:color="auto"/>
              </w:divBdr>
            </w:div>
            <w:div w:id="318266529">
              <w:marLeft w:val="0"/>
              <w:marRight w:val="0"/>
              <w:marTop w:val="0"/>
              <w:marBottom w:val="0"/>
              <w:divBdr>
                <w:top w:val="none" w:sz="0" w:space="0" w:color="auto"/>
                <w:left w:val="none" w:sz="0" w:space="0" w:color="auto"/>
                <w:bottom w:val="none" w:sz="0" w:space="0" w:color="auto"/>
                <w:right w:val="none" w:sz="0" w:space="0" w:color="auto"/>
              </w:divBdr>
            </w:div>
            <w:div w:id="321741918">
              <w:marLeft w:val="0"/>
              <w:marRight w:val="0"/>
              <w:marTop w:val="0"/>
              <w:marBottom w:val="0"/>
              <w:divBdr>
                <w:top w:val="none" w:sz="0" w:space="0" w:color="auto"/>
                <w:left w:val="none" w:sz="0" w:space="0" w:color="auto"/>
                <w:bottom w:val="none" w:sz="0" w:space="0" w:color="auto"/>
                <w:right w:val="none" w:sz="0" w:space="0" w:color="auto"/>
              </w:divBdr>
            </w:div>
            <w:div w:id="329211688">
              <w:marLeft w:val="0"/>
              <w:marRight w:val="0"/>
              <w:marTop w:val="0"/>
              <w:marBottom w:val="0"/>
              <w:divBdr>
                <w:top w:val="none" w:sz="0" w:space="0" w:color="auto"/>
                <w:left w:val="none" w:sz="0" w:space="0" w:color="auto"/>
                <w:bottom w:val="none" w:sz="0" w:space="0" w:color="auto"/>
                <w:right w:val="none" w:sz="0" w:space="0" w:color="auto"/>
              </w:divBdr>
            </w:div>
            <w:div w:id="495846214">
              <w:marLeft w:val="0"/>
              <w:marRight w:val="0"/>
              <w:marTop w:val="0"/>
              <w:marBottom w:val="0"/>
              <w:divBdr>
                <w:top w:val="none" w:sz="0" w:space="0" w:color="auto"/>
                <w:left w:val="none" w:sz="0" w:space="0" w:color="auto"/>
                <w:bottom w:val="none" w:sz="0" w:space="0" w:color="auto"/>
                <w:right w:val="none" w:sz="0" w:space="0" w:color="auto"/>
              </w:divBdr>
            </w:div>
            <w:div w:id="550195562">
              <w:marLeft w:val="0"/>
              <w:marRight w:val="0"/>
              <w:marTop w:val="0"/>
              <w:marBottom w:val="0"/>
              <w:divBdr>
                <w:top w:val="none" w:sz="0" w:space="0" w:color="auto"/>
                <w:left w:val="none" w:sz="0" w:space="0" w:color="auto"/>
                <w:bottom w:val="none" w:sz="0" w:space="0" w:color="auto"/>
                <w:right w:val="none" w:sz="0" w:space="0" w:color="auto"/>
              </w:divBdr>
            </w:div>
            <w:div w:id="550775609">
              <w:marLeft w:val="0"/>
              <w:marRight w:val="0"/>
              <w:marTop w:val="0"/>
              <w:marBottom w:val="0"/>
              <w:divBdr>
                <w:top w:val="none" w:sz="0" w:space="0" w:color="auto"/>
                <w:left w:val="none" w:sz="0" w:space="0" w:color="auto"/>
                <w:bottom w:val="none" w:sz="0" w:space="0" w:color="auto"/>
                <w:right w:val="none" w:sz="0" w:space="0" w:color="auto"/>
              </w:divBdr>
            </w:div>
            <w:div w:id="592709358">
              <w:marLeft w:val="0"/>
              <w:marRight w:val="0"/>
              <w:marTop w:val="0"/>
              <w:marBottom w:val="0"/>
              <w:divBdr>
                <w:top w:val="none" w:sz="0" w:space="0" w:color="auto"/>
                <w:left w:val="none" w:sz="0" w:space="0" w:color="auto"/>
                <w:bottom w:val="none" w:sz="0" w:space="0" w:color="auto"/>
                <w:right w:val="none" w:sz="0" w:space="0" w:color="auto"/>
              </w:divBdr>
            </w:div>
            <w:div w:id="795559487">
              <w:marLeft w:val="0"/>
              <w:marRight w:val="0"/>
              <w:marTop w:val="0"/>
              <w:marBottom w:val="0"/>
              <w:divBdr>
                <w:top w:val="none" w:sz="0" w:space="0" w:color="auto"/>
                <w:left w:val="none" w:sz="0" w:space="0" w:color="auto"/>
                <w:bottom w:val="none" w:sz="0" w:space="0" w:color="auto"/>
                <w:right w:val="none" w:sz="0" w:space="0" w:color="auto"/>
              </w:divBdr>
            </w:div>
            <w:div w:id="796071700">
              <w:marLeft w:val="0"/>
              <w:marRight w:val="0"/>
              <w:marTop w:val="0"/>
              <w:marBottom w:val="0"/>
              <w:divBdr>
                <w:top w:val="none" w:sz="0" w:space="0" w:color="auto"/>
                <w:left w:val="none" w:sz="0" w:space="0" w:color="auto"/>
                <w:bottom w:val="none" w:sz="0" w:space="0" w:color="auto"/>
                <w:right w:val="none" w:sz="0" w:space="0" w:color="auto"/>
              </w:divBdr>
            </w:div>
            <w:div w:id="843855845">
              <w:marLeft w:val="0"/>
              <w:marRight w:val="0"/>
              <w:marTop w:val="0"/>
              <w:marBottom w:val="0"/>
              <w:divBdr>
                <w:top w:val="none" w:sz="0" w:space="0" w:color="auto"/>
                <w:left w:val="none" w:sz="0" w:space="0" w:color="auto"/>
                <w:bottom w:val="none" w:sz="0" w:space="0" w:color="auto"/>
                <w:right w:val="none" w:sz="0" w:space="0" w:color="auto"/>
              </w:divBdr>
            </w:div>
            <w:div w:id="871501078">
              <w:marLeft w:val="0"/>
              <w:marRight w:val="0"/>
              <w:marTop w:val="0"/>
              <w:marBottom w:val="0"/>
              <w:divBdr>
                <w:top w:val="none" w:sz="0" w:space="0" w:color="auto"/>
                <w:left w:val="none" w:sz="0" w:space="0" w:color="auto"/>
                <w:bottom w:val="none" w:sz="0" w:space="0" w:color="auto"/>
                <w:right w:val="none" w:sz="0" w:space="0" w:color="auto"/>
              </w:divBdr>
            </w:div>
            <w:div w:id="990135320">
              <w:marLeft w:val="0"/>
              <w:marRight w:val="0"/>
              <w:marTop w:val="0"/>
              <w:marBottom w:val="0"/>
              <w:divBdr>
                <w:top w:val="none" w:sz="0" w:space="0" w:color="auto"/>
                <w:left w:val="none" w:sz="0" w:space="0" w:color="auto"/>
                <w:bottom w:val="none" w:sz="0" w:space="0" w:color="auto"/>
                <w:right w:val="none" w:sz="0" w:space="0" w:color="auto"/>
              </w:divBdr>
            </w:div>
            <w:div w:id="1007832383">
              <w:marLeft w:val="0"/>
              <w:marRight w:val="0"/>
              <w:marTop w:val="0"/>
              <w:marBottom w:val="0"/>
              <w:divBdr>
                <w:top w:val="none" w:sz="0" w:space="0" w:color="auto"/>
                <w:left w:val="none" w:sz="0" w:space="0" w:color="auto"/>
                <w:bottom w:val="none" w:sz="0" w:space="0" w:color="auto"/>
                <w:right w:val="none" w:sz="0" w:space="0" w:color="auto"/>
              </w:divBdr>
            </w:div>
            <w:div w:id="1101150203">
              <w:marLeft w:val="0"/>
              <w:marRight w:val="0"/>
              <w:marTop w:val="0"/>
              <w:marBottom w:val="0"/>
              <w:divBdr>
                <w:top w:val="none" w:sz="0" w:space="0" w:color="auto"/>
                <w:left w:val="none" w:sz="0" w:space="0" w:color="auto"/>
                <w:bottom w:val="none" w:sz="0" w:space="0" w:color="auto"/>
                <w:right w:val="none" w:sz="0" w:space="0" w:color="auto"/>
              </w:divBdr>
            </w:div>
            <w:div w:id="1316491974">
              <w:marLeft w:val="0"/>
              <w:marRight w:val="0"/>
              <w:marTop w:val="0"/>
              <w:marBottom w:val="0"/>
              <w:divBdr>
                <w:top w:val="none" w:sz="0" w:space="0" w:color="auto"/>
                <w:left w:val="none" w:sz="0" w:space="0" w:color="auto"/>
                <w:bottom w:val="none" w:sz="0" w:space="0" w:color="auto"/>
                <w:right w:val="none" w:sz="0" w:space="0" w:color="auto"/>
              </w:divBdr>
            </w:div>
            <w:div w:id="1335105127">
              <w:marLeft w:val="0"/>
              <w:marRight w:val="0"/>
              <w:marTop w:val="0"/>
              <w:marBottom w:val="0"/>
              <w:divBdr>
                <w:top w:val="none" w:sz="0" w:space="0" w:color="auto"/>
                <w:left w:val="none" w:sz="0" w:space="0" w:color="auto"/>
                <w:bottom w:val="none" w:sz="0" w:space="0" w:color="auto"/>
                <w:right w:val="none" w:sz="0" w:space="0" w:color="auto"/>
              </w:divBdr>
            </w:div>
            <w:div w:id="1371490270">
              <w:marLeft w:val="0"/>
              <w:marRight w:val="0"/>
              <w:marTop w:val="0"/>
              <w:marBottom w:val="0"/>
              <w:divBdr>
                <w:top w:val="none" w:sz="0" w:space="0" w:color="auto"/>
                <w:left w:val="none" w:sz="0" w:space="0" w:color="auto"/>
                <w:bottom w:val="none" w:sz="0" w:space="0" w:color="auto"/>
                <w:right w:val="none" w:sz="0" w:space="0" w:color="auto"/>
              </w:divBdr>
            </w:div>
            <w:div w:id="1495217296">
              <w:marLeft w:val="0"/>
              <w:marRight w:val="0"/>
              <w:marTop w:val="0"/>
              <w:marBottom w:val="0"/>
              <w:divBdr>
                <w:top w:val="none" w:sz="0" w:space="0" w:color="auto"/>
                <w:left w:val="none" w:sz="0" w:space="0" w:color="auto"/>
                <w:bottom w:val="none" w:sz="0" w:space="0" w:color="auto"/>
                <w:right w:val="none" w:sz="0" w:space="0" w:color="auto"/>
              </w:divBdr>
            </w:div>
            <w:div w:id="1541671368">
              <w:marLeft w:val="0"/>
              <w:marRight w:val="0"/>
              <w:marTop w:val="0"/>
              <w:marBottom w:val="0"/>
              <w:divBdr>
                <w:top w:val="none" w:sz="0" w:space="0" w:color="auto"/>
                <w:left w:val="none" w:sz="0" w:space="0" w:color="auto"/>
                <w:bottom w:val="none" w:sz="0" w:space="0" w:color="auto"/>
                <w:right w:val="none" w:sz="0" w:space="0" w:color="auto"/>
              </w:divBdr>
            </w:div>
            <w:div w:id="1661811977">
              <w:marLeft w:val="0"/>
              <w:marRight w:val="0"/>
              <w:marTop w:val="0"/>
              <w:marBottom w:val="0"/>
              <w:divBdr>
                <w:top w:val="none" w:sz="0" w:space="0" w:color="auto"/>
                <w:left w:val="none" w:sz="0" w:space="0" w:color="auto"/>
                <w:bottom w:val="none" w:sz="0" w:space="0" w:color="auto"/>
                <w:right w:val="none" w:sz="0" w:space="0" w:color="auto"/>
              </w:divBdr>
            </w:div>
            <w:div w:id="1671521912">
              <w:marLeft w:val="0"/>
              <w:marRight w:val="0"/>
              <w:marTop w:val="0"/>
              <w:marBottom w:val="0"/>
              <w:divBdr>
                <w:top w:val="none" w:sz="0" w:space="0" w:color="auto"/>
                <w:left w:val="none" w:sz="0" w:space="0" w:color="auto"/>
                <w:bottom w:val="none" w:sz="0" w:space="0" w:color="auto"/>
                <w:right w:val="none" w:sz="0" w:space="0" w:color="auto"/>
              </w:divBdr>
            </w:div>
            <w:div w:id="1684699868">
              <w:marLeft w:val="0"/>
              <w:marRight w:val="0"/>
              <w:marTop w:val="0"/>
              <w:marBottom w:val="0"/>
              <w:divBdr>
                <w:top w:val="none" w:sz="0" w:space="0" w:color="auto"/>
                <w:left w:val="none" w:sz="0" w:space="0" w:color="auto"/>
                <w:bottom w:val="none" w:sz="0" w:space="0" w:color="auto"/>
                <w:right w:val="none" w:sz="0" w:space="0" w:color="auto"/>
              </w:divBdr>
            </w:div>
            <w:div w:id="1793356622">
              <w:marLeft w:val="0"/>
              <w:marRight w:val="0"/>
              <w:marTop w:val="0"/>
              <w:marBottom w:val="0"/>
              <w:divBdr>
                <w:top w:val="none" w:sz="0" w:space="0" w:color="auto"/>
                <w:left w:val="none" w:sz="0" w:space="0" w:color="auto"/>
                <w:bottom w:val="none" w:sz="0" w:space="0" w:color="auto"/>
                <w:right w:val="none" w:sz="0" w:space="0" w:color="auto"/>
              </w:divBdr>
            </w:div>
            <w:div w:id="1819036496">
              <w:marLeft w:val="0"/>
              <w:marRight w:val="0"/>
              <w:marTop w:val="0"/>
              <w:marBottom w:val="0"/>
              <w:divBdr>
                <w:top w:val="none" w:sz="0" w:space="0" w:color="auto"/>
                <w:left w:val="none" w:sz="0" w:space="0" w:color="auto"/>
                <w:bottom w:val="none" w:sz="0" w:space="0" w:color="auto"/>
                <w:right w:val="none" w:sz="0" w:space="0" w:color="auto"/>
              </w:divBdr>
            </w:div>
            <w:div w:id="1961373223">
              <w:marLeft w:val="0"/>
              <w:marRight w:val="0"/>
              <w:marTop w:val="0"/>
              <w:marBottom w:val="0"/>
              <w:divBdr>
                <w:top w:val="none" w:sz="0" w:space="0" w:color="auto"/>
                <w:left w:val="none" w:sz="0" w:space="0" w:color="auto"/>
                <w:bottom w:val="none" w:sz="0" w:space="0" w:color="auto"/>
                <w:right w:val="none" w:sz="0" w:space="0" w:color="auto"/>
              </w:divBdr>
            </w:div>
            <w:div w:id="20772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1635">
      <w:bodyDiv w:val="1"/>
      <w:marLeft w:val="0"/>
      <w:marRight w:val="0"/>
      <w:marTop w:val="0"/>
      <w:marBottom w:val="0"/>
      <w:divBdr>
        <w:top w:val="none" w:sz="0" w:space="0" w:color="auto"/>
        <w:left w:val="none" w:sz="0" w:space="0" w:color="auto"/>
        <w:bottom w:val="none" w:sz="0" w:space="0" w:color="auto"/>
        <w:right w:val="none" w:sz="0" w:space="0" w:color="auto"/>
      </w:divBdr>
      <w:divsChild>
        <w:div w:id="619189448">
          <w:marLeft w:val="0"/>
          <w:marRight w:val="0"/>
          <w:marTop w:val="0"/>
          <w:marBottom w:val="0"/>
          <w:divBdr>
            <w:top w:val="none" w:sz="0" w:space="0" w:color="auto"/>
            <w:left w:val="none" w:sz="0" w:space="0" w:color="auto"/>
            <w:bottom w:val="none" w:sz="0" w:space="0" w:color="auto"/>
            <w:right w:val="none" w:sz="0" w:space="0" w:color="auto"/>
          </w:divBdr>
        </w:div>
        <w:div w:id="968710676">
          <w:marLeft w:val="0"/>
          <w:marRight w:val="0"/>
          <w:marTop w:val="0"/>
          <w:marBottom w:val="0"/>
          <w:divBdr>
            <w:top w:val="none" w:sz="0" w:space="0" w:color="auto"/>
            <w:left w:val="none" w:sz="0" w:space="0" w:color="auto"/>
            <w:bottom w:val="none" w:sz="0" w:space="0" w:color="auto"/>
            <w:right w:val="none" w:sz="0" w:space="0" w:color="auto"/>
          </w:divBdr>
        </w:div>
        <w:div w:id="1126436694">
          <w:marLeft w:val="0"/>
          <w:marRight w:val="0"/>
          <w:marTop w:val="0"/>
          <w:marBottom w:val="0"/>
          <w:divBdr>
            <w:top w:val="none" w:sz="0" w:space="0" w:color="auto"/>
            <w:left w:val="none" w:sz="0" w:space="0" w:color="auto"/>
            <w:bottom w:val="none" w:sz="0" w:space="0" w:color="auto"/>
            <w:right w:val="none" w:sz="0" w:space="0" w:color="auto"/>
          </w:divBdr>
        </w:div>
        <w:div w:id="1385521259">
          <w:marLeft w:val="0"/>
          <w:marRight w:val="0"/>
          <w:marTop w:val="0"/>
          <w:marBottom w:val="0"/>
          <w:divBdr>
            <w:top w:val="none" w:sz="0" w:space="0" w:color="auto"/>
            <w:left w:val="none" w:sz="0" w:space="0" w:color="auto"/>
            <w:bottom w:val="none" w:sz="0" w:space="0" w:color="auto"/>
            <w:right w:val="none" w:sz="0" w:space="0" w:color="auto"/>
          </w:divBdr>
        </w:div>
        <w:div w:id="1398670544">
          <w:marLeft w:val="0"/>
          <w:marRight w:val="0"/>
          <w:marTop w:val="0"/>
          <w:marBottom w:val="0"/>
          <w:divBdr>
            <w:top w:val="none" w:sz="0" w:space="0" w:color="auto"/>
            <w:left w:val="none" w:sz="0" w:space="0" w:color="auto"/>
            <w:bottom w:val="none" w:sz="0" w:space="0" w:color="auto"/>
            <w:right w:val="none" w:sz="0" w:space="0" w:color="auto"/>
          </w:divBdr>
        </w:div>
        <w:div w:id="1909531859">
          <w:marLeft w:val="0"/>
          <w:marRight w:val="0"/>
          <w:marTop w:val="0"/>
          <w:marBottom w:val="0"/>
          <w:divBdr>
            <w:top w:val="none" w:sz="0" w:space="0" w:color="auto"/>
            <w:left w:val="none" w:sz="0" w:space="0" w:color="auto"/>
            <w:bottom w:val="none" w:sz="0" w:space="0" w:color="auto"/>
            <w:right w:val="none" w:sz="0" w:space="0" w:color="auto"/>
          </w:divBdr>
        </w:div>
      </w:divsChild>
    </w:div>
    <w:div w:id="157304316">
      <w:bodyDiv w:val="1"/>
      <w:marLeft w:val="0"/>
      <w:marRight w:val="0"/>
      <w:marTop w:val="0"/>
      <w:marBottom w:val="0"/>
      <w:divBdr>
        <w:top w:val="none" w:sz="0" w:space="0" w:color="auto"/>
        <w:left w:val="none" w:sz="0" w:space="0" w:color="auto"/>
        <w:bottom w:val="none" w:sz="0" w:space="0" w:color="auto"/>
        <w:right w:val="none" w:sz="0" w:space="0" w:color="auto"/>
      </w:divBdr>
      <w:divsChild>
        <w:div w:id="1382364327">
          <w:marLeft w:val="0"/>
          <w:marRight w:val="0"/>
          <w:marTop w:val="0"/>
          <w:marBottom w:val="0"/>
          <w:divBdr>
            <w:top w:val="none" w:sz="0" w:space="0" w:color="auto"/>
            <w:left w:val="none" w:sz="0" w:space="0" w:color="auto"/>
            <w:bottom w:val="none" w:sz="0" w:space="0" w:color="auto"/>
            <w:right w:val="none" w:sz="0" w:space="0" w:color="auto"/>
          </w:divBdr>
        </w:div>
        <w:div w:id="1497500029">
          <w:marLeft w:val="0"/>
          <w:marRight w:val="0"/>
          <w:marTop w:val="0"/>
          <w:marBottom w:val="0"/>
          <w:divBdr>
            <w:top w:val="none" w:sz="0" w:space="0" w:color="auto"/>
            <w:left w:val="none" w:sz="0" w:space="0" w:color="auto"/>
            <w:bottom w:val="none" w:sz="0" w:space="0" w:color="auto"/>
            <w:right w:val="none" w:sz="0" w:space="0" w:color="auto"/>
          </w:divBdr>
        </w:div>
        <w:div w:id="1580677743">
          <w:marLeft w:val="0"/>
          <w:marRight w:val="0"/>
          <w:marTop w:val="0"/>
          <w:marBottom w:val="0"/>
          <w:divBdr>
            <w:top w:val="none" w:sz="0" w:space="0" w:color="auto"/>
            <w:left w:val="none" w:sz="0" w:space="0" w:color="auto"/>
            <w:bottom w:val="none" w:sz="0" w:space="0" w:color="auto"/>
            <w:right w:val="none" w:sz="0" w:space="0" w:color="auto"/>
          </w:divBdr>
        </w:div>
        <w:div w:id="1591237675">
          <w:marLeft w:val="0"/>
          <w:marRight w:val="0"/>
          <w:marTop w:val="0"/>
          <w:marBottom w:val="0"/>
          <w:divBdr>
            <w:top w:val="none" w:sz="0" w:space="0" w:color="auto"/>
            <w:left w:val="none" w:sz="0" w:space="0" w:color="auto"/>
            <w:bottom w:val="none" w:sz="0" w:space="0" w:color="auto"/>
            <w:right w:val="none" w:sz="0" w:space="0" w:color="auto"/>
          </w:divBdr>
        </w:div>
        <w:div w:id="1971207942">
          <w:marLeft w:val="0"/>
          <w:marRight w:val="0"/>
          <w:marTop w:val="0"/>
          <w:marBottom w:val="0"/>
          <w:divBdr>
            <w:top w:val="none" w:sz="0" w:space="0" w:color="auto"/>
            <w:left w:val="none" w:sz="0" w:space="0" w:color="auto"/>
            <w:bottom w:val="none" w:sz="0" w:space="0" w:color="auto"/>
            <w:right w:val="none" w:sz="0" w:space="0" w:color="auto"/>
          </w:divBdr>
        </w:div>
        <w:div w:id="1987663316">
          <w:marLeft w:val="0"/>
          <w:marRight w:val="0"/>
          <w:marTop w:val="0"/>
          <w:marBottom w:val="0"/>
          <w:divBdr>
            <w:top w:val="none" w:sz="0" w:space="0" w:color="auto"/>
            <w:left w:val="none" w:sz="0" w:space="0" w:color="auto"/>
            <w:bottom w:val="none" w:sz="0" w:space="0" w:color="auto"/>
            <w:right w:val="none" w:sz="0" w:space="0" w:color="auto"/>
          </w:divBdr>
        </w:div>
      </w:divsChild>
    </w:div>
    <w:div w:id="204759628">
      <w:bodyDiv w:val="1"/>
      <w:marLeft w:val="0"/>
      <w:marRight w:val="0"/>
      <w:marTop w:val="0"/>
      <w:marBottom w:val="0"/>
      <w:divBdr>
        <w:top w:val="none" w:sz="0" w:space="0" w:color="auto"/>
        <w:left w:val="none" w:sz="0" w:space="0" w:color="auto"/>
        <w:bottom w:val="none" w:sz="0" w:space="0" w:color="auto"/>
        <w:right w:val="none" w:sz="0" w:space="0" w:color="auto"/>
      </w:divBdr>
    </w:div>
    <w:div w:id="248275399">
      <w:bodyDiv w:val="1"/>
      <w:marLeft w:val="0"/>
      <w:marRight w:val="0"/>
      <w:marTop w:val="0"/>
      <w:marBottom w:val="0"/>
      <w:divBdr>
        <w:top w:val="none" w:sz="0" w:space="0" w:color="auto"/>
        <w:left w:val="none" w:sz="0" w:space="0" w:color="auto"/>
        <w:bottom w:val="none" w:sz="0" w:space="0" w:color="auto"/>
        <w:right w:val="none" w:sz="0" w:space="0" w:color="auto"/>
      </w:divBdr>
    </w:div>
    <w:div w:id="266696343">
      <w:bodyDiv w:val="1"/>
      <w:marLeft w:val="0"/>
      <w:marRight w:val="0"/>
      <w:marTop w:val="0"/>
      <w:marBottom w:val="0"/>
      <w:divBdr>
        <w:top w:val="none" w:sz="0" w:space="0" w:color="auto"/>
        <w:left w:val="none" w:sz="0" w:space="0" w:color="auto"/>
        <w:bottom w:val="none" w:sz="0" w:space="0" w:color="auto"/>
        <w:right w:val="none" w:sz="0" w:space="0" w:color="auto"/>
      </w:divBdr>
      <w:divsChild>
        <w:div w:id="291789214">
          <w:marLeft w:val="0"/>
          <w:marRight w:val="0"/>
          <w:marTop w:val="0"/>
          <w:marBottom w:val="0"/>
          <w:divBdr>
            <w:top w:val="none" w:sz="0" w:space="0" w:color="auto"/>
            <w:left w:val="none" w:sz="0" w:space="0" w:color="auto"/>
            <w:bottom w:val="none" w:sz="0" w:space="0" w:color="auto"/>
            <w:right w:val="none" w:sz="0" w:space="0" w:color="auto"/>
          </w:divBdr>
        </w:div>
        <w:div w:id="694228561">
          <w:marLeft w:val="0"/>
          <w:marRight w:val="0"/>
          <w:marTop w:val="0"/>
          <w:marBottom w:val="0"/>
          <w:divBdr>
            <w:top w:val="none" w:sz="0" w:space="0" w:color="auto"/>
            <w:left w:val="none" w:sz="0" w:space="0" w:color="auto"/>
            <w:bottom w:val="none" w:sz="0" w:space="0" w:color="auto"/>
            <w:right w:val="none" w:sz="0" w:space="0" w:color="auto"/>
          </w:divBdr>
        </w:div>
        <w:div w:id="896863318">
          <w:marLeft w:val="0"/>
          <w:marRight w:val="0"/>
          <w:marTop w:val="0"/>
          <w:marBottom w:val="0"/>
          <w:divBdr>
            <w:top w:val="none" w:sz="0" w:space="0" w:color="auto"/>
            <w:left w:val="none" w:sz="0" w:space="0" w:color="auto"/>
            <w:bottom w:val="none" w:sz="0" w:space="0" w:color="auto"/>
            <w:right w:val="none" w:sz="0" w:space="0" w:color="auto"/>
          </w:divBdr>
        </w:div>
        <w:div w:id="990209542">
          <w:marLeft w:val="0"/>
          <w:marRight w:val="0"/>
          <w:marTop w:val="0"/>
          <w:marBottom w:val="0"/>
          <w:divBdr>
            <w:top w:val="none" w:sz="0" w:space="0" w:color="auto"/>
            <w:left w:val="none" w:sz="0" w:space="0" w:color="auto"/>
            <w:bottom w:val="none" w:sz="0" w:space="0" w:color="auto"/>
            <w:right w:val="none" w:sz="0" w:space="0" w:color="auto"/>
          </w:divBdr>
        </w:div>
        <w:div w:id="1007027304">
          <w:marLeft w:val="0"/>
          <w:marRight w:val="0"/>
          <w:marTop w:val="0"/>
          <w:marBottom w:val="0"/>
          <w:divBdr>
            <w:top w:val="none" w:sz="0" w:space="0" w:color="auto"/>
            <w:left w:val="none" w:sz="0" w:space="0" w:color="auto"/>
            <w:bottom w:val="none" w:sz="0" w:space="0" w:color="auto"/>
            <w:right w:val="none" w:sz="0" w:space="0" w:color="auto"/>
          </w:divBdr>
        </w:div>
        <w:div w:id="1150906824">
          <w:marLeft w:val="0"/>
          <w:marRight w:val="0"/>
          <w:marTop w:val="0"/>
          <w:marBottom w:val="0"/>
          <w:divBdr>
            <w:top w:val="none" w:sz="0" w:space="0" w:color="auto"/>
            <w:left w:val="none" w:sz="0" w:space="0" w:color="auto"/>
            <w:bottom w:val="none" w:sz="0" w:space="0" w:color="auto"/>
            <w:right w:val="none" w:sz="0" w:space="0" w:color="auto"/>
          </w:divBdr>
        </w:div>
      </w:divsChild>
    </w:div>
    <w:div w:id="293871113">
      <w:bodyDiv w:val="1"/>
      <w:marLeft w:val="0"/>
      <w:marRight w:val="0"/>
      <w:marTop w:val="0"/>
      <w:marBottom w:val="0"/>
      <w:divBdr>
        <w:top w:val="none" w:sz="0" w:space="0" w:color="auto"/>
        <w:left w:val="none" w:sz="0" w:space="0" w:color="auto"/>
        <w:bottom w:val="none" w:sz="0" w:space="0" w:color="auto"/>
        <w:right w:val="none" w:sz="0" w:space="0" w:color="auto"/>
      </w:divBdr>
      <w:divsChild>
        <w:div w:id="149641647">
          <w:marLeft w:val="0"/>
          <w:marRight w:val="0"/>
          <w:marTop w:val="0"/>
          <w:marBottom w:val="0"/>
          <w:divBdr>
            <w:top w:val="none" w:sz="0" w:space="0" w:color="auto"/>
            <w:left w:val="none" w:sz="0" w:space="0" w:color="auto"/>
            <w:bottom w:val="none" w:sz="0" w:space="0" w:color="auto"/>
            <w:right w:val="none" w:sz="0" w:space="0" w:color="auto"/>
          </w:divBdr>
        </w:div>
        <w:div w:id="512959502">
          <w:marLeft w:val="0"/>
          <w:marRight w:val="0"/>
          <w:marTop w:val="0"/>
          <w:marBottom w:val="0"/>
          <w:divBdr>
            <w:top w:val="none" w:sz="0" w:space="0" w:color="auto"/>
            <w:left w:val="none" w:sz="0" w:space="0" w:color="auto"/>
            <w:bottom w:val="none" w:sz="0" w:space="0" w:color="auto"/>
            <w:right w:val="none" w:sz="0" w:space="0" w:color="auto"/>
          </w:divBdr>
        </w:div>
        <w:div w:id="684672559">
          <w:marLeft w:val="0"/>
          <w:marRight w:val="0"/>
          <w:marTop w:val="0"/>
          <w:marBottom w:val="0"/>
          <w:divBdr>
            <w:top w:val="none" w:sz="0" w:space="0" w:color="auto"/>
            <w:left w:val="none" w:sz="0" w:space="0" w:color="auto"/>
            <w:bottom w:val="none" w:sz="0" w:space="0" w:color="auto"/>
            <w:right w:val="none" w:sz="0" w:space="0" w:color="auto"/>
          </w:divBdr>
        </w:div>
        <w:div w:id="801315375">
          <w:marLeft w:val="0"/>
          <w:marRight w:val="0"/>
          <w:marTop w:val="0"/>
          <w:marBottom w:val="0"/>
          <w:divBdr>
            <w:top w:val="none" w:sz="0" w:space="0" w:color="auto"/>
            <w:left w:val="none" w:sz="0" w:space="0" w:color="auto"/>
            <w:bottom w:val="none" w:sz="0" w:space="0" w:color="auto"/>
            <w:right w:val="none" w:sz="0" w:space="0" w:color="auto"/>
          </w:divBdr>
        </w:div>
        <w:div w:id="875001480">
          <w:marLeft w:val="0"/>
          <w:marRight w:val="0"/>
          <w:marTop w:val="0"/>
          <w:marBottom w:val="0"/>
          <w:divBdr>
            <w:top w:val="none" w:sz="0" w:space="0" w:color="auto"/>
            <w:left w:val="none" w:sz="0" w:space="0" w:color="auto"/>
            <w:bottom w:val="none" w:sz="0" w:space="0" w:color="auto"/>
            <w:right w:val="none" w:sz="0" w:space="0" w:color="auto"/>
          </w:divBdr>
        </w:div>
        <w:div w:id="935092839">
          <w:marLeft w:val="0"/>
          <w:marRight w:val="0"/>
          <w:marTop w:val="0"/>
          <w:marBottom w:val="0"/>
          <w:divBdr>
            <w:top w:val="none" w:sz="0" w:space="0" w:color="auto"/>
            <w:left w:val="none" w:sz="0" w:space="0" w:color="auto"/>
            <w:bottom w:val="none" w:sz="0" w:space="0" w:color="auto"/>
            <w:right w:val="none" w:sz="0" w:space="0" w:color="auto"/>
          </w:divBdr>
        </w:div>
        <w:div w:id="944310208">
          <w:marLeft w:val="0"/>
          <w:marRight w:val="0"/>
          <w:marTop w:val="0"/>
          <w:marBottom w:val="0"/>
          <w:divBdr>
            <w:top w:val="none" w:sz="0" w:space="0" w:color="auto"/>
            <w:left w:val="none" w:sz="0" w:space="0" w:color="auto"/>
            <w:bottom w:val="none" w:sz="0" w:space="0" w:color="auto"/>
            <w:right w:val="none" w:sz="0" w:space="0" w:color="auto"/>
          </w:divBdr>
        </w:div>
        <w:div w:id="1002270727">
          <w:marLeft w:val="0"/>
          <w:marRight w:val="0"/>
          <w:marTop w:val="0"/>
          <w:marBottom w:val="0"/>
          <w:divBdr>
            <w:top w:val="none" w:sz="0" w:space="0" w:color="auto"/>
            <w:left w:val="none" w:sz="0" w:space="0" w:color="auto"/>
            <w:bottom w:val="none" w:sz="0" w:space="0" w:color="auto"/>
            <w:right w:val="none" w:sz="0" w:space="0" w:color="auto"/>
          </w:divBdr>
        </w:div>
        <w:div w:id="1293171868">
          <w:marLeft w:val="0"/>
          <w:marRight w:val="0"/>
          <w:marTop w:val="0"/>
          <w:marBottom w:val="0"/>
          <w:divBdr>
            <w:top w:val="none" w:sz="0" w:space="0" w:color="auto"/>
            <w:left w:val="none" w:sz="0" w:space="0" w:color="auto"/>
            <w:bottom w:val="none" w:sz="0" w:space="0" w:color="auto"/>
            <w:right w:val="none" w:sz="0" w:space="0" w:color="auto"/>
          </w:divBdr>
        </w:div>
        <w:div w:id="1562985454">
          <w:marLeft w:val="0"/>
          <w:marRight w:val="0"/>
          <w:marTop w:val="0"/>
          <w:marBottom w:val="0"/>
          <w:divBdr>
            <w:top w:val="none" w:sz="0" w:space="0" w:color="auto"/>
            <w:left w:val="none" w:sz="0" w:space="0" w:color="auto"/>
            <w:bottom w:val="none" w:sz="0" w:space="0" w:color="auto"/>
            <w:right w:val="none" w:sz="0" w:space="0" w:color="auto"/>
          </w:divBdr>
        </w:div>
        <w:div w:id="1592422132">
          <w:marLeft w:val="0"/>
          <w:marRight w:val="0"/>
          <w:marTop w:val="0"/>
          <w:marBottom w:val="0"/>
          <w:divBdr>
            <w:top w:val="none" w:sz="0" w:space="0" w:color="auto"/>
            <w:left w:val="none" w:sz="0" w:space="0" w:color="auto"/>
            <w:bottom w:val="none" w:sz="0" w:space="0" w:color="auto"/>
            <w:right w:val="none" w:sz="0" w:space="0" w:color="auto"/>
          </w:divBdr>
        </w:div>
        <w:div w:id="1683050157">
          <w:marLeft w:val="0"/>
          <w:marRight w:val="0"/>
          <w:marTop w:val="0"/>
          <w:marBottom w:val="0"/>
          <w:divBdr>
            <w:top w:val="none" w:sz="0" w:space="0" w:color="auto"/>
            <w:left w:val="none" w:sz="0" w:space="0" w:color="auto"/>
            <w:bottom w:val="none" w:sz="0" w:space="0" w:color="auto"/>
            <w:right w:val="none" w:sz="0" w:space="0" w:color="auto"/>
          </w:divBdr>
        </w:div>
        <w:div w:id="1908417303">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5937160">
      <w:bodyDiv w:val="1"/>
      <w:marLeft w:val="0"/>
      <w:marRight w:val="0"/>
      <w:marTop w:val="0"/>
      <w:marBottom w:val="0"/>
      <w:divBdr>
        <w:top w:val="none" w:sz="0" w:space="0" w:color="auto"/>
        <w:left w:val="none" w:sz="0" w:space="0" w:color="auto"/>
        <w:bottom w:val="none" w:sz="0" w:space="0" w:color="auto"/>
        <w:right w:val="none" w:sz="0" w:space="0" w:color="auto"/>
      </w:divBdr>
    </w:div>
    <w:div w:id="360937239">
      <w:bodyDiv w:val="1"/>
      <w:marLeft w:val="0"/>
      <w:marRight w:val="0"/>
      <w:marTop w:val="0"/>
      <w:marBottom w:val="0"/>
      <w:divBdr>
        <w:top w:val="none" w:sz="0" w:space="0" w:color="auto"/>
        <w:left w:val="none" w:sz="0" w:space="0" w:color="auto"/>
        <w:bottom w:val="none" w:sz="0" w:space="0" w:color="auto"/>
        <w:right w:val="none" w:sz="0" w:space="0" w:color="auto"/>
      </w:divBdr>
    </w:div>
    <w:div w:id="462693278">
      <w:bodyDiv w:val="1"/>
      <w:marLeft w:val="0"/>
      <w:marRight w:val="0"/>
      <w:marTop w:val="0"/>
      <w:marBottom w:val="0"/>
      <w:divBdr>
        <w:top w:val="none" w:sz="0" w:space="0" w:color="auto"/>
        <w:left w:val="none" w:sz="0" w:space="0" w:color="auto"/>
        <w:bottom w:val="none" w:sz="0" w:space="0" w:color="auto"/>
        <w:right w:val="none" w:sz="0" w:space="0" w:color="auto"/>
      </w:divBdr>
    </w:div>
    <w:div w:id="533494428">
      <w:bodyDiv w:val="1"/>
      <w:marLeft w:val="0"/>
      <w:marRight w:val="0"/>
      <w:marTop w:val="0"/>
      <w:marBottom w:val="0"/>
      <w:divBdr>
        <w:top w:val="none" w:sz="0" w:space="0" w:color="auto"/>
        <w:left w:val="none" w:sz="0" w:space="0" w:color="auto"/>
        <w:bottom w:val="none" w:sz="0" w:space="0" w:color="auto"/>
        <w:right w:val="none" w:sz="0" w:space="0" w:color="auto"/>
      </w:divBdr>
      <w:divsChild>
        <w:div w:id="25299055">
          <w:marLeft w:val="0"/>
          <w:marRight w:val="0"/>
          <w:marTop w:val="0"/>
          <w:marBottom w:val="0"/>
          <w:divBdr>
            <w:top w:val="none" w:sz="0" w:space="0" w:color="auto"/>
            <w:left w:val="none" w:sz="0" w:space="0" w:color="auto"/>
            <w:bottom w:val="none" w:sz="0" w:space="0" w:color="auto"/>
            <w:right w:val="none" w:sz="0" w:space="0" w:color="auto"/>
          </w:divBdr>
        </w:div>
        <w:div w:id="113716859">
          <w:marLeft w:val="0"/>
          <w:marRight w:val="0"/>
          <w:marTop w:val="0"/>
          <w:marBottom w:val="0"/>
          <w:divBdr>
            <w:top w:val="none" w:sz="0" w:space="0" w:color="auto"/>
            <w:left w:val="none" w:sz="0" w:space="0" w:color="auto"/>
            <w:bottom w:val="none" w:sz="0" w:space="0" w:color="auto"/>
            <w:right w:val="none" w:sz="0" w:space="0" w:color="auto"/>
          </w:divBdr>
        </w:div>
        <w:div w:id="291601206">
          <w:marLeft w:val="0"/>
          <w:marRight w:val="0"/>
          <w:marTop w:val="0"/>
          <w:marBottom w:val="0"/>
          <w:divBdr>
            <w:top w:val="none" w:sz="0" w:space="0" w:color="auto"/>
            <w:left w:val="none" w:sz="0" w:space="0" w:color="auto"/>
            <w:bottom w:val="none" w:sz="0" w:space="0" w:color="auto"/>
            <w:right w:val="none" w:sz="0" w:space="0" w:color="auto"/>
          </w:divBdr>
        </w:div>
        <w:div w:id="839587530">
          <w:marLeft w:val="0"/>
          <w:marRight w:val="0"/>
          <w:marTop w:val="0"/>
          <w:marBottom w:val="0"/>
          <w:divBdr>
            <w:top w:val="none" w:sz="0" w:space="0" w:color="auto"/>
            <w:left w:val="none" w:sz="0" w:space="0" w:color="auto"/>
            <w:bottom w:val="none" w:sz="0" w:space="0" w:color="auto"/>
            <w:right w:val="none" w:sz="0" w:space="0" w:color="auto"/>
          </w:divBdr>
        </w:div>
        <w:div w:id="844052690">
          <w:marLeft w:val="0"/>
          <w:marRight w:val="0"/>
          <w:marTop w:val="0"/>
          <w:marBottom w:val="0"/>
          <w:divBdr>
            <w:top w:val="none" w:sz="0" w:space="0" w:color="auto"/>
            <w:left w:val="none" w:sz="0" w:space="0" w:color="auto"/>
            <w:bottom w:val="none" w:sz="0" w:space="0" w:color="auto"/>
            <w:right w:val="none" w:sz="0" w:space="0" w:color="auto"/>
          </w:divBdr>
        </w:div>
        <w:div w:id="1066879429">
          <w:marLeft w:val="0"/>
          <w:marRight w:val="0"/>
          <w:marTop w:val="0"/>
          <w:marBottom w:val="0"/>
          <w:divBdr>
            <w:top w:val="none" w:sz="0" w:space="0" w:color="auto"/>
            <w:left w:val="none" w:sz="0" w:space="0" w:color="auto"/>
            <w:bottom w:val="none" w:sz="0" w:space="0" w:color="auto"/>
            <w:right w:val="none" w:sz="0" w:space="0" w:color="auto"/>
          </w:divBdr>
        </w:div>
        <w:div w:id="1860197483">
          <w:marLeft w:val="0"/>
          <w:marRight w:val="0"/>
          <w:marTop w:val="0"/>
          <w:marBottom w:val="0"/>
          <w:divBdr>
            <w:top w:val="none" w:sz="0" w:space="0" w:color="auto"/>
            <w:left w:val="none" w:sz="0" w:space="0" w:color="auto"/>
            <w:bottom w:val="none" w:sz="0" w:space="0" w:color="auto"/>
            <w:right w:val="none" w:sz="0" w:space="0" w:color="auto"/>
          </w:divBdr>
        </w:div>
        <w:div w:id="2071876427">
          <w:marLeft w:val="0"/>
          <w:marRight w:val="0"/>
          <w:marTop w:val="0"/>
          <w:marBottom w:val="0"/>
          <w:divBdr>
            <w:top w:val="none" w:sz="0" w:space="0" w:color="auto"/>
            <w:left w:val="none" w:sz="0" w:space="0" w:color="auto"/>
            <w:bottom w:val="none" w:sz="0" w:space="0" w:color="auto"/>
            <w:right w:val="none" w:sz="0" w:space="0" w:color="auto"/>
          </w:divBdr>
        </w:div>
      </w:divsChild>
    </w:div>
    <w:div w:id="605770611">
      <w:bodyDiv w:val="1"/>
      <w:marLeft w:val="0"/>
      <w:marRight w:val="0"/>
      <w:marTop w:val="0"/>
      <w:marBottom w:val="0"/>
      <w:divBdr>
        <w:top w:val="none" w:sz="0" w:space="0" w:color="auto"/>
        <w:left w:val="none" w:sz="0" w:space="0" w:color="auto"/>
        <w:bottom w:val="none" w:sz="0" w:space="0" w:color="auto"/>
        <w:right w:val="none" w:sz="0" w:space="0" w:color="auto"/>
      </w:divBdr>
      <w:divsChild>
        <w:div w:id="429666055">
          <w:marLeft w:val="0"/>
          <w:marRight w:val="0"/>
          <w:marTop w:val="0"/>
          <w:marBottom w:val="0"/>
          <w:divBdr>
            <w:top w:val="none" w:sz="0" w:space="0" w:color="auto"/>
            <w:left w:val="none" w:sz="0" w:space="0" w:color="auto"/>
            <w:bottom w:val="none" w:sz="0" w:space="0" w:color="auto"/>
            <w:right w:val="none" w:sz="0" w:space="0" w:color="auto"/>
          </w:divBdr>
        </w:div>
        <w:div w:id="759571441">
          <w:marLeft w:val="0"/>
          <w:marRight w:val="0"/>
          <w:marTop w:val="0"/>
          <w:marBottom w:val="0"/>
          <w:divBdr>
            <w:top w:val="none" w:sz="0" w:space="0" w:color="auto"/>
            <w:left w:val="none" w:sz="0" w:space="0" w:color="auto"/>
            <w:bottom w:val="none" w:sz="0" w:space="0" w:color="auto"/>
            <w:right w:val="none" w:sz="0" w:space="0" w:color="auto"/>
          </w:divBdr>
        </w:div>
        <w:div w:id="1541938431">
          <w:marLeft w:val="0"/>
          <w:marRight w:val="0"/>
          <w:marTop w:val="0"/>
          <w:marBottom w:val="0"/>
          <w:divBdr>
            <w:top w:val="none" w:sz="0" w:space="0" w:color="auto"/>
            <w:left w:val="none" w:sz="0" w:space="0" w:color="auto"/>
            <w:bottom w:val="none" w:sz="0" w:space="0" w:color="auto"/>
            <w:right w:val="none" w:sz="0" w:space="0" w:color="auto"/>
          </w:divBdr>
        </w:div>
        <w:div w:id="1614284948">
          <w:marLeft w:val="0"/>
          <w:marRight w:val="0"/>
          <w:marTop w:val="0"/>
          <w:marBottom w:val="0"/>
          <w:divBdr>
            <w:top w:val="none" w:sz="0" w:space="0" w:color="auto"/>
            <w:left w:val="none" w:sz="0" w:space="0" w:color="auto"/>
            <w:bottom w:val="none" w:sz="0" w:space="0" w:color="auto"/>
            <w:right w:val="none" w:sz="0" w:space="0" w:color="auto"/>
          </w:divBdr>
        </w:div>
        <w:div w:id="1704090014">
          <w:marLeft w:val="0"/>
          <w:marRight w:val="0"/>
          <w:marTop w:val="0"/>
          <w:marBottom w:val="0"/>
          <w:divBdr>
            <w:top w:val="none" w:sz="0" w:space="0" w:color="auto"/>
            <w:left w:val="none" w:sz="0" w:space="0" w:color="auto"/>
            <w:bottom w:val="none" w:sz="0" w:space="0" w:color="auto"/>
            <w:right w:val="none" w:sz="0" w:space="0" w:color="auto"/>
          </w:divBdr>
        </w:div>
        <w:div w:id="1896817159">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61882893">
      <w:bodyDiv w:val="1"/>
      <w:marLeft w:val="0"/>
      <w:marRight w:val="0"/>
      <w:marTop w:val="0"/>
      <w:marBottom w:val="0"/>
      <w:divBdr>
        <w:top w:val="none" w:sz="0" w:space="0" w:color="auto"/>
        <w:left w:val="none" w:sz="0" w:space="0" w:color="auto"/>
        <w:bottom w:val="none" w:sz="0" w:space="0" w:color="auto"/>
        <w:right w:val="none" w:sz="0" w:space="0" w:color="auto"/>
      </w:divBdr>
    </w:div>
    <w:div w:id="97676037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7067589">
      <w:bodyDiv w:val="1"/>
      <w:marLeft w:val="0"/>
      <w:marRight w:val="0"/>
      <w:marTop w:val="0"/>
      <w:marBottom w:val="0"/>
      <w:divBdr>
        <w:top w:val="none" w:sz="0" w:space="0" w:color="auto"/>
        <w:left w:val="none" w:sz="0" w:space="0" w:color="auto"/>
        <w:bottom w:val="none" w:sz="0" w:space="0" w:color="auto"/>
        <w:right w:val="none" w:sz="0" w:space="0" w:color="auto"/>
      </w:divBdr>
      <w:divsChild>
        <w:div w:id="116216222">
          <w:marLeft w:val="0"/>
          <w:marRight w:val="75"/>
          <w:marTop w:val="0"/>
          <w:marBottom w:val="0"/>
          <w:divBdr>
            <w:top w:val="none" w:sz="0" w:space="0" w:color="auto"/>
            <w:left w:val="none" w:sz="0" w:space="0" w:color="auto"/>
            <w:bottom w:val="none" w:sz="0" w:space="0" w:color="auto"/>
            <w:right w:val="none" w:sz="0" w:space="0" w:color="auto"/>
          </w:divBdr>
        </w:div>
        <w:div w:id="1004943713">
          <w:marLeft w:val="0"/>
          <w:marRight w:val="0"/>
          <w:marTop w:val="0"/>
          <w:marBottom w:val="0"/>
          <w:divBdr>
            <w:top w:val="none" w:sz="0" w:space="0" w:color="auto"/>
            <w:left w:val="none" w:sz="0" w:space="0" w:color="auto"/>
            <w:bottom w:val="none" w:sz="0" w:space="0" w:color="auto"/>
            <w:right w:val="none" w:sz="0" w:space="0" w:color="auto"/>
          </w:divBdr>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04391847">
      <w:bodyDiv w:val="1"/>
      <w:marLeft w:val="0"/>
      <w:marRight w:val="0"/>
      <w:marTop w:val="0"/>
      <w:marBottom w:val="0"/>
      <w:divBdr>
        <w:top w:val="none" w:sz="0" w:space="0" w:color="auto"/>
        <w:left w:val="none" w:sz="0" w:space="0" w:color="auto"/>
        <w:bottom w:val="none" w:sz="0" w:space="0" w:color="auto"/>
        <w:right w:val="none" w:sz="0" w:space="0" w:color="auto"/>
      </w:divBdr>
      <w:divsChild>
        <w:div w:id="2172372">
          <w:marLeft w:val="0"/>
          <w:marRight w:val="0"/>
          <w:marTop w:val="0"/>
          <w:marBottom w:val="0"/>
          <w:divBdr>
            <w:top w:val="none" w:sz="0" w:space="0" w:color="auto"/>
            <w:left w:val="none" w:sz="0" w:space="0" w:color="auto"/>
            <w:bottom w:val="none" w:sz="0" w:space="0" w:color="auto"/>
            <w:right w:val="none" w:sz="0" w:space="0" w:color="auto"/>
          </w:divBdr>
        </w:div>
        <w:div w:id="257445416">
          <w:marLeft w:val="0"/>
          <w:marRight w:val="0"/>
          <w:marTop w:val="0"/>
          <w:marBottom w:val="0"/>
          <w:divBdr>
            <w:top w:val="none" w:sz="0" w:space="0" w:color="auto"/>
            <w:left w:val="none" w:sz="0" w:space="0" w:color="auto"/>
            <w:bottom w:val="none" w:sz="0" w:space="0" w:color="auto"/>
            <w:right w:val="none" w:sz="0" w:space="0" w:color="auto"/>
          </w:divBdr>
        </w:div>
        <w:div w:id="319505995">
          <w:marLeft w:val="0"/>
          <w:marRight w:val="0"/>
          <w:marTop w:val="0"/>
          <w:marBottom w:val="0"/>
          <w:divBdr>
            <w:top w:val="none" w:sz="0" w:space="0" w:color="auto"/>
            <w:left w:val="none" w:sz="0" w:space="0" w:color="auto"/>
            <w:bottom w:val="none" w:sz="0" w:space="0" w:color="auto"/>
            <w:right w:val="none" w:sz="0" w:space="0" w:color="auto"/>
          </w:divBdr>
        </w:div>
        <w:div w:id="840466128">
          <w:marLeft w:val="0"/>
          <w:marRight w:val="0"/>
          <w:marTop w:val="0"/>
          <w:marBottom w:val="0"/>
          <w:divBdr>
            <w:top w:val="none" w:sz="0" w:space="0" w:color="auto"/>
            <w:left w:val="none" w:sz="0" w:space="0" w:color="auto"/>
            <w:bottom w:val="none" w:sz="0" w:space="0" w:color="auto"/>
            <w:right w:val="none" w:sz="0" w:space="0" w:color="auto"/>
          </w:divBdr>
        </w:div>
        <w:div w:id="1398822285">
          <w:marLeft w:val="0"/>
          <w:marRight w:val="0"/>
          <w:marTop w:val="0"/>
          <w:marBottom w:val="0"/>
          <w:divBdr>
            <w:top w:val="none" w:sz="0" w:space="0" w:color="auto"/>
            <w:left w:val="none" w:sz="0" w:space="0" w:color="auto"/>
            <w:bottom w:val="none" w:sz="0" w:space="0" w:color="auto"/>
            <w:right w:val="none" w:sz="0" w:space="0" w:color="auto"/>
          </w:divBdr>
        </w:div>
        <w:div w:id="1657369791">
          <w:marLeft w:val="0"/>
          <w:marRight w:val="0"/>
          <w:marTop w:val="0"/>
          <w:marBottom w:val="0"/>
          <w:divBdr>
            <w:top w:val="none" w:sz="0" w:space="0" w:color="auto"/>
            <w:left w:val="none" w:sz="0" w:space="0" w:color="auto"/>
            <w:bottom w:val="none" w:sz="0" w:space="0" w:color="auto"/>
            <w:right w:val="none" w:sz="0" w:space="0" w:color="auto"/>
          </w:divBdr>
        </w:div>
      </w:divsChild>
    </w:div>
    <w:div w:id="1328942175">
      <w:bodyDiv w:val="1"/>
      <w:marLeft w:val="0"/>
      <w:marRight w:val="0"/>
      <w:marTop w:val="0"/>
      <w:marBottom w:val="0"/>
      <w:divBdr>
        <w:top w:val="none" w:sz="0" w:space="0" w:color="auto"/>
        <w:left w:val="none" w:sz="0" w:space="0" w:color="auto"/>
        <w:bottom w:val="none" w:sz="0" w:space="0" w:color="auto"/>
        <w:right w:val="none" w:sz="0" w:space="0" w:color="auto"/>
      </w:divBdr>
    </w:div>
    <w:div w:id="1334139016">
      <w:bodyDiv w:val="1"/>
      <w:marLeft w:val="0"/>
      <w:marRight w:val="0"/>
      <w:marTop w:val="0"/>
      <w:marBottom w:val="0"/>
      <w:divBdr>
        <w:top w:val="none" w:sz="0" w:space="0" w:color="auto"/>
        <w:left w:val="none" w:sz="0" w:space="0" w:color="auto"/>
        <w:bottom w:val="none" w:sz="0" w:space="0" w:color="auto"/>
        <w:right w:val="none" w:sz="0" w:space="0" w:color="auto"/>
      </w:divBdr>
    </w:div>
    <w:div w:id="1765610424">
      <w:bodyDiv w:val="1"/>
      <w:marLeft w:val="0"/>
      <w:marRight w:val="0"/>
      <w:marTop w:val="0"/>
      <w:marBottom w:val="0"/>
      <w:divBdr>
        <w:top w:val="none" w:sz="0" w:space="0" w:color="auto"/>
        <w:left w:val="none" w:sz="0" w:space="0" w:color="auto"/>
        <w:bottom w:val="none" w:sz="0" w:space="0" w:color="auto"/>
        <w:right w:val="none" w:sz="0" w:space="0" w:color="auto"/>
      </w:divBdr>
      <w:divsChild>
        <w:div w:id="183981315">
          <w:marLeft w:val="0"/>
          <w:marRight w:val="0"/>
          <w:marTop w:val="0"/>
          <w:marBottom w:val="0"/>
          <w:divBdr>
            <w:top w:val="none" w:sz="0" w:space="0" w:color="auto"/>
            <w:left w:val="none" w:sz="0" w:space="0" w:color="auto"/>
            <w:bottom w:val="none" w:sz="0" w:space="0" w:color="auto"/>
            <w:right w:val="none" w:sz="0" w:space="0" w:color="auto"/>
          </w:divBdr>
        </w:div>
        <w:div w:id="370813551">
          <w:marLeft w:val="0"/>
          <w:marRight w:val="0"/>
          <w:marTop w:val="0"/>
          <w:marBottom w:val="0"/>
          <w:divBdr>
            <w:top w:val="none" w:sz="0" w:space="0" w:color="auto"/>
            <w:left w:val="none" w:sz="0" w:space="0" w:color="auto"/>
            <w:bottom w:val="none" w:sz="0" w:space="0" w:color="auto"/>
            <w:right w:val="none" w:sz="0" w:space="0" w:color="auto"/>
          </w:divBdr>
        </w:div>
        <w:div w:id="391735017">
          <w:marLeft w:val="0"/>
          <w:marRight w:val="0"/>
          <w:marTop w:val="0"/>
          <w:marBottom w:val="0"/>
          <w:divBdr>
            <w:top w:val="none" w:sz="0" w:space="0" w:color="auto"/>
            <w:left w:val="none" w:sz="0" w:space="0" w:color="auto"/>
            <w:bottom w:val="none" w:sz="0" w:space="0" w:color="auto"/>
            <w:right w:val="none" w:sz="0" w:space="0" w:color="auto"/>
          </w:divBdr>
        </w:div>
        <w:div w:id="1101031564">
          <w:marLeft w:val="0"/>
          <w:marRight w:val="0"/>
          <w:marTop w:val="0"/>
          <w:marBottom w:val="0"/>
          <w:divBdr>
            <w:top w:val="none" w:sz="0" w:space="0" w:color="auto"/>
            <w:left w:val="none" w:sz="0" w:space="0" w:color="auto"/>
            <w:bottom w:val="none" w:sz="0" w:space="0" w:color="auto"/>
            <w:right w:val="none" w:sz="0" w:space="0" w:color="auto"/>
          </w:divBdr>
        </w:div>
        <w:div w:id="1676423303">
          <w:marLeft w:val="0"/>
          <w:marRight w:val="0"/>
          <w:marTop w:val="0"/>
          <w:marBottom w:val="0"/>
          <w:divBdr>
            <w:top w:val="none" w:sz="0" w:space="0" w:color="auto"/>
            <w:left w:val="none" w:sz="0" w:space="0" w:color="auto"/>
            <w:bottom w:val="none" w:sz="0" w:space="0" w:color="auto"/>
            <w:right w:val="none" w:sz="0" w:space="0" w:color="auto"/>
          </w:divBdr>
        </w:div>
        <w:div w:id="1948926768">
          <w:marLeft w:val="0"/>
          <w:marRight w:val="0"/>
          <w:marTop w:val="0"/>
          <w:marBottom w:val="0"/>
          <w:divBdr>
            <w:top w:val="none" w:sz="0" w:space="0" w:color="auto"/>
            <w:left w:val="none" w:sz="0" w:space="0" w:color="auto"/>
            <w:bottom w:val="none" w:sz="0" w:space="0" w:color="auto"/>
            <w:right w:val="none" w:sz="0" w:space="0" w:color="auto"/>
          </w:divBdr>
        </w:div>
      </w:divsChild>
    </w:div>
    <w:div w:id="1867212920">
      <w:bodyDiv w:val="1"/>
      <w:marLeft w:val="0"/>
      <w:marRight w:val="0"/>
      <w:marTop w:val="0"/>
      <w:marBottom w:val="0"/>
      <w:divBdr>
        <w:top w:val="none" w:sz="0" w:space="0" w:color="auto"/>
        <w:left w:val="none" w:sz="0" w:space="0" w:color="auto"/>
        <w:bottom w:val="none" w:sz="0" w:space="0" w:color="auto"/>
        <w:right w:val="none" w:sz="0" w:space="0" w:color="auto"/>
      </w:divBdr>
      <w:divsChild>
        <w:div w:id="408696951">
          <w:marLeft w:val="0"/>
          <w:marRight w:val="0"/>
          <w:marTop w:val="0"/>
          <w:marBottom w:val="0"/>
          <w:divBdr>
            <w:top w:val="none" w:sz="0" w:space="0" w:color="auto"/>
            <w:left w:val="none" w:sz="0" w:space="0" w:color="auto"/>
            <w:bottom w:val="none" w:sz="0" w:space="0" w:color="auto"/>
            <w:right w:val="none" w:sz="0" w:space="0" w:color="auto"/>
          </w:divBdr>
        </w:div>
        <w:div w:id="530920945">
          <w:marLeft w:val="0"/>
          <w:marRight w:val="0"/>
          <w:marTop w:val="0"/>
          <w:marBottom w:val="0"/>
          <w:divBdr>
            <w:top w:val="none" w:sz="0" w:space="0" w:color="auto"/>
            <w:left w:val="none" w:sz="0" w:space="0" w:color="auto"/>
            <w:bottom w:val="none" w:sz="0" w:space="0" w:color="auto"/>
            <w:right w:val="none" w:sz="0" w:space="0" w:color="auto"/>
          </w:divBdr>
        </w:div>
        <w:div w:id="1256283680">
          <w:marLeft w:val="0"/>
          <w:marRight w:val="0"/>
          <w:marTop w:val="0"/>
          <w:marBottom w:val="0"/>
          <w:divBdr>
            <w:top w:val="none" w:sz="0" w:space="0" w:color="auto"/>
            <w:left w:val="none" w:sz="0" w:space="0" w:color="auto"/>
            <w:bottom w:val="none" w:sz="0" w:space="0" w:color="auto"/>
            <w:right w:val="none" w:sz="0" w:space="0" w:color="auto"/>
          </w:divBdr>
        </w:div>
        <w:div w:id="1310162930">
          <w:marLeft w:val="0"/>
          <w:marRight w:val="0"/>
          <w:marTop w:val="0"/>
          <w:marBottom w:val="0"/>
          <w:divBdr>
            <w:top w:val="none" w:sz="0" w:space="0" w:color="auto"/>
            <w:left w:val="none" w:sz="0" w:space="0" w:color="auto"/>
            <w:bottom w:val="none" w:sz="0" w:space="0" w:color="auto"/>
            <w:right w:val="none" w:sz="0" w:space="0" w:color="auto"/>
          </w:divBdr>
        </w:div>
        <w:div w:id="1748726281">
          <w:marLeft w:val="0"/>
          <w:marRight w:val="0"/>
          <w:marTop w:val="0"/>
          <w:marBottom w:val="0"/>
          <w:divBdr>
            <w:top w:val="none" w:sz="0" w:space="0" w:color="auto"/>
            <w:left w:val="none" w:sz="0" w:space="0" w:color="auto"/>
            <w:bottom w:val="none" w:sz="0" w:space="0" w:color="auto"/>
            <w:right w:val="none" w:sz="0" w:space="0" w:color="auto"/>
          </w:divBdr>
        </w:div>
        <w:div w:id="1977837177">
          <w:marLeft w:val="0"/>
          <w:marRight w:val="0"/>
          <w:marTop w:val="0"/>
          <w:marBottom w:val="0"/>
          <w:divBdr>
            <w:top w:val="none" w:sz="0" w:space="0" w:color="auto"/>
            <w:left w:val="none" w:sz="0" w:space="0" w:color="auto"/>
            <w:bottom w:val="none" w:sz="0" w:space="0" w:color="auto"/>
            <w:right w:val="none" w:sz="0" w:space="0" w:color="auto"/>
          </w:divBdr>
        </w:div>
      </w:divsChild>
    </w:div>
    <w:div w:id="1870333692">
      <w:bodyDiv w:val="1"/>
      <w:marLeft w:val="0"/>
      <w:marRight w:val="0"/>
      <w:marTop w:val="0"/>
      <w:marBottom w:val="0"/>
      <w:divBdr>
        <w:top w:val="none" w:sz="0" w:space="0" w:color="auto"/>
        <w:left w:val="none" w:sz="0" w:space="0" w:color="auto"/>
        <w:bottom w:val="none" w:sz="0" w:space="0" w:color="auto"/>
        <w:right w:val="none" w:sz="0" w:space="0" w:color="auto"/>
      </w:divBdr>
      <w:divsChild>
        <w:div w:id="175002706">
          <w:marLeft w:val="0"/>
          <w:marRight w:val="0"/>
          <w:marTop w:val="0"/>
          <w:marBottom w:val="0"/>
          <w:divBdr>
            <w:top w:val="none" w:sz="0" w:space="0" w:color="auto"/>
            <w:left w:val="none" w:sz="0" w:space="0" w:color="auto"/>
            <w:bottom w:val="none" w:sz="0" w:space="0" w:color="auto"/>
            <w:right w:val="none" w:sz="0" w:space="0" w:color="auto"/>
          </w:divBdr>
        </w:div>
        <w:div w:id="199247650">
          <w:marLeft w:val="0"/>
          <w:marRight w:val="0"/>
          <w:marTop w:val="0"/>
          <w:marBottom w:val="0"/>
          <w:divBdr>
            <w:top w:val="none" w:sz="0" w:space="0" w:color="auto"/>
            <w:left w:val="none" w:sz="0" w:space="0" w:color="auto"/>
            <w:bottom w:val="none" w:sz="0" w:space="0" w:color="auto"/>
            <w:right w:val="none" w:sz="0" w:space="0" w:color="auto"/>
          </w:divBdr>
        </w:div>
        <w:div w:id="592906112">
          <w:marLeft w:val="0"/>
          <w:marRight w:val="0"/>
          <w:marTop w:val="0"/>
          <w:marBottom w:val="0"/>
          <w:divBdr>
            <w:top w:val="none" w:sz="0" w:space="0" w:color="auto"/>
            <w:left w:val="none" w:sz="0" w:space="0" w:color="auto"/>
            <w:bottom w:val="none" w:sz="0" w:space="0" w:color="auto"/>
            <w:right w:val="none" w:sz="0" w:space="0" w:color="auto"/>
          </w:divBdr>
        </w:div>
        <w:div w:id="1112819663">
          <w:marLeft w:val="0"/>
          <w:marRight w:val="0"/>
          <w:marTop w:val="0"/>
          <w:marBottom w:val="0"/>
          <w:divBdr>
            <w:top w:val="none" w:sz="0" w:space="0" w:color="auto"/>
            <w:left w:val="none" w:sz="0" w:space="0" w:color="auto"/>
            <w:bottom w:val="none" w:sz="0" w:space="0" w:color="auto"/>
            <w:right w:val="none" w:sz="0" w:space="0" w:color="auto"/>
          </w:divBdr>
        </w:div>
        <w:div w:id="1566139483">
          <w:marLeft w:val="0"/>
          <w:marRight w:val="0"/>
          <w:marTop w:val="0"/>
          <w:marBottom w:val="0"/>
          <w:divBdr>
            <w:top w:val="none" w:sz="0" w:space="0" w:color="auto"/>
            <w:left w:val="none" w:sz="0" w:space="0" w:color="auto"/>
            <w:bottom w:val="none" w:sz="0" w:space="0" w:color="auto"/>
            <w:right w:val="none" w:sz="0" w:space="0" w:color="auto"/>
          </w:divBdr>
        </w:div>
        <w:div w:id="1948465428">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3096069">
      <w:bodyDiv w:val="1"/>
      <w:marLeft w:val="0"/>
      <w:marRight w:val="0"/>
      <w:marTop w:val="0"/>
      <w:marBottom w:val="0"/>
      <w:divBdr>
        <w:top w:val="none" w:sz="0" w:space="0" w:color="auto"/>
        <w:left w:val="none" w:sz="0" w:space="0" w:color="auto"/>
        <w:bottom w:val="none" w:sz="0" w:space="0" w:color="auto"/>
        <w:right w:val="none" w:sz="0" w:space="0" w:color="auto"/>
      </w:divBdr>
    </w:div>
    <w:div w:id="2007587812">
      <w:bodyDiv w:val="1"/>
      <w:marLeft w:val="0"/>
      <w:marRight w:val="0"/>
      <w:marTop w:val="0"/>
      <w:marBottom w:val="0"/>
      <w:divBdr>
        <w:top w:val="none" w:sz="0" w:space="0" w:color="auto"/>
        <w:left w:val="none" w:sz="0" w:space="0" w:color="auto"/>
        <w:bottom w:val="none" w:sz="0" w:space="0" w:color="auto"/>
        <w:right w:val="none" w:sz="0" w:space="0" w:color="auto"/>
      </w:divBdr>
      <w:divsChild>
        <w:div w:id="357589505">
          <w:marLeft w:val="0"/>
          <w:marRight w:val="0"/>
          <w:marTop w:val="0"/>
          <w:marBottom w:val="0"/>
          <w:divBdr>
            <w:top w:val="none" w:sz="0" w:space="0" w:color="auto"/>
            <w:left w:val="none" w:sz="0" w:space="0" w:color="auto"/>
            <w:bottom w:val="none" w:sz="0" w:space="0" w:color="auto"/>
            <w:right w:val="none" w:sz="0" w:space="0" w:color="auto"/>
          </w:divBdr>
        </w:div>
        <w:div w:id="366295010">
          <w:marLeft w:val="0"/>
          <w:marRight w:val="0"/>
          <w:marTop w:val="0"/>
          <w:marBottom w:val="0"/>
          <w:divBdr>
            <w:top w:val="none" w:sz="0" w:space="0" w:color="auto"/>
            <w:left w:val="none" w:sz="0" w:space="0" w:color="auto"/>
            <w:bottom w:val="none" w:sz="0" w:space="0" w:color="auto"/>
            <w:right w:val="none" w:sz="0" w:space="0" w:color="auto"/>
          </w:divBdr>
        </w:div>
        <w:div w:id="455560659">
          <w:marLeft w:val="0"/>
          <w:marRight w:val="0"/>
          <w:marTop w:val="0"/>
          <w:marBottom w:val="0"/>
          <w:divBdr>
            <w:top w:val="none" w:sz="0" w:space="0" w:color="auto"/>
            <w:left w:val="none" w:sz="0" w:space="0" w:color="auto"/>
            <w:bottom w:val="none" w:sz="0" w:space="0" w:color="auto"/>
            <w:right w:val="none" w:sz="0" w:space="0" w:color="auto"/>
          </w:divBdr>
        </w:div>
        <w:div w:id="747729415">
          <w:marLeft w:val="0"/>
          <w:marRight w:val="0"/>
          <w:marTop w:val="0"/>
          <w:marBottom w:val="0"/>
          <w:divBdr>
            <w:top w:val="none" w:sz="0" w:space="0" w:color="auto"/>
            <w:left w:val="none" w:sz="0" w:space="0" w:color="auto"/>
            <w:bottom w:val="none" w:sz="0" w:space="0" w:color="auto"/>
            <w:right w:val="none" w:sz="0" w:space="0" w:color="auto"/>
          </w:divBdr>
        </w:div>
        <w:div w:id="902444601">
          <w:marLeft w:val="0"/>
          <w:marRight w:val="0"/>
          <w:marTop w:val="0"/>
          <w:marBottom w:val="0"/>
          <w:divBdr>
            <w:top w:val="none" w:sz="0" w:space="0" w:color="auto"/>
            <w:left w:val="none" w:sz="0" w:space="0" w:color="auto"/>
            <w:bottom w:val="none" w:sz="0" w:space="0" w:color="auto"/>
            <w:right w:val="none" w:sz="0" w:space="0" w:color="auto"/>
          </w:divBdr>
        </w:div>
        <w:div w:id="986323336">
          <w:marLeft w:val="0"/>
          <w:marRight w:val="0"/>
          <w:marTop w:val="0"/>
          <w:marBottom w:val="0"/>
          <w:divBdr>
            <w:top w:val="none" w:sz="0" w:space="0" w:color="auto"/>
            <w:left w:val="none" w:sz="0" w:space="0" w:color="auto"/>
            <w:bottom w:val="none" w:sz="0" w:space="0" w:color="auto"/>
            <w:right w:val="none" w:sz="0" w:space="0" w:color="auto"/>
          </w:divBdr>
        </w:div>
        <w:div w:id="1233613494">
          <w:marLeft w:val="0"/>
          <w:marRight w:val="0"/>
          <w:marTop w:val="0"/>
          <w:marBottom w:val="0"/>
          <w:divBdr>
            <w:top w:val="none" w:sz="0" w:space="0" w:color="auto"/>
            <w:left w:val="none" w:sz="0" w:space="0" w:color="auto"/>
            <w:bottom w:val="none" w:sz="0" w:space="0" w:color="auto"/>
            <w:right w:val="none" w:sz="0" w:space="0" w:color="auto"/>
          </w:divBdr>
        </w:div>
        <w:div w:id="1411928323">
          <w:marLeft w:val="0"/>
          <w:marRight w:val="0"/>
          <w:marTop w:val="0"/>
          <w:marBottom w:val="0"/>
          <w:divBdr>
            <w:top w:val="none" w:sz="0" w:space="0" w:color="auto"/>
            <w:left w:val="none" w:sz="0" w:space="0" w:color="auto"/>
            <w:bottom w:val="none" w:sz="0" w:space="0" w:color="auto"/>
            <w:right w:val="none" w:sz="0" w:space="0" w:color="auto"/>
          </w:divBdr>
        </w:div>
        <w:div w:id="1707216224">
          <w:marLeft w:val="0"/>
          <w:marRight w:val="0"/>
          <w:marTop w:val="0"/>
          <w:marBottom w:val="0"/>
          <w:divBdr>
            <w:top w:val="none" w:sz="0" w:space="0" w:color="auto"/>
            <w:left w:val="none" w:sz="0" w:space="0" w:color="auto"/>
            <w:bottom w:val="none" w:sz="0" w:space="0" w:color="auto"/>
            <w:right w:val="none" w:sz="0" w:space="0" w:color="auto"/>
          </w:divBdr>
        </w:div>
        <w:div w:id="1753887948">
          <w:marLeft w:val="0"/>
          <w:marRight w:val="0"/>
          <w:marTop w:val="0"/>
          <w:marBottom w:val="0"/>
          <w:divBdr>
            <w:top w:val="none" w:sz="0" w:space="0" w:color="auto"/>
            <w:left w:val="none" w:sz="0" w:space="0" w:color="auto"/>
            <w:bottom w:val="none" w:sz="0" w:space="0" w:color="auto"/>
            <w:right w:val="none" w:sz="0" w:space="0" w:color="auto"/>
          </w:divBdr>
        </w:div>
        <w:div w:id="1873299474">
          <w:marLeft w:val="0"/>
          <w:marRight w:val="0"/>
          <w:marTop w:val="0"/>
          <w:marBottom w:val="0"/>
          <w:divBdr>
            <w:top w:val="none" w:sz="0" w:space="0" w:color="auto"/>
            <w:left w:val="none" w:sz="0" w:space="0" w:color="auto"/>
            <w:bottom w:val="none" w:sz="0" w:space="0" w:color="auto"/>
            <w:right w:val="none" w:sz="0" w:space="0" w:color="auto"/>
          </w:divBdr>
        </w:div>
        <w:div w:id="2027126514">
          <w:marLeft w:val="0"/>
          <w:marRight w:val="0"/>
          <w:marTop w:val="0"/>
          <w:marBottom w:val="0"/>
          <w:divBdr>
            <w:top w:val="none" w:sz="0" w:space="0" w:color="auto"/>
            <w:left w:val="none" w:sz="0" w:space="0" w:color="auto"/>
            <w:bottom w:val="none" w:sz="0" w:space="0" w:color="auto"/>
            <w:right w:val="none" w:sz="0" w:space="0" w:color="auto"/>
          </w:divBdr>
        </w:div>
        <w:div w:id="2059738280">
          <w:marLeft w:val="0"/>
          <w:marRight w:val="0"/>
          <w:marTop w:val="0"/>
          <w:marBottom w:val="0"/>
          <w:divBdr>
            <w:top w:val="none" w:sz="0" w:space="0" w:color="auto"/>
            <w:left w:val="none" w:sz="0" w:space="0" w:color="auto"/>
            <w:bottom w:val="none" w:sz="0" w:space="0" w:color="auto"/>
            <w:right w:val="none" w:sz="0" w:space="0" w:color="auto"/>
          </w:divBdr>
        </w:div>
      </w:divsChild>
    </w:div>
    <w:div w:id="2024935327">
      <w:bodyDiv w:val="1"/>
      <w:marLeft w:val="0"/>
      <w:marRight w:val="0"/>
      <w:marTop w:val="0"/>
      <w:marBottom w:val="0"/>
      <w:divBdr>
        <w:top w:val="none" w:sz="0" w:space="0" w:color="auto"/>
        <w:left w:val="none" w:sz="0" w:space="0" w:color="auto"/>
        <w:bottom w:val="none" w:sz="0" w:space="0" w:color="auto"/>
        <w:right w:val="none" w:sz="0" w:space="0" w:color="auto"/>
      </w:divBdr>
      <w:divsChild>
        <w:div w:id="437874783">
          <w:marLeft w:val="0"/>
          <w:marRight w:val="0"/>
          <w:marTop w:val="0"/>
          <w:marBottom w:val="0"/>
          <w:divBdr>
            <w:top w:val="none" w:sz="0" w:space="0" w:color="auto"/>
            <w:left w:val="none" w:sz="0" w:space="0" w:color="auto"/>
            <w:bottom w:val="none" w:sz="0" w:space="0" w:color="auto"/>
            <w:right w:val="none" w:sz="0" w:space="0" w:color="auto"/>
          </w:divBdr>
        </w:div>
        <w:div w:id="250697505">
          <w:marLeft w:val="0"/>
          <w:marRight w:val="0"/>
          <w:marTop w:val="0"/>
          <w:marBottom w:val="0"/>
          <w:divBdr>
            <w:top w:val="none" w:sz="0" w:space="0" w:color="auto"/>
            <w:left w:val="none" w:sz="0" w:space="0" w:color="auto"/>
            <w:bottom w:val="none" w:sz="0" w:space="0" w:color="auto"/>
            <w:right w:val="none" w:sz="0" w:space="0" w:color="auto"/>
          </w:divBdr>
        </w:div>
        <w:div w:id="961106773">
          <w:marLeft w:val="0"/>
          <w:marRight w:val="0"/>
          <w:marTop w:val="0"/>
          <w:marBottom w:val="0"/>
          <w:divBdr>
            <w:top w:val="none" w:sz="0" w:space="0" w:color="auto"/>
            <w:left w:val="none" w:sz="0" w:space="0" w:color="auto"/>
            <w:bottom w:val="none" w:sz="0" w:space="0" w:color="auto"/>
            <w:right w:val="none" w:sz="0" w:space="0" w:color="auto"/>
          </w:divBdr>
        </w:div>
        <w:div w:id="383873183">
          <w:marLeft w:val="0"/>
          <w:marRight w:val="0"/>
          <w:marTop w:val="0"/>
          <w:marBottom w:val="0"/>
          <w:divBdr>
            <w:top w:val="none" w:sz="0" w:space="0" w:color="auto"/>
            <w:left w:val="none" w:sz="0" w:space="0" w:color="auto"/>
            <w:bottom w:val="none" w:sz="0" w:space="0" w:color="auto"/>
            <w:right w:val="none" w:sz="0" w:space="0" w:color="auto"/>
          </w:divBdr>
        </w:div>
        <w:div w:id="503085907">
          <w:marLeft w:val="0"/>
          <w:marRight w:val="0"/>
          <w:marTop w:val="0"/>
          <w:marBottom w:val="0"/>
          <w:divBdr>
            <w:top w:val="none" w:sz="0" w:space="0" w:color="auto"/>
            <w:left w:val="none" w:sz="0" w:space="0" w:color="auto"/>
            <w:bottom w:val="none" w:sz="0" w:space="0" w:color="auto"/>
            <w:right w:val="none" w:sz="0" w:space="0" w:color="auto"/>
          </w:divBdr>
        </w:div>
        <w:div w:id="1145009420">
          <w:marLeft w:val="0"/>
          <w:marRight w:val="0"/>
          <w:marTop w:val="0"/>
          <w:marBottom w:val="0"/>
          <w:divBdr>
            <w:top w:val="none" w:sz="0" w:space="0" w:color="auto"/>
            <w:left w:val="none" w:sz="0" w:space="0" w:color="auto"/>
            <w:bottom w:val="none" w:sz="0" w:space="0" w:color="auto"/>
            <w:right w:val="none" w:sz="0" w:space="0" w:color="auto"/>
          </w:divBdr>
        </w:div>
        <w:div w:id="128713359">
          <w:marLeft w:val="0"/>
          <w:marRight w:val="0"/>
          <w:marTop w:val="0"/>
          <w:marBottom w:val="0"/>
          <w:divBdr>
            <w:top w:val="none" w:sz="0" w:space="0" w:color="auto"/>
            <w:left w:val="none" w:sz="0" w:space="0" w:color="auto"/>
            <w:bottom w:val="none" w:sz="0" w:space="0" w:color="auto"/>
            <w:right w:val="none" w:sz="0" w:space="0" w:color="auto"/>
          </w:divBdr>
        </w:div>
        <w:div w:id="549458863">
          <w:marLeft w:val="0"/>
          <w:marRight w:val="0"/>
          <w:marTop w:val="0"/>
          <w:marBottom w:val="0"/>
          <w:divBdr>
            <w:top w:val="none" w:sz="0" w:space="0" w:color="auto"/>
            <w:left w:val="none" w:sz="0" w:space="0" w:color="auto"/>
            <w:bottom w:val="none" w:sz="0" w:space="0" w:color="auto"/>
            <w:right w:val="none" w:sz="0" w:space="0" w:color="auto"/>
          </w:divBdr>
        </w:div>
        <w:div w:id="624041322">
          <w:marLeft w:val="0"/>
          <w:marRight w:val="0"/>
          <w:marTop w:val="0"/>
          <w:marBottom w:val="0"/>
          <w:divBdr>
            <w:top w:val="none" w:sz="0" w:space="0" w:color="auto"/>
            <w:left w:val="none" w:sz="0" w:space="0" w:color="auto"/>
            <w:bottom w:val="none" w:sz="0" w:space="0" w:color="auto"/>
            <w:right w:val="none" w:sz="0" w:space="0" w:color="auto"/>
          </w:divBdr>
        </w:div>
        <w:div w:id="54819455">
          <w:marLeft w:val="0"/>
          <w:marRight w:val="0"/>
          <w:marTop w:val="0"/>
          <w:marBottom w:val="0"/>
          <w:divBdr>
            <w:top w:val="none" w:sz="0" w:space="0" w:color="auto"/>
            <w:left w:val="none" w:sz="0" w:space="0" w:color="auto"/>
            <w:bottom w:val="none" w:sz="0" w:space="0" w:color="auto"/>
            <w:right w:val="none" w:sz="0" w:space="0" w:color="auto"/>
          </w:divBdr>
        </w:div>
        <w:div w:id="339043124">
          <w:marLeft w:val="0"/>
          <w:marRight w:val="0"/>
          <w:marTop w:val="0"/>
          <w:marBottom w:val="0"/>
          <w:divBdr>
            <w:top w:val="none" w:sz="0" w:space="0" w:color="auto"/>
            <w:left w:val="none" w:sz="0" w:space="0" w:color="auto"/>
            <w:bottom w:val="none" w:sz="0" w:space="0" w:color="auto"/>
            <w:right w:val="none" w:sz="0" w:space="0" w:color="auto"/>
          </w:divBdr>
        </w:div>
      </w:divsChild>
    </w:div>
    <w:div w:id="2041779154">
      <w:bodyDiv w:val="1"/>
      <w:marLeft w:val="0"/>
      <w:marRight w:val="0"/>
      <w:marTop w:val="0"/>
      <w:marBottom w:val="0"/>
      <w:divBdr>
        <w:top w:val="none" w:sz="0" w:space="0" w:color="auto"/>
        <w:left w:val="none" w:sz="0" w:space="0" w:color="auto"/>
        <w:bottom w:val="none" w:sz="0" w:space="0" w:color="auto"/>
        <w:right w:val="none" w:sz="0" w:space="0" w:color="auto"/>
      </w:divBdr>
      <w:divsChild>
        <w:div w:id="46420591">
          <w:marLeft w:val="0"/>
          <w:marRight w:val="0"/>
          <w:marTop w:val="0"/>
          <w:marBottom w:val="0"/>
          <w:divBdr>
            <w:top w:val="none" w:sz="0" w:space="0" w:color="auto"/>
            <w:left w:val="none" w:sz="0" w:space="0" w:color="auto"/>
            <w:bottom w:val="none" w:sz="0" w:space="0" w:color="auto"/>
            <w:right w:val="none" w:sz="0" w:space="0" w:color="auto"/>
          </w:divBdr>
        </w:div>
        <w:div w:id="110786843">
          <w:marLeft w:val="0"/>
          <w:marRight w:val="0"/>
          <w:marTop w:val="0"/>
          <w:marBottom w:val="0"/>
          <w:divBdr>
            <w:top w:val="none" w:sz="0" w:space="0" w:color="auto"/>
            <w:left w:val="none" w:sz="0" w:space="0" w:color="auto"/>
            <w:bottom w:val="none" w:sz="0" w:space="0" w:color="auto"/>
            <w:right w:val="none" w:sz="0" w:space="0" w:color="auto"/>
          </w:divBdr>
        </w:div>
        <w:div w:id="747387928">
          <w:marLeft w:val="0"/>
          <w:marRight w:val="0"/>
          <w:marTop w:val="0"/>
          <w:marBottom w:val="0"/>
          <w:divBdr>
            <w:top w:val="none" w:sz="0" w:space="0" w:color="auto"/>
            <w:left w:val="none" w:sz="0" w:space="0" w:color="auto"/>
            <w:bottom w:val="none" w:sz="0" w:space="0" w:color="auto"/>
            <w:right w:val="none" w:sz="0" w:space="0" w:color="auto"/>
          </w:divBdr>
        </w:div>
        <w:div w:id="246160073">
          <w:marLeft w:val="0"/>
          <w:marRight w:val="0"/>
          <w:marTop w:val="0"/>
          <w:marBottom w:val="0"/>
          <w:divBdr>
            <w:top w:val="none" w:sz="0" w:space="0" w:color="auto"/>
            <w:left w:val="none" w:sz="0" w:space="0" w:color="auto"/>
            <w:bottom w:val="none" w:sz="0" w:space="0" w:color="auto"/>
            <w:right w:val="none" w:sz="0" w:space="0" w:color="auto"/>
          </w:divBdr>
        </w:div>
        <w:div w:id="726343238">
          <w:marLeft w:val="0"/>
          <w:marRight w:val="0"/>
          <w:marTop w:val="0"/>
          <w:marBottom w:val="0"/>
          <w:divBdr>
            <w:top w:val="none" w:sz="0" w:space="0" w:color="auto"/>
            <w:left w:val="none" w:sz="0" w:space="0" w:color="auto"/>
            <w:bottom w:val="none" w:sz="0" w:space="0" w:color="auto"/>
            <w:right w:val="none" w:sz="0" w:space="0" w:color="auto"/>
          </w:divBdr>
        </w:div>
        <w:div w:id="1933588502">
          <w:marLeft w:val="0"/>
          <w:marRight w:val="0"/>
          <w:marTop w:val="0"/>
          <w:marBottom w:val="0"/>
          <w:divBdr>
            <w:top w:val="none" w:sz="0" w:space="0" w:color="auto"/>
            <w:left w:val="none" w:sz="0" w:space="0" w:color="auto"/>
            <w:bottom w:val="none" w:sz="0" w:space="0" w:color="auto"/>
            <w:right w:val="none" w:sz="0" w:space="0" w:color="auto"/>
          </w:divBdr>
        </w:div>
        <w:div w:id="1153982944">
          <w:marLeft w:val="0"/>
          <w:marRight w:val="0"/>
          <w:marTop w:val="0"/>
          <w:marBottom w:val="0"/>
          <w:divBdr>
            <w:top w:val="none" w:sz="0" w:space="0" w:color="auto"/>
            <w:left w:val="none" w:sz="0" w:space="0" w:color="auto"/>
            <w:bottom w:val="none" w:sz="0" w:space="0" w:color="auto"/>
            <w:right w:val="none" w:sz="0" w:space="0" w:color="auto"/>
          </w:divBdr>
        </w:div>
        <w:div w:id="70736402">
          <w:marLeft w:val="0"/>
          <w:marRight w:val="0"/>
          <w:marTop w:val="0"/>
          <w:marBottom w:val="0"/>
          <w:divBdr>
            <w:top w:val="none" w:sz="0" w:space="0" w:color="auto"/>
            <w:left w:val="none" w:sz="0" w:space="0" w:color="auto"/>
            <w:bottom w:val="none" w:sz="0" w:space="0" w:color="auto"/>
            <w:right w:val="none" w:sz="0" w:space="0" w:color="auto"/>
          </w:divBdr>
        </w:div>
        <w:div w:id="411657254">
          <w:marLeft w:val="0"/>
          <w:marRight w:val="0"/>
          <w:marTop w:val="0"/>
          <w:marBottom w:val="0"/>
          <w:divBdr>
            <w:top w:val="none" w:sz="0" w:space="0" w:color="auto"/>
            <w:left w:val="none" w:sz="0" w:space="0" w:color="auto"/>
            <w:bottom w:val="none" w:sz="0" w:space="0" w:color="auto"/>
            <w:right w:val="none" w:sz="0" w:space="0" w:color="auto"/>
          </w:divBdr>
        </w:div>
        <w:div w:id="703822270">
          <w:marLeft w:val="0"/>
          <w:marRight w:val="0"/>
          <w:marTop w:val="0"/>
          <w:marBottom w:val="0"/>
          <w:divBdr>
            <w:top w:val="none" w:sz="0" w:space="0" w:color="auto"/>
            <w:left w:val="none" w:sz="0" w:space="0" w:color="auto"/>
            <w:bottom w:val="none" w:sz="0" w:space="0" w:color="auto"/>
            <w:right w:val="none" w:sz="0" w:space="0" w:color="auto"/>
          </w:divBdr>
        </w:div>
        <w:div w:id="668487115">
          <w:marLeft w:val="0"/>
          <w:marRight w:val="0"/>
          <w:marTop w:val="0"/>
          <w:marBottom w:val="0"/>
          <w:divBdr>
            <w:top w:val="none" w:sz="0" w:space="0" w:color="auto"/>
            <w:left w:val="none" w:sz="0" w:space="0" w:color="auto"/>
            <w:bottom w:val="none" w:sz="0" w:space="0" w:color="auto"/>
            <w:right w:val="none" w:sz="0" w:space="0" w:color="auto"/>
          </w:divBdr>
        </w:div>
      </w:divsChild>
    </w:div>
    <w:div w:id="2143158919">
      <w:bodyDiv w:val="1"/>
      <w:marLeft w:val="0"/>
      <w:marRight w:val="0"/>
      <w:marTop w:val="0"/>
      <w:marBottom w:val="0"/>
      <w:divBdr>
        <w:top w:val="none" w:sz="0" w:space="0" w:color="auto"/>
        <w:left w:val="none" w:sz="0" w:space="0" w:color="auto"/>
        <w:bottom w:val="none" w:sz="0" w:space="0" w:color="auto"/>
        <w:right w:val="none" w:sz="0" w:space="0" w:color="auto"/>
      </w:divBdr>
      <w:divsChild>
        <w:div w:id="571430906">
          <w:marLeft w:val="0"/>
          <w:marRight w:val="0"/>
          <w:marTop w:val="0"/>
          <w:marBottom w:val="0"/>
          <w:divBdr>
            <w:top w:val="none" w:sz="0" w:space="0" w:color="auto"/>
            <w:left w:val="none" w:sz="0" w:space="0" w:color="auto"/>
            <w:bottom w:val="none" w:sz="0" w:space="0" w:color="auto"/>
            <w:right w:val="none" w:sz="0" w:space="0" w:color="auto"/>
          </w:divBdr>
          <w:divsChild>
            <w:div w:id="28380989">
              <w:marLeft w:val="0"/>
              <w:marRight w:val="0"/>
              <w:marTop w:val="0"/>
              <w:marBottom w:val="0"/>
              <w:divBdr>
                <w:top w:val="none" w:sz="0" w:space="0" w:color="auto"/>
                <w:left w:val="none" w:sz="0" w:space="0" w:color="auto"/>
                <w:bottom w:val="none" w:sz="0" w:space="0" w:color="auto"/>
                <w:right w:val="none" w:sz="0" w:space="0" w:color="auto"/>
              </w:divBdr>
            </w:div>
            <w:div w:id="49501503">
              <w:marLeft w:val="0"/>
              <w:marRight w:val="0"/>
              <w:marTop w:val="0"/>
              <w:marBottom w:val="0"/>
              <w:divBdr>
                <w:top w:val="none" w:sz="0" w:space="0" w:color="auto"/>
                <w:left w:val="none" w:sz="0" w:space="0" w:color="auto"/>
                <w:bottom w:val="none" w:sz="0" w:space="0" w:color="auto"/>
                <w:right w:val="none" w:sz="0" w:space="0" w:color="auto"/>
              </w:divBdr>
            </w:div>
            <w:div w:id="149833492">
              <w:marLeft w:val="0"/>
              <w:marRight w:val="0"/>
              <w:marTop w:val="0"/>
              <w:marBottom w:val="0"/>
              <w:divBdr>
                <w:top w:val="none" w:sz="0" w:space="0" w:color="auto"/>
                <w:left w:val="none" w:sz="0" w:space="0" w:color="auto"/>
                <w:bottom w:val="none" w:sz="0" w:space="0" w:color="auto"/>
                <w:right w:val="none" w:sz="0" w:space="0" w:color="auto"/>
              </w:divBdr>
            </w:div>
            <w:div w:id="154685216">
              <w:marLeft w:val="0"/>
              <w:marRight w:val="0"/>
              <w:marTop w:val="0"/>
              <w:marBottom w:val="0"/>
              <w:divBdr>
                <w:top w:val="none" w:sz="0" w:space="0" w:color="auto"/>
                <w:left w:val="none" w:sz="0" w:space="0" w:color="auto"/>
                <w:bottom w:val="none" w:sz="0" w:space="0" w:color="auto"/>
                <w:right w:val="none" w:sz="0" w:space="0" w:color="auto"/>
              </w:divBdr>
            </w:div>
            <w:div w:id="156770123">
              <w:marLeft w:val="0"/>
              <w:marRight w:val="0"/>
              <w:marTop w:val="0"/>
              <w:marBottom w:val="0"/>
              <w:divBdr>
                <w:top w:val="none" w:sz="0" w:space="0" w:color="auto"/>
                <w:left w:val="none" w:sz="0" w:space="0" w:color="auto"/>
                <w:bottom w:val="none" w:sz="0" w:space="0" w:color="auto"/>
                <w:right w:val="none" w:sz="0" w:space="0" w:color="auto"/>
              </w:divBdr>
            </w:div>
            <w:div w:id="306012432">
              <w:marLeft w:val="0"/>
              <w:marRight w:val="0"/>
              <w:marTop w:val="0"/>
              <w:marBottom w:val="0"/>
              <w:divBdr>
                <w:top w:val="none" w:sz="0" w:space="0" w:color="auto"/>
                <w:left w:val="none" w:sz="0" w:space="0" w:color="auto"/>
                <w:bottom w:val="none" w:sz="0" w:space="0" w:color="auto"/>
                <w:right w:val="none" w:sz="0" w:space="0" w:color="auto"/>
              </w:divBdr>
            </w:div>
            <w:div w:id="307587999">
              <w:marLeft w:val="0"/>
              <w:marRight w:val="0"/>
              <w:marTop w:val="0"/>
              <w:marBottom w:val="0"/>
              <w:divBdr>
                <w:top w:val="none" w:sz="0" w:space="0" w:color="auto"/>
                <w:left w:val="none" w:sz="0" w:space="0" w:color="auto"/>
                <w:bottom w:val="none" w:sz="0" w:space="0" w:color="auto"/>
                <w:right w:val="none" w:sz="0" w:space="0" w:color="auto"/>
              </w:divBdr>
            </w:div>
            <w:div w:id="430469087">
              <w:marLeft w:val="0"/>
              <w:marRight w:val="0"/>
              <w:marTop w:val="0"/>
              <w:marBottom w:val="0"/>
              <w:divBdr>
                <w:top w:val="none" w:sz="0" w:space="0" w:color="auto"/>
                <w:left w:val="none" w:sz="0" w:space="0" w:color="auto"/>
                <w:bottom w:val="none" w:sz="0" w:space="0" w:color="auto"/>
                <w:right w:val="none" w:sz="0" w:space="0" w:color="auto"/>
              </w:divBdr>
            </w:div>
            <w:div w:id="607389245">
              <w:marLeft w:val="0"/>
              <w:marRight w:val="0"/>
              <w:marTop w:val="0"/>
              <w:marBottom w:val="0"/>
              <w:divBdr>
                <w:top w:val="none" w:sz="0" w:space="0" w:color="auto"/>
                <w:left w:val="none" w:sz="0" w:space="0" w:color="auto"/>
                <w:bottom w:val="none" w:sz="0" w:space="0" w:color="auto"/>
                <w:right w:val="none" w:sz="0" w:space="0" w:color="auto"/>
              </w:divBdr>
            </w:div>
            <w:div w:id="655571415">
              <w:marLeft w:val="0"/>
              <w:marRight w:val="0"/>
              <w:marTop w:val="0"/>
              <w:marBottom w:val="0"/>
              <w:divBdr>
                <w:top w:val="none" w:sz="0" w:space="0" w:color="auto"/>
                <w:left w:val="none" w:sz="0" w:space="0" w:color="auto"/>
                <w:bottom w:val="none" w:sz="0" w:space="0" w:color="auto"/>
                <w:right w:val="none" w:sz="0" w:space="0" w:color="auto"/>
              </w:divBdr>
            </w:div>
            <w:div w:id="821237536">
              <w:marLeft w:val="0"/>
              <w:marRight w:val="0"/>
              <w:marTop w:val="0"/>
              <w:marBottom w:val="0"/>
              <w:divBdr>
                <w:top w:val="none" w:sz="0" w:space="0" w:color="auto"/>
                <w:left w:val="none" w:sz="0" w:space="0" w:color="auto"/>
                <w:bottom w:val="none" w:sz="0" w:space="0" w:color="auto"/>
                <w:right w:val="none" w:sz="0" w:space="0" w:color="auto"/>
              </w:divBdr>
            </w:div>
            <w:div w:id="873075793">
              <w:marLeft w:val="0"/>
              <w:marRight w:val="0"/>
              <w:marTop w:val="0"/>
              <w:marBottom w:val="0"/>
              <w:divBdr>
                <w:top w:val="none" w:sz="0" w:space="0" w:color="auto"/>
                <w:left w:val="none" w:sz="0" w:space="0" w:color="auto"/>
                <w:bottom w:val="none" w:sz="0" w:space="0" w:color="auto"/>
                <w:right w:val="none" w:sz="0" w:space="0" w:color="auto"/>
              </w:divBdr>
            </w:div>
            <w:div w:id="1054815483">
              <w:marLeft w:val="0"/>
              <w:marRight w:val="0"/>
              <w:marTop w:val="0"/>
              <w:marBottom w:val="0"/>
              <w:divBdr>
                <w:top w:val="none" w:sz="0" w:space="0" w:color="auto"/>
                <w:left w:val="none" w:sz="0" w:space="0" w:color="auto"/>
                <w:bottom w:val="none" w:sz="0" w:space="0" w:color="auto"/>
                <w:right w:val="none" w:sz="0" w:space="0" w:color="auto"/>
              </w:divBdr>
            </w:div>
            <w:div w:id="1085880688">
              <w:marLeft w:val="0"/>
              <w:marRight w:val="0"/>
              <w:marTop w:val="0"/>
              <w:marBottom w:val="0"/>
              <w:divBdr>
                <w:top w:val="none" w:sz="0" w:space="0" w:color="auto"/>
                <w:left w:val="none" w:sz="0" w:space="0" w:color="auto"/>
                <w:bottom w:val="none" w:sz="0" w:space="0" w:color="auto"/>
                <w:right w:val="none" w:sz="0" w:space="0" w:color="auto"/>
              </w:divBdr>
            </w:div>
            <w:div w:id="1295062738">
              <w:marLeft w:val="0"/>
              <w:marRight w:val="0"/>
              <w:marTop w:val="0"/>
              <w:marBottom w:val="0"/>
              <w:divBdr>
                <w:top w:val="none" w:sz="0" w:space="0" w:color="auto"/>
                <w:left w:val="none" w:sz="0" w:space="0" w:color="auto"/>
                <w:bottom w:val="none" w:sz="0" w:space="0" w:color="auto"/>
                <w:right w:val="none" w:sz="0" w:space="0" w:color="auto"/>
              </w:divBdr>
            </w:div>
            <w:div w:id="1422264948">
              <w:marLeft w:val="0"/>
              <w:marRight w:val="0"/>
              <w:marTop w:val="0"/>
              <w:marBottom w:val="0"/>
              <w:divBdr>
                <w:top w:val="none" w:sz="0" w:space="0" w:color="auto"/>
                <w:left w:val="none" w:sz="0" w:space="0" w:color="auto"/>
                <w:bottom w:val="none" w:sz="0" w:space="0" w:color="auto"/>
                <w:right w:val="none" w:sz="0" w:space="0" w:color="auto"/>
              </w:divBdr>
            </w:div>
            <w:div w:id="1504392939">
              <w:marLeft w:val="0"/>
              <w:marRight w:val="0"/>
              <w:marTop w:val="0"/>
              <w:marBottom w:val="0"/>
              <w:divBdr>
                <w:top w:val="none" w:sz="0" w:space="0" w:color="auto"/>
                <w:left w:val="none" w:sz="0" w:space="0" w:color="auto"/>
                <w:bottom w:val="none" w:sz="0" w:space="0" w:color="auto"/>
                <w:right w:val="none" w:sz="0" w:space="0" w:color="auto"/>
              </w:divBdr>
            </w:div>
            <w:div w:id="1573540414">
              <w:marLeft w:val="0"/>
              <w:marRight w:val="0"/>
              <w:marTop w:val="0"/>
              <w:marBottom w:val="0"/>
              <w:divBdr>
                <w:top w:val="none" w:sz="0" w:space="0" w:color="auto"/>
                <w:left w:val="none" w:sz="0" w:space="0" w:color="auto"/>
                <w:bottom w:val="none" w:sz="0" w:space="0" w:color="auto"/>
                <w:right w:val="none" w:sz="0" w:space="0" w:color="auto"/>
              </w:divBdr>
            </w:div>
            <w:div w:id="1669015110">
              <w:marLeft w:val="0"/>
              <w:marRight w:val="0"/>
              <w:marTop w:val="0"/>
              <w:marBottom w:val="0"/>
              <w:divBdr>
                <w:top w:val="none" w:sz="0" w:space="0" w:color="auto"/>
                <w:left w:val="none" w:sz="0" w:space="0" w:color="auto"/>
                <w:bottom w:val="none" w:sz="0" w:space="0" w:color="auto"/>
                <w:right w:val="none" w:sz="0" w:space="0" w:color="auto"/>
              </w:divBdr>
            </w:div>
            <w:div w:id="1708531374">
              <w:marLeft w:val="0"/>
              <w:marRight w:val="0"/>
              <w:marTop w:val="0"/>
              <w:marBottom w:val="0"/>
              <w:divBdr>
                <w:top w:val="none" w:sz="0" w:space="0" w:color="auto"/>
                <w:left w:val="none" w:sz="0" w:space="0" w:color="auto"/>
                <w:bottom w:val="none" w:sz="0" w:space="0" w:color="auto"/>
                <w:right w:val="none" w:sz="0" w:space="0" w:color="auto"/>
              </w:divBdr>
            </w:div>
            <w:div w:id="1712268921">
              <w:marLeft w:val="0"/>
              <w:marRight w:val="0"/>
              <w:marTop w:val="0"/>
              <w:marBottom w:val="0"/>
              <w:divBdr>
                <w:top w:val="none" w:sz="0" w:space="0" w:color="auto"/>
                <w:left w:val="none" w:sz="0" w:space="0" w:color="auto"/>
                <w:bottom w:val="none" w:sz="0" w:space="0" w:color="auto"/>
                <w:right w:val="none" w:sz="0" w:space="0" w:color="auto"/>
              </w:divBdr>
            </w:div>
            <w:div w:id="1883126589">
              <w:marLeft w:val="0"/>
              <w:marRight w:val="0"/>
              <w:marTop w:val="0"/>
              <w:marBottom w:val="0"/>
              <w:divBdr>
                <w:top w:val="none" w:sz="0" w:space="0" w:color="auto"/>
                <w:left w:val="none" w:sz="0" w:space="0" w:color="auto"/>
                <w:bottom w:val="none" w:sz="0" w:space="0" w:color="auto"/>
                <w:right w:val="none" w:sz="0" w:space="0" w:color="auto"/>
              </w:divBdr>
            </w:div>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 w:id="1318876308">
          <w:marLeft w:val="0"/>
          <w:marRight w:val="0"/>
          <w:marTop w:val="0"/>
          <w:marBottom w:val="0"/>
          <w:divBdr>
            <w:top w:val="none" w:sz="0" w:space="0" w:color="auto"/>
            <w:left w:val="none" w:sz="0" w:space="0" w:color="auto"/>
            <w:bottom w:val="none" w:sz="0" w:space="0" w:color="auto"/>
            <w:right w:val="none" w:sz="0" w:space="0" w:color="auto"/>
          </w:divBdr>
          <w:divsChild>
            <w:div w:id="9332704">
              <w:marLeft w:val="0"/>
              <w:marRight w:val="0"/>
              <w:marTop w:val="0"/>
              <w:marBottom w:val="0"/>
              <w:divBdr>
                <w:top w:val="none" w:sz="0" w:space="0" w:color="auto"/>
                <w:left w:val="none" w:sz="0" w:space="0" w:color="auto"/>
                <w:bottom w:val="none" w:sz="0" w:space="0" w:color="auto"/>
                <w:right w:val="none" w:sz="0" w:space="0" w:color="auto"/>
              </w:divBdr>
            </w:div>
            <w:div w:id="16466501">
              <w:marLeft w:val="0"/>
              <w:marRight w:val="0"/>
              <w:marTop w:val="0"/>
              <w:marBottom w:val="0"/>
              <w:divBdr>
                <w:top w:val="none" w:sz="0" w:space="0" w:color="auto"/>
                <w:left w:val="none" w:sz="0" w:space="0" w:color="auto"/>
                <w:bottom w:val="none" w:sz="0" w:space="0" w:color="auto"/>
                <w:right w:val="none" w:sz="0" w:space="0" w:color="auto"/>
              </w:divBdr>
            </w:div>
            <w:div w:id="24403455">
              <w:marLeft w:val="0"/>
              <w:marRight w:val="0"/>
              <w:marTop w:val="0"/>
              <w:marBottom w:val="0"/>
              <w:divBdr>
                <w:top w:val="none" w:sz="0" w:space="0" w:color="auto"/>
                <w:left w:val="none" w:sz="0" w:space="0" w:color="auto"/>
                <w:bottom w:val="none" w:sz="0" w:space="0" w:color="auto"/>
                <w:right w:val="none" w:sz="0" w:space="0" w:color="auto"/>
              </w:divBdr>
            </w:div>
            <w:div w:id="161745602">
              <w:marLeft w:val="0"/>
              <w:marRight w:val="0"/>
              <w:marTop w:val="0"/>
              <w:marBottom w:val="0"/>
              <w:divBdr>
                <w:top w:val="none" w:sz="0" w:space="0" w:color="auto"/>
                <w:left w:val="none" w:sz="0" w:space="0" w:color="auto"/>
                <w:bottom w:val="none" w:sz="0" w:space="0" w:color="auto"/>
                <w:right w:val="none" w:sz="0" w:space="0" w:color="auto"/>
              </w:divBdr>
            </w:div>
            <w:div w:id="314183278">
              <w:marLeft w:val="0"/>
              <w:marRight w:val="0"/>
              <w:marTop w:val="0"/>
              <w:marBottom w:val="0"/>
              <w:divBdr>
                <w:top w:val="none" w:sz="0" w:space="0" w:color="auto"/>
                <w:left w:val="none" w:sz="0" w:space="0" w:color="auto"/>
                <w:bottom w:val="none" w:sz="0" w:space="0" w:color="auto"/>
                <w:right w:val="none" w:sz="0" w:space="0" w:color="auto"/>
              </w:divBdr>
            </w:div>
            <w:div w:id="408889049">
              <w:marLeft w:val="0"/>
              <w:marRight w:val="0"/>
              <w:marTop w:val="0"/>
              <w:marBottom w:val="0"/>
              <w:divBdr>
                <w:top w:val="none" w:sz="0" w:space="0" w:color="auto"/>
                <w:left w:val="none" w:sz="0" w:space="0" w:color="auto"/>
                <w:bottom w:val="none" w:sz="0" w:space="0" w:color="auto"/>
                <w:right w:val="none" w:sz="0" w:space="0" w:color="auto"/>
              </w:divBdr>
            </w:div>
            <w:div w:id="423959678">
              <w:marLeft w:val="0"/>
              <w:marRight w:val="0"/>
              <w:marTop w:val="0"/>
              <w:marBottom w:val="0"/>
              <w:divBdr>
                <w:top w:val="none" w:sz="0" w:space="0" w:color="auto"/>
                <w:left w:val="none" w:sz="0" w:space="0" w:color="auto"/>
                <w:bottom w:val="none" w:sz="0" w:space="0" w:color="auto"/>
                <w:right w:val="none" w:sz="0" w:space="0" w:color="auto"/>
              </w:divBdr>
            </w:div>
            <w:div w:id="583952549">
              <w:marLeft w:val="0"/>
              <w:marRight w:val="0"/>
              <w:marTop w:val="0"/>
              <w:marBottom w:val="0"/>
              <w:divBdr>
                <w:top w:val="none" w:sz="0" w:space="0" w:color="auto"/>
                <w:left w:val="none" w:sz="0" w:space="0" w:color="auto"/>
                <w:bottom w:val="none" w:sz="0" w:space="0" w:color="auto"/>
                <w:right w:val="none" w:sz="0" w:space="0" w:color="auto"/>
              </w:divBdr>
            </w:div>
            <w:div w:id="593053830">
              <w:marLeft w:val="0"/>
              <w:marRight w:val="0"/>
              <w:marTop w:val="0"/>
              <w:marBottom w:val="0"/>
              <w:divBdr>
                <w:top w:val="none" w:sz="0" w:space="0" w:color="auto"/>
                <w:left w:val="none" w:sz="0" w:space="0" w:color="auto"/>
                <w:bottom w:val="none" w:sz="0" w:space="0" w:color="auto"/>
                <w:right w:val="none" w:sz="0" w:space="0" w:color="auto"/>
              </w:divBdr>
            </w:div>
            <w:div w:id="605578086">
              <w:marLeft w:val="0"/>
              <w:marRight w:val="0"/>
              <w:marTop w:val="0"/>
              <w:marBottom w:val="0"/>
              <w:divBdr>
                <w:top w:val="none" w:sz="0" w:space="0" w:color="auto"/>
                <w:left w:val="none" w:sz="0" w:space="0" w:color="auto"/>
                <w:bottom w:val="none" w:sz="0" w:space="0" w:color="auto"/>
                <w:right w:val="none" w:sz="0" w:space="0" w:color="auto"/>
              </w:divBdr>
            </w:div>
            <w:div w:id="625740770">
              <w:marLeft w:val="0"/>
              <w:marRight w:val="0"/>
              <w:marTop w:val="0"/>
              <w:marBottom w:val="0"/>
              <w:divBdr>
                <w:top w:val="none" w:sz="0" w:space="0" w:color="auto"/>
                <w:left w:val="none" w:sz="0" w:space="0" w:color="auto"/>
                <w:bottom w:val="none" w:sz="0" w:space="0" w:color="auto"/>
                <w:right w:val="none" w:sz="0" w:space="0" w:color="auto"/>
              </w:divBdr>
            </w:div>
            <w:div w:id="665863116">
              <w:marLeft w:val="0"/>
              <w:marRight w:val="0"/>
              <w:marTop w:val="0"/>
              <w:marBottom w:val="0"/>
              <w:divBdr>
                <w:top w:val="none" w:sz="0" w:space="0" w:color="auto"/>
                <w:left w:val="none" w:sz="0" w:space="0" w:color="auto"/>
                <w:bottom w:val="none" w:sz="0" w:space="0" w:color="auto"/>
                <w:right w:val="none" w:sz="0" w:space="0" w:color="auto"/>
              </w:divBdr>
            </w:div>
            <w:div w:id="823853816">
              <w:marLeft w:val="0"/>
              <w:marRight w:val="0"/>
              <w:marTop w:val="0"/>
              <w:marBottom w:val="0"/>
              <w:divBdr>
                <w:top w:val="none" w:sz="0" w:space="0" w:color="auto"/>
                <w:left w:val="none" w:sz="0" w:space="0" w:color="auto"/>
                <w:bottom w:val="none" w:sz="0" w:space="0" w:color="auto"/>
                <w:right w:val="none" w:sz="0" w:space="0" w:color="auto"/>
              </w:divBdr>
            </w:div>
            <w:div w:id="981689261">
              <w:marLeft w:val="0"/>
              <w:marRight w:val="0"/>
              <w:marTop w:val="0"/>
              <w:marBottom w:val="0"/>
              <w:divBdr>
                <w:top w:val="none" w:sz="0" w:space="0" w:color="auto"/>
                <w:left w:val="none" w:sz="0" w:space="0" w:color="auto"/>
                <w:bottom w:val="none" w:sz="0" w:space="0" w:color="auto"/>
                <w:right w:val="none" w:sz="0" w:space="0" w:color="auto"/>
              </w:divBdr>
            </w:div>
            <w:div w:id="1023362356">
              <w:marLeft w:val="0"/>
              <w:marRight w:val="0"/>
              <w:marTop w:val="0"/>
              <w:marBottom w:val="0"/>
              <w:divBdr>
                <w:top w:val="none" w:sz="0" w:space="0" w:color="auto"/>
                <w:left w:val="none" w:sz="0" w:space="0" w:color="auto"/>
                <w:bottom w:val="none" w:sz="0" w:space="0" w:color="auto"/>
                <w:right w:val="none" w:sz="0" w:space="0" w:color="auto"/>
              </w:divBdr>
            </w:div>
            <w:div w:id="1035346176">
              <w:marLeft w:val="0"/>
              <w:marRight w:val="0"/>
              <w:marTop w:val="0"/>
              <w:marBottom w:val="0"/>
              <w:divBdr>
                <w:top w:val="none" w:sz="0" w:space="0" w:color="auto"/>
                <w:left w:val="none" w:sz="0" w:space="0" w:color="auto"/>
                <w:bottom w:val="none" w:sz="0" w:space="0" w:color="auto"/>
                <w:right w:val="none" w:sz="0" w:space="0" w:color="auto"/>
              </w:divBdr>
            </w:div>
            <w:div w:id="1094739523">
              <w:marLeft w:val="0"/>
              <w:marRight w:val="0"/>
              <w:marTop w:val="0"/>
              <w:marBottom w:val="0"/>
              <w:divBdr>
                <w:top w:val="none" w:sz="0" w:space="0" w:color="auto"/>
                <w:left w:val="none" w:sz="0" w:space="0" w:color="auto"/>
                <w:bottom w:val="none" w:sz="0" w:space="0" w:color="auto"/>
                <w:right w:val="none" w:sz="0" w:space="0" w:color="auto"/>
              </w:divBdr>
            </w:div>
            <w:div w:id="1242640182">
              <w:marLeft w:val="0"/>
              <w:marRight w:val="0"/>
              <w:marTop w:val="0"/>
              <w:marBottom w:val="0"/>
              <w:divBdr>
                <w:top w:val="none" w:sz="0" w:space="0" w:color="auto"/>
                <w:left w:val="none" w:sz="0" w:space="0" w:color="auto"/>
                <w:bottom w:val="none" w:sz="0" w:space="0" w:color="auto"/>
                <w:right w:val="none" w:sz="0" w:space="0" w:color="auto"/>
              </w:divBdr>
            </w:div>
            <w:div w:id="1310596154">
              <w:marLeft w:val="0"/>
              <w:marRight w:val="0"/>
              <w:marTop w:val="0"/>
              <w:marBottom w:val="0"/>
              <w:divBdr>
                <w:top w:val="none" w:sz="0" w:space="0" w:color="auto"/>
                <w:left w:val="none" w:sz="0" w:space="0" w:color="auto"/>
                <w:bottom w:val="none" w:sz="0" w:space="0" w:color="auto"/>
                <w:right w:val="none" w:sz="0" w:space="0" w:color="auto"/>
              </w:divBdr>
            </w:div>
            <w:div w:id="1407995963">
              <w:marLeft w:val="0"/>
              <w:marRight w:val="0"/>
              <w:marTop w:val="0"/>
              <w:marBottom w:val="0"/>
              <w:divBdr>
                <w:top w:val="none" w:sz="0" w:space="0" w:color="auto"/>
                <w:left w:val="none" w:sz="0" w:space="0" w:color="auto"/>
                <w:bottom w:val="none" w:sz="0" w:space="0" w:color="auto"/>
                <w:right w:val="none" w:sz="0" w:space="0" w:color="auto"/>
              </w:divBdr>
            </w:div>
            <w:div w:id="1536113066">
              <w:marLeft w:val="0"/>
              <w:marRight w:val="0"/>
              <w:marTop w:val="0"/>
              <w:marBottom w:val="0"/>
              <w:divBdr>
                <w:top w:val="none" w:sz="0" w:space="0" w:color="auto"/>
                <w:left w:val="none" w:sz="0" w:space="0" w:color="auto"/>
                <w:bottom w:val="none" w:sz="0" w:space="0" w:color="auto"/>
                <w:right w:val="none" w:sz="0" w:space="0" w:color="auto"/>
              </w:divBdr>
            </w:div>
            <w:div w:id="1640652557">
              <w:marLeft w:val="0"/>
              <w:marRight w:val="0"/>
              <w:marTop w:val="0"/>
              <w:marBottom w:val="0"/>
              <w:divBdr>
                <w:top w:val="none" w:sz="0" w:space="0" w:color="auto"/>
                <w:left w:val="none" w:sz="0" w:space="0" w:color="auto"/>
                <w:bottom w:val="none" w:sz="0" w:space="0" w:color="auto"/>
                <w:right w:val="none" w:sz="0" w:space="0" w:color="auto"/>
              </w:divBdr>
            </w:div>
            <w:div w:id="1689285907">
              <w:marLeft w:val="0"/>
              <w:marRight w:val="0"/>
              <w:marTop w:val="0"/>
              <w:marBottom w:val="0"/>
              <w:divBdr>
                <w:top w:val="none" w:sz="0" w:space="0" w:color="auto"/>
                <w:left w:val="none" w:sz="0" w:space="0" w:color="auto"/>
                <w:bottom w:val="none" w:sz="0" w:space="0" w:color="auto"/>
                <w:right w:val="none" w:sz="0" w:space="0" w:color="auto"/>
              </w:divBdr>
            </w:div>
            <w:div w:id="1731883747">
              <w:marLeft w:val="0"/>
              <w:marRight w:val="0"/>
              <w:marTop w:val="0"/>
              <w:marBottom w:val="0"/>
              <w:divBdr>
                <w:top w:val="none" w:sz="0" w:space="0" w:color="auto"/>
                <w:left w:val="none" w:sz="0" w:space="0" w:color="auto"/>
                <w:bottom w:val="none" w:sz="0" w:space="0" w:color="auto"/>
                <w:right w:val="none" w:sz="0" w:space="0" w:color="auto"/>
              </w:divBdr>
            </w:div>
            <w:div w:id="1832677606">
              <w:marLeft w:val="0"/>
              <w:marRight w:val="0"/>
              <w:marTop w:val="0"/>
              <w:marBottom w:val="0"/>
              <w:divBdr>
                <w:top w:val="none" w:sz="0" w:space="0" w:color="auto"/>
                <w:left w:val="none" w:sz="0" w:space="0" w:color="auto"/>
                <w:bottom w:val="none" w:sz="0" w:space="0" w:color="auto"/>
                <w:right w:val="none" w:sz="0" w:space="0" w:color="auto"/>
              </w:divBdr>
            </w:div>
            <w:div w:id="1907717174">
              <w:marLeft w:val="0"/>
              <w:marRight w:val="0"/>
              <w:marTop w:val="0"/>
              <w:marBottom w:val="0"/>
              <w:divBdr>
                <w:top w:val="none" w:sz="0" w:space="0" w:color="auto"/>
                <w:left w:val="none" w:sz="0" w:space="0" w:color="auto"/>
                <w:bottom w:val="none" w:sz="0" w:space="0" w:color="auto"/>
                <w:right w:val="none" w:sz="0" w:space="0" w:color="auto"/>
              </w:divBdr>
            </w:div>
            <w:div w:id="1922983615">
              <w:marLeft w:val="0"/>
              <w:marRight w:val="0"/>
              <w:marTop w:val="0"/>
              <w:marBottom w:val="0"/>
              <w:divBdr>
                <w:top w:val="none" w:sz="0" w:space="0" w:color="auto"/>
                <w:left w:val="none" w:sz="0" w:space="0" w:color="auto"/>
                <w:bottom w:val="none" w:sz="0" w:space="0" w:color="auto"/>
                <w:right w:val="none" w:sz="0" w:space="0" w:color="auto"/>
              </w:divBdr>
            </w:div>
            <w:div w:id="1933391930">
              <w:marLeft w:val="0"/>
              <w:marRight w:val="0"/>
              <w:marTop w:val="0"/>
              <w:marBottom w:val="0"/>
              <w:divBdr>
                <w:top w:val="none" w:sz="0" w:space="0" w:color="auto"/>
                <w:left w:val="none" w:sz="0" w:space="0" w:color="auto"/>
                <w:bottom w:val="none" w:sz="0" w:space="0" w:color="auto"/>
                <w:right w:val="none" w:sz="0" w:space="0" w:color="auto"/>
              </w:divBdr>
            </w:div>
            <w:div w:id="1980066610">
              <w:marLeft w:val="0"/>
              <w:marRight w:val="0"/>
              <w:marTop w:val="0"/>
              <w:marBottom w:val="0"/>
              <w:divBdr>
                <w:top w:val="none" w:sz="0" w:space="0" w:color="auto"/>
                <w:left w:val="none" w:sz="0" w:space="0" w:color="auto"/>
                <w:bottom w:val="none" w:sz="0" w:space="0" w:color="auto"/>
                <w:right w:val="none" w:sz="0" w:space="0" w:color="auto"/>
              </w:divBdr>
            </w:div>
            <w:div w:id="21382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viq.org.au/medical-oncology/upper-gastrointestinal/pancreas-and-biliary/1512-pancreas-metastatic-folfirinox-modified-fl" TargetMode="External"/><Relationship Id="rId2" Type="http://schemas.openxmlformats.org/officeDocument/2006/relationships/hyperlink" Target="https://doi.org/10.1093/jjco/hyac146" TargetMode="External"/><Relationship Id="rId1" Type="http://schemas.openxmlformats.org/officeDocument/2006/relationships/hyperlink" Target="https://ascopubs.org/doi/10.1200/JCO.2013.53.8009" TargetMode="External"/><Relationship Id="rId5" Type="http://schemas.openxmlformats.org/officeDocument/2006/relationships/hyperlink" Target="https://ascopubs.org/doi/10.1200/JCO.2013.53.8009" TargetMode="External"/><Relationship Id="rId4" Type="http://schemas.openxmlformats.org/officeDocument/2006/relationships/hyperlink" Target="https://www.eviq.org.au/medical-oncology/upper-gastrointestinal/pancreas-and-biliary/1512-pancreas-metastatic-folfirinox-modified-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A8106303-E29C-4871-9594-CF3B812CC9A4}"/>
</file>

<file path=customXml/itemProps3.xml><?xml version="1.0" encoding="utf-8"?>
<ds:datastoreItem xmlns:ds="http://schemas.openxmlformats.org/officeDocument/2006/customXml" ds:itemID="{EF2CABEE-CE55-404F-BDD9-FB99DF8A3ACA}"/>
</file>

<file path=customXml/itemProps4.xml><?xml version="1.0" encoding="utf-8"?>
<ds:datastoreItem xmlns:ds="http://schemas.openxmlformats.org/officeDocument/2006/customXml" ds:itemID="{21C321C0-2B4A-4BF2-95A7-A56476276B71}"/>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22969</Words>
  <Characters>130929</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153591</CharactersWithSpaces>
  <SharedDoc>false</SharedDoc>
  <HLinks>
    <vt:vector size="30" baseType="variant">
      <vt:variant>
        <vt:i4>24</vt:i4>
      </vt:variant>
      <vt:variant>
        <vt:i4>12</vt:i4>
      </vt:variant>
      <vt:variant>
        <vt:i4>0</vt:i4>
      </vt:variant>
      <vt:variant>
        <vt:i4>5</vt:i4>
      </vt:variant>
      <vt:variant>
        <vt:lpwstr>https://ascopubs.org/doi/10.1200/JCO.2013.53.8009</vt:lpwstr>
      </vt:variant>
      <vt:variant>
        <vt:lpwstr/>
      </vt:variant>
      <vt:variant>
        <vt:i4>5308417</vt:i4>
      </vt:variant>
      <vt:variant>
        <vt:i4>9</vt:i4>
      </vt:variant>
      <vt:variant>
        <vt:i4>0</vt:i4>
      </vt:variant>
      <vt:variant>
        <vt:i4>5</vt:i4>
      </vt:variant>
      <vt:variant>
        <vt:lpwstr>https://www.eviq.org.au/medical-oncology/upper-gastrointestinal/pancreas-and-biliary/1512-pancreas-metastatic-folfirinox-modified-fl</vt:lpwstr>
      </vt:variant>
      <vt:variant>
        <vt:lpwstr/>
      </vt:variant>
      <vt:variant>
        <vt:i4>5308417</vt:i4>
      </vt:variant>
      <vt:variant>
        <vt:i4>6</vt:i4>
      </vt:variant>
      <vt:variant>
        <vt:i4>0</vt:i4>
      </vt:variant>
      <vt:variant>
        <vt:i4>5</vt:i4>
      </vt:variant>
      <vt:variant>
        <vt:lpwstr>https://www.eviq.org.au/medical-oncology/upper-gastrointestinal/pancreas-and-biliary/1512-pancreas-metastatic-folfirinox-modified-fl</vt:lpwstr>
      </vt:variant>
      <vt:variant>
        <vt:lpwstr/>
      </vt:variant>
      <vt:variant>
        <vt:i4>1114193</vt:i4>
      </vt:variant>
      <vt:variant>
        <vt:i4>3</vt:i4>
      </vt:variant>
      <vt:variant>
        <vt:i4>0</vt:i4>
      </vt:variant>
      <vt:variant>
        <vt:i4>5</vt:i4>
      </vt:variant>
      <vt:variant>
        <vt:lpwstr>https://doi.org/10.1093/jjco/hyac146</vt:lpwstr>
      </vt:variant>
      <vt:variant>
        <vt:lpwstr/>
      </vt:variant>
      <vt:variant>
        <vt:i4>24</vt:i4>
      </vt:variant>
      <vt:variant>
        <vt:i4>0</vt:i4>
      </vt:variant>
      <vt:variant>
        <vt:i4>0</vt:i4>
      </vt:variant>
      <vt:variant>
        <vt:i4>5</vt:i4>
      </vt:variant>
      <vt:variant>
        <vt:lpwstr>https://ascopubs.org/doi/10.1200/JCO.2013.53.8009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2025-03-03T23:43:00Z</dcterms:created>
  <dcterms:modified xsi:type="dcterms:W3CDTF">2025-03-03T23:43:00Z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409600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