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1CBEE58C" w:rsidR="00B60939" w:rsidRPr="0098262F" w:rsidRDefault="00C40064" w:rsidP="004A6040">
      <w:pPr>
        <w:pStyle w:val="1-MainHeading"/>
      </w:pPr>
      <w:bookmarkStart w:id="0" w:name="_Toc177371534"/>
      <w:r>
        <w:t>6.03</w:t>
      </w:r>
      <w:r w:rsidR="00163F66" w:rsidRPr="0098262F">
        <w:tab/>
      </w:r>
      <w:r w:rsidR="003D6263" w:rsidRPr="003D6263">
        <w:t>ENZALUTAMIDE</w:t>
      </w:r>
      <w:r w:rsidR="00163F66" w:rsidRPr="0098262F">
        <w:t>,</w:t>
      </w:r>
      <w:r w:rsidR="00163F66" w:rsidRPr="0098262F">
        <w:br/>
      </w:r>
      <w:r w:rsidR="003D6263" w:rsidRPr="003D6263">
        <w:t>Capsule 40 mg</w:t>
      </w:r>
      <w:r w:rsidR="00163F66" w:rsidRPr="0098262F">
        <w:t>,</w:t>
      </w:r>
      <w:r w:rsidR="00163F66" w:rsidRPr="0098262F">
        <w:br/>
      </w:r>
      <w:r w:rsidR="003D6263" w:rsidRPr="003D6263">
        <w:t>Xtandi</w:t>
      </w:r>
      <w:r w:rsidR="003D6263">
        <w:t>®</w:t>
      </w:r>
      <w:r w:rsidR="004A6040" w:rsidRPr="0098262F">
        <w:t>,</w:t>
      </w:r>
      <w:r w:rsidR="004A6040" w:rsidRPr="0098262F">
        <w:br/>
      </w:r>
      <w:r w:rsidR="003D6263">
        <w:t>Astellas Pharma Australia Pty Ltd</w:t>
      </w:r>
      <w:r w:rsidR="00B60939" w:rsidRPr="0098262F">
        <w:t>.</w:t>
      </w:r>
      <w:bookmarkEnd w:id="0"/>
    </w:p>
    <w:p w14:paraId="11C00795" w14:textId="3DFB6D23" w:rsidR="00B50DB8" w:rsidRPr="0098262F" w:rsidRDefault="00B50DB8" w:rsidP="004A6040">
      <w:pPr>
        <w:pStyle w:val="2-SectionHeading"/>
      </w:pPr>
      <w:bookmarkStart w:id="1" w:name="_Toc177371536"/>
      <w:r w:rsidRPr="0098262F">
        <w:t xml:space="preserve">Purpose of </w:t>
      </w:r>
      <w:r w:rsidR="00CD7193" w:rsidRPr="0098262F">
        <w:t>s</w:t>
      </w:r>
      <w:r w:rsidR="00BB3A45" w:rsidRPr="0098262F">
        <w:t>ubmission</w:t>
      </w:r>
      <w:bookmarkEnd w:id="1"/>
    </w:p>
    <w:p w14:paraId="0B2661A0" w14:textId="1DC4CAFD" w:rsidR="00C95E5A" w:rsidRPr="00B63CD0" w:rsidRDefault="00D65E9E" w:rsidP="006E0796">
      <w:pPr>
        <w:pStyle w:val="ExecSumBodyText"/>
        <w:numPr>
          <w:ilvl w:val="1"/>
          <w:numId w:val="1"/>
        </w:numPr>
        <w:rPr>
          <w:iCs/>
        </w:rPr>
      </w:pPr>
      <w:r>
        <w:t xml:space="preserve">The Category 2 submission requested Authority Required (telephone/online) listing of enzalutamide with or without androgen deprivation therapy (ADT) for treatment of patients </w:t>
      </w:r>
      <w:r w:rsidRPr="00D65E9E">
        <w:t>who have non-metastatic hormone sensitive prostate cancer (m0HSPC</w:t>
      </w:r>
      <w:r w:rsidRPr="00BF06FC">
        <w:rPr>
          <w:rStyle w:val="FootnoteReference"/>
        </w:rPr>
        <w:footnoteReference w:id="2"/>
      </w:r>
      <w:r w:rsidRPr="00D65E9E">
        <w:t>) with high-risk biochemical recurrence (BCR).</w:t>
      </w:r>
    </w:p>
    <w:p w14:paraId="6F6ACF8A" w14:textId="33683A0E" w:rsidR="00D65E9E" w:rsidRPr="00B63CD0" w:rsidRDefault="00D65E9E" w:rsidP="00D21C80">
      <w:pPr>
        <w:pStyle w:val="ExecSumBodyText"/>
        <w:numPr>
          <w:ilvl w:val="1"/>
          <w:numId w:val="1"/>
        </w:numPr>
        <w:rPr>
          <w:iCs/>
        </w:rPr>
      </w:pPr>
      <w:r w:rsidRPr="00B63CD0">
        <w:rPr>
          <w:iCs/>
        </w:rPr>
        <w:t xml:space="preserve">Listing of enzalutamide with or without ADT was requested on the basis of a cost-utility analysis versus ADT alone. </w:t>
      </w:r>
      <w:r w:rsidR="00CB5609" w:rsidRPr="00B63CD0">
        <w:rPr>
          <w:iCs/>
        </w:rPr>
        <w:fldChar w:fldCharType="begin" w:fldLock="1"/>
      </w:r>
      <w:r w:rsidR="00CB5609" w:rsidRPr="00B63CD0">
        <w:rPr>
          <w:iCs/>
        </w:rPr>
        <w:instrText xml:space="preserve"> REF _Ref176595883 \h </w:instrText>
      </w:r>
      <w:r w:rsidR="00B63CD0" w:rsidRPr="00B63CD0">
        <w:rPr>
          <w:iCs/>
        </w:rPr>
        <w:instrText xml:space="preserve"> \* MERGEFORMAT </w:instrText>
      </w:r>
      <w:r w:rsidR="00CB5609" w:rsidRPr="00B63CD0">
        <w:rPr>
          <w:iCs/>
        </w:rPr>
      </w:r>
      <w:r w:rsidR="00CB5609" w:rsidRPr="00B63CD0">
        <w:rPr>
          <w:iCs/>
        </w:rPr>
        <w:fldChar w:fldCharType="separate"/>
      </w:r>
      <w:r w:rsidR="006619E7" w:rsidRPr="00B63CD0">
        <w:rPr>
          <w:iCs/>
        </w:rPr>
        <w:t xml:space="preserve">Table </w:t>
      </w:r>
      <w:r w:rsidR="006619E7" w:rsidRPr="00B63CD0">
        <w:rPr>
          <w:iCs/>
          <w:noProof/>
        </w:rPr>
        <w:t>1</w:t>
      </w:r>
      <w:r w:rsidR="00CB5609" w:rsidRPr="00B63CD0">
        <w:rPr>
          <w:iCs/>
        </w:rPr>
        <w:fldChar w:fldCharType="end"/>
      </w:r>
      <w:r w:rsidR="00CB5609" w:rsidRPr="00B63CD0">
        <w:rPr>
          <w:iCs/>
        </w:rPr>
        <w:t xml:space="preserve"> </w:t>
      </w:r>
      <w:r w:rsidRPr="00B63CD0">
        <w:rPr>
          <w:iCs/>
        </w:rPr>
        <w:t>summarises the components of the overall clinical claim addressed by the submission.</w:t>
      </w:r>
    </w:p>
    <w:p w14:paraId="3F5D43A6" w14:textId="3A082681" w:rsidR="00D65E9E" w:rsidRPr="0098262F" w:rsidRDefault="00CB5609" w:rsidP="00CB5609">
      <w:pPr>
        <w:pStyle w:val="Caption"/>
        <w:jc w:val="left"/>
      </w:pPr>
      <w:bookmarkStart w:id="2" w:name="_Ref176595883"/>
      <w:r>
        <w:t xml:space="preserve">Table </w:t>
      </w:r>
      <w:r>
        <w:fldChar w:fldCharType="begin" w:fldLock="1"/>
      </w:r>
      <w:r>
        <w:instrText xml:space="preserve"> SEQ Table \* ARABIC </w:instrText>
      </w:r>
      <w:r>
        <w:fldChar w:fldCharType="separate"/>
      </w:r>
      <w:r w:rsidR="00DF24EF">
        <w:rPr>
          <w:noProof/>
        </w:rPr>
        <w:t>1</w:t>
      </w:r>
      <w:r>
        <w:rPr>
          <w:noProof/>
        </w:rPr>
        <w:fldChar w:fldCharType="end"/>
      </w:r>
      <w:bookmarkEnd w:id="2"/>
      <w:r>
        <w:t xml:space="preserve">: </w:t>
      </w:r>
      <w:r w:rsidR="00D65E9E" w:rsidRPr="0098262F">
        <w:rPr>
          <w:rStyle w:val="CommentReference"/>
          <w:b/>
          <w:szCs w:val="24"/>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submission"/>
      </w:tblPr>
      <w:tblGrid>
        <w:gridCol w:w="1271"/>
        <w:gridCol w:w="7885"/>
      </w:tblGrid>
      <w:tr w:rsidR="00D65E9E" w:rsidRPr="0098262F" w14:paraId="695C1784" w14:textId="77777777" w:rsidTr="006E0796">
        <w:tc>
          <w:tcPr>
            <w:tcW w:w="1271" w:type="dxa"/>
            <w:vAlign w:val="center"/>
          </w:tcPr>
          <w:p w14:paraId="77F91F3A" w14:textId="77777777" w:rsidR="00D65E9E" w:rsidRPr="002B1E0B" w:rsidRDefault="00D65E9E" w:rsidP="006E0796">
            <w:pPr>
              <w:pStyle w:val="TableText0"/>
              <w:rPr>
                <w:b/>
              </w:rPr>
            </w:pPr>
            <w:r w:rsidRPr="002B1E0B">
              <w:rPr>
                <w:b/>
              </w:rPr>
              <w:t>Component</w:t>
            </w:r>
          </w:p>
        </w:tc>
        <w:tc>
          <w:tcPr>
            <w:tcW w:w="7885" w:type="dxa"/>
            <w:vAlign w:val="center"/>
          </w:tcPr>
          <w:p w14:paraId="2B2FF1CD" w14:textId="77777777" w:rsidR="00D65E9E" w:rsidRPr="002B1E0B" w:rsidRDefault="00D65E9E" w:rsidP="006E0796">
            <w:pPr>
              <w:pStyle w:val="TableText0"/>
              <w:rPr>
                <w:b/>
              </w:rPr>
            </w:pPr>
            <w:r w:rsidRPr="002B1E0B">
              <w:rPr>
                <w:b/>
              </w:rPr>
              <w:t>Description</w:t>
            </w:r>
          </w:p>
        </w:tc>
      </w:tr>
      <w:tr w:rsidR="00D65E9E" w:rsidRPr="0098262F" w14:paraId="155FC314" w14:textId="77777777" w:rsidTr="006E0796">
        <w:tc>
          <w:tcPr>
            <w:tcW w:w="1271" w:type="dxa"/>
            <w:vAlign w:val="center"/>
          </w:tcPr>
          <w:p w14:paraId="0CFF1F30" w14:textId="77777777" w:rsidR="00D65E9E" w:rsidRPr="0098262F" w:rsidRDefault="00D65E9E" w:rsidP="006E0796">
            <w:pPr>
              <w:pStyle w:val="TableText0"/>
            </w:pPr>
            <w:r w:rsidRPr="0098262F">
              <w:t>Population</w:t>
            </w:r>
          </w:p>
        </w:tc>
        <w:tc>
          <w:tcPr>
            <w:tcW w:w="7885" w:type="dxa"/>
            <w:vAlign w:val="center"/>
          </w:tcPr>
          <w:p w14:paraId="325C2E0F" w14:textId="68E2BAAA" w:rsidR="00D65E9E" w:rsidRPr="0098262F" w:rsidRDefault="00D65E9E" w:rsidP="006E0796">
            <w:pPr>
              <w:pStyle w:val="TableText0"/>
            </w:pPr>
            <w:r w:rsidRPr="00F509AE">
              <w:t>Non-metastatic hormone sensitive carcinoma of the prostate</w:t>
            </w:r>
            <w:r w:rsidR="008926BA">
              <w:t xml:space="preserve"> (m0HSPC)</w:t>
            </w:r>
          </w:p>
        </w:tc>
      </w:tr>
      <w:tr w:rsidR="00D65E9E" w:rsidRPr="0098262F" w14:paraId="536506FE" w14:textId="77777777" w:rsidTr="006E0796">
        <w:tc>
          <w:tcPr>
            <w:tcW w:w="1271" w:type="dxa"/>
            <w:vAlign w:val="center"/>
          </w:tcPr>
          <w:p w14:paraId="15CB90A3" w14:textId="77777777" w:rsidR="00D65E9E" w:rsidRPr="0098262F" w:rsidRDefault="00D65E9E" w:rsidP="006E0796">
            <w:pPr>
              <w:pStyle w:val="TableText0"/>
            </w:pPr>
            <w:r w:rsidRPr="0098262F">
              <w:t>Intervention</w:t>
            </w:r>
          </w:p>
        </w:tc>
        <w:tc>
          <w:tcPr>
            <w:tcW w:w="7885" w:type="dxa"/>
            <w:vAlign w:val="center"/>
          </w:tcPr>
          <w:p w14:paraId="3D7883CC" w14:textId="77777777" w:rsidR="00D65E9E" w:rsidRPr="0098262F" w:rsidRDefault="00D65E9E" w:rsidP="006E0796">
            <w:pPr>
              <w:pStyle w:val="TableText0"/>
            </w:pPr>
            <w:r w:rsidRPr="00F509AE">
              <w:t>Enzalutamide with or without androgen deprivation therapy</w:t>
            </w:r>
          </w:p>
        </w:tc>
      </w:tr>
      <w:tr w:rsidR="00D65E9E" w:rsidRPr="0098262F" w14:paraId="5FC8EA02" w14:textId="77777777" w:rsidTr="006E0796">
        <w:tc>
          <w:tcPr>
            <w:tcW w:w="1271" w:type="dxa"/>
            <w:vAlign w:val="center"/>
          </w:tcPr>
          <w:p w14:paraId="65CA2EF7" w14:textId="77777777" w:rsidR="00D65E9E" w:rsidRPr="0098262F" w:rsidRDefault="00D65E9E" w:rsidP="006E0796">
            <w:pPr>
              <w:pStyle w:val="TableText0"/>
            </w:pPr>
            <w:r w:rsidRPr="0098262F">
              <w:t>Comparator</w:t>
            </w:r>
          </w:p>
        </w:tc>
        <w:tc>
          <w:tcPr>
            <w:tcW w:w="7885" w:type="dxa"/>
            <w:vAlign w:val="center"/>
          </w:tcPr>
          <w:p w14:paraId="18789AC4" w14:textId="469501EC" w:rsidR="00D65E9E" w:rsidRDefault="00D65E9E" w:rsidP="006E0796">
            <w:pPr>
              <w:pStyle w:val="TableText0"/>
            </w:pPr>
            <w:r>
              <w:t>For enzalutamide with ADT: ADT alone (</w:t>
            </w:r>
            <w:r w:rsidR="00114575">
              <w:t>L</w:t>
            </w:r>
            <w:r w:rsidR="002A7850">
              <w:t xml:space="preserve">euprorelin </w:t>
            </w:r>
            <w:r>
              <w:t>+ Placebo in EMBARK)</w:t>
            </w:r>
          </w:p>
          <w:p w14:paraId="65D60D4B" w14:textId="4EA5A76B" w:rsidR="00D65E9E" w:rsidRPr="0098262F" w:rsidRDefault="00D65E9E" w:rsidP="006E0796">
            <w:pPr>
              <w:pStyle w:val="TableText0"/>
            </w:pPr>
            <w:r>
              <w:t>For enzalutamide without ADT: ADT alone (</w:t>
            </w:r>
            <w:r w:rsidR="00114575">
              <w:t>L</w:t>
            </w:r>
            <w:r w:rsidR="002A7850">
              <w:t xml:space="preserve">euprorelin </w:t>
            </w:r>
            <w:r>
              <w:t>+ Placebo in EMBARK)</w:t>
            </w:r>
          </w:p>
        </w:tc>
      </w:tr>
      <w:tr w:rsidR="00D65E9E" w:rsidRPr="0098262F" w14:paraId="0E8EF8F8" w14:textId="77777777" w:rsidTr="006E0796">
        <w:tc>
          <w:tcPr>
            <w:tcW w:w="1271" w:type="dxa"/>
            <w:vAlign w:val="center"/>
          </w:tcPr>
          <w:p w14:paraId="39C640EB" w14:textId="77777777" w:rsidR="00D65E9E" w:rsidRPr="0098262F" w:rsidRDefault="00D65E9E" w:rsidP="006E0796">
            <w:pPr>
              <w:pStyle w:val="TableText0"/>
            </w:pPr>
            <w:r w:rsidRPr="0098262F">
              <w:t>Outcomes</w:t>
            </w:r>
          </w:p>
        </w:tc>
        <w:tc>
          <w:tcPr>
            <w:tcW w:w="7885" w:type="dxa"/>
            <w:vAlign w:val="center"/>
          </w:tcPr>
          <w:p w14:paraId="05B54A52" w14:textId="77777777" w:rsidR="00D65E9E" w:rsidRDefault="00D65E9E" w:rsidP="006E0796">
            <w:pPr>
              <w:pStyle w:val="TableText0"/>
            </w:pPr>
            <w:r>
              <w:t>Metastasis-free survival (MFS) – primary endpoint</w:t>
            </w:r>
          </w:p>
          <w:p w14:paraId="16F0E231" w14:textId="77777777" w:rsidR="00D65E9E" w:rsidRDefault="00D65E9E" w:rsidP="006E0796">
            <w:pPr>
              <w:pStyle w:val="TableText0"/>
            </w:pPr>
            <w:r>
              <w:t>Overall survival (OS)</w:t>
            </w:r>
          </w:p>
          <w:p w14:paraId="32222055" w14:textId="77777777" w:rsidR="00D65E9E" w:rsidRDefault="00D65E9E" w:rsidP="006E0796">
            <w:pPr>
              <w:pStyle w:val="TableText0"/>
            </w:pPr>
            <w:r>
              <w:t>Time to PSA progression</w:t>
            </w:r>
          </w:p>
          <w:p w14:paraId="623F2F00" w14:textId="77777777" w:rsidR="00D65E9E" w:rsidRDefault="00D65E9E" w:rsidP="006E0796">
            <w:pPr>
              <w:pStyle w:val="TableText0"/>
            </w:pPr>
            <w:r>
              <w:t>Time to first use of new antineoplastic therapy</w:t>
            </w:r>
          </w:p>
          <w:p w14:paraId="2CFAEFD6" w14:textId="77777777" w:rsidR="00D65E9E" w:rsidRDefault="00D65E9E" w:rsidP="006E0796">
            <w:pPr>
              <w:pStyle w:val="TableText0"/>
            </w:pPr>
            <w:r>
              <w:t>Time to first symptomatic skeletal event</w:t>
            </w:r>
          </w:p>
          <w:p w14:paraId="31CFC09B" w14:textId="77777777" w:rsidR="00D65E9E" w:rsidRDefault="00D65E9E" w:rsidP="006E0796">
            <w:pPr>
              <w:pStyle w:val="TableText0"/>
            </w:pPr>
            <w:r>
              <w:t>Time to distant metastasis</w:t>
            </w:r>
          </w:p>
          <w:p w14:paraId="0A1CC850" w14:textId="77777777" w:rsidR="00D65E9E" w:rsidRDefault="00D65E9E" w:rsidP="006E0796">
            <w:pPr>
              <w:pStyle w:val="TableText0"/>
            </w:pPr>
            <w:r>
              <w:t>Time to resumption of hormonal therapy</w:t>
            </w:r>
          </w:p>
          <w:p w14:paraId="0D3D5BEA" w14:textId="77777777" w:rsidR="00D65E9E" w:rsidRDefault="00D65E9E" w:rsidP="006E0796">
            <w:pPr>
              <w:pStyle w:val="TableText0"/>
            </w:pPr>
            <w:r>
              <w:t>Time to castration resistance</w:t>
            </w:r>
          </w:p>
          <w:p w14:paraId="05FBD1FD" w14:textId="77777777" w:rsidR="00D65E9E" w:rsidRDefault="00D65E9E" w:rsidP="006E0796">
            <w:pPr>
              <w:pStyle w:val="TableText0"/>
            </w:pPr>
            <w:r>
              <w:t>Time to symptomatic progression</w:t>
            </w:r>
          </w:p>
          <w:p w14:paraId="28B3904F" w14:textId="77777777" w:rsidR="00D65E9E" w:rsidRDefault="00D65E9E" w:rsidP="006E0796">
            <w:pPr>
              <w:pStyle w:val="TableText0"/>
            </w:pPr>
            <w:r>
              <w:t xml:space="preserve">Quality of life (QoL): Functional Assessment of Cancer Therapy–Prostate (FACT-P) total score, European Quality of Life 5 Dimensions 5 Levels Health Questionnaire (EQ 5D 5L), Quality of Life Questionnaire Prostate 25 (QLQ PR25) module </w:t>
            </w:r>
          </w:p>
          <w:p w14:paraId="0BB3DF6C" w14:textId="77777777" w:rsidR="00D65E9E" w:rsidRPr="0098262F" w:rsidRDefault="00D65E9E" w:rsidP="006E0796">
            <w:pPr>
              <w:pStyle w:val="TableText0"/>
            </w:pPr>
            <w:r>
              <w:t>Safety</w:t>
            </w:r>
          </w:p>
        </w:tc>
      </w:tr>
      <w:tr w:rsidR="00D65E9E" w:rsidRPr="0098262F" w14:paraId="6F0C6C43" w14:textId="77777777" w:rsidTr="006E0796">
        <w:tc>
          <w:tcPr>
            <w:tcW w:w="1271" w:type="dxa"/>
            <w:vAlign w:val="center"/>
          </w:tcPr>
          <w:p w14:paraId="1DF2078E" w14:textId="77777777" w:rsidR="00D65E9E" w:rsidRPr="0098262F" w:rsidRDefault="00D65E9E" w:rsidP="006E0796">
            <w:pPr>
              <w:pStyle w:val="TableText0"/>
            </w:pPr>
            <w:r w:rsidRPr="0098262F">
              <w:t>Clinical claim</w:t>
            </w:r>
          </w:p>
        </w:tc>
        <w:tc>
          <w:tcPr>
            <w:tcW w:w="7885" w:type="dxa"/>
            <w:vAlign w:val="center"/>
          </w:tcPr>
          <w:p w14:paraId="691894AC" w14:textId="77777777" w:rsidR="00D65E9E" w:rsidRPr="0098262F" w:rsidRDefault="00D65E9E" w:rsidP="006E0796">
            <w:pPr>
              <w:pStyle w:val="TableText0"/>
            </w:pPr>
            <w:r w:rsidRPr="00F509AE">
              <w:t>Enzalutamide with or without ADT is superior in terms of efficacy with a known and manageable safety profile compared to ADT alone</w:t>
            </w:r>
            <w:r>
              <w:t>.</w:t>
            </w:r>
          </w:p>
        </w:tc>
      </w:tr>
    </w:tbl>
    <w:p w14:paraId="4AA2481E" w14:textId="77777777" w:rsidR="00D65E9E" w:rsidRDefault="00D65E9E" w:rsidP="00D65E9E">
      <w:pPr>
        <w:pStyle w:val="FooterTableFigure"/>
      </w:pPr>
      <w:r w:rsidRPr="0098262F">
        <w:t xml:space="preserve">Source: </w:t>
      </w:r>
      <w:r>
        <w:t>Table 1-1, p2 of the submission</w:t>
      </w:r>
      <w:r w:rsidRPr="0098262F">
        <w:t>.</w:t>
      </w:r>
    </w:p>
    <w:p w14:paraId="4EB57174" w14:textId="27FE087E" w:rsidR="00D65E9E" w:rsidRPr="0098262F" w:rsidRDefault="00D65E9E" w:rsidP="00D65E9E">
      <w:pPr>
        <w:pStyle w:val="FooterTableFigure"/>
      </w:pPr>
      <w:r>
        <w:t xml:space="preserve">ADT=androgen deprivation therapy; </w:t>
      </w:r>
      <w:r w:rsidR="008926BA">
        <w:t>PSA=prostate-specific antigen</w:t>
      </w:r>
    </w:p>
    <w:p w14:paraId="6B4AB6C2" w14:textId="7F01D731" w:rsidR="005C25FF" w:rsidRPr="0098262F" w:rsidRDefault="005C25FF" w:rsidP="004A6040">
      <w:pPr>
        <w:pStyle w:val="2-SectionHeading"/>
      </w:pPr>
      <w:bookmarkStart w:id="3" w:name="_Toc177371537"/>
      <w:r w:rsidRPr="0098262F">
        <w:lastRenderedPageBreak/>
        <w:t>Background</w:t>
      </w:r>
      <w:bookmarkEnd w:id="3"/>
    </w:p>
    <w:p w14:paraId="2C521D6D" w14:textId="78CF03EE" w:rsidR="005C25FF" w:rsidRPr="0098262F" w:rsidRDefault="005C25FF" w:rsidP="004A6040">
      <w:pPr>
        <w:pStyle w:val="4-SubsectionHeading"/>
      </w:pPr>
      <w:bookmarkStart w:id="4" w:name="_Toc22897638"/>
      <w:bookmarkStart w:id="5" w:name="_Toc177371538"/>
      <w:r w:rsidRPr="0098262F">
        <w:t>Registration status</w:t>
      </w:r>
      <w:bookmarkEnd w:id="4"/>
      <w:bookmarkEnd w:id="5"/>
    </w:p>
    <w:p w14:paraId="133BD225" w14:textId="387BAE36" w:rsidR="00D65E9E" w:rsidRPr="00B63CD0" w:rsidRDefault="00D65E9E" w:rsidP="00612C79">
      <w:pPr>
        <w:pStyle w:val="ExecSumBodyText"/>
        <w:numPr>
          <w:ilvl w:val="1"/>
          <w:numId w:val="1"/>
        </w:numPr>
        <w:spacing w:before="120"/>
        <w:rPr>
          <w:iCs/>
        </w:rPr>
      </w:pPr>
      <w:r w:rsidRPr="008476AA">
        <w:rPr>
          <w:iCs/>
        </w:rPr>
        <w:t>The submission was made under the TGA/PBAC Parallel Process</w:t>
      </w:r>
      <w:r w:rsidR="008476AA" w:rsidRPr="008476AA">
        <w:rPr>
          <w:iCs/>
        </w:rPr>
        <w:t>. The PBAC</w:t>
      </w:r>
      <w:r w:rsidR="008476AA">
        <w:rPr>
          <w:iCs/>
        </w:rPr>
        <w:t xml:space="preserve"> noted that the TGA Delegate’s Overview was not available prior to the PBAC meeting</w:t>
      </w:r>
      <w:r w:rsidRPr="00B63CD0">
        <w:rPr>
          <w:iCs/>
        </w:rPr>
        <w:t xml:space="preserve">. </w:t>
      </w:r>
    </w:p>
    <w:p w14:paraId="6AFD8AF7" w14:textId="7DA700C6" w:rsidR="00F50860" w:rsidRDefault="00D65E9E" w:rsidP="00612C79">
      <w:pPr>
        <w:pStyle w:val="3-BodyText"/>
        <w:rPr>
          <w:iCs/>
        </w:rPr>
      </w:pPr>
      <w:r w:rsidRPr="00B63CD0">
        <w:rPr>
          <w:iCs/>
        </w:rPr>
        <w:t xml:space="preserve">The proposed </w:t>
      </w:r>
      <w:r w:rsidR="008476AA">
        <w:rPr>
          <w:iCs/>
        </w:rPr>
        <w:t>indication was for</w:t>
      </w:r>
      <w:r w:rsidR="00F50860">
        <w:rPr>
          <w:iCs/>
        </w:rPr>
        <w:t xml:space="preserve"> ‘the treatment of patients with non-metastatic hormone-sensitive prostate cancer with </w:t>
      </w:r>
      <w:r w:rsidR="008476AA">
        <w:rPr>
          <w:iCs/>
        </w:rPr>
        <w:t xml:space="preserve">high-risk </w:t>
      </w:r>
      <w:r w:rsidR="00F50860">
        <w:rPr>
          <w:iCs/>
        </w:rPr>
        <w:t>biochemical recurrence</w:t>
      </w:r>
      <w:r w:rsidR="008476AA">
        <w:rPr>
          <w:iCs/>
        </w:rPr>
        <w:t>’</w:t>
      </w:r>
      <w:r w:rsidR="00F50860">
        <w:rPr>
          <w:iCs/>
        </w:rPr>
        <w:t xml:space="preserve">. </w:t>
      </w:r>
    </w:p>
    <w:p w14:paraId="12DC6A96" w14:textId="1BB78888" w:rsidR="002A69F7" w:rsidRPr="00B63CD0" w:rsidRDefault="00CF70FB" w:rsidP="00612C79">
      <w:pPr>
        <w:pStyle w:val="3-BodyText"/>
        <w:rPr>
          <w:iCs/>
        </w:rPr>
      </w:pPr>
      <w:r w:rsidRPr="00B63CD0">
        <w:rPr>
          <w:iCs/>
        </w:rPr>
        <w:t>At the date of the submission, e</w:t>
      </w:r>
      <w:r w:rsidR="002A69F7" w:rsidRPr="00B63CD0">
        <w:rPr>
          <w:iCs/>
        </w:rPr>
        <w:t xml:space="preserve">nzalutamide </w:t>
      </w:r>
      <w:r w:rsidRPr="00B63CD0">
        <w:rPr>
          <w:iCs/>
        </w:rPr>
        <w:t>wa</w:t>
      </w:r>
      <w:r w:rsidR="002A69F7" w:rsidRPr="00B63CD0">
        <w:rPr>
          <w:iCs/>
        </w:rPr>
        <w:t xml:space="preserve">s </w:t>
      </w:r>
      <w:r w:rsidR="00134F86" w:rsidRPr="00B63CD0">
        <w:rPr>
          <w:iCs/>
        </w:rPr>
        <w:t xml:space="preserve">TGA </w:t>
      </w:r>
      <w:r w:rsidR="002A69F7" w:rsidRPr="00B63CD0">
        <w:rPr>
          <w:iCs/>
        </w:rPr>
        <w:t xml:space="preserve">registered for the </w:t>
      </w:r>
      <w:r w:rsidR="002F4986" w:rsidRPr="00B63CD0">
        <w:rPr>
          <w:iCs/>
        </w:rPr>
        <w:t>treatment of patients with:</w:t>
      </w:r>
    </w:p>
    <w:p w14:paraId="2CF1B25E" w14:textId="780375EB" w:rsidR="002A69F7" w:rsidRPr="00B63CD0" w:rsidRDefault="002A69F7" w:rsidP="00612C79">
      <w:pPr>
        <w:pStyle w:val="3-BodyText"/>
        <w:numPr>
          <w:ilvl w:val="2"/>
          <w:numId w:val="7"/>
        </w:numPr>
        <w:ind w:left="993" w:hanging="284"/>
        <w:rPr>
          <w:iCs/>
        </w:rPr>
      </w:pPr>
      <w:r w:rsidRPr="00B63CD0">
        <w:rPr>
          <w:iCs/>
        </w:rPr>
        <w:t>metastatic hormone-sensitive prostate cancer (mHSPC);</w:t>
      </w:r>
    </w:p>
    <w:p w14:paraId="4F548AA0" w14:textId="37CFC011" w:rsidR="002A69F7" w:rsidRPr="00B63CD0" w:rsidRDefault="002A69F7" w:rsidP="00612C79">
      <w:pPr>
        <w:pStyle w:val="3-BodyText"/>
        <w:numPr>
          <w:ilvl w:val="2"/>
          <w:numId w:val="7"/>
        </w:numPr>
        <w:ind w:left="993" w:hanging="284"/>
        <w:rPr>
          <w:iCs/>
        </w:rPr>
      </w:pPr>
      <w:r w:rsidRPr="00B63CD0">
        <w:rPr>
          <w:iCs/>
        </w:rPr>
        <w:t>non-metastatic castration-resistant prostate cancer (m0CRPC);</w:t>
      </w:r>
    </w:p>
    <w:p w14:paraId="79570B17" w14:textId="38082438" w:rsidR="002A69F7" w:rsidRPr="00B63CD0" w:rsidRDefault="002A69F7" w:rsidP="00612C79">
      <w:pPr>
        <w:pStyle w:val="3-BodyText"/>
        <w:numPr>
          <w:ilvl w:val="2"/>
          <w:numId w:val="7"/>
        </w:numPr>
        <w:ind w:left="993" w:hanging="284"/>
        <w:rPr>
          <w:iCs/>
        </w:rPr>
      </w:pPr>
      <w:r w:rsidRPr="00B63CD0">
        <w:rPr>
          <w:iCs/>
        </w:rPr>
        <w:t>metastatic castration-resistant prostate cancer (mCRPC) following failure of androgen deprivation therapy (ADT) in whom chemotherapy is not yet indicated;</w:t>
      </w:r>
    </w:p>
    <w:p w14:paraId="4F6FB0F7" w14:textId="24F9C5EC" w:rsidR="00D65E9E" w:rsidRPr="008476AA" w:rsidRDefault="002A69F7" w:rsidP="00612C79">
      <w:pPr>
        <w:pStyle w:val="3-BodyText"/>
        <w:numPr>
          <w:ilvl w:val="2"/>
          <w:numId w:val="7"/>
        </w:numPr>
        <w:ind w:left="993" w:hanging="284"/>
        <w:rPr>
          <w:iCs/>
        </w:rPr>
      </w:pPr>
      <w:r w:rsidRPr="00B63CD0">
        <w:rPr>
          <w:iCs/>
        </w:rPr>
        <w:t>metastatic castration-resistant prostate cancer (mCRPC) who have previously received docetaxel.</w:t>
      </w:r>
    </w:p>
    <w:p w14:paraId="3E2A6EAB" w14:textId="469C8C0C" w:rsidR="005C25FF" w:rsidRPr="0098262F" w:rsidRDefault="005C25FF" w:rsidP="004E18E9">
      <w:pPr>
        <w:pStyle w:val="4-SubsectionHeading"/>
      </w:pPr>
      <w:bookmarkStart w:id="6" w:name="_Toc22897639"/>
      <w:bookmarkStart w:id="7" w:name="_Toc177371539"/>
      <w:r w:rsidRPr="0098262F">
        <w:t>Previous PBAC consideration</w:t>
      </w:r>
      <w:bookmarkEnd w:id="6"/>
      <w:bookmarkEnd w:id="7"/>
    </w:p>
    <w:p w14:paraId="186BBF22" w14:textId="427B1348" w:rsidR="00E16BBF" w:rsidRPr="00E16BBF" w:rsidRDefault="002A69F7" w:rsidP="00E16BBF">
      <w:pPr>
        <w:pStyle w:val="3-BodyText"/>
      </w:pPr>
      <w:r>
        <w:rPr>
          <w:rFonts w:cs="Calibri"/>
        </w:rPr>
        <w:t xml:space="preserve">This is the first submission to the PBAC for PBS listing of enzalutamide for m0HSPC. Enzalutamide is currently listed on the PBS for </w:t>
      </w:r>
      <w:r w:rsidR="008926BA">
        <w:rPr>
          <w:rFonts w:cs="Calibri"/>
        </w:rPr>
        <w:t xml:space="preserve">metastatic hormone sensitive prostate cancer (mHSPC) </w:t>
      </w:r>
      <w:r>
        <w:rPr>
          <w:rFonts w:cs="Calibri"/>
        </w:rPr>
        <w:t xml:space="preserve">as well </w:t>
      </w:r>
      <w:r w:rsidR="008926BA">
        <w:rPr>
          <w:rFonts w:cs="Calibri"/>
        </w:rPr>
        <w:t>non-metastatic and metastatic castrate resistant prostate cancer (</w:t>
      </w:r>
      <w:r>
        <w:rPr>
          <w:rFonts w:cs="Calibri"/>
        </w:rPr>
        <w:t>m0CRPC and mCRPC</w:t>
      </w:r>
      <w:r w:rsidR="008926BA">
        <w:rPr>
          <w:rFonts w:cs="Calibri"/>
        </w:rPr>
        <w:t>)</w:t>
      </w:r>
      <w:r>
        <w:rPr>
          <w:rFonts w:cs="Calibri"/>
        </w:rPr>
        <w:t xml:space="preserve">. </w:t>
      </w:r>
    </w:p>
    <w:p w14:paraId="1537DAFB" w14:textId="375D7C06" w:rsidR="00E16BBF" w:rsidRPr="00E16BBF" w:rsidRDefault="00E16BBF" w:rsidP="00E16BBF">
      <w:pPr>
        <w:pStyle w:val="3-BodyText"/>
        <w:numPr>
          <w:ilvl w:val="0"/>
          <w:numId w:val="0"/>
        </w:numPr>
        <w:ind w:left="720"/>
        <w:rPr>
          <w:i/>
          <w:iCs/>
        </w:rPr>
      </w:pPr>
      <w:r w:rsidRPr="00E16BBF">
        <w:rPr>
          <w:i/>
          <w:iCs/>
        </w:rPr>
        <w:t>For more detail on PBAC’s view, see section 7 PBAC outcome.</w:t>
      </w:r>
    </w:p>
    <w:p w14:paraId="76E4EF3C" w14:textId="13040F70" w:rsidR="00B60939" w:rsidRDefault="00B50DB8" w:rsidP="004E18E9">
      <w:pPr>
        <w:pStyle w:val="2-SectionHeading"/>
      </w:pPr>
      <w:bookmarkStart w:id="8" w:name="_Toc107902078"/>
      <w:bookmarkStart w:id="9" w:name="_Toc177371540"/>
      <w:bookmarkEnd w:id="8"/>
      <w:r w:rsidRPr="0098262F">
        <w:t>Requested listing</w:t>
      </w:r>
      <w:bookmarkEnd w:id="9"/>
    </w:p>
    <w:tbl>
      <w:tblPr>
        <w:tblW w:w="510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43"/>
        <w:gridCol w:w="1822"/>
        <w:gridCol w:w="832"/>
        <w:gridCol w:w="831"/>
        <w:gridCol w:w="832"/>
        <w:gridCol w:w="1854"/>
      </w:tblGrid>
      <w:tr w:rsidR="0083630E" w:rsidRPr="0098262F" w14:paraId="33E5452F" w14:textId="77777777" w:rsidTr="0083630E">
        <w:trPr>
          <w:cantSplit/>
          <w:trHeight w:val="20"/>
        </w:trPr>
        <w:tc>
          <w:tcPr>
            <w:tcW w:w="3043" w:type="dxa"/>
            <w:vAlign w:val="center"/>
          </w:tcPr>
          <w:p w14:paraId="2DD39DFC" w14:textId="77777777" w:rsidR="0083630E" w:rsidRPr="0098262F" w:rsidRDefault="0083630E" w:rsidP="00B702FD">
            <w:pPr>
              <w:rPr>
                <w:rFonts w:ascii="Arial Narrow" w:hAnsi="Arial Narrow"/>
                <w:b/>
                <w:bCs/>
                <w:sz w:val="20"/>
                <w:szCs w:val="20"/>
              </w:rPr>
            </w:pPr>
            <w:r w:rsidRPr="0098262F">
              <w:rPr>
                <w:rFonts w:ascii="Arial Narrow" w:hAnsi="Arial Narrow"/>
                <w:b/>
                <w:bCs/>
                <w:sz w:val="20"/>
                <w:szCs w:val="20"/>
              </w:rPr>
              <w:t>MEDICINAL PRODUCT</w:t>
            </w:r>
          </w:p>
          <w:p w14:paraId="2A608E1C" w14:textId="77777777" w:rsidR="0083630E" w:rsidRPr="0098262F" w:rsidRDefault="0083630E" w:rsidP="00B702FD">
            <w:pPr>
              <w:rPr>
                <w:rFonts w:ascii="Arial Narrow" w:hAnsi="Arial Narrow"/>
                <w:b/>
                <w:sz w:val="20"/>
                <w:szCs w:val="20"/>
              </w:rPr>
            </w:pPr>
            <w:r w:rsidRPr="0098262F">
              <w:rPr>
                <w:rFonts w:ascii="Arial Narrow" w:hAnsi="Arial Narrow"/>
                <w:b/>
                <w:bCs/>
                <w:sz w:val="20"/>
                <w:szCs w:val="20"/>
              </w:rPr>
              <w:t>medicinal product pack</w:t>
            </w:r>
          </w:p>
        </w:tc>
        <w:tc>
          <w:tcPr>
            <w:tcW w:w="1822" w:type="dxa"/>
            <w:vAlign w:val="center"/>
          </w:tcPr>
          <w:p w14:paraId="55389F8A" w14:textId="77777777" w:rsidR="0083630E" w:rsidRPr="002B1E0B" w:rsidRDefault="0083630E" w:rsidP="00B702FD">
            <w:pPr>
              <w:pStyle w:val="TableText0"/>
              <w:keepNext w:val="0"/>
              <w:keepLines w:val="0"/>
              <w:rPr>
                <w:b/>
                <w:szCs w:val="20"/>
              </w:rPr>
            </w:pPr>
            <w:r w:rsidRPr="002B1E0B">
              <w:rPr>
                <w:b/>
              </w:rPr>
              <w:t xml:space="preserve">Dispensed Price for Max. Qty </w:t>
            </w:r>
          </w:p>
        </w:tc>
        <w:tc>
          <w:tcPr>
            <w:tcW w:w="832" w:type="dxa"/>
            <w:vAlign w:val="center"/>
          </w:tcPr>
          <w:p w14:paraId="784D4307" w14:textId="77777777" w:rsidR="0083630E" w:rsidRPr="0098262F" w:rsidRDefault="0083630E" w:rsidP="00B702FD">
            <w:pPr>
              <w:jc w:val="center"/>
              <w:rPr>
                <w:rFonts w:ascii="Arial Narrow" w:hAnsi="Arial Narrow"/>
                <w:b/>
                <w:sz w:val="20"/>
                <w:szCs w:val="20"/>
              </w:rPr>
            </w:pPr>
            <w:r w:rsidRPr="0098262F">
              <w:rPr>
                <w:rFonts w:ascii="Arial Narrow" w:hAnsi="Arial Narrow"/>
                <w:b/>
                <w:sz w:val="20"/>
                <w:szCs w:val="20"/>
              </w:rPr>
              <w:t>Max. qty packs</w:t>
            </w:r>
          </w:p>
        </w:tc>
        <w:tc>
          <w:tcPr>
            <w:tcW w:w="831" w:type="dxa"/>
            <w:vAlign w:val="center"/>
          </w:tcPr>
          <w:p w14:paraId="471151D6" w14:textId="77777777" w:rsidR="0083630E" w:rsidRPr="0098262F" w:rsidRDefault="0083630E" w:rsidP="00B702FD">
            <w:pPr>
              <w:jc w:val="center"/>
              <w:rPr>
                <w:rFonts w:ascii="Arial Narrow" w:hAnsi="Arial Narrow"/>
                <w:b/>
                <w:sz w:val="20"/>
                <w:szCs w:val="20"/>
              </w:rPr>
            </w:pPr>
            <w:r w:rsidRPr="0098262F">
              <w:rPr>
                <w:rFonts w:ascii="Arial Narrow" w:hAnsi="Arial Narrow"/>
                <w:b/>
                <w:sz w:val="20"/>
                <w:szCs w:val="20"/>
              </w:rPr>
              <w:t>Max. qty units</w:t>
            </w:r>
          </w:p>
        </w:tc>
        <w:tc>
          <w:tcPr>
            <w:tcW w:w="832" w:type="dxa"/>
            <w:vAlign w:val="center"/>
          </w:tcPr>
          <w:p w14:paraId="7E7D66F7" w14:textId="77777777" w:rsidR="0083630E" w:rsidRPr="0098262F" w:rsidRDefault="0083630E" w:rsidP="00B702FD">
            <w:pPr>
              <w:jc w:val="center"/>
              <w:rPr>
                <w:rFonts w:ascii="Arial Narrow" w:hAnsi="Arial Narrow"/>
                <w:b/>
                <w:sz w:val="20"/>
                <w:szCs w:val="20"/>
              </w:rPr>
            </w:pPr>
            <w:r w:rsidRPr="0098262F">
              <w:rPr>
                <w:rFonts w:ascii="Arial Narrow" w:hAnsi="Arial Narrow"/>
                <w:b/>
                <w:sz w:val="20"/>
                <w:szCs w:val="20"/>
              </w:rPr>
              <w:t>№.of</w:t>
            </w:r>
          </w:p>
          <w:p w14:paraId="2BE404F9" w14:textId="77777777" w:rsidR="0083630E" w:rsidRPr="0098262F" w:rsidRDefault="0083630E" w:rsidP="00B702FD">
            <w:pPr>
              <w:jc w:val="center"/>
              <w:rPr>
                <w:rFonts w:ascii="Arial Narrow" w:hAnsi="Arial Narrow"/>
                <w:b/>
                <w:sz w:val="20"/>
                <w:szCs w:val="20"/>
              </w:rPr>
            </w:pPr>
            <w:r w:rsidRPr="0098262F">
              <w:rPr>
                <w:rFonts w:ascii="Arial Narrow" w:hAnsi="Arial Narrow"/>
                <w:b/>
                <w:sz w:val="20"/>
                <w:szCs w:val="20"/>
              </w:rPr>
              <w:t>Rpts</w:t>
            </w:r>
          </w:p>
        </w:tc>
        <w:tc>
          <w:tcPr>
            <w:tcW w:w="1854" w:type="dxa"/>
            <w:vAlign w:val="center"/>
          </w:tcPr>
          <w:p w14:paraId="659F8604" w14:textId="77777777" w:rsidR="0083630E" w:rsidRPr="0098262F" w:rsidRDefault="0083630E" w:rsidP="00B702FD">
            <w:pPr>
              <w:rPr>
                <w:rFonts w:ascii="Arial Narrow" w:hAnsi="Arial Narrow"/>
                <w:b/>
                <w:sz w:val="20"/>
                <w:szCs w:val="20"/>
              </w:rPr>
            </w:pPr>
            <w:r w:rsidRPr="0098262F">
              <w:rPr>
                <w:rFonts w:ascii="Arial Narrow" w:hAnsi="Arial Narrow"/>
                <w:b/>
                <w:sz w:val="20"/>
                <w:szCs w:val="20"/>
              </w:rPr>
              <w:t>Available brands</w:t>
            </w:r>
          </w:p>
        </w:tc>
      </w:tr>
      <w:tr w:rsidR="0083630E" w:rsidRPr="0098262F" w14:paraId="62053163" w14:textId="77777777" w:rsidTr="0083630E">
        <w:trPr>
          <w:cantSplit/>
          <w:trHeight w:val="20"/>
        </w:trPr>
        <w:tc>
          <w:tcPr>
            <w:tcW w:w="9214" w:type="dxa"/>
            <w:gridSpan w:val="6"/>
            <w:vAlign w:val="center"/>
          </w:tcPr>
          <w:p w14:paraId="7D9BEDF8" w14:textId="77777777" w:rsidR="0083630E" w:rsidRPr="00EA641C" w:rsidRDefault="0083630E" w:rsidP="00B702FD">
            <w:pPr>
              <w:pStyle w:val="TableText0"/>
              <w:keepNext w:val="0"/>
              <w:keepLines w:val="0"/>
              <w:rPr>
                <w:rFonts w:cs="Arial"/>
                <w:szCs w:val="20"/>
              </w:rPr>
            </w:pPr>
            <w:r>
              <w:t>ENZALUTAMIDE</w:t>
            </w:r>
          </w:p>
        </w:tc>
      </w:tr>
      <w:tr w:rsidR="0083630E" w:rsidRPr="0098262F" w14:paraId="76410AB8" w14:textId="77777777" w:rsidTr="0083630E">
        <w:trPr>
          <w:cantSplit/>
          <w:trHeight w:val="20"/>
        </w:trPr>
        <w:tc>
          <w:tcPr>
            <w:tcW w:w="3043" w:type="dxa"/>
            <w:vAlign w:val="center"/>
          </w:tcPr>
          <w:p w14:paraId="7C448B30" w14:textId="77777777" w:rsidR="0083630E" w:rsidRPr="004136E4" w:rsidRDefault="0083630E" w:rsidP="00B702FD">
            <w:pPr>
              <w:rPr>
                <w:rFonts w:ascii="Arial Narrow" w:hAnsi="Arial Narrow"/>
                <w:sz w:val="20"/>
                <w:szCs w:val="20"/>
              </w:rPr>
            </w:pPr>
            <w:r w:rsidRPr="004136E4">
              <w:rPr>
                <w:rFonts w:ascii="Arial Narrow" w:hAnsi="Arial Narrow"/>
                <w:sz w:val="20"/>
                <w:szCs w:val="20"/>
              </w:rPr>
              <w:t>Oral capsule, 40 mg</w:t>
            </w:r>
          </w:p>
        </w:tc>
        <w:tc>
          <w:tcPr>
            <w:tcW w:w="1822" w:type="dxa"/>
          </w:tcPr>
          <w:p w14:paraId="6C9CA3AD" w14:textId="77777777" w:rsidR="0083630E" w:rsidRPr="00EA641C" w:rsidRDefault="0083630E" w:rsidP="00B702FD">
            <w:pPr>
              <w:pStyle w:val="TableText0"/>
              <w:keepNext w:val="0"/>
              <w:keepLines w:val="0"/>
            </w:pPr>
            <w:r w:rsidRPr="00EA641C">
              <w:t>$3,479.05 published</w:t>
            </w:r>
          </w:p>
          <w:p w14:paraId="50400BC6" w14:textId="33087EB6" w:rsidR="0083630E" w:rsidRPr="004136E4" w:rsidRDefault="0083630E" w:rsidP="00B702FD">
            <w:pPr>
              <w:pStyle w:val="TableText0"/>
              <w:keepNext w:val="0"/>
              <w:keepLines w:val="0"/>
            </w:pPr>
            <w:r w:rsidRPr="00EA641C">
              <w:t>$</w:t>
            </w:r>
            <w:r w:rsidR="00E639BD" w:rsidRPr="00B9485F">
              <w:rPr>
                <w:color w:val="000000"/>
                <w:spacing w:val="49"/>
                <w:shd w:val="solid" w:color="000000" w:fill="000000"/>
                <w:fitText w:val="320" w:id="-761099520"/>
                <w14:textFill>
                  <w14:solidFill>
                    <w14:srgbClr w14:val="000000">
                      <w14:alpha w14:val="100000"/>
                    </w14:srgbClr>
                  </w14:solidFill>
                </w14:textFill>
              </w:rPr>
              <w:t>|||</w:t>
            </w:r>
            <w:r w:rsidR="00E639BD" w:rsidRPr="00B9485F">
              <w:rPr>
                <w:color w:val="000000"/>
                <w:spacing w:val="3"/>
                <w:shd w:val="solid" w:color="000000" w:fill="000000"/>
                <w:fitText w:val="320" w:id="-761099520"/>
                <w14:textFill>
                  <w14:solidFill>
                    <w14:srgbClr w14:val="000000">
                      <w14:alpha w14:val="100000"/>
                    </w14:srgbClr>
                  </w14:solidFill>
                </w14:textFill>
              </w:rPr>
              <w:t>|</w:t>
            </w:r>
            <w:r w:rsidRPr="00EA641C">
              <w:t xml:space="preserve"> effective</w:t>
            </w:r>
          </w:p>
        </w:tc>
        <w:tc>
          <w:tcPr>
            <w:tcW w:w="832" w:type="dxa"/>
            <w:vAlign w:val="center"/>
          </w:tcPr>
          <w:p w14:paraId="4410825F" w14:textId="77777777" w:rsidR="0083630E" w:rsidRPr="004136E4" w:rsidRDefault="0083630E" w:rsidP="00B702FD">
            <w:pPr>
              <w:jc w:val="center"/>
              <w:rPr>
                <w:rFonts w:ascii="Arial Narrow" w:hAnsi="Arial Narrow"/>
                <w:sz w:val="20"/>
                <w:szCs w:val="20"/>
              </w:rPr>
            </w:pPr>
            <w:r>
              <w:rPr>
                <w:rFonts w:ascii="Arial Narrow" w:hAnsi="Arial Narrow"/>
                <w:sz w:val="20"/>
                <w:szCs w:val="20"/>
              </w:rPr>
              <w:t>1</w:t>
            </w:r>
          </w:p>
        </w:tc>
        <w:tc>
          <w:tcPr>
            <w:tcW w:w="831" w:type="dxa"/>
            <w:vAlign w:val="center"/>
          </w:tcPr>
          <w:p w14:paraId="48664F60" w14:textId="77777777" w:rsidR="0083630E" w:rsidRPr="004136E4" w:rsidRDefault="0083630E" w:rsidP="00B702FD">
            <w:pPr>
              <w:jc w:val="center"/>
              <w:rPr>
                <w:rFonts w:ascii="Arial Narrow" w:hAnsi="Arial Narrow"/>
                <w:sz w:val="20"/>
                <w:szCs w:val="20"/>
              </w:rPr>
            </w:pPr>
            <w:r>
              <w:rPr>
                <w:rFonts w:ascii="Arial Narrow" w:hAnsi="Arial Narrow"/>
                <w:sz w:val="20"/>
                <w:szCs w:val="20"/>
              </w:rPr>
              <w:t>112</w:t>
            </w:r>
          </w:p>
        </w:tc>
        <w:tc>
          <w:tcPr>
            <w:tcW w:w="832" w:type="dxa"/>
            <w:vAlign w:val="center"/>
          </w:tcPr>
          <w:p w14:paraId="1800000D" w14:textId="77777777" w:rsidR="0083630E" w:rsidRPr="004136E4" w:rsidRDefault="0083630E" w:rsidP="00B702FD">
            <w:pPr>
              <w:jc w:val="center"/>
              <w:rPr>
                <w:rFonts w:ascii="Arial Narrow" w:hAnsi="Arial Narrow"/>
                <w:sz w:val="20"/>
                <w:szCs w:val="20"/>
              </w:rPr>
            </w:pPr>
            <w:r>
              <w:rPr>
                <w:rFonts w:ascii="Arial Narrow" w:hAnsi="Arial Narrow"/>
                <w:sz w:val="20"/>
                <w:szCs w:val="20"/>
              </w:rPr>
              <w:t>5</w:t>
            </w:r>
          </w:p>
        </w:tc>
        <w:tc>
          <w:tcPr>
            <w:tcW w:w="1854" w:type="dxa"/>
            <w:vAlign w:val="center"/>
          </w:tcPr>
          <w:p w14:paraId="530EB4F5" w14:textId="77777777" w:rsidR="0083630E" w:rsidRPr="004136E4" w:rsidRDefault="0083630E" w:rsidP="00B702FD">
            <w:pPr>
              <w:jc w:val="left"/>
              <w:rPr>
                <w:rFonts w:ascii="Arial Narrow" w:hAnsi="Arial Narrow"/>
                <w:sz w:val="20"/>
                <w:szCs w:val="20"/>
              </w:rPr>
            </w:pPr>
            <w:r w:rsidRPr="004136E4">
              <w:rPr>
                <w:rFonts w:ascii="Arial Narrow" w:hAnsi="Arial Narrow"/>
                <w:sz w:val="20"/>
                <w:szCs w:val="20"/>
              </w:rPr>
              <w:t>XTANDI®, Astellas Australia Pty Ltd</w:t>
            </w:r>
          </w:p>
        </w:tc>
      </w:tr>
      <w:tr w:rsidR="0083630E" w:rsidRPr="0098262F" w14:paraId="24BDDDE9"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tcPr>
          <w:p w14:paraId="4B98172C" w14:textId="77777777" w:rsidR="0083630E" w:rsidRPr="0098262F" w:rsidRDefault="0083630E" w:rsidP="00B702FD">
            <w:pPr>
              <w:pStyle w:val="TableText0"/>
              <w:keepNext w:val="0"/>
              <w:keepLines w:val="0"/>
            </w:pPr>
            <w:r w:rsidRPr="0098262F">
              <w:rPr>
                <w:b/>
              </w:rPr>
              <w:t xml:space="preserve">Category / Program: </w:t>
            </w:r>
            <w:r w:rsidRPr="0098262F">
              <w:t>G</w:t>
            </w:r>
            <w:r>
              <w:t>ENERAL - G</w:t>
            </w:r>
            <w:r w:rsidRPr="0098262F">
              <w:t>eneral Schedule</w:t>
            </w:r>
          </w:p>
        </w:tc>
      </w:tr>
      <w:tr w:rsidR="0083630E" w:rsidRPr="0098262F" w14:paraId="7635749C"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tcPr>
          <w:p w14:paraId="22F6EED7" w14:textId="77777777" w:rsidR="0083630E" w:rsidRPr="0098262F" w:rsidRDefault="0083630E" w:rsidP="00B702FD">
            <w:pPr>
              <w:pStyle w:val="TableText0"/>
              <w:keepNext w:val="0"/>
              <w:keepLines w:val="0"/>
              <w:rPr>
                <w:b/>
              </w:rPr>
            </w:pPr>
            <w:r w:rsidRPr="0098262F">
              <w:rPr>
                <w:b/>
              </w:rPr>
              <w:t xml:space="preserve">Prescriber type: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98262F">
              <w:t>Medical Practitioners</w:t>
            </w:r>
          </w:p>
        </w:tc>
      </w:tr>
      <w:tr w:rsidR="0083630E" w:rsidRPr="0098262F" w14:paraId="2FD13C18"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tcPr>
          <w:p w14:paraId="7BC781F3" w14:textId="01B729C3" w:rsidR="0083630E" w:rsidRPr="0098262F" w:rsidRDefault="0083630E" w:rsidP="00B702FD">
            <w:pPr>
              <w:pStyle w:val="TableText0"/>
              <w:keepNext w:val="0"/>
              <w:keepLines w:val="0"/>
            </w:pPr>
            <w:r w:rsidRPr="0098262F">
              <w:rPr>
                <w:b/>
              </w:rPr>
              <w:t xml:space="preserve">Restriction type: </w:t>
            </w:r>
            <w:r>
              <w:fldChar w:fldCharType="begin" w:fldLock="1">
                <w:ffData>
                  <w:name w:val="Check3"/>
                  <w:enabled/>
                  <w:calcOnExit w:val="0"/>
                  <w:checkBox>
                    <w:sizeAuto/>
                    <w:default w:val="1"/>
                  </w:checkBox>
                </w:ffData>
              </w:fldChar>
            </w:r>
            <w:r>
              <w:instrText xml:space="preserve"> FORMCHECKBOX </w:instrText>
            </w:r>
            <w:r>
              <w:fldChar w:fldCharType="separate"/>
            </w:r>
            <w:r>
              <w:fldChar w:fldCharType="end"/>
            </w:r>
            <w:r w:rsidRPr="0098262F">
              <w:t>Authority Required (telephone/online PBS Authorities system)</w:t>
            </w:r>
          </w:p>
        </w:tc>
      </w:tr>
      <w:tr w:rsidR="0083630E" w:rsidRPr="0098262F" w14:paraId="24E47BF1"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08FB1F17" w14:textId="77777777" w:rsidR="0083630E" w:rsidRPr="0098262F" w:rsidRDefault="0083630E" w:rsidP="00B702FD">
            <w:pPr>
              <w:pStyle w:val="TableText0"/>
              <w:keepNext w:val="0"/>
              <w:keepLines w:val="0"/>
              <w:rPr>
                <w:b/>
              </w:rPr>
            </w:pPr>
            <w:r w:rsidRPr="0098262F">
              <w:rPr>
                <w:b/>
              </w:rPr>
              <w:t xml:space="preserve">Condition: </w:t>
            </w:r>
            <w:r w:rsidRPr="00DD2F4B">
              <w:t>Non-metastatic hormone resistant carcinoma of the prostate</w:t>
            </w:r>
          </w:p>
        </w:tc>
      </w:tr>
      <w:tr w:rsidR="0083630E" w:rsidRPr="0098262F" w14:paraId="269E973C"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hideMark/>
          </w:tcPr>
          <w:p w14:paraId="6C738412" w14:textId="77777777" w:rsidR="0083630E" w:rsidRPr="0098262F" w:rsidRDefault="0083630E" w:rsidP="00B702FD">
            <w:pPr>
              <w:pStyle w:val="TableText0"/>
              <w:keepNext w:val="0"/>
              <w:keepLines w:val="0"/>
            </w:pPr>
            <w:r w:rsidRPr="0098262F">
              <w:rPr>
                <w:b/>
              </w:rPr>
              <w:t>Indication:</w:t>
            </w:r>
            <w:r w:rsidRPr="0098262F">
              <w:t xml:space="preserve"> </w:t>
            </w:r>
            <w:r w:rsidRPr="00060B55">
              <w:t>Carcinoma of the prostate</w:t>
            </w:r>
          </w:p>
        </w:tc>
      </w:tr>
      <w:tr w:rsidR="0083630E" w:rsidRPr="00DD2F4B" w14:paraId="3C521EB0"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hideMark/>
          </w:tcPr>
          <w:p w14:paraId="2D1C9378" w14:textId="77777777" w:rsidR="0083630E" w:rsidRPr="00DD2F4B" w:rsidRDefault="0083630E" w:rsidP="00B702FD">
            <w:pPr>
              <w:pStyle w:val="TableText0"/>
              <w:keepNext w:val="0"/>
              <w:keepLines w:val="0"/>
            </w:pPr>
            <w:r w:rsidRPr="0098262F">
              <w:rPr>
                <w:b/>
              </w:rPr>
              <w:t>Treatment Phase:</w:t>
            </w:r>
            <w:r>
              <w:rPr>
                <w:b/>
              </w:rPr>
              <w:t xml:space="preserve"> </w:t>
            </w:r>
            <w:r>
              <w:t>Initial and continuing</w:t>
            </w:r>
          </w:p>
        </w:tc>
      </w:tr>
      <w:tr w:rsidR="0083630E" w:rsidRPr="002B1E0B" w14:paraId="27A2BC6F"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hideMark/>
          </w:tcPr>
          <w:p w14:paraId="35701357" w14:textId="77777777" w:rsidR="0083630E" w:rsidRPr="002B1E0B" w:rsidRDefault="0083630E" w:rsidP="00B702FD">
            <w:pPr>
              <w:pStyle w:val="TableText0"/>
              <w:keepNext w:val="0"/>
              <w:keepLines w:val="0"/>
              <w:rPr>
                <w:b/>
              </w:rPr>
            </w:pPr>
            <w:r w:rsidRPr="002B1E0B">
              <w:rPr>
                <w:b/>
              </w:rPr>
              <w:t>Clinical criteria:</w:t>
            </w:r>
          </w:p>
        </w:tc>
      </w:tr>
      <w:tr w:rsidR="0083630E" w:rsidRPr="0098262F" w14:paraId="5BBA50D4"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2923C146" w14:textId="77777777" w:rsidR="0083630E" w:rsidRPr="0098262F" w:rsidRDefault="0083630E" w:rsidP="00B702FD">
            <w:pPr>
              <w:pStyle w:val="TableText0"/>
              <w:keepNext w:val="0"/>
              <w:keepLines w:val="0"/>
            </w:pPr>
            <w:r w:rsidRPr="00DD2F4B">
              <w:t>Patients must have a baseline PSA doubling time (PSADT) of 9 months or less</w:t>
            </w:r>
          </w:p>
        </w:tc>
      </w:tr>
      <w:tr w:rsidR="0083630E" w:rsidRPr="0098262F" w14:paraId="5B7221C4"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hideMark/>
          </w:tcPr>
          <w:p w14:paraId="15BBA9EA" w14:textId="77777777" w:rsidR="0083630E" w:rsidRPr="006B0304" w:rsidRDefault="0083630E" w:rsidP="00B702FD">
            <w:pPr>
              <w:pStyle w:val="TableText0"/>
              <w:keepNext w:val="0"/>
              <w:keepLines w:val="0"/>
              <w:rPr>
                <w:b/>
                <w:bCs w:val="0"/>
              </w:rPr>
            </w:pPr>
            <w:r w:rsidRPr="006B0304">
              <w:rPr>
                <w:b/>
                <w:bCs w:val="0"/>
              </w:rPr>
              <w:t>AND</w:t>
            </w:r>
          </w:p>
        </w:tc>
      </w:tr>
      <w:tr w:rsidR="0083630E" w:rsidRPr="002B1E0B" w14:paraId="6C47107E"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hideMark/>
          </w:tcPr>
          <w:p w14:paraId="4486390A" w14:textId="77777777" w:rsidR="0083630E" w:rsidRPr="002B1E0B" w:rsidRDefault="0083630E" w:rsidP="00B702FD">
            <w:pPr>
              <w:pStyle w:val="TableText0"/>
              <w:keepNext w:val="0"/>
              <w:keepLines w:val="0"/>
              <w:rPr>
                <w:b/>
              </w:rPr>
            </w:pPr>
            <w:r w:rsidRPr="002B1E0B">
              <w:rPr>
                <w:b/>
              </w:rPr>
              <w:t>Clinical criteria:</w:t>
            </w:r>
          </w:p>
        </w:tc>
      </w:tr>
      <w:tr w:rsidR="0083630E" w:rsidRPr="0098262F" w14:paraId="1A026A01" w14:textId="77777777" w:rsidTr="006B0304">
        <w:tblPrEx>
          <w:tblCellMar>
            <w:top w:w="15" w:type="dxa"/>
            <w:bottom w:w="15" w:type="dxa"/>
          </w:tblCellMar>
          <w:tblLook w:val="04A0" w:firstRow="1" w:lastRow="0" w:firstColumn="1" w:lastColumn="0" w:noHBand="0" w:noVBand="1"/>
        </w:tblPrEx>
        <w:trPr>
          <w:trHeight w:val="45"/>
        </w:trPr>
        <w:tc>
          <w:tcPr>
            <w:tcW w:w="9214" w:type="dxa"/>
            <w:gridSpan w:val="6"/>
            <w:vAlign w:val="center"/>
            <w:hideMark/>
          </w:tcPr>
          <w:p w14:paraId="7D50A622" w14:textId="77777777" w:rsidR="0083630E" w:rsidRPr="00E819A2" w:rsidRDefault="0083630E" w:rsidP="00B702FD">
            <w:pPr>
              <w:pStyle w:val="TableText0"/>
              <w:keepNext w:val="0"/>
              <w:keepLines w:val="0"/>
            </w:pPr>
            <w:r w:rsidRPr="00E819A2">
              <w:t>The condition must have no evidence of distant metastases</w:t>
            </w:r>
          </w:p>
        </w:tc>
      </w:tr>
      <w:tr w:rsidR="0083630E" w:rsidRPr="00DD2F4B" w14:paraId="2209CF36"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69A96162" w14:textId="77777777" w:rsidR="0083630E" w:rsidRPr="006B0304" w:rsidRDefault="0083630E" w:rsidP="00B702FD">
            <w:pPr>
              <w:pStyle w:val="TableText0"/>
              <w:keepNext w:val="0"/>
              <w:keepLines w:val="0"/>
              <w:rPr>
                <w:b/>
                <w:bCs w:val="0"/>
              </w:rPr>
            </w:pPr>
            <w:r w:rsidRPr="006B0304">
              <w:rPr>
                <w:b/>
                <w:bCs w:val="0"/>
              </w:rPr>
              <w:t>AND</w:t>
            </w:r>
          </w:p>
        </w:tc>
      </w:tr>
      <w:tr w:rsidR="0083630E" w:rsidRPr="002B1E0B" w14:paraId="70802DCD"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6D5EFF97" w14:textId="77777777" w:rsidR="0083630E" w:rsidRPr="002B1E0B" w:rsidRDefault="0083630E" w:rsidP="00B702FD">
            <w:pPr>
              <w:pStyle w:val="TableText0"/>
              <w:keepNext w:val="0"/>
              <w:keepLines w:val="0"/>
              <w:rPr>
                <w:b/>
              </w:rPr>
            </w:pPr>
            <w:r w:rsidRPr="002B1E0B">
              <w:rPr>
                <w:b/>
              </w:rPr>
              <w:lastRenderedPageBreak/>
              <w:t>Clinical criteria:</w:t>
            </w:r>
          </w:p>
        </w:tc>
      </w:tr>
      <w:tr w:rsidR="0083630E" w:rsidRPr="00DD2F4B" w14:paraId="7F4EF5F0"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006A0BAF" w14:textId="77777777" w:rsidR="0083630E" w:rsidRPr="00DD2F4B" w:rsidRDefault="0083630E" w:rsidP="00B702FD">
            <w:pPr>
              <w:pStyle w:val="TableText0"/>
              <w:keepNext w:val="0"/>
              <w:keepLines w:val="0"/>
            </w:pPr>
            <w:r w:rsidRPr="00DD2F4B">
              <w:t>Patient must have an Eastern Cooperative Oncology Group (ECOG) performance status score no higher than 1 prior to treatment initiation</w:t>
            </w:r>
          </w:p>
        </w:tc>
      </w:tr>
      <w:tr w:rsidR="0083630E" w:rsidRPr="007E7396" w14:paraId="4A132409"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133DEF54" w14:textId="77777777" w:rsidR="0083630E" w:rsidRPr="006B0304" w:rsidRDefault="0083630E" w:rsidP="00B702FD">
            <w:pPr>
              <w:pStyle w:val="TableText0"/>
              <w:keepNext w:val="0"/>
              <w:keepLines w:val="0"/>
              <w:rPr>
                <w:b/>
                <w:bCs w:val="0"/>
              </w:rPr>
            </w:pPr>
            <w:r w:rsidRPr="006B0304">
              <w:rPr>
                <w:b/>
                <w:bCs w:val="0"/>
              </w:rPr>
              <w:t>AND</w:t>
            </w:r>
          </w:p>
        </w:tc>
      </w:tr>
      <w:tr w:rsidR="0083630E" w:rsidRPr="002B1E0B" w14:paraId="309AB807"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5B5A41CA" w14:textId="77777777" w:rsidR="0083630E" w:rsidRPr="002B1E0B" w:rsidRDefault="0083630E" w:rsidP="00B702FD">
            <w:pPr>
              <w:pStyle w:val="TableText0"/>
              <w:keepNext w:val="0"/>
              <w:keepLines w:val="0"/>
              <w:rPr>
                <w:b/>
              </w:rPr>
            </w:pPr>
            <w:r w:rsidRPr="002B1E0B">
              <w:rPr>
                <w:b/>
              </w:rPr>
              <w:t>Clinical criteria:</w:t>
            </w:r>
          </w:p>
        </w:tc>
      </w:tr>
      <w:tr w:rsidR="0083630E" w:rsidRPr="0098262F" w14:paraId="286840C1"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3A92AF9F" w14:textId="77777777" w:rsidR="0083630E" w:rsidRPr="0098262F" w:rsidRDefault="0083630E" w:rsidP="00B702FD">
            <w:pPr>
              <w:pStyle w:val="TableText0"/>
              <w:keepNext w:val="0"/>
              <w:keepLines w:val="0"/>
            </w:pPr>
            <w:r w:rsidRPr="00DD2F4B">
              <w:t>Patient must not receive PBS-subsidised treatment with this drug if progressive disease develops while on this drug</w:t>
            </w:r>
          </w:p>
        </w:tc>
      </w:tr>
      <w:tr w:rsidR="0083630E" w:rsidRPr="007E7396" w14:paraId="18D3CB92"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4288E55C" w14:textId="77777777" w:rsidR="0083630E" w:rsidRPr="006B0304" w:rsidRDefault="0083630E" w:rsidP="00B702FD">
            <w:pPr>
              <w:pStyle w:val="TableText0"/>
              <w:keepNext w:val="0"/>
              <w:keepLines w:val="0"/>
              <w:rPr>
                <w:b/>
                <w:bCs w:val="0"/>
              </w:rPr>
            </w:pPr>
            <w:r w:rsidRPr="006B0304">
              <w:rPr>
                <w:b/>
                <w:bCs w:val="0"/>
              </w:rPr>
              <w:t>AND</w:t>
            </w:r>
          </w:p>
        </w:tc>
      </w:tr>
      <w:tr w:rsidR="0083630E" w14:paraId="6CF0B129"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10356F04" w14:textId="77777777" w:rsidR="0083630E" w:rsidRDefault="0083630E" w:rsidP="00B702FD">
            <w:pPr>
              <w:pStyle w:val="TableText0"/>
              <w:keepNext w:val="0"/>
              <w:keepLines w:val="0"/>
            </w:pPr>
            <w:r w:rsidRPr="00DD2F4B">
              <w:t>Patient must only receive subsidy for one novel hormonal drug per lifetime for prostate cancer (regardless of whether a drug was subsidised under a metastatic/non-metastatic indication);</w:t>
            </w:r>
          </w:p>
        </w:tc>
      </w:tr>
      <w:tr w:rsidR="0083630E" w:rsidRPr="007E7396" w14:paraId="10A9F799"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68C96163" w14:textId="77777777" w:rsidR="0083630E" w:rsidRPr="006B0304" w:rsidRDefault="0083630E" w:rsidP="00B702FD">
            <w:pPr>
              <w:pStyle w:val="TableText0"/>
              <w:keepNext w:val="0"/>
              <w:keepLines w:val="0"/>
              <w:rPr>
                <w:b/>
                <w:bCs w:val="0"/>
              </w:rPr>
            </w:pPr>
            <w:r w:rsidRPr="006B0304">
              <w:rPr>
                <w:b/>
                <w:bCs w:val="0"/>
              </w:rPr>
              <w:t>OR</w:t>
            </w:r>
          </w:p>
        </w:tc>
      </w:tr>
      <w:tr w:rsidR="0083630E" w14:paraId="1A6120E0"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638C59E2" w14:textId="77777777" w:rsidR="0083630E" w:rsidRDefault="0083630E" w:rsidP="00B702FD">
            <w:pPr>
              <w:pStyle w:val="TableText0"/>
              <w:keepNext w:val="0"/>
              <w:keepLines w:val="0"/>
            </w:pPr>
            <w:r w:rsidRPr="00DD2F4B">
              <w:t>Patient must only receive subsidy for a subsequent novel hormonal drug where there has been a severe intolerance to another novel hormonal drug leading to permanent treatment cessation.</w:t>
            </w:r>
          </w:p>
        </w:tc>
      </w:tr>
      <w:tr w:rsidR="0083630E" w:rsidRPr="002B1E0B" w14:paraId="248EAA04"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hideMark/>
          </w:tcPr>
          <w:p w14:paraId="1B36E8D3" w14:textId="77777777" w:rsidR="0083630E" w:rsidRPr="002B1E0B" w:rsidRDefault="0083630E" w:rsidP="00B702FD">
            <w:pPr>
              <w:pStyle w:val="TableText0"/>
              <w:keepNext w:val="0"/>
              <w:keepLines w:val="0"/>
              <w:rPr>
                <w:b/>
              </w:rPr>
            </w:pPr>
            <w:r w:rsidRPr="002B1E0B">
              <w:rPr>
                <w:b/>
              </w:rPr>
              <w:t>Treatment criteria:</w:t>
            </w:r>
          </w:p>
        </w:tc>
      </w:tr>
      <w:tr w:rsidR="0083630E" w:rsidRPr="00DD2F4B" w14:paraId="47849E9B"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101D1A3F" w14:textId="77777777" w:rsidR="0083630E" w:rsidRPr="00DD2F4B" w:rsidRDefault="0083630E" w:rsidP="00B702FD">
            <w:pPr>
              <w:pStyle w:val="TableText0"/>
              <w:keepNext w:val="0"/>
              <w:keepLines w:val="0"/>
            </w:pPr>
            <w:r w:rsidRPr="00DD2F4B">
              <w:t>Enzalutamide can be used with or without concurrent treatment with androgen deprivation therapy</w:t>
            </w:r>
          </w:p>
        </w:tc>
      </w:tr>
      <w:tr w:rsidR="0083630E" w:rsidRPr="0098262F" w14:paraId="674F0636"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hideMark/>
          </w:tcPr>
          <w:p w14:paraId="45C5713B" w14:textId="77777777" w:rsidR="0083630E" w:rsidRPr="002B1E0B" w:rsidRDefault="0083630E" w:rsidP="00B702FD">
            <w:pPr>
              <w:pStyle w:val="TableText0"/>
              <w:keepNext w:val="0"/>
              <w:keepLines w:val="0"/>
              <w:rPr>
                <w:b/>
              </w:rPr>
            </w:pPr>
            <w:r w:rsidRPr="002B1E0B">
              <w:rPr>
                <w:b/>
              </w:rPr>
              <w:t xml:space="preserve">Prescribing Instructions: </w:t>
            </w:r>
          </w:p>
          <w:p w14:paraId="4295C4DE" w14:textId="77777777" w:rsidR="0083630E" w:rsidRDefault="0083630E" w:rsidP="00B702FD">
            <w:pPr>
              <w:pStyle w:val="TableText0"/>
              <w:keepNext w:val="0"/>
              <w:keepLines w:val="0"/>
            </w:pPr>
            <w:r>
              <w:t>No increase in the maximum quantity or number of units may be authorised</w:t>
            </w:r>
          </w:p>
          <w:p w14:paraId="06AE49BA" w14:textId="77777777" w:rsidR="0083630E" w:rsidRPr="0098262F" w:rsidRDefault="0083630E" w:rsidP="00B702FD">
            <w:pPr>
              <w:pStyle w:val="TableText0"/>
              <w:keepNext w:val="0"/>
              <w:keepLines w:val="0"/>
            </w:pPr>
            <w:r>
              <w:t>No increase in the maximum number of repeats may be authorised</w:t>
            </w:r>
          </w:p>
        </w:tc>
      </w:tr>
      <w:tr w:rsidR="0083630E" w:rsidRPr="0098262F" w14:paraId="7F2CD850"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tcBorders>
              <w:bottom w:val="double" w:sz="4" w:space="0" w:color="auto"/>
            </w:tcBorders>
            <w:vAlign w:val="center"/>
            <w:hideMark/>
          </w:tcPr>
          <w:p w14:paraId="5DAE34CF" w14:textId="77777777" w:rsidR="0083630E" w:rsidRPr="0098262F" w:rsidRDefault="0083630E" w:rsidP="00B702FD">
            <w:pPr>
              <w:pStyle w:val="TableText0"/>
              <w:keepNext w:val="0"/>
              <w:keepLines w:val="0"/>
            </w:pPr>
            <w:r>
              <w:rPr>
                <w:b/>
              </w:rPr>
              <w:t>Note</w:t>
            </w:r>
            <w:r w:rsidRPr="0098262F">
              <w:rPr>
                <w:b/>
              </w:rPr>
              <w:t>:</w:t>
            </w:r>
            <w:r w:rsidRPr="0098262F">
              <w:t xml:space="preserve"> </w:t>
            </w:r>
            <w:r w:rsidRPr="00DD2F4B">
              <w:t>Special Pricing Arrangements apply</w:t>
            </w:r>
          </w:p>
        </w:tc>
      </w:tr>
      <w:tr w:rsidR="0083630E" w14:paraId="488B8AD3"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tcBorders>
              <w:top w:val="double" w:sz="4" w:space="0" w:color="auto"/>
            </w:tcBorders>
            <w:vAlign w:val="center"/>
          </w:tcPr>
          <w:p w14:paraId="76738393" w14:textId="77777777" w:rsidR="0083630E" w:rsidRDefault="0083630E" w:rsidP="00B702FD">
            <w:pPr>
              <w:pStyle w:val="TableText0"/>
              <w:keepNext w:val="0"/>
              <w:keepLines w:val="0"/>
              <w:rPr>
                <w:b/>
              </w:rPr>
            </w:pPr>
            <w:r w:rsidRPr="0098262F">
              <w:rPr>
                <w:b/>
              </w:rPr>
              <w:t>Treatment Phase:</w:t>
            </w:r>
            <w:r>
              <w:rPr>
                <w:b/>
              </w:rPr>
              <w:t xml:space="preserve"> </w:t>
            </w:r>
            <w:r w:rsidRPr="00670376">
              <w:t>Transitioning from non-PBS to PBS-subsidised supply – ‘Grandfather’ arrangements</w:t>
            </w:r>
          </w:p>
        </w:tc>
      </w:tr>
      <w:tr w:rsidR="0083630E" w:rsidRPr="002B1E0B" w14:paraId="03973050"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2C599433" w14:textId="77777777" w:rsidR="0083630E" w:rsidRPr="002B1E0B" w:rsidRDefault="0083630E" w:rsidP="00B702FD">
            <w:pPr>
              <w:pStyle w:val="TableText0"/>
              <w:keepNext w:val="0"/>
              <w:keepLines w:val="0"/>
              <w:rPr>
                <w:b/>
              </w:rPr>
            </w:pPr>
            <w:r w:rsidRPr="002B1E0B">
              <w:rPr>
                <w:b/>
              </w:rPr>
              <w:t>Clinical criteria:</w:t>
            </w:r>
          </w:p>
        </w:tc>
      </w:tr>
      <w:tr w:rsidR="0083630E" w:rsidRPr="007E7396" w14:paraId="5D6F5F07"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5A2520FD" w14:textId="77777777" w:rsidR="0083630E" w:rsidRPr="007E7396" w:rsidRDefault="0083630E" w:rsidP="00B702FD">
            <w:pPr>
              <w:pStyle w:val="TableText0"/>
              <w:keepNext w:val="0"/>
              <w:keepLines w:val="0"/>
            </w:pPr>
            <w:r w:rsidRPr="007E7396">
              <w:t>Patient must be each of: (i) currently receiving non-PBS subsidised treatment with this drug for non-metastatic hormone-sensitive disease, (ii) commenced on non-PBS subsidised treatment with this drug for non-metastatic hormone-sensitive disease prior to [insert listing date here]</w:t>
            </w:r>
          </w:p>
        </w:tc>
      </w:tr>
      <w:tr w:rsidR="0083630E" w:rsidRPr="002B1E0B" w14:paraId="77DA8F82"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149D7693" w14:textId="77777777" w:rsidR="0083630E" w:rsidRPr="002B1E0B" w:rsidRDefault="0083630E" w:rsidP="00B702FD">
            <w:pPr>
              <w:pStyle w:val="TableText0"/>
              <w:keepNext w:val="0"/>
              <w:keepLines w:val="0"/>
              <w:rPr>
                <w:b/>
              </w:rPr>
            </w:pPr>
            <w:r w:rsidRPr="002B1E0B">
              <w:rPr>
                <w:b/>
              </w:rPr>
              <w:t>Clinical criteria:</w:t>
            </w:r>
          </w:p>
        </w:tc>
      </w:tr>
      <w:tr w:rsidR="0083630E" w:rsidRPr="007E7396" w14:paraId="6FD1FE46"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16C07194" w14:textId="77777777" w:rsidR="0083630E" w:rsidRPr="007E7396" w:rsidRDefault="0083630E" w:rsidP="00B702FD">
            <w:pPr>
              <w:pStyle w:val="TableText0"/>
              <w:keepNext w:val="0"/>
              <w:keepLines w:val="0"/>
            </w:pPr>
            <w:r w:rsidRPr="007E7396">
              <w:t>The treatment must commence within 6 months of treatment initiation with androgen deprivation therapy</w:t>
            </w:r>
          </w:p>
        </w:tc>
      </w:tr>
      <w:tr w:rsidR="0083630E" w:rsidRPr="007E7396" w14:paraId="43AAE628"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6614B684" w14:textId="77777777" w:rsidR="0083630E" w:rsidRPr="006B0304" w:rsidRDefault="0083630E" w:rsidP="00B702FD">
            <w:pPr>
              <w:pStyle w:val="TableText0"/>
              <w:keepNext w:val="0"/>
              <w:keepLines w:val="0"/>
              <w:rPr>
                <w:b/>
                <w:bCs w:val="0"/>
              </w:rPr>
            </w:pPr>
            <w:r w:rsidRPr="006B0304">
              <w:rPr>
                <w:b/>
                <w:bCs w:val="0"/>
              </w:rPr>
              <w:t>AND</w:t>
            </w:r>
          </w:p>
        </w:tc>
      </w:tr>
      <w:tr w:rsidR="0083630E" w:rsidRPr="002B1E0B" w14:paraId="22C6CA48"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0E4C5E35" w14:textId="77777777" w:rsidR="0083630E" w:rsidRPr="002B1E0B" w:rsidRDefault="0083630E" w:rsidP="00B702FD">
            <w:pPr>
              <w:pStyle w:val="TableText0"/>
              <w:keepNext w:val="0"/>
              <w:keepLines w:val="0"/>
              <w:rPr>
                <w:b/>
              </w:rPr>
            </w:pPr>
            <w:r w:rsidRPr="002B1E0B">
              <w:rPr>
                <w:b/>
              </w:rPr>
              <w:t>Clinical criteria:</w:t>
            </w:r>
          </w:p>
        </w:tc>
      </w:tr>
      <w:tr w:rsidR="0083630E" w:rsidRPr="007E7396" w14:paraId="1AC8680A"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3F4AFA62" w14:textId="77777777" w:rsidR="0083630E" w:rsidRDefault="0083630E" w:rsidP="00B702FD">
            <w:pPr>
              <w:pStyle w:val="TableText0"/>
              <w:keepNext w:val="0"/>
              <w:keepLines w:val="0"/>
            </w:pPr>
            <w:r w:rsidRPr="007E7396">
              <w:t>Patient must be untreated with a novel hormonal agent prior to commencing non-PBS subsidised treatment with this drug for this condition in non-metastatic disease; or</w:t>
            </w:r>
          </w:p>
          <w:p w14:paraId="3A744D5B" w14:textId="77777777" w:rsidR="0083630E" w:rsidRPr="007E7396" w:rsidRDefault="0083630E" w:rsidP="00B702FD">
            <w:pPr>
              <w:pStyle w:val="TableText0"/>
              <w:keepNext w:val="0"/>
              <w:keepLines w:val="0"/>
            </w:pPr>
            <w:r w:rsidRPr="007E7396">
              <w:t>Patient must have developed a severe intolerance to another novel hormonal agent</w:t>
            </w:r>
          </w:p>
        </w:tc>
      </w:tr>
      <w:tr w:rsidR="0083630E" w:rsidRPr="007E7396" w14:paraId="1FFB66B0"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154C0228" w14:textId="77777777" w:rsidR="0083630E" w:rsidRPr="006B0304" w:rsidRDefault="0083630E" w:rsidP="00B702FD">
            <w:pPr>
              <w:pStyle w:val="TableText0"/>
              <w:keepNext w:val="0"/>
              <w:keepLines w:val="0"/>
              <w:rPr>
                <w:b/>
                <w:bCs w:val="0"/>
              </w:rPr>
            </w:pPr>
            <w:r w:rsidRPr="006B0304">
              <w:rPr>
                <w:b/>
                <w:bCs w:val="0"/>
              </w:rPr>
              <w:t>AND</w:t>
            </w:r>
          </w:p>
        </w:tc>
      </w:tr>
      <w:tr w:rsidR="0083630E" w:rsidRPr="002B1E0B" w14:paraId="1AF07636"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0A9F4396" w14:textId="77777777" w:rsidR="0083630E" w:rsidRPr="002B1E0B" w:rsidRDefault="0083630E" w:rsidP="00B702FD">
            <w:pPr>
              <w:pStyle w:val="TableText0"/>
              <w:keepNext w:val="0"/>
              <w:keepLines w:val="0"/>
              <w:rPr>
                <w:b/>
              </w:rPr>
            </w:pPr>
            <w:r w:rsidRPr="002B1E0B">
              <w:rPr>
                <w:b/>
              </w:rPr>
              <w:t>Clinical criteria:</w:t>
            </w:r>
          </w:p>
        </w:tc>
      </w:tr>
      <w:tr w:rsidR="0083630E" w:rsidRPr="007E7396" w14:paraId="3FB08F22"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15F3A93F" w14:textId="77777777" w:rsidR="0083630E" w:rsidRPr="007E7396" w:rsidRDefault="0083630E" w:rsidP="00B702FD">
            <w:pPr>
              <w:pStyle w:val="TableText0"/>
              <w:keepNext w:val="0"/>
              <w:keepLines w:val="0"/>
            </w:pPr>
            <w:r w:rsidRPr="007E7396">
              <w:t>Patient must not have developed disease progression while receiving treatment with this drug for this condition.</w:t>
            </w:r>
          </w:p>
        </w:tc>
      </w:tr>
      <w:tr w:rsidR="0083630E" w:rsidRPr="002B1E0B" w14:paraId="256AE97A"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736FDC7F" w14:textId="77777777" w:rsidR="0083630E" w:rsidRPr="002B1E0B" w:rsidRDefault="0083630E" w:rsidP="00B702FD">
            <w:pPr>
              <w:pStyle w:val="TableText0"/>
              <w:keepNext w:val="0"/>
              <w:keepLines w:val="0"/>
              <w:rPr>
                <w:b/>
              </w:rPr>
            </w:pPr>
            <w:r w:rsidRPr="002B1E0B">
              <w:rPr>
                <w:b/>
              </w:rPr>
              <w:t>Treatment criteria:</w:t>
            </w:r>
          </w:p>
        </w:tc>
      </w:tr>
      <w:tr w:rsidR="0083630E" w:rsidRPr="007E7396" w14:paraId="373F65C7"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118BB22F" w14:textId="77777777" w:rsidR="0083630E" w:rsidRPr="007E7396" w:rsidRDefault="0083630E" w:rsidP="00B702FD">
            <w:pPr>
              <w:pStyle w:val="TableText0"/>
              <w:keepNext w:val="0"/>
              <w:keepLines w:val="0"/>
            </w:pPr>
            <w:r w:rsidRPr="007E7396">
              <w:t>Patient must not be undergoing simultaneous treatment with this drug under another PBS-listing (apply under either listing type, but not both simultaneously)</w:t>
            </w:r>
          </w:p>
        </w:tc>
      </w:tr>
      <w:tr w:rsidR="0083630E" w:rsidRPr="007E7396" w14:paraId="4247D6DA" w14:textId="77777777" w:rsidTr="0083630E">
        <w:tblPrEx>
          <w:tblCellMar>
            <w:top w:w="15" w:type="dxa"/>
            <w:bottom w:w="15" w:type="dxa"/>
          </w:tblCellMar>
          <w:tblLook w:val="04A0" w:firstRow="1" w:lastRow="0" w:firstColumn="1" w:lastColumn="0" w:noHBand="0" w:noVBand="1"/>
        </w:tblPrEx>
        <w:trPr>
          <w:trHeight w:val="20"/>
        </w:trPr>
        <w:tc>
          <w:tcPr>
            <w:tcW w:w="9214" w:type="dxa"/>
            <w:gridSpan w:val="6"/>
            <w:vAlign w:val="center"/>
          </w:tcPr>
          <w:p w14:paraId="16305FAF" w14:textId="77777777" w:rsidR="0083630E" w:rsidRPr="002B1E0B" w:rsidRDefault="0083630E" w:rsidP="00B702FD">
            <w:pPr>
              <w:pStyle w:val="TableText0"/>
              <w:keepNext w:val="0"/>
              <w:keepLines w:val="0"/>
              <w:rPr>
                <w:b/>
              </w:rPr>
            </w:pPr>
            <w:r w:rsidRPr="002B1E0B">
              <w:rPr>
                <w:b/>
              </w:rPr>
              <w:t xml:space="preserve">Prescriber Instructions: </w:t>
            </w:r>
          </w:p>
          <w:p w14:paraId="58D36EA0" w14:textId="77777777" w:rsidR="0083630E" w:rsidRPr="007E7396" w:rsidRDefault="0083630E" w:rsidP="00B702FD">
            <w:pPr>
              <w:pStyle w:val="TableText0"/>
              <w:keepNext w:val="0"/>
              <w:keepLines w:val="0"/>
            </w:pPr>
            <w:r w:rsidRPr="007E7396">
              <w:t>Novel hormonal agents include abiraterone, apalutamide, darolutamide and enzalutamide</w:t>
            </w:r>
          </w:p>
        </w:tc>
      </w:tr>
    </w:tbl>
    <w:p w14:paraId="69159CA9" w14:textId="0DAB7EF4" w:rsidR="00C525D5" w:rsidRPr="00C525D5" w:rsidRDefault="0083630E" w:rsidP="005D4C79">
      <w:pPr>
        <w:pStyle w:val="TableFooter"/>
        <w:spacing w:after="120"/>
      </w:pPr>
      <w:r w:rsidRPr="0098262F">
        <w:t>Source</w:t>
      </w:r>
      <w:r>
        <w:t>: Tables 1-6 and 1-7, pp25-26 of the submission</w:t>
      </w:r>
      <w:r w:rsidRPr="0098262F">
        <w:t>.</w:t>
      </w:r>
    </w:p>
    <w:p w14:paraId="173786F5" w14:textId="5EE545CE" w:rsidR="00B702FD" w:rsidRPr="00B63CD0" w:rsidRDefault="00B702FD" w:rsidP="00D30D5B">
      <w:pPr>
        <w:pStyle w:val="ExecSumBodyText"/>
        <w:numPr>
          <w:ilvl w:val="1"/>
          <w:numId w:val="1"/>
        </w:numPr>
      </w:pPr>
      <w:r w:rsidRPr="00B63CD0">
        <w:t>If enzalutamide was listed for m0HSPC, consistent with PBAC’s previous advice for other prostate cancer indications, sequential use of</w:t>
      </w:r>
      <w:r w:rsidR="008926BA">
        <w:t xml:space="preserve"> novel hormonal agents (</w:t>
      </w:r>
      <w:r w:rsidRPr="00B63CD0">
        <w:t>NHAs</w:t>
      </w:r>
      <w:r w:rsidR="008926BA">
        <w:t xml:space="preserve">; </w:t>
      </w:r>
      <w:r w:rsidR="00A12F5B" w:rsidRPr="00B63CD0">
        <w:t>abiraterone, enzalutamide, apalutamide and darolutamide</w:t>
      </w:r>
      <w:r w:rsidR="00E45F09" w:rsidRPr="00B63CD0">
        <w:t xml:space="preserve">) </w:t>
      </w:r>
      <w:r w:rsidRPr="00B63CD0">
        <w:t>will not be allowed on the PBS. Enzalutamide is not interchangeable with first generation antiandrogens, i.e., bicalutamide, nilutamide and flutamide.</w:t>
      </w:r>
    </w:p>
    <w:p w14:paraId="44626C15" w14:textId="5CA25063" w:rsidR="00B702FD" w:rsidRPr="00B63CD0" w:rsidRDefault="00B702FD" w:rsidP="00D30D5B">
      <w:pPr>
        <w:pStyle w:val="ExecSumBodyText"/>
        <w:numPr>
          <w:ilvl w:val="1"/>
          <w:numId w:val="1"/>
        </w:numPr>
      </w:pPr>
      <w:r w:rsidRPr="00B63CD0">
        <w:t>The submission requested a grandfathering restriction for patients accessing a Patient Assistance Program (PAP) in m0HSPC intended for late 2024. The submission</w:t>
      </w:r>
      <w:r w:rsidR="005A4001">
        <w:t>’s financial estimates it was assumed</w:t>
      </w:r>
      <w:r w:rsidRPr="00B63CD0">
        <w:t xml:space="preserve"> approximately 500 grandfathered patients will be </w:t>
      </w:r>
      <w:r w:rsidRPr="00B63CD0">
        <w:lastRenderedPageBreak/>
        <w:t xml:space="preserve">initiating treatment </w:t>
      </w:r>
      <w:r w:rsidR="005A4001">
        <w:t>through the PAP</w:t>
      </w:r>
      <w:r w:rsidRPr="00B63CD0">
        <w:t>. No further details were provided in relation to the PAP</w:t>
      </w:r>
      <w:r w:rsidR="005420F7">
        <w:t>,</w:t>
      </w:r>
      <w:r w:rsidRPr="00B63CD0">
        <w:t xml:space="preserve"> including patient eligibility.</w:t>
      </w:r>
    </w:p>
    <w:p w14:paraId="105C6D69" w14:textId="2F76C6B8" w:rsidR="00B702FD" w:rsidRPr="00B63CD0" w:rsidRDefault="00B702FD" w:rsidP="00F9393E">
      <w:pPr>
        <w:pStyle w:val="3-BodyText"/>
      </w:pPr>
      <w:r w:rsidRPr="00B63CD0">
        <w:t xml:space="preserve">The submission proposed a special pricing arrangement consistent with the current PBS listing for enzalutamide. The sponsor sought to retain the current published </w:t>
      </w:r>
      <w:r w:rsidR="008926BA">
        <w:t>approved ex-manufacturer price (</w:t>
      </w:r>
      <w:r w:rsidRPr="00B63CD0">
        <w:t>AEMP</w:t>
      </w:r>
      <w:r w:rsidR="008926BA">
        <w:t>)</w:t>
      </w:r>
      <w:r w:rsidR="00FF1F6D">
        <w:t xml:space="preserve"> of</w:t>
      </w:r>
      <w:r w:rsidRPr="00B63CD0">
        <w:t xml:space="preserve"> $3,316.45 (DPMQ </w:t>
      </w:r>
      <w:r w:rsidR="00FF1F6D">
        <w:t xml:space="preserve">= </w:t>
      </w:r>
      <w:r w:rsidRPr="00B63CD0">
        <w:t>$3,479.05)</w:t>
      </w:r>
      <w:r w:rsidR="00546E16" w:rsidRPr="00B63CD0">
        <w:t xml:space="preserve"> as</w:t>
      </w:r>
      <w:r w:rsidR="005A4001">
        <w:t xml:space="preserve"> per</w:t>
      </w:r>
      <w:r w:rsidR="00546E16" w:rsidRPr="00B63CD0">
        <w:t xml:space="preserve"> the current prostate cancer listings</w:t>
      </w:r>
      <w:r w:rsidRPr="00B63CD0">
        <w:t xml:space="preserve">. The submission proposed an effective </w:t>
      </w:r>
      <w:r w:rsidR="00134F86" w:rsidRPr="00B63CD0">
        <w:t>AEMP of $</w:t>
      </w:r>
      <w:r w:rsidR="00E639BD" w:rsidRPr="00B0524F">
        <w:rPr>
          <w:color w:val="000000"/>
          <w:w w:val="15"/>
          <w:shd w:val="solid" w:color="000000" w:fill="000000"/>
          <w:fitText w:val="-20" w:id="-761099519"/>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519"/>
          <w14:textFill>
            <w14:solidFill>
              <w14:srgbClr w14:val="000000">
                <w14:alpha w14:val="100000"/>
              </w14:srgbClr>
            </w14:solidFill>
          </w14:textFill>
        </w:rPr>
        <w:t>|</w:t>
      </w:r>
      <w:r w:rsidR="00134F86" w:rsidRPr="00B63CD0">
        <w:t xml:space="preserve"> (DPMQ </w:t>
      </w:r>
      <w:r w:rsidR="00FF1F6D">
        <w:t xml:space="preserve">= </w:t>
      </w:r>
      <w:r w:rsidR="00134F86" w:rsidRPr="00B63CD0">
        <w:t>$</w:t>
      </w:r>
      <w:r w:rsidR="00E639BD" w:rsidRPr="00B0524F">
        <w:rPr>
          <w:color w:val="000000"/>
          <w:w w:val="15"/>
          <w:shd w:val="solid" w:color="000000" w:fill="000000"/>
          <w:fitText w:val="-20" w:id="-761099518"/>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518"/>
          <w14:textFill>
            <w14:solidFill>
              <w14:srgbClr w14:val="000000">
                <w14:alpha w14:val="100000"/>
              </w14:srgbClr>
            </w14:solidFill>
          </w14:textFill>
        </w:rPr>
        <w:t>|</w:t>
      </w:r>
      <w:r w:rsidR="00546E16" w:rsidRPr="00B63CD0">
        <w:t>), which is the same as the current effective AEMP for mHSPC</w:t>
      </w:r>
      <w:r w:rsidR="00BA6FA8">
        <w:t xml:space="preserve"> and</w:t>
      </w:r>
      <w:r w:rsidRPr="00B63CD0">
        <w:t xml:space="preserve"> lower than the current effective price for m0CRPC (AEMP </w:t>
      </w:r>
      <w:r w:rsidR="00FF1F6D">
        <w:t xml:space="preserve">= </w:t>
      </w:r>
      <w:r w:rsidRPr="00B63CD0">
        <w:t>$</w:t>
      </w:r>
      <w:r w:rsidR="00E639BD" w:rsidRPr="00B0524F">
        <w:rPr>
          <w:color w:val="000000"/>
          <w:w w:val="15"/>
          <w:shd w:val="solid" w:color="000000" w:fill="000000"/>
          <w:fitText w:val="-20" w:id="-761099517"/>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517"/>
          <w14:textFill>
            <w14:solidFill>
              <w14:srgbClr w14:val="000000">
                <w14:alpha w14:val="100000"/>
              </w14:srgbClr>
            </w14:solidFill>
          </w14:textFill>
        </w:rPr>
        <w:t>|</w:t>
      </w:r>
      <w:r w:rsidRPr="00B63CD0">
        <w:t>).</w:t>
      </w:r>
    </w:p>
    <w:p w14:paraId="5C36F16D" w14:textId="68076037" w:rsidR="00B702FD" w:rsidRPr="00B63CD0" w:rsidRDefault="00B702FD" w:rsidP="001214E3">
      <w:pPr>
        <w:pStyle w:val="3-BodyText"/>
      </w:pPr>
      <w:r w:rsidRPr="00B63CD0">
        <w:t xml:space="preserve">The sponsor proposed a Managed Access Program (MAP) </w:t>
      </w:r>
      <w:r w:rsidR="00076075" w:rsidRPr="00B63CD0">
        <w:t>to manage uncertainty related to</w:t>
      </w:r>
      <w:r w:rsidR="00701CD6" w:rsidRPr="00B63CD0">
        <w:t xml:space="preserve"> metastasis-free survival</w:t>
      </w:r>
      <w:r w:rsidR="00076075" w:rsidRPr="00B63CD0">
        <w:t xml:space="preserve"> </w:t>
      </w:r>
      <w:r w:rsidR="00701CD6" w:rsidRPr="00B63CD0">
        <w:t>(</w:t>
      </w:r>
      <w:r w:rsidR="00076075" w:rsidRPr="00B63CD0">
        <w:t>MFS</w:t>
      </w:r>
      <w:r w:rsidR="00701CD6" w:rsidRPr="00B63CD0">
        <w:t>)</w:t>
      </w:r>
      <w:r w:rsidR="00076075" w:rsidRPr="00B63CD0">
        <w:t xml:space="preserve"> and</w:t>
      </w:r>
      <w:r w:rsidR="00701CD6" w:rsidRPr="00B63CD0">
        <w:t xml:space="preserve"> overall survival</w:t>
      </w:r>
      <w:r w:rsidR="00076075" w:rsidRPr="00B63CD0">
        <w:t xml:space="preserve"> </w:t>
      </w:r>
      <w:r w:rsidR="00701CD6" w:rsidRPr="00B63CD0">
        <w:t>(</w:t>
      </w:r>
      <w:r w:rsidR="00076075" w:rsidRPr="00B63CD0">
        <w:t>OS</w:t>
      </w:r>
      <w:r w:rsidR="00701CD6" w:rsidRPr="00B63CD0">
        <w:t>)</w:t>
      </w:r>
      <w:r w:rsidR="00076075" w:rsidRPr="00B63CD0">
        <w:t xml:space="preserve"> in the modelled economic evaluation. </w:t>
      </w:r>
      <w:r w:rsidR="003B45E8" w:rsidRPr="00B63CD0">
        <w:t xml:space="preserve">The proposal would allow the PBAC to make a recommendation based on the interim OS data from EMBARK. </w:t>
      </w:r>
      <w:r w:rsidR="00076075" w:rsidRPr="00B63CD0">
        <w:t xml:space="preserve">Under the proposal, the sponsor would agree to revise the price of enzalutamide following the collection of final </w:t>
      </w:r>
      <w:r w:rsidR="003B45E8" w:rsidRPr="00B63CD0">
        <w:t>trial data.</w:t>
      </w:r>
      <w:r w:rsidR="006C1A20" w:rsidRPr="00B63CD0">
        <w:t xml:space="preserve"> See Financial Management – Risk Sharing Arrangements</w:t>
      </w:r>
      <w:r w:rsidR="00B01AE3" w:rsidRPr="00B63CD0">
        <w:t xml:space="preserve">, paragraphs </w:t>
      </w:r>
      <w:r w:rsidR="006A4FCD" w:rsidRPr="00B63CD0">
        <w:fldChar w:fldCharType="begin" w:fldLock="1"/>
      </w:r>
      <w:r w:rsidR="006A4FCD" w:rsidRPr="00B63CD0">
        <w:instrText xml:space="preserve"> REF _Ref177457624 \r \h </w:instrText>
      </w:r>
      <w:r w:rsidR="00B63CD0" w:rsidRPr="00B63CD0">
        <w:instrText xml:space="preserve"> \* MERGEFORMAT </w:instrText>
      </w:r>
      <w:r w:rsidR="006A4FCD" w:rsidRPr="00B63CD0">
        <w:fldChar w:fldCharType="separate"/>
      </w:r>
      <w:r w:rsidR="008926BA">
        <w:t>6.74</w:t>
      </w:r>
      <w:r w:rsidR="006A4FCD" w:rsidRPr="00B63CD0">
        <w:fldChar w:fldCharType="end"/>
      </w:r>
      <w:r w:rsidR="006A4FCD" w:rsidRPr="00B63CD0">
        <w:t xml:space="preserve"> </w:t>
      </w:r>
      <w:r w:rsidR="00B01AE3" w:rsidRPr="00B63CD0">
        <w:t xml:space="preserve">and </w:t>
      </w:r>
      <w:r w:rsidR="006A4FCD" w:rsidRPr="00B63CD0">
        <w:fldChar w:fldCharType="begin" w:fldLock="1"/>
      </w:r>
      <w:r w:rsidR="006A4FCD" w:rsidRPr="00B63CD0">
        <w:instrText xml:space="preserve"> REF _Ref177457629 \r \h </w:instrText>
      </w:r>
      <w:r w:rsidR="00B63CD0" w:rsidRPr="00B63CD0">
        <w:instrText xml:space="preserve"> \* MERGEFORMAT </w:instrText>
      </w:r>
      <w:r w:rsidR="006A4FCD" w:rsidRPr="00B63CD0">
        <w:fldChar w:fldCharType="separate"/>
      </w:r>
      <w:r w:rsidR="008926BA">
        <w:t>6.75</w:t>
      </w:r>
      <w:r w:rsidR="006A4FCD" w:rsidRPr="00B63CD0">
        <w:fldChar w:fldCharType="end"/>
      </w:r>
      <w:r w:rsidR="00B476E8" w:rsidRPr="00B63CD0">
        <w:t>.</w:t>
      </w:r>
    </w:p>
    <w:p w14:paraId="702E7447" w14:textId="5FF34A74" w:rsidR="00B702FD" w:rsidRPr="00E16BBF" w:rsidRDefault="00F544A3" w:rsidP="00F9393E">
      <w:pPr>
        <w:pStyle w:val="3-BodyText"/>
      </w:pPr>
      <w:r w:rsidRPr="00E16BBF">
        <w:t xml:space="preserve">The </w:t>
      </w:r>
      <w:r w:rsidR="00B702FD" w:rsidRPr="00E16BBF">
        <w:t>requested restriction for enzalutamide was for patients with m0HSPC (no distant metastases) who are at high</w:t>
      </w:r>
      <w:r w:rsidR="002C5C13" w:rsidRPr="00E16BBF">
        <w:t>-</w:t>
      </w:r>
      <w:r w:rsidR="00B702FD" w:rsidRPr="00E16BBF">
        <w:t>risk</w:t>
      </w:r>
      <w:r w:rsidR="005420F7">
        <w:t>,</w:t>
      </w:r>
      <w:r w:rsidR="00B702FD" w:rsidRPr="00E16BBF">
        <w:t xml:space="preserve"> defined by </w:t>
      </w:r>
      <w:r w:rsidR="005420F7">
        <w:t>a prostate-specific antigen doubling time (</w:t>
      </w:r>
      <w:r w:rsidR="00B702FD" w:rsidRPr="00E16BBF">
        <w:t>PSAD</w:t>
      </w:r>
      <w:r w:rsidR="00AB4C26" w:rsidRPr="00E16BBF">
        <w:t>T</w:t>
      </w:r>
      <w:r w:rsidR="005420F7">
        <w:t>)</w:t>
      </w:r>
      <w:r w:rsidR="00B702FD" w:rsidRPr="00E16BBF">
        <w:t xml:space="preserve"> ≤9 months. Patients must also have </w:t>
      </w:r>
      <w:r w:rsidR="005420F7">
        <w:t>an Eastern Cooperative Oncology Group (</w:t>
      </w:r>
      <w:r w:rsidR="00B702FD" w:rsidRPr="00E16BBF">
        <w:t>ECOG</w:t>
      </w:r>
      <w:r w:rsidR="005420F7">
        <w:t>)</w:t>
      </w:r>
      <w:r w:rsidR="00B702FD" w:rsidRPr="00E16BBF">
        <w:t xml:space="preserve"> score ≤1 prior to treatment initiation</w:t>
      </w:r>
      <w:r w:rsidR="002C2F0C" w:rsidRPr="00E16BBF">
        <w:t xml:space="preserve"> and </w:t>
      </w:r>
      <w:r w:rsidR="00B702FD" w:rsidRPr="00E16BBF">
        <w:t xml:space="preserve">must not receive PBS-subsidised treatment with this drug if progressive disease develops while on this drug. </w:t>
      </w:r>
      <w:r w:rsidR="002C2F0C" w:rsidRPr="00E16BBF">
        <w:t>T</w:t>
      </w:r>
      <w:r w:rsidR="006157D6" w:rsidRPr="00E16BBF">
        <w:t xml:space="preserve">he </w:t>
      </w:r>
      <w:r w:rsidR="002C2F0C" w:rsidRPr="00E16BBF">
        <w:t xml:space="preserve">requested </w:t>
      </w:r>
      <w:r w:rsidR="006157D6" w:rsidRPr="00E16BBF">
        <w:t xml:space="preserve">restriction </w:t>
      </w:r>
      <w:r w:rsidR="002C2F0C" w:rsidRPr="00E16BBF">
        <w:t>wa</w:t>
      </w:r>
      <w:r w:rsidR="001812B0" w:rsidRPr="00E16BBF">
        <w:t>s silent with respect to the use of concomitant ADT</w:t>
      </w:r>
      <w:r w:rsidRPr="00E16BBF">
        <w:t>, which the submission stated would</w:t>
      </w:r>
      <w:r w:rsidR="001812B0" w:rsidRPr="00E16BBF">
        <w:t xml:space="preserve"> </w:t>
      </w:r>
      <w:r w:rsidRPr="00E16BBF">
        <w:t xml:space="preserve">permit </w:t>
      </w:r>
      <w:r w:rsidR="002C2F0C" w:rsidRPr="00E16BBF">
        <w:t xml:space="preserve">enzalutamide monotherapy </w:t>
      </w:r>
      <w:r w:rsidRPr="00E16BBF">
        <w:t>for patients who are intolerant or contraindicated to ADT.</w:t>
      </w:r>
      <w:r w:rsidR="00FF1F6D" w:rsidRPr="00E16BBF">
        <w:t xml:space="preserve"> The </w:t>
      </w:r>
      <w:r w:rsidR="000613D5">
        <w:rPr>
          <w:rFonts w:cstheme="minorHAnsi"/>
        </w:rPr>
        <w:t>Pre-Sub-Committee Response</w:t>
      </w:r>
      <w:r w:rsidR="000613D5" w:rsidRPr="0075485D">
        <w:rPr>
          <w:rFonts w:cstheme="minorHAnsi"/>
        </w:rPr>
        <w:t xml:space="preserve"> </w:t>
      </w:r>
      <w:r w:rsidR="004D1245">
        <w:rPr>
          <w:rFonts w:cstheme="minorHAnsi"/>
        </w:rPr>
        <w:t>(</w:t>
      </w:r>
      <w:r w:rsidR="00FF1F6D" w:rsidRPr="00E16BBF">
        <w:t>PSCR</w:t>
      </w:r>
      <w:r w:rsidR="004D1245">
        <w:t>)</w:t>
      </w:r>
      <w:r w:rsidR="00FF1F6D" w:rsidRPr="00E16BBF">
        <w:t xml:space="preserve"> stated that enzalutamide monotherapy was an alternate treatment to enzalutamide </w:t>
      </w:r>
      <w:r w:rsidR="008926BA">
        <w:t>plus</w:t>
      </w:r>
      <w:r w:rsidR="008926BA" w:rsidRPr="00E16BBF">
        <w:t xml:space="preserve"> </w:t>
      </w:r>
      <w:r w:rsidR="00FF1F6D" w:rsidRPr="00E16BBF">
        <w:t>ADT. The ESC</w:t>
      </w:r>
      <w:r w:rsidR="00740830">
        <w:t xml:space="preserve"> and DUSC</w:t>
      </w:r>
      <w:r w:rsidR="00FF1F6D" w:rsidRPr="00E16BBF">
        <w:t xml:space="preserve">, noting that </w:t>
      </w:r>
      <w:r w:rsidR="006B0304" w:rsidRPr="00E16BBF">
        <w:t xml:space="preserve">(i) </w:t>
      </w:r>
      <w:r w:rsidR="00FF1F6D" w:rsidRPr="00E16BBF">
        <w:t xml:space="preserve">the clinical and economic evidence suggested that enzalutamide </w:t>
      </w:r>
      <w:r w:rsidR="008926BA">
        <w:t>plus</w:t>
      </w:r>
      <w:r w:rsidR="008926BA" w:rsidRPr="00E16BBF">
        <w:t xml:space="preserve"> </w:t>
      </w:r>
      <w:r w:rsidR="00FF1F6D" w:rsidRPr="00E16BBF">
        <w:t>ADT was the preferred treatment strategy</w:t>
      </w:r>
      <w:r w:rsidR="006B0304" w:rsidRPr="00E16BBF">
        <w:t xml:space="preserve">; and (ii) only a small proportion of patients are </w:t>
      </w:r>
      <w:r w:rsidR="005420F7">
        <w:t xml:space="preserve">likely to be </w:t>
      </w:r>
      <w:r w:rsidR="006B0304" w:rsidRPr="00E16BBF">
        <w:t>intolerant or contraindicated to ADT</w:t>
      </w:r>
      <w:r w:rsidR="00FF1F6D" w:rsidRPr="00E16BBF">
        <w:t>, considered that enzalutamide should be given in combination with ADT.</w:t>
      </w:r>
      <w:r w:rsidR="00DF24EF">
        <w:t xml:space="preserve"> The pre-PBAC response stated that enzalutamide monotherapy provides an alternative for patient unable or unwilling to receive ADT (e.g. </w:t>
      </w:r>
      <w:r w:rsidR="005420F7">
        <w:t xml:space="preserve">in those at </w:t>
      </w:r>
      <w:r w:rsidR="00DF24EF">
        <w:t>risk of fractures or of decreased sexual activity).</w:t>
      </w:r>
    </w:p>
    <w:p w14:paraId="5EDF2CFD" w14:textId="3840ADB0" w:rsidR="00B702FD" w:rsidRPr="00E16BBF" w:rsidRDefault="00F544A3" w:rsidP="00F9393E">
      <w:pPr>
        <w:pStyle w:val="3-BodyText"/>
      </w:pPr>
      <w:r w:rsidRPr="00E16BBF">
        <w:t>The submission stated that the requested restriction for enzalutamide was intended to be aligned with the EMBARK trial</w:t>
      </w:r>
      <w:r w:rsidR="005420F7">
        <w:t>.</w:t>
      </w:r>
      <w:r w:rsidRPr="00E16BBF">
        <w:t xml:space="preserve"> </w:t>
      </w:r>
      <w:r w:rsidR="005420F7">
        <w:t xml:space="preserve">However, </w:t>
      </w:r>
      <w:r w:rsidR="00815D3E" w:rsidRPr="00E16BBF">
        <w:t>the requested restriction criteria would likely permit broader use of enzalutamide than the EMBARK trial. The following key issues were identified</w:t>
      </w:r>
      <w:r w:rsidR="00B702FD" w:rsidRPr="00E16BBF">
        <w:t>:</w:t>
      </w:r>
    </w:p>
    <w:p w14:paraId="33A43723" w14:textId="7C6AF240" w:rsidR="00CB1FF8" w:rsidRPr="00E16BBF" w:rsidRDefault="00B702FD" w:rsidP="00E16BBF">
      <w:pPr>
        <w:pStyle w:val="3-BodyText"/>
        <w:numPr>
          <w:ilvl w:val="2"/>
          <w:numId w:val="7"/>
        </w:numPr>
        <w:ind w:left="993" w:hanging="284"/>
      </w:pPr>
      <w:r w:rsidRPr="00E16BBF">
        <w:t xml:space="preserve">The restriction did not require patients to have prior primary curative treatment </w:t>
      </w:r>
      <w:r w:rsidR="00DC4F15" w:rsidRPr="00E16BBF">
        <w:t xml:space="preserve">(i.e. </w:t>
      </w:r>
      <w:r w:rsidRPr="00E16BBF">
        <w:t>radical prostatectomy</w:t>
      </w:r>
      <w:r w:rsidR="00CB1FF8" w:rsidRPr="00E16BBF">
        <w:t xml:space="preserve"> or</w:t>
      </w:r>
      <w:r w:rsidRPr="00E16BBF">
        <w:t xml:space="preserve"> radiation therapy</w:t>
      </w:r>
      <w:r w:rsidR="00CB1FF8" w:rsidRPr="00E16BBF">
        <w:t xml:space="preserve">) </w:t>
      </w:r>
      <w:bookmarkStart w:id="10" w:name="_Hlk176521323"/>
      <w:r w:rsidR="00CB1FF8" w:rsidRPr="00E16BBF">
        <w:t xml:space="preserve">and may potentially permit </w:t>
      </w:r>
      <w:r w:rsidR="000606CD" w:rsidRPr="00E16BBF">
        <w:t xml:space="preserve">the </w:t>
      </w:r>
      <w:r w:rsidR="00CB1FF8" w:rsidRPr="00E16BBF">
        <w:t>use of enzalutamide in the primary setting</w:t>
      </w:r>
      <w:r w:rsidR="001A6BE2" w:rsidRPr="00E16BBF">
        <w:t xml:space="preserve"> rather than the salvage setting</w:t>
      </w:r>
      <w:r w:rsidR="00CB1FF8" w:rsidRPr="00E16BBF">
        <w:t>. EMBARK investigated the use of enzalutamide in the salvage setting, in patients with m0HSPC at high-risk BCR after definitive therapy</w:t>
      </w:r>
      <w:r w:rsidR="004A0330" w:rsidRPr="00E16BBF">
        <w:t xml:space="preserve"> (radical prostatectomy or radiation therapy)</w:t>
      </w:r>
      <w:r w:rsidR="00CB1FF8" w:rsidRPr="00E16BBF">
        <w:t>.</w:t>
      </w:r>
      <w:bookmarkEnd w:id="10"/>
      <w:r w:rsidR="00FF1F6D" w:rsidRPr="00E16BBF">
        <w:t xml:space="preserve"> The enrolled patients who had prior prostatectomy were also not suitable for salvage radiation therapy. The ESC </w:t>
      </w:r>
      <w:r w:rsidR="00740830">
        <w:t xml:space="preserve">and DUSC </w:t>
      </w:r>
      <w:r w:rsidR="00FF1F6D" w:rsidRPr="00E16BBF">
        <w:t xml:space="preserve">considered that </w:t>
      </w:r>
      <w:r w:rsidR="00FF1F6D" w:rsidRPr="00E16BBF">
        <w:lastRenderedPageBreak/>
        <w:t>criteria should be added to the initial supply restriction requiring that patients must (i) have had a biochemical recurrence after prior local therapy, and (ii) not be candidates for salvage radiotherapy.</w:t>
      </w:r>
    </w:p>
    <w:p w14:paraId="101E474F" w14:textId="4072BC6C" w:rsidR="004A0330" w:rsidRPr="00E16BBF" w:rsidRDefault="004A0330" w:rsidP="00E16BBF">
      <w:pPr>
        <w:pStyle w:val="3-BodyText"/>
        <w:numPr>
          <w:ilvl w:val="2"/>
          <w:numId w:val="7"/>
        </w:numPr>
        <w:ind w:left="993" w:hanging="284"/>
      </w:pPr>
      <w:r w:rsidRPr="00E16BBF">
        <w:t xml:space="preserve">The </w:t>
      </w:r>
      <w:r w:rsidR="00DD6F68" w:rsidRPr="00E16BBF">
        <w:t xml:space="preserve">restriction defined </w:t>
      </w:r>
      <w:r w:rsidR="00EB5CDD" w:rsidRPr="00E16BBF">
        <w:t>‘</w:t>
      </w:r>
      <w:r w:rsidRPr="00E16BBF">
        <w:t>high-risk</w:t>
      </w:r>
      <w:r w:rsidR="00EB5CDD" w:rsidRPr="00E16BBF">
        <w:t>’</w:t>
      </w:r>
      <w:r w:rsidRPr="00E16BBF">
        <w:t xml:space="preserve"> BCR </w:t>
      </w:r>
      <w:r w:rsidR="00DD6F68" w:rsidRPr="00E16BBF">
        <w:t>as</w:t>
      </w:r>
      <w:r w:rsidR="00195577" w:rsidRPr="00E16BBF">
        <w:t xml:space="preserve"> PSADT </w:t>
      </w:r>
      <w:r w:rsidR="00195577" w:rsidRPr="00E16BBF">
        <w:rPr>
          <w:rFonts w:cstheme="minorHAnsi"/>
        </w:rPr>
        <w:t>≤</w:t>
      </w:r>
      <w:r w:rsidR="00195577" w:rsidRPr="00E16BBF">
        <w:t>9 months</w:t>
      </w:r>
      <w:r w:rsidR="00DD6F68" w:rsidRPr="00E16BBF">
        <w:t xml:space="preserve"> only</w:t>
      </w:r>
      <w:r w:rsidRPr="00E16BBF">
        <w:t xml:space="preserve">, whereas </w:t>
      </w:r>
      <w:r w:rsidR="00305E15" w:rsidRPr="00E16BBF">
        <w:t xml:space="preserve">EMBARK defined </w:t>
      </w:r>
      <w:r w:rsidRPr="00E16BBF">
        <w:t xml:space="preserve">high-risk BCR (after definitive therapy) </w:t>
      </w:r>
      <w:r w:rsidR="00305E15" w:rsidRPr="00E16BBF">
        <w:t>based on</w:t>
      </w:r>
      <w:r w:rsidR="00DC4F15" w:rsidRPr="00E16BBF">
        <w:t xml:space="preserve"> PSADT ≤9 months and screening </w:t>
      </w:r>
      <w:r w:rsidR="008926BA">
        <w:t>prostate-specific antigen (</w:t>
      </w:r>
      <w:r w:rsidR="00DC4F15" w:rsidRPr="00E16BBF">
        <w:t>PSA</w:t>
      </w:r>
      <w:r w:rsidR="008926BA">
        <w:t>)</w:t>
      </w:r>
      <w:r w:rsidR="00DC4F15" w:rsidRPr="00E16BBF">
        <w:t xml:space="preserve"> of</w:t>
      </w:r>
      <w:r w:rsidR="000D7635" w:rsidRPr="00E16BBF">
        <w:t xml:space="preserve"> (i)</w:t>
      </w:r>
      <w:r w:rsidR="00DC4F15" w:rsidRPr="00E16BBF">
        <w:t xml:space="preserve"> &gt;1 ng/mL for patients </w:t>
      </w:r>
      <w:r w:rsidR="00305E15" w:rsidRPr="00E16BBF">
        <w:t>with</w:t>
      </w:r>
      <w:r w:rsidR="00DC4F15" w:rsidRPr="00E16BBF">
        <w:t xml:space="preserve"> prior prostatectomy </w:t>
      </w:r>
      <w:r w:rsidR="000D7635" w:rsidRPr="00E16BBF">
        <w:t xml:space="preserve">or (ii) </w:t>
      </w:r>
      <w:r w:rsidR="00DC4F15" w:rsidRPr="00E16BBF">
        <w:t xml:space="preserve">&gt;2 ng/mL above the nadir for patients </w:t>
      </w:r>
      <w:r w:rsidR="00305E15" w:rsidRPr="00E16BBF">
        <w:t>with</w:t>
      </w:r>
      <w:r w:rsidR="00DC4F15" w:rsidRPr="00E16BBF">
        <w:t xml:space="preserve"> prior radiation therapy only. </w:t>
      </w:r>
      <w:r w:rsidR="00FF1F6D" w:rsidRPr="00E16BBF">
        <w:t xml:space="preserve">The ESC </w:t>
      </w:r>
      <w:r w:rsidR="00740830">
        <w:t xml:space="preserve">and DUSC </w:t>
      </w:r>
      <w:r w:rsidR="00FF1F6D" w:rsidRPr="00E16BBF">
        <w:t>considered that the initial supply restriction should align with the EMBARK trial in terms of defining PSA levels.</w:t>
      </w:r>
    </w:p>
    <w:p w14:paraId="274951EC" w14:textId="008F1CFB" w:rsidR="00B702FD" w:rsidRPr="00E16BBF" w:rsidRDefault="00B702FD" w:rsidP="00E16BBF">
      <w:pPr>
        <w:pStyle w:val="3-BodyText"/>
        <w:numPr>
          <w:ilvl w:val="2"/>
          <w:numId w:val="7"/>
        </w:numPr>
        <w:ind w:left="993" w:hanging="284"/>
      </w:pPr>
      <w:r w:rsidRPr="00E16BBF">
        <w:t xml:space="preserve">The restriction did not define the type of imaging </w:t>
      </w:r>
      <w:r w:rsidR="007C564D" w:rsidRPr="00E16BBF">
        <w:t>(</w:t>
      </w:r>
      <w:r w:rsidRPr="00E16BBF">
        <w:t>i.e. conventional or PSMA-PET</w:t>
      </w:r>
      <w:r w:rsidR="007C564D" w:rsidRPr="00E16BBF">
        <w:t>)</w:t>
      </w:r>
      <w:r w:rsidRPr="00E16BBF">
        <w:t xml:space="preserve"> as evidence of no distant metastases in patients initiating treatment</w:t>
      </w:r>
      <w:r w:rsidR="007C564D" w:rsidRPr="00E16BBF">
        <w:t>, or to determine disease progression</w:t>
      </w:r>
      <w:r w:rsidR="00DD6F68" w:rsidRPr="00E16BBF">
        <w:t>, whereas t</w:t>
      </w:r>
      <w:r w:rsidR="007C564D" w:rsidRPr="00E16BBF">
        <w:t xml:space="preserve">he EMBARK trial used conventional imaging </w:t>
      </w:r>
      <w:r w:rsidR="00830934" w:rsidRPr="00E16BBF">
        <w:t>only</w:t>
      </w:r>
      <w:r w:rsidR="006C1A20" w:rsidRPr="00E16BBF">
        <w:t>.</w:t>
      </w:r>
      <w:r w:rsidR="00D85D8E" w:rsidRPr="00E16BBF">
        <w:t xml:space="preserve"> </w:t>
      </w:r>
      <w:r w:rsidR="007C564D" w:rsidRPr="00E16BBF">
        <w:t xml:space="preserve">The PBAC had previously noted the availability of more sensitive screening, such as PSMA-PET scans, has resulted in </w:t>
      </w:r>
      <w:r w:rsidR="00DD6F68" w:rsidRPr="00E16BBF">
        <w:t xml:space="preserve">more </w:t>
      </w:r>
      <w:r w:rsidR="007C564D" w:rsidRPr="00E16BBF">
        <w:t xml:space="preserve">patients being classified as having metastatic disease </w:t>
      </w:r>
      <w:r w:rsidR="00DD6F68" w:rsidRPr="00E16BBF">
        <w:t xml:space="preserve">and </w:t>
      </w:r>
      <w:r w:rsidR="00965304" w:rsidRPr="00E16BBF">
        <w:t>hence</w:t>
      </w:r>
      <w:r w:rsidR="005420F7">
        <w:t>,</w:t>
      </w:r>
      <w:r w:rsidR="00965304" w:rsidRPr="00E16BBF">
        <w:t xml:space="preserve"> being </w:t>
      </w:r>
      <w:r w:rsidR="00DD6F68" w:rsidRPr="00E16BBF">
        <w:t>eligible for NHAs on the PBS</w:t>
      </w:r>
      <w:r w:rsidR="00F66C6D" w:rsidRPr="00E16BBF">
        <w:t xml:space="preserve"> </w:t>
      </w:r>
      <w:r w:rsidR="007C564D" w:rsidRPr="00E16BBF">
        <w:t>(</w:t>
      </w:r>
      <w:r w:rsidR="005420F7">
        <w:t>p</w:t>
      </w:r>
      <w:r w:rsidR="007C564D" w:rsidRPr="00E16BBF">
        <w:t xml:space="preserve">aragraph 5.8 abiraterone </w:t>
      </w:r>
      <w:r w:rsidR="005420F7">
        <w:t xml:space="preserve">and </w:t>
      </w:r>
      <w:r w:rsidR="007C564D" w:rsidRPr="00E16BBF">
        <w:t xml:space="preserve">enzalutamide </w:t>
      </w:r>
      <w:r w:rsidR="00752F77">
        <w:t>PSD</w:t>
      </w:r>
      <w:r w:rsidR="007C564D" w:rsidRPr="00E16BBF">
        <w:t>, March 2021).</w:t>
      </w:r>
      <w:r w:rsidR="00E01EF8" w:rsidRPr="00E16BBF">
        <w:t xml:space="preserve"> Current PBS listing of NHAs (apalutamide, darolutamide and enzalutamide) for m0CRPC include a clinical criteri</w:t>
      </w:r>
      <w:r w:rsidR="00DD4DAE" w:rsidRPr="00E16BBF">
        <w:t>on</w:t>
      </w:r>
      <w:r w:rsidR="00E01EF8" w:rsidRPr="00E16BBF">
        <w:t xml:space="preserve"> specifying </w:t>
      </w:r>
      <w:r w:rsidR="00B01AE3" w:rsidRPr="00E16BBF">
        <w:t>‘</w:t>
      </w:r>
      <w:r w:rsidR="00E01EF8" w:rsidRPr="00E16BBF">
        <w:t>The condition must have evidence of an absence of distant metastases on the most recently performed conventional medical imaging used to evaluate the condition</w:t>
      </w:r>
      <w:r w:rsidR="00B01AE3" w:rsidRPr="00E16BBF">
        <w:t>’</w:t>
      </w:r>
      <w:r w:rsidR="00E01EF8" w:rsidRPr="00E16BBF">
        <w:t>.</w:t>
      </w:r>
      <w:r w:rsidR="00FF1F6D" w:rsidRPr="00E16BBF">
        <w:t xml:space="preserve"> </w:t>
      </w:r>
      <w:r w:rsidR="008476AA">
        <w:t xml:space="preserve">The listings for mHSPC and mCRPC do not specify imaging requirements. </w:t>
      </w:r>
      <w:r w:rsidR="00FF1F6D" w:rsidRPr="00E16BBF">
        <w:t>The ESC considered that it was not necessary to define the type of imaging required.</w:t>
      </w:r>
    </w:p>
    <w:p w14:paraId="4689E5CF" w14:textId="000CAEEF" w:rsidR="00877287" w:rsidRDefault="006C1A20" w:rsidP="00E16BBF">
      <w:pPr>
        <w:pStyle w:val="3-BodyText"/>
        <w:numPr>
          <w:ilvl w:val="2"/>
          <w:numId w:val="7"/>
        </w:numPr>
        <w:ind w:left="993" w:hanging="284"/>
      </w:pPr>
      <w:r w:rsidRPr="00E16BBF">
        <w:t>The restriction did not require patients to undergo treatment suspension if patients responded to treatment</w:t>
      </w:r>
      <w:r w:rsidR="00EB5CDD" w:rsidRPr="00E16BBF">
        <w:t xml:space="preserve">, </w:t>
      </w:r>
      <w:r w:rsidR="00D2208C" w:rsidRPr="00E16BBF">
        <w:t xml:space="preserve">which was </w:t>
      </w:r>
      <w:r w:rsidR="00EB5CDD" w:rsidRPr="00E16BBF">
        <w:t>a key design feature of the EMBARK trial</w:t>
      </w:r>
      <w:r w:rsidRPr="00E16BBF">
        <w:t>.</w:t>
      </w:r>
      <w:r w:rsidR="00967AFD" w:rsidRPr="00E16BBF">
        <w:t xml:space="preserve"> </w:t>
      </w:r>
      <w:bookmarkStart w:id="11" w:name="_Hlk176521805"/>
      <w:r w:rsidR="00C02E32" w:rsidRPr="00E16BBF">
        <w:t xml:space="preserve">The </w:t>
      </w:r>
      <w:r w:rsidR="00FB4F21" w:rsidRPr="00E16BBF">
        <w:t xml:space="preserve">draft product information (PI) stated that treatment ‘can be suspended’ after Week 36 based on similar thresholds, whereas the modelled economic evaluation and financial estimates </w:t>
      </w:r>
      <w:r w:rsidR="00E43D7D" w:rsidRPr="00E16BBF">
        <w:t xml:space="preserve">in the submission </w:t>
      </w:r>
      <w:r w:rsidR="00FB4F21" w:rsidRPr="00E16BBF">
        <w:t xml:space="preserve">assumed </w:t>
      </w:r>
      <w:r w:rsidR="001A6BE2" w:rsidRPr="00E16BBF">
        <w:t>100%</w:t>
      </w:r>
      <w:r w:rsidR="00F62F0C" w:rsidRPr="00E16BBF">
        <w:t xml:space="preserve"> of</w:t>
      </w:r>
      <w:r w:rsidR="001A6BE2" w:rsidRPr="00E16BBF">
        <w:t xml:space="preserve"> </w:t>
      </w:r>
      <w:r w:rsidR="00FB4F21" w:rsidRPr="00E16BBF">
        <w:t xml:space="preserve">patients </w:t>
      </w:r>
      <w:r w:rsidR="00F62F0C" w:rsidRPr="00E16BBF">
        <w:t>with undetectable PSA levels</w:t>
      </w:r>
      <w:r w:rsidR="00FB4F21" w:rsidRPr="00E16BBF">
        <w:t xml:space="preserve"> at Week 36 would </w:t>
      </w:r>
      <w:r w:rsidR="00F62F0C" w:rsidRPr="00E16BBF">
        <w:t xml:space="preserve">suspend </w:t>
      </w:r>
      <w:r w:rsidR="00FB4F21" w:rsidRPr="00E16BBF">
        <w:t xml:space="preserve">their treatment </w:t>
      </w:r>
      <w:r w:rsidR="00E43D7D" w:rsidRPr="00E16BBF">
        <w:t>based on EMBARK</w:t>
      </w:r>
      <w:r w:rsidR="00FB4F21" w:rsidRPr="00E16BBF">
        <w:t>.</w:t>
      </w:r>
      <w:bookmarkEnd w:id="11"/>
      <w:r w:rsidR="00FF1F6D" w:rsidRPr="00E16BBF">
        <w:t xml:space="preserve"> The ESC</w:t>
      </w:r>
      <w:r w:rsidR="00740830">
        <w:t xml:space="preserve"> and DUSC</w:t>
      </w:r>
      <w:r w:rsidR="00FF1F6D" w:rsidRPr="00E16BBF">
        <w:t xml:space="preserve"> considered that treatment should be suspended if PSA levels became undetectable </w:t>
      </w:r>
      <w:r w:rsidR="00D53252" w:rsidRPr="00E16BBF">
        <w:t xml:space="preserve">from </w:t>
      </w:r>
      <w:r w:rsidR="00FF1F6D" w:rsidRPr="00E16BBF">
        <w:t>Week 36 and that instructions regarding suspension and re-initiation of treatment should be included in the restrictions.</w:t>
      </w:r>
    </w:p>
    <w:p w14:paraId="0DE2A37E" w14:textId="02A9C381" w:rsidR="00E16BBF" w:rsidRPr="00E16BBF" w:rsidRDefault="00E16BBF" w:rsidP="00740830">
      <w:pPr>
        <w:pStyle w:val="3-BodyText"/>
        <w:numPr>
          <w:ilvl w:val="0"/>
          <w:numId w:val="0"/>
        </w:numPr>
        <w:ind w:left="720"/>
        <w:rPr>
          <w:lang w:val="en-US"/>
        </w:rPr>
      </w:pPr>
      <w:r w:rsidRPr="00E16BBF">
        <w:rPr>
          <w:i/>
          <w:iCs/>
        </w:rPr>
        <w:t>For more detail on PBAC’s view, see section 7 PBAC outcome.</w:t>
      </w:r>
    </w:p>
    <w:p w14:paraId="7075B85C" w14:textId="62A47B7B" w:rsidR="00B50DB8" w:rsidRPr="0098262F" w:rsidDel="00195452" w:rsidRDefault="00203181" w:rsidP="004E18E9">
      <w:pPr>
        <w:pStyle w:val="2-SectionHeading"/>
      </w:pPr>
      <w:bookmarkStart w:id="12" w:name="_Toc177371541"/>
      <w:r w:rsidRPr="0098262F" w:rsidDel="00195452">
        <w:t xml:space="preserve">Population and </w:t>
      </w:r>
      <w:r w:rsidR="008E0D3C" w:rsidRPr="0098262F" w:rsidDel="00195452">
        <w:t>d</w:t>
      </w:r>
      <w:r w:rsidRPr="0098262F" w:rsidDel="00195452">
        <w:t>isease</w:t>
      </w:r>
      <w:bookmarkEnd w:id="12"/>
    </w:p>
    <w:p w14:paraId="7B85119B" w14:textId="0274AE56" w:rsidR="0066242A" w:rsidRPr="00B63CD0" w:rsidRDefault="003F4DAE" w:rsidP="0066242A">
      <w:pPr>
        <w:pStyle w:val="3-BodyText"/>
      </w:pPr>
      <w:r w:rsidRPr="00B63CD0">
        <w:t xml:space="preserve">m0HSPC describes an early stage of prostate cancer, characterised by localised disease with no evidence of distant spread (i.e. no metastasis, m0), and has either not yet been treated with ADT or is sensitive/responds to hormone-targeting treatments such as ADT. After primary curative treatment of radical prostatectomy or radiation therapy with or without ADT, patients have a risk of disease recurrence and progression. Patients may experience disease progression where the cancer metastasises but remains responsive to hormonal therapy (i.e. mHSPC) or where the cancer may not </w:t>
      </w:r>
      <w:r w:rsidRPr="00B63CD0">
        <w:lastRenderedPageBreak/>
        <w:t>have metastasised but becomes resistant to hormonal therapy (i.e. m0CRPC). Patients can further progress to mCRPC, when the cancer has metastasised and become resistant to ADT, which is associated with worse prognosis, quality of life and mortality risk. The goal of treatment is to delay progression to mCRPC to prolong survival and improve quality of life.</w:t>
      </w:r>
    </w:p>
    <w:p w14:paraId="00F8ED1D" w14:textId="36FB1F64" w:rsidR="001A24DE" w:rsidRPr="00B63CD0" w:rsidRDefault="003F4DAE" w:rsidP="00F96920">
      <w:pPr>
        <w:pStyle w:val="3-BodyText"/>
      </w:pPr>
      <w:r w:rsidRPr="00B63CD0">
        <w:t>BCR following primary curative treatment for m0HSPC is defined by rising PSA without signs or evidence of metastatic disease, occurring in 27-53% of patients within 10</w:t>
      </w:r>
      <w:r w:rsidR="00E071A7">
        <w:t> </w:t>
      </w:r>
      <w:r w:rsidRPr="00B63CD0">
        <w:t>years of treatment (Van den Broeck 2020</w:t>
      </w:r>
      <w:r w:rsidRPr="00B63CD0">
        <w:rPr>
          <w:rStyle w:val="FootnoteReference"/>
        </w:rPr>
        <w:footnoteReference w:id="3"/>
      </w:r>
      <w:r w:rsidRPr="00B63CD0">
        <w:t>, Shore 2023</w:t>
      </w:r>
      <w:r w:rsidRPr="00B63CD0">
        <w:rPr>
          <w:rStyle w:val="FootnoteReference"/>
        </w:rPr>
        <w:footnoteReference w:id="4"/>
      </w:r>
      <w:r w:rsidRPr="00B63CD0">
        <w:t>). While BCR is associated with increased risk of developing distant metastases and death, this relationship also depends on other factors including disease stage, PSADT and interval to biochemical or PSA failure (EAU-EANM-ESTRO-ESUR-ISUP-SIOG 2024</w:t>
      </w:r>
      <w:r w:rsidRPr="00B63CD0">
        <w:rPr>
          <w:rStyle w:val="FootnoteReference"/>
        </w:rPr>
        <w:footnoteReference w:id="5"/>
      </w:r>
      <w:r w:rsidRPr="00B63CD0">
        <w:t xml:space="preserve">). The definition of ‘high risk’ BCR, in terms of PSADT and PSA thresholds, also differs across the guidelines and clinical trials. The EMBARK trial used </w:t>
      </w:r>
      <w:r w:rsidR="005420F7">
        <w:t>the following</w:t>
      </w:r>
      <w:r w:rsidRPr="00B63CD0">
        <w:t xml:space="preserve"> definition for high-risk BCR</w:t>
      </w:r>
      <w:r w:rsidR="005420F7">
        <w:t xml:space="preserve">: </w:t>
      </w:r>
      <w:r w:rsidRPr="00B63CD0">
        <w:t xml:space="preserve">PSADT </w:t>
      </w:r>
      <w:r w:rsidRPr="00B63CD0">
        <w:rPr>
          <w:rFonts w:cs="Calibri"/>
        </w:rPr>
        <w:t>≤</w:t>
      </w:r>
      <w:r w:rsidRPr="00B63CD0">
        <w:t xml:space="preserve">9 months and screening PSA </w:t>
      </w:r>
      <w:r w:rsidRPr="00B63CD0">
        <w:rPr>
          <w:rFonts w:cs="Calibri"/>
        </w:rPr>
        <w:t>≥</w:t>
      </w:r>
      <w:r w:rsidRPr="00B63CD0">
        <w:t xml:space="preserve">1 ng/mL for patients who had prior prostatectomy with/without postoperative radiotherapy and </w:t>
      </w:r>
      <w:r w:rsidRPr="00B63CD0">
        <w:rPr>
          <w:rFonts w:cs="Calibri"/>
        </w:rPr>
        <w:t>≥</w:t>
      </w:r>
      <w:r w:rsidRPr="00B63CD0">
        <w:t>2 ng/mL above nadir for those who had prior radiotherapy only.</w:t>
      </w:r>
    </w:p>
    <w:p w14:paraId="5A1D6F69" w14:textId="30C07710" w:rsidR="00BF6800" w:rsidRPr="00B63CD0" w:rsidRDefault="003F4DAE" w:rsidP="004E18E9">
      <w:pPr>
        <w:pStyle w:val="3-BodyText"/>
      </w:pPr>
      <w:r w:rsidRPr="00B63CD0">
        <w:t>In the absence of Australian guidelines, international guidelines include the ASCO 2021 and 2023, AUA/SUO 2023, EAU-EANM-ESTRO-ESUR-ISUP-SIOG 2024, ESMO 2020 and NCCN 2024. These guidelines generally recommend that following primary curative treatment, patients with m0HSPC and BCR undergo observation or salvage therapy (salvage radiotherapy is the standard approach). Concurrent ADT and radiation therapy may be offered as clinical evidence have shown it improves survival. However, there are some differences across the guidelines in the approach to treatment, including (but not limited to):</w:t>
      </w:r>
    </w:p>
    <w:p w14:paraId="578FEAEA" w14:textId="1BE00647" w:rsidR="00BF6800" w:rsidRPr="00B63CD0" w:rsidRDefault="002D2ED8" w:rsidP="00E16BBF">
      <w:pPr>
        <w:pStyle w:val="3-BodyText"/>
        <w:numPr>
          <w:ilvl w:val="2"/>
          <w:numId w:val="7"/>
        </w:numPr>
        <w:ind w:left="993" w:hanging="284"/>
        <w:rPr>
          <w:iCs/>
        </w:rPr>
      </w:pPr>
      <w:r w:rsidRPr="00B63CD0">
        <w:rPr>
          <w:iCs/>
        </w:rPr>
        <w:t>The AUA/SUO 2023 guidance for patients who have BCR without metastatic disease include observation, enrolment in clinical trial or intermittent ADT.</w:t>
      </w:r>
    </w:p>
    <w:p w14:paraId="668E1868" w14:textId="7C5D9FA4" w:rsidR="00BF6800" w:rsidRPr="00B63CD0" w:rsidRDefault="002D2ED8" w:rsidP="00E16BBF">
      <w:pPr>
        <w:pStyle w:val="3-BodyText"/>
        <w:numPr>
          <w:ilvl w:val="2"/>
          <w:numId w:val="7"/>
        </w:numPr>
        <w:ind w:left="993" w:hanging="284"/>
        <w:rPr>
          <w:iCs/>
        </w:rPr>
      </w:pPr>
      <w:r w:rsidRPr="00B63CD0">
        <w:rPr>
          <w:iCs/>
        </w:rPr>
        <w:t>The updated NCCN 2024 guideline incorporated the results of EMBARK and while it was supportive</w:t>
      </w:r>
      <w:r w:rsidR="00BF6800" w:rsidRPr="00B63CD0">
        <w:rPr>
          <w:iCs/>
        </w:rPr>
        <w:t xml:space="preserve"> of</w:t>
      </w:r>
      <w:r w:rsidRPr="00B63CD0">
        <w:rPr>
          <w:iCs/>
        </w:rPr>
        <w:t xml:space="preserve"> hormonal therapy</w:t>
      </w:r>
      <w:r w:rsidR="00106700" w:rsidRPr="00B63CD0">
        <w:rPr>
          <w:iCs/>
        </w:rPr>
        <w:t>,</w:t>
      </w:r>
      <w:r w:rsidRPr="00B63CD0">
        <w:rPr>
          <w:iCs/>
        </w:rPr>
        <w:t xml:space="preserve"> including ADT alone or in certain circumstances</w:t>
      </w:r>
      <w:r w:rsidR="00106700" w:rsidRPr="00B63CD0">
        <w:rPr>
          <w:iCs/>
        </w:rPr>
        <w:t>,</w:t>
      </w:r>
      <w:r w:rsidRPr="00B63CD0">
        <w:rPr>
          <w:iCs/>
        </w:rPr>
        <w:t xml:space="preserve"> enzalutamide with or without leuprorelin (i.e. for patients who met the high-risk criteria of EMBARK), the preferred approach for patients with m0HSPC </w:t>
      </w:r>
      <w:r w:rsidR="00A7740A" w:rsidRPr="00B63CD0">
        <w:rPr>
          <w:iCs/>
        </w:rPr>
        <w:t xml:space="preserve">after primary curative treatment </w:t>
      </w:r>
      <w:r w:rsidRPr="00B63CD0">
        <w:rPr>
          <w:iCs/>
        </w:rPr>
        <w:t xml:space="preserve">is monitoring until metastases are detected. For patients with m0HPSC and PSA recurrence after primary treatment, ADT options may be given as orchiectomy, LHRH analogues </w:t>
      </w:r>
      <w:r w:rsidR="00A7740A" w:rsidRPr="00B63CD0">
        <w:rPr>
          <w:iCs/>
        </w:rPr>
        <w:t xml:space="preserve">alone </w:t>
      </w:r>
      <w:r w:rsidR="00616445" w:rsidRPr="00B63CD0">
        <w:rPr>
          <w:iCs/>
        </w:rPr>
        <w:t xml:space="preserve">(or in combination with first-generation antiandrogen) </w:t>
      </w:r>
      <w:r w:rsidRPr="00B63CD0">
        <w:rPr>
          <w:iCs/>
        </w:rPr>
        <w:t>or as adjuvant to salvage radiotherapy.</w:t>
      </w:r>
    </w:p>
    <w:p w14:paraId="766D41D6" w14:textId="07321223" w:rsidR="002D2ED8" w:rsidRPr="00B63CD0" w:rsidRDefault="002D2ED8" w:rsidP="00E16BBF">
      <w:pPr>
        <w:pStyle w:val="3-BodyText"/>
        <w:numPr>
          <w:ilvl w:val="2"/>
          <w:numId w:val="7"/>
        </w:numPr>
        <w:ind w:left="993" w:hanging="284"/>
        <w:rPr>
          <w:iCs/>
        </w:rPr>
      </w:pPr>
      <w:r w:rsidRPr="00B63CD0">
        <w:rPr>
          <w:iCs/>
        </w:rPr>
        <w:lastRenderedPageBreak/>
        <w:t>The recent EAU-EANM-ESTRO-ESUR-ISUP-SIOG 2024 guideline recommended that after primary curative treatment</w:t>
      </w:r>
      <w:r w:rsidR="0013712F" w:rsidRPr="00B63CD0">
        <w:rPr>
          <w:iCs/>
        </w:rPr>
        <w:t>,</w:t>
      </w:r>
      <w:r w:rsidRPr="00B63CD0">
        <w:rPr>
          <w:iCs/>
        </w:rPr>
        <w:t xml:space="preserve"> the second-line therapy with local salvage treatment includ</w:t>
      </w:r>
      <w:r w:rsidR="003D6263" w:rsidRPr="00B63CD0">
        <w:rPr>
          <w:iCs/>
        </w:rPr>
        <w:t>ed</w:t>
      </w:r>
      <w:r w:rsidRPr="00B63CD0">
        <w:rPr>
          <w:iCs/>
        </w:rPr>
        <w:t xml:space="preserve"> salvage radical prostatectomy, salvage radiotherapy or systemic salvage treatment. Systemic salvage treatment includes either ADT (if patients have rapid PSADT </w:t>
      </w:r>
      <w:r w:rsidRPr="00B63CD0">
        <w:rPr>
          <w:rFonts w:cs="Calibri"/>
          <w:iCs/>
        </w:rPr>
        <w:t>≤</w:t>
      </w:r>
      <w:r w:rsidRPr="00B63CD0">
        <w:rPr>
          <w:iCs/>
        </w:rPr>
        <w:t xml:space="preserve">12 months) or enzalutamide with or without ADT. For non-metastatic patients with high-risk BCR (PSADT </w:t>
      </w:r>
      <w:r w:rsidRPr="00B63CD0">
        <w:rPr>
          <w:rFonts w:cs="Calibri"/>
          <w:iCs/>
        </w:rPr>
        <w:t>≤</w:t>
      </w:r>
      <w:r w:rsidRPr="00B63CD0">
        <w:rPr>
          <w:iCs/>
        </w:rPr>
        <w:t>9 months), enzalutamide with or without ADT is recommended after primary curative treatment with radiation therapy (PSA level ≥2ng/ml above nadir) or after radical prostatectomy (PSA ≥1</w:t>
      </w:r>
      <w:r w:rsidR="00F84F46">
        <w:rPr>
          <w:iCs/>
        </w:rPr>
        <w:t> </w:t>
      </w:r>
      <w:r w:rsidRPr="00B63CD0">
        <w:rPr>
          <w:iCs/>
        </w:rPr>
        <w:t>ng/ml) with or without postoperative radiation therapy, based on the EMBARK trial.</w:t>
      </w:r>
    </w:p>
    <w:p w14:paraId="1A0C9650" w14:textId="39B5CBA9" w:rsidR="003F4DAE" w:rsidRPr="00B63CD0" w:rsidRDefault="003F4DAE" w:rsidP="003F4DAE">
      <w:pPr>
        <w:pStyle w:val="3-BodyText"/>
        <w:rPr>
          <w:iCs/>
        </w:rPr>
      </w:pPr>
      <w:r w:rsidRPr="00B63CD0">
        <w:rPr>
          <w:iCs/>
        </w:rPr>
        <w:t xml:space="preserve">The clinical management algorithm presented in the submission indicated that patients with ‘intermediate to high risk’ m0HSPC are treated with primary definitive treatment (prostatectomy, radiation therapy, hormone therapy (ADT) or a combination of these), and patients with evidence of BCR would subsequently receive either orchiectomy (surgical ADT), an LHRH analogue (medical ADT), or both. The submission proposed the inclusion of combination enzalutamide plus ADT and enzalutamide monotherapy as alternative treatment options in patients who have m0HSPC and BCR (PSADT </w:t>
      </w:r>
      <w:r w:rsidRPr="00B63CD0">
        <w:rPr>
          <w:rFonts w:cs="Calibri"/>
          <w:iCs/>
        </w:rPr>
        <w:t>≤</w:t>
      </w:r>
      <w:r w:rsidRPr="00B63CD0">
        <w:rPr>
          <w:iCs/>
        </w:rPr>
        <w:t>9 months). The algorithm also indicated that use of enzalutamide for m0HSPC would preclude subsequent use of NHAs. The submission’s clinical management algorithm was simplistic and did not consider:</w:t>
      </w:r>
    </w:p>
    <w:p w14:paraId="6FEF411E" w14:textId="61DAD56C" w:rsidR="003F4DAE" w:rsidRPr="00B63CD0" w:rsidRDefault="003F4DAE" w:rsidP="00E16BBF">
      <w:pPr>
        <w:pStyle w:val="3-BodyText"/>
        <w:numPr>
          <w:ilvl w:val="2"/>
          <w:numId w:val="7"/>
        </w:numPr>
        <w:ind w:left="993" w:hanging="284"/>
        <w:rPr>
          <w:iCs/>
        </w:rPr>
      </w:pPr>
      <w:r w:rsidRPr="00B63CD0">
        <w:rPr>
          <w:iCs/>
        </w:rPr>
        <w:t>Curative salvage therapy (e.g. prostatectomy or radiation therapy) as alternate second-line therapy to ADT. Refer to paragraphs above. While EMBARK excluded patients eligible for salvage radiation therapy, in practice there are rarely patients who are poor candidates for salvage radiation therapy (Einstein 2024</w:t>
      </w:r>
      <w:r w:rsidRPr="00B63CD0">
        <w:rPr>
          <w:rStyle w:val="FootnoteReference"/>
          <w:iCs/>
        </w:rPr>
        <w:footnoteReference w:id="6"/>
      </w:r>
      <w:r w:rsidRPr="00B63CD0">
        <w:rPr>
          <w:iCs/>
        </w:rPr>
        <w:t>).</w:t>
      </w:r>
    </w:p>
    <w:p w14:paraId="48A215BB" w14:textId="603CEE2C" w:rsidR="003F4DAE" w:rsidRPr="00B63CD0" w:rsidRDefault="003F4DAE" w:rsidP="00E16BBF">
      <w:pPr>
        <w:pStyle w:val="3-BodyText"/>
        <w:numPr>
          <w:ilvl w:val="2"/>
          <w:numId w:val="7"/>
        </w:numPr>
        <w:ind w:left="993" w:hanging="284"/>
        <w:rPr>
          <w:iCs/>
        </w:rPr>
      </w:pPr>
      <w:r w:rsidRPr="00B63CD0">
        <w:rPr>
          <w:iCs/>
        </w:rPr>
        <w:t xml:space="preserve">Differences in the population who would receive enzalutamide monotherapy from combination enzalutamide plus ADT treatment. </w:t>
      </w:r>
    </w:p>
    <w:p w14:paraId="0042CBD9" w14:textId="0D288E43" w:rsidR="00D85D8E" w:rsidRPr="00B63CD0" w:rsidRDefault="003F4DAE" w:rsidP="00E16BBF">
      <w:pPr>
        <w:pStyle w:val="3-BodyText"/>
        <w:numPr>
          <w:ilvl w:val="2"/>
          <w:numId w:val="7"/>
        </w:numPr>
        <w:ind w:left="993" w:hanging="284"/>
        <w:rPr>
          <w:iCs/>
        </w:rPr>
      </w:pPr>
      <w:r w:rsidRPr="00B63CD0">
        <w:rPr>
          <w:iCs/>
        </w:rPr>
        <w:t>Treatment monitoring and treatment suspension/resumption for patients receiving enzalutamide with or without ADT. Refer to Requested listing.</w:t>
      </w:r>
    </w:p>
    <w:p w14:paraId="6A244DDC" w14:textId="5E89A25C" w:rsidR="00444A3F" w:rsidRPr="00B63CD0" w:rsidRDefault="003F4DAE" w:rsidP="004E18E9">
      <w:pPr>
        <w:pStyle w:val="3-BodyText"/>
        <w:rPr>
          <w:iCs/>
        </w:rPr>
      </w:pPr>
      <w:r w:rsidRPr="00B63CD0">
        <w:rPr>
          <w:iCs/>
        </w:rPr>
        <w:t xml:space="preserve">In practice, PSMA-PET is increasingly being used, which allows for earlier detection of disease leading to stage migration and changes in treatment plans. For example, patients on conventional imaging staged without spread to lymph nodes or other tissues may be re-staged with nodal involvement or metastatic disease. In patients with BCR, PSMA-PET can often detect recurrence (often outside the prostate bed) at a lower PSA level. As such, potentially, a smaller number of patients would be defined as having a truly isolated BCR after definitive local therapy. The EAU-EANM-ESTRO-ESUR-ISUP-SIOG 2024 guidelines recommend PSMA-PET imaging for patients with recurrence after primary treatment with prostatectomy (if PSA &gt;0.2 ng/mL and if the </w:t>
      </w:r>
      <w:r w:rsidRPr="00B63CD0">
        <w:rPr>
          <w:iCs/>
        </w:rPr>
        <w:lastRenderedPageBreak/>
        <w:t>result will change subsequent treatment decisions) or after radiotherapy (in patients fit for curative salvage treatment).</w:t>
      </w:r>
    </w:p>
    <w:p w14:paraId="4C9DB1BB" w14:textId="59E762F5" w:rsidR="00E16BBF" w:rsidRDefault="00444A3F" w:rsidP="00E16BBF">
      <w:pPr>
        <w:pStyle w:val="3-BodyText"/>
        <w:rPr>
          <w:iCs/>
        </w:rPr>
      </w:pPr>
      <w:r w:rsidRPr="00B63CD0">
        <w:rPr>
          <w:iCs/>
        </w:rPr>
        <w:t xml:space="preserve">If recommended, the PBS listing of enzalutamide for m0HSPC would have the effect of shifting NHA earlier in the treatment pathway with limited treatment options </w:t>
      </w:r>
      <w:r w:rsidR="008D39F2" w:rsidRPr="00B63CD0">
        <w:rPr>
          <w:iCs/>
        </w:rPr>
        <w:t>in later settings</w:t>
      </w:r>
      <w:r w:rsidRPr="00B63CD0">
        <w:rPr>
          <w:iCs/>
        </w:rPr>
        <w:t>. While long-term outcomes may be better for early use of enzalutamide treatment in patients with a PSA-only recurrence, this may reflect the natural history of the disease, considering that high-risk BCR patients are potentially curable (Giunta 2024</w:t>
      </w:r>
      <w:r w:rsidRPr="00B63CD0">
        <w:rPr>
          <w:rStyle w:val="FootnoteReference"/>
          <w:iCs/>
        </w:rPr>
        <w:footnoteReference w:id="7"/>
      </w:r>
      <w:r w:rsidRPr="00B63CD0">
        <w:rPr>
          <w:iCs/>
        </w:rPr>
        <w:t xml:space="preserve">). </w:t>
      </w:r>
      <w:r w:rsidR="008B066A" w:rsidRPr="00B63CD0">
        <w:rPr>
          <w:iCs/>
        </w:rPr>
        <w:t xml:space="preserve">Further, when faced with a patient with BCR and a relatively fast PSADT, EMBARK still does not answer the fundamental question of whether to recommend starting treatment, a question that could have been answered with a fourth arm involving a surveillance strategy and ADT </w:t>
      </w:r>
      <w:r w:rsidR="005420F7">
        <w:rPr>
          <w:iCs/>
        </w:rPr>
        <w:t xml:space="preserve">plus </w:t>
      </w:r>
      <w:r w:rsidR="008B066A" w:rsidRPr="00B63CD0">
        <w:rPr>
          <w:iCs/>
        </w:rPr>
        <w:t>enzalutamide at the time of metastases (Einstein 2024)</w:t>
      </w:r>
      <w:r w:rsidR="006D513E" w:rsidRPr="00B63CD0">
        <w:rPr>
          <w:iCs/>
        </w:rPr>
        <w:t>.</w:t>
      </w:r>
    </w:p>
    <w:p w14:paraId="5A1803B1" w14:textId="1925752A" w:rsidR="00E16BBF" w:rsidRPr="00E16BBF" w:rsidRDefault="003F4DAE" w:rsidP="00E16BBF">
      <w:pPr>
        <w:pStyle w:val="3-BodyText"/>
        <w:rPr>
          <w:iCs/>
        </w:rPr>
      </w:pPr>
      <w:r w:rsidRPr="00E16BBF">
        <w:rPr>
          <w:iCs/>
        </w:rPr>
        <w:t xml:space="preserve">Treatment approaches for prostate cancer are continually evolving, with several trials investigating NHA use in earlier-stage non-metastatic prostate cancer. </w:t>
      </w:r>
      <w:r w:rsidR="00FF1F6D" w:rsidRPr="00E16BBF">
        <w:rPr>
          <w:iCs/>
        </w:rPr>
        <w:t>A</w:t>
      </w:r>
      <w:r w:rsidRPr="00E16BBF">
        <w:rPr>
          <w:iCs/>
        </w:rPr>
        <w:t xml:space="preserve"> recent systematic review by Shelan 2024 identified a number of studies exploring the use of enzalutamide in the primary setting as an alternate, in combination or neoadjuvant to curative treatment approach. There are also ongoing trials in patients with high-risk, localised or locally advanced prostate cancer without metastases (m0) that are evaluating treatment with adjuvant apalutamide after prostatectomy (ADAM, NCT04295447), apalutamide plus ADT prior to prostatectomy (PROTEUS, NCT03767244), apalutamide plus ADT added to radiotherapy (ATLAS, NCT02531516), as well as surgery with or without darolutamide (SUGAR, NCT05826509).</w:t>
      </w:r>
      <w:r w:rsidR="00E16BBF" w:rsidRPr="00E16BBF">
        <w:rPr>
          <w:iCs/>
        </w:rPr>
        <w:t xml:space="preserve"> </w:t>
      </w:r>
    </w:p>
    <w:p w14:paraId="55E6454B" w14:textId="48AE6B25" w:rsidR="00444A3F" w:rsidRPr="00E16BBF" w:rsidRDefault="00E16BBF" w:rsidP="00E16BBF">
      <w:pPr>
        <w:pStyle w:val="3-BodyText"/>
        <w:numPr>
          <w:ilvl w:val="0"/>
          <w:numId w:val="0"/>
        </w:numPr>
        <w:ind w:left="720"/>
        <w:rPr>
          <w:i/>
          <w:iCs/>
        </w:rPr>
      </w:pPr>
      <w:r w:rsidRPr="00E16BBF">
        <w:rPr>
          <w:i/>
          <w:iCs/>
        </w:rPr>
        <w:t>For more detail on PBAC’s view, see section 7 PBAC outcome.</w:t>
      </w:r>
    </w:p>
    <w:p w14:paraId="51E5AE96" w14:textId="136A63B1" w:rsidR="00B50DB8" w:rsidRPr="0098262F" w:rsidRDefault="00B50DB8" w:rsidP="004E18E9">
      <w:pPr>
        <w:pStyle w:val="2-SectionHeading"/>
      </w:pPr>
      <w:bookmarkStart w:id="13" w:name="_Toc177371542"/>
      <w:r w:rsidRPr="0098262F">
        <w:t>Comparator</w:t>
      </w:r>
      <w:bookmarkEnd w:id="13"/>
    </w:p>
    <w:p w14:paraId="6E3ACC9D" w14:textId="032850E0" w:rsidR="00AC770F" w:rsidRPr="00E16BBF" w:rsidRDefault="00AC770F" w:rsidP="00882E3C">
      <w:pPr>
        <w:pStyle w:val="3-BodyText"/>
      </w:pPr>
      <w:r w:rsidRPr="00E16BBF">
        <w:t>The submission nominated ADT alone (referred to as placebo plus ADT in the clinical trial) as the main comparator for enzalutamide plus ADT and enzalutamide monotherapy. ADT comprised of either surgical ADT</w:t>
      </w:r>
      <w:r w:rsidR="005420F7">
        <w:t>,</w:t>
      </w:r>
      <w:r w:rsidRPr="00E16BBF">
        <w:t xml:space="preserve"> i.e. orchiectomy</w:t>
      </w:r>
      <w:r w:rsidR="005420F7">
        <w:t>,</w:t>
      </w:r>
      <w:r w:rsidRPr="00E16BBF">
        <w:t xml:space="preserve"> or LHRH agonist or antagonist.</w:t>
      </w:r>
    </w:p>
    <w:p w14:paraId="076583F3" w14:textId="3AE770FD" w:rsidR="00AC770F" w:rsidRPr="00E16BBF" w:rsidRDefault="007D54B3" w:rsidP="00882E3C">
      <w:pPr>
        <w:pStyle w:val="3-BodyText"/>
      </w:pPr>
      <w:r w:rsidRPr="00E16BBF">
        <w:t xml:space="preserve">The </w:t>
      </w:r>
      <w:r w:rsidR="00FF1F6D" w:rsidRPr="00E16BBF">
        <w:t xml:space="preserve">ESC considered that the </w:t>
      </w:r>
      <w:r w:rsidRPr="00E16BBF">
        <w:t>nomination of placebo plus ADT alone as comparator was appropriate for the main comparison with enzalutamide plus ADT, where enzalutamide would be used in addition to ADT. ADT is generally recommended as initial hormonal treatment of advanced, recurrent or metastatic HSPC including patients with high-risk BCR after definitive therapy (EAU-EANM-ESTRO-ESUR-ISUP-SIOG 2024). The submission indicated that enzalutamide plus ADT is expected to be used for most patients in clinical practice.</w:t>
      </w:r>
    </w:p>
    <w:p w14:paraId="27D34243" w14:textId="77777777" w:rsidR="00E16BBF" w:rsidRDefault="007D54B3" w:rsidP="00E16BBF">
      <w:pPr>
        <w:pStyle w:val="3-BodyText"/>
      </w:pPr>
      <w:r w:rsidRPr="00E16BBF">
        <w:lastRenderedPageBreak/>
        <w:t>In contrast, the nomination of ADT alone</w:t>
      </w:r>
      <w:r w:rsidR="000606CD" w:rsidRPr="00E16BBF">
        <w:t xml:space="preserve"> as a comparator to</w:t>
      </w:r>
      <w:r w:rsidRPr="00E16BBF">
        <w:t xml:space="preserve"> enzalutamide monotherapy requires consideration. The submission stated that enzalutamide monotherapy provides a cost-effective option for a small proportion of patients intolerant or contraindicated to ADT. It </w:t>
      </w:r>
      <w:r w:rsidR="00716299" w:rsidRPr="00E16BBF">
        <w:t xml:space="preserve">was </w:t>
      </w:r>
      <w:r w:rsidRPr="00E16BBF">
        <w:t xml:space="preserve">unclear the proportion of patients with m0HSPC and high-risk BCR, who would be intolerant or contraindicated to ADT and would require enzalutamide monotherapy. </w:t>
      </w:r>
      <w:r w:rsidR="00FF1F6D" w:rsidRPr="00E16BBF">
        <w:t xml:space="preserve">The PSCR clarified that enzalutamide monotherapy was positioned in the submission as an alternative to enzalutamide + ADT. </w:t>
      </w:r>
      <w:r w:rsidRPr="00E16BBF">
        <w:t>The guidelines also do not provide explicit guidance for patients with intolerance to ADT</w:t>
      </w:r>
      <w:r w:rsidR="00112DC5" w:rsidRPr="00E16BBF">
        <w:t>. S</w:t>
      </w:r>
      <w:r w:rsidRPr="00E16BBF">
        <w:t>uch patients likely receive ‘no treatment’ (i.e. observation), salvage therapy or orchiectomy (i.e. surgical ADT), assuming the intolerance or contraindication to ADT pertain</w:t>
      </w:r>
      <w:r w:rsidR="00112DC5" w:rsidRPr="00E16BBF">
        <w:t xml:space="preserve"> </w:t>
      </w:r>
      <w:r w:rsidRPr="00E16BBF">
        <w:t xml:space="preserve">to LHRH analogues only (i.e. medical ADT). </w:t>
      </w:r>
      <w:r w:rsidR="00716299" w:rsidRPr="00E16BBF">
        <w:t>T</w:t>
      </w:r>
      <w:r w:rsidRPr="00E16BBF">
        <w:t>he treatment effect or cost-effectiveness in patients who are intolerant or contraindicated to ADT</w:t>
      </w:r>
      <w:r w:rsidR="00716299" w:rsidRPr="00E16BBF">
        <w:t xml:space="preserve"> was unknown</w:t>
      </w:r>
      <w:r w:rsidRPr="00E16BBF">
        <w:t>. EMBARK excluded patients who have contraindication</w:t>
      </w:r>
      <w:r w:rsidR="00112DC5" w:rsidRPr="00E16BBF">
        <w:t>s</w:t>
      </w:r>
      <w:r w:rsidRPr="00E16BBF">
        <w:t xml:space="preserve"> to LHRH analogues as ADT (e.g. </w:t>
      </w:r>
      <w:r w:rsidR="002A7850" w:rsidRPr="00E16BBF">
        <w:t>leuprorelin</w:t>
      </w:r>
      <w:r w:rsidRPr="00E16BBF">
        <w:t>) and a comparison versus ‘no treatment’ (i.e. no ADT) was not considered in the modelled economic evaluation.</w:t>
      </w:r>
      <w:r w:rsidR="00687AFF" w:rsidRPr="00E16BBF">
        <w:t xml:space="preserve"> The PSCR stated that patients with m0HSPC and high risk BCR would have already been under observation, had salvage radiotherapy or orchiectomy. </w:t>
      </w:r>
      <w:r w:rsidR="00FF1F6D" w:rsidRPr="00E16BBF">
        <w:t>However, the ESC, noting that the clinical and economic evidence suggested that enzalutamide + ADT was the preferred treatment strategy, considered that enzalutamide should be given in combination with ADT.</w:t>
      </w:r>
    </w:p>
    <w:p w14:paraId="599BC96A" w14:textId="4473C181" w:rsidR="00E16BBF" w:rsidRDefault="007D54B3" w:rsidP="00E16BBF">
      <w:pPr>
        <w:pStyle w:val="3-BodyText"/>
      </w:pPr>
      <w:r w:rsidRPr="00E16BBF">
        <w:t>Other NHAs with evidence in patients with m0HSPC and BCR after local therapy, including apalutamide</w:t>
      </w:r>
      <w:r w:rsidRPr="00E16BBF">
        <w:rPr>
          <w:rStyle w:val="FootnoteReference"/>
        </w:rPr>
        <w:footnoteReference w:id="8"/>
      </w:r>
      <w:r w:rsidRPr="00E16BBF">
        <w:t xml:space="preserve"> and darolutamide</w:t>
      </w:r>
      <w:r w:rsidRPr="00E16BBF">
        <w:rPr>
          <w:rStyle w:val="FootnoteReference"/>
        </w:rPr>
        <w:footnoteReference w:id="9"/>
      </w:r>
      <w:r w:rsidRPr="00E16BBF">
        <w:t xml:space="preserve">, </w:t>
      </w:r>
      <w:r w:rsidR="00A14649" w:rsidRPr="00E16BBF">
        <w:t>could</w:t>
      </w:r>
      <w:r w:rsidRPr="00E16BBF">
        <w:t xml:space="preserve"> be potential future comparators for enzalutamide.</w:t>
      </w:r>
      <w:r w:rsidR="00E16BBF">
        <w:t xml:space="preserve"> </w:t>
      </w:r>
    </w:p>
    <w:p w14:paraId="30A067BB" w14:textId="79DAA0CE" w:rsidR="00B50DB8" w:rsidRPr="00E16BBF" w:rsidRDefault="00E16BBF" w:rsidP="00E16BBF">
      <w:pPr>
        <w:pStyle w:val="3-BodyText"/>
        <w:numPr>
          <w:ilvl w:val="0"/>
          <w:numId w:val="0"/>
        </w:numPr>
        <w:ind w:left="720"/>
        <w:rPr>
          <w:i/>
          <w:iCs/>
        </w:rPr>
      </w:pPr>
      <w:r w:rsidRPr="00E16BBF">
        <w:rPr>
          <w:i/>
          <w:iCs/>
        </w:rPr>
        <w:t>For more detail on PBAC’s view, see section 7 PBAC outcome.</w:t>
      </w:r>
    </w:p>
    <w:p w14:paraId="7F9C27C8" w14:textId="77777777" w:rsidR="00223D5A" w:rsidRPr="0098262F" w:rsidRDefault="00223D5A" w:rsidP="00223D5A">
      <w:pPr>
        <w:pStyle w:val="2-SectionHeading"/>
        <w:numPr>
          <w:ilvl w:val="0"/>
          <w:numId w:val="1"/>
        </w:numPr>
      </w:pPr>
      <w:bookmarkStart w:id="14" w:name="_Toc177371543"/>
      <w:bookmarkStart w:id="15" w:name="_Toc22897640"/>
      <w:r w:rsidRPr="0098262F">
        <w:t>Consideration of the evidence</w:t>
      </w:r>
      <w:bookmarkEnd w:id="14"/>
    </w:p>
    <w:p w14:paraId="1168DBA8" w14:textId="77777777" w:rsidR="00E16BBF" w:rsidRPr="006E1229" w:rsidRDefault="00E16BBF" w:rsidP="00A0123F">
      <w:pPr>
        <w:pStyle w:val="4-SubsectionHeading"/>
      </w:pPr>
      <w:bookmarkStart w:id="16" w:name="_Hlk76375935"/>
      <w:bookmarkStart w:id="17" w:name="_Toc177371544"/>
      <w:r w:rsidRPr="006E1229">
        <w:t>Sponsor hearing</w:t>
      </w:r>
    </w:p>
    <w:p w14:paraId="7D300D95" w14:textId="55CDA5F9" w:rsidR="00A0123F" w:rsidRDefault="00E16BBF" w:rsidP="00A0123F">
      <w:pPr>
        <w:widowControl w:val="0"/>
        <w:numPr>
          <w:ilvl w:val="1"/>
          <w:numId w:val="1"/>
        </w:numPr>
        <w:spacing w:after="120"/>
        <w:rPr>
          <w:rFonts w:asciiTheme="minorHAnsi" w:hAnsiTheme="minorHAnsi"/>
          <w:bCs/>
          <w:snapToGrid w:val="0"/>
        </w:rPr>
      </w:pPr>
      <w:bookmarkStart w:id="18" w:name="_Hlk76382586"/>
      <w:r w:rsidRPr="00836F75">
        <w:rPr>
          <w:rFonts w:asciiTheme="minorHAnsi" w:hAnsiTheme="minorHAnsi"/>
          <w:bCs/>
          <w:snapToGrid w:val="0"/>
        </w:rPr>
        <w:t xml:space="preserve">The sponsor requested a hearing for this item. </w:t>
      </w:r>
      <w:r w:rsidR="00A0123F">
        <w:rPr>
          <w:rFonts w:asciiTheme="minorHAnsi" w:hAnsiTheme="minorHAnsi"/>
          <w:bCs/>
          <w:snapToGrid w:val="0"/>
        </w:rPr>
        <w:t>The clinician provided a letter and PowerPoint presentation in support of the proposed listing in the m0HSPC setting.</w:t>
      </w:r>
      <w:r w:rsidRPr="00836F75">
        <w:rPr>
          <w:rFonts w:asciiTheme="minorHAnsi" w:hAnsiTheme="minorHAnsi"/>
          <w:bCs/>
          <w:snapToGrid w:val="0"/>
        </w:rPr>
        <w:t xml:space="preserve"> The clinician </w:t>
      </w:r>
      <w:r w:rsidR="00A0123F">
        <w:rPr>
          <w:rFonts w:asciiTheme="minorHAnsi" w:hAnsiTheme="minorHAnsi"/>
          <w:bCs/>
          <w:snapToGrid w:val="0"/>
        </w:rPr>
        <w:t>described the high risk BCR population, outlined the risk factors for BCR and described how BCR patients were identified. The clinician also discussed the role of enzalutamide monotherapy in the EMBARK trial</w:t>
      </w:r>
      <w:bookmarkStart w:id="19" w:name="_Hlk76382618"/>
      <w:bookmarkEnd w:id="18"/>
      <w:r w:rsidR="00A0123F">
        <w:rPr>
          <w:rFonts w:asciiTheme="minorHAnsi" w:hAnsiTheme="minorHAnsi"/>
          <w:bCs/>
          <w:snapToGrid w:val="0"/>
        </w:rPr>
        <w:t>.</w:t>
      </w:r>
    </w:p>
    <w:p w14:paraId="61FE85CA" w14:textId="77777777" w:rsidR="00A0123F" w:rsidRPr="006E1229" w:rsidRDefault="00A0123F" w:rsidP="00A0123F">
      <w:pPr>
        <w:pStyle w:val="4-SubsectionHeading"/>
      </w:pPr>
      <w:r w:rsidRPr="006E1229">
        <w:t>Consumer comments</w:t>
      </w:r>
    </w:p>
    <w:p w14:paraId="2E44D8C9" w14:textId="26EE84BC" w:rsidR="00A0123F" w:rsidRDefault="00E16BBF" w:rsidP="00A0123F">
      <w:pPr>
        <w:widowControl w:val="0"/>
        <w:numPr>
          <w:ilvl w:val="1"/>
          <w:numId w:val="1"/>
        </w:numPr>
        <w:spacing w:after="120"/>
        <w:rPr>
          <w:rFonts w:asciiTheme="minorHAnsi" w:hAnsiTheme="minorHAnsi"/>
          <w:bCs/>
          <w:snapToGrid w:val="0"/>
        </w:rPr>
      </w:pPr>
      <w:r w:rsidRPr="00A0123F">
        <w:rPr>
          <w:rFonts w:asciiTheme="minorHAnsi" w:hAnsiTheme="minorHAnsi"/>
          <w:bCs/>
          <w:snapToGrid w:val="0"/>
        </w:rPr>
        <w:t xml:space="preserve">The PBAC noted and welcomed the input from </w:t>
      </w:r>
      <w:r w:rsidR="00A0123F" w:rsidRPr="00A0123F">
        <w:rPr>
          <w:rFonts w:asciiTheme="minorHAnsi" w:hAnsiTheme="minorHAnsi"/>
          <w:bCs/>
          <w:snapToGrid w:val="0"/>
        </w:rPr>
        <w:t xml:space="preserve">Rare Cancers Australia and the Medical Oncology Group Australia (MOGA) </w:t>
      </w:r>
      <w:r w:rsidRPr="00A0123F">
        <w:rPr>
          <w:rFonts w:asciiTheme="minorHAnsi" w:hAnsiTheme="minorHAnsi"/>
          <w:bCs/>
          <w:snapToGrid w:val="0"/>
        </w:rPr>
        <w:t xml:space="preserve">via the Consumer Comments facility on the PBS </w:t>
      </w:r>
      <w:r w:rsidRPr="00A0123F">
        <w:rPr>
          <w:rFonts w:asciiTheme="minorHAnsi" w:hAnsiTheme="minorHAnsi"/>
          <w:bCs/>
          <w:snapToGrid w:val="0"/>
        </w:rPr>
        <w:lastRenderedPageBreak/>
        <w:t xml:space="preserve">website. </w:t>
      </w:r>
      <w:r w:rsidR="00A0123F" w:rsidRPr="00A0123F">
        <w:rPr>
          <w:rFonts w:asciiTheme="minorHAnsi" w:hAnsiTheme="minorHAnsi"/>
          <w:bCs/>
          <w:snapToGrid w:val="0"/>
        </w:rPr>
        <w:t xml:space="preserve">Rare Cancers Australia supported the submission, stating that enzalutamide in the m0HSPC provides patients with an oral option for early treatment. </w:t>
      </w:r>
      <w:bookmarkEnd w:id="16"/>
      <w:bookmarkEnd w:id="19"/>
    </w:p>
    <w:p w14:paraId="1975C9D7" w14:textId="2766E6BB" w:rsidR="00E16BBF" w:rsidRPr="00A0123F" w:rsidRDefault="00E16BBF" w:rsidP="00A0123F">
      <w:pPr>
        <w:widowControl w:val="0"/>
        <w:numPr>
          <w:ilvl w:val="1"/>
          <w:numId w:val="1"/>
        </w:numPr>
        <w:spacing w:after="120"/>
        <w:rPr>
          <w:rFonts w:asciiTheme="minorHAnsi" w:hAnsiTheme="minorHAnsi"/>
          <w:bCs/>
          <w:snapToGrid w:val="0"/>
        </w:rPr>
      </w:pPr>
      <w:r w:rsidRPr="00A0123F">
        <w:rPr>
          <w:rFonts w:asciiTheme="minorHAnsi" w:hAnsiTheme="minorHAnsi"/>
          <w:bCs/>
          <w:snapToGrid w:val="0"/>
        </w:rPr>
        <w:t xml:space="preserve">MOGA also expressed its strong support for the </w:t>
      </w:r>
      <w:r w:rsidR="00A0123F" w:rsidRPr="00A0123F">
        <w:rPr>
          <w:rFonts w:asciiTheme="minorHAnsi" w:hAnsiTheme="minorHAnsi"/>
          <w:bCs/>
          <w:snapToGrid w:val="0"/>
        </w:rPr>
        <w:t xml:space="preserve">enzalutamide </w:t>
      </w:r>
      <w:r w:rsidRPr="00A0123F">
        <w:rPr>
          <w:rFonts w:asciiTheme="minorHAnsi" w:hAnsiTheme="minorHAnsi"/>
          <w:bCs/>
          <w:snapToGrid w:val="0"/>
        </w:rPr>
        <w:t xml:space="preserve">submission, categorising it as one of the therapies of “high priority for PBS listing” on the basis of the </w:t>
      </w:r>
      <w:r w:rsidR="00A0123F" w:rsidRPr="00A0123F">
        <w:rPr>
          <w:rFonts w:asciiTheme="minorHAnsi" w:hAnsiTheme="minorHAnsi"/>
          <w:bCs/>
          <w:snapToGrid w:val="0"/>
        </w:rPr>
        <w:t>EMBARK</w:t>
      </w:r>
      <w:r w:rsidRPr="00A0123F">
        <w:rPr>
          <w:rFonts w:asciiTheme="minorHAnsi" w:hAnsiTheme="minorHAnsi"/>
          <w:bCs/>
          <w:snapToGrid w:val="0"/>
        </w:rPr>
        <w:t xml:space="preserve"> trial. The PBAC noted that the MOGA presented a European Society for Medical Oncology Magnitude of Clinical Benefit Scale (ESMO-MCBS) for </w:t>
      </w:r>
      <w:r w:rsidR="00A0123F" w:rsidRPr="00A0123F">
        <w:rPr>
          <w:rFonts w:asciiTheme="minorHAnsi" w:hAnsiTheme="minorHAnsi"/>
          <w:bCs/>
          <w:snapToGrid w:val="0"/>
        </w:rPr>
        <w:t>enzalutamide with or without ADT</w:t>
      </w:r>
      <w:r w:rsidRPr="00A0123F">
        <w:rPr>
          <w:rFonts w:asciiTheme="minorHAnsi" w:hAnsiTheme="minorHAnsi"/>
          <w:bCs/>
          <w:snapToGrid w:val="0"/>
        </w:rPr>
        <w:t xml:space="preserve">, which was limited to </w:t>
      </w:r>
      <w:r w:rsidR="00A0123F" w:rsidRPr="00A0123F">
        <w:rPr>
          <w:rFonts w:asciiTheme="minorHAnsi" w:hAnsiTheme="minorHAnsi"/>
          <w:bCs/>
          <w:snapToGrid w:val="0"/>
        </w:rPr>
        <w:t>3</w:t>
      </w:r>
      <w:r w:rsidRPr="00A0123F">
        <w:rPr>
          <w:rFonts w:asciiTheme="minorHAnsi" w:hAnsiTheme="minorHAnsi"/>
          <w:bCs/>
          <w:snapToGrid w:val="0"/>
        </w:rPr>
        <w:t xml:space="preserve"> (out of a maximum of 5, where 5 and 4 represent the grades with substantial improvement)</w:t>
      </w:r>
      <w:r w:rsidR="00A0123F">
        <w:rPr>
          <w:rStyle w:val="FootnoteReference"/>
          <w:rFonts w:asciiTheme="minorHAnsi" w:hAnsiTheme="minorHAnsi"/>
          <w:bCs/>
          <w:snapToGrid w:val="0"/>
        </w:rPr>
        <w:footnoteReference w:id="10"/>
      </w:r>
      <w:r w:rsidRPr="00A0123F">
        <w:rPr>
          <w:rFonts w:asciiTheme="minorHAnsi" w:hAnsiTheme="minorHAnsi"/>
          <w:bCs/>
          <w:snapToGrid w:val="0"/>
        </w:rPr>
        <w:t>.</w:t>
      </w:r>
    </w:p>
    <w:p w14:paraId="609C0765" w14:textId="0A4DE1C7" w:rsidR="00B60939" w:rsidRPr="0098262F" w:rsidRDefault="00B60939" w:rsidP="002E4F02">
      <w:pPr>
        <w:pStyle w:val="4-SubsectionHeading"/>
      </w:pPr>
      <w:r w:rsidRPr="0098262F">
        <w:t>Clinical</w:t>
      </w:r>
      <w:r w:rsidR="003C2ADE">
        <w:t xml:space="preserve"> </w:t>
      </w:r>
      <w:r w:rsidRPr="0098262F">
        <w:t>trial</w:t>
      </w:r>
      <w:bookmarkEnd w:id="15"/>
      <w:bookmarkEnd w:id="17"/>
    </w:p>
    <w:p w14:paraId="08B90566" w14:textId="37C33B75" w:rsidR="007D54B3" w:rsidRDefault="007D54B3" w:rsidP="002E4F02">
      <w:pPr>
        <w:pStyle w:val="3-BodyText"/>
      </w:pPr>
      <w:r>
        <w:t>The submission was based on one head-to-head randomised trial</w:t>
      </w:r>
      <w:r w:rsidR="005420F7">
        <w:t>,</w:t>
      </w:r>
      <w:r>
        <w:t xml:space="preserve"> EMBARK</w:t>
      </w:r>
      <w:r w:rsidR="005420F7">
        <w:t xml:space="preserve">, </w:t>
      </w:r>
      <w:r>
        <w:t>comparing enzalutamide plus ADT and enzalutamide monotherapy to placebo plus ADT in patients with m0HSPC and high-risk BCR after prostatectomy or radiotherapy or both</w:t>
      </w:r>
      <w:r w:rsidR="00A14649">
        <w:t xml:space="preserve"> who </w:t>
      </w:r>
      <w:r>
        <w:t xml:space="preserve">were not candidates for salvage radiotherapy. ADT treatment was </w:t>
      </w:r>
      <w:r w:rsidR="002A7850">
        <w:t>leuprorelin</w:t>
      </w:r>
      <w:r w:rsidR="00102524">
        <w:t xml:space="preserve"> (also known as leuprolide acetate)</w:t>
      </w:r>
      <w:r w:rsidR="002A7850">
        <w:t xml:space="preserve"> </w:t>
      </w:r>
      <w:r>
        <w:t xml:space="preserve">administered as </w:t>
      </w:r>
      <w:r w:rsidR="00A14649">
        <w:t xml:space="preserve">an </w:t>
      </w:r>
      <w:r>
        <w:t>intramuscular or subcutaneous injection.</w:t>
      </w:r>
    </w:p>
    <w:p w14:paraId="7482FC53" w14:textId="099B7EEB" w:rsidR="007D54B3" w:rsidRPr="0098262F" w:rsidRDefault="0068098C" w:rsidP="000D3ECC">
      <w:pPr>
        <w:pStyle w:val="Caption"/>
        <w:jc w:val="left"/>
      </w:pPr>
      <w:r>
        <w:t xml:space="preserve">Table </w:t>
      </w:r>
      <w:r>
        <w:fldChar w:fldCharType="begin" w:fldLock="1"/>
      </w:r>
      <w:r>
        <w:instrText xml:space="preserve"> SEQ Table \* ARABIC </w:instrText>
      </w:r>
      <w:r>
        <w:fldChar w:fldCharType="separate"/>
      </w:r>
      <w:r w:rsidR="00DF24EF">
        <w:rPr>
          <w:noProof/>
        </w:rPr>
        <w:t>2</w:t>
      </w:r>
      <w:r>
        <w:rPr>
          <w:noProof/>
        </w:rPr>
        <w:fldChar w:fldCharType="end"/>
      </w:r>
      <w:r w:rsidR="000D3ECC">
        <w:t xml:space="preserve">: </w:t>
      </w:r>
      <w:r w:rsidR="007D54B3" w:rsidRPr="0098262F">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7D54B3" w:rsidRPr="00A14649" w14:paraId="580CEC01" w14:textId="77777777" w:rsidTr="00135C17">
        <w:trPr>
          <w:tblHeader/>
        </w:trPr>
        <w:tc>
          <w:tcPr>
            <w:tcW w:w="796" w:type="pct"/>
            <w:vAlign w:val="center"/>
          </w:tcPr>
          <w:p w14:paraId="6016E4FA" w14:textId="77777777" w:rsidR="007D54B3" w:rsidRPr="00A14649" w:rsidRDefault="007D54B3" w:rsidP="00135C17">
            <w:pPr>
              <w:pStyle w:val="In-tableHeading"/>
              <w:jc w:val="center"/>
            </w:pPr>
            <w:r w:rsidRPr="00A14649">
              <w:t>Trial ID</w:t>
            </w:r>
          </w:p>
        </w:tc>
        <w:tc>
          <w:tcPr>
            <w:tcW w:w="3027" w:type="pct"/>
            <w:vAlign w:val="center"/>
          </w:tcPr>
          <w:p w14:paraId="695B2927" w14:textId="77777777" w:rsidR="007D54B3" w:rsidRPr="00A14649" w:rsidRDefault="007D54B3" w:rsidP="00135C17">
            <w:pPr>
              <w:pStyle w:val="In-tableHeading"/>
              <w:jc w:val="center"/>
            </w:pPr>
            <w:r w:rsidRPr="00A14649">
              <w:t>Protocol title/ Publication title</w:t>
            </w:r>
          </w:p>
        </w:tc>
        <w:tc>
          <w:tcPr>
            <w:tcW w:w="1177" w:type="pct"/>
            <w:vAlign w:val="center"/>
          </w:tcPr>
          <w:p w14:paraId="6946B14E" w14:textId="77777777" w:rsidR="007D54B3" w:rsidRPr="00A14649" w:rsidRDefault="007D54B3" w:rsidP="00135C17">
            <w:pPr>
              <w:pStyle w:val="In-tableHeading"/>
              <w:jc w:val="center"/>
            </w:pPr>
            <w:r w:rsidRPr="00A14649">
              <w:t>Publication citation</w:t>
            </w:r>
          </w:p>
        </w:tc>
      </w:tr>
      <w:tr w:rsidR="007D54B3" w:rsidRPr="0098262F" w14:paraId="1F5955F4" w14:textId="77777777" w:rsidTr="006E0796">
        <w:tc>
          <w:tcPr>
            <w:tcW w:w="796" w:type="pct"/>
            <w:vMerge w:val="restart"/>
            <w:vAlign w:val="center"/>
          </w:tcPr>
          <w:p w14:paraId="02C6C712" w14:textId="77777777" w:rsidR="007D54B3" w:rsidRDefault="007D54B3" w:rsidP="006E0796">
            <w:pPr>
              <w:pStyle w:val="TableText0"/>
            </w:pPr>
            <w:r>
              <w:t>EMBARK</w:t>
            </w:r>
          </w:p>
          <w:p w14:paraId="1ECFB5D0" w14:textId="77777777" w:rsidR="007D54B3" w:rsidRPr="0098262F" w:rsidRDefault="007D54B3" w:rsidP="006E0796">
            <w:pPr>
              <w:pStyle w:val="TableText0"/>
            </w:pPr>
            <w:r w:rsidRPr="00FF4440">
              <w:t>NCT02319837</w:t>
            </w:r>
          </w:p>
        </w:tc>
        <w:tc>
          <w:tcPr>
            <w:tcW w:w="3027" w:type="pct"/>
            <w:tcBorders>
              <w:bottom w:val="nil"/>
            </w:tcBorders>
            <w:vAlign w:val="center"/>
          </w:tcPr>
          <w:p w14:paraId="217EAFDA" w14:textId="77777777" w:rsidR="007D54B3" w:rsidRPr="0098262F" w:rsidRDefault="007D54B3" w:rsidP="006E0796">
            <w:pPr>
              <w:pStyle w:val="TableText0"/>
            </w:pPr>
            <w:r>
              <w:t>Clinical Study Report (CSR). A Phase 3, Randomized, Efficacy and Safety Study of Enzalutamide Plus Leuprolide, Enzalutamide Monotherapy, and Placebo Plus Leuprolide in Men With High-Risk Nonmetastatic Prostate Cancer Progressing After Definitive Therapy.</w:t>
            </w:r>
          </w:p>
        </w:tc>
        <w:tc>
          <w:tcPr>
            <w:tcW w:w="1177" w:type="pct"/>
            <w:tcBorders>
              <w:bottom w:val="nil"/>
            </w:tcBorders>
            <w:vAlign w:val="center"/>
          </w:tcPr>
          <w:p w14:paraId="142D0D06" w14:textId="77777777" w:rsidR="007D54B3" w:rsidRPr="0098262F" w:rsidRDefault="007D54B3" w:rsidP="006E0796">
            <w:pPr>
              <w:pStyle w:val="TableText0"/>
            </w:pPr>
            <w:r>
              <w:t>31 January 2023</w:t>
            </w:r>
          </w:p>
        </w:tc>
      </w:tr>
      <w:tr w:rsidR="007D54B3" w:rsidRPr="0098262F" w14:paraId="35276617" w14:textId="77777777" w:rsidTr="00272FC0">
        <w:trPr>
          <w:trHeight w:val="60"/>
        </w:trPr>
        <w:tc>
          <w:tcPr>
            <w:tcW w:w="796" w:type="pct"/>
            <w:vMerge/>
            <w:vAlign w:val="center"/>
          </w:tcPr>
          <w:p w14:paraId="41434303" w14:textId="77777777" w:rsidR="007D54B3" w:rsidRPr="0098262F" w:rsidRDefault="007D54B3" w:rsidP="006E0796">
            <w:pPr>
              <w:pStyle w:val="TableText0"/>
            </w:pPr>
          </w:p>
        </w:tc>
        <w:tc>
          <w:tcPr>
            <w:tcW w:w="3027" w:type="pct"/>
            <w:tcBorders>
              <w:top w:val="nil"/>
            </w:tcBorders>
            <w:vAlign w:val="center"/>
          </w:tcPr>
          <w:p w14:paraId="4C6EADF8" w14:textId="77777777" w:rsidR="007D54B3" w:rsidRPr="0098262F" w:rsidRDefault="007D54B3" w:rsidP="006E0796">
            <w:pPr>
              <w:pStyle w:val="TableText0"/>
            </w:pPr>
            <w:r w:rsidRPr="00AE7EC8">
              <w:t xml:space="preserve">Freedland SJ, de Almeida Luz M, De Giorgi U, et al. Improved Outcomes with Enzalutamide in Biochemically Recurrent Prostate Cancer. </w:t>
            </w:r>
          </w:p>
        </w:tc>
        <w:tc>
          <w:tcPr>
            <w:tcW w:w="1177" w:type="pct"/>
            <w:tcBorders>
              <w:top w:val="nil"/>
            </w:tcBorders>
            <w:vAlign w:val="center"/>
          </w:tcPr>
          <w:p w14:paraId="4D14E1CD" w14:textId="77777777" w:rsidR="007D54B3" w:rsidRPr="0098262F" w:rsidRDefault="007D54B3" w:rsidP="006E0796">
            <w:pPr>
              <w:pStyle w:val="TableText0"/>
            </w:pPr>
            <w:r w:rsidRPr="00AE7EC8">
              <w:t>N Engl J Med. 2023;</w:t>
            </w:r>
            <w:r>
              <w:t xml:space="preserve"> </w:t>
            </w:r>
            <w:r w:rsidRPr="00AE7EC8">
              <w:t>389(16):1453-</w:t>
            </w:r>
            <w:r>
              <w:t>14</w:t>
            </w:r>
            <w:r w:rsidRPr="00AE7EC8">
              <w:t>65.</w:t>
            </w:r>
          </w:p>
        </w:tc>
      </w:tr>
    </w:tbl>
    <w:p w14:paraId="43845A6B" w14:textId="77777777" w:rsidR="007D54B3" w:rsidRPr="0098262F" w:rsidRDefault="007D54B3" w:rsidP="007D54B3">
      <w:pPr>
        <w:pStyle w:val="FooterTableFigure"/>
        <w:rPr>
          <w:sz w:val="20"/>
        </w:rPr>
      </w:pPr>
      <w:r w:rsidRPr="0098262F">
        <w:t xml:space="preserve">Source: </w:t>
      </w:r>
      <w:r>
        <w:t>Table 2-3, pp34-35 of the submission.</w:t>
      </w:r>
    </w:p>
    <w:p w14:paraId="35592589" w14:textId="0F88764E" w:rsidR="007D54B3" w:rsidRDefault="000D3ECC" w:rsidP="006E0796">
      <w:pPr>
        <w:pStyle w:val="3-BodyText"/>
      </w:pPr>
      <w:r>
        <w:fldChar w:fldCharType="begin" w:fldLock="1"/>
      </w:r>
      <w:r>
        <w:instrText xml:space="preserve"> REF _Ref176768814 \h </w:instrText>
      </w:r>
      <w:r>
        <w:fldChar w:fldCharType="separate"/>
      </w:r>
      <w:r w:rsidR="006619E7">
        <w:t xml:space="preserve">Table </w:t>
      </w:r>
      <w:r w:rsidR="006619E7">
        <w:rPr>
          <w:noProof/>
        </w:rPr>
        <w:t>3</w:t>
      </w:r>
      <w:r>
        <w:fldChar w:fldCharType="end"/>
      </w:r>
      <w:r>
        <w:t xml:space="preserve"> </w:t>
      </w:r>
      <w:r w:rsidR="007D54B3">
        <w:t xml:space="preserve">summarises the key </w:t>
      </w:r>
      <w:r w:rsidR="007D54B3" w:rsidRPr="007D54B3">
        <w:t xml:space="preserve">features of </w:t>
      </w:r>
      <w:r w:rsidR="007D54B3">
        <w:t>EMBARK.</w:t>
      </w:r>
    </w:p>
    <w:p w14:paraId="07854F0D" w14:textId="59D43302" w:rsidR="007D54B3" w:rsidRPr="00040747" w:rsidRDefault="000D3ECC" w:rsidP="004D2811">
      <w:pPr>
        <w:pStyle w:val="Caption"/>
        <w:jc w:val="left"/>
        <w:rPr>
          <w:rStyle w:val="CommentReference"/>
          <w:b/>
        </w:rPr>
      </w:pPr>
      <w:bookmarkStart w:id="20" w:name="_Ref176768814"/>
      <w:r>
        <w:lastRenderedPageBreak/>
        <w:t xml:space="preserve">Table </w:t>
      </w:r>
      <w:r>
        <w:fldChar w:fldCharType="begin" w:fldLock="1"/>
      </w:r>
      <w:r>
        <w:instrText xml:space="preserve"> SEQ Table \* ARABIC </w:instrText>
      </w:r>
      <w:r>
        <w:fldChar w:fldCharType="separate"/>
      </w:r>
      <w:r w:rsidR="00DF24EF">
        <w:rPr>
          <w:noProof/>
        </w:rPr>
        <w:t>3</w:t>
      </w:r>
      <w:r>
        <w:rPr>
          <w:noProof/>
        </w:rPr>
        <w:fldChar w:fldCharType="end"/>
      </w:r>
      <w:bookmarkEnd w:id="20"/>
      <w:r>
        <w:t xml:space="preserve">: </w:t>
      </w:r>
      <w:r w:rsidR="007D54B3" w:rsidRPr="00040747">
        <w:rPr>
          <w:rStyle w:val="CommentReference"/>
          <w:b/>
        </w:rPr>
        <w:t>Key features of the included evidence</w:t>
      </w:r>
      <w:r w:rsidR="00D41157">
        <w:rPr>
          <w:rStyle w:val="CommentReference"/>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749"/>
        <w:gridCol w:w="421"/>
        <w:gridCol w:w="1467"/>
        <w:gridCol w:w="600"/>
        <w:gridCol w:w="2141"/>
        <w:gridCol w:w="904"/>
        <w:gridCol w:w="1867"/>
        <w:gridCol w:w="868"/>
      </w:tblGrid>
      <w:tr w:rsidR="007D54B3" w:rsidRPr="00A14649" w14:paraId="5B03E020" w14:textId="77777777" w:rsidTr="00135C17">
        <w:trPr>
          <w:cantSplit/>
          <w:tblHeader/>
        </w:trPr>
        <w:tc>
          <w:tcPr>
            <w:tcW w:w="415" w:type="pct"/>
            <w:shd w:val="clear" w:color="auto" w:fill="auto"/>
            <w:vAlign w:val="center"/>
          </w:tcPr>
          <w:p w14:paraId="20366CFB" w14:textId="77777777" w:rsidR="007D54B3" w:rsidRPr="00A14649" w:rsidRDefault="007D54B3" w:rsidP="004D2811">
            <w:pPr>
              <w:pStyle w:val="In-tableHeading"/>
              <w:keepNext/>
              <w:keepLines/>
              <w:jc w:val="center"/>
            </w:pPr>
            <w:r w:rsidRPr="00A14649">
              <w:t>Trial</w:t>
            </w:r>
          </w:p>
        </w:tc>
        <w:tc>
          <w:tcPr>
            <w:tcW w:w="233" w:type="pct"/>
            <w:shd w:val="clear" w:color="auto" w:fill="auto"/>
            <w:vAlign w:val="center"/>
          </w:tcPr>
          <w:p w14:paraId="62FFA90E" w14:textId="77777777" w:rsidR="007D54B3" w:rsidRPr="00A14649" w:rsidRDefault="007D54B3" w:rsidP="004D2811">
            <w:pPr>
              <w:pStyle w:val="In-tableHeading"/>
              <w:keepNext/>
              <w:keepLines/>
              <w:jc w:val="center"/>
            </w:pPr>
            <w:r w:rsidRPr="00A14649">
              <w:t>N</w:t>
            </w:r>
          </w:p>
        </w:tc>
        <w:tc>
          <w:tcPr>
            <w:tcW w:w="814" w:type="pct"/>
            <w:shd w:val="clear" w:color="auto" w:fill="auto"/>
            <w:vAlign w:val="center"/>
          </w:tcPr>
          <w:p w14:paraId="0505700E" w14:textId="77777777" w:rsidR="007D54B3" w:rsidRPr="00A14649" w:rsidRDefault="007D54B3" w:rsidP="004D2811">
            <w:pPr>
              <w:pStyle w:val="In-tableHeading"/>
              <w:keepNext/>
              <w:keepLines/>
              <w:jc w:val="center"/>
            </w:pPr>
            <w:r w:rsidRPr="00A14649">
              <w:t>Design/ duration</w:t>
            </w:r>
          </w:p>
        </w:tc>
        <w:tc>
          <w:tcPr>
            <w:tcW w:w="333" w:type="pct"/>
            <w:shd w:val="clear" w:color="auto" w:fill="auto"/>
            <w:vAlign w:val="center"/>
          </w:tcPr>
          <w:p w14:paraId="3CA88721" w14:textId="77777777" w:rsidR="007D54B3" w:rsidRPr="00A14649" w:rsidRDefault="007D54B3" w:rsidP="004D2811">
            <w:pPr>
              <w:pStyle w:val="In-tableHeading"/>
              <w:keepNext/>
              <w:keepLines/>
              <w:jc w:val="center"/>
            </w:pPr>
            <w:r w:rsidRPr="00A14649">
              <w:t>Bias</w:t>
            </w:r>
          </w:p>
        </w:tc>
        <w:tc>
          <w:tcPr>
            <w:tcW w:w="1187" w:type="pct"/>
            <w:vAlign w:val="center"/>
          </w:tcPr>
          <w:p w14:paraId="2854BFC0" w14:textId="77777777" w:rsidR="007D54B3" w:rsidRPr="00A14649" w:rsidRDefault="007D54B3" w:rsidP="004D2811">
            <w:pPr>
              <w:pStyle w:val="In-tableHeading"/>
              <w:keepNext/>
              <w:keepLines/>
              <w:jc w:val="center"/>
            </w:pPr>
            <w:r w:rsidRPr="00A14649">
              <w:t>Treatment arms</w:t>
            </w:r>
          </w:p>
        </w:tc>
        <w:tc>
          <w:tcPr>
            <w:tcW w:w="501" w:type="pct"/>
            <w:shd w:val="clear" w:color="auto" w:fill="auto"/>
            <w:vAlign w:val="center"/>
          </w:tcPr>
          <w:p w14:paraId="564CFC85" w14:textId="77777777" w:rsidR="007D54B3" w:rsidRPr="00A14649" w:rsidRDefault="007D54B3" w:rsidP="004D2811">
            <w:pPr>
              <w:pStyle w:val="In-tableHeading"/>
              <w:keepNext/>
              <w:keepLines/>
              <w:jc w:val="center"/>
            </w:pPr>
            <w:r w:rsidRPr="00A14649">
              <w:t>Population</w:t>
            </w:r>
          </w:p>
        </w:tc>
        <w:tc>
          <w:tcPr>
            <w:tcW w:w="1035" w:type="pct"/>
            <w:shd w:val="clear" w:color="auto" w:fill="auto"/>
            <w:vAlign w:val="center"/>
          </w:tcPr>
          <w:p w14:paraId="62805700" w14:textId="77777777" w:rsidR="007D54B3" w:rsidRPr="00A14649" w:rsidRDefault="007D54B3" w:rsidP="004D2811">
            <w:pPr>
              <w:pStyle w:val="In-tableHeading"/>
              <w:keepNext/>
              <w:keepLines/>
              <w:jc w:val="center"/>
            </w:pPr>
            <w:r w:rsidRPr="00A14649">
              <w:t>Outcome(s)</w:t>
            </w:r>
          </w:p>
        </w:tc>
        <w:tc>
          <w:tcPr>
            <w:tcW w:w="481" w:type="pct"/>
            <w:shd w:val="clear" w:color="auto" w:fill="auto"/>
            <w:vAlign w:val="center"/>
          </w:tcPr>
          <w:p w14:paraId="70968F49" w14:textId="77777777" w:rsidR="007D54B3" w:rsidRPr="00A14649" w:rsidRDefault="007D54B3" w:rsidP="004D2811">
            <w:pPr>
              <w:pStyle w:val="In-tableHeading"/>
              <w:keepNext/>
              <w:keepLines/>
              <w:jc w:val="center"/>
            </w:pPr>
            <w:r w:rsidRPr="00A14649">
              <w:t>Modelled evaluation</w:t>
            </w:r>
          </w:p>
        </w:tc>
      </w:tr>
      <w:tr w:rsidR="007D54B3" w:rsidRPr="00BF06FC" w14:paraId="2CB280A3" w14:textId="77777777" w:rsidTr="00135C17">
        <w:trPr>
          <w:cantSplit/>
        </w:trPr>
        <w:tc>
          <w:tcPr>
            <w:tcW w:w="415" w:type="pct"/>
            <w:shd w:val="clear" w:color="auto" w:fill="auto"/>
            <w:vAlign w:val="center"/>
          </w:tcPr>
          <w:p w14:paraId="549B965F" w14:textId="77777777" w:rsidR="007D54B3" w:rsidRPr="00BF06FC" w:rsidRDefault="007D54B3" w:rsidP="004D2811">
            <w:pPr>
              <w:pStyle w:val="TableText0"/>
            </w:pPr>
            <w:r>
              <w:t>EMBARK</w:t>
            </w:r>
          </w:p>
        </w:tc>
        <w:tc>
          <w:tcPr>
            <w:tcW w:w="233" w:type="pct"/>
            <w:shd w:val="clear" w:color="auto" w:fill="auto"/>
            <w:vAlign w:val="center"/>
          </w:tcPr>
          <w:p w14:paraId="6FE49639" w14:textId="77777777" w:rsidR="007D54B3" w:rsidRPr="00BF06FC" w:rsidRDefault="007D54B3" w:rsidP="004D2811">
            <w:pPr>
              <w:pStyle w:val="TableText0"/>
            </w:pPr>
            <w:r>
              <w:t>1068</w:t>
            </w:r>
          </w:p>
        </w:tc>
        <w:tc>
          <w:tcPr>
            <w:tcW w:w="814" w:type="pct"/>
            <w:shd w:val="clear" w:color="auto" w:fill="auto"/>
            <w:vAlign w:val="center"/>
          </w:tcPr>
          <w:p w14:paraId="2F640623" w14:textId="77777777" w:rsidR="007D54B3" w:rsidRPr="00BF06FC" w:rsidRDefault="007D54B3" w:rsidP="004D2811">
            <w:pPr>
              <w:pStyle w:val="TableText0"/>
              <w:jc w:val="center"/>
            </w:pPr>
            <w:r>
              <w:t xml:space="preserve">MC, R, DB/OL^, PC 98 </w:t>
            </w:r>
            <w:proofErr w:type="spellStart"/>
            <w:r>
              <w:t>mths</w:t>
            </w:r>
            <w:r w:rsidRPr="000A1376">
              <w:rPr>
                <w:vertAlign w:val="superscript"/>
              </w:rPr>
              <w:t>ab</w:t>
            </w:r>
            <w:proofErr w:type="spellEnd"/>
            <w:r>
              <w:t>, OL 5 years</w:t>
            </w:r>
          </w:p>
        </w:tc>
        <w:tc>
          <w:tcPr>
            <w:tcW w:w="333" w:type="pct"/>
            <w:shd w:val="clear" w:color="auto" w:fill="auto"/>
            <w:vAlign w:val="center"/>
          </w:tcPr>
          <w:p w14:paraId="2B4C4941" w14:textId="77777777" w:rsidR="007D54B3" w:rsidRPr="00BF06FC" w:rsidRDefault="007D54B3" w:rsidP="004D2811">
            <w:pPr>
              <w:pStyle w:val="TableText0"/>
            </w:pPr>
            <w:r>
              <w:t>Low</w:t>
            </w:r>
          </w:p>
        </w:tc>
        <w:tc>
          <w:tcPr>
            <w:tcW w:w="1187" w:type="pct"/>
            <w:vAlign w:val="center"/>
          </w:tcPr>
          <w:p w14:paraId="28A3029B" w14:textId="77777777" w:rsidR="007D54B3" w:rsidRDefault="007D54B3" w:rsidP="004D2811">
            <w:pPr>
              <w:pStyle w:val="TableText0"/>
            </w:pPr>
            <w:r>
              <w:t>Enzalutamide</w:t>
            </w:r>
            <w:r w:rsidRPr="00BF06FC">
              <w:t xml:space="preserve"> </w:t>
            </w:r>
            <w:r>
              <w:t>4x40</w:t>
            </w:r>
            <w:r w:rsidRPr="00BF06FC">
              <w:t>mg daily plus ADT</w:t>
            </w:r>
            <w:r w:rsidRPr="00AE325B">
              <w:rPr>
                <w:vertAlign w:val="superscript"/>
              </w:rPr>
              <w:t>#</w:t>
            </w:r>
          </w:p>
          <w:p w14:paraId="10A7AC6F" w14:textId="77777777" w:rsidR="007D54B3" w:rsidRPr="00BF06FC" w:rsidRDefault="007D54B3" w:rsidP="004D2811">
            <w:pPr>
              <w:pStyle w:val="TableText0"/>
            </w:pPr>
            <w:r>
              <w:t>Enzalutamide 4x40mg daily</w:t>
            </w:r>
          </w:p>
          <w:p w14:paraId="0B8ED3AD" w14:textId="77777777" w:rsidR="007D54B3" w:rsidRPr="00BF06FC" w:rsidRDefault="007D54B3" w:rsidP="004D2811">
            <w:pPr>
              <w:pStyle w:val="TableText0"/>
            </w:pPr>
            <w:r w:rsidRPr="00BF06FC">
              <w:t>Placebo daily plus ADT</w:t>
            </w:r>
            <w:r w:rsidRPr="00AE325B">
              <w:rPr>
                <w:vertAlign w:val="superscript"/>
              </w:rPr>
              <w:t>#</w:t>
            </w:r>
          </w:p>
        </w:tc>
        <w:tc>
          <w:tcPr>
            <w:tcW w:w="501" w:type="pct"/>
            <w:shd w:val="clear" w:color="auto" w:fill="auto"/>
            <w:vAlign w:val="center"/>
          </w:tcPr>
          <w:p w14:paraId="015B53EA" w14:textId="77777777" w:rsidR="007D54B3" w:rsidRPr="00BF06FC" w:rsidRDefault="007D54B3" w:rsidP="004D2811">
            <w:pPr>
              <w:pStyle w:val="TableText0"/>
            </w:pPr>
            <w:r>
              <w:t>m0</w:t>
            </w:r>
            <w:r w:rsidRPr="00BF06FC">
              <w:t>HSPC</w:t>
            </w:r>
          </w:p>
        </w:tc>
        <w:tc>
          <w:tcPr>
            <w:tcW w:w="1035" w:type="pct"/>
            <w:shd w:val="clear" w:color="auto" w:fill="auto"/>
            <w:vAlign w:val="center"/>
          </w:tcPr>
          <w:p w14:paraId="27AEF719" w14:textId="27C85EEA" w:rsidR="007D54B3" w:rsidRPr="00BF06FC" w:rsidRDefault="007D54B3" w:rsidP="004D2811">
            <w:pPr>
              <w:pStyle w:val="TableText0"/>
            </w:pPr>
            <w:r w:rsidRPr="00BF06FC">
              <w:t xml:space="preserve">1°: </w:t>
            </w:r>
            <w:proofErr w:type="spellStart"/>
            <w:r>
              <w:t>MFS</w:t>
            </w:r>
            <w:r w:rsidR="005B27AE" w:rsidRPr="005B27AE">
              <w:rPr>
                <w:vertAlign w:val="superscript"/>
              </w:rPr>
              <w:t>c</w:t>
            </w:r>
            <w:proofErr w:type="spellEnd"/>
          </w:p>
          <w:p w14:paraId="7E4A51AC" w14:textId="77777777" w:rsidR="007D54B3" w:rsidRPr="00BF06FC" w:rsidRDefault="007D54B3" w:rsidP="004D2811">
            <w:pPr>
              <w:pStyle w:val="TableText0"/>
            </w:pPr>
            <w:r w:rsidRPr="00BF06FC">
              <w:t xml:space="preserve">2°: </w:t>
            </w:r>
            <w:r>
              <w:t xml:space="preserve">OS, PSA progression, hormonal therapy </w:t>
            </w:r>
          </w:p>
        </w:tc>
        <w:tc>
          <w:tcPr>
            <w:tcW w:w="481" w:type="pct"/>
            <w:shd w:val="clear" w:color="auto" w:fill="auto"/>
            <w:vAlign w:val="center"/>
          </w:tcPr>
          <w:p w14:paraId="042C25CB" w14:textId="77777777" w:rsidR="007D54B3" w:rsidRPr="00BF06FC" w:rsidRDefault="007D54B3" w:rsidP="004D2811">
            <w:pPr>
              <w:pStyle w:val="TableText0"/>
            </w:pPr>
            <w:r>
              <w:t>MFS, OS</w:t>
            </w:r>
          </w:p>
        </w:tc>
      </w:tr>
    </w:tbl>
    <w:p w14:paraId="56FDC747" w14:textId="77777777" w:rsidR="007D54B3" w:rsidRPr="00BF06FC" w:rsidRDefault="007D54B3" w:rsidP="004D2811">
      <w:pPr>
        <w:pStyle w:val="TableFigureFooter"/>
        <w:keepNext/>
        <w:keepLines/>
      </w:pPr>
      <w:r w:rsidRPr="00BF06FC">
        <w:t>Source: Section 2.3, p</w:t>
      </w:r>
      <w:r>
        <w:t xml:space="preserve">36 </w:t>
      </w:r>
      <w:r w:rsidRPr="00BF06FC">
        <w:t>of the submission</w:t>
      </w:r>
      <w:r>
        <w:t xml:space="preserve"> and Attachment 06 of the submission</w:t>
      </w:r>
      <w:r w:rsidRPr="00BF06FC">
        <w:t>.</w:t>
      </w:r>
    </w:p>
    <w:p w14:paraId="60D2D55E" w14:textId="693FBAB8" w:rsidR="007D54B3" w:rsidRPr="00BF06FC" w:rsidRDefault="007D54B3" w:rsidP="004D2811">
      <w:pPr>
        <w:pStyle w:val="TableFigureFooter"/>
        <w:keepNext/>
        <w:keepLines/>
        <w:rPr>
          <w:sz w:val="20"/>
        </w:rPr>
      </w:pPr>
      <w:r w:rsidRPr="00BF06FC">
        <w:t>A</w:t>
      </w:r>
      <w:r>
        <w:t>DT=androgen deprivation therapy;</w:t>
      </w:r>
      <w:r w:rsidRPr="00BF06FC">
        <w:t xml:space="preserve"> DB=double blind; </w:t>
      </w:r>
      <w:r w:rsidR="005B27AE">
        <w:t xml:space="preserve">CT=computed tomography; </w:t>
      </w:r>
      <w:r w:rsidRPr="00BF06FC">
        <w:t xml:space="preserve">MC=multi-centre; </w:t>
      </w:r>
      <w:r>
        <w:t>MFS</w:t>
      </w:r>
      <w:r w:rsidRPr="00BF06FC">
        <w:t>=</w:t>
      </w:r>
      <w:r>
        <w:t>metastases-</w:t>
      </w:r>
      <w:r w:rsidRPr="00BF06FC">
        <w:t>free survival; m</w:t>
      </w:r>
      <w:r>
        <w:t>0</w:t>
      </w:r>
      <w:r w:rsidRPr="00BF06FC">
        <w:t>HSPC=</w:t>
      </w:r>
      <w:r>
        <w:t>non-</w:t>
      </w:r>
      <w:r w:rsidRPr="00BF06FC">
        <w:t xml:space="preserve">metastatic hormone sensitive prostate cancer; </w:t>
      </w:r>
      <w:r w:rsidR="005B27AE">
        <w:t>MRI=</w:t>
      </w:r>
      <w:r w:rsidR="005B27AE" w:rsidRPr="0000002F">
        <w:t>magnetic resonance imaging</w:t>
      </w:r>
      <w:r w:rsidR="005B27AE">
        <w:t>;</w:t>
      </w:r>
      <w:r w:rsidR="005B27AE" w:rsidRPr="00BF06FC">
        <w:t xml:space="preserve"> </w:t>
      </w:r>
      <w:r w:rsidRPr="00BF06FC">
        <w:t>OL=open label; OS=overall survival;</w:t>
      </w:r>
      <w:r>
        <w:t xml:space="preserve"> PC=placebo-controlled;</w:t>
      </w:r>
      <w:r w:rsidRPr="00BF06FC">
        <w:t xml:space="preserve"> </w:t>
      </w:r>
      <w:r w:rsidRPr="00621EBD">
        <w:t xml:space="preserve">PSA=prostate-specific antigen; </w:t>
      </w:r>
      <w:r w:rsidRPr="00BF06FC">
        <w:t xml:space="preserve">R=randomised </w:t>
      </w:r>
    </w:p>
    <w:p w14:paraId="13506A8B" w14:textId="562048CE" w:rsidR="007D54B3" w:rsidRDefault="007D54B3" w:rsidP="004D2811">
      <w:pPr>
        <w:pStyle w:val="TableFigureFooter"/>
        <w:keepNext/>
        <w:keepLines/>
      </w:pPr>
      <w:r>
        <w:t>#</w:t>
      </w:r>
      <w:r>
        <w:tab/>
        <w:t>ADT was leuprorelin 22.5 mg given as a single intramuscular or subcutaneous injection (SC) once every 12 weeks</w:t>
      </w:r>
    </w:p>
    <w:p w14:paraId="0F13FF7C" w14:textId="2F95DBBB" w:rsidR="007D54B3" w:rsidRDefault="007D54B3" w:rsidP="004D2811">
      <w:pPr>
        <w:pStyle w:val="TableFigureFooter"/>
        <w:keepNext/>
        <w:keepLines/>
      </w:pPr>
      <w:r>
        <w:t>^</w:t>
      </w:r>
      <w:r>
        <w:tab/>
        <w:t>Treatment with enzalutamide and placebo was double-blind in combination with open-label ADT (leupro</w:t>
      </w:r>
      <w:r w:rsidR="00135C17">
        <w:t>relin</w:t>
      </w:r>
      <w:r>
        <w:t>).</w:t>
      </w:r>
      <w:r w:rsidRPr="00040747">
        <w:t xml:space="preserve"> </w:t>
      </w:r>
      <w:r>
        <w:t>Treatment with enzalutamide monotherapy was open label.</w:t>
      </w:r>
    </w:p>
    <w:p w14:paraId="0D3CF93D" w14:textId="06E058D3" w:rsidR="007D54B3" w:rsidRDefault="007D54B3" w:rsidP="004D2811">
      <w:pPr>
        <w:pStyle w:val="TableFigureFooter"/>
        <w:keepNext/>
        <w:keepLines/>
      </w:pPr>
      <w:r>
        <w:t>a</w:t>
      </w:r>
      <w:r w:rsidRPr="00BF06FC">
        <w:tab/>
      </w:r>
      <w:r w:rsidR="00C02E47">
        <w:t>M</w:t>
      </w:r>
      <w:r>
        <w:t xml:space="preserve">edian follow-up was 60.7 months. All patients who permanently discontinued study drug </w:t>
      </w:r>
      <w:r w:rsidR="00135C17">
        <w:t>was</w:t>
      </w:r>
      <w:r>
        <w:t xml:space="preserve"> to remain in the study, complete safety follow-up (30 days), and subsequently commence long-term follow-up (LTFU).</w:t>
      </w:r>
      <w:r w:rsidRPr="00595108">
        <w:t xml:space="preserve"> </w:t>
      </w:r>
      <w:r>
        <w:t>LTFU data (survival status and skeletal related events and new prostate cancer therapies) will be collected up to at least 5 years after the last patient randomized or until the study median survival follow-up time from randomization is 5 years.</w:t>
      </w:r>
    </w:p>
    <w:p w14:paraId="77324DAF" w14:textId="469663B2" w:rsidR="007D54B3" w:rsidRDefault="007D54B3" w:rsidP="004D2811">
      <w:pPr>
        <w:pStyle w:val="TableFigureFooter"/>
        <w:keepNext/>
        <w:keepLines/>
      </w:pPr>
      <w:r>
        <w:t>b</w:t>
      </w:r>
      <w:r>
        <w:tab/>
        <w:t>At Week 37, study treatment was suspended if PSA was undetectable (&lt;0.2 ng/mL) at Week 36.</w:t>
      </w:r>
      <w:r w:rsidRPr="000A1376">
        <w:t xml:space="preserve"> </w:t>
      </w:r>
      <w:r>
        <w:t>Treatment was reinitiated if subsequent PSA values increased (≥2.0 ng/mL for patients with prior prostatectomy or ≥5.0 ng/mL for patients without prostatectomy).</w:t>
      </w:r>
      <w:r w:rsidRPr="000A1376">
        <w:t xml:space="preserve"> </w:t>
      </w:r>
      <w:r>
        <w:t>Patients with detectable PSA values at Week 36 continued treatment without suspension until permanent treatment discontinuation.</w:t>
      </w:r>
    </w:p>
    <w:p w14:paraId="127B7078" w14:textId="38D55B2F" w:rsidR="005B27AE" w:rsidRPr="005B27AE" w:rsidRDefault="005B27AE" w:rsidP="009F195B">
      <w:pPr>
        <w:pStyle w:val="TableFigureFooter"/>
      </w:pPr>
      <w:r>
        <w:t>c</w:t>
      </w:r>
      <w:r>
        <w:tab/>
        <w:t>Assessments for the primary efficacy endpoint of MFS included radiographic assessment of disease and monitoring of survival status. Radiographic assessment included soft tissue disease on CT or MRI and bone disease on whole-body radionuclide bone scans.</w:t>
      </w:r>
    </w:p>
    <w:p w14:paraId="2CD33575" w14:textId="3A3CDD00" w:rsidR="00AF115A" w:rsidRPr="00B63CD0" w:rsidRDefault="00D41157" w:rsidP="00DA1FCE">
      <w:pPr>
        <w:pStyle w:val="3-BodyText"/>
      </w:pPr>
      <w:r w:rsidRPr="00B63CD0">
        <w:t>EMBARK was a randomised, multicentre trial where patients received either enzalutamide plus ADT (double-blind), enzalutamide monotherapy (open</w:t>
      </w:r>
      <w:r w:rsidR="008926BA">
        <w:t xml:space="preserve"> </w:t>
      </w:r>
      <w:r w:rsidRPr="00B63CD0">
        <w:t xml:space="preserve">label) or placebo plus ADT (double-blind). </w:t>
      </w:r>
      <w:r w:rsidR="00AF115A" w:rsidRPr="00B63CD0">
        <w:t xml:space="preserve">The trial enrolled ADT-naïve patients with m0HSPC (defined by no evidence of distant metastases using conventional imaging), ECOG score ≤1, and high-risk BCR following prior definitive treatment (defined as PSADT </w:t>
      </w:r>
      <w:r w:rsidR="00AF115A" w:rsidRPr="00B63CD0">
        <w:rPr>
          <w:rFonts w:cs="Calibri"/>
        </w:rPr>
        <w:t>≤</w:t>
      </w:r>
      <w:r w:rsidR="00AF115A" w:rsidRPr="00B63CD0">
        <w:t>9</w:t>
      </w:r>
      <w:r w:rsidR="004D2811">
        <w:t> </w:t>
      </w:r>
      <w:r w:rsidR="00AF115A" w:rsidRPr="00B63CD0">
        <w:t xml:space="preserve">months and (i) serum PSA </w:t>
      </w:r>
      <w:r w:rsidR="00AF115A" w:rsidRPr="00B63CD0">
        <w:rPr>
          <w:rFonts w:cs="Calibri"/>
        </w:rPr>
        <w:t>≥</w:t>
      </w:r>
      <w:r w:rsidR="00AF115A" w:rsidRPr="00B63CD0">
        <w:t xml:space="preserve">1 ng/mL if prior prostatectomy or (ii) </w:t>
      </w:r>
      <w:r w:rsidR="00AF115A" w:rsidRPr="00B63CD0">
        <w:rPr>
          <w:rFonts w:cs="Calibri"/>
        </w:rPr>
        <w:t>≥</w:t>
      </w:r>
      <w:r w:rsidR="00AF115A" w:rsidRPr="00B63CD0">
        <w:t xml:space="preserve">2 ng/mL above nadir if prior radiotherapy only). </w:t>
      </w:r>
      <w:r w:rsidRPr="00B63CD0">
        <w:t>The trial included sites in Australia (11.6% of the enrolled patients were from Australia). Randomisation was stratified by PSA level at screening (</w:t>
      </w:r>
      <w:r w:rsidRPr="00B63CD0">
        <w:rPr>
          <w:rFonts w:cs="Calibri"/>
        </w:rPr>
        <w:t>≤</w:t>
      </w:r>
      <w:r w:rsidRPr="00B63CD0">
        <w:t>10 or &gt;10 ng/mL), PSADT (</w:t>
      </w:r>
      <w:r w:rsidRPr="00B63CD0">
        <w:rPr>
          <w:rFonts w:cs="Calibri"/>
        </w:rPr>
        <w:t>≤</w:t>
      </w:r>
      <w:r w:rsidRPr="00B63CD0">
        <w:t xml:space="preserve">3 or &gt;3 to </w:t>
      </w:r>
      <w:r w:rsidRPr="00B63CD0">
        <w:rPr>
          <w:rFonts w:cs="Calibri"/>
        </w:rPr>
        <w:t>≤</w:t>
      </w:r>
      <w:r w:rsidRPr="00B63CD0">
        <w:t>9 months) and previous hormonal therapy (yes or no).</w:t>
      </w:r>
    </w:p>
    <w:p w14:paraId="2A1AF28F" w14:textId="7C51CCA7" w:rsidR="007A4DAA" w:rsidRPr="00B63CD0" w:rsidRDefault="000627FE" w:rsidP="007A4DAA">
      <w:pPr>
        <w:pStyle w:val="3-BodyText"/>
      </w:pPr>
      <w:r w:rsidRPr="00B63CD0">
        <w:t xml:space="preserve">The overall risk of bias was considered low, noting the potential increased risk of bias due to the open-label nature of the enzalutamide monotherapy arm and 51 patients (4.8%) reporting at least one major protocol deviation. However, given the use of conventional imaging for trial enrolment, the EMBARK trial potentially included a sizeable proportion of patients with metastatic disease on PSMA-PET imaging. A </w:t>
      </w:r>
      <w:r w:rsidRPr="008476AA">
        <w:rPr>
          <w:i/>
          <w:iCs/>
        </w:rPr>
        <w:t xml:space="preserve">post-hoc </w:t>
      </w:r>
      <w:r w:rsidRPr="00B63CD0">
        <w:t>analysis by Armstrong 2023</w:t>
      </w:r>
      <w:r w:rsidRPr="00B63CD0">
        <w:rPr>
          <w:rStyle w:val="FootnoteReference"/>
        </w:rPr>
        <w:footnoteReference w:id="11"/>
      </w:r>
      <w:r w:rsidRPr="00B63CD0">
        <w:t xml:space="preserve"> enrolled an ‘EMBARK-like’ cohort using conventional imaging and found that PSMA-PET imaging detected 40% of these patients had metastatic disease.</w:t>
      </w:r>
    </w:p>
    <w:p w14:paraId="04B6CDB4" w14:textId="0CC139B7" w:rsidR="00967AFD" w:rsidRPr="00B63CD0" w:rsidRDefault="000627FE" w:rsidP="00967AFD">
      <w:pPr>
        <w:pStyle w:val="3-BodyText"/>
      </w:pPr>
      <w:r w:rsidRPr="00B63CD0">
        <w:t xml:space="preserve">Treatment in EMBARK was suspended </w:t>
      </w:r>
      <w:r w:rsidR="00FF1F6D">
        <w:t>from</w:t>
      </w:r>
      <w:r w:rsidR="00FF1F6D" w:rsidRPr="00B63CD0">
        <w:t xml:space="preserve"> </w:t>
      </w:r>
      <w:r w:rsidRPr="00B63CD0">
        <w:t>Week 37 if the PSA level was undetectable (</w:t>
      </w:r>
      <w:r w:rsidRPr="00B63CD0">
        <w:rPr>
          <w:rFonts w:cs="Calibri"/>
        </w:rPr>
        <w:t>≤</w:t>
      </w:r>
      <w:r w:rsidRPr="00B63CD0">
        <w:t xml:space="preserve">0.2 ng/mL) and was restarted when the PSA level </w:t>
      </w:r>
      <w:r w:rsidR="00C525D5" w:rsidRPr="00B63CD0">
        <w:t xml:space="preserve">rose to </w:t>
      </w:r>
      <w:r w:rsidRPr="00B63CD0">
        <w:rPr>
          <w:rFonts w:cs="Calibri"/>
        </w:rPr>
        <w:t xml:space="preserve">≥ </w:t>
      </w:r>
      <w:r w:rsidRPr="00B63CD0">
        <w:t xml:space="preserve">2.0 ng/mL if the patient had prior radical prostatectomy or </w:t>
      </w:r>
      <w:r w:rsidRPr="00B63CD0">
        <w:rPr>
          <w:rFonts w:cs="Calibri"/>
        </w:rPr>
        <w:t>≥</w:t>
      </w:r>
      <w:r w:rsidRPr="00B63CD0">
        <w:t xml:space="preserve"> 5.0 ng/mL if the patient had not had previous </w:t>
      </w:r>
      <w:r w:rsidRPr="00B63CD0">
        <w:lastRenderedPageBreak/>
        <w:t>radical prostatectomy. Treatment suspension was included in the design of the trial to minimise adverse effects associated with long-term continuous ADT/androgen receptor inhibition</w:t>
      </w:r>
      <w:r w:rsidR="005420F7">
        <w:t>. It</w:t>
      </w:r>
      <w:r w:rsidRPr="00B63CD0">
        <w:t xml:space="preserve"> was unclear what proportion of patients would undergo treatment suspension in clinical practice, or the rationale for the PSA thresholds and timing adopted by the trial. At censoring, the mean duration of treatment suspension ranged from 18 months to 29.9 months across the arms, and 8.2% to 20.2% patients without disease progression had not yet reinitiated treatment.</w:t>
      </w:r>
    </w:p>
    <w:p w14:paraId="7BC5E1A1" w14:textId="2675E9C9" w:rsidR="00BE24C5" w:rsidRPr="00B63CD0" w:rsidRDefault="000D3ECC" w:rsidP="00D41157">
      <w:pPr>
        <w:pStyle w:val="3-BodyText"/>
      </w:pPr>
      <w:r w:rsidRPr="00B63CD0">
        <w:fldChar w:fldCharType="begin" w:fldLock="1"/>
      </w:r>
      <w:r w:rsidRPr="00B63CD0">
        <w:instrText xml:space="preserve"> REF _Ref176768849 \h </w:instrText>
      </w:r>
      <w:r w:rsidR="00B63CD0" w:rsidRPr="00B63CD0">
        <w:instrText xml:space="preserve"> \* MERGEFORMAT </w:instrText>
      </w:r>
      <w:r w:rsidRPr="00B63CD0">
        <w:fldChar w:fldCharType="separate"/>
      </w:r>
      <w:r w:rsidR="006619E7" w:rsidRPr="00B63CD0">
        <w:t xml:space="preserve">Table </w:t>
      </w:r>
      <w:r w:rsidR="006619E7" w:rsidRPr="00B63CD0">
        <w:rPr>
          <w:noProof/>
        </w:rPr>
        <w:t>4</w:t>
      </w:r>
      <w:r w:rsidRPr="00B63CD0">
        <w:fldChar w:fldCharType="end"/>
      </w:r>
      <w:r w:rsidRPr="00B63CD0">
        <w:t xml:space="preserve"> </w:t>
      </w:r>
      <w:r w:rsidR="00BE24C5" w:rsidRPr="00B63CD0">
        <w:t>summarises the duration of treatment in EMBARK</w:t>
      </w:r>
      <w:r w:rsidR="00967AFD" w:rsidRPr="00B63CD0">
        <w:t>, including and excluding treatment suspension</w:t>
      </w:r>
      <w:r w:rsidR="00BE24C5" w:rsidRPr="00B63CD0">
        <w:t>. The dosing regimen of enzalutamide in EMBARK was consistent with the draft PI.</w:t>
      </w:r>
    </w:p>
    <w:p w14:paraId="5AE12245" w14:textId="406D8D92" w:rsidR="00BE24C5" w:rsidRPr="001209DB" w:rsidRDefault="000D3ECC" w:rsidP="000D3ECC">
      <w:pPr>
        <w:pStyle w:val="Caption"/>
        <w:jc w:val="left"/>
        <w:rPr>
          <w:rStyle w:val="CommentReference"/>
          <w:b/>
          <w:szCs w:val="24"/>
        </w:rPr>
      </w:pPr>
      <w:bookmarkStart w:id="21" w:name="_Ref176768849"/>
      <w:r w:rsidRPr="001209DB">
        <w:t xml:space="preserve">Table </w:t>
      </w:r>
      <w:r w:rsidRPr="001209DB">
        <w:fldChar w:fldCharType="begin" w:fldLock="1"/>
      </w:r>
      <w:r w:rsidRPr="001209DB">
        <w:instrText xml:space="preserve"> SEQ Table \* ARABIC </w:instrText>
      </w:r>
      <w:r w:rsidRPr="001209DB">
        <w:fldChar w:fldCharType="separate"/>
      </w:r>
      <w:r w:rsidR="00DF24EF" w:rsidRPr="001209DB">
        <w:rPr>
          <w:noProof/>
        </w:rPr>
        <w:t>4</w:t>
      </w:r>
      <w:r w:rsidRPr="001209DB">
        <w:rPr>
          <w:noProof/>
        </w:rPr>
        <w:fldChar w:fldCharType="end"/>
      </w:r>
      <w:bookmarkEnd w:id="21"/>
      <w:r w:rsidRPr="001209DB">
        <w:t xml:space="preserve">: </w:t>
      </w:r>
      <w:r w:rsidR="00BE24C5" w:rsidRPr="001209DB">
        <w:rPr>
          <w:rStyle w:val="CommentReference"/>
          <w:b/>
          <w:szCs w:val="24"/>
        </w:rPr>
        <w:t>Interventions compared in the EMBARK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Interventions compared in the EMBARK trial"/>
      </w:tblPr>
      <w:tblGrid>
        <w:gridCol w:w="988"/>
        <w:gridCol w:w="1986"/>
        <w:gridCol w:w="1701"/>
        <w:gridCol w:w="1841"/>
        <w:gridCol w:w="1560"/>
        <w:gridCol w:w="941"/>
      </w:tblGrid>
      <w:tr w:rsidR="007C7898" w:rsidRPr="001209DB" w14:paraId="238769E4" w14:textId="77777777" w:rsidTr="00506B8D">
        <w:trPr>
          <w:trHeight w:val="510"/>
          <w:tblHeader/>
        </w:trPr>
        <w:tc>
          <w:tcPr>
            <w:tcW w:w="548" w:type="pct"/>
            <w:vAlign w:val="center"/>
          </w:tcPr>
          <w:p w14:paraId="09EC872A" w14:textId="77777777" w:rsidR="00BE24C5" w:rsidRPr="001209DB" w:rsidRDefault="00BE24C5" w:rsidP="003A3EB9">
            <w:pPr>
              <w:pStyle w:val="In-tableHeading"/>
              <w:jc w:val="center"/>
              <w:rPr>
                <w:bCs/>
              </w:rPr>
            </w:pPr>
            <w:r w:rsidRPr="001209DB">
              <w:rPr>
                <w:bCs/>
              </w:rPr>
              <w:t>Treatment</w:t>
            </w:r>
          </w:p>
        </w:tc>
        <w:tc>
          <w:tcPr>
            <w:tcW w:w="1101" w:type="pct"/>
            <w:vAlign w:val="center"/>
          </w:tcPr>
          <w:p w14:paraId="5209FE6B" w14:textId="77777777" w:rsidR="00BE24C5" w:rsidRPr="001209DB" w:rsidRDefault="00BE24C5" w:rsidP="003A3EB9">
            <w:pPr>
              <w:pStyle w:val="In-tableHeading"/>
              <w:jc w:val="center"/>
              <w:rPr>
                <w:bCs/>
              </w:rPr>
            </w:pPr>
            <w:r w:rsidRPr="001209DB">
              <w:rPr>
                <w:bCs/>
              </w:rPr>
              <w:t>Dosage regimen</w:t>
            </w:r>
          </w:p>
        </w:tc>
        <w:tc>
          <w:tcPr>
            <w:tcW w:w="943" w:type="pct"/>
            <w:vAlign w:val="center"/>
          </w:tcPr>
          <w:p w14:paraId="6472367F" w14:textId="4FDECB78" w:rsidR="00BE24C5" w:rsidRPr="001209DB" w:rsidRDefault="00BE24C5" w:rsidP="003A3EB9">
            <w:pPr>
              <w:pStyle w:val="In-tableHeading"/>
              <w:jc w:val="center"/>
              <w:rPr>
                <w:bCs/>
              </w:rPr>
            </w:pPr>
            <w:r w:rsidRPr="001209DB">
              <w:rPr>
                <w:bCs/>
              </w:rPr>
              <w:t xml:space="preserve">Duration (months) of treatment (incl. suspension)# </w:t>
            </w:r>
          </w:p>
          <w:p w14:paraId="0CA187FF" w14:textId="77777777" w:rsidR="00BE24C5" w:rsidRPr="001209DB" w:rsidRDefault="00BE24C5" w:rsidP="003A3EB9">
            <w:pPr>
              <w:pStyle w:val="In-tableHeading"/>
              <w:jc w:val="center"/>
              <w:rPr>
                <w:bCs/>
              </w:rPr>
            </w:pPr>
            <w:r w:rsidRPr="001209DB">
              <w:rPr>
                <w:bCs/>
              </w:rPr>
              <w:t>Mean (sd) / median (range)</w:t>
            </w:r>
          </w:p>
        </w:tc>
        <w:tc>
          <w:tcPr>
            <w:tcW w:w="1021" w:type="pct"/>
            <w:vAlign w:val="center"/>
          </w:tcPr>
          <w:p w14:paraId="2BEAFDA8" w14:textId="1083ECBE" w:rsidR="00BE24C5" w:rsidRPr="001209DB" w:rsidRDefault="00BE24C5" w:rsidP="003A3EB9">
            <w:pPr>
              <w:pStyle w:val="In-tableHeading"/>
              <w:jc w:val="center"/>
              <w:rPr>
                <w:bCs/>
              </w:rPr>
            </w:pPr>
            <w:r w:rsidRPr="001209DB">
              <w:rPr>
                <w:bCs/>
              </w:rPr>
              <w:t>Duration (months) of treatment suspension</w:t>
            </w:r>
          </w:p>
          <w:p w14:paraId="7111DC76" w14:textId="53739384" w:rsidR="00BE24C5" w:rsidRPr="001209DB" w:rsidRDefault="00BE24C5" w:rsidP="003A3EB9">
            <w:pPr>
              <w:pStyle w:val="In-tableHeading"/>
              <w:jc w:val="center"/>
              <w:rPr>
                <w:bCs/>
              </w:rPr>
            </w:pPr>
            <w:r w:rsidRPr="001209DB">
              <w:rPr>
                <w:bCs/>
              </w:rPr>
              <w:t>%</w:t>
            </w:r>
            <w:r w:rsidR="00D3383E" w:rsidRPr="001209DB">
              <w:rPr>
                <w:bCs/>
              </w:rPr>
              <w:t xml:space="preserve"> </w:t>
            </w:r>
            <w:r w:rsidRPr="001209DB">
              <w:rPr>
                <w:bCs/>
              </w:rPr>
              <w:t>patients, mean (sd) / median range)</w:t>
            </w:r>
          </w:p>
        </w:tc>
        <w:tc>
          <w:tcPr>
            <w:tcW w:w="865" w:type="pct"/>
            <w:vAlign w:val="center"/>
          </w:tcPr>
          <w:p w14:paraId="5543912E" w14:textId="0B09CEEE" w:rsidR="00BE24C5" w:rsidRPr="001209DB" w:rsidRDefault="00BE24C5" w:rsidP="003A3EB9">
            <w:pPr>
              <w:pStyle w:val="In-tableHeading"/>
              <w:jc w:val="center"/>
              <w:rPr>
                <w:bCs/>
              </w:rPr>
            </w:pPr>
            <w:r w:rsidRPr="001209DB">
              <w:rPr>
                <w:bCs/>
              </w:rPr>
              <w:t>Duration (months) of treatment (excl. suspension)</w:t>
            </w:r>
          </w:p>
          <w:p w14:paraId="1C25645C" w14:textId="77777777" w:rsidR="00BE24C5" w:rsidRPr="001209DB" w:rsidRDefault="00BE24C5" w:rsidP="003A3EB9">
            <w:pPr>
              <w:pStyle w:val="In-tableHeading"/>
              <w:jc w:val="center"/>
              <w:rPr>
                <w:bCs/>
              </w:rPr>
            </w:pPr>
            <w:r w:rsidRPr="001209DB">
              <w:rPr>
                <w:bCs/>
              </w:rPr>
              <w:t>mean (sd) / median range)</w:t>
            </w:r>
          </w:p>
        </w:tc>
        <w:tc>
          <w:tcPr>
            <w:tcW w:w="522" w:type="pct"/>
            <w:vAlign w:val="center"/>
          </w:tcPr>
          <w:p w14:paraId="6187DE4F" w14:textId="77777777" w:rsidR="00BE24C5" w:rsidRPr="001209DB" w:rsidRDefault="00BE24C5" w:rsidP="003A3EB9">
            <w:pPr>
              <w:pStyle w:val="In-tableHeading"/>
              <w:jc w:val="center"/>
              <w:rPr>
                <w:bCs/>
              </w:rPr>
            </w:pPr>
            <w:r w:rsidRPr="001209DB">
              <w:rPr>
                <w:bCs/>
              </w:rPr>
              <w:t>Follow-up (months)</w:t>
            </w:r>
          </w:p>
          <w:p w14:paraId="34686214" w14:textId="77777777" w:rsidR="00BE24C5" w:rsidRPr="001209DB" w:rsidRDefault="00BE24C5" w:rsidP="003A3EB9">
            <w:pPr>
              <w:pStyle w:val="In-tableHeading"/>
              <w:jc w:val="center"/>
              <w:rPr>
                <w:bCs/>
              </w:rPr>
            </w:pPr>
            <w:r w:rsidRPr="001209DB">
              <w:rPr>
                <w:bCs/>
              </w:rPr>
              <w:t xml:space="preserve"> median (range)</w:t>
            </w:r>
          </w:p>
        </w:tc>
      </w:tr>
      <w:tr w:rsidR="007C7898" w:rsidRPr="001209DB" w14:paraId="05B3A297" w14:textId="77777777" w:rsidTr="00506B8D">
        <w:trPr>
          <w:trHeight w:val="510"/>
        </w:trPr>
        <w:tc>
          <w:tcPr>
            <w:tcW w:w="548" w:type="pct"/>
            <w:vAlign w:val="center"/>
          </w:tcPr>
          <w:p w14:paraId="1CF61464" w14:textId="3A12D729" w:rsidR="00BE24C5" w:rsidRPr="001209DB" w:rsidRDefault="007C7898" w:rsidP="003A3EB9">
            <w:pPr>
              <w:pStyle w:val="TableText0"/>
            </w:pPr>
            <w:r w:rsidRPr="001209DB">
              <w:t>ENZA</w:t>
            </w:r>
            <w:r w:rsidR="00BE24C5" w:rsidRPr="001209DB">
              <w:t xml:space="preserve"> + ADT</w:t>
            </w:r>
          </w:p>
        </w:tc>
        <w:tc>
          <w:tcPr>
            <w:tcW w:w="1101" w:type="pct"/>
            <w:vAlign w:val="center"/>
          </w:tcPr>
          <w:p w14:paraId="2778FB86" w14:textId="67BC52E5" w:rsidR="00BE24C5" w:rsidRPr="001209DB" w:rsidRDefault="007C7898" w:rsidP="003A3EB9">
            <w:pPr>
              <w:pStyle w:val="TableText0"/>
            </w:pPr>
            <w:r w:rsidRPr="001209DB">
              <w:t>ENZA</w:t>
            </w:r>
            <w:r w:rsidR="00BE24C5" w:rsidRPr="001209DB">
              <w:t xml:space="preserve"> 160</w:t>
            </w:r>
            <w:r w:rsidR="00C02E47" w:rsidRPr="001209DB">
              <w:t xml:space="preserve"> </w:t>
            </w:r>
            <w:r w:rsidR="00BE24C5" w:rsidRPr="001209DB">
              <w:t>mg (4 x 40 mg) oral capsules once daily + ADT (leuprorelin 22.5 mg IM or SC every 12 weeks)</w:t>
            </w:r>
          </w:p>
        </w:tc>
        <w:tc>
          <w:tcPr>
            <w:tcW w:w="943" w:type="pct"/>
            <w:vAlign w:val="center"/>
          </w:tcPr>
          <w:p w14:paraId="67560A2F" w14:textId="77777777" w:rsidR="00BE24C5" w:rsidRPr="001209DB" w:rsidRDefault="00BE24C5" w:rsidP="003A3EB9">
            <w:pPr>
              <w:pStyle w:val="TableText0"/>
              <w:jc w:val="center"/>
            </w:pPr>
            <w:r w:rsidRPr="001209DB">
              <w:t>51.9 (26.25) /</w:t>
            </w:r>
          </w:p>
          <w:p w14:paraId="6AD1AA5A" w14:textId="77777777" w:rsidR="00BE24C5" w:rsidRPr="001209DB" w:rsidRDefault="00BE24C5" w:rsidP="003A3EB9">
            <w:pPr>
              <w:pStyle w:val="TableText0"/>
              <w:jc w:val="center"/>
            </w:pPr>
            <w:r w:rsidRPr="001209DB">
              <w:t>60.6 (0.1, 90.4)</w:t>
            </w:r>
          </w:p>
        </w:tc>
        <w:tc>
          <w:tcPr>
            <w:tcW w:w="1021" w:type="pct"/>
            <w:vAlign w:val="center"/>
          </w:tcPr>
          <w:p w14:paraId="08813383" w14:textId="77777777" w:rsidR="00BE24C5" w:rsidRPr="001209DB" w:rsidRDefault="00BE24C5" w:rsidP="003A3EB9">
            <w:pPr>
              <w:pStyle w:val="TableText0"/>
              <w:jc w:val="center"/>
            </w:pPr>
            <w:r w:rsidRPr="001209DB">
              <w:t>90.9% patients,</w:t>
            </w:r>
          </w:p>
          <w:p w14:paraId="5FA1E2F5" w14:textId="2E0260C8" w:rsidR="00BE24C5" w:rsidRPr="001209DB" w:rsidRDefault="00BE24C5" w:rsidP="003A3EB9">
            <w:pPr>
              <w:pStyle w:val="TableText0"/>
              <w:jc w:val="center"/>
            </w:pPr>
            <w:r w:rsidRPr="001209DB">
              <w:t xml:space="preserve">29.9 (20.61) / </w:t>
            </w:r>
            <w:r w:rsidR="00920CCC" w:rsidRPr="001209DB">
              <w:br/>
            </w:r>
            <w:r w:rsidRPr="001209DB">
              <w:t>20.2 (5.7, 87.9)</w:t>
            </w:r>
          </w:p>
        </w:tc>
        <w:tc>
          <w:tcPr>
            <w:tcW w:w="865" w:type="pct"/>
            <w:vAlign w:val="center"/>
          </w:tcPr>
          <w:p w14:paraId="608CBDF3" w14:textId="1398C527" w:rsidR="00BE24C5" w:rsidRPr="001209DB" w:rsidRDefault="00BE24C5" w:rsidP="003A3EB9">
            <w:pPr>
              <w:pStyle w:val="TableText0"/>
              <w:jc w:val="center"/>
            </w:pPr>
            <w:r w:rsidRPr="001209DB">
              <w:t xml:space="preserve">32.5 (22.31) / </w:t>
            </w:r>
            <w:r w:rsidR="00920CCC" w:rsidRPr="001209DB">
              <w:br/>
            </w:r>
            <w:r w:rsidRPr="001209DB">
              <w:t>32.4 (0.1, 83.4)</w:t>
            </w:r>
          </w:p>
        </w:tc>
        <w:tc>
          <w:tcPr>
            <w:tcW w:w="522" w:type="pct"/>
            <w:vAlign w:val="center"/>
          </w:tcPr>
          <w:p w14:paraId="125FF12A" w14:textId="77777777" w:rsidR="00BE24C5" w:rsidRPr="001209DB" w:rsidRDefault="00BE24C5" w:rsidP="003A3EB9">
            <w:pPr>
              <w:pStyle w:val="TableText0"/>
              <w:jc w:val="center"/>
            </w:pPr>
            <w:r w:rsidRPr="001209DB">
              <w:t>60.7</w:t>
            </w:r>
          </w:p>
        </w:tc>
      </w:tr>
      <w:tr w:rsidR="007C7898" w:rsidRPr="001209DB" w14:paraId="5140A041" w14:textId="77777777" w:rsidTr="00506B8D">
        <w:trPr>
          <w:trHeight w:val="510"/>
        </w:trPr>
        <w:tc>
          <w:tcPr>
            <w:tcW w:w="548" w:type="pct"/>
            <w:vAlign w:val="center"/>
          </w:tcPr>
          <w:p w14:paraId="57713586" w14:textId="420FE7FB" w:rsidR="00BE24C5" w:rsidRPr="001209DB" w:rsidRDefault="007C7898" w:rsidP="003A3EB9">
            <w:pPr>
              <w:pStyle w:val="TableText0"/>
            </w:pPr>
            <w:r w:rsidRPr="001209DB">
              <w:t>ENZA</w:t>
            </w:r>
          </w:p>
        </w:tc>
        <w:tc>
          <w:tcPr>
            <w:tcW w:w="1101" w:type="pct"/>
            <w:vAlign w:val="center"/>
          </w:tcPr>
          <w:p w14:paraId="2D1F3823" w14:textId="3EC4F688" w:rsidR="00BE24C5" w:rsidRPr="001209DB" w:rsidRDefault="007C7898" w:rsidP="003A3EB9">
            <w:pPr>
              <w:pStyle w:val="TableText0"/>
            </w:pPr>
            <w:r w:rsidRPr="001209DB">
              <w:t>ENZA</w:t>
            </w:r>
            <w:r w:rsidR="00BE24C5" w:rsidRPr="001209DB">
              <w:t xml:space="preserve"> 160</w:t>
            </w:r>
            <w:r w:rsidR="00C02E47" w:rsidRPr="001209DB">
              <w:t xml:space="preserve"> </w:t>
            </w:r>
            <w:r w:rsidR="00BE24C5" w:rsidRPr="001209DB">
              <w:t>mg (4 x 40 mg) oral capsules once daily</w:t>
            </w:r>
          </w:p>
        </w:tc>
        <w:tc>
          <w:tcPr>
            <w:tcW w:w="943" w:type="pct"/>
            <w:vAlign w:val="center"/>
          </w:tcPr>
          <w:p w14:paraId="21B9641E" w14:textId="77777777" w:rsidR="00BE24C5" w:rsidRPr="001209DB" w:rsidRDefault="00BE24C5" w:rsidP="003A3EB9">
            <w:pPr>
              <w:pStyle w:val="TableText0"/>
              <w:jc w:val="center"/>
            </w:pPr>
            <w:r w:rsidRPr="001209DB">
              <w:t>53.0 (24.06) /</w:t>
            </w:r>
          </w:p>
          <w:p w14:paraId="60429EB9" w14:textId="77777777" w:rsidR="00BE24C5" w:rsidRPr="001209DB" w:rsidRDefault="00BE24C5" w:rsidP="003A3EB9">
            <w:pPr>
              <w:pStyle w:val="TableText0"/>
              <w:jc w:val="center"/>
            </w:pPr>
            <w:r w:rsidRPr="001209DB">
              <w:t>60.4 (0.4, 95.0)</w:t>
            </w:r>
          </w:p>
        </w:tc>
        <w:tc>
          <w:tcPr>
            <w:tcW w:w="1021" w:type="pct"/>
            <w:vAlign w:val="center"/>
          </w:tcPr>
          <w:p w14:paraId="76D01883" w14:textId="77777777" w:rsidR="00BE24C5" w:rsidRPr="001209DB" w:rsidRDefault="00BE24C5" w:rsidP="003A3EB9">
            <w:pPr>
              <w:pStyle w:val="TableText0"/>
              <w:jc w:val="center"/>
            </w:pPr>
            <w:r w:rsidRPr="001209DB">
              <w:t>85.9% patients,</w:t>
            </w:r>
          </w:p>
          <w:p w14:paraId="28495CB7" w14:textId="02CFCBEE" w:rsidR="00BE24C5" w:rsidRPr="001209DB" w:rsidRDefault="00BE24C5" w:rsidP="003A3EB9">
            <w:pPr>
              <w:pStyle w:val="TableText0"/>
              <w:jc w:val="center"/>
            </w:pPr>
            <w:r w:rsidRPr="001209DB">
              <w:t xml:space="preserve">18.0 (18.14) / </w:t>
            </w:r>
            <w:r w:rsidR="00920CCC" w:rsidRPr="001209DB">
              <w:br/>
            </w:r>
            <w:r w:rsidRPr="001209DB">
              <w:t>11.1 (2.3, 84.9)</w:t>
            </w:r>
          </w:p>
        </w:tc>
        <w:tc>
          <w:tcPr>
            <w:tcW w:w="865" w:type="pct"/>
            <w:vAlign w:val="center"/>
          </w:tcPr>
          <w:p w14:paraId="2176AD87" w14:textId="18A6A828" w:rsidR="00BE24C5" w:rsidRPr="001209DB" w:rsidRDefault="00BE24C5" w:rsidP="003A3EB9">
            <w:pPr>
              <w:pStyle w:val="TableText0"/>
              <w:jc w:val="center"/>
            </w:pPr>
            <w:r w:rsidRPr="001209DB">
              <w:t xml:space="preserve">41.2 (22.49) / </w:t>
            </w:r>
            <w:r w:rsidR="00920CCC" w:rsidRPr="001209DB">
              <w:br/>
            </w:r>
            <w:r w:rsidRPr="001209DB">
              <w:t>45.9 (0.4, 88.9)</w:t>
            </w:r>
          </w:p>
        </w:tc>
        <w:tc>
          <w:tcPr>
            <w:tcW w:w="522" w:type="pct"/>
            <w:vAlign w:val="center"/>
          </w:tcPr>
          <w:p w14:paraId="60EBCDBC" w14:textId="77777777" w:rsidR="00BE24C5" w:rsidRPr="001209DB" w:rsidRDefault="00BE24C5" w:rsidP="003A3EB9">
            <w:pPr>
              <w:pStyle w:val="TableText0"/>
              <w:jc w:val="center"/>
            </w:pPr>
            <w:r w:rsidRPr="001209DB">
              <w:t>60.7</w:t>
            </w:r>
          </w:p>
        </w:tc>
      </w:tr>
      <w:tr w:rsidR="007C7898" w:rsidRPr="0098262F" w14:paraId="31FCF223" w14:textId="77777777" w:rsidTr="00506B8D">
        <w:trPr>
          <w:trHeight w:val="510"/>
        </w:trPr>
        <w:tc>
          <w:tcPr>
            <w:tcW w:w="548" w:type="pct"/>
            <w:vAlign w:val="center"/>
          </w:tcPr>
          <w:p w14:paraId="3750BA3A" w14:textId="77777777" w:rsidR="00BE24C5" w:rsidRPr="001209DB" w:rsidRDefault="00BE24C5" w:rsidP="003A3EB9">
            <w:pPr>
              <w:pStyle w:val="TableText0"/>
            </w:pPr>
            <w:r w:rsidRPr="001209DB">
              <w:t>PBO + ADT</w:t>
            </w:r>
          </w:p>
        </w:tc>
        <w:tc>
          <w:tcPr>
            <w:tcW w:w="1101" w:type="pct"/>
            <w:vAlign w:val="center"/>
          </w:tcPr>
          <w:p w14:paraId="2F050A07" w14:textId="269A21C9" w:rsidR="00BE24C5" w:rsidRPr="001209DB" w:rsidRDefault="007C7898" w:rsidP="003A3EB9">
            <w:pPr>
              <w:pStyle w:val="TableText0"/>
            </w:pPr>
            <w:r w:rsidRPr="001209DB">
              <w:t>PBO</w:t>
            </w:r>
            <w:r w:rsidR="00BE24C5" w:rsidRPr="001209DB">
              <w:t xml:space="preserve"> oral capsule^ + ADT (leuprorelin 22.5 mg IM or SC every 12 weeks)</w:t>
            </w:r>
          </w:p>
        </w:tc>
        <w:tc>
          <w:tcPr>
            <w:tcW w:w="943" w:type="pct"/>
            <w:vAlign w:val="center"/>
          </w:tcPr>
          <w:p w14:paraId="6F5E88E7" w14:textId="77777777" w:rsidR="00BE24C5" w:rsidRPr="001209DB" w:rsidRDefault="00BE24C5" w:rsidP="003A3EB9">
            <w:pPr>
              <w:pStyle w:val="TableText0"/>
              <w:jc w:val="center"/>
            </w:pPr>
            <w:r w:rsidRPr="001209DB">
              <w:t>47.8 (24.74) /</w:t>
            </w:r>
          </w:p>
          <w:p w14:paraId="18B7085F" w14:textId="77777777" w:rsidR="00BE24C5" w:rsidRPr="001209DB" w:rsidRDefault="00BE24C5" w:rsidP="003A3EB9">
            <w:pPr>
              <w:pStyle w:val="TableText0"/>
              <w:jc w:val="center"/>
            </w:pPr>
            <w:r w:rsidRPr="001209DB">
              <w:t>55.6 (0.7, 94.1)</w:t>
            </w:r>
          </w:p>
        </w:tc>
        <w:tc>
          <w:tcPr>
            <w:tcW w:w="1021" w:type="pct"/>
            <w:vAlign w:val="center"/>
          </w:tcPr>
          <w:p w14:paraId="40C8E121" w14:textId="77777777" w:rsidR="00BE24C5" w:rsidRPr="001209DB" w:rsidRDefault="00BE24C5" w:rsidP="003A3EB9">
            <w:pPr>
              <w:pStyle w:val="TableText0"/>
              <w:jc w:val="center"/>
            </w:pPr>
            <w:r w:rsidRPr="001209DB">
              <w:t>67.8% patients,</w:t>
            </w:r>
          </w:p>
          <w:p w14:paraId="757186CD" w14:textId="64C90E57" w:rsidR="00BE24C5" w:rsidRPr="001209DB" w:rsidRDefault="00BE24C5" w:rsidP="003A3EB9">
            <w:pPr>
              <w:pStyle w:val="TableText0"/>
              <w:jc w:val="center"/>
            </w:pPr>
            <w:r w:rsidRPr="001209DB">
              <w:t xml:space="preserve">24.4 (18.68) / </w:t>
            </w:r>
            <w:r w:rsidR="00920CCC" w:rsidRPr="001209DB">
              <w:br/>
            </w:r>
            <w:r w:rsidRPr="001209DB">
              <w:t>16.8 (3.4, 83.0)</w:t>
            </w:r>
          </w:p>
        </w:tc>
        <w:tc>
          <w:tcPr>
            <w:tcW w:w="865" w:type="pct"/>
            <w:vAlign w:val="center"/>
          </w:tcPr>
          <w:p w14:paraId="1F4D622E" w14:textId="5CF835C5" w:rsidR="00BE24C5" w:rsidRPr="001209DB" w:rsidRDefault="00BE24C5" w:rsidP="003A3EB9">
            <w:pPr>
              <w:pStyle w:val="TableText0"/>
              <w:jc w:val="center"/>
            </w:pPr>
            <w:r w:rsidRPr="001209DB">
              <w:t xml:space="preserve">35.2 (21.46) / </w:t>
            </w:r>
            <w:r w:rsidR="00920CCC" w:rsidRPr="001209DB">
              <w:br/>
            </w:r>
            <w:r w:rsidRPr="001209DB">
              <w:t>35.4 (0.7, 85.7)</w:t>
            </w:r>
          </w:p>
        </w:tc>
        <w:tc>
          <w:tcPr>
            <w:tcW w:w="522" w:type="pct"/>
            <w:vAlign w:val="center"/>
          </w:tcPr>
          <w:p w14:paraId="76BC545A" w14:textId="77777777" w:rsidR="00BE24C5" w:rsidRPr="001209DB" w:rsidRDefault="00BE24C5" w:rsidP="003A3EB9">
            <w:pPr>
              <w:pStyle w:val="TableText0"/>
              <w:jc w:val="center"/>
            </w:pPr>
            <w:r w:rsidRPr="001209DB">
              <w:t>60.6</w:t>
            </w:r>
          </w:p>
        </w:tc>
      </w:tr>
    </w:tbl>
    <w:p w14:paraId="4FE202DA" w14:textId="77777777" w:rsidR="00BE24C5" w:rsidRDefault="00BE24C5" w:rsidP="00BE24C5">
      <w:pPr>
        <w:pStyle w:val="FooterTableFigure"/>
      </w:pPr>
      <w:r w:rsidRPr="0098262F">
        <w:t xml:space="preserve">Source: </w:t>
      </w:r>
      <w:r>
        <w:t>Section 2.4.2, pp46-47 of the submission.</w:t>
      </w:r>
    </w:p>
    <w:p w14:paraId="2C9452BE" w14:textId="14EBBAA1" w:rsidR="00BE24C5" w:rsidRDefault="00BE24C5" w:rsidP="00BE24C5">
      <w:pPr>
        <w:pStyle w:val="FooterTableFigure"/>
      </w:pPr>
      <w:r>
        <w:t xml:space="preserve">ADT=androgen deprivation therapy; </w:t>
      </w:r>
      <w:r w:rsidR="007C7898">
        <w:t xml:space="preserve">ENZA=enzalutamide; </w:t>
      </w:r>
      <w:r>
        <w:t>IM=intramuscular; PBO=placebo; SC=subcutaneous</w:t>
      </w:r>
      <w:r w:rsidR="00C02E47">
        <w:t>; sd=standard deviation</w:t>
      </w:r>
    </w:p>
    <w:p w14:paraId="51370BEE" w14:textId="77777777" w:rsidR="00BE24C5" w:rsidRDefault="00BE24C5" w:rsidP="00BE24C5">
      <w:pPr>
        <w:pStyle w:val="FooterTableFigure"/>
        <w:tabs>
          <w:tab w:val="left" w:pos="142"/>
        </w:tabs>
      </w:pPr>
      <w:r>
        <w:t>^</w:t>
      </w:r>
      <w:r>
        <w:tab/>
        <w:t>Placebo capsules were identical in appearance to enzalutamide capsules and administered in the same manner as enzalutamide.</w:t>
      </w:r>
    </w:p>
    <w:p w14:paraId="47D1792F" w14:textId="77777777" w:rsidR="00BE24C5" w:rsidRDefault="00BE24C5" w:rsidP="00BE24C5">
      <w:pPr>
        <w:pStyle w:val="FooterTableFigure"/>
        <w:tabs>
          <w:tab w:val="left" w:pos="142"/>
        </w:tabs>
      </w:pPr>
      <w:r>
        <w:t>#</w:t>
      </w:r>
      <w:r>
        <w:tab/>
      </w:r>
      <w:r w:rsidRPr="001209DB">
        <w:t>Treatment duration including the period of treatment suspension (if applicable).</w:t>
      </w:r>
    </w:p>
    <w:p w14:paraId="73B51354" w14:textId="0AD8ADC1" w:rsidR="00A31683" w:rsidRPr="00D272EE" w:rsidRDefault="00630A6B" w:rsidP="00BE24C5">
      <w:pPr>
        <w:pStyle w:val="FooterTableFigure"/>
        <w:tabs>
          <w:tab w:val="left" w:pos="142"/>
        </w:tabs>
        <w:rPr>
          <w:i/>
          <w:iCs/>
        </w:rPr>
      </w:pPr>
      <w:r w:rsidRPr="00D272EE">
        <w:rPr>
          <w:i/>
          <w:iCs/>
        </w:rPr>
        <w:t>Note that results in Table 4 are derived from post-hoc analyses conducted by the applicant during the evaluation specifically for the purposes of informing the PBAC consideration. These analyses were not part of the pre-specified statistical plan from EMBARK study. Interpretation of the results and their application should therefore be limited to seeking to understand the basis for the PBAC outcome and should not be used for any other purpose.</w:t>
      </w:r>
    </w:p>
    <w:p w14:paraId="27F35317" w14:textId="4F7E912A" w:rsidR="004D1D47" w:rsidRPr="001209DB" w:rsidRDefault="005B33EF" w:rsidP="007A4DAA">
      <w:pPr>
        <w:pStyle w:val="3-BodyText"/>
      </w:pPr>
      <w:r w:rsidRPr="001209DB">
        <w:t xml:space="preserve">At censoring, 58.3% in enzalutamide plus ADT group and 55.5% in enzalutamide monotherapy group and 42.7% in ADT group were continuing treatment. This included 5.7% (n=67) of patients on treatment suspension since Week 36 but had not re-initiated treatment. Similarly, 16.3% of patients randomised to enzalutamide plus ADT and 23.7% of patients randomised to enzalutamide monotherapy had initiated subsequent treatment, compared to 38.8% of patients randomised to ADT alone. The most frequently used subsequent therapy (in 15.8-36.9% of patients across the treatment arms) were hormonal treatments, including LHRH analogues and NHAs. The second most frequently used therapies (by 2.5-10.6% of patients across the treatment arms) were chemotherapy agents such as docetaxel, cabazitaxel and </w:t>
      </w:r>
      <w:r w:rsidRPr="001209DB">
        <w:lastRenderedPageBreak/>
        <w:t>cyclophosphamide. Under the proposed PBS listing, subsequent treatment with NHAs after enzalutamide would not be permitted.</w:t>
      </w:r>
      <w:r w:rsidR="006A6FF7">
        <w:rPr>
          <w:rStyle w:val="FootnoteReference"/>
        </w:rPr>
        <w:footnoteReference w:id="12"/>
      </w:r>
    </w:p>
    <w:p w14:paraId="34AC0E7E" w14:textId="276B9AF3" w:rsidR="00D41157" w:rsidRPr="00B63CD0" w:rsidRDefault="0048539C" w:rsidP="002E4F02">
      <w:pPr>
        <w:pStyle w:val="3-BodyText"/>
      </w:pPr>
      <w:r w:rsidRPr="001209DB">
        <w:t xml:space="preserve">The data cut-off (31 January 2023; median follow-up 60.7 months) presented in the submission reported </w:t>
      </w:r>
      <w:r w:rsidR="00F461F6" w:rsidRPr="001209DB">
        <w:t>interim results for OS and final results for MFS (as</w:t>
      </w:r>
      <w:r w:rsidR="00F461F6" w:rsidRPr="00B63CD0">
        <w:t xml:space="preserve"> well as other secondary outcomes).</w:t>
      </w:r>
      <w:r w:rsidR="00CD3B5F">
        <w:rPr>
          <w:rStyle w:val="FootnoteReference"/>
        </w:rPr>
        <w:footnoteReference w:id="13"/>
      </w:r>
      <w:r w:rsidR="00F461F6" w:rsidRPr="00B63CD0">
        <w:t xml:space="preserve"> </w:t>
      </w:r>
      <w:r w:rsidR="00D41157" w:rsidRPr="00B63CD0">
        <w:t>The primary outcome measure was MFS</w:t>
      </w:r>
      <w:r w:rsidR="00A14649" w:rsidRPr="00B63CD0">
        <w:t>,</w:t>
      </w:r>
      <w:r w:rsidR="00D41157" w:rsidRPr="00B63CD0">
        <w:t xml:space="preserve"> comparing enzalutamide plus ADT versus ADT alone. MFS was defined as the duration (months) between randomisation and the earliest objective evidence of radiographic progression by central imaging or death from any cause, whichever occurred first. Radiographic assessment was determined by blinded independent central review (BICR) with the use of conventional CT or MRI for soft tissue disease and whole-body radionuclide bone scans for bone disease.</w:t>
      </w:r>
    </w:p>
    <w:p w14:paraId="62D95C12" w14:textId="77777777" w:rsidR="00740830" w:rsidRPr="00740830" w:rsidRDefault="00292206" w:rsidP="00740830">
      <w:pPr>
        <w:pStyle w:val="3-BodyText"/>
        <w:rPr>
          <w:bCs/>
          <w:i/>
        </w:rPr>
      </w:pPr>
      <w:r w:rsidRPr="00B63CD0">
        <w:t xml:space="preserve">The submission argued that </w:t>
      </w:r>
      <w:r w:rsidR="004D1D47" w:rsidRPr="00B63CD0">
        <w:t>MFS is considered a surrogate outcome and proxy for OS in clinical trials</w:t>
      </w:r>
      <w:r w:rsidR="00221984" w:rsidRPr="00B63CD0">
        <w:t xml:space="preserve"> and</w:t>
      </w:r>
      <w:r w:rsidRPr="00B63CD0">
        <w:t xml:space="preserve"> accepted by the FDA and EMA in prostate cancer under certain conditions. MFS was used as the main outcome in trials of NHAs (enzalutamide, apalutamide and darolutamide) for m0CRPC, which received regulatory approval from the FDA, EMA as well as recommendation for listing by the PBAC. The submission summarised findings of several studies</w:t>
      </w:r>
      <w:r w:rsidR="00176199" w:rsidRPr="00B63CD0">
        <w:t xml:space="preserve"> (Mori 2019</w:t>
      </w:r>
      <w:r w:rsidR="00176199" w:rsidRPr="00B63CD0">
        <w:rPr>
          <w:rStyle w:val="FootnoteReference"/>
        </w:rPr>
        <w:footnoteReference w:id="14"/>
      </w:r>
      <w:r w:rsidR="00176199" w:rsidRPr="00B63CD0">
        <w:t>, Smith 2020</w:t>
      </w:r>
      <w:r w:rsidR="00176199" w:rsidRPr="00B63CD0">
        <w:rPr>
          <w:rStyle w:val="FootnoteReference"/>
        </w:rPr>
        <w:footnoteReference w:id="15"/>
      </w:r>
      <w:r w:rsidR="00176199" w:rsidRPr="00B63CD0">
        <w:t>, Xie 2017</w:t>
      </w:r>
      <w:r w:rsidR="00176199" w:rsidRPr="00B63CD0">
        <w:rPr>
          <w:rStyle w:val="FootnoteReference"/>
        </w:rPr>
        <w:footnoteReference w:id="16"/>
      </w:r>
      <w:r w:rsidR="00176199" w:rsidRPr="00B63CD0">
        <w:t xml:space="preserve"> and Xie 2024</w:t>
      </w:r>
      <w:r w:rsidR="00176199" w:rsidRPr="00B63CD0">
        <w:rPr>
          <w:rStyle w:val="FootnoteReference"/>
        </w:rPr>
        <w:footnoteReference w:id="17"/>
      </w:r>
      <w:r w:rsidR="00176199" w:rsidRPr="00B63CD0">
        <w:t>), which reported that the treatment effects for MFS and OS were positively correlated</w:t>
      </w:r>
      <w:r w:rsidRPr="00B63CD0">
        <w:t xml:space="preserve"> in m0CRPC</w:t>
      </w:r>
      <w:r w:rsidR="00176199" w:rsidRPr="00B63CD0">
        <w:t xml:space="preserve">. The minimum treatment effect required on the surrogate to predict a significant treatment effect on the true endpoint is estimated on the surrogate threshold effect (STE). </w:t>
      </w:r>
    </w:p>
    <w:p w14:paraId="068FE75E" w14:textId="4493DEE3" w:rsidR="00FF1F6D" w:rsidRPr="00740830" w:rsidRDefault="00D41157" w:rsidP="00740830">
      <w:pPr>
        <w:pStyle w:val="3-BodyText"/>
        <w:rPr>
          <w:bCs/>
          <w:i/>
        </w:rPr>
      </w:pPr>
      <w:r w:rsidRPr="00B63CD0">
        <w:t xml:space="preserve">The submission suggested </w:t>
      </w:r>
      <w:r w:rsidR="00191F9D" w:rsidRPr="00B63CD0">
        <w:t xml:space="preserve">that </w:t>
      </w:r>
      <w:r w:rsidRPr="00B63CD0">
        <w:t xml:space="preserve">the </w:t>
      </w:r>
      <w:r w:rsidR="00191F9D" w:rsidRPr="00B63CD0">
        <w:t xml:space="preserve">surrogate </w:t>
      </w:r>
      <w:r w:rsidRPr="00B63CD0">
        <w:t xml:space="preserve">relationship between MFS and OS would be similar in the earlier stage m0HSPC as to m0CRPC, given the </w:t>
      </w:r>
      <w:r w:rsidR="005420F7">
        <w:t>hazard ratio</w:t>
      </w:r>
      <w:r w:rsidR="005420F7" w:rsidRPr="00B63CD0">
        <w:t xml:space="preserve">s </w:t>
      </w:r>
      <w:r w:rsidRPr="00B63CD0">
        <w:t xml:space="preserve">for both outcomes of enzalutamide plus ADT treatment in m0HSPC </w:t>
      </w:r>
      <w:r w:rsidR="00162106" w:rsidRPr="00B63CD0">
        <w:t xml:space="preserve">were </w:t>
      </w:r>
      <w:r w:rsidRPr="00B63CD0">
        <w:t>similar to outcomes of apalutamide and darolut</w:t>
      </w:r>
      <w:r w:rsidR="00991AE7" w:rsidRPr="00B63CD0">
        <w:t>a</w:t>
      </w:r>
      <w:r w:rsidRPr="00B63CD0">
        <w:t xml:space="preserve">mide in m0CRPC. </w:t>
      </w:r>
      <w:r w:rsidR="003778A0" w:rsidRPr="00B63CD0">
        <w:t>Th</w:t>
      </w:r>
      <w:r w:rsidR="00FF1F6D">
        <w:t>e evaluation considered that th</w:t>
      </w:r>
      <w:r w:rsidR="003778A0" w:rsidRPr="00B63CD0">
        <w:t xml:space="preserve">is comparison was not valid given the OS data in EMBARK were immature and </w:t>
      </w:r>
      <w:r w:rsidR="00BE093F" w:rsidRPr="00B63CD0">
        <w:t>there was no statistically significant difference in OS</w:t>
      </w:r>
      <w:r w:rsidR="003778A0" w:rsidRPr="00B63CD0">
        <w:t xml:space="preserve">. </w:t>
      </w:r>
      <w:r w:rsidRPr="00B63CD0">
        <w:t xml:space="preserve">While MFS has been validated as a </w:t>
      </w:r>
      <w:r w:rsidRPr="00B63CD0">
        <w:lastRenderedPageBreak/>
        <w:t xml:space="preserve">surrogate for OS in m0CRPC, there are limited evidence of the surrogate relationship between MFS and OS in m0HSPC, and MFS may take many years to develop in patients with m0HSPC </w:t>
      </w:r>
      <w:r w:rsidR="002670DC" w:rsidRPr="00B63CD0">
        <w:t>(</w:t>
      </w:r>
      <w:r w:rsidRPr="00B63CD0">
        <w:t>Klassen 2022</w:t>
      </w:r>
      <w:r w:rsidRPr="00B63CD0">
        <w:rPr>
          <w:rStyle w:val="FootnoteReference"/>
        </w:rPr>
        <w:footnoteReference w:id="18"/>
      </w:r>
      <w:r w:rsidR="002670DC" w:rsidRPr="00B63CD0">
        <w:t>)</w:t>
      </w:r>
      <w:r w:rsidRPr="00B63CD0">
        <w:t>.</w:t>
      </w:r>
      <w:r w:rsidR="00162106" w:rsidRPr="00B63CD0">
        <w:t xml:space="preserve"> </w:t>
      </w:r>
      <w:r w:rsidR="004D1D47" w:rsidRPr="00B63CD0">
        <w:t xml:space="preserve">Xie 2024 noted that </w:t>
      </w:r>
      <w:r w:rsidR="0048774F" w:rsidRPr="00B63CD0">
        <w:t xml:space="preserve">the </w:t>
      </w:r>
      <w:r w:rsidR="004D1D47" w:rsidRPr="00B63CD0">
        <w:t>context</w:t>
      </w:r>
      <w:r w:rsidR="00306B1C" w:rsidRPr="00B63CD0">
        <w:t xml:space="preserve"> (e.g. therapies and disease stage)</w:t>
      </w:r>
      <w:r w:rsidR="004D1D47" w:rsidRPr="00B63CD0">
        <w:t xml:space="preserve"> in which MFS </w:t>
      </w:r>
      <w:r w:rsidR="0048774F" w:rsidRPr="00B63CD0">
        <w:t>was</w:t>
      </w:r>
      <w:r w:rsidR="004D1D47" w:rsidRPr="00B63CD0">
        <w:t xml:space="preserve"> validated as a surrogate for OS is important</w:t>
      </w:r>
      <w:r w:rsidR="00306B1C" w:rsidRPr="00B63CD0">
        <w:t xml:space="preserve"> and</w:t>
      </w:r>
      <w:r w:rsidR="004D1D47" w:rsidRPr="00B63CD0">
        <w:t xml:space="preserve"> MFS can only be considered a reliable surrogate for OS when metastatic events are observed using conventional imaging. While PSMA-PET is increasingly used in practice, it is uncertain whether detection of metastases on PSMA-PET that are not visualised on conventional imaging equates to a</w:t>
      </w:r>
      <w:r w:rsidR="00FB5D49" w:rsidRPr="00B63CD0">
        <w:t>n</w:t>
      </w:r>
      <w:r w:rsidR="004D1D47" w:rsidRPr="00B63CD0">
        <w:t xml:space="preserve"> MFS event.</w:t>
      </w:r>
      <w:r w:rsidR="00FF1F6D">
        <w:t xml:space="preserve"> </w:t>
      </w:r>
    </w:p>
    <w:p w14:paraId="1D1F12AE" w14:textId="3A36BAB1" w:rsidR="0006546A" w:rsidRDefault="0006546A" w:rsidP="0006546A">
      <w:pPr>
        <w:pStyle w:val="3-BodyText"/>
        <w:rPr>
          <w:iCs/>
        </w:rPr>
      </w:pPr>
      <w:r w:rsidRPr="00B63CD0">
        <w:rPr>
          <w:iCs/>
        </w:rPr>
        <w:t xml:space="preserve">The (implied) relationship between incremental gains between MFS:OS in the modelled economic evaluation presented in the submission were 1:0.76 for enzalutamide plus ADT group vs ADT alone, 1:0.66 for enzalutamide monotherapy vs ADT alone group and 1:0.96 for enzalutamide plus ADT vs enzalutamide monotherapy. </w:t>
      </w:r>
      <w:r w:rsidR="00FF1F6D">
        <w:rPr>
          <w:iCs/>
        </w:rPr>
        <w:t>At</w:t>
      </w:r>
      <w:r w:rsidRPr="00B63CD0">
        <w:rPr>
          <w:iCs/>
        </w:rPr>
        <w:t xml:space="preserve"> the November 2018 meeting, the PBAC had considered apalutamide in m0CRPC </w:t>
      </w:r>
      <w:r w:rsidR="00FF1F6D">
        <w:rPr>
          <w:iCs/>
        </w:rPr>
        <w:t xml:space="preserve">and stated </w:t>
      </w:r>
      <w:r w:rsidRPr="00B63CD0">
        <w:rPr>
          <w:iCs/>
        </w:rPr>
        <w:t xml:space="preserve">that </w:t>
      </w:r>
      <w:r w:rsidR="00B01AE3" w:rsidRPr="00B63CD0">
        <w:rPr>
          <w:iCs/>
        </w:rPr>
        <w:t>‘</w:t>
      </w:r>
      <w:r w:rsidRPr="00B63CD0">
        <w:rPr>
          <w:iCs/>
        </w:rPr>
        <w:t>the use of MFS as a surrogate for OS in the model was not appropriate… and the estimated gains in OS in both the submission model and PSCR model were implausibly high given the SPARTAN trial did not demonstrate a statistically significant difference in OS</w:t>
      </w:r>
      <w:r w:rsidR="00B01AE3" w:rsidRPr="00B63CD0">
        <w:rPr>
          <w:iCs/>
        </w:rPr>
        <w:t>’</w:t>
      </w:r>
      <w:r w:rsidRPr="00B63CD0">
        <w:rPr>
          <w:iCs/>
        </w:rPr>
        <w:t xml:space="preserve"> (paragraph 7.10, apalutamide </w:t>
      </w:r>
      <w:r w:rsidR="008752B8" w:rsidRPr="008752B8">
        <w:rPr>
          <w:iCs/>
        </w:rPr>
        <w:t xml:space="preserve">Public Summary Document </w:t>
      </w:r>
      <w:r w:rsidR="001A48DF">
        <w:rPr>
          <w:iCs/>
        </w:rPr>
        <w:t>(</w:t>
      </w:r>
      <w:r w:rsidRPr="00B63CD0">
        <w:rPr>
          <w:iCs/>
        </w:rPr>
        <w:t>PSD</w:t>
      </w:r>
      <w:r w:rsidR="001A48DF">
        <w:rPr>
          <w:iCs/>
        </w:rPr>
        <w:t>)</w:t>
      </w:r>
      <w:r w:rsidR="005420F7">
        <w:rPr>
          <w:iCs/>
        </w:rPr>
        <w:t>,</w:t>
      </w:r>
      <w:r w:rsidRPr="00B63CD0">
        <w:rPr>
          <w:iCs/>
        </w:rPr>
        <w:t xml:space="preserve"> November 2018 PBAC meeting).</w:t>
      </w:r>
    </w:p>
    <w:p w14:paraId="203CF8BA" w14:textId="119CB70F" w:rsidR="00FF1F6D" w:rsidRPr="00E16BBF" w:rsidRDefault="00FF1F6D" w:rsidP="0006546A">
      <w:pPr>
        <w:pStyle w:val="3-BodyText"/>
      </w:pPr>
      <w:r w:rsidRPr="00E16BBF">
        <w:t xml:space="preserve">The PSCR </w:t>
      </w:r>
      <w:r w:rsidR="00DF24EF">
        <w:t xml:space="preserve">and pre-PBAC response </w:t>
      </w:r>
      <w:r w:rsidRPr="00E16BBF">
        <w:t xml:space="preserve">stated that MFS has been assessed in the literature as a surrogate outcome for OS in prostate cancer and that although the proposed indication is in an earlier setting, the plausibility of a surrogate relationship exists. The ESC noted that although </w:t>
      </w:r>
      <w:r w:rsidRPr="00E16BBF">
        <w:rPr>
          <w:bCs/>
        </w:rPr>
        <w:t>MFS has been validated as a surrogate for OS in m0CRPC, there is limited evidence of the surrogate relationship between MFS and OS in m0HSPC, and metastases may take many years to develop in patients with m0HSPC. Further, a comparison of the hazard ratios for MFS and OS was not valid, given OS data in EMBARK were immature and there was no statistically significant difference in OS.</w:t>
      </w:r>
    </w:p>
    <w:p w14:paraId="4A4FE085" w14:textId="1C5613CC" w:rsidR="00B60939" w:rsidRPr="0098262F" w:rsidRDefault="00B60939" w:rsidP="00EC5836">
      <w:pPr>
        <w:pStyle w:val="4-SubsectionHeading"/>
      </w:pPr>
      <w:bookmarkStart w:id="22" w:name="_Toc22897641"/>
      <w:bookmarkStart w:id="23" w:name="_Toc177371545"/>
      <w:r w:rsidRPr="0098262F">
        <w:t>Comparative effectiveness</w:t>
      </w:r>
      <w:bookmarkEnd w:id="22"/>
      <w:bookmarkEnd w:id="23"/>
    </w:p>
    <w:p w14:paraId="1FAF6C1A" w14:textId="77777777" w:rsidR="00E4253F" w:rsidRPr="0052303C" w:rsidRDefault="00E4253F" w:rsidP="00E4253F">
      <w:pPr>
        <w:rPr>
          <w:u w:val="single"/>
        </w:rPr>
      </w:pPr>
      <w:r w:rsidRPr="0052303C">
        <w:rPr>
          <w:u w:val="single"/>
        </w:rPr>
        <w:t>MFS and OS outcome</w:t>
      </w:r>
    </w:p>
    <w:p w14:paraId="4A178AF9" w14:textId="0016A31D" w:rsidR="00F4432B" w:rsidRPr="00E16BBF" w:rsidRDefault="000D3ECC" w:rsidP="00EC5836">
      <w:pPr>
        <w:pStyle w:val="3-BodyText"/>
      </w:pPr>
      <w:r w:rsidRPr="00B63CD0">
        <w:fldChar w:fldCharType="begin" w:fldLock="1"/>
      </w:r>
      <w:r w:rsidRPr="00B63CD0">
        <w:instrText xml:space="preserve"> REF _Ref176768886 \h </w:instrText>
      </w:r>
      <w:r w:rsidR="00B63CD0" w:rsidRPr="00B63CD0">
        <w:instrText xml:space="preserve"> \* MERGEFORMAT </w:instrText>
      </w:r>
      <w:r w:rsidRPr="00B63CD0">
        <w:fldChar w:fldCharType="separate"/>
      </w:r>
      <w:r w:rsidR="006619E7" w:rsidRPr="00B63CD0">
        <w:t xml:space="preserve">Table </w:t>
      </w:r>
      <w:r w:rsidR="006619E7" w:rsidRPr="00B63CD0">
        <w:rPr>
          <w:noProof/>
        </w:rPr>
        <w:t>5</w:t>
      </w:r>
      <w:r w:rsidRPr="00B63CD0">
        <w:fldChar w:fldCharType="end"/>
      </w:r>
      <w:r w:rsidRPr="00B63CD0">
        <w:t xml:space="preserve"> </w:t>
      </w:r>
      <w:r w:rsidR="007D19AE" w:rsidRPr="00B63CD0">
        <w:t xml:space="preserve">and </w:t>
      </w:r>
      <w:r w:rsidRPr="00B63CD0">
        <w:fldChar w:fldCharType="begin" w:fldLock="1"/>
      </w:r>
      <w:r w:rsidRPr="00B63CD0">
        <w:instrText xml:space="preserve"> REF _Ref176768936 \h </w:instrText>
      </w:r>
      <w:r w:rsidR="00B63CD0" w:rsidRPr="00B63CD0">
        <w:instrText xml:space="preserve"> \* MERGEFORMAT </w:instrText>
      </w:r>
      <w:r w:rsidRPr="00B63CD0">
        <w:fldChar w:fldCharType="separate"/>
      </w:r>
      <w:r w:rsidR="006619E7" w:rsidRPr="00B63CD0">
        <w:t xml:space="preserve">Figure </w:t>
      </w:r>
      <w:r w:rsidR="006619E7" w:rsidRPr="00B63CD0">
        <w:rPr>
          <w:noProof/>
        </w:rPr>
        <w:t>1</w:t>
      </w:r>
      <w:r w:rsidRPr="00B63CD0">
        <w:fldChar w:fldCharType="end"/>
      </w:r>
      <w:r w:rsidRPr="00B63CD0">
        <w:t xml:space="preserve"> </w:t>
      </w:r>
      <w:r w:rsidR="007D19AE" w:rsidRPr="00B63CD0">
        <w:t>present the result</w:t>
      </w:r>
      <w:r w:rsidR="00FB5D49" w:rsidRPr="00B63CD0">
        <w:t>s</w:t>
      </w:r>
      <w:r w:rsidR="007D19AE" w:rsidRPr="00B63CD0">
        <w:t xml:space="preserve"> of MFS and OS in EMBARK for the ITT population.</w:t>
      </w:r>
      <w:r w:rsidR="00252A65" w:rsidRPr="00B63CD0">
        <w:t xml:space="preserve"> Of note, the Kaplan-Meier curve of MFS overlapped with the OS curve for enzalutamide plus ADT at 84 months, which should be impossible provided the same patients and censoring rules were included in the analysis of both outcomes. The submission did not account for the drop in the survival curve below MFS but was likely due to differential censoring assumptions and low patient numbers at risk.</w:t>
      </w:r>
      <w:r w:rsidR="00687AFF">
        <w:t xml:space="preserve"> </w:t>
      </w:r>
      <w:r w:rsidR="00687AFF" w:rsidRPr="00E16BBF">
        <w:t xml:space="preserve">The PSCR </w:t>
      </w:r>
      <w:r w:rsidR="00FF1F6D" w:rsidRPr="00E16BBF">
        <w:t>confirmed</w:t>
      </w:r>
      <w:r w:rsidR="00687AFF" w:rsidRPr="00E16BBF">
        <w:t xml:space="preserve"> that the Kaplan-Meier estimates of MFS and OS in the last phase </w:t>
      </w:r>
      <w:r w:rsidR="00FF1F6D" w:rsidRPr="00E16BBF">
        <w:t>we</w:t>
      </w:r>
      <w:r w:rsidR="00687AFF" w:rsidRPr="00E16BBF">
        <w:t>re affected by the very small numbers of patients remaining at risk.</w:t>
      </w:r>
    </w:p>
    <w:p w14:paraId="720AE544" w14:textId="338CD3F9" w:rsidR="007C7898" w:rsidRPr="00B338C0" w:rsidRDefault="000D3ECC" w:rsidP="00EE3F07">
      <w:pPr>
        <w:pStyle w:val="Caption"/>
        <w:rPr>
          <w:b w:val="0"/>
          <w:szCs w:val="20"/>
        </w:rPr>
      </w:pPr>
      <w:bookmarkStart w:id="24" w:name="_Ref176768886"/>
      <w:r>
        <w:lastRenderedPageBreak/>
        <w:t xml:space="preserve">Table </w:t>
      </w:r>
      <w:r>
        <w:fldChar w:fldCharType="begin" w:fldLock="1"/>
      </w:r>
      <w:r>
        <w:instrText xml:space="preserve"> SEQ Table \* ARABIC </w:instrText>
      </w:r>
      <w:r>
        <w:fldChar w:fldCharType="separate"/>
      </w:r>
      <w:r w:rsidR="00DF24EF">
        <w:rPr>
          <w:noProof/>
        </w:rPr>
        <w:t>5</w:t>
      </w:r>
      <w:r>
        <w:rPr>
          <w:noProof/>
        </w:rPr>
        <w:fldChar w:fldCharType="end"/>
      </w:r>
      <w:bookmarkEnd w:id="24"/>
      <w:r>
        <w:t xml:space="preserve">: </w:t>
      </w:r>
      <w:r w:rsidR="007C7898" w:rsidRPr="000D3ECC">
        <w:rPr>
          <w:szCs w:val="20"/>
        </w:rPr>
        <w:t>MFS and OS in EMBARK (ITT).</w:t>
      </w:r>
    </w:p>
    <w:tbl>
      <w:tblPr>
        <w:tblStyle w:val="TableGrid"/>
        <w:tblW w:w="0" w:type="auto"/>
        <w:tblCellMar>
          <w:left w:w="28" w:type="dxa"/>
          <w:right w:w="28" w:type="dxa"/>
        </w:tblCellMar>
        <w:tblLook w:val="04A0" w:firstRow="1" w:lastRow="0" w:firstColumn="1" w:lastColumn="0" w:noHBand="0" w:noVBand="1"/>
        <w:tblCaption w:val="Table 5: MFS and OS in EMBARK (ITT)."/>
      </w:tblPr>
      <w:tblGrid>
        <w:gridCol w:w="2875"/>
        <w:gridCol w:w="2040"/>
        <w:gridCol w:w="2040"/>
        <w:gridCol w:w="2062"/>
      </w:tblGrid>
      <w:tr w:rsidR="007C7898" w:rsidRPr="00165BCC" w14:paraId="5848F6F7" w14:textId="77777777" w:rsidTr="007C4DA5">
        <w:tc>
          <w:tcPr>
            <w:tcW w:w="2875" w:type="dxa"/>
          </w:tcPr>
          <w:p w14:paraId="270A485B" w14:textId="77777777" w:rsidR="007C7898" w:rsidRPr="00165BCC" w:rsidRDefault="007C7898" w:rsidP="00EE3F07">
            <w:pPr>
              <w:keepNext/>
              <w:keepLines/>
              <w:jc w:val="left"/>
              <w:rPr>
                <w:rFonts w:ascii="Arial Narrow" w:hAnsi="Arial Narrow"/>
                <w:sz w:val="20"/>
                <w:szCs w:val="20"/>
              </w:rPr>
            </w:pPr>
          </w:p>
        </w:tc>
        <w:tc>
          <w:tcPr>
            <w:tcW w:w="2040" w:type="dxa"/>
            <w:vAlign w:val="center"/>
          </w:tcPr>
          <w:p w14:paraId="50869F34" w14:textId="77777777" w:rsidR="007C7898" w:rsidRDefault="007C7898" w:rsidP="00EE3F07">
            <w:pPr>
              <w:keepNext/>
              <w:keepLines/>
              <w:jc w:val="center"/>
              <w:rPr>
                <w:rFonts w:ascii="Arial Narrow" w:hAnsi="Arial Narrow"/>
                <w:b/>
                <w:sz w:val="20"/>
                <w:szCs w:val="20"/>
              </w:rPr>
            </w:pPr>
            <w:r w:rsidRPr="008E1795">
              <w:rPr>
                <w:rFonts w:ascii="Arial Narrow" w:hAnsi="Arial Narrow"/>
                <w:b/>
                <w:sz w:val="20"/>
                <w:szCs w:val="20"/>
              </w:rPr>
              <w:t>ENZA + ADT</w:t>
            </w:r>
          </w:p>
          <w:p w14:paraId="5796670E" w14:textId="77777777" w:rsidR="007C7898" w:rsidRPr="008E1795" w:rsidRDefault="007C7898" w:rsidP="00EE3F07">
            <w:pPr>
              <w:keepNext/>
              <w:keepLines/>
              <w:jc w:val="center"/>
              <w:rPr>
                <w:rFonts w:ascii="Arial Narrow" w:hAnsi="Arial Narrow"/>
                <w:b/>
                <w:sz w:val="20"/>
                <w:szCs w:val="20"/>
              </w:rPr>
            </w:pPr>
            <w:r>
              <w:rPr>
                <w:rFonts w:ascii="Arial Narrow" w:hAnsi="Arial Narrow"/>
                <w:b/>
                <w:sz w:val="20"/>
                <w:szCs w:val="20"/>
              </w:rPr>
              <w:t>N=355</w:t>
            </w:r>
          </w:p>
        </w:tc>
        <w:tc>
          <w:tcPr>
            <w:tcW w:w="2040" w:type="dxa"/>
            <w:vAlign w:val="center"/>
          </w:tcPr>
          <w:p w14:paraId="3FFC63C5" w14:textId="77777777" w:rsidR="007C7898" w:rsidRDefault="007C7898" w:rsidP="00EE3F07">
            <w:pPr>
              <w:keepNext/>
              <w:keepLines/>
              <w:jc w:val="center"/>
              <w:rPr>
                <w:rFonts w:ascii="Arial Narrow" w:hAnsi="Arial Narrow"/>
                <w:b/>
                <w:sz w:val="20"/>
                <w:szCs w:val="20"/>
              </w:rPr>
            </w:pPr>
            <w:r w:rsidRPr="008E1795">
              <w:rPr>
                <w:rFonts w:ascii="Arial Narrow" w:hAnsi="Arial Narrow"/>
                <w:b/>
                <w:sz w:val="20"/>
                <w:szCs w:val="20"/>
              </w:rPr>
              <w:t>ENZA</w:t>
            </w:r>
          </w:p>
          <w:p w14:paraId="508C54AE" w14:textId="77777777" w:rsidR="007C7898" w:rsidRPr="008E1795" w:rsidRDefault="007C7898" w:rsidP="00EE3F07">
            <w:pPr>
              <w:keepNext/>
              <w:keepLines/>
              <w:jc w:val="center"/>
              <w:rPr>
                <w:rFonts w:ascii="Arial Narrow" w:hAnsi="Arial Narrow"/>
                <w:b/>
                <w:sz w:val="20"/>
                <w:szCs w:val="20"/>
              </w:rPr>
            </w:pPr>
            <w:r>
              <w:rPr>
                <w:rFonts w:ascii="Arial Narrow" w:hAnsi="Arial Narrow"/>
                <w:b/>
                <w:sz w:val="20"/>
                <w:szCs w:val="20"/>
              </w:rPr>
              <w:t>N=355</w:t>
            </w:r>
          </w:p>
        </w:tc>
        <w:tc>
          <w:tcPr>
            <w:tcW w:w="2062" w:type="dxa"/>
            <w:vAlign w:val="center"/>
          </w:tcPr>
          <w:p w14:paraId="3299886E" w14:textId="77777777" w:rsidR="007C7898" w:rsidRDefault="007C7898" w:rsidP="00EE3F07">
            <w:pPr>
              <w:keepNext/>
              <w:keepLines/>
              <w:jc w:val="center"/>
              <w:rPr>
                <w:rFonts w:ascii="Arial Narrow" w:hAnsi="Arial Narrow"/>
                <w:b/>
                <w:sz w:val="20"/>
                <w:szCs w:val="20"/>
              </w:rPr>
            </w:pPr>
            <w:r w:rsidRPr="008E1795">
              <w:rPr>
                <w:rFonts w:ascii="Arial Narrow" w:hAnsi="Arial Narrow"/>
                <w:b/>
                <w:sz w:val="20"/>
                <w:szCs w:val="20"/>
              </w:rPr>
              <w:t>PBO + ADT</w:t>
            </w:r>
          </w:p>
          <w:p w14:paraId="4713A90B" w14:textId="77777777" w:rsidR="007C7898" w:rsidRPr="008E1795" w:rsidRDefault="007C7898" w:rsidP="00EE3F07">
            <w:pPr>
              <w:keepNext/>
              <w:keepLines/>
              <w:jc w:val="center"/>
              <w:rPr>
                <w:rFonts w:ascii="Arial Narrow" w:hAnsi="Arial Narrow"/>
                <w:b/>
                <w:sz w:val="20"/>
                <w:szCs w:val="20"/>
              </w:rPr>
            </w:pPr>
            <w:r>
              <w:rPr>
                <w:rFonts w:ascii="Arial Narrow" w:hAnsi="Arial Narrow"/>
                <w:b/>
                <w:sz w:val="20"/>
                <w:szCs w:val="20"/>
              </w:rPr>
              <w:t>N=358</w:t>
            </w:r>
          </w:p>
        </w:tc>
      </w:tr>
      <w:tr w:rsidR="007C7898" w:rsidRPr="00165BCC" w14:paraId="203C5071" w14:textId="77777777" w:rsidTr="003A3EB9">
        <w:tc>
          <w:tcPr>
            <w:tcW w:w="9017" w:type="dxa"/>
            <w:gridSpan w:val="4"/>
            <w:vAlign w:val="center"/>
          </w:tcPr>
          <w:p w14:paraId="0237581F" w14:textId="77777777" w:rsidR="007C7898" w:rsidRDefault="007C7898" w:rsidP="00EE3F07">
            <w:pPr>
              <w:keepNext/>
              <w:keepLines/>
              <w:jc w:val="left"/>
              <w:rPr>
                <w:rFonts w:ascii="Arial Narrow" w:hAnsi="Arial Narrow"/>
                <w:sz w:val="20"/>
                <w:szCs w:val="20"/>
              </w:rPr>
            </w:pPr>
            <w:r w:rsidRPr="000C3351">
              <w:rPr>
                <w:rFonts w:ascii="Arial Narrow" w:hAnsi="Arial Narrow"/>
                <w:b/>
                <w:sz w:val="20"/>
                <w:szCs w:val="20"/>
              </w:rPr>
              <w:t>MFS (ITT)^</w:t>
            </w:r>
          </w:p>
        </w:tc>
      </w:tr>
      <w:tr w:rsidR="007C7898" w:rsidRPr="00165BCC" w14:paraId="30DEA2C0" w14:textId="77777777" w:rsidTr="007C4DA5">
        <w:tc>
          <w:tcPr>
            <w:tcW w:w="2875" w:type="dxa"/>
          </w:tcPr>
          <w:p w14:paraId="44E6B4DA" w14:textId="75CC5820" w:rsidR="007C7898" w:rsidRPr="000C3351" w:rsidRDefault="007C7898" w:rsidP="00EE3F07">
            <w:pPr>
              <w:keepNext/>
              <w:keepLines/>
              <w:jc w:val="left"/>
              <w:rPr>
                <w:rFonts w:ascii="Arial Narrow" w:hAnsi="Arial Narrow"/>
                <w:sz w:val="20"/>
                <w:szCs w:val="20"/>
              </w:rPr>
            </w:pPr>
            <w:proofErr w:type="spellStart"/>
            <w:r>
              <w:rPr>
                <w:rFonts w:ascii="Arial Narrow" w:hAnsi="Arial Narrow"/>
                <w:sz w:val="20"/>
                <w:szCs w:val="20"/>
              </w:rPr>
              <w:t>Events</w:t>
            </w:r>
            <w:r w:rsidRPr="008E1795">
              <w:rPr>
                <w:rFonts w:ascii="Arial Narrow" w:hAnsi="Arial Narrow"/>
                <w:sz w:val="20"/>
                <w:szCs w:val="20"/>
                <w:vertAlign w:val="superscript"/>
              </w:rPr>
              <w:t>a</w:t>
            </w:r>
            <w:proofErr w:type="spellEnd"/>
            <w:r>
              <w:rPr>
                <w:rFonts w:ascii="Arial Narrow" w:hAnsi="Arial Narrow"/>
                <w:sz w:val="20"/>
                <w:szCs w:val="20"/>
              </w:rPr>
              <w:t>, n</w:t>
            </w:r>
            <w:r w:rsidR="007C4DA5">
              <w:rPr>
                <w:rFonts w:ascii="Arial Narrow" w:hAnsi="Arial Narrow"/>
                <w:sz w:val="20"/>
                <w:szCs w:val="20"/>
              </w:rPr>
              <w:t xml:space="preserve"> </w:t>
            </w:r>
            <w:r>
              <w:rPr>
                <w:rFonts w:ascii="Arial Narrow" w:hAnsi="Arial Narrow"/>
                <w:sz w:val="20"/>
                <w:szCs w:val="20"/>
              </w:rPr>
              <w:t>(%)</w:t>
            </w:r>
          </w:p>
        </w:tc>
        <w:tc>
          <w:tcPr>
            <w:tcW w:w="2040" w:type="dxa"/>
            <w:vAlign w:val="center"/>
          </w:tcPr>
          <w:p w14:paraId="61B4E9B5" w14:textId="77777777" w:rsidR="007C7898" w:rsidRPr="00165BCC" w:rsidRDefault="007C7898" w:rsidP="00EE3F07">
            <w:pPr>
              <w:keepNext/>
              <w:keepLines/>
              <w:jc w:val="center"/>
              <w:rPr>
                <w:rFonts w:ascii="Arial Narrow" w:hAnsi="Arial Narrow"/>
                <w:sz w:val="20"/>
                <w:szCs w:val="20"/>
              </w:rPr>
            </w:pPr>
            <w:r>
              <w:rPr>
                <w:rFonts w:ascii="Arial Narrow" w:hAnsi="Arial Narrow"/>
                <w:sz w:val="20"/>
                <w:szCs w:val="20"/>
              </w:rPr>
              <w:t>45 (12.7)</w:t>
            </w:r>
          </w:p>
        </w:tc>
        <w:tc>
          <w:tcPr>
            <w:tcW w:w="2040" w:type="dxa"/>
            <w:vAlign w:val="center"/>
          </w:tcPr>
          <w:p w14:paraId="7476AEC6" w14:textId="77777777" w:rsidR="007C7898" w:rsidRDefault="007C7898" w:rsidP="00EE3F07">
            <w:pPr>
              <w:keepNext/>
              <w:keepLines/>
              <w:jc w:val="center"/>
              <w:rPr>
                <w:rFonts w:ascii="Arial Narrow" w:hAnsi="Arial Narrow"/>
                <w:sz w:val="20"/>
                <w:szCs w:val="20"/>
              </w:rPr>
            </w:pPr>
            <w:r w:rsidRPr="008E1795">
              <w:rPr>
                <w:rFonts w:ascii="Arial Narrow" w:hAnsi="Arial Narrow"/>
                <w:sz w:val="20"/>
                <w:szCs w:val="20"/>
              </w:rPr>
              <w:t>63 (17.7)</w:t>
            </w:r>
          </w:p>
        </w:tc>
        <w:tc>
          <w:tcPr>
            <w:tcW w:w="2062" w:type="dxa"/>
            <w:vAlign w:val="center"/>
          </w:tcPr>
          <w:p w14:paraId="081BE2F6" w14:textId="77777777" w:rsidR="007C7898" w:rsidRPr="00165BCC" w:rsidRDefault="007C7898" w:rsidP="00EE3F07">
            <w:pPr>
              <w:keepNext/>
              <w:keepLines/>
              <w:jc w:val="center"/>
              <w:rPr>
                <w:rFonts w:ascii="Arial Narrow" w:hAnsi="Arial Narrow"/>
                <w:sz w:val="20"/>
                <w:szCs w:val="20"/>
              </w:rPr>
            </w:pPr>
            <w:r>
              <w:rPr>
                <w:rFonts w:ascii="Arial Narrow" w:hAnsi="Arial Narrow"/>
                <w:sz w:val="20"/>
                <w:szCs w:val="20"/>
              </w:rPr>
              <w:t>92 (25.7)</w:t>
            </w:r>
          </w:p>
        </w:tc>
      </w:tr>
      <w:tr w:rsidR="007C7898" w:rsidRPr="00165BCC" w14:paraId="0CA28515" w14:textId="77777777" w:rsidTr="007C4DA5">
        <w:tc>
          <w:tcPr>
            <w:tcW w:w="2875" w:type="dxa"/>
          </w:tcPr>
          <w:p w14:paraId="6816801B" w14:textId="5CDD3D59" w:rsidR="007C7898" w:rsidRPr="00165BCC" w:rsidRDefault="007C7898" w:rsidP="00EE3F07">
            <w:pPr>
              <w:keepNext/>
              <w:keepLines/>
              <w:jc w:val="left"/>
              <w:rPr>
                <w:rFonts w:ascii="Arial Narrow" w:hAnsi="Arial Narrow"/>
                <w:sz w:val="20"/>
                <w:szCs w:val="20"/>
              </w:rPr>
            </w:pPr>
            <w:r>
              <w:rPr>
                <w:rFonts w:ascii="Arial Narrow" w:hAnsi="Arial Narrow"/>
                <w:sz w:val="20"/>
                <w:szCs w:val="20"/>
              </w:rPr>
              <w:t>Median MFS (95%</w:t>
            </w:r>
            <w:r w:rsidR="007C4DA5">
              <w:rPr>
                <w:rFonts w:ascii="Arial Narrow" w:hAnsi="Arial Narrow"/>
                <w:sz w:val="20"/>
                <w:szCs w:val="20"/>
              </w:rPr>
              <w:t xml:space="preserve"> </w:t>
            </w:r>
            <w:r>
              <w:rPr>
                <w:rFonts w:ascii="Arial Narrow" w:hAnsi="Arial Narrow"/>
                <w:sz w:val="20"/>
                <w:szCs w:val="20"/>
              </w:rPr>
              <w:t>CI), months</w:t>
            </w:r>
          </w:p>
        </w:tc>
        <w:tc>
          <w:tcPr>
            <w:tcW w:w="2040" w:type="dxa"/>
            <w:vAlign w:val="center"/>
          </w:tcPr>
          <w:p w14:paraId="423D7C47" w14:textId="77777777" w:rsidR="007C7898" w:rsidRPr="00165BCC" w:rsidRDefault="007C7898" w:rsidP="00EE3F07">
            <w:pPr>
              <w:keepNext/>
              <w:keepLines/>
              <w:jc w:val="center"/>
              <w:rPr>
                <w:rFonts w:ascii="Arial Narrow" w:hAnsi="Arial Narrow"/>
                <w:sz w:val="20"/>
                <w:szCs w:val="20"/>
              </w:rPr>
            </w:pPr>
            <w:r w:rsidRPr="008E1795">
              <w:rPr>
                <w:rFonts w:ascii="Arial Narrow" w:hAnsi="Arial Narrow"/>
                <w:sz w:val="20"/>
                <w:szCs w:val="20"/>
              </w:rPr>
              <w:t>NR (NR, NR)</w:t>
            </w:r>
          </w:p>
        </w:tc>
        <w:tc>
          <w:tcPr>
            <w:tcW w:w="2040" w:type="dxa"/>
            <w:vAlign w:val="center"/>
          </w:tcPr>
          <w:p w14:paraId="4BD57BEB" w14:textId="77777777" w:rsidR="007C7898" w:rsidRPr="000C3351" w:rsidRDefault="007C7898" w:rsidP="00EE3F07">
            <w:pPr>
              <w:keepNext/>
              <w:keepLines/>
              <w:jc w:val="center"/>
              <w:rPr>
                <w:rFonts w:ascii="Arial Narrow" w:hAnsi="Arial Narrow"/>
                <w:sz w:val="20"/>
                <w:szCs w:val="20"/>
              </w:rPr>
            </w:pPr>
            <w:r w:rsidRPr="008E1795">
              <w:rPr>
                <w:rFonts w:ascii="Arial Narrow" w:hAnsi="Arial Narrow"/>
                <w:sz w:val="20"/>
                <w:szCs w:val="20"/>
              </w:rPr>
              <w:t>NR (NR, NR)</w:t>
            </w:r>
          </w:p>
        </w:tc>
        <w:tc>
          <w:tcPr>
            <w:tcW w:w="2062" w:type="dxa"/>
            <w:vAlign w:val="center"/>
          </w:tcPr>
          <w:p w14:paraId="57FFD530" w14:textId="77777777" w:rsidR="007C7898" w:rsidRPr="00165BCC" w:rsidRDefault="007C7898" w:rsidP="00EE3F07">
            <w:pPr>
              <w:keepNext/>
              <w:keepLines/>
              <w:jc w:val="center"/>
              <w:rPr>
                <w:rFonts w:ascii="Arial Narrow" w:hAnsi="Arial Narrow"/>
                <w:sz w:val="20"/>
                <w:szCs w:val="20"/>
              </w:rPr>
            </w:pPr>
            <w:r w:rsidRPr="000C3351">
              <w:rPr>
                <w:rFonts w:ascii="Arial Narrow" w:hAnsi="Arial Narrow"/>
                <w:sz w:val="20"/>
                <w:szCs w:val="20"/>
              </w:rPr>
              <w:t>NR (85.1, NR)</w:t>
            </w:r>
          </w:p>
        </w:tc>
      </w:tr>
      <w:tr w:rsidR="007C7898" w:rsidRPr="00165BCC" w14:paraId="12BBB8A4" w14:textId="77777777" w:rsidTr="007C4DA5">
        <w:tc>
          <w:tcPr>
            <w:tcW w:w="2875" w:type="dxa"/>
          </w:tcPr>
          <w:p w14:paraId="51D826A8" w14:textId="26D0750B" w:rsidR="007C7898" w:rsidRPr="00C65DB4" w:rsidRDefault="007C7898" w:rsidP="00EE3F07">
            <w:pPr>
              <w:keepNext/>
              <w:keepLines/>
              <w:jc w:val="left"/>
              <w:rPr>
                <w:rFonts w:ascii="Arial Narrow" w:hAnsi="Arial Narrow"/>
                <w:sz w:val="20"/>
                <w:szCs w:val="20"/>
              </w:rPr>
            </w:pPr>
            <w:r w:rsidRPr="00C65DB4">
              <w:rPr>
                <w:rFonts w:ascii="Arial Narrow" w:hAnsi="Arial Narrow"/>
                <w:sz w:val="20"/>
                <w:szCs w:val="20"/>
              </w:rPr>
              <w:t>Median follow-up (95%</w:t>
            </w:r>
            <w:r w:rsidR="007C4DA5">
              <w:rPr>
                <w:rFonts w:ascii="Arial Narrow" w:hAnsi="Arial Narrow"/>
                <w:sz w:val="20"/>
                <w:szCs w:val="20"/>
              </w:rPr>
              <w:t xml:space="preserve"> </w:t>
            </w:r>
            <w:r w:rsidRPr="00C65DB4">
              <w:rPr>
                <w:rFonts w:ascii="Arial Narrow" w:hAnsi="Arial Narrow"/>
                <w:sz w:val="20"/>
                <w:szCs w:val="20"/>
              </w:rPr>
              <w:t>CI), months</w:t>
            </w:r>
          </w:p>
        </w:tc>
        <w:tc>
          <w:tcPr>
            <w:tcW w:w="2040" w:type="dxa"/>
            <w:vAlign w:val="center"/>
          </w:tcPr>
          <w:p w14:paraId="6C4FE56D" w14:textId="77777777" w:rsidR="007C7898" w:rsidRPr="00165BCC" w:rsidRDefault="007C7898" w:rsidP="00EE3F07">
            <w:pPr>
              <w:keepNext/>
              <w:keepLines/>
              <w:jc w:val="center"/>
              <w:rPr>
                <w:rFonts w:ascii="Arial Narrow" w:hAnsi="Arial Narrow"/>
                <w:sz w:val="20"/>
                <w:szCs w:val="20"/>
              </w:rPr>
            </w:pPr>
            <w:r w:rsidRPr="000C3351">
              <w:rPr>
                <w:rFonts w:ascii="Arial Narrow" w:hAnsi="Arial Narrow"/>
                <w:sz w:val="20"/>
                <w:szCs w:val="20"/>
              </w:rPr>
              <w:t>60.7 (60.6, 60.8)</w:t>
            </w:r>
          </w:p>
        </w:tc>
        <w:tc>
          <w:tcPr>
            <w:tcW w:w="2040" w:type="dxa"/>
            <w:vAlign w:val="center"/>
          </w:tcPr>
          <w:p w14:paraId="5021841A" w14:textId="77777777" w:rsidR="007C7898" w:rsidRPr="000C3351" w:rsidRDefault="007C7898" w:rsidP="00EE3F07">
            <w:pPr>
              <w:keepNext/>
              <w:keepLines/>
              <w:jc w:val="center"/>
              <w:rPr>
                <w:rFonts w:ascii="Arial Narrow" w:hAnsi="Arial Narrow"/>
                <w:sz w:val="20"/>
                <w:szCs w:val="20"/>
              </w:rPr>
            </w:pPr>
            <w:r w:rsidRPr="000C3351">
              <w:rPr>
                <w:rFonts w:ascii="Arial Narrow" w:hAnsi="Arial Narrow"/>
                <w:sz w:val="20"/>
                <w:szCs w:val="20"/>
              </w:rPr>
              <w:t>60.7 (60.6, 60.8)</w:t>
            </w:r>
          </w:p>
        </w:tc>
        <w:tc>
          <w:tcPr>
            <w:tcW w:w="2062" w:type="dxa"/>
            <w:vAlign w:val="center"/>
          </w:tcPr>
          <w:p w14:paraId="30D5BCE0" w14:textId="77777777" w:rsidR="007C7898" w:rsidRPr="00165BCC" w:rsidRDefault="007C7898" w:rsidP="00EE3F07">
            <w:pPr>
              <w:keepNext/>
              <w:keepLines/>
              <w:jc w:val="center"/>
              <w:rPr>
                <w:rFonts w:ascii="Arial Narrow" w:hAnsi="Arial Narrow"/>
                <w:sz w:val="20"/>
                <w:szCs w:val="20"/>
              </w:rPr>
            </w:pPr>
            <w:r w:rsidRPr="000C3351">
              <w:rPr>
                <w:rFonts w:ascii="Arial Narrow" w:hAnsi="Arial Narrow"/>
                <w:sz w:val="20"/>
                <w:szCs w:val="20"/>
              </w:rPr>
              <w:t>60.6 (55.8, 60.7)</w:t>
            </w:r>
          </w:p>
        </w:tc>
      </w:tr>
      <w:tr w:rsidR="007C7898" w:rsidRPr="00165BCC" w14:paraId="6DA9EE24" w14:textId="77777777" w:rsidTr="007C4DA5">
        <w:tc>
          <w:tcPr>
            <w:tcW w:w="2875" w:type="dxa"/>
          </w:tcPr>
          <w:p w14:paraId="46A72832" w14:textId="7B1D3A06" w:rsidR="007C7898" w:rsidRPr="00C65DB4" w:rsidRDefault="007C7898" w:rsidP="00EE3F07">
            <w:pPr>
              <w:keepNext/>
              <w:keepLines/>
              <w:jc w:val="left"/>
              <w:rPr>
                <w:rFonts w:ascii="Arial Narrow" w:hAnsi="Arial Narrow"/>
                <w:sz w:val="20"/>
                <w:szCs w:val="20"/>
              </w:rPr>
            </w:pPr>
            <w:r w:rsidRPr="00C65DB4">
              <w:rPr>
                <w:rFonts w:ascii="Arial Narrow" w:hAnsi="Arial Narrow"/>
                <w:sz w:val="20"/>
                <w:szCs w:val="20"/>
              </w:rPr>
              <w:t>HR (95%</w:t>
            </w:r>
            <w:r w:rsidR="007C4DA5">
              <w:rPr>
                <w:rFonts w:ascii="Arial Narrow" w:hAnsi="Arial Narrow"/>
                <w:sz w:val="20"/>
                <w:szCs w:val="20"/>
              </w:rPr>
              <w:t xml:space="preserve"> </w:t>
            </w:r>
            <w:r w:rsidRPr="00C65DB4">
              <w:rPr>
                <w:rFonts w:ascii="Arial Narrow" w:hAnsi="Arial Narrow"/>
                <w:sz w:val="20"/>
                <w:szCs w:val="20"/>
              </w:rPr>
              <w:t>CI) vs PBO+ADT</w:t>
            </w:r>
          </w:p>
        </w:tc>
        <w:tc>
          <w:tcPr>
            <w:tcW w:w="2040" w:type="dxa"/>
            <w:vAlign w:val="center"/>
          </w:tcPr>
          <w:p w14:paraId="15BDDDFC" w14:textId="220D61F0" w:rsidR="007C7898" w:rsidRPr="000C3351" w:rsidRDefault="007C7898" w:rsidP="00EE3F07">
            <w:pPr>
              <w:keepNext/>
              <w:keepLines/>
              <w:jc w:val="center"/>
              <w:rPr>
                <w:rFonts w:ascii="Arial Narrow" w:hAnsi="Arial Narrow"/>
                <w:b/>
                <w:sz w:val="20"/>
                <w:szCs w:val="20"/>
              </w:rPr>
            </w:pPr>
            <w:r w:rsidRPr="000C3351">
              <w:rPr>
                <w:rFonts w:ascii="Arial Narrow" w:hAnsi="Arial Narrow"/>
                <w:b/>
                <w:sz w:val="20"/>
                <w:szCs w:val="20"/>
              </w:rPr>
              <w:t>0.42 (0.3</w:t>
            </w:r>
            <w:r w:rsidR="00740830">
              <w:rPr>
                <w:rFonts w:ascii="Arial Narrow" w:hAnsi="Arial Narrow"/>
                <w:b/>
                <w:sz w:val="20"/>
                <w:szCs w:val="20"/>
              </w:rPr>
              <w:t>0</w:t>
            </w:r>
            <w:r w:rsidRPr="000C3351">
              <w:rPr>
                <w:rFonts w:ascii="Arial Narrow" w:hAnsi="Arial Narrow"/>
                <w:b/>
                <w:sz w:val="20"/>
                <w:szCs w:val="20"/>
              </w:rPr>
              <w:t>, 0.61)</w:t>
            </w:r>
          </w:p>
        </w:tc>
        <w:tc>
          <w:tcPr>
            <w:tcW w:w="2040" w:type="dxa"/>
            <w:vAlign w:val="center"/>
          </w:tcPr>
          <w:p w14:paraId="2FF9BB87" w14:textId="77777777" w:rsidR="007C7898" w:rsidRDefault="007C7898" w:rsidP="00EE3F07">
            <w:pPr>
              <w:keepNext/>
              <w:keepLines/>
              <w:jc w:val="center"/>
              <w:rPr>
                <w:rFonts w:ascii="Arial Narrow" w:hAnsi="Arial Narrow"/>
                <w:sz w:val="20"/>
                <w:szCs w:val="20"/>
              </w:rPr>
            </w:pPr>
            <w:r w:rsidRPr="000C3351">
              <w:rPr>
                <w:rFonts w:ascii="Arial Narrow" w:hAnsi="Arial Narrow"/>
                <w:b/>
                <w:sz w:val="20"/>
                <w:szCs w:val="20"/>
              </w:rPr>
              <w:t>0.63 (0.46, 0.87)</w:t>
            </w:r>
          </w:p>
        </w:tc>
        <w:tc>
          <w:tcPr>
            <w:tcW w:w="2062" w:type="dxa"/>
            <w:vAlign w:val="center"/>
          </w:tcPr>
          <w:p w14:paraId="1A9BFF9D" w14:textId="77777777" w:rsidR="007C7898" w:rsidRPr="00165BCC" w:rsidRDefault="007C7898" w:rsidP="00EE3F07">
            <w:pPr>
              <w:keepNext/>
              <w:keepLines/>
              <w:jc w:val="center"/>
              <w:rPr>
                <w:rFonts w:ascii="Arial Narrow" w:hAnsi="Arial Narrow"/>
                <w:sz w:val="20"/>
                <w:szCs w:val="20"/>
              </w:rPr>
            </w:pPr>
            <w:r>
              <w:rPr>
                <w:rFonts w:ascii="Arial Narrow" w:hAnsi="Arial Narrow"/>
                <w:sz w:val="20"/>
                <w:szCs w:val="20"/>
              </w:rPr>
              <w:t>-</w:t>
            </w:r>
          </w:p>
        </w:tc>
      </w:tr>
      <w:tr w:rsidR="007C7898" w:rsidRPr="00165BCC" w14:paraId="4D8A0375" w14:textId="77777777" w:rsidTr="003A3EB9">
        <w:tc>
          <w:tcPr>
            <w:tcW w:w="9017" w:type="dxa"/>
            <w:gridSpan w:val="4"/>
            <w:vAlign w:val="center"/>
          </w:tcPr>
          <w:p w14:paraId="2B21DF8E" w14:textId="77777777" w:rsidR="007C7898" w:rsidRPr="00C65DB4" w:rsidRDefault="007C7898" w:rsidP="00EE3F07">
            <w:pPr>
              <w:keepNext/>
              <w:keepLines/>
              <w:jc w:val="left"/>
              <w:rPr>
                <w:rFonts w:ascii="Arial Narrow" w:hAnsi="Arial Narrow"/>
                <w:sz w:val="20"/>
                <w:szCs w:val="20"/>
              </w:rPr>
            </w:pPr>
            <w:r w:rsidRPr="00C65DB4">
              <w:rPr>
                <w:rFonts w:ascii="Arial Narrow" w:hAnsi="Arial Narrow"/>
                <w:b/>
                <w:sz w:val="20"/>
                <w:szCs w:val="20"/>
              </w:rPr>
              <w:t>OS (ITT)</w:t>
            </w:r>
          </w:p>
        </w:tc>
      </w:tr>
      <w:tr w:rsidR="007C7898" w:rsidRPr="00165BCC" w14:paraId="1852BB15" w14:textId="77777777" w:rsidTr="007C4DA5">
        <w:tc>
          <w:tcPr>
            <w:tcW w:w="2875" w:type="dxa"/>
          </w:tcPr>
          <w:p w14:paraId="42B3742C" w14:textId="7EECE37D" w:rsidR="007C7898" w:rsidRPr="00C65DB4" w:rsidRDefault="007C7898" w:rsidP="00EE3F07">
            <w:pPr>
              <w:keepNext/>
              <w:keepLines/>
              <w:jc w:val="left"/>
              <w:rPr>
                <w:rFonts w:ascii="Arial Narrow" w:hAnsi="Arial Narrow"/>
                <w:sz w:val="20"/>
                <w:szCs w:val="20"/>
              </w:rPr>
            </w:pPr>
            <w:r w:rsidRPr="00C65DB4">
              <w:rPr>
                <w:rFonts w:ascii="Arial Narrow" w:hAnsi="Arial Narrow"/>
                <w:sz w:val="20"/>
                <w:szCs w:val="20"/>
              </w:rPr>
              <w:t>Dead, n</w:t>
            </w:r>
            <w:r w:rsidR="007C4DA5">
              <w:rPr>
                <w:rFonts w:ascii="Arial Narrow" w:hAnsi="Arial Narrow"/>
                <w:sz w:val="20"/>
                <w:szCs w:val="20"/>
              </w:rPr>
              <w:t xml:space="preserve"> </w:t>
            </w:r>
            <w:r w:rsidRPr="00C65DB4">
              <w:rPr>
                <w:rFonts w:ascii="Arial Narrow" w:hAnsi="Arial Narrow"/>
                <w:sz w:val="20"/>
                <w:szCs w:val="20"/>
              </w:rPr>
              <w:t>(%)</w:t>
            </w:r>
          </w:p>
        </w:tc>
        <w:tc>
          <w:tcPr>
            <w:tcW w:w="2040" w:type="dxa"/>
            <w:vAlign w:val="center"/>
          </w:tcPr>
          <w:p w14:paraId="797C9F90" w14:textId="77777777" w:rsidR="007C7898" w:rsidRPr="000C3351" w:rsidRDefault="007C7898" w:rsidP="00EE3F07">
            <w:pPr>
              <w:keepNext/>
              <w:keepLines/>
              <w:jc w:val="center"/>
              <w:rPr>
                <w:rFonts w:ascii="Arial Narrow" w:hAnsi="Arial Narrow"/>
                <w:sz w:val="20"/>
                <w:szCs w:val="20"/>
              </w:rPr>
            </w:pPr>
            <w:r w:rsidRPr="000C3351">
              <w:rPr>
                <w:rFonts w:ascii="Arial Narrow" w:hAnsi="Arial Narrow"/>
                <w:sz w:val="20"/>
                <w:szCs w:val="20"/>
              </w:rPr>
              <w:t>33 (9.3)</w:t>
            </w:r>
          </w:p>
        </w:tc>
        <w:tc>
          <w:tcPr>
            <w:tcW w:w="2040" w:type="dxa"/>
            <w:vAlign w:val="center"/>
          </w:tcPr>
          <w:p w14:paraId="3D024083" w14:textId="77777777" w:rsidR="007C7898" w:rsidRPr="000C3351" w:rsidRDefault="007C7898" w:rsidP="00EE3F07">
            <w:pPr>
              <w:keepNext/>
              <w:keepLines/>
              <w:jc w:val="center"/>
              <w:rPr>
                <w:rFonts w:ascii="Arial Narrow" w:hAnsi="Arial Narrow"/>
                <w:sz w:val="20"/>
                <w:szCs w:val="20"/>
              </w:rPr>
            </w:pPr>
            <w:r w:rsidRPr="000C3351">
              <w:rPr>
                <w:rFonts w:ascii="Arial Narrow" w:hAnsi="Arial Narrow"/>
                <w:sz w:val="20"/>
                <w:szCs w:val="20"/>
              </w:rPr>
              <w:t>42 (11.8)</w:t>
            </w:r>
          </w:p>
        </w:tc>
        <w:tc>
          <w:tcPr>
            <w:tcW w:w="2062" w:type="dxa"/>
            <w:vAlign w:val="center"/>
          </w:tcPr>
          <w:p w14:paraId="1A71BC55" w14:textId="77777777" w:rsidR="007C7898" w:rsidRPr="000C3351" w:rsidRDefault="007C7898" w:rsidP="00EE3F07">
            <w:pPr>
              <w:keepNext/>
              <w:keepLines/>
              <w:jc w:val="center"/>
              <w:rPr>
                <w:rFonts w:ascii="Arial Narrow" w:hAnsi="Arial Narrow"/>
                <w:sz w:val="20"/>
                <w:szCs w:val="20"/>
              </w:rPr>
            </w:pPr>
            <w:r w:rsidRPr="000C3351">
              <w:rPr>
                <w:rFonts w:ascii="Arial Narrow" w:hAnsi="Arial Narrow"/>
                <w:sz w:val="20"/>
                <w:szCs w:val="20"/>
              </w:rPr>
              <w:t>55 (15.4)</w:t>
            </w:r>
          </w:p>
        </w:tc>
      </w:tr>
      <w:tr w:rsidR="007C7898" w:rsidRPr="00165BCC" w14:paraId="7656C57A" w14:textId="77777777" w:rsidTr="007C4DA5">
        <w:tc>
          <w:tcPr>
            <w:tcW w:w="2875" w:type="dxa"/>
          </w:tcPr>
          <w:p w14:paraId="38DFE2EE" w14:textId="3A649F95" w:rsidR="007C7898" w:rsidRPr="00C65DB4" w:rsidRDefault="007C7898" w:rsidP="00EE3F07">
            <w:pPr>
              <w:keepNext/>
              <w:keepLines/>
              <w:jc w:val="left"/>
              <w:rPr>
                <w:rFonts w:ascii="Arial Narrow" w:hAnsi="Arial Narrow"/>
                <w:sz w:val="20"/>
                <w:szCs w:val="20"/>
              </w:rPr>
            </w:pPr>
            <w:r w:rsidRPr="00C65DB4">
              <w:rPr>
                <w:rFonts w:ascii="Arial Narrow" w:hAnsi="Arial Narrow"/>
                <w:sz w:val="20"/>
                <w:szCs w:val="20"/>
              </w:rPr>
              <w:t>Median OS (95%</w:t>
            </w:r>
            <w:r w:rsidR="007C4DA5">
              <w:rPr>
                <w:rFonts w:ascii="Arial Narrow" w:hAnsi="Arial Narrow"/>
                <w:sz w:val="20"/>
                <w:szCs w:val="20"/>
              </w:rPr>
              <w:t xml:space="preserve"> </w:t>
            </w:r>
            <w:r w:rsidRPr="00C65DB4">
              <w:rPr>
                <w:rFonts w:ascii="Arial Narrow" w:hAnsi="Arial Narrow"/>
                <w:sz w:val="20"/>
                <w:szCs w:val="20"/>
              </w:rPr>
              <w:t>CI), months</w:t>
            </w:r>
          </w:p>
        </w:tc>
        <w:tc>
          <w:tcPr>
            <w:tcW w:w="2040" w:type="dxa"/>
            <w:vAlign w:val="center"/>
          </w:tcPr>
          <w:p w14:paraId="00119730" w14:textId="77777777" w:rsidR="007C7898" w:rsidRPr="000C3351" w:rsidRDefault="007C7898" w:rsidP="00EE3F07">
            <w:pPr>
              <w:keepNext/>
              <w:keepLines/>
              <w:jc w:val="center"/>
              <w:rPr>
                <w:rFonts w:ascii="Arial Narrow" w:hAnsi="Arial Narrow"/>
                <w:sz w:val="20"/>
                <w:szCs w:val="20"/>
              </w:rPr>
            </w:pPr>
            <w:r w:rsidRPr="000C3351">
              <w:rPr>
                <w:rFonts w:ascii="Arial Narrow" w:hAnsi="Arial Narrow"/>
                <w:sz w:val="20"/>
                <w:szCs w:val="20"/>
              </w:rPr>
              <w:t>NR (NR, NR)</w:t>
            </w:r>
          </w:p>
        </w:tc>
        <w:tc>
          <w:tcPr>
            <w:tcW w:w="2040" w:type="dxa"/>
            <w:vAlign w:val="center"/>
          </w:tcPr>
          <w:p w14:paraId="3DE1ADEE" w14:textId="77777777" w:rsidR="007C7898" w:rsidRPr="000C3351" w:rsidRDefault="007C7898" w:rsidP="00EE3F07">
            <w:pPr>
              <w:keepNext/>
              <w:keepLines/>
              <w:jc w:val="center"/>
              <w:rPr>
                <w:rFonts w:ascii="Arial Narrow" w:hAnsi="Arial Narrow"/>
                <w:sz w:val="20"/>
                <w:szCs w:val="20"/>
              </w:rPr>
            </w:pPr>
            <w:r w:rsidRPr="000C3351">
              <w:rPr>
                <w:rFonts w:ascii="Arial Narrow" w:hAnsi="Arial Narrow"/>
                <w:sz w:val="20"/>
                <w:szCs w:val="20"/>
              </w:rPr>
              <w:t>NR (NR, NR)</w:t>
            </w:r>
          </w:p>
        </w:tc>
        <w:tc>
          <w:tcPr>
            <w:tcW w:w="2062" w:type="dxa"/>
            <w:vAlign w:val="center"/>
          </w:tcPr>
          <w:p w14:paraId="15DA64B9" w14:textId="77777777" w:rsidR="007C7898" w:rsidRPr="000C3351" w:rsidRDefault="007C7898" w:rsidP="00EE3F07">
            <w:pPr>
              <w:keepNext/>
              <w:keepLines/>
              <w:jc w:val="center"/>
              <w:rPr>
                <w:rFonts w:ascii="Arial Narrow" w:hAnsi="Arial Narrow"/>
                <w:sz w:val="20"/>
                <w:szCs w:val="20"/>
              </w:rPr>
            </w:pPr>
            <w:r w:rsidRPr="000C3351">
              <w:rPr>
                <w:rFonts w:ascii="Arial Narrow" w:hAnsi="Arial Narrow"/>
                <w:sz w:val="20"/>
                <w:szCs w:val="20"/>
              </w:rPr>
              <w:t>NR (NR, NR)</w:t>
            </w:r>
          </w:p>
        </w:tc>
      </w:tr>
      <w:tr w:rsidR="007C7898" w:rsidRPr="00165BCC" w14:paraId="158E9F54" w14:textId="77777777" w:rsidTr="007C4DA5">
        <w:tc>
          <w:tcPr>
            <w:tcW w:w="2875" w:type="dxa"/>
          </w:tcPr>
          <w:p w14:paraId="79E2C2F7" w14:textId="6C159883" w:rsidR="007C7898" w:rsidRPr="00C65DB4" w:rsidRDefault="007C7898" w:rsidP="00EE3F07">
            <w:pPr>
              <w:keepNext/>
              <w:keepLines/>
              <w:jc w:val="left"/>
              <w:rPr>
                <w:rFonts w:ascii="Arial Narrow" w:hAnsi="Arial Narrow"/>
                <w:sz w:val="20"/>
                <w:szCs w:val="20"/>
              </w:rPr>
            </w:pPr>
            <w:r w:rsidRPr="00C65DB4">
              <w:rPr>
                <w:rFonts w:ascii="Arial Narrow" w:hAnsi="Arial Narrow"/>
                <w:sz w:val="20"/>
                <w:szCs w:val="20"/>
              </w:rPr>
              <w:t>Median follow-up (95%</w:t>
            </w:r>
            <w:r w:rsidR="007C4DA5">
              <w:rPr>
                <w:rFonts w:ascii="Arial Narrow" w:hAnsi="Arial Narrow"/>
                <w:sz w:val="20"/>
                <w:szCs w:val="20"/>
              </w:rPr>
              <w:t xml:space="preserve"> </w:t>
            </w:r>
            <w:r w:rsidRPr="00C65DB4">
              <w:rPr>
                <w:rFonts w:ascii="Arial Narrow" w:hAnsi="Arial Narrow"/>
                <w:sz w:val="20"/>
                <w:szCs w:val="20"/>
              </w:rPr>
              <w:t>CI), months</w:t>
            </w:r>
          </w:p>
        </w:tc>
        <w:tc>
          <w:tcPr>
            <w:tcW w:w="2040" w:type="dxa"/>
            <w:vAlign w:val="center"/>
          </w:tcPr>
          <w:p w14:paraId="0B5E826F" w14:textId="77777777" w:rsidR="007C7898" w:rsidRPr="000C3351" w:rsidRDefault="007C7898" w:rsidP="00EE3F07">
            <w:pPr>
              <w:keepNext/>
              <w:keepLines/>
              <w:jc w:val="center"/>
              <w:rPr>
                <w:rFonts w:ascii="Arial Narrow" w:hAnsi="Arial Narrow"/>
                <w:sz w:val="20"/>
                <w:szCs w:val="20"/>
              </w:rPr>
            </w:pPr>
            <w:r w:rsidRPr="000C3351">
              <w:rPr>
                <w:rFonts w:ascii="Arial Narrow" w:hAnsi="Arial Narrow"/>
                <w:sz w:val="20"/>
                <w:szCs w:val="20"/>
              </w:rPr>
              <w:t>65.0 (63.5, 66.3)</w:t>
            </w:r>
          </w:p>
        </w:tc>
        <w:tc>
          <w:tcPr>
            <w:tcW w:w="2040" w:type="dxa"/>
            <w:vAlign w:val="center"/>
          </w:tcPr>
          <w:p w14:paraId="43BE83D0" w14:textId="77777777" w:rsidR="007C7898" w:rsidRPr="000C3351" w:rsidRDefault="007C7898" w:rsidP="00EE3F07">
            <w:pPr>
              <w:keepNext/>
              <w:keepLines/>
              <w:jc w:val="center"/>
              <w:rPr>
                <w:rFonts w:ascii="Arial Narrow" w:hAnsi="Arial Narrow"/>
                <w:sz w:val="20"/>
                <w:szCs w:val="20"/>
              </w:rPr>
            </w:pPr>
            <w:r w:rsidRPr="000C3351">
              <w:rPr>
                <w:rFonts w:ascii="Arial Narrow" w:hAnsi="Arial Narrow"/>
                <w:sz w:val="20"/>
                <w:szCs w:val="20"/>
              </w:rPr>
              <w:t>63.7 (63.5, 66.3)</w:t>
            </w:r>
          </w:p>
        </w:tc>
        <w:tc>
          <w:tcPr>
            <w:tcW w:w="2062" w:type="dxa"/>
            <w:vAlign w:val="center"/>
          </w:tcPr>
          <w:p w14:paraId="7ED391D5" w14:textId="77777777" w:rsidR="007C7898" w:rsidRPr="000C3351" w:rsidRDefault="007C7898" w:rsidP="00EE3F07">
            <w:pPr>
              <w:keepNext/>
              <w:keepLines/>
              <w:jc w:val="center"/>
              <w:rPr>
                <w:rFonts w:ascii="Arial Narrow" w:hAnsi="Arial Narrow"/>
                <w:sz w:val="20"/>
                <w:szCs w:val="20"/>
              </w:rPr>
            </w:pPr>
            <w:r w:rsidRPr="000C3351">
              <w:rPr>
                <w:rFonts w:ascii="Arial Narrow" w:hAnsi="Arial Narrow"/>
                <w:sz w:val="20"/>
                <w:szCs w:val="20"/>
              </w:rPr>
              <w:t>66.2 (63.5, 67)</w:t>
            </w:r>
          </w:p>
        </w:tc>
      </w:tr>
      <w:tr w:rsidR="007C7898" w:rsidRPr="00165BCC" w14:paraId="0F47000C" w14:textId="77777777" w:rsidTr="007C4DA5">
        <w:tc>
          <w:tcPr>
            <w:tcW w:w="2875" w:type="dxa"/>
          </w:tcPr>
          <w:p w14:paraId="1B83123D" w14:textId="2C5623D8" w:rsidR="007C7898" w:rsidRPr="00C65DB4" w:rsidRDefault="007C7898" w:rsidP="00EE3F07">
            <w:pPr>
              <w:keepNext/>
              <w:keepLines/>
              <w:jc w:val="left"/>
              <w:rPr>
                <w:rFonts w:ascii="Arial Narrow" w:hAnsi="Arial Narrow"/>
                <w:sz w:val="20"/>
                <w:szCs w:val="20"/>
              </w:rPr>
            </w:pPr>
            <w:r w:rsidRPr="00C65DB4">
              <w:rPr>
                <w:rFonts w:ascii="Arial Narrow" w:hAnsi="Arial Narrow"/>
                <w:sz w:val="20"/>
                <w:szCs w:val="20"/>
              </w:rPr>
              <w:t>HR (95%</w:t>
            </w:r>
            <w:r w:rsidR="007C4DA5">
              <w:rPr>
                <w:rFonts w:ascii="Arial Narrow" w:hAnsi="Arial Narrow"/>
                <w:sz w:val="20"/>
                <w:szCs w:val="20"/>
              </w:rPr>
              <w:t xml:space="preserve"> </w:t>
            </w:r>
            <w:r w:rsidRPr="00C65DB4">
              <w:rPr>
                <w:rFonts w:ascii="Arial Narrow" w:hAnsi="Arial Narrow"/>
                <w:sz w:val="20"/>
                <w:szCs w:val="20"/>
              </w:rPr>
              <w:t xml:space="preserve">CI) vs </w:t>
            </w:r>
            <w:proofErr w:type="spellStart"/>
            <w:r w:rsidRPr="00C65DB4">
              <w:rPr>
                <w:rFonts w:ascii="Arial Narrow" w:hAnsi="Arial Narrow"/>
                <w:sz w:val="20"/>
                <w:szCs w:val="20"/>
              </w:rPr>
              <w:t>PBO+ADT</w:t>
            </w:r>
            <w:r w:rsidRPr="00C65DB4">
              <w:rPr>
                <w:rFonts w:ascii="Arial Narrow" w:hAnsi="Arial Narrow"/>
                <w:sz w:val="20"/>
                <w:szCs w:val="20"/>
                <w:vertAlign w:val="superscript"/>
              </w:rPr>
              <w:t>b</w:t>
            </w:r>
            <w:proofErr w:type="spellEnd"/>
          </w:p>
        </w:tc>
        <w:tc>
          <w:tcPr>
            <w:tcW w:w="2040" w:type="dxa"/>
            <w:vAlign w:val="center"/>
          </w:tcPr>
          <w:p w14:paraId="0E5F74E5" w14:textId="77777777" w:rsidR="007C7898" w:rsidRPr="00417E6A" w:rsidRDefault="007C7898" w:rsidP="00EE3F07">
            <w:pPr>
              <w:keepNext/>
              <w:keepLines/>
              <w:jc w:val="center"/>
              <w:rPr>
                <w:rFonts w:ascii="Arial Narrow" w:hAnsi="Arial Narrow"/>
                <w:sz w:val="20"/>
                <w:szCs w:val="20"/>
              </w:rPr>
            </w:pPr>
            <w:r w:rsidRPr="00417E6A">
              <w:rPr>
                <w:rFonts w:ascii="Arial Narrow" w:hAnsi="Arial Narrow"/>
                <w:sz w:val="20"/>
                <w:szCs w:val="20"/>
              </w:rPr>
              <w:t>0.59 (0.38, 0.91)</w:t>
            </w:r>
            <w:r>
              <w:rPr>
                <w:rFonts w:ascii="Arial Narrow" w:hAnsi="Arial Narrow"/>
                <w:sz w:val="20"/>
                <w:szCs w:val="20"/>
                <w:vertAlign w:val="superscript"/>
              </w:rPr>
              <w:t>c</w:t>
            </w:r>
          </w:p>
        </w:tc>
        <w:tc>
          <w:tcPr>
            <w:tcW w:w="2040" w:type="dxa"/>
            <w:vAlign w:val="center"/>
          </w:tcPr>
          <w:p w14:paraId="7F143AA5" w14:textId="77777777" w:rsidR="007C7898" w:rsidRPr="000C3351" w:rsidRDefault="007C7898" w:rsidP="00EE3F07">
            <w:pPr>
              <w:keepNext/>
              <w:keepLines/>
              <w:jc w:val="center"/>
              <w:rPr>
                <w:rFonts w:ascii="Arial Narrow" w:hAnsi="Arial Narrow"/>
                <w:sz w:val="20"/>
                <w:szCs w:val="20"/>
              </w:rPr>
            </w:pPr>
            <w:r w:rsidRPr="000C3351">
              <w:rPr>
                <w:rFonts w:ascii="Arial Narrow" w:hAnsi="Arial Narrow"/>
                <w:sz w:val="20"/>
                <w:szCs w:val="20"/>
              </w:rPr>
              <w:t>0.78 (0.52, 1.17)</w:t>
            </w:r>
          </w:p>
        </w:tc>
        <w:tc>
          <w:tcPr>
            <w:tcW w:w="2062" w:type="dxa"/>
            <w:vAlign w:val="center"/>
          </w:tcPr>
          <w:p w14:paraId="461ADAC1" w14:textId="77777777" w:rsidR="007C7898" w:rsidRPr="000C3351" w:rsidRDefault="007C7898" w:rsidP="00EE3F07">
            <w:pPr>
              <w:keepNext/>
              <w:keepLines/>
              <w:jc w:val="center"/>
              <w:rPr>
                <w:rFonts w:ascii="Arial Narrow" w:hAnsi="Arial Narrow"/>
                <w:sz w:val="20"/>
                <w:szCs w:val="20"/>
              </w:rPr>
            </w:pPr>
            <w:r>
              <w:rPr>
                <w:rFonts w:ascii="Arial Narrow" w:hAnsi="Arial Narrow"/>
                <w:sz w:val="20"/>
                <w:szCs w:val="20"/>
              </w:rPr>
              <w:t>-</w:t>
            </w:r>
          </w:p>
        </w:tc>
      </w:tr>
    </w:tbl>
    <w:p w14:paraId="31D98F59" w14:textId="77777777" w:rsidR="007C7898" w:rsidRDefault="007C7898" w:rsidP="00EE3F07">
      <w:pPr>
        <w:keepNext/>
        <w:keepLines/>
        <w:rPr>
          <w:rFonts w:ascii="Arial Narrow" w:hAnsi="Arial Narrow"/>
          <w:sz w:val="18"/>
          <w:szCs w:val="18"/>
        </w:rPr>
      </w:pPr>
      <w:r>
        <w:rPr>
          <w:rFonts w:ascii="Arial Narrow" w:hAnsi="Arial Narrow"/>
          <w:sz w:val="18"/>
          <w:szCs w:val="18"/>
        </w:rPr>
        <w:t>Source: Table 2-10, p55 and Table 2-12, p61 of the submission.</w:t>
      </w:r>
    </w:p>
    <w:p w14:paraId="025D0BA6" w14:textId="45199AC5" w:rsidR="007C7898" w:rsidRDefault="007C7898" w:rsidP="00EE3F07">
      <w:pPr>
        <w:keepNext/>
        <w:keepLines/>
        <w:tabs>
          <w:tab w:val="left" w:pos="142"/>
        </w:tabs>
        <w:rPr>
          <w:rFonts w:ascii="Arial Narrow" w:hAnsi="Arial Narrow"/>
          <w:sz w:val="18"/>
          <w:szCs w:val="18"/>
        </w:rPr>
      </w:pPr>
      <w:r w:rsidRPr="009D71CD">
        <w:rPr>
          <w:rFonts w:ascii="Arial Narrow" w:hAnsi="Arial Narrow"/>
          <w:sz w:val="18"/>
          <w:szCs w:val="18"/>
        </w:rPr>
        <w:t>ADT=androgen deprivation therapy; CI=confidence intervals; ENZA=enzalutamide; HR=hazard ratio; ITT=intention-to-treat; MFS=metastasis-free survival; NR=not reached; OS=overall survival; PBO=placebo</w:t>
      </w:r>
      <w:r>
        <w:rPr>
          <w:rFonts w:ascii="Arial Narrow" w:hAnsi="Arial Narrow"/>
          <w:sz w:val="18"/>
          <w:szCs w:val="18"/>
        </w:rPr>
        <w:t xml:space="preserve"> </w:t>
      </w:r>
    </w:p>
    <w:p w14:paraId="46948944" w14:textId="77777777" w:rsidR="007C7898" w:rsidRDefault="007C7898" w:rsidP="00EE3F07">
      <w:pPr>
        <w:keepNext/>
        <w:keepLines/>
        <w:tabs>
          <w:tab w:val="left" w:pos="142"/>
        </w:tabs>
        <w:rPr>
          <w:rFonts w:ascii="Arial Narrow" w:hAnsi="Arial Narrow"/>
          <w:sz w:val="18"/>
          <w:szCs w:val="18"/>
        </w:rPr>
      </w:pPr>
      <w:r>
        <w:rPr>
          <w:rFonts w:ascii="Arial Narrow" w:hAnsi="Arial Narrow"/>
          <w:sz w:val="18"/>
          <w:szCs w:val="18"/>
        </w:rPr>
        <w:t>^</w:t>
      </w:r>
      <w:r>
        <w:rPr>
          <w:rFonts w:ascii="Arial Narrow" w:hAnsi="Arial Narrow"/>
          <w:sz w:val="18"/>
          <w:szCs w:val="18"/>
        </w:rPr>
        <w:tab/>
        <w:t xml:space="preserve">Primary endpoint was </w:t>
      </w:r>
      <w:r w:rsidRPr="008E1795">
        <w:rPr>
          <w:rFonts w:ascii="Arial Narrow" w:hAnsi="Arial Narrow"/>
          <w:sz w:val="18"/>
          <w:szCs w:val="18"/>
        </w:rPr>
        <w:t>MFS in the</w:t>
      </w:r>
      <w:r>
        <w:rPr>
          <w:rFonts w:ascii="Arial Narrow" w:hAnsi="Arial Narrow"/>
          <w:sz w:val="18"/>
          <w:szCs w:val="18"/>
        </w:rPr>
        <w:t xml:space="preserve"> </w:t>
      </w:r>
      <w:r w:rsidRPr="008E1795">
        <w:rPr>
          <w:rFonts w:ascii="Arial Narrow" w:hAnsi="Arial Narrow"/>
          <w:sz w:val="18"/>
          <w:szCs w:val="18"/>
        </w:rPr>
        <w:t xml:space="preserve">enzalutamide plus </w:t>
      </w:r>
      <w:r>
        <w:rPr>
          <w:rFonts w:ascii="Arial Narrow" w:hAnsi="Arial Narrow"/>
          <w:sz w:val="18"/>
          <w:szCs w:val="18"/>
        </w:rPr>
        <w:t>ADT</w:t>
      </w:r>
      <w:r w:rsidRPr="008E1795">
        <w:rPr>
          <w:rFonts w:ascii="Arial Narrow" w:hAnsi="Arial Narrow"/>
          <w:sz w:val="18"/>
          <w:szCs w:val="18"/>
        </w:rPr>
        <w:t xml:space="preserve"> group compared with the placebo plus </w:t>
      </w:r>
      <w:r>
        <w:rPr>
          <w:rFonts w:ascii="Arial Narrow" w:hAnsi="Arial Narrow"/>
          <w:sz w:val="18"/>
          <w:szCs w:val="18"/>
        </w:rPr>
        <w:t>ADT</w:t>
      </w:r>
      <w:r w:rsidRPr="008E1795">
        <w:rPr>
          <w:rFonts w:ascii="Arial Narrow" w:hAnsi="Arial Narrow"/>
          <w:sz w:val="18"/>
          <w:szCs w:val="18"/>
        </w:rPr>
        <w:t xml:space="preserve"> group</w:t>
      </w:r>
      <w:r>
        <w:rPr>
          <w:rFonts w:ascii="Arial Narrow" w:hAnsi="Arial Narrow"/>
          <w:sz w:val="18"/>
          <w:szCs w:val="18"/>
        </w:rPr>
        <w:t>.</w:t>
      </w:r>
    </w:p>
    <w:p w14:paraId="4B62C4C1" w14:textId="77777777" w:rsidR="007C7898" w:rsidRDefault="007C7898" w:rsidP="00EE3F07">
      <w:pPr>
        <w:keepNext/>
        <w:keepLines/>
        <w:tabs>
          <w:tab w:val="left" w:pos="142"/>
        </w:tabs>
        <w:rPr>
          <w:rFonts w:ascii="Arial Narrow" w:hAnsi="Arial Narrow"/>
          <w:sz w:val="18"/>
          <w:szCs w:val="18"/>
        </w:rPr>
      </w:pPr>
      <w:r>
        <w:rPr>
          <w:rFonts w:ascii="Arial Narrow" w:hAnsi="Arial Narrow"/>
          <w:sz w:val="18"/>
          <w:szCs w:val="18"/>
        </w:rPr>
        <w:t>a</w:t>
      </w:r>
      <w:r>
        <w:rPr>
          <w:rFonts w:ascii="Arial Narrow" w:hAnsi="Arial Narrow"/>
          <w:sz w:val="18"/>
          <w:szCs w:val="18"/>
        </w:rPr>
        <w:tab/>
      </w:r>
      <w:r w:rsidRPr="008E1795">
        <w:rPr>
          <w:rFonts w:ascii="Arial Narrow" w:hAnsi="Arial Narrow"/>
          <w:sz w:val="18"/>
          <w:szCs w:val="18"/>
        </w:rPr>
        <w:t>Based on the earliest contributing event (radiographic progression or death)</w:t>
      </w:r>
      <w:r>
        <w:rPr>
          <w:rFonts w:ascii="Arial Narrow" w:hAnsi="Arial Narrow"/>
          <w:sz w:val="18"/>
          <w:szCs w:val="18"/>
        </w:rPr>
        <w:t>.</w:t>
      </w:r>
    </w:p>
    <w:p w14:paraId="272302CC" w14:textId="77777777" w:rsidR="007C7898" w:rsidRDefault="007C7898" w:rsidP="00EE3F07">
      <w:pPr>
        <w:keepNext/>
        <w:keepLines/>
        <w:tabs>
          <w:tab w:val="left" w:pos="142"/>
        </w:tabs>
        <w:ind w:left="140" w:hanging="140"/>
        <w:rPr>
          <w:rFonts w:ascii="Arial Narrow" w:hAnsi="Arial Narrow"/>
          <w:sz w:val="18"/>
          <w:szCs w:val="18"/>
        </w:rPr>
      </w:pPr>
      <w:r>
        <w:rPr>
          <w:rFonts w:ascii="Arial Narrow" w:hAnsi="Arial Narrow"/>
          <w:sz w:val="18"/>
          <w:szCs w:val="18"/>
        </w:rPr>
        <w:t>b</w:t>
      </w:r>
      <w:r>
        <w:rPr>
          <w:rFonts w:ascii="Arial Narrow" w:hAnsi="Arial Narrow"/>
          <w:sz w:val="18"/>
          <w:szCs w:val="18"/>
        </w:rPr>
        <w:tab/>
      </w:r>
      <w:r w:rsidRPr="001613F2">
        <w:rPr>
          <w:rFonts w:ascii="Arial Narrow" w:hAnsi="Arial Narrow"/>
          <w:sz w:val="18"/>
          <w:szCs w:val="18"/>
        </w:rPr>
        <w:t xml:space="preserve">Patients who were not known to have died at the analysis date </w:t>
      </w:r>
      <w:r>
        <w:rPr>
          <w:rFonts w:ascii="Arial Narrow" w:hAnsi="Arial Narrow"/>
          <w:sz w:val="18"/>
          <w:szCs w:val="18"/>
        </w:rPr>
        <w:t>were</w:t>
      </w:r>
      <w:r w:rsidRPr="001613F2">
        <w:rPr>
          <w:rFonts w:ascii="Arial Narrow" w:hAnsi="Arial Narrow"/>
          <w:sz w:val="18"/>
          <w:szCs w:val="18"/>
        </w:rPr>
        <w:t xml:space="preserve"> censored at date last know</w:t>
      </w:r>
      <w:r>
        <w:rPr>
          <w:rFonts w:ascii="Arial Narrow" w:hAnsi="Arial Narrow"/>
          <w:sz w:val="18"/>
          <w:szCs w:val="18"/>
        </w:rPr>
        <w:t>n</w:t>
      </w:r>
      <w:r w:rsidRPr="001613F2">
        <w:rPr>
          <w:rFonts w:ascii="Arial Narrow" w:hAnsi="Arial Narrow"/>
          <w:sz w:val="18"/>
          <w:szCs w:val="18"/>
        </w:rPr>
        <w:t xml:space="preserve"> </w:t>
      </w:r>
      <w:r>
        <w:rPr>
          <w:rFonts w:ascii="Arial Narrow" w:hAnsi="Arial Narrow"/>
          <w:sz w:val="18"/>
          <w:szCs w:val="18"/>
        </w:rPr>
        <w:t xml:space="preserve">to be </w:t>
      </w:r>
      <w:r w:rsidRPr="001613F2">
        <w:rPr>
          <w:rFonts w:ascii="Arial Narrow" w:hAnsi="Arial Narrow"/>
          <w:sz w:val="18"/>
          <w:szCs w:val="18"/>
        </w:rPr>
        <w:t>alive or data analysis cut</w:t>
      </w:r>
      <w:r>
        <w:rPr>
          <w:rFonts w:ascii="Arial Narrow" w:hAnsi="Arial Narrow"/>
          <w:sz w:val="18"/>
          <w:szCs w:val="18"/>
        </w:rPr>
        <w:t>-</w:t>
      </w:r>
      <w:r w:rsidRPr="001613F2">
        <w:rPr>
          <w:rFonts w:ascii="Arial Narrow" w:hAnsi="Arial Narrow"/>
          <w:sz w:val="18"/>
          <w:szCs w:val="18"/>
        </w:rPr>
        <w:t>off date, whichever occur</w:t>
      </w:r>
      <w:r>
        <w:rPr>
          <w:rFonts w:ascii="Arial Narrow" w:hAnsi="Arial Narrow"/>
          <w:sz w:val="18"/>
          <w:szCs w:val="18"/>
        </w:rPr>
        <w:t>red</w:t>
      </w:r>
      <w:r w:rsidRPr="001613F2">
        <w:rPr>
          <w:rFonts w:ascii="Arial Narrow" w:hAnsi="Arial Narrow"/>
          <w:sz w:val="18"/>
          <w:szCs w:val="18"/>
        </w:rPr>
        <w:t xml:space="preserve"> first.</w:t>
      </w:r>
      <w:r>
        <w:rPr>
          <w:rFonts w:ascii="Arial Narrow" w:hAnsi="Arial Narrow"/>
          <w:sz w:val="18"/>
          <w:szCs w:val="18"/>
        </w:rPr>
        <w:t xml:space="preserve"> </w:t>
      </w:r>
    </w:p>
    <w:p w14:paraId="0A2C9B3E" w14:textId="13CF8358" w:rsidR="007C7898" w:rsidRPr="00CD621A" w:rsidRDefault="007C7898" w:rsidP="00EE3F07">
      <w:pPr>
        <w:tabs>
          <w:tab w:val="left" w:pos="142"/>
        </w:tabs>
        <w:spacing w:after="120"/>
        <w:ind w:left="140" w:hanging="140"/>
      </w:pPr>
      <w:r>
        <w:rPr>
          <w:rFonts w:ascii="Arial Narrow" w:hAnsi="Arial Narrow"/>
          <w:sz w:val="18"/>
          <w:szCs w:val="18"/>
        </w:rPr>
        <w:t>c</w:t>
      </w:r>
      <w:r>
        <w:rPr>
          <w:rFonts w:ascii="Arial Narrow" w:hAnsi="Arial Narrow"/>
          <w:sz w:val="18"/>
          <w:szCs w:val="18"/>
        </w:rPr>
        <w:tab/>
      </w:r>
      <w:r w:rsidRPr="00C65DB4">
        <w:rPr>
          <w:rFonts w:ascii="Arial Narrow" w:hAnsi="Arial Narrow"/>
          <w:sz w:val="18"/>
          <w:szCs w:val="18"/>
        </w:rPr>
        <w:t xml:space="preserve">For the interim analysis, an O'Brien-Fleming stopping boundary </w:t>
      </w:r>
      <w:r>
        <w:rPr>
          <w:rFonts w:ascii="Arial Narrow" w:hAnsi="Arial Narrow"/>
          <w:sz w:val="18"/>
          <w:szCs w:val="18"/>
        </w:rPr>
        <w:t xml:space="preserve">was </w:t>
      </w:r>
      <w:r w:rsidRPr="00C65DB4">
        <w:rPr>
          <w:rFonts w:ascii="Arial Narrow" w:hAnsi="Arial Narrow"/>
          <w:sz w:val="18"/>
          <w:szCs w:val="18"/>
        </w:rPr>
        <w:t>used.</w:t>
      </w:r>
      <w:r>
        <w:rPr>
          <w:rFonts w:ascii="Arial Narrow" w:hAnsi="Arial Narrow"/>
          <w:sz w:val="18"/>
          <w:szCs w:val="18"/>
        </w:rPr>
        <w:t xml:space="preserve"> T</w:t>
      </w:r>
      <w:r w:rsidRPr="00C65DB4">
        <w:rPr>
          <w:rFonts w:ascii="Arial Narrow" w:hAnsi="Arial Narrow"/>
          <w:sz w:val="18"/>
          <w:szCs w:val="18"/>
        </w:rPr>
        <w:t>he prespecified efficacy boundary (P ≤ 0.0001) was not crossed at this</w:t>
      </w:r>
      <w:r>
        <w:rPr>
          <w:rFonts w:ascii="Arial Narrow" w:hAnsi="Arial Narrow"/>
          <w:sz w:val="18"/>
          <w:szCs w:val="18"/>
        </w:rPr>
        <w:t xml:space="preserve"> </w:t>
      </w:r>
      <w:r w:rsidRPr="00C65DB4">
        <w:rPr>
          <w:rFonts w:ascii="Arial Narrow" w:hAnsi="Arial Narrow"/>
          <w:sz w:val="18"/>
          <w:szCs w:val="18"/>
        </w:rPr>
        <w:t>interim OS analysis and the results were not statistically significant.</w:t>
      </w:r>
    </w:p>
    <w:p w14:paraId="453102EE" w14:textId="6BEDD17E" w:rsidR="007C7898" w:rsidRPr="000D3ECC" w:rsidRDefault="000D3ECC" w:rsidP="00FB5D49">
      <w:pPr>
        <w:pStyle w:val="Caption"/>
        <w:rPr>
          <w:szCs w:val="20"/>
        </w:rPr>
      </w:pPr>
      <w:bookmarkStart w:id="25" w:name="_Ref176768936"/>
      <w:r>
        <w:t xml:space="preserve">Figure </w:t>
      </w:r>
      <w:r>
        <w:fldChar w:fldCharType="begin" w:fldLock="1"/>
      </w:r>
      <w:r>
        <w:instrText xml:space="preserve"> SEQ Figure \* ARABIC </w:instrText>
      </w:r>
      <w:r>
        <w:fldChar w:fldCharType="separate"/>
      </w:r>
      <w:r w:rsidR="006619E7">
        <w:rPr>
          <w:noProof/>
        </w:rPr>
        <w:t>1</w:t>
      </w:r>
      <w:r>
        <w:rPr>
          <w:noProof/>
        </w:rPr>
        <w:fldChar w:fldCharType="end"/>
      </w:r>
      <w:bookmarkEnd w:id="25"/>
      <w:r>
        <w:t xml:space="preserve">: </w:t>
      </w:r>
      <w:r w:rsidR="007C7898" w:rsidRPr="000D3ECC">
        <w:rPr>
          <w:szCs w:val="20"/>
        </w:rPr>
        <w:t>Kaplan-Meier plot of MFS and OS in EMBARK (ITT).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08"/>
        <w:gridCol w:w="4509"/>
      </w:tblGrid>
      <w:tr w:rsidR="007C7898" w14:paraId="0E9C3B6C" w14:textId="77777777" w:rsidTr="003A3EB9">
        <w:tc>
          <w:tcPr>
            <w:tcW w:w="4508" w:type="dxa"/>
          </w:tcPr>
          <w:p w14:paraId="044A33F7" w14:textId="77777777" w:rsidR="007C7898" w:rsidRDefault="007C7898" w:rsidP="00FB5D49">
            <w:pPr>
              <w:keepNext/>
              <w:keepLines/>
              <w:rPr>
                <w:rFonts w:ascii="Arial Narrow" w:hAnsi="Arial Narrow"/>
                <w:b/>
                <w:sz w:val="20"/>
                <w:szCs w:val="20"/>
              </w:rPr>
            </w:pPr>
            <w:r>
              <w:rPr>
                <w:rFonts w:ascii="Arial Narrow" w:hAnsi="Arial Narrow"/>
                <w:b/>
                <w:sz w:val="20"/>
                <w:szCs w:val="20"/>
              </w:rPr>
              <w:t>A. MFS</w:t>
            </w:r>
          </w:p>
        </w:tc>
        <w:tc>
          <w:tcPr>
            <w:tcW w:w="4509" w:type="dxa"/>
          </w:tcPr>
          <w:p w14:paraId="2DB8337E" w14:textId="77777777" w:rsidR="007C7898" w:rsidRDefault="007C7898" w:rsidP="00FB5D49">
            <w:pPr>
              <w:keepNext/>
              <w:keepLines/>
              <w:rPr>
                <w:rFonts w:ascii="Arial Narrow" w:hAnsi="Arial Narrow"/>
                <w:b/>
                <w:sz w:val="20"/>
                <w:szCs w:val="20"/>
              </w:rPr>
            </w:pPr>
            <w:r>
              <w:rPr>
                <w:rFonts w:ascii="Arial Narrow" w:hAnsi="Arial Narrow"/>
                <w:b/>
                <w:sz w:val="20"/>
                <w:szCs w:val="20"/>
              </w:rPr>
              <w:t>B. OS</w:t>
            </w:r>
          </w:p>
        </w:tc>
      </w:tr>
      <w:tr w:rsidR="007C7898" w14:paraId="3A0E1D34" w14:textId="77777777" w:rsidTr="003A3EB9">
        <w:tc>
          <w:tcPr>
            <w:tcW w:w="4508" w:type="dxa"/>
          </w:tcPr>
          <w:p w14:paraId="1AA05F20" w14:textId="77777777" w:rsidR="007C7898" w:rsidRDefault="007C7898" w:rsidP="00FB5D49">
            <w:pPr>
              <w:keepNext/>
              <w:keepLines/>
              <w:rPr>
                <w:rFonts w:ascii="Arial Narrow" w:hAnsi="Arial Narrow"/>
                <w:b/>
                <w:sz w:val="20"/>
                <w:szCs w:val="20"/>
              </w:rPr>
            </w:pPr>
            <w:r>
              <w:rPr>
                <w:noProof/>
              </w:rPr>
              <w:drawing>
                <wp:inline distT="0" distB="0" distL="0" distR="0" wp14:anchorId="1EFE0AC1" wp14:editId="199452F2">
                  <wp:extent cx="2790000" cy="1821447"/>
                  <wp:effectExtent l="0" t="0" r="0" b="7620"/>
                  <wp:docPr id="3" name="Picture 3" descr="Figure 1: Kaplan-Meier plot of MFS and OS in EMBARK (ITT).&#10;A. MF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 Kaplan-Meier plot of MFS and OS in EMBARK (ITT).&#10;A. MFS&#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000" cy="1821447"/>
                          </a:xfrm>
                          <a:prstGeom prst="rect">
                            <a:avLst/>
                          </a:prstGeom>
                          <a:noFill/>
                        </pic:spPr>
                      </pic:pic>
                    </a:graphicData>
                  </a:graphic>
                </wp:inline>
              </w:drawing>
            </w:r>
          </w:p>
        </w:tc>
        <w:tc>
          <w:tcPr>
            <w:tcW w:w="4509" w:type="dxa"/>
          </w:tcPr>
          <w:p w14:paraId="156E0DA5" w14:textId="77777777" w:rsidR="007C7898" w:rsidRDefault="007C7898" w:rsidP="00FB5D49">
            <w:pPr>
              <w:keepNext/>
              <w:keepLines/>
              <w:rPr>
                <w:rFonts w:ascii="Arial Narrow" w:hAnsi="Arial Narrow"/>
                <w:b/>
                <w:sz w:val="20"/>
                <w:szCs w:val="20"/>
              </w:rPr>
            </w:pPr>
            <w:r>
              <w:rPr>
                <w:noProof/>
              </w:rPr>
              <w:drawing>
                <wp:inline distT="0" distB="0" distL="0" distR="0" wp14:anchorId="7F43F491" wp14:editId="1CF5FCB6">
                  <wp:extent cx="2790000" cy="1821447"/>
                  <wp:effectExtent l="0" t="0" r="0" b="7620"/>
                  <wp:docPr id="7" name="Picture 7" descr="Figure 1: Kaplan-Meier plot of MFS and OS in EMBARK (ITT).&#10;B. O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1: Kaplan-Meier plot of MFS and OS in EMBARK (ITT).&#10;B. OS&#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0000" cy="1821447"/>
                          </a:xfrm>
                          <a:prstGeom prst="rect">
                            <a:avLst/>
                          </a:prstGeom>
                          <a:noFill/>
                        </pic:spPr>
                      </pic:pic>
                    </a:graphicData>
                  </a:graphic>
                </wp:inline>
              </w:drawing>
            </w:r>
          </w:p>
        </w:tc>
      </w:tr>
    </w:tbl>
    <w:p w14:paraId="4A831873" w14:textId="77777777" w:rsidR="007C7898" w:rsidRDefault="007C7898" w:rsidP="00FB5D49">
      <w:pPr>
        <w:keepNext/>
        <w:keepLines/>
        <w:rPr>
          <w:rFonts w:ascii="Arial Narrow" w:hAnsi="Arial Narrow"/>
          <w:sz w:val="18"/>
          <w:szCs w:val="18"/>
        </w:rPr>
      </w:pPr>
      <w:r w:rsidRPr="009C3A64">
        <w:rPr>
          <w:rFonts w:ascii="Arial Narrow" w:hAnsi="Arial Narrow"/>
          <w:sz w:val="18"/>
          <w:szCs w:val="18"/>
        </w:rPr>
        <w:t xml:space="preserve">Source: </w:t>
      </w:r>
      <w:r>
        <w:rPr>
          <w:rFonts w:ascii="Arial Narrow" w:hAnsi="Arial Narrow"/>
          <w:sz w:val="18"/>
          <w:szCs w:val="18"/>
        </w:rPr>
        <w:t xml:space="preserve">Compiled during the evaluation from </w:t>
      </w:r>
      <w:r w:rsidRPr="009C3A64">
        <w:rPr>
          <w:rFonts w:ascii="Arial Narrow" w:hAnsi="Arial Narrow"/>
          <w:sz w:val="18"/>
          <w:szCs w:val="18"/>
        </w:rPr>
        <w:t>Figure 2-3, p55, Figure 2-6, p62, Figures 2-13 and 2-14, pp69-70 of the submission</w:t>
      </w:r>
      <w:r>
        <w:rPr>
          <w:rFonts w:ascii="Arial Narrow" w:hAnsi="Arial Narrow"/>
          <w:sz w:val="18"/>
          <w:szCs w:val="18"/>
        </w:rPr>
        <w:t xml:space="preserve"> and Attachment 08 – XTANDI nmHSPC_CEM_v10.24.xlsm</w:t>
      </w:r>
      <w:r w:rsidRPr="009C3A64">
        <w:rPr>
          <w:rFonts w:ascii="Arial Narrow" w:hAnsi="Arial Narrow"/>
          <w:sz w:val="18"/>
          <w:szCs w:val="18"/>
        </w:rPr>
        <w:t>.</w:t>
      </w:r>
    </w:p>
    <w:p w14:paraId="224DD556" w14:textId="326362F8" w:rsidR="007C7898" w:rsidRDefault="007C7898" w:rsidP="00506B8D">
      <w:pPr>
        <w:keepLines/>
        <w:tabs>
          <w:tab w:val="left" w:pos="142"/>
        </w:tabs>
        <w:rPr>
          <w:rFonts w:ascii="Arial Narrow" w:hAnsi="Arial Narrow"/>
          <w:sz w:val="18"/>
          <w:szCs w:val="18"/>
        </w:rPr>
      </w:pPr>
      <w:r>
        <w:rPr>
          <w:rFonts w:ascii="Arial Narrow" w:hAnsi="Arial Narrow"/>
          <w:sz w:val="18"/>
          <w:szCs w:val="18"/>
        </w:rPr>
        <w:t>ADT=androgen deprivation therapy; ENZA=enzalutamide; ITT=intention-to-treat; MFS=metastasis-free survival; OS=overall survival; PBO=placebo</w:t>
      </w:r>
    </w:p>
    <w:p w14:paraId="70DC9D6F" w14:textId="33440CF6" w:rsidR="00F4432B" w:rsidRPr="00B63CD0" w:rsidRDefault="007C7898" w:rsidP="00127044">
      <w:pPr>
        <w:pStyle w:val="3-BodyText"/>
      </w:pPr>
      <w:r w:rsidRPr="00B63CD0">
        <w:t>The results showed that MFS was significantly longer for patients treated with enzalutamide plus ADT compared to ADT alone, with statistically significant 57.6% reduction in the risk of MFS event i.e. radiographic progression or death without progression (HR=0.42, 95%</w:t>
      </w:r>
      <w:r w:rsidR="00740830">
        <w:t xml:space="preserve"> </w:t>
      </w:r>
      <w:r w:rsidRPr="00B63CD0">
        <w:t>CI: 0.</w:t>
      </w:r>
      <w:r w:rsidR="00740830">
        <w:t>30</w:t>
      </w:r>
      <w:r w:rsidRPr="00B63CD0">
        <w:t>, 0.6</w:t>
      </w:r>
      <w:r w:rsidR="00740830">
        <w:t>1</w:t>
      </w:r>
      <w:r w:rsidRPr="00B63CD0">
        <w:t>). For patients treated with enzalutamide monotherapy compared to ADT alone, there was also a statistically significant 36.9% reduction in the risk of MFS event (HR=0.63, 95%</w:t>
      </w:r>
      <w:r w:rsidR="00740830">
        <w:t xml:space="preserve"> </w:t>
      </w:r>
      <w:r w:rsidRPr="00B63CD0">
        <w:t xml:space="preserve">CI: 0.46, 0.87). </w:t>
      </w:r>
      <w:r w:rsidR="00127044" w:rsidRPr="00B63CD0">
        <w:t xml:space="preserve">The results for MFS across most pre-specified subgroups were consistent with the ITT population, significantly favouring enzalutamide plus ADT and enzalutamide monotherapy over ADT alone. </w:t>
      </w:r>
      <w:r w:rsidR="007E73AA" w:rsidRPr="00B63CD0">
        <w:t xml:space="preserve">At </w:t>
      </w:r>
      <w:r w:rsidR="00191F9D" w:rsidRPr="00B63CD0">
        <w:t>censoring</w:t>
      </w:r>
      <w:r w:rsidR="007E73AA" w:rsidRPr="00B63CD0">
        <w:t xml:space="preserve">, </w:t>
      </w:r>
      <w:proofErr w:type="gramStart"/>
      <w:r w:rsidR="007E73AA" w:rsidRPr="00B63CD0">
        <w:t>the majority of</w:t>
      </w:r>
      <w:proofErr w:type="gramEnd"/>
      <w:r w:rsidR="007E73AA" w:rsidRPr="00B63CD0">
        <w:t xml:space="preserve"> patients (81.3%) had not experience</w:t>
      </w:r>
      <w:r w:rsidR="00FB5D49" w:rsidRPr="00B63CD0">
        <w:t>d</w:t>
      </w:r>
      <w:r w:rsidR="007E73AA" w:rsidRPr="00B63CD0">
        <w:t xml:space="preserve"> a</w:t>
      </w:r>
      <w:r w:rsidR="00FB5D49" w:rsidRPr="00B63CD0">
        <w:t>n</w:t>
      </w:r>
      <w:r w:rsidR="007E73AA" w:rsidRPr="00B63CD0">
        <w:t xml:space="preserve"> MFS event and median MFS was not reached in any of the treatment groups</w:t>
      </w:r>
      <w:r w:rsidRPr="00B63CD0">
        <w:t>.</w:t>
      </w:r>
    </w:p>
    <w:p w14:paraId="5629F9DB" w14:textId="02535202" w:rsidR="007A138E" w:rsidRPr="00B63CD0" w:rsidRDefault="007A138E" w:rsidP="007A138E">
      <w:pPr>
        <w:pStyle w:val="3-BodyText"/>
      </w:pPr>
      <w:r w:rsidRPr="00B63CD0">
        <w:lastRenderedPageBreak/>
        <w:t>Of note, the number of censored patients was high across treatment groups: 310 (87.3%) in enzalutamide plus ADT group, 292 (82.3%) in enzalutamide monotherapy and 266 (74.3%) in the ADT group. Most patients were censored due to no evidence of metastatic disease or death</w:t>
      </w:r>
      <w:r w:rsidR="00FB5D49" w:rsidRPr="00B63CD0">
        <w:t>;</w:t>
      </w:r>
      <w:r w:rsidRPr="00B63CD0">
        <w:t xml:space="preserve"> however, 36 (10.1%) in enzalutamide plus ADT group and 44 (12.4%) in enzalutamide monotherapy compared to 67 (18.7%) were censored due to initiation of subsequent antineoplastic therapy. The imbalance in the censoring favoured enzalutamide (combination and monotherapy) treatment and suggests potential bias from informative censoring (EMA EPAR 2024). However, </w:t>
      </w:r>
      <w:r w:rsidR="00CD621A" w:rsidRPr="00B63CD0">
        <w:t xml:space="preserve">results were consistent across </w:t>
      </w:r>
      <w:r w:rsidRPr="00B63CD0">
        <w:t>sensitivity analyses for MFS, including censoring regardless of initiation of subsequent antineoplastic therapy.</w:t>
      </w:r>
    </w:p>
    <w:p w14:paraId="7B8FA619" w14:textId="49F465A4" w:rsidR="00F4432B" w:rsidRPr="00B63CD0" w:rsidRDefault="007C7898" w:rsidP="00EC5836">
      <w:pPr>
        <w:pStyle w:val="3-BodyText"/>
      </w:pPr>
      <w:r w:rsidRPr="00B63CD0">
        <w:t>At the time of the interim analysis of OS, there was a trend in favour of the enzalutamide plus ADT compared ADT alone (HR=0.</w:t>
      </w:r>
      <w:r w:rsidR="00740830">
        <w:t>59</w:t>
      </w:r>
      <w:r w:rsidRPr="00B63CD0">
        <w:t>, 95%</w:t>
      </w:r>
      <w:r w:rsidR="00740830">
        <w:t xml:space="preserve"> </w:t>
      </w:r>
      <w:r w:rsidRPr="00B63CD0">
        <w:t>CI: 0.38, 0.9</w:t>
      </w:r>
      <w:r w:rsidR="00740830">
        <w:t>1</w:t>
      </w:r>
      <w:r w:rsidRPr="00B63CD0">
        <w:t xml:space="preserve">, P=0.0153). </w:t>
      </w:r>
      <w:r w:rsidR="007E73AA" w:rsidRPr="00B63CD0">
        <w:t xml:space="preserve">The OS data were immature and the prespecified efficacy boundary (P ≤0.0001) was not crossed at this interim OS analysis, hence the results were not statistically significant. OS for the enzalutamide monotherapy group comparison was not formally tested at the interim analysis for OS, </w:t>
      </w:r>
      <w:r w:rsidR="00485F4A" w:rsidRPr="00B63CD0">
        <w:t xml:space="preserve">but also showed no difference to ADT </w:t>
      </w:r>
      <w:r w:rsidR="007E73AA" w:rsidRPr="00B63CD0">
        <w:t xml:space="preserve">(HR=0.78, 95% CI: 0.52, 1.17, P=0.2304). The protocol </w:t>
      </w:r>
      <w:r w:rsidR="00127044" w:rsidRPr="00B63CD0">
        <w:t xml:space="preserve">stated </w:t>
      </w:r>
      <w:r w:rsidR="007E73AA" w:rsidRPr="00B63CD0">
        <w:t>that the final analysis of OS will be conducted when 271 deaths have occurred across the three arms (compared to 130 death</w:t>
      </w:r>
      <w:r w:rsidR="00FB5D49" w:rsidRPr="00B63CD0">
        <w:t>s</w:t>
      </w:r>
      <w:r w:rsidR="007E73AA" w:rsidRPr="00B63CD0">
        <w:t xml:space="preserve"> observed across the three arms at this interim analysis). At </w:t>
      </w:r>
      <w:r w:rsidR="00127044" w:rsidRPr="00B63CD0">
        <w:t>censoring</w:t>
      </w:r>
      <w:r w:rsidR="007E73AA" w:rsidRPr="00B63CD0">
        <w:t>, the majority of patients (87.8%) were alive</w:t>
      </w:r>
      <w:r w:rsidR="00FB5D49" w:rsidRPr="00B63CD0">
        <w:t>,</w:t>
      </w:r>
      <w:r w:rsidR="007E73AA" w:rsidRPr="00B63CD0">
        <w:t xml:space="preserve"> and median OS was not reached in any of the treatment groups.</w:t>
      </w:r>
    </w:p>
    <w:p w14:paraId="0A4AFD25" w14:textId="2BF3E1B9" w:rsidR="00E4253F" w:rsidRPr="00E4253F" w:rsidRDefault="00E4253F" w:rsidP="00E4253F">
      <w:pPr>
        <w:pStyle w:val="3-BodyText"/>
        <w:numPr>
          <w:ilvl w:val="0"/>
          <w:numId w:val="0"/>
        </w:numPr>
        <w:rPr>
          <w:u w:val="single"/>
        </w:rPr>
      </w:pPr>
      <w:r w:rsidRPr="00E4253F">
        <w:rPr>
          <w:u w:val="single"/>
        </w:rPr>
        <w:t>Secondary outcomes</w:t>
      </w:r>
    </w:p>
    <w:p w14:paraId="510B0401" w14:textId="1F016AB1" w:rsidR="001C652D" w:rsidRPr="00B63CD0" w:rsidRDefault="000D3ECC" w:rsidP="00EC5836">
      <w:pPr>
        <w:pStyle w:val="3-BodyText"/>
      </w:pPr>
      <w:r w:rsidRPr="00B63CD0">
        <w:fldChar w:fldCharType="begin" w:fldLock="1"/>
      </w:r>
      <w:r w:rsidRPr="00B63CD0">
        <w:instrText xml:space="preserve"> REF _Ref176768972 \h </w:instrText>
      </w:r>
      <w:r w:rsidR="00B63CD0" w:rsidRPr="00B63CD0">
        <w:instrText xml:space="preserve"> \* MERGEFORMAT </w:instrText>
      </w:r>
      <w:r w:rsidRPr="00B63CD0">
        <w:fldChar w:fldCharType="separate"/>
      </w:r>
      <w:r w:rsidR="006619E7" w:rsidRPr="00B63CD0">
        <w:t xml:space="preserve">Table </w:t>
      </w:r>
      <w:r w:rsidR="006619E7" w:rsidRPr="00B63CD0">
        <w:rPr>
          <w:noProof/>
        </w:rPr>
        <w:t>6</w:t>
      </w:r>
      <w:r w:rsidRPr="00B63CD0">
        <w:fldChar w:fldCharType="end"/>
      </w:r>
      <w:r w:rsidRPr="00B63CD0">
        <w:t xml:space="preserve"> </w:t>
      </w:r>
      <w:r w:rsidR="001C652D" w:rsidRPr="00B63CD0">
        <w:t>summarises the secondary and other time-to-event outcomes in EMBARK. Overall, the results across most secondary and exploratory outcomes either numerically or statistically favoured enzalutamide (combination and monotherapy) compared to ADT alone</w:t>
      </w:r>
      <w:r w:rsidR="00FB5D49" w:rsidRPr="00B63CD0">
        <w:t>;</w:t>
      </w:r>
      <w:r w:rsidR="001C652D" w:rsidRPr="00B63CD0">
        <w:t xml:space="preserve"> however, the treatment effects were numerically larger for patients treated with enzalutamide plus ADT combination than enzalutamide monotherapy. </w:t>
      </w:r>
      <w:r w:rsidR="004D2A36" w:rsidRPr="00B63CD0">
        <w:t>M</w:t>
      </w:r>
      <w:r w:rsidR="001C652D" w:rsidRPr="00B63CD0">
        <w:t xml:space="preserve">edian </w:t>
      </w:r>
      <w:r w:rsidR="004D2A36" w:rsidRPr="00B63CD0">
        <w:t>time</w:t>
      </w:r>
      <w:r w:rsidR="00FB5D49" w:rsidRPr="00B63CD0">
        <w:t>s</w:t>
      </w:r>
      <w:r w:rsidR="004D2A36" w:rsidRPr="00B63CD0">
        <w:t xml:space="preserve"> to secondary events </w:t>
      </w:r>
      <w:r w:rsidR="001C652D" w:rsidRPr="00B63CD0">
        <w:t xml:space="preserve">were </w:t>
      </w:r>
      <w:r w:rsidR="004D2A36" w:rsidRPr="00B63CD0">
        <w:t xml:space="preserve">also </w:t>
      </w:r>
      <w:r w:rsidR="001C652D" w:rsidRPr="00B63CD0">
        <w:t>not reached</w:t>
      </w:r>
      <w:r w:rsidR="004D2A36" w:rsidRPr="00B63CD0">
        <w:t xml:space="preserve"> for most outcomes</w:t>
      </w:r>
      <w:r w:rsidR="001C652D" w:rsidRPr="00B63CD0">
        <w:t xml:space="preserve"> across the treatment groups.</w:t>
      </w:r>
    </w:p>
    <w:p w14:paraId="49D0F934" w14:textId="01BDD8F2" w:rsidR="00EF5A12" w:rsidRPr="000D3ECC" w:rsidRDefault="000D3ECC" w:rsidP="003315FD">
      <w:pPr>
        <w:pStyle w:val="Caption"/>
        <w:rPr>
          <w:szCs w:val="20"/>
        </w:rPr>
      </w:pPr>
      <w:bookmarkStart w:id="26" w:name="_Ref176768972"/>
      <w:r>
        <w:lastRenderedPageBreak/>
        <w:t xml:space="preserve">Table </w:t>
      </w:r>
      <w:r>
        <w:fldChar w:fldCharType="begin" w:fldLock="1"/>
      </w:r>
      <w:r>
        <w:instrText xml:space="preserve"> SEQ Table \* ARABIC </w:instrText>
      </w:r>
      <w:r>
        <w:fldChar w:fldCharType="separate"/>
      </w:r>
      <w:r w:rsidR="00DF24EF">
        <w:rPr>
          <w:noProof/>
        </w:rPr>
        <w:t>6</w:t>
      </w:r>
      <w:r>
        <w:rPr>
          <w:noProof/>
        </w:rPr>
        <w:fldChar w:fldCharType="end"/>
      </w:r>
      <w:bookmarkEnd w:id="26"/>
      <w:r>
        <w:t xml:space="preserve">: </w:t>
      </w:r>
      <w:r w:rsidR="00EF5A12" w:rsidRPr="000D3ECC">
        <w:rPr>
          <w:szCs w:val="20"/>
        </w:rPr>
        <w:t>Summary of time-to-event outcomes in EMBARK (ITT).</w:t>
      </w:r>
    </w:p>
    <w:tbl>
      <w:tblPr>
        <w:tblStyle w:val="TableGrid"/>
        <w:tblW w:w="0" w:type="auto"/>
        <w:tblCellMar>
          <w:left w:w="28" w:type="dxa"/>
          <w:right w:w="28" w:type="dxa"/>
        </w:tblCellMar>
        <w:tblLook w:val="04A0" w:firstRow="1" w:lastRow="0" w:firstColumn="1" w:lastColumn="0" w:noHBand="0" w:noVBand="1"/>
        <w:tblCaption w:val="Table 6: Summary of time-to-event outcomes in EMBARK (ITT)."/>
      </w:tblPr>
      <w:tblGrid>
        <w:gridCol w:w="2547"/>
        <w:gridCol w:w="2156"/>
        <w:gridCol w:w="2157"/>
        <w:gridCol w:w="2157"/>
      </w:tblGrid>
      <w:tr w:rsidR="00EF5A12" w:rsidRPr="00165BCC" w14:paraId="121614BA" w14:textId="77777777" w:rsidTr="00FB5D49">
        <w:trPr>
          <w:tblHeader/>
        </w:trPr>
        <w:tc>
          <w:tcPr>
            <w:tcW w:w="2547" w:type="dxa"/>
          </w:tcPr>
          <w:p w14:paraId="70F50A11" w14:textId="77777777" w:rsidR="00EF5A12" w:rsidRPr="00165BCC" w:rsidRDefault="00EF5A12" w:rsidP="003315FD">
            <w:pPr>
              <w:keepNext/>
              <w:rPr>
                <w:rFonts w:ascii="Arial Narrow" w:hAnsi="Arial Narrow"/>
                <w:sz w:val="20"/>
                <w:szCs w:val="20"/>
              </w:rPr>
            </w:pPr>
          </w:p>
        </w:tc>
        <w:tc>
          <w:tcPr>
            <w:tcW w:w="2156" w:type="dxa"/>
            <w:vAlign w:val="center"/>
          </w:tcPr>
          <w:p w14:paraId="039027A3" w14:textId="77777777" w:rsidR="00EF5A12" w:rsidRDefault="00EF5A12" w:rsidP="003315FD">
            <w:pPr>
              <w:keepNext/>
              <w:jc w:val="center"/>
              <w:rPr>
                <w:rFonts w:ascii="Arial Narrow" w:hAnsi="Arial Narrow"/>
                <w:b/>
                <w:sz w:val="20"/>
                <w:szCs w:val="20"/>
              </w:rPr>
            </w:pPr>
            <w:r w:rsidRPr="008E1795">
              <w:rPr>
                <w:rFonts w:ascii="Arial Narrow" w:hAnsi="Arial Narrow"/>
                <w:b/>
                <w:sz w:val="20"/>
                <w:szCs w:val="20"/>
              </w:rPr>
              <w:t>ENZA + ADT</w:t>
            </w:r>
          </w:p>
          <w:p w14:paraId="4C4D5CA0" w14:textId="77777777" w:rsidR="00EF5A12" w:rsidRPr="008E1795" w:rsidRDefault="00EF5A12" w:rsidP="003315FD">
            <w:pPr>
              <w:keepNext/>
              <w:jc w:val="center"/>
              <w:rPr>
                <w:rFonts w:ascii="Arial Narrow" w:hAnsi="Arial Narrow"/>
                <w:b/>
                <w:sz w:val="20"/>
                <w:szCs w:val="20"/>
              </w:rPr>
            </w:pPr>
            <w:r>
              <w:rPr>
                <w:rFonts w:ascii="Arial Narrow" w:hAnsi="Arial Narrow"/>
                <w:b/>
                <w:sz w:val="20"/>
                <w:szCs w:val="20"/>
              </w:rPr>
              <w:t>N=355</w:t>
            </w:r>
          </w:p>
        </w:tc>
        <w:tc>
          <w:tcPr>
            <w:tcW w:w="2157" w:type="dxa"/>
            <w:vAlign w:val="center"/>
          </w:tcPr>
          <w:p w14:paraId="4EE739BF" w14:textId="77777777" w:rsidR="00EF5A12" w:rsidRDefault="00EF5A12" w:rsidP="003315FD">
            <w:pPr>
              <w:keepNext/>
              <w:jc w:val="center"/>
              <w:rPr>
                <w:rFonts w:ascii="Arial Narrow" w:hAnsi="Arial Narrow"/>
                <w:b/>
                <w:sz w:val="20"/>
                <w:szCs w:val="20"/>
              </w:rPr>
            </w:pPr>
            <w:r w:rsidRPr="008E1795">
              <w:rPr>
                <w:rFonts w:ascii="Arial Narrow" w:hAnsi="Arial Narrow"/>
                <w:b/>
                <w:sz w:val="20"/>
                <w:szCs w:val="20"/>
              </w:rPr>
              <w:t>ENZA</w:t>
            </w:r>
          </w:p>
          <w:p w14:paraId="179F2324" w14:textId="77777777" w:rsidR="00EF5A12" w:rsidRPr="008E1795" w:rsidRDefault="00EF5A12" w:rsidP="003315FD">
            <w:pPr>
              <w:keepNext/>
              <w:jc w:val="center"/>
              <w:rPr>
                <w:rFonts w:ascii="Arial Narrow" w:hAnsi="Arial Narrow"/>
                <w:b/>
                <w:sz w:val="20"/>
                <w:szCs w:val="20"/>
              </w:rPr>
            </w:pPr>
            <w:r>
              <w:rPr>
                <w:rFonts w:ascii="Arial Narrow" w:hAnsi="Arial Narrow"/>
                <w:b/>
                <w:sz w:val="20"/>
                <w:szCs w:val="20"/>
              </w:rPr>
              <w:t>N=355</w:t>
            </w:r>
          </w:p>
        </w:tc>
        <w:tc>
          <w:tcPr>
            <w:tcW w:w="2157" w:type="dxa"/>
            <w:vAlign w:val="center"/>
          </w:tcPr>
          <w:p w14:paraId="4F13CBE2" w14:textId="77777777" w:rsidR="00EF5A12" w:rsidRDefault="00EF5A12" w:rsidP="003315FD">
            <w:pPr>
              <w:keepNext/>
              <w:jc w:val="center"/>
              <w:rPr>
                <w:rFonts w:ascii="Arial Narrow" w:hAnsi="Arial Narrow"/>
                <w:b/>
                <w:sz w:val="20"/>
                <w:szCs w:val="20"/>
              </w:rPr>
            </w:pPr>
            <w:r w:rsidRPr="008E1795">
              <w:rPr>
                <w:rFonts w:ascii="Arial Narrow" w:hAnsi="Arial Narrow"/>
                <w:b/>
                <w:sz w:val="20"/>
                <w:szCs w:val="20"/>
              </w:rPr>
              <w:t>PBO + ADT</w:t>
            </w:r>
          </w:p>
          <w:p w14:paraId="45817298" w14:textId="77777777" w:rsidR="00EF5A12" w:rsidRPr="008E1795" w:rsidRDefault="00EF5A12" w:rsidP="003315FD">
            <w:pPr>
              <w:keepNext/>
              <w:jc w:val="center"/>
              <w:rPr>
                <w:rFonts w:ascii="Arial Narrow" w:hAnsi="Arial Narrow"/>
                <w:b/>
                <w:sz w:val="20"/>
                <w:szCs w:val="20"/>
              </w:rPr>
            </w:pPr>
            <w:r>
              <w:rPr>
                <w:rFonts w:ascii="Arial Narrow" w:hAnsi="Arial Narrow"/>
                <w:b/>
                <w:sz w:val="20"/>
                <w:szCs w:val="20"/>
              </w:rPr>
              <w:t>N=358</w:t>
            </w:r>
          </w:p>
        </w:tc>
      </w:tr>
      <w:tr w:rsidR="004D2A36" w:rsidRPr="00165BCC" w14:paraId="772CA079" w14:textId="77777777" w:rsidTr="004D2A36">
        <w:tc>
          <w:tcPr>
            <w:tcW w:w="9017" w:type="dxa"/>
            <w:gridSpan w:val="4"/>
            <w:vAlign w:val="center"/>
          </w:tcPr>
          <w:p w14:paraId="6B38A55C" w14:textId="5752EC84" w:rsidR="004D2A36" w:rsidRDefault="004D2A36" w:rsidP="003315FD">
            <w:pPr>
              <w:keepNext/>
              <w:jc w:val="left"/>
              <w:rPr>
                <w:rFonts w:ascii="Arial Narrow" w:hAnsi="Arial Narrow"/>
                <w:sz w:val="20"/>
                <w:szCs w:val="20"/>
              </w:rPr>
            </w:pPr>
            <w:r>
              <w:rPr>
                <w:rFonts w:ascii="Arial Narrow" w:hAnsi="Arial Narrow"/>
                <w:b/>
                <w:sz w:val="20"/>
                <w:szCs w:val="20"/>
              </w:rPr>
              <w:t>PSA progression</w:t>
            </w:r>
          </w:p>
        </w:tc>
      </w:tr>
      <w:tr w:rsidR="00EF5A12" w:rsidRPr="00165BCC" w14:paraId="60BCC376" w14:textId="77777777" w:rsidTr="003A3EB9">
        <w:tc>
          <w:tcPr>
            <w:tcW w:w="2547" w:type="dxa"/>
          </w:tcPr>
          <w:p w14:paraId="06152B16" w14:textId="40481D8B" w:rsidR="00EF5A12" w:rsidRPr="000C3351" w:rsidRDefault="00EF5A12" w:rsidP="003315FD">
            <w:pPr>
              <w:keepNext/>
              <w:rPr>
                <w:rFonts w:ascii="Arial Narrow" w:hAnsi="Arial Narrow"/>
                <w:sz w:val="20"/>
                <w:szCs w:val="20"/>
              </w:rPr>
            </w:pPr>
            <w:r>
              <w:rPr>
                <w:rFonts w:ascii="Arial Narrow" w:hAnsi="Arial Narrow"/>
                <w:sz w:val="20"/>
                <w:szCs w:val="20"/>
              </w:rPr>
              <w:t>Events, n</w:t>
            </w:r>
            <w:r w:rsidR="006A4FCD">
              <w:rPr>
                <w:rFonts w:ascii="Arial Narrow" w:hAnsi="Arial Narrow"/>
                <w:sz w:val="20"/>
                <w:szCs w:val="20"/>
              </w:rPr>
              <w:t xml:space="preserve"> </w:t>
            </w:r>
            <w:r>
              <w:rPr>
                <w:rFonts w:ascii="Arial Narrow" w:hAnsi="Arial Narrow"/>
                <w:sz w:val="20"/>
                <w:szCs w:val="20"/>
              </w:rPr>
              <w:t>(%)</w:t>
            </w:r>
          </w:p>
        </w:tc>
        <w:tc>
          <w:tcPr>
            <w:tcW w:w="2156" w:type="dxa"/>
            <w:vAlign w:val="center"/>
          </w:tcPr>
          <w:p w14:paraId="75229879" w14:textId="77777777" w:rsidR="00EF5A12" w:rsidRPr="00165BCC" w:rsidRDefault="00EF5A12" w:rsidP="003315FD">
            <w:pPr>
              <w:keepNext/>
              <w:jc w:val="center"/>
              <w:rPr>
                <w:rFonts w:ascii="Arial Narrow" w:hAnsi="Arial Narrow"/>
                <w:sz w:val="20"/>
                <w:szCs w:val="20"/>
              </w:rPr>
            </w:pPr>
            <w:r w:rsidRPr="00AE6C6F">
              <w:rPr>
                <w:rFonts w:ascii="Arial Narrow" w:hAnsi="Arial Narrow"/>
                <w:sz w:val="20"/>
                <w:szCs w:val="20"/>
              </w:rPr>
              <w:t>8 (2.3)</w:t>
            </w:r>
          </w:p>
        </w:tc>
        <w:tc>
          <w:tcPr>
            <w:tcW w:w="2157" w:type="dxa"/>
            <w:vAlign w:val="center"/>
          </w:tcPr>
          <w:p w14:paraId="4B403D9C" w14:textId="77777777" w:rsidR="00EF5A12" w:rsidRDefault="00EF5A12" w:rsidP="003315FD">
            <w:pPr>
              <w:keepNext/>
              <w:jc w:val="center"/>
              <w:rPr>
                <w:rFonts w:ascii="Arial Narrow" w:hAnsi="Arial Narrow"/>
                <w:sz w:val="20"/>
                <w:szCs w:val="20"/>
              </w:rPr>
            </w:pPr>
            <w:r w:rsidRPr="00AE6C6F">
              <w:rPr>
                <w:rFonts w:ascii="Arial Narrow" w:hAnsi="Arial Narrow"/>
                <w:sz w:val="20"/>
                <w:szCs w:val="20"/>
              </w:rPr>
              <w:t>37 (10.4)</w:t>
            </w:r>
          </w:p>
        </w:tc>
        <w:tc>
          <w:tcPr>
            <w:tcW w:w="2157" w:type="dxa"/>
            <w:vAlign w:val="center"/>
          </w:tcPr>
          <w:p w14:paraId="7A8879FC" w14:textId="77777777" w:rsidR="00EF5A12" w:rsidRPr="00165BCC" w:rsidRDefault="00EF5A12" w:rsidP="003315FD">
            <w:pPr>
              <w:keepNext/>
              <w:jc w:val="center"/>
              <w:rPr>
                <w:rFonts w:ascii="Arial Narrow" w:hAnsi="Arial Narrow"/>
                <w:sz w:val="20"/>
                <w:szCs w:val="20"/>
              </w:rPr>
            </w:pPr>
            <w:r w:rsidRPr="00AE6C6F">
              <w:rPr>
                <w:rFonts w:ascii="Arial Narrow" w:hAnsi="Arial Narrow"/>
                <w:sz w:val="20"/>
                <w:szCs w:val="20"/>
              </w:rPr>
              <w:t>93 (26.0)</w:t>
            </w:r>
          </w:p>
        </w:tc>
      </w:tr>
      <w:tr w:rsidR="00EF5A12" w:rsidRPr="00165BCC" w14:paraId="54A10D1D" w14:textId="77777777" w:rsidTr="003A3EB9">
        <w:tc>
          <w:tcPr>
            <w:tcW w:w="2547" w:type="dxa"/>
          </w:tcPr>
          <w:p w14:paraId="44A37D14" w14:textId="29A24666" w:rsidR="00EF5A12" w:rsidRPr="00165BCC" w:rsidRDefault="00EF5A12" w:rsidP="003315FD">
            <w:pPr>
              <w:keepNext/>
              <w:rPr>
                <w:rFonts w:ascii="Arial Narrow" w:hAnsi="Arial Narrow"/>
                <w:sz w:val="20"/>
                <w:szCs w:val="20"/>
              </w:rPr>
            </w:pPr>
            <w:r>
              <w:rPr>
                <w:rFonts w:ascii="Arial Narrow" w:hAnsi="Arial Narrow"/>
                <w:sz w:val="20"/>
                <w:szCs w:val="20"/>
              </w:rPr>
              <w:t>Median (95%</w:t>
            </w:r>
            <w:r w:rsidR="006A4FCD">
              <w:rPr>
                <w:rFonts w:ascii="Arial Narrow" w:hAnsi="Arial Narrow"/>
                <w:sz w:val="20"/>
                <w:szCs w:val="20"/>
              </w:rPr>
              <w:t xml:space="preserve"> </w:t>
            </w:r>
            <w:r>
              <w:rPr>
                <w:rFonts w:ascii="Arial Narrow" w:hAnsi="Arial Narrow"/>
                <w:sz w:val="20"/>
                <w:szCs w:val="20"/>
              </w:rPr>
              <w:t>CI), months</w:t>
            </w:r>
          </w:p>
        </w:tc>
        <w:tc>
          <w:tcPr>
            <w:tcW w:w="2156" w:type="dxa"/>
            <w:vAlign w:val="center"/>
          </w:tcPr>
          <w:p w14:paraId="4F0241BB" w14:textId="77777777" w:rsidR="00EF5A12" w:rsidRPr="00165BCC" w:rsidRDefault="00EF5A12" w:rsidP="003315FD">
            <w:pPr>
              <w:keepNext/>
              <w:jc w:val="center"/>
              <w:rPr>
                <w:rFonts w:ascii="Arial Narrow" w:hAnsi="Arial Narrow"/>
                <w:sz w:val="20"/>
                <w:szCs w:val="20"/>
              </w:rPr>
            </w:pPr>
            <w:r w:rsidRPr="00AE6C6F">
              <w:rPr>
                <w:rFonts w:ascii="Arial Narrow" w:hAnsi="Arial Narrow"/>
                <w:sz w:val="20"/>
                <w:szCs w:val="20"/>
              </w:rPr>
              <w:t>NR (NR, NR)</w:t>
            </w:r>
          </w:p>
        </w:tc>
        <w:tc>
          <w:tcPr>
            <w:tcW w:w="2157" w:type="dxa"/>
            <w:vAlign w:val="center"/>
          </w:tcPr>
          <w:p w14:paraId="24A07821" w14:textId="77777777" w:rsidR="00EF5A12" w:rsidRPr="000C3351" w:rsidRDefault="00EF5A12" w:rsidP="003315FD">
            <w:pPr>
              <w:keepNext/>
              <w:jc w:val="center"/>
              <w:rPr>
                <w:rFonts w:ascii="Arial Narrow" w:hAnsi="Arial Narrow"/>
                <w:sz w:val="20"/>
                <w:szCs w:val="20"/>
              </w:rPr>
            </w:pPr>
            <w:r w:rsidRPr="00AE6C6F">
              <w:rPr>
                <w:rFonts w:ascii="Arial Narrow" w:hAnsi="Arial Narrow"/>
                <w:sz w:val="20"/>
                <w:szCs w:val="20"/>
              </w:rPr>
              <w:t>NR (NR, NR)</w:t>
            </w:r>
          </w:p>
        </w:tc>
        <w:tc>
          <w:tcPr>
            <w:tcW w:w="2157" w:type="dxa"/>
            <w:vAlign w:val="center"/>
          </w:tcPr>
          <w:p w14:paraId="3B2D519F" w14:textId="77777777" w:rsidR="00EF5A12" w:rsidRPr="00165BCC" w:rsidRDefault="00EF5A12" w:rsidP="003315FD">
            <w:pPr>
              <w:keepNext/>
              <w:jc w:val="center"/>
              <w:rPr>
                <w:rFonts w:ascii="Arial Narrow" w:hAnsi="Arial Narrow"/>
                <w:sz w:val="20"/>
                <w:szCs w:val="20"/>
              </w:rPr>
            </w:pPr>
            <w:r w:rsidRPr="00AE6C6F">
              <w:rPr>
                <w:rFonts w:ascii="Arial Narrow" w:hAnsi="Arial Narrow"/>
                <w:sz w:val="20"/>
                <w:szCs w:val="20"/>
              </w:rPr>
              <w:t>NR (NR, NR)</w:t>
            </w:r>
          </w:p>
        </w:tc>
      </w:tr>
      <w:tr w:rsidR="00EF5A12" w:rsidRPr="00165BCC" w14:paraId="4CCFA26A" w14:textId="77777777" w:rsidTr="003A3EB9">
        <w:tc>
          <w:tcPr>
            <w:tcW w:w="2547" w:type="dxa"/>
          </w:tcPr>
          <w:p w14:paraId="4180EEE5" w14:textId="517375EB" w:rsidR="00EF5A12" w:rsidRPr="00165BCC" w:rsidRDefault="00EF5A12" w:rsidP="003315FD">
            <w:pPr>
              <w:keepNext/>
              <w:rPr>
                <w:rFonts w:ascii="Arial Narrow" w:hAnsi="Arial Narrow"/>
                <w:sz w:val="20"/>
                <w:szCs w:val="20"/>
              </w:rPr>
            </w:pPr>
            <w:r>
              <w:rPr>
                <w:rFonts w:ascii="Arial Narrow" w:hAnsi="Arial Narrow"/>
                <w:sz w:val="20"/>
                <w:szCs w:val="20"/>
              </w:rPr>
              <w:t>HR (95%</w:t>
            </w:r>
            <w:r w:rsidR="006A4FCD">
              <w:rPr>
                <w:rFonts w:ascii="Arial Narrow" w:hAnsi="Arial Narrow"/>
                <w:sz w:val="20"/>
                <w:szCs w:val="20"/>
              </w:rPr>
              <w:t xml:space="preserve"> </w:t>
            </w:r>
            <w:r>
              <w:rPr>
                <w:rFonts w:ascii="Arial Narrow" w:hAnsi="Arial Narrow"/>
                <w:sz w:val="20"/>
                <w:szCs w:val="20"/>
              </w:rPr>
              <w:t>CI) vs PBO+ADT</w:t>
            </w:r>
          </w:p>
        </w:tc>
        <w:tc>
          <w:tcPr>
            <w:tcW w:w="2156" w:type="dxa"/>
            <w:vAlign w:val="center"/>
          </w:tcPr>
          <w:p w14:paraId="0A59AD79" w14:textId="77777777" w:rsidR="00EF5A12" w:rsidRPr="000C3351" w:rsidRDefault="00EF5A12" w:rsidP="003315FD">
            <w:pPr>
              <w:keepNext/>
              <w:jc w:val="center"/>
              <w:rPr>
                <w:rFonts w:ascii="Arial Narrow" w:hAnsi="Arial Narrow"/>
                <w:b/>
                <w:sz w:val="20"/>
                <w:szCs w:val="20"/>
              </w:rPr>
            </w:pPr>
            <w:r w:rsidRPr="00AE6C6F">
              <w:rPr>
                <w:rFonts w:ascii="Arial Narrow" w:hAnsi="Arial Narrow"/>
                <w:b/>
                <w:sz w:val="20"/>
                <w:szCs w:val="20"/>
              </w:rPr>
              <w:t>0.07 (0.03, 0.14)</w:t>
            </w:r>
          </w:p>
        </w:tc>
        <w:tc>
          <w:tcPr>
            <w:tcW w:w="2157" w:type="dxa"/>
            <w:vAlign w:val="center"/>
          </w:tcPr>
          <w:p w14:paraId="2D60AC1D" w14:textId="77777777" w:rsidR="00EF5A12" w:rsidRPr="00AE6C6F" w:rsidRDefault="00EF5A12" w:rsidP="003315FD">
            <w:pPr>
              <w:keepNext/>
              <w:jc w:val="center"/>
              <w:rPr>
                <w:rFonts w:ascii="Arial Narrow" w:hAnsi="Arial Narrow"/>
                <w:b/>
                <w:sz w:val="20"/>
                <w:szCs w:val="20"/>
              </w:rPr>
            </w:pPr>
            <w:r w:rsidRPr="00AE6C6F">
              <w:rPr>
                <w:rFonts w:ascii="Arial Narrow" w:hAnsi="Arial Narrow"/>
                <w:b/>
                <w:sz w:val="20"/>
                <w:szCs w:val="20"/>
              </w:rPr>
              <w:t>0.33 (0.23, 0.49)</w:t>
            </w:r>
          </w:p>
        </w:tc>
        <w:tc>
          <w:tcPr>
            <w:tcW w:w="2157" w:type="dxa"/>
            <w:vAlign w:val="center"/>
          </w:tcPr>
          <w:p w14:paraId="70B78E01" w14:textId="77777777" w:rsidR="00EF5A12" w:rsidRPr="00165BCC" w:rsidRDefault="00EF5A12" w:rsidP="003315FD">
            <w:pPr>
              <w:keepNext/>
              <w:jc w:val="center"/>
              <w:rPr>
                <w:rFonts w:ascii="Arial Narrow" w:hAnsi="Arial Narrow"/>
                <w:sz w:val="20"/>
                <w:szCs w:val="20"/>
              </w:rPr>
            </w:pPr>
            <w:r>
              <w:rPr>
                <w:rFonts w:ascii="Arial Narrow" w:hAnsi="Arial Narrow"/>
                <w:sz w:val="20"/>
                <w:szCs w:val="20"/>
              </w:rPr>
              <w:t>-</w:t>
            </w:r>
          </w:p>
        </w:tc>
      </w:tr>
      <w:tr w:rsidR="004D2A36" w:rsidRPr="00165BCC" w14:paraId="5D8E7BA2" w14:textId="77777777" w:rsidTr="004D2A36">
        <w:tc>
          <w:tcPr>
            <w:tcW w:w="9017" w:type="dxa"/>
            <w:gridSpan w:val="4"/>
            <w:vAlign w:val="center"/>
          </w:tcPr>
          <w:p w14:paraId="5ABE9CB4" w14:textId="03E20911" w:rsidR="004D2A36" w:rsidRPr="000C3351" w:rsidRDefault="004D2A36" w:rsidP="003315FD">
            <w:pPr>
              <w:keepNext/>
              <w:jc w:val="left"/>
              <w:rPr>
                <w:rFonts w:ascii="Arial Narrow" w:hAnsi="Arial Narrow"/>
                <w:sz w:val="20"/>
                <w:szCs w:val="20"/>
              </w:rPr>
            </w:pPr>
            <w:r>
              <w:rPr>
                <w:rFonts w:ascii="Arial Narrow" w:hAnsi="Arial Narrow"/>
                <w:b/>
                <w:sz w:val="20"/>
                <w:szCs w:val="20"/>
              </w:rPr>
              <w:t>First new antineoplastic therapy</w:t>
            </w:r>
          </w:p>
        </w:tc>
      </w:tr>
      <w:tr w:rsidR="00EF5A12" w:rsidRPr="00165BCC" w14:paraId="01A4871F" w14:textId="77777777" w:rsidTr="003A3EB9">
        <w:tc>
          <w:tcPr>
            <w:tcW w:w="2547" w:type="dxa"/>
          </w:tcPr>
          <w:p w14:paraId="3E29D250" w14:textId="557FA16B" w:rsidR="00EF5A12" w:rsidRDefault="00EF5A12" w:rsidP="003315FD">
            <w:pPr>
              <w:keepNext/>
              <w:rPr>
                <w:rFonts w:ascii="Arial Narrow" w:hAnsi="Arial Narrow"/>
                <w:sz w:val="20"/>
                <w:szCs w:val="20"/>
              </w:rPr>
            </w:pPr>
            <w:r>
              <w:rPr>
                <w:rFonts w:ascii="Arial Narrow" w:hAnsi="Arial Narrow"/>
                <w:sz w:val="20"/>
                <w:szCs w:val="20"/>
              </w:rPr>
              <w:t>Events, n</w:t>
            </w:r>
            <w:r w:rsidR="006A4FCD">
              <w:rPr>
                <w:rFonts w:ascii="Arial Narrow" w:hAnsi="Arial Narrow"/>
                <w:sz w:val="20"/>
                <w:szCs w:val="20"/>
              </w:rPr>
              <w:t xml:space="preserve"> </w:t>
            </w:r>
            <w:r>
              <w:rPr>
                <w:rFonts w:ascii="Arial Narrow" w:hAnsi="Arial Narrow"/>
                <w:sz w:val="20"/>
                <w:szCs w:val="20"/>
              </w:rPr>
              <w:t>(%)</w:t>
            </w:r>
          </w:p>
        </w:tc>
        <w:tc>
          <w:tcPr>
            <w:tcW w:w="2156" w:type="dxa"/>
            <w:vAlign w:val="center"/>
          </w:tcPr>
          <w:p w14:paraId="65762672" w14:textId="77777777" w:rsidR="00EF5A12" w:rsidRPr="000C3351" w:rsidRDefault="00EF5A12" w:rsidP="003315FD">
            <w:pPr>
              <w:keepNext/>
              <w:jc w:val="center"/>
              <w:rPr>
                <w:rFonts w:ascii="Arial Narrow" w:hAnsi="Arial Narrow"/>
                <w:sz w:val="20"/>
                <w:szCs w:val="20"/>
              </w:rPr>
            </w:pPr>
            <w:r w:rsidRPr="00AE6C6F">
              <w:rPr>
                <w:rFonts w:ascii="Arial Narrow" w:hAnsi="Arial Narrow"/>
                <w:sz w:val="20"/>
                <w:szCs w:val="20"/>
              </w:rPr>
              <w:t>58 (16.3)</w:t>
            </w:r>
          </w:p>
        </w:tc>
        <w:tc>
          <w:tcPr>
            <w:tcW w:w="2157" w:type="dxa"/>
            <w:vAlign w:val="center"/>
          </w:tcPr>
          <w:p w14:paraId="00ADC606" w14:textId="77777777" w:rsidR="00EF5A12" w:rsidRPr="000C3351" w:rsidRDefault="00EF5A12" w:rsidP="003315FD">
            <w:pPr>
              <w:keepNext/>
              <w:jc w:val="center"/>
              <w:rPr>
                <w:rFonts w:ascii="Arial Narrow" w:hAnsi="Arial Narrow"/>
                <w:sz w:val="20"/>
                <w:szCs w:val="20"/>
              </w:rPr>
            </w:pPr>
            <w:r w:rsidRPr="00AE6C6F">
              <w:rPr>
                <w:rFonts w:ascii="Arial Narrow" w:hAnsi="Arial Narrow"/>
                <w:sz w:val="20"/>
                <w:szCs w:val="20"/>
              </w:rPr>
              <w:t>84 (23.7)</w:t>
            </w:r>
          </w:p>
        </w:tc>
        <w:tc>
          <w:tcPr>
            <w:tcW w:w="2157" w:type="dxa"/>
            <w:vAlign w:val="center"/>
          </w:tcPr>
          <w:p w14:paraId="25928928" w14:textId="77777777" w:rsidR="00EF5A12" w:rsidRPr="000C3351" w:rsidRDefault="00EF5A12" w:rsidP="003315FD">
            <w:pPr>
              <w:keepNext/>
              <w:jc w:val="center"/>
              <w:rPr>
                <w:rFonts w:ascii="Arial Narrow" w:hAnsi="Arial Narrow"/>
                <w:sz w:val="20"/>
                <w:szCs w:val="20"/>
              </w:rPr>
            </w:pPr>
            <w:r w:rsidRPr="00AE6C6F">
              <w:rPr>
                <w:rFonts w:ascii="Arial Narrow" w:hAnsi="Arial Narrow"/>
                <w:sz w:val="20"/>
                <w:szCs w:val="20"/>
              </w:rPr>
              <w:t>140 (39.1)</w:t>
            </w:r>
          </w:p>
        </w:tc>
      </w:tr>
      <w:tr w:rsidR="00EF5A12" w:rsidRPr="00165BCC" w14:paraId="75F12BE9" w14:textId="77777777" w:rsidTr="003A3EB9">
        <w:tc>
          <w:tcPr>
            <w:tcW w:w="2547" w:type="dxa"/>
          </w:tcPr>
          <w:p w14:paraId="1FE06919" w14:textId="1C60790A" w:rsidR="00EF5A12" w:rsidRDefault="00EF5A12" w:rsidP="003315FD">
            <w:pPr>
              <w:keepNext/>
              <w:rPr>
                <w:rFonts w:ascii="Arial Narrow" w:hAnsi="Arial Narrow"/>
                <w:sz w:val="20"/>
                <w:szCs w:val="20"/>
              </w:rPr>
            </w:pPr>
            <w:r>
              <w:rPr>
                <w:rFonts w:ascii="Arial Narrow" w:hAnsi="Arial Narrow"/>
                <w:sz w:val="20"/>
                <w:szCs w:val="20"/>
              </w:rPr>
              <w:t>Median (95%</w:t>
            </w:r>
            <w:r w:rsidR="006A4FCD">
              <w:rPr>
                <w:rFonts w:ascii="Arial Narrow" w:hAnsi="Arial Narrow"/>
                <w:sz w:val="20"/>
                <w:szCs w:val="20"/>
              </w:rPr>
              <w:t xml:space="preserve"> </w:t>
            </w:r>
            <w:r>
              <w:rPr>
                <w:rFonts w:ascii="Arial Narrow" w:hAnsi="Arial Narrow"/>
                <w:sz w:val="20"/>
                <w:szCs w:val="20"/>
              </w:rPr>
              <w:t>CI), months</w:t>
            </w:r>
          </w:p>
        </w:tc>
        <w:tc>
          <w:tcPr>
            <w:tcW w:w="2156" w:type="dxa"/>
            <w:vAlign w:val="center"/>
          </w:tcPr>
          <w:p w14:paraId="7F2CA215" w14:textId="77777777" w:rsidR="00EF5A12" w:rsidRPr="000C3351" w:rsidRDefault="00EF5A12" w:rsidP="003315FD">
            <w:pPr>
              <w:keepNext/>
              <w:jc w:val="center"/>
              <w:rPr>
                <w:rFonts w:ascii="Arial Narrow" w:hAnsi="Arial Narrow"/>
                <w:sz w:val="20"/>
                <w:szCs w:val="20"/>
              </w:rPr>
            </w:pPr>
            <w:r w:rsidRPr="00AE6C6F">
              <w:rPr>
                <w:rFonts w:ascii="Arial Narrow" w:hAnsi="Arial Narrow"/>
                <w:sz w:val="20"/>
                <w:szCs w:val="20"/>
              </w:rPr>
              <w:t>NR (NR, NR)</w:t>
            </w:r>
          </w:p>
        </w:tc>
        <w:tc>
          <w:tcPr>
            <w:tcW w:w="2157" w:type="dxa"/>
            <w:vAlign w:val="center"/>
          </w:tcPr>
          <w:p w14:paraId="6E5303F3" w14:textId="77777777" w:rsidR="00EF5A12" w:rsidRPr="000C3351" w:rsidRDefault="00EF5A12" w:rsidP="003315FD">
            <w:pPr>
              <w:keepNext/>
              <w:jc w:val="center"/>
              <w:rPr>
                <w:rFonts w:ascii="Arial Narrow" w:hAnsi="Arial Narrow"/>
                <w:sz w:val="20"/>
                <w:szCs w:val="20"/>
              </w:rPr>
            </w:pPr>
            <w:r w:rsidRPr="00AE6C6F">
              <w:rPr>
                <w:rFonts w:ascii="Arial Narrow" w:hAnsi="Arial Narrow"/>
                <w:sz w:val="20"/>
                <w:szCs w:val="20"/>
              </w:rPr>
              <w:t>NR (NR, NR)</w:t>
            </w:r>
          </w:p>
        </w:tc>
        <w:tc>
          <w:tcPr>
            <w:tcW w:w="2157" w:type="dxa"/>
            <w:vAlign w:val="center"/>
          </w:tcPr>
          <w:p w14:paraId="01CB7918" w14:textId="77777777" w:rsidR="00EF5A12" w:rsidRPr="000C3351" w:rsidRDefault="00EF5A12" w:rsidP="003315FD">
            <w:pPr>
              <w:keepNext/>
              <w:jc w:val="center"/>
              <w:rPr>
                <w:rFonts w:ascii="Arial Narrow" w:hAnsi="Arial Narrow"/>
                <w:sz w:val="20"/>
                <w:szCs w:val="20"/>
              </w:rPr>
            </w:pPr>
            <w:r w:rsidRPr="00AE6C6F">
              <w:rPr>
                <w:rFonts w:ascii="Arial Narrow" w:hAnsi="Arial Narrow"/>
                <w:sz w:val="20"/>
                <w:szCs w:val="20"/>
              </w:rPr>
              <w:t>76.2 (71.3, NR)</w:t>
            </w:r>
          </w:p>
        </w:tc>
      </w:tr>
      <w:tr w:rsidR="00EF5A12" w:rsidRPr="00165BCC" w14:paraId="61F04D51" w14:textId="77777777" w:rsidTr="003A3EB9">
        <w:tc>
          <w:tcPr>
            <w:tcW w:w="2547" w:type="dxa"/>
          </w:tcPr>
          <w:p w14:paraId="402E9191" w14:textId="3C102F14" w:rsidR="00EF5A12" w:rsidRDefault="00EF5A12" w:rsidP="003315FD">
            <w:pPr>
              <w:keepNext/>
              <w:rPr>
                <w:rFonts w:ascii="Arial Narrow" w:hAnsi="Arial Narrow"/>
                <w:sz w:val="20"/>
                <w:szCs w:val="20"/>
              </w:rPr>
            </w:pPr>
            <w:r>
              <w:rPr>
                <w:rFonts w:ascii="Arial Narrow" w:hAnsi="Arial Narrow"/>
                <w:sz w:val="20"/>
                <w:szCs w:val="20"/>
              </w:rPr>
              <w:t>HR (95%</w:t>
            </w:r>
            <w:r w:rsidR="006A4FCD">
              <w:rPr>
                <w:rFonts w:ascii="Arial Narrow" w:hAnsi="Arial Narrow"/>
                <w:sz w:val="20"/>
                <w:szCs w:val="20"/>
              </w:rPr>
              <w:t xml:space="preserve"> </w:t>
            </w:r>
            <w:r>
              <w:rPr>
                <w:rFonts w:ascii="Arial Narrow" w:hAnsi="Arial Narrow"/>
                <w:sz w:val="20"/>
                <w:szCs w:val="20"/>
              </w:rPr>
              <w:t>CI) vs PBO+ADT</w:t>
            </w:r>
          </w:p>
        </w:tc>
        <w:tc>
          <w:tcPr>
            <w:tcW w:w="2156" w:type="dxa"/>
            <w:vAlign w:val="center"/>
          </w:tcPr>
          <w:p w14:paraId="55934543" w14:textId="77777777" w:rsidR="00EF5A12" w:rsidRPr="00AE6C6F" w:rsidRDefault="00EF5A12" w:rsidP="003315FD">
            <w:pPr>
              <w:keepNext/>
              <w:jc w:val="center"/>
              <w:rPr>
                <w:rFonts w:ascii="Arial Narrow" w:hAnsi="Arial Narrow"/>
                <w:b/>
                <w:sz w:val="20"/>
                <w:szCs w:val="20"/>
              </w:rPr>
            </w:pPr>
            <w:r w:rsidRPr="00AE6C6F">
              <w:rPr>
                <w:rFonts w:ascii="Arial Narrow" w:hAnsi="Arial Narrow"/>
                <w:b/>
                <w:sz w:val="20"/>
                <w:szCs w:val="20"/>
              </w:rPr>
              <w:t>0.36 (0.26, 0.49)</w:t>
            </w:r>
          </w:p>
        </w:tc>
        <w:tc>
          <w:tcPr>
            <w:tcW w:w="2157" w:type="dxa"/>
            <w:vAlign w:val="center"/>
          </w:tcPr>
          <w:p w14:paraId="0DD4F029" w14:textId="77777777" w:rsidR="00EF5A12" w:rsidRPr="00AE6C6F" w:rsidRDefault="00EF5A12" w:rsidP="003315FD">
            <w:pPr>
              <w:keepNext/>
              <w:jc w:val="center"/>
              <w:rPr>
                <w:rFonts w:ascii="Arial Narrow" w:hAnsi="Arial Narrow"/>
                <w:b/>
                <w:sz w:val="20"/>
                <w:szCs w:val="20"/>
              </w:rPr>
            </w:pPr>
            <w:r w:rsidRPr="00AE6C6F">
              <w:rPr>
                <w:rFonts w:ascii="Arial Narrow" w:hAnsi="Arial Narrow"/>
                <w:b/>
                <w:sz w:val="20"/>
                <w:szCs w:val="20"/>
              </w:rPr>
              <w:t>0.54 (0.41, 0.71)</w:t>
            </w:r>
          </w:p>
        </w:tc>
        <w:tc>
          <w:tcPr>
            <w:tcW w:w="2157" w:type="dxa"/>
            <w:vAlign w:val="center"/>
          </w:tcPr>
          <w:p w14:paraId="3D0E200C" w14:textId="77777777" w:rsidR="00EF5A12" w:rsidRPr="000C3351" w:rsidRDefault="00EF5A12" w:rsidP="003315FD">
            <w:pPr>
              <w:keepNext/>
              <w:jc w:val="center"/>
              <w:rPr>
                <w:rFonts w:ascii="Arial Narrow" w:hAnsi="Arial Narrow"/>
                <w:sz w:val="20"/>
                <w:szCs w:val="20"/>
              </w:rPr>
            </w:pPr>
            <w:r>
              <w:rPr>
                <w:rFonts w:ascii="Arial Narrow" w:hAnsi="Arial Narrow"/>
                <w:sz w:val="20"/>
                <w:szCs w:val="20"/>
              </w:rPr>
              <w:t>-</w:t>
            </w:r>
          </w:p>
        </w:tc>
      </w:tr>
      <w:tr w:rsidR="004D2A36" w:rsidRPr="00165BCC" w14:paraId="03F73A7C" w14:textId="77777777" w:rsidTr="004D2A36">
        <w:tc>
          <w:tcPr>
            <w:tcW w:w="9017" w:type="dxa"/>
            <w:gridSpan w:val="4"/>
            <w:vAlign w:val="center"/>
          </w:tcPr>
          <w:p w14:paraId="5F4C0F63" w14:textId="00D0393A" w:rsidR="004D2A36" w:rsidRPr="000C3351" w:rsidRDefault="004D2A36" w:rsidP="003315FD">
            <w:pPr>
              <w:keepNext/>
              <w:jc w:val="left"/>
              <w:rPr>
                <w:rFonts w:ascii="Arial Narrow" w:hAnsi="Arial Narrow"/>
                <w:sz w:val="20"/>
                <w:szCs w:val="20"/>
              </w:rPr>
            </w:pPr>
            <w:r w:rsidRPr="00BC6591">
              <w:rPr>
                <w:rFonts w:ascii="Arial Narrow" w:hAnsi="Arial Narrow"/>
                <w:b/>
                <w:sz w:val="20"/>
                <w:szCs w:val="20"/>
              </w:rPr>
              <w:t>Distant metastasis (BICR)</w:t>
            </w:r>
          </w:p>
        </w:tc>
      </w:tr>
      <w:tr w:rsidR="00EF5A12" w:rsidRPr="00165BCC" w14:paraId="5AF50C26" w14:textId="77777777" w:rsidTr="003A3EB9">
        <w:tc>
          <w:tcPr>
            <w:tcW w:w="2547" w:type="dxa"/>
          </w:tcPr>
          <w:p w14:paraId="3E8B61A4" w14:textId="53EADFD1" w:rsidR="00EF5A12" w:rsidRDefault="00EF5A12" w:rsidP="003315FD">
            <w:pPr>
              <w:keepNext/>
              <w:rPr>
                <w:rFonts w:ascii="Arial Narrow" w:hAnsi="Arial Narrow"/>
                <w:sz w:val="20"/>
                <w:szCs w:val="20"/>
              </w:rPr>
            </w:pPr>
            <w:r>
              <w:rPr>
                <w:rFonts w:ascii="Arial Narrow" w:hAnsi="Arial Narrow"/>
                <w:sz w:val="20"/>
                <w:szCs w:val="20"/>
              </w:rPr>
              <w:t>Events, n</w:t>
            </w:r>
            <w:r w:rsidR="006A4FCD">
              <w:rPr>
                <w:rFonts w:ascii="Arial Narrow" w:hAnsi="Arial Narrow"/>
                <w:sz w:val="20"/>
                <w:szCs w:val="20"/>
              </w:rPr>
              <w:t xml:space="preserve"> </w:t>
            </w:r>
            <w:r>
              <w:rPr>
                <w:rFonts w:ascii="Arial Narrow" w:hAnsi="Arial Narrow"/>
                <w:sz w:val="20"/>
                <w:szCs w:val="20"/>
              </w:rPr>
              <w:t>(%)</w:t>
            </w:r>
          </w:p>
        </w:tc>
        <w:tc>
          <w:tcPr>
            <w:tcW w:w="2156" w:type="dxa"/>
            <w:vAlign w:val="center"/>
          </w:tcPr>
          <w:p w14:paraId="042DAC12" w14:textId="77777777" w:rsidR="00EF5A12" w:rsidRPr="000C3351" w:rsidRDefault="00EF5A12" w:rsidP="003315FD">
            <w:pPr>
              <w:keepNext/>
              <w:jc w:val="center"/>
              <w:rPr>
                <w:rFonts w:ascii="Arial Narrow" w:hAnsi="Arial Narrow"/>
                <w:sz w:val="20"/>
                <w:szCs w:val="20"/>
              </w:rPr>
            </w:pPr>
            <w:r w:rsidRPr="00AE6C6F">
              <w:rPr>
                <w:rFonts w:ascii="Arial Narrow" w:hAnsi="Arial Narrow"/>
                <w:sz w:val="20"/>
                <w:szCs w:val="20"/>
              </w:rPr>
              <w:t>30 (8.5)</w:t>
            </w:r>
          </w:p>
        </w:tc>
        <w:tc>
          <w:tcPr>
            <w:tcW w:w="2157" w:type="dxa"/>
            <w:vAlign w:val="center"/>
          </w:tcPr>
          <w:p w14:paraId="672ED9B2" w14:textId="77777777" w:rsidR="00EF5A12" w:rsidRPr="000C3351" w:rsidRDefault="00EF5A12" w:rsidP="003315FD">
            <w:pPr>
              <w:keepNext/>
              <w:jc w:val="center"/>
              <w:rPr>
                <w:rFonts w:ascii="Arial Narrow" w:hAnsi="Arial Narrow"/>
                <w:sz w:val="20"/>
                <w:szCs w:val="20"/>
              </w:rPr>
            </w:pPr>
            <w:r w:rsidRPr="00AE6C6F">
              <w:rPr>
                <w:rFonts w:ascii="Arial Narrow" w:hAnsi="Arial Narrow"/>
                <w:sz w:val="20"/>
                <w:szCs w:val="20"/>
              </w:rPr>
              <w:t>40 (11.3)</w:t>
            </w:r>
          </w:p>
        </w:tc>
        <w:tc>
          <w:tcPr>
            <w:tcW w:w="2157" w:type="dxa"/>
            <w:vAlign w:val="center"/>
          </w:tcPr>
          <w:p w14:paraId="0B62737C" w14:textId="77777777" w:rsidR="00EF5A12" w:rsidRPr="000C3351" w:rsidRDefault="00EF5A12" w:rsidP="003315FD">
            <w:pPr>
              <w:keepNext/>
              <w:jc w:val="center"/>
              <w:rPr>
                <w:rFonts w:ascii="Arial Narrow" w:hAnsi="Arial Narrow"/>
                <w:sz w:val="20"/>
                <w:szCs w:val="20"/>
              </w:rPr>
            </w:pPr>
            <w:r w:rsidRPr="00AE6C6F">
              <w:rPr>
                <w:rFonts w:ascii="Arial Narrow" w:hAnsi="Arial Narrow"/>
                <w:sz w:val="20"/>
                <w:szCs w:val="20"/>
              </w:rPr>
              <w:t>59 (16.5)</w:t>
            </w:r>
          </w:p>
        </w:tc>
      </w:tr>
      <w:tr w:rsidR="00EF5A12" w:rsidRPr="00165BCC" w14:paraId="62BED923" w14:textId="77777777" w:rsidTr="003A3EB9">
        <w:tc>
          <w:tcPr>
            <w:tcW w:w="2547" w:type="dxa"/>
          </w:tcPr>
          <w:p w14:paraId="05DFFF2D" w14:textId="74992EB0" w:rsidR="00EF5A12" w:rsidRDefault="00EF5A12" w:rsidP="003315FD">
            <w:pPr>
              <w:keepNext/>
              <w:rPr>
                <w:rFonts w:ascii="Arial Narrow" w:hAnsi="Arial Narrow"/>
                <w:sz w:val="20"/>
                <w:szCs w:val="20"/>
              </w:rPr>
            </w:pPr>
            <w:r>
              <w:rPr>
                <w:rFonts w:ascii="Arial Narrow" w:hAnsi="Arial Narrow"/>
                <w:sz w:val="20"/>
                <w:szCs w:val="20"/>
              </w:rPr>
              <w:t>Median (95%</w:t>
            </w:r>
            <w:r w:rsidR="006A4FCD">
              <w:rPr>
                <w:rFonts w:ascii="Arial Narrow" w:hAnsi="Arial Narrow"/>
                <w:sz w:val="20"/>
                <w:szCs w:val="20"/>
              </w:rPr>
              <w:t xml:space="preserve"> </w:t>
            </w:r>
            <w:r>
              <w:rPr>
                <w:rFonts w:ascii="Arial Narrow" w:hAnsi="Arial Narrow"/>
                <w:sz w:val="20"/>
                <w:szCs w:val="20"/>
              </w:rPr>
              <w:t>CI), months</w:t>
            </w:r>
          </w:p>
        </w:tc>
        <w:tc>
          <w:tcPr>
            <w:tcW w:w="2156" w:type="dxa"/>
            <w:vAlign w:val="center"/>
          </w:tcPr>
          <w:p w14:paraId="7D4D0E00" w14:textId="77777777" w:rsidR="00EF5A12" w:rsidRPr="000C3351" w:rsidRDefault="00EF5A12" w:rsidP="003315FD">
            <w:pPr>
              <w:keepNext/>
              <w:jc w:val="center"/>
              <w:rPr>
                <w:rFonts w:ascii="Arial Narrow" w:hAnsi="Arial Narrow"/>
                <w:sz w:val="20"/>
                <w:szCs w:val="20"/>
              </w:rPr>
            </w:pPr>
            <w:r w:rsidRPr="00AE6C6F">
              <w:rPr>
                <w:rFonts w:ascii="Arial Narrow" w:hAnsi="Arial Narrow"/>
                <w:sz w:val="20"/>
                <w:szCs w:val="20"/>
              </w:rPr>
              <w:t>NR (NR, NR)</w:t>
            </w:r>
          </w:p>
        </w:tc>
        <w:tc>
          <w:tcPr>
            <w:tcW w:w="2157" w:type="dxa"/>
            <w:vAlign w:val="center"/>
          </w:tcPr>
          <w:p w14:paraId="101F2019" w14:textId="77777777" w:rsidR="00EF5A12" w:rsidRPr="000C3351" w:rsidRDefault="00EF5A12" w:rsidP="003315FD">
            <w:pPr>
              <w:keepNext/>
              <w:jc w:val="center"/>
              <w:rPr>
                <w:rFonts w:ascii="Arial Narrow" w:hAnsi="Arial Narrow"/>
                <w:sz w:val="20"/>
                <w:szCs w:val="20"/>
              </w:rPr>
            </w:pPr>
            <w:r w:rsidRPr="00AE6C6F">
              <w:rPr>
                <w:rFonts w:ascii="Arial Narrow" w:hAnsi="Arial Narrow"/>
                <w:sz w:val="20"/>
                <w:szCs w:val="20"/>
              </w:rPr>
              <w:t>NR (NR, NR)</w:t>
            </w:r>
          </w:p>
        </w:tc>
        <w:tc>
          <w:tcPr>
            <w:tcW w:w="2157" w:type="dxa"/>
            <w:vAlign w:val="center"/>
          </w:tcPr>
          <w:p w14:paraId="151F0992" w14:textId="77777777" w:rsidR="00EF5A12" w:rsidRPr="000C3351" w:rsidRDefault="00EF5A12" w:rsidP="003315FD">
            <w:pPr>
              <w:keepNext/>
              <w:jc w:val="center"/>
              <w:rPr>
                <w:rFonts w:ascii="Arial Narrow" w:hAnsi="Arial Narrow"/>
                <w:sz w:val="20"/>
                <w:szCs w:val="20"/>
              </w:rPr>
            </w:pPr>
            <w:r w:rsidRPr="00AE6C6F">
              <w:rPr>
                <w:rFonts w:ascii="Arial Narrow" w:hAnsi="Arial Narrow"/>
                <w:sz w:val="20"/>
                <w:szCs w:val="20"/>
              </w:rPr>
              <w:t>NR (85.1, NR)</w:t>
            </w:r>
          </w:p>
        </w:tc>
      </w:tr>
      <w:tr w:rsidR="00EF5A12" w:rsidRPr="00165BCC" w14:paraId="6183D58B" w14:textId="77777777" w:rsidTr="003A3EB9">
        <w:tc>
          <w:tcPr>
            <w:tcW w:w="2547" w:type="dxa"/>
          </w:tcPr>
          <w:p w14:paraId="4E9D0F45" w14:textId="33A10701" w:rsidR="00EF5A12" w:rsidRDefault="00EF5A12" w:rsidP="003315FD">
            <w:pPr>
              <w:keepNext/>
              <w:rPr>
                <w:rFonts w:ascii="Arial Narrow" w:hAnsi="Arial Narrow"/>
                <w:sz w:val="20"/>
                <w:szCs w:val="20"/>
              </w:rPr>
            </w:pPr>
            <w:r>
              <w:rPr>
                <w:rFonts w:ascii="Arial Narrow" w:hAnsi="Arial Narrow"/>
                <w:sz w:val="20"/>
                <w:szCs w:val="20"/>
              </w:rPr>
              <w:t>HR (95%</w:t>
            </w:r>
            <w:r w:rsidR="006A4FCD">
              <w:rPr>
                <w:rFonts w:ascii="Arial Narrow" w:hAnsi="Arial Narrow"/>
                <w:sz w:val="20"/>
                <w:szCs w:val="20"/>
              </w:rPr>
              <w:t xml:space="preserve"> </w:t>
            </w:r>
            <w:r>
              <w:rPr>
                <w:rFonts w:ascii="Arial Narrow" w:hAnsi="Arial Narrow"/>
                <w:sz w:val="20"/>
                <w:szCs w:val="20"/>
              </w:rPr>
              <w:t>CI) vs PBO+ADT</w:t>
            </w:r>
          </w:p>
        </w:tc>
        <w:tc>
          <w:tcPr>
            <w:tcW w:w="2156" w:type="dxa"/>
            <w:vAlign w:val="center"/>
          </w:tcPr>
          <w:p w14:paraId="7A5FB80F" w14:textId="77777777" w:rsidR="00EF5A12" w:rsidRPr="00AE6C6F" w:rsidRDefault="00EF5A12" w:rsidP="003315FD">
            <w:pPr>
              <w:keepNext/>
              <w:jc w:val="center"/>
              <w:rPr>
                <w:rFonts w:ascii="Arial Narrow" w:hAnsi="Arial Narrow"/>
                <w:b/>
                <w:sz w:val="20"/>
                <w:szCs w:val="20"/>
              </w:rPr>
            </w:pPr>
            <w:r w:rsidRPr="00AE6C6F">
              <w:rPr>
                <w:rFonts w:ascii="Arial Narrow" w:hAnsi="Arial Narrow"/>
                <w:b/>
                <w:sz w:val="20"/>
                <w:szCs w:val="20"/>
              </w:rPr>
              <w:t>0.44 (0.28, 0.69)</w:t>
            </w:r>
          </w:p>
        </w:tc>
        <w:tc>
          <w:tcPr>
            <w:tcW w:w="2157" w:type="dxa"/>
            <w:vAlign w:val="center"/>
          </w:tcPr>
          <w:p w14:paraId="45250A2A" w14:textId="77777777" w:rsidR="00EF5A12" w:rsidRPr="00AE6C6F" w:rsidRDefault="00EF5A12" w:rsidP="003315FD">
            <w:pPr>
              <w:keepNext/>
              <w:jc w:val="center"/>
              <w:rPr>
                <w:rFonts w:ascii="Arial Narrow" w:hAnsi="Arial Narrow"/>
                <w:b/>
                <w:sz w:val="20"/>
                <w:szCs w:val="20"/>
              </w:rPr>
            </w:pPr>
            <w:r w:rsidRPr="00AE6C6F">
              <w:rPr>
                <w:rFonts w:ascii="Arial Narrow" w:hAnsi="Arial Narrow"/>
                <w:b/>
                <w:sz w:val="20"/>
                <w:szCs w:val="20"/>
              </w:rPr>
              <w:t>0.61 (0.41, 0.92)</w:t>
            </w:r>
          </w:p>
        </w:tc>
        <w:tc>
          <w:tcPr>
            <w:tcW w:w="2157" w:type="dxa"/>
            <w:vAlign w:val="center"/>
          </w:tcPr>
          <w:p w14:paraId="3903CAB2" w14:textId="77777777" w:rsidR="00EF5A12" w:rsidRPr="000C3351" w:rsidRDefault="00EF5A12" w:rsidP="003315FD">
            <w:pPr>
              <w:keepNext/>
              <w:jc w:val="center"/>
              <w:rPr>
                <w:rFonts w:ascii="Arial Narrow" w:hAnsi="Arial Narrow"/>
                <w:sz w:val="20"/>
                <w:szCs w:val="20"/>
              </w:rPr>
            </w:pPr>
            <w:r>
              <w:rPr>
                <w:rFonts w:ascii="Arial Narrow" w:hAnsi="Arial Narrow"/>
                <w:sz w:val="20"/>
                <w:szCs w:val="20"/>
              </w:rPr>
              <w:t>-</w:t>
            </w:r>
          </w:p>
        </w:tc>
      </w:tr>
      <w:tr w:rsidR="004D2A36" w:rsidRPr="00165BCC" w14:paraId="3ED6D11A" w14:textId="77777777" w:rsidTr="004D2A36">
        <w:tc>
          <w:tcPr>
            <w:tcW w:w="9017" w:type="dxa"/>
            <w:gridSpan w:val="4"/>
            <w:vAlign w:val="center"/>
          </w:tcPr>
          <w:p w14:paraId="2B3C2EA9" w14:textId="1835B750" w:rsidR="004D2A36" w:rsidRPr="000C3351" w:rsidRDefault="004D2A36" w:rsidP="003315FD">
            <w:pPr>
              <w:keepNext/>
              <w:jc w:val="left"/>
              <w:rPr>
                <w:rFonts w:ascii="Arial Narrow" w:hAnsi="Arial Narrow"/>
                <w:sz w:val="20"/>
                <w:szCs w:val="20"/>
              </w:rPr>
            </w:pPr>
            <w:r w:rsidRPr="009D71CD">
              <w:rPr>
                <w:rFonts w:ascii="Arial Narrow" w:hAnsi="Arial Narrow"/>
                <w:b/>
                <w:sz w:val="20"/>
                <w:szCs w:val="20"/>
              </w:rPr>
              <w:t>Castration resistance</w:t>
            </w:r>
          </w:p>
        </w:tc>
      </w:tr>
      <w:tr w:rsidR="00EF5A12" w:rsidRPr="00165BCC" w14:paraId="17492445" w14:textId="77777777" w:rsidTr="003A3EB9">
        <w:tc>
          <w:tcPr>
            <w:tcW w:w="2547" w:type="dxa"/>
          </w:tcPr>
          <w:p w14:paraId="5220A5C4" w14:textId="43968EF3" w:rsidR="00EF5A12" w:rsidRDefault="00EF5A12" w:rsidP="003315FD">
            <w:pPr>
              <w:keepNext/>
              <w:rPr>
                <w:rFonts w:ascii="Arial Narrow" w:hAnsi="Arial Narrow"/>
                <w:sz w:val="20"/>
                <w:szCs w:val="20"/>
              </w:rPr>
            </w:pPr>
            <w:r>
              <w:rPr>
                <w:rFonts w:ascii="Arial Narrow" w:hAnsi="Arial Narrow"/>
                <w:sz w:val="20"/>
                <w:szCs w:val="20"/>
              </w:rPr>
              <w:t>Events, n</w:t>
            </w:r>
            <w:r w:rsidR="006A4FCD">
              <w:rPr>
                <w:rFonts w:ascii="Arial Narrow" w:hAnsi="Arial Narrow"/>
                <w:sz w:val="20"/>
                <w:szCs w:val="20"/>
              </w:rPr>
              <w:t xml:space="preserve"> </w:t>
            </w:r>
            <w:r>
              <w:rPr>
                <w:rFonts w:ascii="Arial Narrow" w:hAnsi="Arial Narrow"/>
                <w:sz w:val="20"/>
                <w:szCs w:val="20"/>
              </w:rPr>
              <w:t>(%)</w:t>
            </w:r>
          </w:p>
        </w:tc>
        <w:tc>
          <w:tcPr>
            <w:tcW w:w="2156" w:type="dxa"/>
            <w:vAlign w:val="center"/>
          </w:tcPr>
          <w:p w14:paraId="49842971"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14 (3.9)</w:t>
            </w:r>
          </w:p>
        </w:tc>
        <w:tc>
          <w:tcPr>
            <w:tcW w:w="2157" w:type="dxa"/>
            <w:vAlign w:val="center"/>
          </w:tcPr>
          <w:p w14:paraId="6E36BAB3" w14:textId="77777777" w:rsidR="00EF5A12" w:rsidRPr="000C3351" w:rsidRDefault="00EF5A12" w:rsidP="003315FD">
            <w:pPr>
              <w:keepNext/>
              <w:jc w:val="center"/>
              <w:rPr>
                <w:rFonts w:ascii="Arial Narrow" w:hAnsi="Arial Narrow"/>
                <w:sz w:val="20"/>
                <w:szCs w:val="20"/>
              </w:rPr>
            </w:pPr>
            <w:r>
              <w:rPr>
                <w:rFonts w:ascii="Arial Narrow" w:hAnsi="Arial Narrow"/>
                <w:sz w:val="20"/>
                <w:szCs w:val="20"/>
              </w:rPr>
              <w:t>-</w:t>
            </w:r>
          </w:p>
        </w:tc>
        <w:tc>
          <w:tcPr>
            <w:tcW w:w="2157" w:type="dxa"/>
            <w:vAlign w:val="center"/>
          </w:tcPr>
          <w:p w14:paraId="44A55F63"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120 (33.5)</w:t>
            </w:r>
          </w:p>
        </w:tc>
      </w:tr>
      <w:tr w:rsidR="00EF5A12" w:rsidRPr="00165BCC" w14:paraId="143AFBC3" w14:textId="77777777" w:rsidTr="003A3EB9">
        <w:tc>
          <w:tcPr>
            <w:tcW w:w="2547" w:type="dxa"/>
          </w:tcPr>
          <w:p w14:paraId="6C013398" w14:textId="01F6D51A" w:rsidR="00EF5A12" w:rsidRDefault="00EF5A12" w:rsidP="003315FD">
            <w:pPr>
              <w:keepNext/>
              <w:rPr>
                <w:rFonts w:ascii="Arial Narrow" w:hAnsi="Arial Narrow"/>
                <w:sz w:val="20"/>
                <w:szCs w:val="20"/>
              </w:rPr>
            </w:pPr>
            <w:r>
              <w:rPr>
                <w:rFonts w:ascii="Arial Narrow" w:hAnsi="Arial Narrow"/>
                <w:sz w:val="20"/>
                <w:szCs w:val="20"/>
              </w:rPr>
              <w:t>Median (95%</w:t>
            </w:r>
            <w:r w:rsidR="006A4FCD">
              <w:rPr>
                <w:rFonts w:ascii="Arial Narrow" w:hAnsi="Arial Narrow"/>
                <w:sz w:val="20"/>
                <w:szCs w:val="20"/>
              </w:rPr>
              <w:t xml:space="preserve"> </w:t>
            </w:r>
            <w:r>
              <w:rPr>
                <w:rFonts w:ascii="Arial Narrow" w:hAnsi="Arial Narrow"/>
                <w:sz w:val="20"/>
                <w:szCs w:val="20"/>
              </w:rPr>
              <w:t>CI), months</w:t>
            </w:r>
          </w:p>
        </w:tc>
        <w:tc>
          <w:tcPr>
            <w:tcW w:w="2156" w:type="dxa"/>
            <w:vAlign w:val="center"/>
          </w:tcPr>
          <w:p w14:paraId="052547D5"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NR (NR, NR)</w:t>
            </w:r>
          </w:p>
        </w:tc>
        <w:tc>
          <w:tcPr>
            <w:tcW w:w="2157" w:type="dxa"/>
            <w:vAlign w:val="center"/>
          </w:tcPr>
          <w:p w14:paraId="0241625E" w14:textId="77777777" w:rsidR="00EF5A12" w:rsidRPr="000C3351" w:rsidRDefault="00EF5A12" w:rsidP="003315FD">
            <w:pPr>
              <w:keepNext/>
              <w:jc w:val="center"/>
              <w:rPr>
                <w:rFonts w:ascii="Arial Narrow" w:hAnsi="Arial Narrow"/>
                <w:sz w:val="20"/>
                <w:szCs w:val="20"/>
              </w:rPr>
            </w:pPr>
            <w:r>
              <w:rPr>
                <w:rFonts w:ascii="Arial Narrow" w:hAnsi="Arial Narrow"/>
                <w:sz w:val="20"/>
                <w:szCs w:val="20"/>
              </w:rPr>
              <w:t>-</w:t>
            </w:r>
          </w:p>
        </w:tc>
        <w:tc>
          <w:tcPr>
            <w:tcW w:w="2157" w:type="dxa"/>
            <w:vAlign w:val="center"/>
          </w:tcPr>
          <w:p w14:paraId="2167552A"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NR (NR, NR)</w:t>
            </w:r>
          </w:p>
        </w:tc>
      </w:tr>
      <w:tr w:rsidR="00EF5A12" w:rsidRPr="00165BCC" w14:paraId="5A3B2B58" w14:textId="77777777" w:rsidTr="003A3EB9">
        <w:tc>
          <w:tcPr>
            <w:tcW w:w="2547" w:type="dxa"/>
          </w:tcPr>
          <w:p w14:paraId="35D9279B" w14:textId="7559EB3B" w:rsidR="00EF5A12" w:rsidRDefault="00EF5A12" w:rsidP="003315FD">
            <w:pPr>
              <w:keepNext/>
              <w:rPr>
                <w:rFonts w:ascii="Arial Narrow" w:hAnsi="Arial Narrow"/>
                <w:sz w:val="20"/>
                <w:szCs w:val="20"/>
              </w:rPr>
            </w:pPr>
            <w:r>
              <w:rPr>
                <w:rFonts w:ascii="Arial Narrow" w:hAnsi="Arial Narrow"/>
                <w:sz w:val="20"/>
                <w:szCs w:val="20"/>
              </w:rPr>
              <w:t>HR (95%</w:t>
            </w:r>
            <w:r w:rsidR="006A4FCD">
              <w:rPr>
                <w:rFonts w:ascii="Arial Narrow" w:hAnsi="Arial Narrow"/>
                <w:sz w:val="20"/>
                <w:szCs w:val="20"/>
              </w:rPr>
              <w:t xml:space="preserve"> </w:t>
            </w:r>
            <w:r>
              <w:rPr>
                <w:rFonts w:ascii="Arial Narrow" w:hAnsi="Arial Narrow"/>
                <w:sz w:val="20"/>
                <w:szCs w:val="20"/>
              </w:rPr>
              <w:t>CI) vs PBO+ADT</w:t>
            </w:r>
          </w:p>
        </w:tc>
        <w:tc>
          <w:tcPr>
            <w:tcW w:w="2156" w:type="dxa"/>
            <w:vAlign w:val="center"/>
          </w:tcPr>
          <w:p w14:paraId="66D12EE3" w14:textId="77777777" w:rsidR="00EF5A12" w:rsidRPr="00DC5DC4" w:rsidRDefault="00EF5A12" w:rsidP="003315FD">
            <w:pPr>
              <w:keepNext/>
              <w:jc w:val="center"/>
              <w:rPr>
                <w:rFonts w:ascii="Arial Narrow" w:hAnsi="Arial Narrow"/>
                <w:b/>
                <w:sz w:val="20"/>
                <w:szCs w:val="20"/>
              </w:rPr>
            </w:pPr>
            <w:r w:rsidRPr="00DC5DC4">
              <w:rPr>
                <w:rFonts w:ascii="Arial Narrow" w:hAnsi="Arial Narrow"/>
                <w:b/>
                <w:sz w:val="20"/>
                <w:szCs w:val="20"/>
              </w:rPr>
              <w:t>0.09 (0.05, 0.16)</w:t>
            </w:r>
          </w:p>
        </w:tc>
        <w:tc>
          <w:tcPr>
            <w:tcW w:w="2157" w:type="dxa"/>
            <w:vAlign w:val="center"/>
          </w:tcPr>
          <w:p w14:paraId="0200A28B" w14:textId="77777777" w:rsidR="00EF5A12" w:rsidRPr="000C3351" w:rsidRDefault="00EF5A12" w:rsidP="003315FD">
            <w:pPr>
              <w:keepNext/>
              <w:jc w:val="center"/>
              <w:rPr>
                <w:rFonts w:ascii="Arial Narrow" w:hAnsi="Arial Narrow"/>
                <w:sz w:val="20"/>
                <w:szCs w:val="20"/>
              </w:rPr>
            </w:pPr>
            <w:r>
              <w:rPr>
                <w:rFonts w:ascii="Arial Narrow" w:hAnsi="Arial Narrow"/>
                <w:sz w:val="20"/>
                <w:szCs w:val="20"/>
              </w:rPr>
              <w:t>-</w:t>
            </w:r>
          </w:p>
        </w:tc>
        <w:tc>
          <w:tcPr>
            <w:tcW w:w="2157" w:type="dxa"/>
            <w:vAlign w:val="center"/>
          </w:tcPr>
          <w:p w14:paraId="6D686D6F" w14:textId="77777777" w:rsidR="00EF5A12" w:rsidRPr="000C3351" w:rsidRDefault="00EF5A12" w:rsidP="003315FD">
            <w:pPr>
              <w:keepNext/>
              <w:jc w:val="center"/>
              <w:rPr>
                <w:rFonts w:ascii="Arial Narrow" w:hAnsi="Arial Narrow"/>
                <w:sz w:val="20"/>
                <w:szCs w:val="20"/>
              </w:rPr>
            </w:pPr>
            <w:r>
              <w:rPr>
                <w:rFonts w:ascii="Arial Narrow" w:hAnsi="Arial Narrow"/>
                <w:sz w:val="20"/>
                <w:szCs w:val="20"/>
              </w:rPr>
              <w:t>-</w:t>
            </w:r>
          </w:p>
        </w:tc>
      </w:tr>
      <w:tr w:rsidR="004D2A36" w:rsidRPr="00165BCC" w14:paraId="7F47E758" w14:textId="77777777" w:rsidTr="004D2A36">
        <w:tc>
          <w:tcPr>
            <w:tcW w:w="9017" w:type="dxa"/>
            <w:gridSpan w:val="4"/>
            <w:vAlign w:val="center"/>
          </w:tcPr>
          <w:p w14:paraId="58D1AF88" w14:textId="5768FB66" w:rsidR="004D2A36" w:rsidRPr="000C3351" w:rsidRDefault="004D2A36" w:rsidP="003315FD">
            <w:pPr>
              <w:keepNext/>
              <w:jc w:val="left"/>
              <w:rPr>
                <w:rFonts w:ascii="Arial Narrow" w:hAnsi="Arial Narrow"/>
                <w:sz w:val="20"/>
                <w:szCs w:val="20"/>
              </w:rPr>
            </w:pPr>
            <w:r w:rsidRPr="009D71CD">
              <w:rPr>
                <w:rFonts w:ascii="Arial Narrow" w:hAnsi="Arial Narrow"/>
                <w:b/>
                <w:sz w:val="20"/>
                <w:szCs w:val="20"/>
              </w:rPr>
              <w:t>Symptomatic progression</w:t>
            </w:r>
          </w:p>
        </w:tc>
      </w:tr>
      <w:tr w:rsidR="00EF5A12" w:rsidRPr="00165BCC" w14:paraId="5D3C0730" w14:textId="77777777" w:rsidTr="003A3EB9">
        <w:tc>
          <w:tcPr>
            <w:tcW w:w="2547" w:type="dxa"/>
          </w:tcPr>
          <w:p w14:paraId="04830D3D" w14:textId="15A23DC2" w:rsidR="00EF5A12" w:rsidRDefault="00EF5A12" w:rsidP="003315FD">
            <w:pPr>
              <w:keepNext/>
              <w:rPr>
                <w:rFonts w:ascii="Arial Narrow" w:hAnsi="Arial Narrow"/>
                <w:sz w:val="20"/>
                <w:szCs w:val="20"/>
              </w:rPr>
            </w:pPr>
            <w:r>
              <w:rPr>
                <w:rFonts w:ascii="Arial Narrow" w:hAnsi="Arial Narrow"/>
                <w:sz w:val="20"/>
                <w:szCs w:val="20"/>
              </w:rPr>
              <w:t>Events, n</w:t>
            </w:r>
            <w:r w:rsidR="006A4FCD">
              <w:rPr>
                <w:rFonts w:ascii="Arial Narrow" w:hAnsi="Arial Narrow"/>
                <w:sz w:val="20"/>
                <w:szCs w:val="20"/>
              </w:rPr>
              <w:t xml:space="preserve"> </w:t>
            </w:r>
            <w:r>
              <w:rPr>
                <w:rFonts w:ascii="Arial Narrow" w:hAnsi="Arial Narrow"/>
                <w:sz w:val="20"/>
                <w:szCs w:val="20"/>
              </w:rPr>
              <w:t>(%)</w:t>
            </w:r>
            <w:r w:rsidRPr="00DC5DC4">
              <w:rPr>
                <w:rFonts w:ascii="Arial Narrow" w:hAnsi="Arial Narrow"/>
                <w:sz w:val="20"/>
                <w:szCs w:val="20"/>
                <w:vertAlign w:val="superscript"/>
              </w:rPr>
              <w:t>a</w:t>
            </w:r>
          </w:p>
        </w:tc>
        <w:tc>
          <w:tcPr>
            <w:tcW w:w="2156" w:type="dxa"/>
            <w:vAlign w:val="center"/>
          </w:tcPr>
          <w:p w14:paraId="329F90C9"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104 (29.3)</w:t>
            </w:r>
          </w:p>
        </w:tc>
        <w:tc>
          <w:tcPr>
            <w:tcW w:w="2157" w:type="dxa"/>
            <w:vAlign w:val="center"/>
          </w:tcPr>
          <w:p w14:paraId="2E824EA1"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117 (33.0)</w:t>
            </w:r>
          </w:p>
        </w:tc>
        <w:tc>
          <w:tcPr>
            <w:tcW w:w="2157" w:type="dxa"/>
            <w:vAlign w:val="center"/>
          </w:tcPr>
          <w:p w14:paraId="580F47A2"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169 (47.2)</w:t>
            </w:r>
          </w:p>
        </w:tc>
      </w:tr>
      <w:tr w:rsidR="00EF5A12" w:rsidRPr="00165BCC" w14:paraId="1CD30E89" w14:textId="77777777" w:rsidTr="003A3EB9">
        <w:tc>
          <w:tcPr>
            <w:tcW w:w="2547" w:type="dxa"/>
          </w:tcPr>
          <w:p w14:paraId="62ECA782" w14:textId="0C2807AF" w:rsidR="00EF5A12" w:rsidRDefault="00EF5A12" w:rsidP="003315FD">
            <w:pPr>
              <w:keepNext/>
              <w:rPr>
                <w:rFonts w:ascii="Arial Narrow" w:hAnsi="Arial Narrow"/>
                <w:sz w:val="20"/>
                <w:szCs w:val="20"/>
              </w:rPr>
            </w:pPr>
            <w:r>
              <w:rPr>
                <w:rFonts w:ascii="Arial Narrow" w:hAnsi="Arial Narrow"/>
                <w:sz w:val="20"/>
                <w:szCs w:val="20"/>
              </w:rPr>
              <w:t>Median (95%</w:t>
            </w:r>
            <w:r w:rsidR="006A4FCD">
              <w:rPr>
                <w:rFonts w:ascii="Arial Narrow" w:hAnsi="Arial Narrow"/>
                <w:sz w:val="20"/>
                <w:szCs w:val="20"/>
              </w:rPr>
              <w:t xml:space="preserve"> </w:t>
            </w:r>
            <w:r>
              <w:rPr>
                <w:rFonts w:ascii="Arial Narrow" w:hAnsi="Arial Narrow"/>
                <w:sz w:val="20"/>
                <w:szCs w:val="20"/>
              </w:rPr>
              <w:t>CI), months</w:t>
            </w:r>
          </w:p>
        </w:tc>
        <w:tc>
          <w:tcPr>
            <w:tcW w:w="2156" w:type="dxa"/>
            <w:vAlign w:val="center"/>
          </w:tcPr>
          <w:p w14:paraId="2BE315B9"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NR (NR, NR)</w:t>
            </w:r>
          </w:p>
        </w:tc>
        <w:tc>
          <w:tcPr>
            <w:tcW w:w="2157" w:type="dxa"/>
            <w:vAlign w:val="center"/>
          </w:tcPr>
          <w:p w14:paraId="41C51879"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NR (83.6, NR)</w:t>
            </w:r>
          </w:p>
        </w:tc>
        <w:tc>
          <w:tcPr>
            <w:tcW w:w="2157" w:type="dxa"/>
            <w:vAlign w:val="center"/>
          </w:tcPr>
          <w:p w14:paraId="4148B1A0"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63.8 (56.4, 74.9)</w:t>
            </w:r>
          </w:p>
        </w:tc>
      </w:tr>
      <w:tr w:rsidR="00EF5A12" w:rsidRPr="00165BCC" w14:paraId="25A492C4" w14:textId="77777777" w:rsidTr="003A3EB9">
        <w:tc>
          <w:tcPr>
            <w:tcW w:w="2547" w:type="dxa"/>
          </w:tcPr>
          <w:p w14:paraId="67E15537" w14:textId="76BB6DA2" w:rsidR="00EF5A12" w:rsidRDefault="00EF5A12" w:rsidP="003315FD">
            <w:pPr>
              <w:keepNext/>
              <w:rPr>
                <w:rFonts w:ascii="Arial Narrow" w:hAnsi="Arial Narrow"/>
                <w:sz w:val="20"/>
                <w:szCs w:val="20"/>
              </w:rPr>
            </w:pPr>
            <w:r>
              <w:rPr>
                <w:rFonts w:ascii="Arial Narrow" w:hAnsi="Arial Narrow"/>
                <w:sz w:val="20"/>
                <w:szCs w:val="20"/>
              </w:rPr>
              <w:t>HR (95%</w:t>
            </w:r>
            <w:r w:rsidR="006A4FCD">
              <w:rPr>
                <w:rFonts w:ascii="Arial Narrow" w:hAnsi="Arial Narrow"/>
                <w:sz w:val="20"/>
                <w:szCs w:val="20"/>
              </w:rPr>
              <w:t xml:space="preserve"> </w:t>
            </w:r>
            <w:r>
              <w:rPr>
                <w:rFonts w:ascii="Arial Narrow" w:hAnsi="Arial Narrow"/>
                <w:sz w:val="20"/>
                <w:szCs w:val="20"/>
              </w:rPr>
              <w:t>CI) vs PBO+ADT</w:t>
            </w:r>
          </w:p>
        </w:tc>
        <w:tc>
          <w:tcPr>
            <w:tcW w:w="2156" w:type="dxa"/>
            <w:vAlign w:val="center"/>
          </w:tcPr>
          <w:p w14:paraId="4A8F08B4" w14:textId="77777777" w:rsidR="00EF5A12" w:rsidRPr="00DC5DC4" w:rsidRDefault="00EF5A12" w:rsidP="003315FD">
            <w:pPr>
              <w:keepNext/>
              <w:jc w:val="center"/>
              <w:rPr>
                <w:rFonts w:ascii="Arial Narrow" w:hAnsi="Arial Narrow"/>
                <w:b/>
                <w:sz w:val="20"/>
                <w:szCs w:val="20"/>
              </w:rPr>
            </w:pPr>
            <w:r w:rsidRPr="00DC5DC4">
              <w:rPr>
                <w:rFonts w:ascii="Arial Narrow" w:hAnsi="Arial Narrow"/>
                <w:b/>
                <w:sz w:val="20"/>
                <w:szCs w:val="20"/>
              </w:rPr>
              <w:t>0.55 (0.43, 0.70)</w:t>
            </w:r>
          </w:p>
        </w:tc>
        <w:tc>
          <w:tcPr>
            <w:tcW w:w="2157" w:type="dxa"/>
            <w:vAlign w:val="center"/>
          </w:tcPr>
          <w:p w14:paraId="6C4DC68B" w14:textId="77777777" w:rsidR="00EF5A12" w:rsidRPr="00DC5DC4" w:rsidRDefault="00EF5A12" w:rsidP="003315FD">
            <w:pPr>
              <w:keepNext/>
              <w:jc w:val="center"/>
              <w:rPr>
                <w:rFonts w:ascii="Arial Narrow" w:hAnsi="Arial Narrow"/>
                <w:b/>
                <w:sz w:val="20"/>
                <w:szCs w:val="20"/>
              </w:rPr>
            </w:pPr>
            <w:r w:rsidRPr="00DC5DC4">
              <w:rPr>
                <w:rFonts w:ascii="Arial Narrow" w:hAnsi="Arial Narrow"/>
                <w:b/>
                <w:sz w:val="20"/>
                <w:szCs w:val="20"/>
              </w:rPr>
              <w:t>0.62 (0.49, 0.79)</w:t>
            </w:r>
          </w:p>
        </w:tc>
        <w:tc>
          <w:tcPr>
            <w:tcW w:w="2157" w:type="dxa"/>
            <w:vAlign w:val="center"/>
          </w:tcPr>
          <w:p w14:paraId="7EC6A493" w14:textId="77777777" w:rsidR="00EF5A12" w:rsidRPr="000C3351" w:rsidRDefault="00EF5A12" w:rsidP="003315FD">
            <w:pPr>
              <w:keepNext/>
              <w:jc w:val="center"/>
              <w:rPr>
                <w:rFonts w:ascii="Arial Narrow" w:hAnsi="Arial Narrow"/>
                <w:sz w:val="20"/>
                <w:szCs w:val="20"/>
              </w:rPr>
            </w:pPr>
            <w:r>
              <w:rPr>
                <w:rFonts w:ascii="Arial Narrow" w:hAnsi="Arial Narrow"/>
                <w:sz w:val="20"/>
                <w:szCs w:val="20"/>
              </w:rPr>
              <w:t>-</w:t>
            </w:r>
          </w:p>
        </w:tc>
      </w:tr>
      <w:tr w:rsidR="004D2A36" w:rsidRPr="00165BCC" w14:paraId="5EDDD7E8" w14:textId="77777777" w:rsidTr="004D2A36">
        <w:tc>
          <w:tcPr>
            <w:tcW w:w="9017" w:type="dxa"/>
            <w:gridSpan w:val="4"/>
            <w:vAlign w:val="center"/>
          </w:tcPr>
          <w:p w14:paraId="545BBFE7" w14:textId="28B6FE47" w:rsidR="004D2A36" w:rsidRPr="000C3351" w:rsidRDefault="004D2A36" w:rsidP="003315FD">
            <w:pPr>
              <w:keepNext/>
              <w:jc w:val="left"/>
              <w:rPr>
                <w:rFonts w:ascii="Arial Narrow" w:hAnsi="Arial Narrow"/>
                <w:sz w:val="20"/>
                <w:szCs w:val="20"/>
              </w:rPr>
            </w:pPr>
            <w:r>
              <w:rPr>
                <w:rFonts w:ascii="Arial Narrow" w:hAnsi="Arial Narrow"/>
                <w:b/>
                <w:sz w:val="20"/>
                <w:szCs w:val="20"/>
              </w:rPr>
              <w:t>Symptomatic skeletal event</w:t>
            </w:r>
          </w:p>
        </w:tc>
      </w:tr>
      <w:tr w:rsidR="00EF5A12" w:rsidRPr="00165BCC" w14:paraId="3E5A6E34" w14:textId="77777777" w:rsidTr="003A3EB9">
        <w:tc>
          <w:tcPr>
            <w:tcW w:w="2547" w:type="dxa"/>
          </w:tcPr>
          <w:p w14:paraId="7FB0DB0F" w14:textId="0F69CE60" w:rsidR="00EF5A12" w:rsidRDefault="00EF5A12" w:rsidP="003315FD">
            <w:pPr>
              <w:keepNext/>
              <w:rPr>
                <w:rFonts w:ascii="Arial Narrow" w:hAnsi="Arial Narrow"/>
                <w:sz w:val="20"/>
                <w:szCs w:val="20"/>
              </w:rPr>
            </w:pPr>
            <w:r>
              <w:rPr>
                <w:rFonts w:ascii="Arial Narrow" w:hAnsi="Arial Narrow"/>
                <w:sz w:val="20"/>
                <w:szCs w:val="20"/>
              </w:rPr>
              <w:t>Events, n</w:t>
            </w:r>
            <w:r w:rsidR="006A4FCD">
              <w:rPr>
                <w:rFonts w:ascii="Arial Narrow" w:hAnsi="Arial Narrow"/>
                <w:sz w:val="20"/>
                <w:szCs w:val="20"/>
              </w:rPr>
              <w:t xml:space="preserve"> </w:t>
            </w:r>
            <w:r>
              <w:rPr>
                <w:rFonts w:ascii="Arial Narrow" w:hAnsi="Arial Narrow"/>
                <w:sz w:val="20"/>
                <w:szCs w:val="20"/>
              </w:rPr>
              <w:t>(%)</w:t>
            </w:r>
            <w:r w:rsidRPr="00DC5DC4">
              <w:rPr>
                <w:rFonts w:ascii="Arial Narrow" w:hAnsi="Arial Narrow"/>
                <w:sz w:val="20"/>
                <w:szCs w:val="20"/>
                <w:vertAlign w:val="superscript"/>
              </w:rPr>
              <w:t>b</w:t>
            </w:r>
          </w:p>
        </w:tc>
        <w:tc>
          <w:tcPr>
            <w:tcW w:w="2156" w:type="dxa"/>
            <w:vAlign w:val="center"/>
          </w:tcPr>
          <w:p w14:paraId="3ED0D159"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9 (2.5)</w:t>
            </w:r>
          </w:p>
        </w:tc>
        <w:tc>
          <w:tcPr>
            <w:tcW w:w="2157" w:type="dxa"/>
            <w:vAlign w:val="center"/>
          </w:tcPr>
          <w:p w14:paraId="6BFC29C2"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14 (3.9)</w:t>
            </w:r>
          </w:p>
        </w:tc>
        <w:tc>
          <w:tcPr>
            <w:tcW w:w="2157" w:type="dxa"/>
            <w:vAlign w:val="center"/>
          </w:tcPr>
          <w:p w14:paraId="43DADCEE"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32 (8.9)</w:t>
            </w:r>
          </w:p>
        </w:tc>
      </w:tr>
      <w:tr w:rsidR="00EF5A12" w:rsidRPr="00165BCC" w14:paraId="77B526E8" w14:textId="77777777" w:rsidTr="003A3EB9">
        <w:tc>
          <w:tcPr>
            <w:tcW w:w="2547" w:type="dxa"/>
          </w:tcPr>
          <w:p w14:paraId="2E428F44" w14:textId="691EE95A" w:rsidR="00EF5A12" w:rsidRDefault="00EF5A12" w:rsidP="003315FD">
            <w:pPr>
              <w:keepNext/>
              <w:rPr>
                <w:rFonts w:ascii="Arial Narrow" w:hAnsi="Arial Narrow"/>
                <w:sz w:val="20"/>
                <w:szCs w:val="20"/>
              </w:rPr>
            </w:pPr>
            <w:r>
              <w:rPr>
                <w:rFonts w:ascii="Arial Narrow" w:hAnsi="Arial Narrow"/>
                <w:sz w:val="20"/>
                <w:szCs w:val="20"/>
              </w:rPr>
              <w:t>Median (95%</w:t>
            </w:r>
            <w:r w:rsidR="006A4FCD">
              <w:rPr>
                <w:rFonts w:ascii="Arial Narrow" w:hAnsi="Arial Narrow"/>
                <w:sz w:val="20"/>
                <w:szCs w:val="20"/>
              </w:rPr>
              <w:t xml:space="preserve"> </w:t>
            </w:r>
            <w:r>
              <w:rPr>
                <w:rFonts w:ascii="Arial Narrow" w:hAnsi="Arial Narrow"/>
                <w:sz w:val="20"/>
                <w:szCs w:val="20"/>
              </w:rPr>
              <w:t>CI), months</w:t>
            </w:r>
          </w:p>
        </w:tc>
        <w:tc>
          <w:tcPr>
            <w:tcW w:w="2156" w:type="dxa"/>
            <w:vAlign w:val="center"/>
          </w:tcPr>
          <w:p w14:paraId="4A7EFD64"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NR (NR, NR)</w:t>
            </w:r>
          </w:p>
        </w:tc>
        <w:tc>
          <w:tcPr>
            <w:tcW w:w="2157" w:type="dxa"/>
            <w:vAlign w:val="center"/>
          </w:tcPr>
          <w:p w14:paraId="04CBCF6E"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NR (NR, NR)</w:t>
            </w:r>
          </w:p>
        </w:tc>
        <w:tc>
          <w:tcPr>
            <w:tcW w:w="2157" w:type="dxa"/>
            <w:vAlign w:val="center"/>
          </w:tcPr>
          <w:p w14:paraId="19E16A3B" w14:textId="77777777" w:rsidR="00EF5A12" w:rsidRPr="000C3351" w:rsidRDefault="00EF5A12" w:rsidP="003315FD">
            <w:pPr>
              <w:keepNext/>
              <w:jc w:val="center"/>
              <w:rPr>
                <w:rFonts w:ascii="Arial Narrow" w:hAnsi="Arial Narrow"/>
                <w:sz w:val="20"/>
                <w:szCs w:val="20"/>
              </w:rPr>
            </w:pPr>
            <w:r w:rsidRPr="00DC5DC4">
              <w:rPr>
                <w:rFonts w:ascii="Arial Narrow" w:hAnsi="Arial Narrow"/>
                <w:sz w:val="20"/>
                <w:szCs w:val="20"/>
              </w:rPr>
              <w:t>NR (NR, NR)</w:t>
            </w:r>
          </w:p>
        </w:tc>
      </w:tr>
      <w:tr w:rsidR="00EF5A12" w:rsidRPr="00165BCC" w14:paraId="29016F57" w14:textId="77777777" w:rsidTr="003A3EB9">
        <w:tc>
          <w:tcPr>
            <w:tcW w:w="2547" w:type="dxa"/>
          </w:tcPr>
          <w:p w14:paraId="7BA28B70" w14:textId="61EB0F8A" w:rsidR="00EF5A12" w:rsidRDefault="00EF5A12" w:rsidP="003315FD">
            <w:pPr>
              <w:keepNext/>
              <w:rPr>
                <w:rFonts w:ascii="Arial Narrow" w:hAnsi="Arial Narrow"/>
                <w:sz w:val="20"/>
                <w:szCs w:val="20"/>
              </w:rPr>
            </w:pPr>
            <w:r>
              <w:rPr>
                <w:rFonts w:ascii="Arial Narrow" w:hAnsi="Arial Narrow"/>
                <w:sz w:val="20"/>
                <w:szCs w:val="20"/>
              </w:rPr>
              <w:t>HR (95%</w:t>
            </w:r>
            <w:r w:rsidR="006A4FCD">
              <w:rPr>
                <w:rFonts w:ascii="Arial Narrow" w:hAnsi="Arial Narrow"/>
                <w:sz w:val="20"/>
                <w:szCs w:val="20"/>
              </w:rPr>
              <w:t xml:space="preserve"> </w:t>
            </w:r>
            <w:r>
              <w:rPr>
                <w:rFonts w:ascii="Arial Narrow" w:hAnsi="Arial Narrow"/>
                <w:sz w:val="20"/>
                <w:szCs w:val="20"/>
              </w:rPr>
              <w:t>CI) vs PBO+ADT</w:t>
            </w:r>
          </w:p>
        </w:tc>
        <w:tc>
          <w:tcPr>
            <w:tcW w:w="2156" w:type="dxa"/>
            <w:vAlign w:val="center"/>
          </w:tcPr>
          <w:p w14:paraId="25CC3CF4" w14:textId="77777777" w:rsidR="00EF5A12" w:rsidRPr="00B12877" w:rsidRDefault="00EF5A12" w:rsidP="003315FD">
            <w:pPr>
              <w:keepNext/>
              <w:jc w:val="center"/>
              <w:rPr>
                <w:rFonts w:ascii="Arial Narrow" w:hAnsi="Arial Narrow"/>
                <w:b/>
                <w:sz w:val="20"/>
                <w:szCs w:val="20"/>
              </w:rPr>
            </w:pPr>
            <w:r w:rsidRPr="00B12877">
              <w:rPr>
                <w:rFonts w:ascii="Arial Narrow" w:hAnsi="Arial Narrow"/>
                <w:b/>
                <w:sz w:val="20"/>
                <w:szCs w:val="20"/>
              </w:rPr>
              <w:t>0.26 (0.13, 0.55)</w:t>
            </w:r>
          </w:p>
        </w:tc>
        <w:tc>
          <w:tcPr>
            <w:tcW w:w="2157" w:type="dxa"/>
            <w:vAlign w:val="center"/>
          </w:tcPr>
          <w:p w14:paraId="274B1A75" w14:textId="77777777" w:rsidR="00EF5A12" w:rsidRPr="00B12877" w:rsidRDefault="00EF5A12" w:rsidP="003315FD">
            <w:pPr>
              <w:keepNext/>
              <w:jc w:val="center"/>
              <w:rPr>
                <w:rFonts w:ascii="Arial Narrow" w:hAnsi="Arial Narrow"/>
                <w:b/>
                <w:sz w:val="20"/>
                <w:szCs w:val="20"/>
              </w:rPr>
            </w:pPr>
            <w:r w:rsidRPr="00B12877">
              <w:rPr>
                <w:rFonts w:ascii="Arial Narrow" w:hAnsi="Arial Narrow"/>
                <w:b/>
                <w:sz w:val="20"/>
                <w:szCs w:val="20"/>
              </w:rPr>
              <w:t>0.42 (0.23, 0.79)</w:t>
            </w:r>
          </w:p>
        </w:tc>
        <w:tc>
          <w:tcPr>
            <w:tcW w:w="2157" w:type="dxa"/>
            <w:vAlign w:val="center"/>
          </w:tcPr>
          <w:p w14:paraId="0742CEBA" w14:textId="77777777" w:rsidR="00EF5A12" w:rsidRPr="000C3351" w:rsidRDefault="00EF5A12" w:rsidP="003315FD">
            <w:pPr>
              <w:keepNext/>
              <w:jc w:val="center"/>
              <w:rPr>
                <w:rFonts w:ascii="Arial Narrow" w:hAnsi="Arial Narrow"/>
                <w:sz w:val="20"/>
                <w:szCs w:val="20"/>
              </w:rPr>
            </w:pPr>
            <w:r>
              <w:rPr>
                <w:rFonts w:ascii="Arial Narrow" w:hAnsi="Arial Narrow"/>
                <w:sz w:val="20"/>
                <w:szCs w:val="20"/>
              </w:rPr>
              <w:t>-</w:t>
            </w:r>
          </w:p>
        </w:tc>
      </w:tr>
      <w:tr w:rsidR="004D2A36" w:rsidRPr="00165BCC" w14:paraId="1084F955" w14:textId="77777777" w:rsidTr="004D2A36">
        <w:trPr>
          <w:trHeight w:val="60"/>
        </w:trPr>
        <w:tc>
          <w:tcPr>
            <w:tcW w:w="9017" w:type="dxa"/>
            <w:gridSpan w:val="4"/>
            <w:vAlign w:val="center"/>
          </w:tcPr>
          <w:p w14:paraId="2005907E" w14:textId="5A54E5B9" w:rsidR="004D2A36" w:rsidRPr="000C3351" w:rsidRDefault="004D2A36" w:rsidP="003315FD">
            <w:pPr>
              <w:keepNext/>
              <w:jc w:val="left"/>
              <w:rPr>
                <w:rFonts w:ascii="Arial Narrow" w:hAnsi="Arial Narrow"/>
                <w:sz w:val="20"/>
                <w:szCs w:val="20"/>
              </w:rPr>
            </w:pPr>
            <w:r w:rsidRPr="009D71CD">
              <w:rPr>
                <w:rFonts w:ascii="Arial Narrow" w:hAnsi="Arial Narrow"/>
                <w:b/>
                <w:sz w:val="20"/>
                <w:szCs w:val="20"/>
              </w:rPr>
              <w:t>PFS2</w:t>
            </w:r>
            <w:r w:rsidRPr="00DC5DC4">
              <w:rPr>
                <w:rFonts w:ascii="Arial Narrow" w:hAnsi="Arial Narrow"/>
                <w:b/>
                <w:sz w:val="20"/>
                <w:szCs w:val="20"/>
                <w:vertAlign w:val="superscript"/>
              </w:rPr>
              <w:t>c</w:t>
            </w:r>
          </w:p>
        </w:tc>
      </w:tr>
      <w:tr w:rsidR="00EF5A12" w:rsidRPr="00165BCC" w14:paraId="1D4D3C2F" w14:textId="77777777" w:rsidTr="003A3EB9">
        <w:tc>
          <w:tcPr>
            <w:tcW w:w="2547" w:type="dxa"/>
          </w:tcPr>
          <w:p w14:paraId="585DF743" w14:textId="11C005EA" w:rsidR="00EF5A12" w:rsidRDefault="00EF5A12" w:rsidP="003315FD">
            <w:pPr>
              <w:keepNext/>
              <w:rPr>
                <w:rFonts w:ascii="Arial Narrow" w:hAnsi="Arial Narrow"/>
                <w:sz w:val="20"/>
                <w:szCs w:val="20"/>
              </w:rPr>
            </w:pPr>
            <w:r>
              <w:rPr>
                <w:rFonts w:ascii="Arial Narrow" w:hAnsi="Arial Narrow"/>
                <w:sz w:val="20"/>
                <w:szCs w:val="20"/>
              </w:rPr>
              <w:t>Events, n</w:t>
            </w:r>
            <w:r w:rsidR="006A4FCD">
              <w:rPr>
                <w:rFonts w:ascii="Arial Narrow" w:hAnsi="Arial Narrow"/>
                <w:sz w:val="20"/>
                <w:szCs w:val="20"/>
              </w:rPr>
              <w:t xml:space="preserve"> </w:t>
            </w:r>
            <w:r>
              <w:rPr>
                <w:rFonts w:ascii="Arial Narrow" w:hAnsi="Arial Narrow"/>
                <w:sz w:val="20"/>
                <w:szCs w:val="20"/>
              </w:rPr>
              <w:t>(%)</w:t>
            </w:r>
          </w:p>
        </w:tc>
        <w:tc>
          <w:tcPr>
            <w:tcW w:w="2156" w:type="dxa"/>
            <w:vAlign w:val="center"/>
          </w:tcPr>
          <w:p w14:paraId="27E3A6D3" w14:textId="77777777" w:rsidR="00EF5A12" w:rsidRPr="000C3351" w:rsidRDefault="00EF5A12" w:rsidP="003315FD">
            <w:pPr>
              <w:keepNext/>
              <w:jc w:val="center"/>
              <w:rPr>
                <w:rFonts w:ascii="Arial Narrow" w:hAnsi="Arial Narrow"/>
                <w:sz w:val="20"/>
                <w:szCs w:val="20"/>
              </w:rPr>
            </w:pPr>
            <w:r w:rsidRPr="00FB70FE">
              <w:rPr>
                <w:rFonts w:ascii="Arial Narrow" w:hAnsi="Arial Narrow"/>
                <w:sz w:val="20"/>
                <w:szCs w:val="20"/>
              </w:rPr>
              <w:t>36 (10.1)</w:t>
            </w:r>
          </w:p>
        </w:tc>
        <w:tc>
          <w:tcPr>
            <w:tcW w:w="2157" w:type="dxa"/>
            <w:vAlign w:val="center"/>
          </w:tcPr>
          <w:p w14:paraId="6383AC31" w14:textId="77777777" w:rsidR="00EF5A12" w:rsidRPr="000C3351" w:rsidRDefault="00EF5A12" w:rsidP="003315FD">
            <w:pPr>
              <w:keepNext/>
              <w:jc w:val="center"/>
              <w:rPr>
                <w:rFonts w:ascii="Arial Narrow" w:hAnsi="Arial Narrow"/>
                <w:sz w:val="20"/>
                <w:szCs w:val="20"/>
              </w:rPr>
            </w:pPr>
            <w:r w:rsidRPr="00FB70FE">
              <w:rPr>
                <w:rFonts w:ascii="Arial Narrow" w:hAnsi="Arial Narrow"/>
                <w:sz w:val="20"/>
                <w:szCs w:val="20"/>
              </w:rPr>
              <w:t>48 (13.5)</w:t>
            </w:r>
          </w:p>
        </w:tc>
        <w:tc>
          <w:tcPr>
            <w:tcW w:w="2157" w:type="dxa"/>
            <w:vAlign w:val="center"/>
          </w:tcPr>
          <w:p w14:paraId="4D71AED7" w14:textId="77777777" w:rsidR="00EF5A12" w:rsidRPr="000C3351" w:rsidRDefault="00EF5A12" w:rsidP="003315FD">
            <w:pPr>
              <w:keepNext/>
              <w:jc w:val="center"/>
              <w:rPr>
                <w:rFonts w:ascii="Arial Narrow" w:hAnsi="Arial Narrow"/>
                <w:sz w:val="20"/>
                <w:szCs w:val="20"/>
              </w:rPr>
            </w:pPr>
            <w:r w:rsidRPr="00FB70FE">
              <w:rPr>
                <w:rFonts w:ascii="Arial Narrow" w:hAnsi="Arial Narrow"/>
                <w:sz w:val="20"/>
                <w:szCs w:val="20"/>
              </w:rPr>
              <w:t>63 (17.6)</w:t>
            </w:r>
          </w:p>
        </w:tc>
      </w:tr>
      <w:tr w:rsidR="00EF5A12" w:rsidRPr="00165BCC" w14:paraId="30823FBC" w14:textId="77777777" w:rsidTr="003A3EB9">
        <w:tc>
          <w:tcPr>
            <w:tcW w:w="2547" w:type="dxa"/>
          </w:tcPr>
          <w:p w14:paraId="370A94E4" w14:textId="0EAFA140" w:rsidR="00EF5A12" w:rsidRDefault="00EF5A12" w:rsidP="003315FD">
            <w:pPr>
              <w:keepNext/>
              <w:rPr>
                <w:rFonts w:ascii="Arial Narrow" w:hAnsi="Arial Narrow"/>
                <w:sz w:val="20"/>
                <w:szCs w:val="20"/>
              </w:rPr>
            </w:pPr>
            <w:r>
              <w:rPr>
                <w:rFonts w:ascii="Arial Narrow" w:hAnsi="Arial Narrow"/>
                <w:sz w:val="20"/>
                <w:szCs w:val="20"/>
              </w:rPr>
              <w:t>Median (95%</w:t>
            </w:r>
            <w:r w:rsidR="006A4FCD">
              <w:rPr>
                <w:rFonts w:ascii="Arial Narrow" w:hAnsi="Arial Narrow"/>
                <w:sz w:val="20"/>
                <w:szCs w:val="20"/>
              </w:rPr>
              <w:t xml:space="preserve"> </w:t>
            </w:r>
            <w:r>
              <w:rPr>
                <w:rFonts w:ascii="Arial Narrow" w:hAnsi="Arial Narrow"/>
                <w:sz w:val="20"/>
                <w:szCs w:val="20"/>
              </w:rPr>
              <w:t>CI), months</w:t>
            </w:r>
          </w:p>
        </w:tc>
        <w:tc>
          <w:tcPr>
            <w:tcW w:w="2156" w:type="dxa"/>
            <w:vAlign w:val="center"/>
          </w:tcPr>
          <w:p w14:paraId="2BFEC30D" w14:textId="77777777" w:rsidR="00EF5A12" w:rsidRPr="000C3351" w:rsidRDefault="00EF5A12" w:rsidP="003315FD">
            <w:pPr>
              <w:keepNext/>
              <w:jc w:val="center"/>
              <w:rPr>
                <w:rFonts w:ascii="Arial Narrow" w:hAnsi="Arial Narrow"/>
                <w:sz w:val="20"/>
                <w:szCs w:val="20"/>
              </w:rPr>
            </w:pPr>
            <w:r w:rsidRPr="00FB70FE">
              <w:rPr>
                <w:rFonts w:ascii="Arial Narrow" w:hAnsi="Arial Narrow"/>
                <w:sz w:val="20"/>
                <w:szCs w:val="20"/>
              </w:rPr>
              <w:t>NR (NR, NR)</w:t>
            </w:r>
          </w:p>
        </w:tc>
        <w:tc>
          <w:tcPr>
            <w:tcW w:w="2157" w:type="dxa"/>
            <w:vAlign w:val="center"/>
          </w:tcPr>
          <w:p w14:paraId="678D837E" w14:textId="77777777" w:rsidR="00EF5A12" w:rsidRPr="000C3351" w:rsidRDefault="00EF5A12" w:rsidP="003315FD">
            <w:pPr>
              <w:keepNext/>
              <w:jc w:val="center"/>
              <w:rPr>
                <w:rFonts w:ascii="Arial Narrow" w:hAnsi="Arial Narrow"/>
                <w:sz w:val="20"/>
                <w:szCs w:val="20"/>
              </w:rPr>
            </w:pPr>
            <w:r w:rsidRPr="00FB70FE">
              <w:rPr>
                <w:rFonts w:ascii="Arial Narrow" w:hAnsi="Arial Narrow"/>
                <w:sz w:val="20"/>
                <w:szCs w:val="20"/>
              </w:rPr>
              <w:t>NR (NR, NR)</w:t>
            </w:r>
          </w:p>
        </w:tc>
        <w:tc>
          <w:tcPr>
            <w:tcW w:w="2157" w:type="dxa"/>
            <w:vAlign w:val="center"/>
          </w:tcPr>
          <w:p w14:paraId="3AFA5456" w14:textId="77777777" w:rsidR="00EF5A12" w:rsidRPr="000C3351" w:rsidRDefault="00EF5A12" w:rsidP="003315FD">
            <w:pPr>
              <w:keepNext/>
              <w:jc w:val="center"/>
              <w:rPr>
                <w:rFonts w:ascii="Arial Narrow" w:hAnsi="Arial Narrow"/>
                <w:sz w:val="20"/>
                <w:szCs w:val="20"/>
              </w:rPr>
            </w:pPr>
            <w:r w:rsidRPr="00FB70FE">
              <w:rPr>
                <w:rFonts w:ascii="Arial Narrow" w:hAnsi="Arial Narrow"/>
                <w:sz w:val="20"/>
                <w:szCs w:val="20"/>
              </w:rPr>
              <w:t>NR (NR, NR)</w:t>
            </w:r>
          </w:p>
        </w:tc>
      </w:tr>
      <w:tr w:rsidR="00EF5A12" w:rsidRPr="00165BCC" w14:paraId="67D2ED34" w14:textId="77777777" w:rsidTr="003A3EB9">
        <w:tc>
          <w:tcPr>
            <w:tcW w:w="2547" w:type="dxa"/>
          </w:tcPr>
          <w:p w14:paraId="0FD3D6A2" w14:textId="02C9D36B" w:rsidR="00EF5A12" w:rsidRDefault="00EF5A12" w:rsidP="003315FD">
            <w:pPr>
              <w:keepNext/>
              <w:rPr>
                <w:rFonts w:ascii="Arial Narrow" w:hAnsi="Arial Narrow"/>
                <w:sz w:val="20"/>
                <w:szCs w:val="20"/>
              </w:rPr>
            </w:pPr>
            <w:r>
              <w:rPr>
                <w:rFonts w:ascii="Arial Narrow" w:hAnsi="Arial Narrow"/>
                <w:sz w:val="20"/>
                <w:szCs w:val="20"/>
              </w:rPr>
              <w:t>HR (95%</w:t>
            </w:r>
            <w:r w:rsidR="006A4FCD">
              <w:rPr>
                <w:rFonts w:ascii="Arial Narrow" w:hAnsi="Arial Narrow"/>
                <w:sz w:val="20"/>
                <w:szCs w:val="20"/>
              </w:rPr>
              <w:t xml:space="preserve"> </w:t>
            </w:r>
            <w:r>
              <w:rPr>
                <w:rFonts w:ascii="Arial Narrow" w:hAnsi="Arial Narrow"/>
                <w:sz w:val="20"/>
                <w:szCs w:val="20"/>
              </w:rPr>
              <w:t>CI) vs PBO+ADT</w:t>
            </w:r>
          </w:p>
        </w:tc>
        <w:tc>
          <w:tcPr>
            <w:tcW w:w="2156" w:type="dxa"/>
            <w:vAlign w:val="center"/>
          </w:tcPr>
          <w:p w14:paraId="4CDDB554" w14:textId="77777777" w:rsidR="00EF5A12" w:rsidRPr="00FB70FE" w:rsidRDefault="00EF5A12" w:rsidP="003315FD">
            <w:pPr>
              <w:keepNext/>
              <w:jc w:val="center"/>
              <w:rPr>
                <w:rFonts w:ascii="Arial Narrow" w:hAnsi="Arial Narrow"/>
                <w:b/>
                <w:sz w:val="20"/>
                <w:szCs w:val="20"/>
              </w:rPr>
            </w:pPr>
            <w:r w:rsidRPr="00FB70FE">
              <w:rPr>
                <w:rFonts w:ascii="Arial Narrow" w:hAnsi="Arial Narrow"/>
                <w:b/>
                <w:sz w:val="20"/>
                <w:szCs w:val="20"/>
              </w:rPr>
              <w:t>0.52 (0.35, 0.79)</w:t>
            </w:r>
          </w:p>
        </w:tc>
        <w:tc>
          <w:tcPr>
            <w:tcW w:w="2157" w:type="dxa"/>
            <w:vAlign w:val="center"/>
          </w:tcPr>
          <w:p w14:paraId="7082455C" w14:textId="77777777" w:rsidR="00EF5A12" w:rsidRPr="000C3351" w:rsidRDefault="00EF5A12" w:rsidP="003315FD">
            <w:pPr>
              <w:keepNext/>
              <w:jc w:val="center"/>
              <w:rPr>
                <w:rFonts w:ascii="Arial Narrow" w:hAnsi="Arial Narrow"/>
                <w:sz w:val="20"/>
                <w:szCs w:val="20"/>
              </w:rPr>
            </w:pPr>
            <w:r w:rsidRPr="00FB70FE">
              <w:rPr>
                <w:rFonts w:ascii="Arial Narrow" w:hAnsi="Arial Narrow"/>
                <w:sz w:val="20"/>
                <w:szCs w:val="20"/>
              </w:rPr>
              <w:t>0.74 (0.51, 1.08)</w:t>
            </w:r>
          </w:p>
        </w:tc>
        <w:tc>
          <w:tcPr>
            <w:tcW w:w="2157" w:type="dxa"/>
            <w:vAlign w:val="center"/>
          </w:tcPr>
          <w:p w14:paraId="50ABBF33" w14:textId="77777777" w:rsidR="00EF5A12" w:rsidRPr="000C3351" w:rsidRDefault="00EF5A12" w:rsidP="003315FD">
            <w:pPr>
              <w:keepNext/>
              <w:jc w:val="center"/>
              <w:rPr>
                <w:rFonts w:ascii="Arial Narrow" w:hAnsi="Arial Narrow"/>
                <w:sz w:val="20"/>
                <w:szCs w:val="20"/>
              </w:rPr>
            </w:pPr>
            <w:r>
              <w:rPr>
                <w:rFonts w:ascii="Arial Narrow" w:hAnsi="Arial Narrow"/>
                <w:sz w:val="20"/>
                <w:szCs w:val="20"/>
              </w:rPr>
              <w:t>-</w:t>
            </w:r>
          </w:p>
        </w:tc>
      </w:tr>
    </w:tbl>
    <w:p w14:paraId="21E2D064" w14:textId="77777777" w:rsidR="00EF5A12" w:rsidRDefault="00EF5A12" w:rsidP="003315FD">
      <w:pPr>
        <w:keepNext/>
        <w:tabs>
          <w:tab w:val="left" w:pos="142"/>
        </w:tabs>
        <w:rPr>
          <w:rFonts w:ascii="Arial Narrow" w:hAnsi="Arial Narrow"/>
          <w:sz w:val="18"/>
          <w:szCs w:val="18"/>
        </w:rPr>
      </w:pPr>
      <w:r>
        <w:rPr>
          <w:rFonts w:ascii="Arial Narrow" w:hAnsi="Arial Narrow"/>
          <w:sz w:val="18"/>
          <w:szCs w:val="18"/>
        </w:rPr>
        <w:t>Source: Table 2-13, p65, Table 2-14, p67, Table 2-16, p73, Tables 2-21 and 2-22, pp80-81, Table 2-23, p83, Table 2-24, p86 of the submission.</w:t>
      </w:r>
    </w:p>
    <w:p w14:paraId="15614068" w14:textId="13C06812" w:rsidR="00EF5A12" w:rsidRDefault="00EF5A12" w:rsidP="003315FD">
      <w:pPr>
        <w:keepNext/>
        <w:tabs>
          <w:tab w:val="left" w:pos="142"/>
        </w:tabs>
        <w:rPr>
          <w:rFonts w:ascii="Arial Narrow" w:hAnsi="Arial Narrow"/>
          <w:sz w:val="18"/>
          <w:szCs w:val="18"/>
        </w:rPr>
      </w:pPr>
      <w:r>
        <w:rPr>
          <w:rFonts w:ascii="Arial Narrow" w:hAnsi="Arial Narrow"/>
          <w:sz w:val="18"/>
          <w:szCs w:val="18"/>
        </w:rPr>
        <w:t xml:space="preserve">ADT=androgen deprivation therapy; </w:t>
      </w:r>
      <w:r w:rsidRPr="009D71CD">
        <w:rPr>
          <w:rFonts w:ascii="Arial Narrow" w:hAnsi="Arial Narrow"/>
          <w:sz w:val="18"/>
          <w:szCs w:val="18"/>
        </w:rPr>
        <w:t xml:space="preserve">CI=confidence intervals; </w:t>
      </w:r>
      <w:r>
        <w:rPr>
          <w:rFonts w:ascii="Arial Narrow" w:hAnsi="Arial Narrow"/>
          <w:sz w:val="18"/>
          <w:szCs w:val="18"/>
        </w:rPr>
        <w:t xml:space="preserve">ENZA=enzalutamide; </w:t>
      </w:r>
      <w:r w:rsidRPr="009D71CD">
        <w:rPr>
          <w:rFonts w:ascii="Arial Narrow" w:hAnsi="Arial Narrow"/>
          <w:sz w:val="18"/>
          <w:szCs w:val="18"/>
        </w:rPr>
        <w:t xml:space="preserve">HR=hazard ratio; </w:t>
      </w:r>
      <w:r>
        <w:rPr>
          <w:rFonts w:ascii="Arial Narrow" w:hAnsi="Arial Narrow"/>
          <w:sz w:val="18"/>
          <w:szCs w:val="18"/>
        </w:rPr>
        <w:t>ITT=intention-to-treat; NR=not reached; OS=overall survival; PBO=placebo; PFS2=p</w:t>
      </w:r>
      <w:r w:rsidRPr="009D71CD">
        <w:rPr>
          <w:rFonts w:ascii="Arial Narrow" w:hAnsi="Arial Narrow"/>
          <w:sz w:val="18"/>
          <w:szCs w:val="18"/>
        </w:rPr>
        <w:t>rogression-</w:t>
      </w:r>
      <w:r>
        <w:rPr>
          <w:rFonts w:ascii="Arial Narrow" w:hAnsi="Arial Narrow"/>
          <w:sz w:val="18"/>
          <w:szCs w:val="18"/>
        </w:rPr>
        <w:t>f</w:t>
      </w:r>
      <w:r w:rsidRPr="009D71CD">
        <w:rPr>
          <w:rFonts w:ascii="Arial Narrow" w:hAnsi="Arial Narrow"/>
          <w:sz w:val="18"/>
          <w:szCs w:val="18"/>
        </w:rPr>
        <w:t xml:space="preserve">ree </w:t>
      </w:r>
      <w:r>
        <w:rPr>
          <w:rFonts w:ascii="Arial Narrow" w:hAnsi="Arial Narrow"/>
          <w:sz w:val="18"/>
          <w:szCs w:val="18"/>
        </w:rPr>
        <w:t>s</w:t>
      </w:r>
      <w:r w:rsidRPr="009D71CD">
        <w:rPr>
          <w:rFonts w:ascii="Arial Narrow" w:hAnsi="Arial Narrow"/>
          <w:sz w:val="18"/>
          <w:szCs w:val="18"/>
        </w:rPr>
        <w:t xml:space="preserve">urvival on </w:t>
      </w:r>
      <w:r>
        <w:rPr>
          <w:rFonts w:ascii="Arial Narrow" w:hAnsi="Arial Narrow"/>
          <w:sz w:val="18"/>
          <w:szCs w:val="18"/>
        </w:rPr>
        <w:t>f</w:t>
      </w:r>
      <w:r w:rsidRPr="009D71CD">
        <w:rPr>
          <w:rFonts w:ascii="Arial Narrow" w:hAnsi="Arial Narrow"/>
          <w:sz w:val="18"/>
          <w:szCs w:val="18"/>
        </w:rPr>
        <w:t xml:space="preserve">irst </w:t>
      </w:r>
      <w:r>
        <w:rPr>
          <w:rFonts w:ascii="Arial Narrow" w:hAnsi="Arial Narrow"/>
          <w:sz w:val="18"/>
          <w:szCs w:val="18"/>
        </w:rPr>
        <w:t>s</w:t>
      </w:r>
      <w:r w:rsidRPr="009D71CD">
        <w:rPr>
          <w:rFonts w:ascii="Arial Narrow" w:hAnsi="Arial Narrow"/>
          <w:sz w:val="18"/>
          <w:szCs w:val="18"/>
        </w:rPr>
        <w:t>ubsequent</w:t>
      </w:r>
      <w:r>
        <w:rPr>
          <w:rFonts w:ascii="Arial Narrow" w:hAnsi="Arial Narrow"/>
          <w:sz w:val="18"/>
          <w:szCs w:val="18"/>
        </w:rPr>
        <w:t xml:space="preserve"> t</w:t>
      </w:r>
      <w:r w:rsidRPr="009D71CD">
        <w:rPr>
          <w:rFonts w:ascii="Arial Narrow" w:hAnsi="Arial Narrow"/>
          <w:sz w:val="18"/>
          <w:szCs w:val="18"/>
        </w:rPr>
        <w:t>herapy</w:t>
      </w:r>
      <w:r>
        <w:rPr>
          <w:rFonts w:ascii="Arial Narrow" w:hAnsi="Arial Narrow"/>
          <w:sz w:val="18"/>
          <w:szCs w:val="18"/>
        </w:rPr>
        <w:t xml:space="preserve">; </w:t>
      </w:r>
      <w:r w:rsidRPr="009D71CD">
        <w:rPr>
          <w:rFonts w:ascii="Arial Narrow" w:hAnsi="Arial Narrow"/>
          <w:sz w:val="18"/>
          <w:szCs w:val="18"/>
        </w:rPr>
        <w:t>PSA=prostate specific antigen</w:t>
      </w:r>
    </w:p>
    <w:p w14:paraId="4EF09279" w14:textId="77777777" w:rsidR="00EF5A12" w:rsidRPr="00BF06FC" w:rsidRDefault="00EF5A12" w:rsidP="003315FD">
      <w:pPr>
        <w:keepNext/>
        <w:rPr>
          <w:rFonts w:ascii="Arial Narrow" w:hAnsi="Arial Narrow"/>
          <w:sz w:val="18"/>
          <w:szCs w:val="18"/>
        </w:rPr>
      </w:pPr>
      <w:r w:rsidRPr="00BF06FC">
        <w:rPr>
          <w:rFonts w:ascii="Arial Narrow" w:hAnsi="Arial Narrow"/>
          <w:b/>
          <w:sz w:val="18"/>
          <w:szCs w:val="18"/>
        </w:rPr>
        <w:t>Bold</w:t>
      </w:r>
      <w:r w:rsidRPr="00BF06FC">
        <w:rPr>
          <w:rFonts w:ascii="Arial Narrow" w:hAnsi="Arial Narrow"/>
          <w:sz w:val="18"/>
          <w:szCs w:val="18"/>
        </w:rPr>
        <w:t xml:space="preserve"> text indicates statistical significance </w:t>
      </w:r>
      <w:r w:rsidRPr="00FB70FE">
        <w:rPr>
          <w:rFonts w:ascii="Arial Narrow" w:hAnsi="Arial Narrow"/>
          <w:sz w:val="18"/>
          <w:szCs w:val="18"/>
        </w:rPr>
        <w:t>at p&lt;0.05 level.</w:t>
      </w:r>
    </w:p>
    <w:p w14:paraId="7E300ABD" w14:textId="77777777" w:rsidR="00EF5A12" w:rsidRDefault="00EF5A12" w:rsidP="003315FD">
      <w:pPr>
        <w:keepNext/>
        <w:tabs>
          <w:tab w:val="left" w:pos="142"/>
        </w:tabs>
        <w:ind w:left="140" w:hanging="140"/>
        <w:rPr>
          <w:rFonts w:ascii="Arial Narrow" w:hAnsi="Arial Narrow"/>
          <w:sz w:val="18"/>
          <w:szCs w:val="18"/>
        </w:rPr>
      </w:pPr>
      <w:r>
        <w:rPr>
          <w:rFonts w:ascii="Arial Narrow" w:hAnsi="Arial Narrow"/>
          <w:sz w:val="18"/>
          <w:szCs w:val="18"/>
        </w:rPr>
        <w:t>a</w:t>
      </w:r>
      <w:r>
        <w:rPr>
          <w:rFonts w:ascii="Arial Narrow" w:hAnsi="Arial Narrow"/>
          <w:sz w:val="18"/>
          <w:szCs w:val="18"/>
        </w:rPr>
        <w:tab/>
      </w:r>
      <w:r w:rsidRPr="00DC5DC4">
        <w:rPr>
          <w:rFonts w:ascii="Arial Narrow" w:hAnsi="Arial Narrow"/>
          <w:sz w:val="18"/>
          <w:szCs w:val="18"/>
        </w:rPr>
        <w:t>Based on the earliest contributing event (skeletal related event, new systemic antineoplastic therapy, opiate use, surgical intervention, or radiation therapy).</w:t>
      </w:r>
    </w:p>
    <w:p w14:paraId="1418EC40" w14:textId="77777777" w:rsidR="00EF5A12" w:rsidRDefault="00EF5A12" w:rsidP="003315FD">
      <w:pPr>
        <w:keepNext/>
        <w:tabs>
          <w:tab w:val="left" w:pos="142"/>
        </w:tabs>
        <w:ind w:left="140" w:hanging="140"/>
        <w:rPr>
          <w:rFonts w:ascii="Arial Narrow" w:hAnsi="Arial Narrow"/>
          <w:sz w:val="18"/>
          <w:szCs w:val="18"/>
        </w:rPr>
      </w:pPr>
      <w:r>
        <w:rPr>
          <w:rFonts w:ascii="Arial Narrow" w:hAnsi="Arial Narrow"/>
          <w:sz w:val="18"/>
          <w:szCs w:val="18"/>
        </w:rPr>
        <w:t>b</w:t>
      </w:r>
      <w:r>
        <w:rPr>
          <w:rFonts w:ascii="Arial Narrow" w:hAnsi="Arial Narrow"/>
          <w:sz w:val="18"/>
          <w:szCs w:val="18"/>
        </w:rPr>
        <w:tab/>
      </w:r>
      <w:r w:rsidRPr="00DC5DC4">
        <w:rPr>
          <w:rFonts w:ascii="Arial Narrow" w:hAnsi="Arial Narrow"/>
          <w:sz w:val="18"/>
          <w:szCs w:val="18"/>
        </w:rPr>
        <w:t xml:space="preserve">Based on first symptomatic skeletal event </w:t>
      </w:r>
      <w:r>
        <w:rPr>
          <w:rFonts w:ascii="Arial Narrow" w:hAnsi="Arial Narrow"/>
          <w:sz w:val="18"/>
          <w:szCs w:val="18"/>
        </w:rPr>
        <w:t>(radiation therapy to bone, surgery to bone, pathological bone fracture, spinal cord compression, initiation/change to antineoplastic therapy to treat bone pain, opiate use due to bone pain)</w:t>
      </w:r>
      <w:r w:rsidRPr="00DC5DC4">
        <w:rPr>
          <w:rFonts w:ascii="Arial Narrow" w:hAnsi="Arial Narrow"/>
          <w:sz w:val="18"/>
          <w:szCs w:val="18"/>
        </w:rPr>
        <w:t>.</w:t>
      </w:r>
    </w:p>
    <w:p w14:paraId="1B2C02D5" w14:textId="77777777" w:rsidR="00EF5A12" w:rsidRDefault="00EF5A12" w:rsidP="00CE10CA">
      <w:pPr>
        <w:keepLines/>
        <w:tabs>
          <w:tab w:val="left" w:pos="142"/>
        </w:tabs>
        <w:ind w:left="142" w:hanging="142"/>
        <w:rPr>
          <w:rFonts w:ascii="Arial Narrow" w:hAnsi="Arial Narrow"/>
          <w:sz w:val="18"/>
          <w:szCs w:val="18"/>
        </w:rPr>
      </w:pPr>
      <w:r>
        <w:rPr>
          <w:rFonts w:ascii="Arial Narrow" w:hAnsi="Arial Narrow"/>
          <w:sz w:val="18"/>
          <w:szCs w:val="18"/>
        </w:rPr>
        <w:t>c</w:t>
      </w:r>
      <w:r>
        <w:rPr>
          <w:rFonts w:ascii="Arial Narrow" w:hAnsi="Arial Narrow"/>
          <w:sz w:val="18"/>
          <w:szCs w:val="18"/>
        </w:rPr>
        <w:tab/>
        <w:t xml:space="preserve">Exploratory endpoint. </w:t>
      </w:r>
      <w:r w:rsidRPr="00FB70FE">
        <w:rPr>
          <w:rFonts w:ascii="Arial Narrow" w:hAnsi="Arial Narrow"/>
          <w:sz w:val="18"/>
          <w:szCs w:val="18"/>
        </w:rPr>
        <w:t xml:space="preserve">Based on the earliest contributing event after first </w:t>
      </w:r>
      <w:r>
        <w:rPr>
          <w:rFonts w:ascii="Arial Narrow" w:hAnsi="Arial Narrow"/>
          <w:sz w:val="18"/>
          <w:szCs w:val="18"/>
        </w:rPr>
        <w:t>progressive disease</w:t>
      </w:r>
      <w:r w:rsidRPr="00FB70FE">
        <w:rPr>
          <w:rFonts w:ascii="Arial Narrow" w:hAnsi="Arial Narrow"/>
          <w:sz w:val="18"/>
          <w:szCs w:val="18"/>
        </w:rPr>
        <w:t xml:space="preserve"> (investigator assessed clinical progression, radiographic progression, or PSA progression) or death due to any cause, whichever occurred first.</w:t>
      </w:r>
    </w:p>
    <w:p w14:paraId="1FE89837" w14:textId="542577AC" w:rsidR="001C652D" w:rsidRDefault="000D3ECC" w:rsidP="00EC5836">
      <w:pPr>
        <w:pStyle w:val="3-BodyText"/>
      </w:pPr>
      <w:r>
        <w:fldChar w:fldCharType="begin" w:fldLock="1"/>
      </w:r>
      <w:r>
        <w:instrText xml:space="preserve"> REF _Ref176769010 \h </w:instrText>
      </w:r>
      <w:r>
        <w:fldChar w:fldCharType="separate"/>
      </w:r>
      <w:r w:rsidR="006619E7">
        <w:t xml:space="preserve">Table </w:t>
      </w:r>
      <w:r w:rsidR="006619E7">
        <w:rPr>
          <w:noProof/>
        </w:rPr>
        <w:t>7</w:t>
      </w:r>
      <w:r>
        <w:fldChar w:fldCharType="end"/>
      </w:r>
      <w:r>
        <w:t xml:space="preserve"> </w:t>
      </w:r>
      <w:r w:rsidR="00EF5A12">
        <w:t xml:space="preserve">summarises the results for treatment suspension </w:t>
      </w:r>
      <w:r w:rsidR="00FF1F6D">
        <w:t xml:space="preserve">from </w:t>
      </w:r>
      <w:r w:rsidR="00780799">
        <w:t xml:space="preserve">Week </w:t>
      </w:r>
      <w:r w:rsidR="004F1AEB">
        <w:t>37</w:t>
      </w:r>
      <w:r w:rsidR="00780799">
        <w:t xml:space="preserve"> </w:t>
      </w:r>
      <w:r w:rsidR="00EF5A12">
        <w:t xml:space="preserve">and re-initiation </w:t>
      </w:r>
      <w:r w:rsidR="00EF5A12" w:rsidRPr="00336498">
        <w:t>of hormonal therapy in EMBARK.</w:t>
      </w:r>
    </w:p>
    <w:p w14:paraId="19EB7D6A" w14:textId="2291626C" w:rsidR="00EF5A12" w:rsidRPr="000D3ECC" w:rsidRDefault="000D3ECC" w:rsidP="003315FD">
      <w:pPr>
        <w:pStyle w:val="Caption"/>
      </w:pPr>
      <w:bookmarkStart w:id="27" w:name="_Ref176769010"/>
      <w:r>
        <w:lastRenderedPageBreak/>
        <w:t xml:space="preserve">Table </w:t>
      </w:r>
      <w:r>
        <w:fldChar w:fldCharType="begin" w:fldLock="1"/>
      </w:r>
      <w:r>
        <w:instrText xml:space="preserve"> SEQ Table \* ARABIC </w:instrText>
      </w:r>
      <w:r>
        <w:fldChar w:fldCharType="separate"/>
      </w:r>
      <w:r w:rsidR="00DF24EF">
        <w:rPr>
          <w:noProof/>
        </w:rPr>
        <w:t>7</w:t>
      </w:r>
      <w:r>
        <w:rPr>
          <w:noProof/>
        </w:rPr>
        <w:fldChar w:fldCharType="end"/>
      </w:r>
      <w:bookmarkEnd w:id="27"/>
      <w:r>
        <w:t xml:space="preserve">: </w:t>
      </w:r>
      <w:r w:rsidR="00EF5A12" w:rsidRPr="000D3ECC">
        <w:rPr>
          <w:szCs w:val="20"/>
        </w:rPr>
        <w:t>Results for treatment suspension and re-initiation in EMBARK (ITT).</w:t>
      </w:r>
    </w:p>
    <w:tbl>
      <w:tblPr>
        <w:tblStyle w:val="TableGrid"/>
        <w:tblW w:w="0" w:type="auto"/>
        <w:tblCellMar>
          <w:left w:w="28" w:type="dxa"/>
          <w:right w:w="28" w:type="dxa"/>
        </w:tblCellMar>
        <w:tblLook w:val="04A0" w:firstRow="1" w:lastRow="0" w:firstColumn="1" w:lastColumn="0" w:noHBand="0" w:noVBand="1"/>
        <w:tblCaption w:val="Table 7: Results for treatment suspension and re-initiation in EMBARK (ITT)."/>
      </w:tblPr>
      <w:tblGrid>
        <w:gridCol w:w="3964"/>
        <w:gridCol w:w="1684"/>
        <w:gridCol w:w="1684"/>
        <w:gridCol w:w="1685"/>
      </w:tblGrid>
      <w:tr w:rsidR="00EF5A12" w:rsidRPr="00165BCC" w14:paraId="6CBD2F48" w14:textId="77777777" w:rsidTr="003A3EB9">
        <w:tc>
          <w:tcPr>
            <w:tcW w:w="3964" w:type="dxa"/>
          </w:tcPr>
          <w:p w14:paraId="7A3709B2" w14:textId="77777777" w:rsidR="00EF5A12" w:rsidRPr="00165BCC" w:rsidRDefault="00EF5A12" w:rsidP="003315FD">
            <w:pPr>
              <w:keepNext/>
              <w:keepLines/>
              <w:rPr>
                <w:rFonts w:ascii="Arial Narrow" w:hAnsi="Arial Narrow"/>
                <w:sz w:val="20"/>
                <w:szCs w:val="20"/>
              </w:rPr>
            </w:pPr>
          </w:p>
        </w:tc>
        <w:tc>
          <w:tcPr>
            <w:tcW w:w="1684" w:type="dxa"/>
            <w:vAlign w:val="center"/>
          </w:tcPr>
          <w:p w14:paraId="2C7BE8BA" w14:textId="77777777" w:rsidR="00EF5A12" w:rsidRDefault="00EF5A12" w:rsidP="003315FD">
            <w:pPr>
              <w:keepNext/>
              <w:keepLines/>
              <w:jc w:val="center"/>
              <w:rPr>
                <w:rFonts w:ascii="Arial Narrow" w:hAnsi="Arial Narrow"/>
                <w:b/>
                <w:sz w:val="20"/>
                <w:szCs w:val="20"/>
              </w:rPr>
            </w:pPr>
            <w:r w:rsidRPr="008E1795">
              <w:rPr>
                <w:rFonts w:ascii="Arial Narrow" w:hAnsi="Arial Narrow"/>
                <w:b/>
                <w:sz w:val="20"/>
                <w:szCs w:val="20"/>
              </w:rPr>
              <w:t>ENZA + ADT</w:t>
            </w:r>
          </w:p>
          <w:p w14:paraId="289BF32D" w14:textId="77777777" w:rsidR="00EF5A12" w:rsidRPr="008E1795" w:rsidRDefault="00EF5A12" w:rsidP="003315FD">
            <w:pPr>
              <w:keepNext/>
              <w:keepLines/>
              <w:jc w:val="center"/>
              <w:rPr>
                <w:rFonts w:ascii="Arial Narrow" w:hAnsi="Arial Narrow"/>
                <w:b/>
                <w:sz w:val="20"/>
                <w:szCs w:val="20"/>
              </w:rPr>
            </w:pPr>
            <w:r>
              <w:rPr>
                <w:rFonts w:ascii="Arial Narrow" w:hAnsi="Arial Narrow"/>
                <w:b/>
                <w:sz w:val="20"/>
                <w:szCs w:val="20"/>
              </w:rPr>
              <w:t>N=355</w:t>
            </w:r>
          </w:p>
        </w:tc>
        <w:tc>
          <w:tcPr>
            <w:tcW w:w="1684" w:type="dxa"/>
            <w:vAlign w:val="center"/>
          </w:tcPr>
          <w:p w14:paraId="01CCC364" w14:textId="77777777" w:rsidR="00EF5A12" w:rsidRDefault="00EF5A12" w:rsidP="003315FD">
            <w:pPr>
              <w:keepNext/>
              <w:keepLines/>
              <w:jc w:val="center"/>
              <w:rPr>
                <w:rFonts w:ascii="Arial Narrow" w:hAnsi="Arial Narrow"/>
                <w:b/>
                <w:sz w:val="20"/>
                <w:szCs w:val="20"/>
              </w:rPr>
            </w:pPr>
            <w:r w:rsidRPr="008E1795">
              <w:rPr>
                <w:rFonts w:ascii="Arial Narrow" w:hAnsi="Arial Narrow"/>
                <w:b/>
                <w:sz w:val="20"/>
                <w:szCs w:val="20"/>
              </w:rPr>
              <w:t>ENZA</w:t>
            </w:r>
          </w:p>
          <w:p w14:paraId="27709617" w14:textId="77777777" w:rsidR="00EF5A12" w:rsidRPr="008E1795" w:rsidRDefault="00EF5A12" w:rsidP="003315FD">
            <w:pPr>
              <w:keepNext/>
              <w:keepLines/>
              <w:jc w:val="center"/>
              <w:rPr>
                <w:rFonts w:ascii="Arial Narrow" w:hAnsi="Arial Narrow"/>
                <w:b/>
                <w:sz w:val="20"/>
                <w:szCs w:val="20"/>
              </w:rPr>
            </w:pPr>
            <w:r>
              <w:rPr>
                <w:rFonts w:ascii="Arial Narrow" w:hAnsi="Arial Narrow"/>
                <w:b/>
                <w:sz w:val="20"/>
                <w:szCs w:val="20"/>
              </w:rPr>
              <w:t>N=355</w:t>
            </w:r>
          </w:p>
        </w:tc>
        <w:tc>
          <w:tcPr>
            <w:tcW w:w="1685" w:type="dxa"/>
            <w:vAlign w:val="center"/>
          </w:tcPr>
          <w:p w14:paraId="253AC421" w14:textId="77777777" w:rsidR="00EF5A12" w:rsidRDefault="00EF5A12" w:rsidP="003315FD">
            <w:pPr>
              <w:keepNext/>
              <w:keepLines/>
              <w:jc w:val="center"/>
              <w:rPr>
                <w:rFonts w:ascii="Arial Narrow" w:hAnsi="Arial Narrow"/>
                <w:b/>
                <w:sz w:val="20"/>
                <w:szCs w:val="20"/>
              </w:rPr>
            </w:pPr>
            <w:r w:rsidRPr="008E1795">
              <w:rPr>
                <w:rFonts w:ascii="Arial Narrow" w:hAnsi="Arial Narrow"/>
                <w:b/>
                <w:sz w:val="20"/>
                <w:szCs w:val="20"/>
              </w:rPr>
              <w:t>PBO + ADT</w:t>
            </w:r>
          </w:p>
          <w:p w14:paraId="5A82F350" w14:textId="77777777" w:rsidR="00EF5A12" w:rsidRPr="008E1795" w:rsidRDefault="00EF5A12" w:rsidP="003315FD">
            <w:pPr>
              <w:keepNext/>
              <w:keepLines/>
              <w:jc w:val="center"/>
              <w:rPr>
                <w:rFonts w:ascii="Arial Narrow" w:hAnsi="Arial Narrow"/>
                <w:b/>
                <w:sz w:val="20"/>
                <w:szCs w:val="20"/>
              </w:rPr>
            </w:pPr>
            <w:r>
              <w:rPr>
                <w:rFonts w:ascii="Arial Narrow" w:hAnsi="Arial Narrow"/>
                <w:b/>
                <w:sz w:val="20"/>
                <w:szCs w:val="20"/>
              </w:rPr>
              <w:t>N=358</w:t>
            </w:r>
          </w:p>
        </w:tc>
      </w:tr>
      <w:tr w:rsidR="00EF5A12" w:rsidRPr="00165BCC" w14:paraId="07AD8A90" w14:textId="77777777" w:rsidTr="003A3EB9">
        <w:tc>
          <w:tcPr>
            <w:tcW w:w="3964" w:type="dxa"/>
          </w:tcPr>
          <w:p w14:paraId="30CBDA96" w14:textId="517DD36B" w:rsidR="00EF5A12" w:rsidRPr="000C7737" w:rsidRDefault="00EF5A12" w:rsidP="003315FD">
            <w:pPr>
              <w:keepNext/>
              <w:keepLines/>
              <w:rPr>
                <w:rFonts w:ascii="Arial Narrow" w:hAnsi="Arial Narrow"/>
                <w:b/>
                <w:sz w:val="20"/>
                <w:szCs w:val="20"/>
              </w:rPr>
            </w:pPr>
            <w:r w:rsidRPr="000C7737">
              <w:rPr>
                <w:rFonts w:ascii="Arial Narrow" w:hAnsi="Arial Narrow"/>
                <w:b/>
                <w:sz w:val="20"/>
                <w:szCs w:val="20"/>
              </w:rPr>
              <w:t>Patients with PSA values at Wk 36, n</w:t>
            </w:r>
            <w:r w:rsidR="006A4FCD">
              <w:rPr>
                <w:rFonts w:ascii="Arial Narrow" w:hAnsi="Arial Narrow"/>
                <w:b/>
                <w:sz w:val="20"/>
                <w:szCs w:val="20"/>
              </w:rPr>
              <w:t xml:space="preserve"> </w:t>
            </w:r>
            <w:r w:rsidRPr="000C7737">
              <w:rPr>
                <w:rFonts w:ascii="Arial Narrow" w:hAnsi="Arial Narrow"/>
                <w:b/>
                <w:sz w:val="20"/>
                <w:szCs w:val="20"/>
              </w:rPr>
              <w:t>(%)</w:t>
            </w:r>
          </w:p>
        </w:tc>
        <w:tc>
          <w:tcPr>
            <w:tcW w:w="1684" w:type="dxa"/>
            <w:vAlign w:val="center"/>
          </w:tcPr>
          <w:p w14:paraId="178D8908" w14:textId="77777777" w:rsidR="00EF5A12" w:rsidRDefault="00EF5A12" w:rsidP="003315FD">
            <w:pPr>
              <w:keepNext/>
              <w:keepLines/>
              <w:jc w:val="center"/>
              <w:rPr>
                <w:rFonts w:ascii="Arial Narrow" w:hAnsi="Arial Narrow"/>
                <w:sz w:val="20"/>
                <w:szCs w:val="20"/>
              </w:rPr>
            </w:pPr>
            <w:r w:rsidRPr="00FE4E00">
              <w:rPr>
                <w:rFonts w:ascii="Arial Narrow" w:hAnsi="Arial Narrow"/>
                <w:sz w:val="20"/>
                <w:szCs w:val="20"/>
              </w:rPr>
              <w:t>331 (93.2)</w:t>
            </w:r>
          </w:p>
        </w:tc>
        <w:tc>
          <w:tcPr>
            <w:tcW w:w="1684" w:type="dxa"/>
            <w:vAlign w:val="center"/>
          </w:tcPr>
          <w:p w14:paraId="2BCEB7E6" w14:textId="77777777" w:rsidR="00EF5A12" w:rsidRDefault="00EF5A12" w:rsidP="003315FD">
            <w:pPr>
              <w:keepNext/>
              <w:keepLines/>
              <w:jc w:val="center"/>
              <w:rPr>
                <w:rFonts w:ascii="Arial Narrow" w:hAnsi="Arial Narrow"/>
                <w:sz w:val="20"/>
                <w:szCs w:val="20"/>
              </w:rPr>
            </w:pPr>
            <w:r w:rsidRPr="00FE4E00">
              <w:rPr>
                <w:rFonts w:ascii="Arial Narrow" w:hAnsi="Arial Narrow"/>
                <w:sz w:val="20"/>
                <w:szCs w:val="20"/>
              </w:rPr>
              <w:t>337 (94.9)</w:t>
            </w:r>
          </w:p>
        </w:tc>
        <w:tc>
          <w:tcPr>
            <w:tcW w:w="1685" w:type="dxa"/>
            <w:vAlign w:val="center"/>
          </w:tcPr>
          <w:p w14:paraId="3471AAAD" w14:textId="77777777" w:rsidR="00EF5A12" w:rsidRDefault="00EF5A12" w:rsidP="003315FD">
            <w:pPr>
              <w:keepNext/>
              <w:keepLines/>
              <w:jc w:val="center"/>
              <w:rPr>
                <w:rFonts w:ascii="Arial Narrow" w:hAnsi="Arial Narrow"/>
                <w:sz w:val="20"/>
                <w:szCs w:val="20"/>
              </w:rPr>
            </w:pPr>
            <w:r w:rsidRPr="00FE4E00">
              <w:rPr>
                <w:rFonts w:ascii="Arial Narrow" w:hAnsi="Arial Narrow"/>
                <w:sz w:val="20"/>
                <w:szCs w:val="20"/>
              </w:rPr>
              <w:t>336 (93.9)</w:t>
            </w:r>
          </w:p>
        </w:tc>
      </w:tr>
      <w:tr w:rsidR="00EF5A12" w:rsidRPr="00165BCC" w14:paraId="1301489B" w14:textId="77777777" w:rsidTr="003A3EB9">
        <w:tc>
          <w:tcPr>
            <w:tcW w:w="3964" w:type="dxa"/>
          </w:tcPr>
          <w:p w14:paraId="27A97661" w14:textId="63248EA8" w:rsidR="00EF5A12" w:rsidRPr="00D245BB" w:rsidRDefault="00EF5A12" w:rsidP="003315FD">
            <w:pPr>
              <w:keepNext/>
              <w:keepLines/>
              <w:rPr>
                <w:rFonts w:ascii="Arial Narrow" w:hAnsi="Arial Narrow"/>
                <w:b/>
                <w:sz w:val="20"/>
                <w:szCs w:val="20"/>
              </w:rPr>
            </w:pPr>
            <w:r w:rsidRPr="00D245BB">
              <w:rPr>
                <w:rFonts w:ascii="Arial Narrow" w:hAnsi="Arial Narrow"/>
                <w:b/>
                <w:sz w:val="20"/>
                <w:szCs w:val="20"/>
              </w:rPr>
              <w:t>Patients with undetectable PSA at Wk 36, n</w:t>
            </w:r>
            <w:r w:rsidR="006A4FCD">
              <w:rPr>
                <w:rFonts w:ascii="Arial Narrow" w:hAnsi="Arial Narrow"/>
                <w:b/>
                <w:sz w:val="20"/>
                <w:szCs w:val="20"/>
              </w:rPr>
              <w:t xml:space="preserve"> </w:t>
            </w:r>
            <w:r w:rsidRPr="00D245BB">
              <w:rPr>
                <w:rFonts w:ascii="Arial Narrow" w:hAnsi="Arial Narrow"/>
                <w:b/>
                <w:sz w:val="20"/>
                <w:szCs w:val="20"/>
              </w:rPr>
              <w:t>(%)</w:t>
            </w:r>
          </w:p>
        </w:tc>
        <w:tc>
          <w:tcPr>
            <w:tcW w:w="1684" w:type="dxa"/>
            <w:vAlign w:val="center"/>
          </w:tcPr>
          <w:p w14:paraId="2B2F2654" w14:textId="77777777" w:rsidR="00EF5A12" w:rsidRDefault="00EF5A12" w:rsidP="003315FD">
            <w:pPr>
              <w:keepNext/>
              <w:keepLines/>
              <w:jc w:val="center"/>
              <w:rPr>
                <w:rFonts w:ascii="Arial Narrow" w:hAnsi="Arial Narrow"/>
                <w:sz w:val="20"/>
                <w:szCs w:val="20"/>
              </w:rPr>
            </w:pPr>
            <w:r w:rsidRPr="00390558">
              <w:rPr>
                <w:rFonts w:ascii="Arial Narrow" w:hAnsi="Arial Narrow"/>
                <w:sz w:val="20"/>
                <w:szCs w:val="20"/>
              </w:rPr>
              <w:t>322 (97.3)</w:t>
            </w:r>
          </w:p>
        </w:tc>
        <w:tc>
          <w:tcPr>
            <w:tcW w:w="1684" w:type="dxa"/>
            <w:vAlign w:val="center"/>
          </w:tcPr>
          <w:p w14:paraId="4ADE3C1B" w14:textId="77777777" w:rsidR="00EF5A12" w:rsidRDefault="00EF5A12" w:rsidP="003315FD">
            <w:pPr>
              <w:keepNext/>
              <w:keepLines/>
              <w:jc w:val="center"/>
              <w:rPr>
                <w:rFonts w:ascii="Arial Narrow" w:hAnsi="Arial Narrow"/>
                <w:sz w:val="20"/>
                <w:szCs w:val="20"/>
              </w:rPr>
            </w:pPr>
            <w:r w:rsidRPr="00390558">
              <w:rPr>
                <w:rFonts w:ascii="Arial Narrow" w:hAnsi="Arial Narrow"/>
                <w:sz w:val="20"/>
                <w:szCs w:val="20"/>
              </w:rPr>
              <w:t>304 (90.2)</w:t>
            </w:r>
          </w:p>
        </w:tc>
        <w:tc>
          <w:tcPr>
            <w:tcW w:w="1685" w:type="dxa"/>
            <w:vAlign w:val="center"/>
          </w:tcPr>
          <w:p w14:paraId="4AB4BE9C" w14:textId="77777777" w:rsidR="00EF5A12" w:rsidRDefault="00EF5A12" w:rsidP="003315FD">
            <w:pPr>
              <w:keepNext/>
              <w:keepLines/>
              <w:jc w:val="center"/>
              <w:rPr>
                <w:rFonts w:ascii="Arial Narrow" w:hAnsi="Arial Narrow"/>
                <w:sz w:val="20"/>
                <w:szCs w:val="20"/>
              </w:rPr>
            </w:pPr>
            <w:r w:rsidRPr="00390558">
              <w:rPr>
                <w:rFonts w:ascii="Arial Narrow" w:hAnsi="Arial Narrow"/>
                <w:sz w:val="20"/>
                <w:szCs w:val="20"/>
              </w:rPr>
              <w:t>240 (71.4)</w:t>
            </w:r>
          </w:p>
        </w:tc>
      </w:tr>
      <w:tr w:rsidR="00EF5A12" w:rsidRPr="00165BCC" w14:paraId="08131C2E" w14:textId="77777777" w:rsidTr="003A3EB9">
        <w:tc>
          <w:tcPr>
            <w:tcW w:w="3964" w:type="dxa"/>
          </w:tcPr>
          <w:p w14:paraId="334B254C" w14:textId="0C81AB43" w:rsidR="00EF5A12" w:rsidRPr="000C7737" w:rsidRDefault="00EF5A12" w:rsidP="003315FD">
            <w:pPr>
              <w:pStyle w:val="In-tableHeading"/>
              <w:keepNext/>
              <w:keepLines/>
              <w:ind w:left="254"/>
              <w:rPr>
                <w:b w:val="0"/>
              </w:rPr>
            </w:pPr>
            <w:r w:rsidRPr="000C7737">
              <w:rPr>
                <w:b w:val="0"/>
              </w:rPr>
              <w:t>Proportion (95%</w:t>
            </w:r>
            <w:r w:rsidR="006A4FCD">
              <w:rPr>
                <w:b w:val="0"/>
              </w:rPr>
              <w:t xml:space="preserve"> </w:t>
            </w:r>
            <w:r w:rsidRPr="000C7737">
              <w:rPr>
                <w:b w:val="0"/>
              </w:rPr>
              <w:t>CI)</w:t>
            </w:r>
            <w:r w:rsidRPr="000C7737">
              <w:rPr>
                <w:b w:val="0"/>
                <w:vertAlign w:val="superscript"/>
              </w:rPr>
              <w:t>a</w:t>
            </w:r>
          </w:p>
        </w:tc>
        <w:tc>
          <w:tcPr>
            <w:tcW w:w="1684" w:type="dxa"/>
            <w:vAlign w:val="center"/>
          </w:tcPr>
          <w:p w14:paraId="64E296EB"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97.3 (94.9, 98.7)</w:t>
            </w:r>
          </w:p>
        </w:tc>
        <w:tc>
          <w:tcPr>
            <w:tcW w:w="1684" w:type="dxa"/>
            <w:vAlign w:val="center"/>
          </w:tcPr>
          <w:p w14:paraId="63C4AC0E"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90.2 (86.5, 93.2)</w:t>
            </w:r>
          </w:p>
        </w:tc>
        <w:tc>
          <w:tcPr>
            <w:tcW w:w="1685" w:type="dxa"/>
            <w:vAlign w:val="center"/>
          </w:tcPr>
          <w:p w14:paraId="0B098A81"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71.4 (66.3, 76.2)</w:t>
            </w:r>
          </w:p>
        </w:tc>
      </w:tr>
      <w:tr w:rsidR="00EF5A12" w:rsidRPr="00165BCC" w14:paraId="54D4A63B" w14:textId="77777777" w:rsidTr="003A3EB9">
        <w:tc>
          <w:tcPr>
            <w:tcW w:w="3964" w:type="dxa"/>
          </w:tcPr>
          <w:p w14:paraId="602CD5B8" w14:textId="6593CFDA" w:rsidR="00EF5A12" w:rsidRPr="000C7737" w:rsidRDefault="00EF5A12" w:rsidP="003315FD">
            <w:pPr>
              <w:pStyle w:val="In-tableHeading"/>
              <w:keepNext/>
              <w:keepLines/>
              <w:ind w:left="254"/>
              <w:rPr>
                <w:b w:val="0"/>
              </w:rPr>
            </w:pPr>
            <w:r w:rsidRPr="000C7737">
              <w:rPr>
                <w:b w:val="0"/>
              </w:rPr>
              <w:t>Difference of proportion (95%</w:t>
            </w:r>
            <w:r w:rsidR="006A4FCD">
              <w:rPr>
                <w:b w:val="0"/>
              </w:rPr>
              <w:t xml:space="preserve"> </w:t>
            </w:r>
            <w:r w:rsidRPr="000C7737">
              <w:rPr>
                <w:b w:val="0"/>
              </w:rPr>
              <w:t>CI)</w:t>
            </w:r>
            <w:r w:rsidRPr="000C7737">
              <w:rPr>
                <w:b w:val="0"/>
                <w:vertAlign w:val="superscript"/>
              </w:rPr>
              <w:t xml:space="preserve">b </w:t>
            </w:r>
            <w:r w:rsidRPr="000C7737">
              <w:rPr>
                <w:b w:val="0"/>
              </w:rPr>
              <w:t>vs PBO+ADT</w:t>
            </w:r>
          </w:p>
        </w:tc>
        <w:tc>
          <w:tcPr>
            <w:tcW w:w="1684" w:type="dxa"/>
            <w:vAlign w:val="center"/>
          </w:tcPr>
          <w:p w14:paraId="330FD8D9" w14:textId="77777777" w:rsidR="00EF5A12" w:rsidRPr="00512EE0" w:rsidRDefault="00EF5A12" w:rsidP="003315FD">
            <w:pPr>
              <w:keepNext/>
              <w:keepLines/>
              <w:jc w:val="center"/>
              <w:rPr>
                <w:rFonts w:ascii="Arial Narrow" w:hAnsi="Arial Narrow"/>
                <w:b/>
                <w:sz w:val="20"/>
                <w:szCs w:val="20"/>
              </w:rPr>
            </w:pPr>
            <w:r w:rsidRPr="00512EE0">
              <w:rPr>
                <w:rFonts w:ascii="Arial Narrow" w:hAnsi="Arial Narrow"/>
                <w:b/>
                <w:sz w:val="20"/>
                <w:szCs w:val="20"/>
              </w:rPr>
              <w:t>25.9 (20.7, 31.0)</w:t>
            </w:r>
          </w:p>
        </w:tc>
        <w:tc>
          <w:tcPr>
            <w:tcW w:w="1684" w:type="dxa"/>
            <w:vAlign w:val="center"/>
          </w:tcPr>
          <w:p w14:paraId="01FED0FB" w14:textId="77777777" w:rsidR="00EF5A12" w:rsidRPr="00512EE0" w:rsidRDefault="00EF5A12" w:rsidP="003315FD">
            <w:pPr>
              <w:keepNext/>
              <w:keepLines/>
              <w:jc w:val="center"/>
              <w:rPr>
                <w:rFonts w:ascii="Arial Narrow" w:hAnsi="Arial Narrow"/>
                <w:b/>
                <w:sz w:val="20"/>
                <w:szCs w:val="20"/>
              </w:rPr>
            </w:pPr>
            <w:r w:rsidRPr="00512EE0">
              <w:rPr>
                <w:rFonts w:ascii="Arial Narrow" w:hAnsi="Arial Narrow"/>
                <w:b/>
                <w:sz w:val="20"/>
                <w:szCs w:val="20"/>
              </w:rPr>
              <w:t>18.8 (13.0, 24.6)</w:t>
            </w:r>
          </w:p>
        </w:tc>
        <w:tc>
          <w:tcPr>
            <w:tcW w:w="1685" w:type="dxa"/>
            <w:vAlign w:val="center"/>
          </w:tcPr>
          <w:p w14:paraId="27A3DFFD" w14:textId="77777777" w:rsidR="00EF5A12" w:rsidRDefault="00EF5A12" w:rsidP="003315FD">
            <w:pPr>
              <w:keepNext/>
              <w:keepLines/>
              <w:jc w:val="center"/>
              <w:rPr>
                <w:rFonts w:ascii="Arial Narrow" w:hAnsi="Arial Narrow"/>
                <w:sz w:val="20"/>
                <w:szCs w:val="20"/>
              </w:rPr>
            </w:pPr>
            <w:r>
              <w:rPr>
                <w:rFonts w:ascii="Arial Narrow" w:hAnsi="Arial Narrow"/>
                <w:sz w:val="20"/>
                <w:szCs w:val="20"/>
              </w:rPr>
              <w:t>-</w:t>
            </w:r>
          </w:p>
        </w:tc>
      </w:tr>
      <w:tr w:rsidR="00EF5A12" w:rsidRPr="00165BCC" w14:paraId="10DEA16D" w14:textId="77777777" w:rsidTr="003A3EB9">
        <w:tc>
          <w:tcPr>
            <w:tcW w:w="3964" w:type="dxa"/>
          </w:tcPr>
          <w:p w14:paraId="7CFA148D" w14:textId="7299C5F8" w:rsidR="00EF5A12" w:rsidRPr="00D245BB" w:rsidRDefault="00EF5A12" w:rsidP="003315FD">
            <w:pPr>
              <w:keepNext/>
              <w:keepLines/>
              <w:rPr>
                <w:rFonts w:ascii="Arial Narrow" w:hAnsi="Arial Narrow"/>
                <w:b/>
                <w:sz w:val="20"/>
                <w:szCs w:val="20"/>
              </w:rPr>
            </w:pPr>
            <w:r w:rsidRPr="00D245BB">
              <w:rPr>
                <w:rFonts w:ascii="Arial Narrow" w:hAnsi="Arial Narrow"/>
                <w:b/>
                <w:sz w:val="20"/>
                <w:szCs w:val="20"/>
              </w:rPr>
              <w:t>Patients with treatment suspension, n</w:t>
            </w:r>
            <w:r w:rsidR="006A4FCD">
              <w:rPr>
                <w:rFonts w:ascii="Arial Narrow" w:hAnsi="Arial Narrow"/>
                <w:b/>
                <w:sz w:val="20"/>
                <w:szCs w:val="20"/>
              </w:rPr>
              <w:t xml:space="preserve"> </w:t>
            </w:r>
            <w:r w:rsidRPr="00D245BB">
              <w:rPr>
                <w:rFonts w:ascii="Arial Narrow" w:hAnsi="Arial Narrow"/>
                <w:b/>
                <w:sz w:val="20"/>
                <w:szCs w:val="20"/>
              </w:rPr>
              <w:t>(%)</w:t>
            </w:r>
          </w:p>
        </w:tc>
        <w:tc>
          <w:tcPr>
            <w:tcW w:w="1684" w:type="dxa"/>
            <w:vAlign w:val="center"/>
          </w:tcPr>
          <w:p w14:paraId="20F34D60"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321 (90.4)</w:t>
            </w:r>
          </w:p>
        </w:tc>
        <w:tc>
          <w:tcPr>
            <w:tcW w:w="1684" w:type="dxa"/>
            <w:vAlign w:val="center"/>
          </w:tcPr>
          <w:p w14:paraId="30EC21EF"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304 (85.6)</w:t>
            </w:r>
          </w:p>
        </w:tc>
        <w:tc>
          <w:tcPr>
            <w:tcW w:w="1685" w:type="dxa"/>
            <w:vAlign w:val="center"/>
          </w:tcPr>
          <w:p w14:paraId="6DDEA14B"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240 (67.0)</w:t>
            </w:r>
          </w:p>
        </w:tc>
      </w:tr>
      <w:tr w:rsidR="00EF5A12" w:rsidRPr="00165BCC" w14:paraId="0ADD71F6" w14:textId="77777777" w:rsidTr="003A3EB9">
        <w:tc>
          <w:tcPr>
            <w:tcW w:w="3964" w:type="dxa"/>
          </w:tcPr>
          <w:p w14:paraId="47E38AB8" w14:textId="104CAAE4" w:rsidR="00EF5A12" w:rsidRPr="00D245BB" w:rsidRDefault="00EF5A12" w:rsidP="003315FD">
            <w:pPr>
              <w:keepNext/>
              <w:keepLines/>
              <w:rPr>
                <w:rFonts w:ascii="Arial Narrow" w:hAnsi="Arial Narrow"/>
                <w:b/>
                <w:sz w:val="20"/>
                <w:szCs w:val="20"/>
              </w:rPr>
            </w:pPr>
            <w:r w:rsidRPr="00D245BB">
              <w:rPr>
                <w:rFonts w:ascii="Arial Narrow" w:hAnsi="Arial Narrow"/>
                <w:b/>
                <w:sz w:val="20"/>
                <w:szCs w:val="20"/>
              </w:rPr>
              <w:t>Treatment free at 2 yrs after suspension, n</w:t>
            </w:r>
            <w:r w:rsidR="006A4FCD">
              <w:rPr>
                <w:rFonts w:ascii="Arial Narrow" w:hAnsi="Arial Narrow"/>
                <w:b/>
                <w:sz w:val="20"/>
                <w:szCs w:val="20"/>
              </w:rPr>
              <w:t xml:space="preserve"> </w:t>
            </w:r>
            <w:r w:rsidRPr="00D245BB">
              <w:rPr>
                <w:rFonts w:ascii="Arial Narrow" w:hAnsi="Arial Narrow"/>
                <w:b/>
                <w:sz w:val="20"/>
                <w:szCs w:val="20"/>
              </w:rPr>
              <w:t>(%)</w:t>
            </w:r>
          </w:p>
        </w:tc>
        <w:tc>
          <w:tcPr>
            <w:tcW w:w="1684" w:type="dxa"/>
            <w:vAlign w:val="center"/>
          </w:tcPr>
          <w:p w14:paraId="7F4D908D"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111 (34.6)</w:t>
            </w:r>
          </w:p>
        </w:tc>
        <w:tc>
          <w:tcPr>
            <w:tcW w:w="1684" w:type="dxa"/>
            <w:vAlign w:val="center"/>
          </w:tcPr>
          <w:p w14:paraId="5DAF7E03"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43 (14.1)</w:t>
            </w:r>
          </w:p>
        </w:tc>
        <w:tc>
          <w:tcPr>
            <w:tcW w:w="1685" w:type="dxa"/>
            <w:vAlign w:val="center"/>
          </w:tcPr>
          <w:p w14:paraId="30821E9E"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65 (27.1)</w:t>
            </w:r>
          </w:p>
        </w:tc>
      </w:tr>
      <w:tr w:rsidR="00EF5A12" w:rsidRPr="00165BCC" w14:paraId="16335996" w14:textId="77777777" w:rsidTr="003A3EB9">
        <w:tc>
          <w:tcPr>
            <w:tcW w:w="3964" w:type="dxa"/>
          </w:tcPr>
          <w:p w14:paraId="6C69A6AF" w14:textId="375BA7AE" w:rsidR="00EF5A12" w:rsidRPr="000C7737" w:rsidRDefault="00EF5A12" w:rsidP="003315FD">
            <w:pPr>
              <w:pStyle w:val="In-tableHeading"/>
              <w:keepNext/>
              <w:keepLines/>
              <w:ind w:left="254"/>
              <w:rPr>
                <w:b w:val="0"/>
              </w:rPr>
            </w:pPr>
            <w:r w:rsidRPr="000C7737">
              <w:rPr>
                <w:b w:val="0"/>
              </w:rPr>
              <w:t>Proportion (95%</w:t>
            </w:r>
            <w:r w:rsidR="006A4FCD">
              <w:rPr>
                <w:b w:val="0"/>
              </w:rPr>
              <w:t xml:space="preserve"> </w:t>
            </w:r>
            <w:r w:rsidRPr="000C7737">
              <w:rPr>
                <w:b w:val="0"/>
              </w:rPr>
              <w:t>CI)</w:t>
            </w:r>
            <w:r w:rsidRPr="000C7737">
              <w:rPr>
                <w:b w:val="0"/>
                <w:vertAlign w:val="superscript"/>
              </w:rPr>
              <w:t>a</w:t>
            </w:r>
          </w:p>
        </w:tc>
        <w:tc>
          <w:tcPr>
            <w:tcW w:w="1684" w:type="dxa"/>
            <w:vAlign w:val="center"/>
          </w:tcPr>
          <w:p w14:paraId="2C2C69E2"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34.6 (29.4, 40.1)</w:t>
            </w:r>
          </w:p>
        </w:tc>
        <w:tc>
          <w:tcPr>
            <w:tcW w:w="1684" w:type="dxa"/>
            <w:vAlign w:val="center"/>
          </w:tcPr>
          <w:p w14:paraId="3EE6C291"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14.1 (10.4, 18.6)</w:t>
            </w:r>
          </w:p>
        </w:tc>
        <w:tc>
          <w:tcPr>
            <w:tcW w:w="1685" w:type="dxa"/>
            <w:vAlign w:val="center"/>
          </w:tcPr>
          <w:p w14:paraId="35C308BF"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27.1 (21.6, 33.2)</w:t>
            </w:r>
          </w:p>
        </w:tc>
      </w:tr>
      <w:tr w:rsidR="00EF5A12" w:rsidRPr="00165BCC" w14:paraId="1D06A710" w14:textId="77777777" w:rsidTr="003A3EB9">
        <w:tc>
          <w:tcPr>
            <w:tcW w:w="3964" w:type="dxa"/>
          </w:tcPr>
          <w:p w14:paraId="4B008CEF" w14:textId="523C8DEF" w:rsidR="00EF5A12" w:rsidRPr="000C7737" w:rsidRDefault="00EF5A12" w:rsidP="003315FD">
            <w:pPr>
              <w:pStyle w:val="In-tableHeading"/>
              <w:keepNext/>
              <w:keepLines/>
              <w:ind w:left="254"/>
              <w:rPr>
                <w:b w:val="0"/>
              </w:rPr>
            </w:pPr>
            <w:r w:rsidRPr="000C7737">
              <w:rPr>
                <w:b w:val="0"/>
              </w:rPr>
              <w:t>Difference of proportion (95%</w:t>
            </w:r>
            <w:r w:rsidR="006A4FCD">
              <w:rPr>
                <w:b w:val="0"/>
              </w:rPr>
              <w:t xml:space="preserve"> </w:t>
            </w:r>
            <w:r w:rsidRPr="000C7737">
              <w:rPr>
                <w:b w:val="0"/>
              </w:rPr>
              <w:t>CI)</w:t>
            </w:r>
            <w:r w:rsidRPr="000C7737">
              <w:rPr>
                <w:b w:val="0"/>
                <w:vertAlign w:val="superscript"/>
              </w:rPr>
              <w:t>b</w:t>
            </w:r>
          </w:p>
        </w:tc>
        <w:tc>
          <w:tcPr>
            <w:tcW w:w="1684" w:type="dxa"/>
            <w:vAlign w:val="center"/>
          </w:tcPr>
          <w:p w14:paraId="6F2B8490" w14:textId="77777777" w:rsidR="00EF5A12" w:rsidRPr="000C7737" w:rsidRDefault="00EF5A12" w:rsidP="003315FD">
            <w:pPr>
              <w:keepNext/>
              <w:keepLines/>
              <w:jc w:val="center"/>
              <w:rPr>
                <w:rFonts w:ascii="Arial Narrow" w:hAnsi="Arial Narrow"/>
                <w:sz w:val="20"/>
                <w:szCs w:val="20"/>
              </w:rPr>
            </w:pPr>
            <w:r w:rsidRPr="000C7737">
              <w:rPr>
                <w:rFonts w:ascii="Arial Narrow" w:hAnsi="Arial Narrow"/>
                <w:sz w:val="20"/>
                <w:szCs w:val="20"/>
              </w:rPr>
              <w:t>7.5 (-0.2, 15.2)</w:t>
            </w:r>
          </w:p>
        </w:tc>
        <w:tc>
          <w:tcPr>
            <w:tcW w:w="1684" w:type="dxa"/>
            <w:vAlign w:val="center"/>
          </w:tcPr>
          <w:p w14:paraId="73897D0C" w14:textId="77777777" w:rsidR="00EF5A12" w:rsidRPr="00512EE0" w:rsidRDefault="00EF5A12" w:rsidP="003315FD">
            <w:pPr>
              <w:keepNext/>
              <w:keepLines/>
              <w:jc w:val="center"/>
              <w:rPr>
                <w:rFonts w:ascii="Arial Narrow" w:hAnsi="Arial Narrow"/>
                <w:b/>
                <w:sz w:val="20"/>
                <w:szCs w:val="20"/>
              </w:rPr>
            </w:pPr>
            <w:r w:rsidRPr="00512EE0">
              <w:rPr>
                <w:rFonts w:ascii="Arial Narrow" w:hAnsi="Arial Narrow"/>
                <w:b/>
                <w:sz w:val="20"/>
                <w:szCs w:val="20"/>
              </w:rPr>
              <w:t>-12.9 (-19.8, -6.1)</w:t>
            </w:r>
          </w:p>
        </w:tc>
        <w:tc>
          <w:tcPr>
            <w:tcW w:w="1685" w:type="dxa"/>
            <w:vAlign w:val="center"/>
          </w:tcPr>
          <w:p w14:paraId="7C8F358F" w14:textId="77777777" w:rsidR="00EF5A12" w:rsidRDefault="00EF5A12" w:rsidP="003315FD">
            <w:pPr>
              <w:keepNext/>
              <w:keepLines/>
              <w:jc w:val="center"/>
              <w:rPr>
                <w:rFonts w:ascii="Arial Narrow" w:hAnsi="Arial Narrow"/>
                <w:sz w:val="20"/>
                <w:szCs w:val="20"/>
              </w:rPr>
            </w:pPr>
            <w:r>
              <w:rPr>
                <w:rFonts w:ascii="Arial Narrow" w:hAnsi="Arial Narrow"/>
                <w:sz w:val="20"/>
                <w:szCs w:val="20"/>
              </w:rPr>
              <w:t>-</w:t>
            </w:r>
          </w:p>
        </w:tc>
      </w:tr>
      <w:tr w:rsidR="00EF5A12" w:rsidRPr="00165BCC" w14:paraId="142E3D75" w14:textId="77777777" w:rsidTr="003A3EB9">
        <w:tc>
          <w:tcPr>
            <w:tcW w:w="3964" w:type="dxa"/>
          </w:tcPr>
          <w:p w14:paraId="2343CAE2" w14:textId="781DEDDA" w:rsidR="00EF5A12" w:rsidRPr="00D245BB" w:rsidRDefault="00EF5A12" w:rsidP="003315FD">
            <w:pPr>
              <w:keepNext/>
              <w:keepLines/>
              <w:rPr>
                <w:rFonts w:ascii="Arial Narrow" w:hAnsi="Arial Narrow"/>
                <w:b/>
                <w:sz w:val="20"/>
                <w:szCs w:val="20"/>
              </w:rPr>
            </w:pPr>
            <w:r w:rsidRPr="00D245BB">
              <w:rPr>
                <w:rFonts w:ascii="Arial Narrow" w:hAnsi="Arial Narrow"/>
                <w:b/>
                <w:sz w:val="20"/>
                <w:szCs w:val="20"/>
              </w:rPr>
              <w:t>Undetectable PSA at 2 yrs after suspension, n</w:t>
            </w:r>
            <w:r w:rsidR="006A4FCD">
              <w:rPr>
                <w:rFonts w:ascii="Arial Narrow" w:hAnsi="Arial Narrow"/>
                <w:b/>
                <w:sz w:val="20"/>
                <w:szCs w:val="20"/>
              </w:rPr>
              <w:t xml:space="preserve"> </w:t>
            </w:r>
            <w:r w:rsidRPr="00D245BB">
              <w:rPr>
                <w:rFonts w:ascii="Arial Narrow" w:hAnsi="Arial Narrow"/>
                <w:b/>
                <w:sz w:val="20"/>
                <w:szCs w:val="20"/>
              </w:rPr>
              <w:t>(%)</w:t>
            </w:r>
          </w:p>
        </w:tc>
        <w:tc>
          <w:tcPr>
            <w:tcW w:w="1684" w:type="dxa"/>
            <w:vAlign w:val="center"/>
          </w:tcPr>
          <w:p w14:paraId="7ACB112C"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54 (16.8)</w:t>
            </w:r>
          </w:p>
        </w:tc>
        <w:tc>
          <w:tcPr>
            <w:tcW w:w="1684" w:type="dxa"/>
            <w:vAlign w:val="center"/>
          </w:tcPr>
          <w:p w14:paraId="5B5EB35A"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14 (4.6)</w:t>
            </w:r>
          </w:p>
        </w:tc>
        <w:tc>
          <w:tcPr>
            <w:tcW w:w="1685" w:type="dxa"/>
            <w:vAlign w:val="center"/>
          </w:tcPr>
          <w:p w14:paraId="5B1372F6"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23 (9.6)</w:t>
            </w:r>
          </w:p>
        </w:tc>
      </w:tr>
      <w:tr w:rsidR="00EF5A12" w:rsidRPr="00165BCC" w14:paraId="121506BF" w14:textId="77777777" w:rsidTr="003A3EB9">
        <w:tc>
          <w:tcPr>
            <w:tcW w:w="3964" w:type="dxa"/>
          </w:tcPr>
          <w:p w14:paraId="4CF86F2B" w14:textId="2F3AB0D8" w:rsidR="00EF5A12" w:rsidRPr="000C7737" w:rsidRDefault="00EF5A12" w:rsidP="003315FD">
            <w:pPr>
              <w:pStyle w:val="In-tableHeading"/>
              <w:keepNext/>
              <w:keepLines/>
              <w:ind w:left="254"/>
              <w:rPr>
                <w:b w:val="0"/>
              </w:rPr>
            </w:pPr>
            <w:r w:rsidRPr="000C7737">
              <w:rPr>
                <w:b w:val="0"/>
              </w:rPr>
              <w:t>Proportion (95%</w:t>
            </w:r>
            <w:r w:rsidR="006A4FCD">
              <w:rPr>
                <w:b w:val="0"/>
              </w:rPr>
              <w:t xml:space="preserve"> </w:t>
            </w:r>
            <w:r w:rsidRPr="000C7737">
              <w:rPr>
                <w:b w:val="0"/>
              </w:rPr>
              <w:t>CI)</w:t>
            </w:r>
            <w:r w:rsidRPr="006A4FCD">
              <w:rPr>
                <w:b w:val="0"/>
                <w:vertAlign w:val="superscript"/>
              </w:rPr>
              <w:t>a</w:t>
            </w:r>
          </w:p>
        </w:tc>
        <w:tc>
          <w:tcPr>
            <w:tcW w:w="1684" w:type="dxa"/>
            <w:vAlign w:val="center"/>
          </w:tcPr>
          <w:p w14:paraId="71CDB144"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16.8 (12.9, 21.4)</w:t>
            </w:r>
          </w:p>
        </w:tc>
        <w:tc>
          <w:tcPr>
            <w:tcW w:w="1684" w:type="dxa"/>
            <w:vAlign w:val="center"/>
          </w:tcPr>
          <w:p w14:paraId="7B166613"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4.6 (2.5, 7.6)</w:t>
            </w:r>
          </w:p>
        </w:tc>
        <w:tc>
          <w:tcPr>
            <w:tcW w:w="1685" w:type="dxa"/>
            <w:vAlign w:val="center"/>
          </w:tcPr>
          <w:p w14:paraId="2556E828"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9.6 (6.2, 14.0)</w:t>
            </w:r>
          </w:p>
        </w:tc>
      </w:tr>
      <w:tr w:rsidR="00EF5A12" w:rsidRPr="00165BCC" w14:paraId="05A54F08" w14:textId="77777777" w:rsidTr="003A3EB9">
        <w:tc>
          <w:tcPr>
            <w:tcW w:w="3964" w:type="dxa"/>
          </w:tcPr>
          <w:p w14:paraId="4BB09A6A" w14:textId="799F10A1" w:rsidR="00EF5A12" w:rsidRPr="000C7737" w:rsidRDefault="00EF5A12" w:rsidP="003315FD">
            <w:pPr>
              <w:pStyle w:val="In-tableHeading"/>
              <w:keepNext/>
              <w:keepLines/>
              <w:ind w:left="254"/>
              <w:rPr>
                <w:b w:val="0"/>
              </w:rPr>
            </w:pPr>
            <w:r w:rsidRPr="000C7737">
              <w:rPr>
                <w:b w:val="0"/>
              </w:rPr>
              <w:t>Difference of proportion (95%</w:t>
            </w:r>
            <w:r w:rsidR="006A4FCD">
              <w:rPr>
                <w:b w:val="0"/>
              </w:rPr>
              <w:t xml:space="preserve"> </w:t>
            </w:r>
            <w:r w:rsidRPr="000C7737">
              <w:rPr>
                <w:b w:val="0"/>
              </w:rPr>
              <w:t>CI)</w:t>
            </w:r>
            <w:r w:rsidRPr="006A4FCD">
              <w:rPr>
                <w:b w:val="0"/>
                <w:vertAlign w:val="superscript"/>
              </w:rPr>
              <w:t>b</w:t>
            </w:r>
          </w:p>
        </w:tc>
        <w:tc>
          <w:tcPr>
            <w:tcW w:w="1684" w:type="dxa"/>
            <w:vAlign w:val="center"/>
          </w:tcPr>
          <w:p w14:paraId="5120A3DB" w14:textId="77777777" w:rsidR="00EF5A12" w:rsidRPr="00512EE0" w:rsidRDefault="00EF5A12" w:rsidP="003315FD">
            <w:pPr>
              <w:keepNext/>
              <w:keepLines/>
              <w:jc w:val="center"/>
              <w:rPr>
                <w:rFonts w:ascii="Arial Narrow" w:hAnsi="Arial Narrow"/>
                <w:b/>
                <w:sz w:val="20"/>
                <w:szCs w:val="20"/>
              </w:rPr>
            </w:pPr>
            <w:r w:rsidRPr="00512EE0">
              <w:rPr>
                <w:rFonts w:ascii="Arial Narrow" w:hAnsi="Arial Narrow"/>
                <w:b/>
                <w:sz w:val="20"/>
                <w:szCs w:val="20"/>
              </w:rPr>
              <w:t>7.2 (1.7, 12.8)</w:t>
            </w:r>
          </w:p>
        </w:tc>
        <w:tc>
          <w:tcPr>
            <w:tcW w:w="1684" w:type="dxa"/>
            <w:vAlign w:val="center"/>
          </w:tcPr>
          <w:p w14:paraId="6C3AF01B" w14:textId="77777777" w:rsidR="00EF5A12" w:rsidRPr="00512EE0" w:rsidRDefault="00EF5A12" w:rsidP="003315FD">
            <w:pPr>
              <w:keepNext/>
              <w:keepLines/>
              <w:jc w:val="center"/>
              <w:rPr>
                <w:rFonts w:ascii="Arial Narrow" w:hAnsi="Arial Narrow"/>
                <w:b/>
                <w:sz w:val="20"/>
                <w:szCs w:val="20"/>
              </w:rPr>
            </w:pPr>
            <w:r w:rsidRPr="00512EE0">
              <w:rPr>
                <w:rFonts w:ascii="Arial Narrow" w:hAnsi="Arial Narrow"/>
                <w:b/>
                <w:sz w:val="20"/>
                <w:szCs w:val="20"/>
              </w:rPr>
              <w:t>5.0 (9.4, 0.6)</w:t>
            </w:r>
          </w:p>
        </w:tc>
        <w:tc>
          <w:tcPr>
            <w:tcW w:w="1685" w:type="dxa"/>
            <w:vAlign w:val="center"/>
          </w:tcPr>
          <w:p w14:paraId="2C1A3D10" w14:textId="77777777" w:rsidR="00EF5A12" w:rsidRDefault="00EF5A12" w:rsidP="003315FD">
            <w:pPr>
              <w:keepNext/>
              <w:keepLines/>
              <w:jc w:val="center"/>
              <w:rPr>
                <w:rFonts w:ascii="Arial Narrow" w:hAnsi="Arial Narrow"/>
                <w:sz w:val="20"/>
                <w:szCs w:val="20"/>
              </w:rPr>
            </w:pPr>
            <w:r>
              <w:rPr>
                <w:rFonts w:ascii="Arial Narrow" w:hAnsi="Arial Narrow"/>
                <w:sz w:val="20"/>
                <w:szCs w:val="20"/>
              </w:rPr>
              <w:t>-</w:t>
            </w:r>
          </w:p>
        </w:tc>
      </w:tr>
      <w:tr w:rsidR="00EF5A12" w:rsidRPr="00165BCC" w14:paraId="603D199B" w14:textId="77777777" w:rsidTr="003A3EB9">
        <w:tc>
          <w:tcPr>
            <w:tcW w:w="3964" w:type="dxa"/>
          </w:tcPr>
          <w:p w14:paraId="31D58C92" w14:textId="77777777" w:rsidR="00EF5A12" w:rsidRPr="00D245BB" w:rsidRDefault="00EF5A12" w:rsidP="003315FD">
            <w:pPr>
              <w:keepNext/>
              <w:keepLines/>
              <w:rPr>
                <w:rFonts w:ascii="Arial Narrow" w:hAnsi="Arial Narrow"/>
                <w:b/>
                <w:sz w:val="20"/>
                <w:szCs w:val="20"/>
              </w:rPr>
            </w:pPr>
            <w:r w:rsidRPr="00D245BB">
              <w:rPr>
                <w:rFonts w:ascii="Arial Narrow" w:hAnsi="Arial Narrow"/>
                <w:b/>
                <w:sz w:val="20"/>
                <w:szCs w:val="20"/>
              </w:rPr>
              <w:t xml:space="preserve">Time to </w:t>
            </w:r>
            <w:r>
              <w:rPr>
                <w:rFonts w:ascii="Arial Narrow" w:hAnsi="Arial Narrow"/>
                <w:b/>
                <w:sz w:val="20"/>
                <w:szCs w:val="20"/>
              </w:rPr>
              <w:t>resumption</w:t>
            </w:r>
            <w:r w:rsidRPr="00D245BB">
              <w:rPr>
                <w:rFonts w:ascii="Arial Narrow" w:hAnsi="Arial Narrow"/>
                <w:b/>
                <w:sz w:val="20"/>
                <w:szCs w:val="20"/>
              </w:rPr>
              <w:t xml:space="preserve"> of hormonal any therapy</w:t>
            </w:r>
          </w:p>
        </w:tc>
        <w:tc>
          <w:tcPr>
            <w:tcW w:w="1684" w:type="dxa"/>
            <w:vAlign w:val="center"/>
          </w:tcPr>
          <w:p w14:paraId="687E8C63" w14:textId="77777777" w:rsidR="00EF5A12" w:rsidRDefault="00EF5A12" w:rsidP="003315FD">
            <w:pPr>
              <w:keepNext/>
              <w:keepLines/>
              <w:jc w:val="center"/>
              <w:rPr>
                <w:rFonts w:ascii="Arial Narrow" w:hAnsi="Arial Narrow"/>
                <w:sz w:val="20"/>
                <w:szCs w:val="20"/>
              </w:rPr>
            </w:pPr>
          </w:p>
        </w:tc>
        <w:tc>
          <w:tcPr>
            <w:tcW w:w="1684" w:type="dxa"/>
            <w:vAlign w:val="center"/>
          </w:tcPr>
          <w:p w14:paraId="59DC9984" w14:textId="77777777" w:rsidR="00EF5A12" w:rsidRDefault="00EF5A12" w:rsidP="003315FD">
            <w:pPr>
              <w:keepNext/>
              <w:keepLines/>
              <w:jc w:val="center"/>
              <w:rPr>
                <w:rFonts w:ascii="Arial Narrow" w:hAnsi="Arial Narrow"/>
                <w:sz w:val="20"/>
                <w:szCs w:val="20"/>
              </w:rPr>
            </w:pPr>
          </w:p>
        </w:tc>
        <w:tc>
          <w:tcPr>
            <w:tcW w:w="1685" w:type="dxa"/>
            <w:vAlign w:val="center"/>
          </w:tcPr>
          <w:p w14:paraId="7EFA37D6" w14:textId="77777777" w:rsidR="00EF5A12" w:rsidRDefault="00EF5A12" w:rsidP="003315FD">
            <w:pPr>
              <w:keepNext/>
              <w:keepLines/>
              <w:jc w:val="center"/>
              <w:rPr>
                <w:rFonts w:ascii="Arial Narrow" w:hAnsi="Arial Narrow"/>
                <w:sz w:val="20"/>
                <w:szCs w:val="20"/>
              </w:rPr>
            </w:pPr>
          </w:p>
        </w:tc>
      </w:tr>
      <w:tr w:rsidR="00EF5A12" w:rsidRPr="00165BCC" w14:paraId="5560D43B" w14:textId="77777777" w:rsidTr="003A3EB9">
        <w:tc>
          <w:tcPr>
            <w:tcW w:w="3964" w:type="dxa"/>
          </w:tcPr>
          <w:p w14:paraId="230C3BBB" w14:textId="664DD93C" w:rsidR="00EF5A12" w:rsidRPr="003E3663" w:rsidRDefault="00EF5A12" w:rsidP="003315FD">
            <w:pPr>
              <w:keepNext/>
              <w:keepLines/>
              <w:ind w:left="254"/>
              <w:rPr>
                <w:rFonts w:ascii="Arial Narrow" w:hAnsi="Arial Narrow"/>
                <w:sz w:val="20"/>
                <w:szCs w:val="20"/>
                <w:vertAlign w:val="superscript"/>
              </w:rPr>
            </w:pPr>
            <w:r>
              <w:rPr>
                <w:rFonts w:ascii="Arial Narrow" w:hAnsi="Arial Narrow"/>
                <w:sz w:val="20"/>
                <w:szCs w:val="20"/>
              </w:rPr>
              <w:t>Events, n</w:t>
            </w:r>
            <w:r w:rsidR="006A4FCD">
              <w:rPr>
                <w:rFonts w:ascii="Arial Narrow" w:hAnsi="Arial Narrow"/>
                <w:sz w:val="20"/>
                <w:szCs w:val="20"/>
              </w:rPr>
              <w:t xml:space="preserve"> </w:t>
            </w:r>
            <w:r>
              <w:rPr>
                <w:rFonts w:ascii="Arial Narrow" w:hAnsi="Arial Narrow"/>
                <w:sz w:val="20"/>
                <w:szCs w:val="20"/>
              </w:rPr>
              <w:t>(%)</w:t>
            </w:r>
            <w:r>
              <w:rPr>
                <w:rFonts w:ascii="Arial Narrow" w:hAnsi="Arial Narrow"/>
                <w:sz w:val="20"/>
                <w:szCs w:val="20"/>
                <w:vertAlign w:val="superscript"/>
              </w:rPr>
              <w:t>c</w:t>
            </w:r>
          </w:p>
        </w:tc>
        <w:tc>
          <w:tcPr>
            <w:tcW w:w="1684" w:type="dxa"/>
            <w:vAlign w:val="center"/>
          </w:tcPr>
          <w:p w14:paraId="275C4868" w14:textId="77777777" w:rsidR="00EF5A12" w:rsidRPr="00165BCC" w:rsidRDefault="00EF5A12" w:rsidP="003315FD">
            <w:pPr>
              <w:keepNext/>
              <w:keepLines/>
              <w:jc w:val="center"/>
              <w:rPr>
                <w:rFonts w:ascii="Arial Narrow" w:hAnsi="Arial Narrow"/>
                <w:sz w:val="20"/>
                <w:szCs w:val="20"/>
              </w:rPr>
            </w:pPr>
            <w:r w:rsidRPr="00512EE0">
              <w:rPr>
                <w:rFonts w:ascii="Arial Narrow" w:hAnsi="Arial Narrow"/>
                <w:sz w:val="20"/>
                <w:szCs w:val="20"/>
              </w:rPr>
              <w:t>256 (79.8)</w:t>
            </w:r>
          </w:p>
        </w:tc>
        <w:tc>
          <w:tcPr>
            <w:tcW w:w="1684" w:type="dxa"/>
            <w:vAlign w:val="center"/>
          </w:tcPr>
          <w:p w14:paraId="1A527E99" w14:textId="77777777" w:rsidR="00EF5A12" w:rsidRDefault="00EF5A12" w:rsidP="003315FD">
            <w:pPr>
              <w:keepNext/>
              <w:keepLines/>
              <w:jc w:val="center"/>
              <w:rPr>
                <w:rFonts w:ascii="Arial Narrow" w:hAnsi="Arial Narrow"/>
                <w:sz w:val="20"/>
                <w:szCs w:val="20"/>
              </w:rPr>
            </w:pPr>
            <w:r w:rsidRPr="00512EE0">
              <w:rPr>
                <w:rFonts w:ascii="Arial Narrow" w:hAnsi="Arial Narrow"/>
                <w:sz w:val="20"/>
                <w:szCs w:val="20"/>
              </w:rPr>
              <w:t>279 (91.8)</w:t>
            </w:r>
          </w:p>
        </w:tc>
        <w:tc>
          <w:tcPr>
            <w:tcW w:w="1685" w:type="dxa"/>
            <w:vAlign w:val="center"/>
          </w:tcPr>
          <w:p w14:paraId="69CF6BA0" w14:textId="77777777" w:rsidR="00EF5A12" w:rsidRPr="00165BCC" w:rsidRDefault="00EF5A12" w:rsidP="003315FD">
            <w:pPr>
              <w:keepNext/>
              <w:keepLines/>
              <w:jc w:val="center"/>
              <w:rPr>
                <w:rFonts w:ascii="Arial Narrow" w:hAnsi="Arial Narrow"/>
                <w:sz w:val="20"/>
                <w:szCs w:val="20"/>
              </w:rPr>
            </w:pPr>
            <w:r w:rsidRPr="00512EE0">
              <w:rPr>
                <w:rFonts w:ascii="Arial Narrow" w:hAnsi="Arial Narrow"/>
                <w:sz w:val="20"/>
                <w:szCs w:val="20"/>
              </w:rPr>
              <w:t>217 (90.4)</w:t>
            </w:r>
          </w:p>
        </w:tc>
      </w:tr>
      <w:tr w:rsidR="00EF5A12" w:rsidRPr="00165BCC" w14:paraId="45D37C06" w14:textId="77777777" w:rsidTr="003A3EB9">
        <w:tc>
          <w:tcPr>
            <w:tcW w:w="3964" w:type="dxa"/>
          </w:tcPr>
          <w:p w14:paraId="7EBAC5FA" w14:textId="5393D09A" w:rsidR="00EF5A12" w:rsidRPr="00165BCC" w:rsidRDefault="00EF5A12" w:rsidP="003315FD">
            <w:pPr>
              <w:keepNext/>
              <w:keepLines/>
              <w:ind w:left="254"/>
              <w:rPr>
                <w:rFonts w:ascii="Arial Narrow" w:hAnsi="Arial Narrow"/>
                <w:sz w:val="20"/>
                <w:szCs w:val="20"/>
              </w:rPr>
            </w:pPr>
            <w:r>
              <w:rPr>
                <w:rFonts w:ascii="Arial Narrow" w:hAnsi="Arial Narrow"/>
                <w:sz w:val="20"/>
                <w:szCs w:val="20"/>
              </w:rPr>
              <w:t>Median (95%</w:t>
            </w:r>
            <w:r w:rsidR="006A4FCD">
              <w:rPr>
                <w:rFonts w:ascii="Arial Narrow" w:hAnsi="Arial Narrow"/>
                <w:sz w:val="20"/>
                <w:szCs w:val="20"/>
              </w:rPr>
              <w:t xml:space="preserve"> </w:t>
            </w:r>
            <w:r>
              <w:rPr>
                <w:rFonts w:ascii="Arial Narrow" w:hAnsi="Arial Narrow"/>
                <w:sz w:val="20"/>
                <w:szCs w:val="20"/>
              </w:rPr>
              <w:t>CI), months</w:t>
            </w:r>
          </w:p>
        </w:tc>
        <w:tc>
          <w:tcPr>
            <w:tcW w:w="1684" w:type="dxa"/>
            <w:vAlign w:val="center"/>
          </w:tcPr>
          <w:p w14:paraId="5E4A1343" w14:textId="77777777" w:rsidR="00EF5A12" w:rsidRPr="00165BCC" w:rsidRDefault="00EF5A12" w:rsidP="003315FD">
            <w:pPr>
              <w:keepNext/>
              <w:keepLines/>
              <w:jc w:val="center"/>
              <w:rPr>
                <w:rFonts w:ascii="Arial Narrow" w:hAnsi="Arial Narrow"/>
                <w:sz w:val="20"/>
                <w:szCs w:val="20"/>
              </w:rPr>
            </w:pPr>
            <w:r w:rsidRPr="00512EE0">
              <w:rPr>
                <w:rFonts w:ascii="Arial Narrow" w:hAnsi="Arial Narrow"/>
                <w:sz w:val="20"/>
                <w:szCs w:val="20"/>
              </w:rPr>
              <w:t>19.6 (17.2, 22.3)</w:t>
            </w:r>
          </w:p>
        </w:tc>
        <w:tc>
          <w:tcPr>
            <w:tcW w:w="1684" w:type="dxa"/>
            <w:vAlign w:val="center"/>
          </w:tcPr>
          <w:p w14:paraId="5AD1CC87" w14:textId="77777777" w:rsidR="00EF5A12" w:rsidRPr="000C3351" w:rsidRDefault="00EF5A12" w:rsidP="003315FD">
            <w:pPr>
              <w:keepNext/>
              <w:keepLines/>
              <w:jc w:val="center"/>
              <w:rPr>
                <w:rFonts w:ascii="Arial Narrow" w:hAnsi="Arial Narrow"/>
                <w:sz w:val="20"/>
                <w:szCs w:val="20"/>
              </w:rPr>
            </w:pPr>
            <w:r w:rsidRPr="00512EE0">
              <w:rPr>
                <w:rFonts w:ascii="Arial Narrow" w:hAnsi="Arial Narrow"/>
                <w:sz w:val="20"/>
                <w:szCs w:val="20"/>
              </w:rPr>
              <w:t>10.5 (8.9, 11.5)</w:t>
            </w:r>
          </w:p>
        </w:tc>
        <w:tc>
          <w:tcPr>
            <w:tcW w:w="1685" w:type="dxa"/>
            <w:vAlign w:val="center"/>
          </w:tcPr>
          <w:p w14:paraId="3DA0330E" w14:textId="77777777" w:rsidR="00EF5A12" w:rsidRPr="00165BCC" w:rsidRDefault="00EF5A12" w:rsidP="003315FD">
            <w:pPr>
              <w:keepNext/>
              <w:keepLines/>
              <w:jc w:val="center"/>
              <w:rPr>
                <w:rFonts w:ascii="Arial Narrow" w:hAnsi="Arial Narrow"/>
                <w:sz w:val="20"/>
                <w:szCs w:val="20"/>
              </w:rPr>
            </w:pPr>
            <w:r w:rsidRPr="00512EE0">
              <w:rPr>
                <w:rFonts w:ascii="Arial Narrow" w:hAnsi="Arial Narrow"/>
                <w:sz w:val="20"/>
                <w:szCs w:val="20"/>
              </w:rPr>
              <w:t>16.8 (14.3, 17.1)</w:t>
            </w:r>
          </w:p>
        </w:tc>
      </w:tr>
      <w:tr w:rsidR="00EF5A12" w:rsidRPr="00165BCC" w14:paraId="46F332CC" w14:textId="77777777" w:rsidTr="003A3EB9">
        <w:tc>
          <w:tcPr>
            <w:tcW w:w="3964" w:type="dxa"/>
          </w:tcPr>
          <w:p w14:paraId="5D49C726" w14:textId="68B67CCF" w:rsidR="00EF5A12" w:rsidRPr="00165BCC" w:rsidRDefault="00EF5A12" w:rsidP="003315FD">
            <w:pPr>
              <w:keepNext/>
              <w:keepLines/>
              <w:ind w:left="254"/>
              <w:rPr>
                <w:rFonts w:ascii="Arial Narrow" w:hAnsi="Arial Narrow"/>
                <w:sz w:val="20"/>
                <w:szCs w:val="20"/>
              </w:rPr>
            </w:pPr>
            <w:r>
              <w:rPr>
                <w:rFonts w:ascii="Arial Narrow" w:hAnsi="Arial Narrow"/>
                <w:sz w:val="20"/>
                <w:szCs w:val="20"/>
              </w:rPr>
              <w:t>HR (95%</w:t>
            </w:r>
            <w:r w:rsidR="006A4FCD">
              <w:rPr>
                <w:rFonts w:ascii="Arial Narrow" w:hAnsi="Arial Narrow"/>
                <w:sz w:val="20"/>
                <w:szCs w:val="20"/>
              </w:rPr>
              <w:t xml:space="preserve"> </w:t>
            </w:r>
            <w:r>
              <w:rPr>
                <w:rFonts w:ascii="Arial Narrow" w:hAnsi="Arial Narrow"/>
                <w:sz w:val="20"/>
                <w:szCs w:val="20"/>
              </w:rPr>
              <w:t xml:space="preserve">CI) vs </w:t>
            </w:r>
            <w:proofErr w:type="spellStart"/>
            <w:r>
              <w:rPr>
                <w:rFonts w:ascii="Arial Narrow" w:hAnsi="Arial Narrow"/>
                <w:sz w:val="20"/>
                <w:szCs w:val="20"/>
              </w:rPr>
              <w:t>PBO+ADT</w:t>
            </w:r>
            <w:r w:rsidRPr="003E3663">
              <w:rPr>
                <w:rFonts w:ascii="Arial Narrow" w:hAnsi="Arial Narrow"/>
                <w:sz w:val="20"/>
                <w:szCs w:val="20"/>
                <w:vertAlign w:val="superscript"/>
              </w:rPr>
              <w:t>d</w:t>
            </w:r>
            <w:proofErr w:type="spellEnd"/>
          </w:p>
        </w:tc>
        <w:tc>
          <w:tcPr>
            <w:tcW w:w="1684" w:type="dxa"/>
            <w:vAlign w:val="center"/>
          </w:tcPr>
          <w:p w14:paraId="7269D5E4" w14:textId="77777777" w:rsidR="00EF5A12" w:rsidRPr="000C3351" w:rsidRDefault="00EF5A12" w:rsidP="003315FD">
            <w:pPr>
              <w:keepNext/>
              <w:keepLines/>
              <w:jc w:val="center"/>
              <w:rPr>
                <w:rFonts w:ascii="Arial Narrow" w:hAnsi="Arial Narrow"/>
                <w:b/>
                <w:sz w:val="20"/>
                <w:szCs w:val="20"/>
              </w:rPr>
            </w:pPr>
            <w:r w:rsidRPr="00512EE0">
              <w:rPr>
                <w:rFonts w:ascii="Arial Narrow" w:hAnsi="Arial Narrow"/>
                <w:b/>
                <w:sz w:val="20"/>
                <w:szCs w:val="20"/>
              </w:rPr>
              <w:t>0.69 (0.58, 0.83)</w:t>
            </w:r>
          </w:p>
        </w:tc>
        <w:tc>
          <w:tcPr>
            <w:tcW w:w="1684" w:type="dxa"/>
            <w:vAlign w:val="center"/>
          </w:tcPr>
          <w:p w14:paraId="613F8AE8" w14:textId="77777777" w:rsidR="00EF5A12" w:rsidRPr="00512EE0" w:rsidRDefault="00EF5A12" w:rsidP="003315FD">
            <w:pPr>
              <w:keepNext/>
              <w:keepLines/>
              <w:jc w:val="center"/>
              <w:rPr>
                <w:rFonts w:ascii="Arial Narrow" w:hAnsi="Arial Narrow"/>
                <w:b/>
                <w:sz w:val="20"/>
                <w:szCs w:val="20"/>
              </w:rPr>
            </w:pPr>
            <w:r w:rsidRPr="00512EE0">
              <w:rPr>
                <w:rFonts w:ascii="Arial Narrow" w:hAnsi="Arial Narrow"/>
                <w:b/>
                <w:sz w:val="20"/>
                <w:szCs w:val="20"/>
              </w:rPr>
              <w:t>1.66 (1.38, 1.98)</w:t>
            </w:r>
          </w:p>
        </w:tc>
        <w:tc>
          <w:tcPr>
            <w:tcW w:w="1685" w:type="dxa"/>
            <w:vAlign w:val="center"/>
          </w:tcPr>
          <w:p w14:paraId="5DC0C284" w14:textId="77777777" w:rsidR="00EF5A12" w:rsidRPr="00165BCC" w:rsidRDefault="00EF5A12" w:rsidP="003315FD">
            <w:pPr>
              <w:keepNext/>
              <w:keepLines/>
              <w:jc w:val="center"/>
              <w:rPr>
                <w:rFonts w:ascii="Arial Narrow" w:hAnsi="Arial Narrow"/>
                <w:sz w:val="20"/>
                <w:szCs w:val="20"/>
              </w:rPr>
            </w:pPr>
            <w:r>
              <w:rPr>
                <w:rFonts w:ascii="Arial Narrow" w:hAnsi="Arial Narrow"/>
                <w:sz w:val="20"/>
                <w:szCs w:val="20"/>
              </w:rPr>
              <w:t>-</w:t>
            </w:r>
          </w:p>
        </w:tc>
      </w:tr>
    </w:tbl>
    <w:p w14:paraId="7AF084B6" w14:textId="77777777" w:rsidR="00EF5A12" w:rsidRDefault="00EF5A12" w:rsidP="003315FD">
      <w:pPr>
        <w:keepNext/>
        <w:keepLines/>
        <w:tabs>
          <w:tab w:val="left" w:pos="142"/>
        </w:tabs>
        <w:rPr>
          <w:rFonts w:ascii="Arial Narrow" w:hAnsi="Arial Narrow"/>
          <w:sz w:val="18"/>
          <w:szCs w:val="18"/>
        </w:rPr>
      </w:pPr>
      <w:r>
        <w:rPr>
          <w:rFonts w:ascii="Arial Narrow" w:hAnsi="Arial Narrow"/>
          <w:sz w:val="18"/>
          <w:szCs w:val="18"/>
        </w:rPr>
        <w:t>Source: Tables 2-17 to 2-20, pp75-78 of the submission.</w:t>
      </w:r>
    </w:p>
    <w:p w14:paraId="78203AB1" w14:textId="3BDEFB60" w:rsidR="00EF5A12" w:rsidRDefault="00EF5A12" w:rsidP="003315FD">
      <w:pPr>
        <w:keepNext/>
        <w:keepLines/>
        <w:tabs>
          <w:tab w:val="left" w:pos="142"/>
        </w:tabs>
        <w:rPr>
          <w:rFonts w:ascii="Arial Narrow" w:hAnsi="Arial Narrow"/>
          <w:sz w:val="18"/>
          <w:szCs w:val="18"/>
        </w:rPr>
      </w:pPr>
      <w:r>
        <w:rPr>
          <w:rFonts w:ascii="Arial Narrow" w:hAnsi="Arial Narrow"/>
          <w:sz w:val="18"/>
          <w:szCs w:val="18"/>
        </w:rPr>
        <w:t xml:space="preserve">ADT=androgen deprivation therapy; </w:t>
      </w:r>
      <w:r w:rsidRPr="009D71CD">
        <w:rPr>
          <w:rFonts w:ascii="Arial Narrow" w:hAnsi="Arial Narrow"/>
          <w:sz w:val="18"/>
          <w:szCs w:val="18"/>
        </w:rPr>
        <w:t xml:space="preserve">CI=confidence intervals; </w:t>
      </w:r>
      <w:r>
        <w:rPr>
          <w:rFonts w:ascii="Arial Narrow" w:hAnsi="Arial Narrow"/>
          <w:sz w:val="18"/>
          <w:szCs w:val="18"/>
        </w:rPr>
        <w:t xml:space="preserve">ENZA=enzalutamide; </w:t>
      </w:r>
      <w:r w:rsidRPr="009D71CD">
        <w:rPr>
          <w:rFonts w:ascii="Arial Narrow" w:hAnsi="Arial Narrow"/>
          <w:sz w:val="18"/>
          <w:szCs w:val="18"/>
        </w:rPr>
        <w:t xml:space="preserve">HR=hazard ratio; </w:t>
      </w:r>
      <w:r>
        <w:rPr>
          <w:rFonts w:ascii="Arial Narrow" w:hAnsi="Arial Narrow"/>
          <w:sz w:val="18"/>
          <w:szCs w:val="18"/>
        </w:rPr>
        <w:t xml:space="preserve">ITT=intention-to-treat; NR=not reached; PBO=placebo; </w:t>
      </w:r>
      <w:r w:rsidRPr="009D71CD">
        <w:rPr>
          <w:rFonts w:ascii="Arial Narrow" w:hAnsi="Arial Narrow"/>
          <w:sz w:val="18"/>
          <w:szCs w:val="18"/>
        </w:rPr>
        <w:t>PSA=prostate specific antigen</w:t>
      </w:r>
    </w:p>
    <w:p w14:paraId="07788CD1" w14:textId="77777777" w:rsidR="00EF5A12" w:rsidRDefault="00EF5A12" w:rsidP="003315FD">
      <w:pPr>
        <w:keepNext/>
        <w:keepLines/>
        <w:rPr>
          <w:rFonts w:ascii="Arial Narrow" w:hAnsi="Arial Narrow"/>
          <w:sz w:val="18"/>
          <w:szCs w:val="18"/>
        </w:rPr>
      </w:pPr>
      <w:r w:rsidRPr="00BF06FC">
        <w:rPr>
          <w:rFonts w:ascii="Arial Narrow" w:hAnsi="Arial Narrow"/>
          <w:b/>
          <w:sz w:val="18"/>
          <w:szCs w:val="18"/>
        </w:rPr>
        <w:t>Bold</w:t>
      </w:r>
      <w:r w:rsidRPr="00BF06FC">
        <w:rPr>
          <w:rFonts w:ascii="Arial Narrow" w:hAnsi="Arial Narrow"/>
          <w:sz w:val="18"/>
          <w:szCs w:val="18"/>
        </w:rPr>
        <w:t xml:space="preserve"> text indicates statistical significance at p&lt;0.05 level.</w:t>
      </w:r>
    </w:p>
    <w:p w14:paraId="36BEF2C9" w14:textId="77777777" w:rsidR="00EF5A12" w:rsidRDefault="00EF5A12" w:rsidP="003315FD">
      <w:pPr>
        <w:keepNext/>
        <w:keepLines/>
        <w:tabs>
          <w:tab w:val="left" w:pos="142"/>
        </w:tabs>
        <w:rPr>
          <w:rFonts w:ascii="Arial Narrow" w:hAnsi="Arial Narrow"/>
          <w:sz w:val="18"/>
          <w:szCs w:val="18"/>
        </w:rPr>
      </w:pPr>
      <w:r>
        <w:rPr>
          <w:rFonts w:ascii="Arial Narrow" w:hAnsi="Arial Narrow"/>
          <w:sz w:val="18"/>
          <w:szCs w:val="18"/>
        </w:rPr>
        <w:t>a</w:t>
      </w:r>
      <w:r>
        <w:rPr>
          <w:rFonts w:ascii="Arial Narrow" w:hAnsi="Arial Narrow"/>
          <w:sz w:val="18"/>
          <w:szCs w:val="18"/>
        </w:rPr>
        <w:tab/>
      </w:r>
      <w:r w:rsidRPr="00FE4E00">
        <w:rPr>
          <w:rFonts w:ascii="Arial Narrow" w:hAnsi="Arial Narrow"/>
          <w:sz w:val="18"/>
          <w:szCs w:val="18"/>
        </w:rPr>
        <w:t>Clopper-Pearson exact binomial confidence interval.</w:t>
      </w:r>
    </w:p>
    <w:p w14:paraId="5674E016" w14:textId="77777777" w:rsidR="00EF5A12" w:rsidRDefault="00EF5A12" w:rsidP="003315FD">
      <w:pPr>
        <w:keepNext/>
        <w:keepLines/>
        <w:tabs>
          <w:tab w:val="left" w:pos="142"/>
        </w:tabs>
        <w:ind w:left="140" w:hanging="140"/>
        <w:rPr>
          <w:rFonts w:ascii="Arial Narrow" w:hAnsi="Arial Narrow"/>
          <w:sz w:val="18"/>
          <w:szCs w:val="18"/>
        </w:rPr>
      </w:pPr>
      <w:r>
        <w:rPr>
          <w:rFonts w:ascii="Arial Narrow" w:hAnsi="Arial Narrow"/>
          <w:sz w:val="18"/>
          <w:szCs w:val="18"/>
        </w:rPr>
        <w:t>b</w:t>
      </w:r>
      <w:r>
        <w:rPr>
          <w:rFonts w:ascii="Arial Narrow" w:hAnsi="Arial Narrow"/>
          <w:sz w:val="18"/>
          <w:szCs w:val="18"/>
        </w:rPr>
        <w:tab/>
      </w:r>
      <w:r w:rsidRPr="00FE4E00">
        <w:rPr>
          <w:rFonts w:ascii="Arial Narrow" w:hAnsi="Arial Narrow"/>
          <w:sz w:val="18"/>
          <w:szCs w:val="18"/>
        </w:rPr>
        <w:t>Proportion in ENZA+</w:t>
      </w:r>
      <w:r>
        <w:rPr>
          <w:rFonts w:ascii="Arial Narrow" w:hAnsi="Arial Narrow"/>
          <w:sz w:val="18"/>
          <w:szCs w:val="18"/>
        </w:rPr>
        <w:t>ADT group</w:t>
      </w:r>
      <w:r w:rsidRPr="00FE4E00">
        <w:rPr>
          <w:rFonts w:ascii="Arial Narrow" w:hAnsi="Arial Narrow"/>
          <w:sz w:val="18"/>
          <w:szCs w:val="18"/>
        </w:rPr>
        <w:t xml:space="preserve"> minus proportion in PBO</w:t>
      </w:r>
      <w:r>
        <w:rPr>
          <w:rFonts w:ascii="Arial Narrow" w:hAnsi="Arial Narrow"/>
          <w:sz w:val="18"/>
          <w:szCs w:val="18"/>
        </w:rPr>
        <w:t>+ADT</w:t>
      </w:r>
      <w:r w:rsidRPr="00FE4E00">
        <w:rPr>
          <w:rFonts w:ascii="Arial Narrow" w:hAnsi="Arial Narrow"/>
          <w:sz w:val="18"/>
          <w:szCs w:val="18"/>
        </w:rPr>
        <w:t>, or proportion in ENZA arm minus proportion in</w:t>
      </w:r>
      <w:r>
        <w:rPr>
          <w:rFonts w:ascii="Arial Narrow" w:hAnsi="Arial Narrow"/>
          <w:sz w:val="18"/>
          <w:szCs w:val="18"/>
        </w:rPr>
        <w:t xml:space="preserve"> </w:t>
      </w:r>
      <w:r w:rsidRPr="00FE4E00">
        <w:rPr>
          <w:rFonts w:ascii="Arial Narrow" w:hAnsi="Arial Narrow"/>
          <w:sz w:val="18"/>
          <w:szCs w:val="18"/>
        </w:rPr>
        <w:t>PBO+</w:t>
      </w:r>
      <w:r>
        <w:rPr>
          <w:rFonts w:ascii="Arial Narrow" w:hAnsi="Arial Narrow"/>
          <w:sz w:val="18"/>
          <w:szCs w:val="18"/>
        </w:rPr>
        <w:t>ADT group</w:t>
      </w:r>
      <w:r w:rsidRPr="00FE4E00">
        <w:rPr>
          <w:rFonts w:ascii="Arial Narrow" w:hAnsi="Arial Narrow"/>
          <w:sz w:val="18"/>
          <w:szCs w:val="18"/>
        </w:rPr>
        <w:t>. 95% CI is based on Wald type method.</w:t>
      </w:r>
    </w:p>
    <w:p w14:paraId="5CC58861" w14:textId="77777777" w:rsidR="00EF5A12" w:rsidRDefault="00EF5A12" w:rsidP="003315FD">
      <w:pPr>
        <w:keepNext/>
        <w:keepLines/>
        <w:tabs>
          <w:tab w:val="left" w:pos="142"/>
        </w:tabs>
        <w:rPr>
          <w:rFonts w:ascii="Arial Narrow" w:hAnsi="Arial Narrow"/>
          <w:sz w:val="18"/>
          <w:szCs w:val="18"/>
        </w:rPr>
      </w:pPr>
      <w:r>
        <w:rPr>
          <w:rFonts w:ascii="Arial Narrow" w:hAnsi="Arial Narrow"/>
          <w:sz w:val="18"/>
          <w:szCs w:val="18"/>
        </w:rPr>
        <w:t>c</w:t>
      </w:r>
      <w:r>
        <w:rPr>
          <w:rFonts w:ascii="Arial Narrow" w:hAnsi="Arial Narrow"/>
          <w:sz w:val="18"/>
          <w:szCs w:val="18"/>
        </w:rPr>
        <w:tab/>
      </w:r>
      <w:r w:rsidRPr="003E3663">
        <w:rPr>
          <w:rFonts w:ascii="Arial Narrow" w:hAnsi="Arial Narrow"/>
          <w:sz w:val="18"/>
          <w:szCs w:val="18"/>
        </w:rPr>
        <w:t>Based on the hormonal therapy restarted after treatment suspension at week 37 due to undetectable PSA.</w:t>
      </w:r>
    </w:p>
    <w:p w14:paraId="210DC9A8" w14:textId="77777777" w:rsidR="00EF5A12" w:rsidRPr="00BF06FC" w:rsidRDefault="00EF5A12" w:rsidP="003315FD">
      <w:pPr>
        <w:keepNext/>
        <w:keepLines/>
        <w:tabs>
          <w:tab w:val="left" w:pos="142"/>
        </w:tabs>
        <w:ind w:left="140" w:hanging="140"/>
        <w:rPr>
          <w:rFonts w:ascii="Arial Narrow" w:hAnsi="Arial Narrow"/>
          <w:sz w:val="18"/>
          <w:szCs w:val="18"/>
        </w:rPr>
      </w:pPr>
      <w:r>
        <w:rPr>
          <w:rFonts w:ascii="Arial Narrow" w:hAnsi="Arial Narrow"/>
          <w:sz w:val="18"/>
          <w:szCs w:val="18"/>
        </w:rPr>
        <w:t>d</w:t>
      </w:r>
      <w:r>
        <w:rPr>
          <w:rFonts w:ascii="Arial Narrow" w:hAnsi="Arial Narrow"/>
          <w:sz w:val="18"/>
          <w:szCs w:val="18"/>
        </w:rPr>
        <w:tab/>
      </w:r>
      <w:r w:rsidRPr="003E3663">
        <w:rPr>
          <w:rFonts w:ascii="Arial Narrow" w:hAnsi="Arial Narrow"/>
          <w:sz w:val="18"/>
          <w:szCs w:val="18"/>
        </w:rPr>
        <w:t>Two-sided P value is based on a stratified log rank test by screening PSA, PSA doubling time, and prior hormonal therapy. Hazard ratio is based on a Cox regression model stratified by factors defined above and is relative to PBO+LA with &lt;1 favouring ENZA+</w:t>
      </w:r>
      <w:r>
        <w:rPr>
          <w:rFonts w:ascii="Arial Narrow" w:hAnsi="Arial Narrow"/>
          <w:sz w:val="18"/>
          <w:szCs w:val="18"/>
        </w:rPr>
        <w:t>ADT</w:t>
      </w:r>
      <w:r w:rsidRPr="003E3663">
        <w:rPr>
          <w:rFonts w:ascii="Arial Narrow" w:hAnsi="Arial Narrow"/>
          <w:sz w:val="18"/>
          <w:szCs w:val="18"/>
        </w:rPr>
        <w:t xml:space="preserve"> and PBO+</w:t>
      </w:r>
      <w:r>
        <w:rPr>
          <w:rFonts w:ascii="Arial Narrow" w:hAnsi="Arial Narrow"/>
          <w:sz w:val="18"/>
          <w:szCs w:val="18"/>
        </w:rPr>
        <w:t>ADT</w:t>
      </w:r>
      <w:r w:rsidRPr="003E3663">
        <w:rPr>
          <w:rFonts w:ascii="Arial Narrow" w:hAnsi="Arial Narrow"/>
          <w:sz w:val="18"/>
          <w:szCs w:val="18"/>
        </w:rPr>
        <w:t xml:space="preserve"> with &lt;1 favouring ENZA.</w:t>
      </w:r>
    </w:p>
    <w:p w14:paraId="79D843F4" w14:textId="3C6CEA76" w:rsidR="001C652D" w:rsidRPr="00EF5A12" w:rsidRDefault="00EF5A12" w:rsidP="00CF70FB">
      <w:pPr>
        <w:pStyle w:val="3-BodyText"/>
      </w:pPr>
      <w:r>
        <w:t xml:space="preserve">Of the patients with treatment suspension </w:t>
      </w:r>
      <w:r w:rsidR="00FF1F6D">
        <w:t xml:space="preserve">from </w:t>
      </w:r>
      <w:r>
        <w:t>Week 37 due to undetectable PSA, treatment with enzalutamide plus ADT compared to ADT alone had a 31% reduction in the risk of re-initiation of hormonal therapy (</w:t>
      </w:r>
      <w:r w:rsidRPr="00E5372D">
        <w:t>HR=0.69</w:t>
      </w:r>
      <w:r>
        <w:t xml:space="preserve">, </w:t>
      </w:r>
      <w:r w:rsidRPr="00E5372D">
        <w:t>95%</w:t>
      </w:r>
      <w:r w:rsidR="006A4FCD">
        <w:t xml:space="preserve"> </w:t>
      </w:r>
      <w:r w:rsidRPr="00E5372D">
        <w:t>CI: 0.5</w:t>
      </w:r>
      <w:r>
        <w:t>8</w:t>
      </w:r>
      <w:r w:rsidRPr="00E5372D">
        <w:t>, 0.83</w:t>
      </w:r>
      <w:r>
        <w:t xml:space="preserve">). Whereas patients treated with enzalutamide monotherapy compared to ADT alone showed </w:t>
      </w:r>
      <w:r w:rsidR="00C60F37">
        <w:t xml:space="preserve">an </w:t>
      </w:r>
      <w:r>
        <w:t>increased risk of re-initiation of hormonal therapy (HR=1.66, 95%</w:t>
      </w:r>
      <w:r w:rsidR="006A4FCD">
        <w:t xml:space="preserve"> </w:t>
      </w:r>
      <w:r>
        <w:t>CI: 1.38, 1.98). The median time to resumption of hormonal therapy was longer in the enzalutamide plus ADT group (19.6 months) compared to ADT alone (16.8 months) and enzalutamide monotherapy group (10.5 months).</w:t>
      </w:r>
    </w:p>
    <w:p w14:paraId="7901ED5C" w14:textId="77777777" w:rsidR="00E4253F" w:rsidRPr="00414980" w:rsidRDefault="00E4253F" w:rsidP="00E4253F">
      <w:pPr>
        <w:rPr>
          <w:u w:val="single"/>
        </w:rPr>
      </w:pPr>
      <w:r>
        <w:rPr>
          <w:u w:val="single"/>
        </w:rPr>
        <w:t>Patient reported QoL</w:t>
      </w:r>
    </w:p>
    <w:p w14:paraId="5636E567" w14:textId="61C0F0CE" w:rsidR="00B80D2B" w:rsidRDefault="005C6580" w:rsidP="00B80D2B">
      <w:pPr>
        <w:pStyle w:val="3-BodyText"/>
      </w:pPr>
      <w:r w:rsidRPr="005C6580">
        <w:t>The</w:t>
      </w:r>
      <w:r>
        <w:t xml:space="preserve"> results for the EQ-5D-5L in EMBARK showed</w:t>
      </w:r>
      <w:r w:rsidRPr="005C6580">
        <w:t xml:space="preserve"> no difference between treatment groups in the time to first and clinically meaningful deterioration in EQ-5D-5L. Longitudinally, change from baseline in EQ-5D-5L VAS score was maintained to Week 205. The EQ-5D-5L VAS scores was maintained in over 60% of patients over time.</w:t>
      </w:r>
      <w:r w:rsidR="00B80D2B">
        <w:t xml:space="preserve"> </w:t>
      </w:r>
      <w:r w:rsidR="0091362A">
        <w:t xml:space="preserve">There was no difference between enzalutamide plus ADT and enzalutamide monotherapy compared to ADT alone in the time to first and clinically meaningful deterioration in </w:t>
      </w:r>
      <w:r w:rsidR="00B80D2B">
        <w:t>other QoL outcomes (</w:t>
      </w:r>
      <w:r w:rsidR="0091362A">
        <w:t>BPI-SF worst pain</w:t>
      </w:r>
      <w:r w:rsidR="00B80D2B">
        <w:t>,</w:t>
      </w:r>
      <w:r w:rsidR="0091362A">
        <w:t xml:space="preserve"> FACT-P total score</w:t>
      </w:r>
      <w:r w:rsidR="00B80D2B">
        <w:t>) with the exception of QLQ-PR25 (favouring ADT versus enzalutamide plus ADT, and enzalutamide monotherapy versus ADT)</w:t>
      </w:r>
      <w:r w:rsidR="0091362A">
        <w:t>.</w:t>
      </w:r>
    </w:p>
    <w:p w14:paraId="1452C351" w14:textId="0D19F1B0" w:rsidR="00B60939" w:rsidRPr="0098262F" w:rsidRDefault="00B60939" w:rsidP="00D86231">
      <w:pPr>
        <w:pStyle w:val="4-SubsectionHeading"/>
      </w:pPr>
      <w:bookmarkStart w:id="28" w:name="_Toc22897642"/>
      <w:bookmarkStart w:id="29" w:name="_Toc177371546"/>
      <w:r w:rsidRPr="0098262F">
        <w:lastRenderedPageBreak/>
        <w:t>Comparative harms</w:t>
      </w:r>
      <w:bookmarkEnd w:id="28"/>
      <w:bookmarkEnd w:id="29"/>
    </w:p>
    <w:p w14:paraId="4DEAA981" w14:textId="6981D5C6" w:rsidR="005C6580" w:rsidRDefault="000D3ECC" w:rsidP="00D86231">
      <w:pPr>
        <w:pStyle w:val="3-BodyText"/>
      </w:pPr>
      <w:r>
        <w:fldChar w:fldCharType="begin" w:fldLock="1"/>
      </w:r>
      <w:r>
        <w:instrText xml:space="preserve"> REF _Ref176769042 \h </w:instrText>
      </w:r>
      <w:r>
        <w:fldChar w:fldCharType="separate"/>
      </w:r>
      <w:r w:rsidR="006619E7">
        <w:t xml:space="preserve">Table </w:t>
      </w:r>
      <w:r w:rsidR="006619E7">
        <w:rPr>
          <w:noProof/>
        </w:rPr>
        <w:t>8</w:t>
      </w:r>
      <w:r>
        <w:fldChar w:fldCharType="end"/>
      </w:r>
      <w:r>
        <w:t xml:space="preserve"> </w:t>
      </w:r>
      <w:r w:rsidR="005C6580" w:rsidRPr="005C6580">
        <w:t xml:space="preserve">summarises the treatment emergent </w:t>
      </w:r>
      <w:r w:rsidR="005420F7">
        <w:t>adverse events</w:t>
      </w:r>
      <w:r w:rsidR="005C6580" w:rsidRPr="005C6580">
        <w:t xml:space="preserve"> (TEAEs) and </w:t>
      </w:r>
      <w:r w:rsidR="005420F7">
        <w:t>adverse events (</w:t>
      </w:r>
      <w:r w:rsidR="005C6580" w:rsidRPr="005C6580">
        <w:t>AEs</w:t>
      </w:r>
      <w:r w:rsidR="005420F7">
        <w:t>)</w:t>
      </w:r>
      <w:r w:rsidR="005C6580" w:rsidRPr="005C6580">
        <w:t xml:space="preserve"> of special interest in EMBARK over the duration of treatment (including the period of treatment suspension, if applicable).</w:t>
      </w:r>
    </w:p>
    <w:p w14:paraId="579FB61E" w14:textId="4017EA8C" w:rsidR="000941B2" w:rsidRPr="000D3ECC" w:rsidRDefault="000D3ECC" w:rsidP="000D3ECC">
      <w:pPr>
        <w:pStyle w:val="Caption"/>
        <w:rPr>
          <w:szCs w:val="20"/>
        </w:rPr>
      </w:pPr>
      <w:bookmarkStart w:id="30" w:name="_Ref176769042"/>
      <w:r>
        <w:t xml:space="preserve">Table </w:t>
      </w:r>
      <w:r>
        <w:fldChar w:fldCharType="begin" w:fldLock="1"/>
      </w:r>
      <w:r>
        <w:instrText xml:space="preserve"> SEQ Table \* ARABIC </w:instrText>
      </w:r>
      <w:r>
        <w:fldChar w:fldCharType="separate"/>
      </w:r>
      <w:r w:rsidR="00DF24EF">
        <w:rPr>
          <w:noProof/>
        </w:rPr>
        <w:t>8</w:t>
      </w:r>
      <w:r>
        <w:rPr>
          <w:noProof/>
        </w:rPr>
        <w:fldChar w:fldCharType="end"/>
      </w:r>
      <w:bookmarkEnd w:id="30"/>
      <w:r>
        <w:t xml:space="preserve">: </w:t>
      </w:r>
      <w:r w:rsidR="000941B2" w:rsidRPr="000D3ECC">
        <w:rPr>
          <w:szCs w:val="20"/>
        </w:rPr>
        <w:t>TEAEs, common AEs and AEs of special interest in EMBARK (safety population).</w:t>
      </w:r>
    </w:p>
    <w:tbl>
      <w:tblPr>
        <w:tblStyle w:val="TableGrid"/>
        <w:tblW w:w="0" w:type="auto"/>
        <w:tblCellMar>
          <w:left w:w="28" w:type="dxa"/>
          <w:right w:w="28" w:type="dxa"/>
        </w:tblCellMar>
        <w:tblLook w:val="04A0" w:firstRow="1" w:lastRow="0" w:firstColumn="1" w:lastColumn="0" w:noHBand="0" w:noVBand="1"/>
        <w:tblCaption w:val="Table 8: TEAEs, common AEs and AEs of special interest in EMBARK (safety population)."/>
      </w:tblPr>
      <w:tblGrid>
        <w:gridCol w:w="2547"/>
        <w:gridCol w:w="1168"/>
        <w:gridCol w:w="1100"/>
        <w:gridCol w:w="992"/>
        <w:gridCol w:w="1707"/>
        <w:gridCol w:w="1503"/>
      </w:tblGrid>
      <w:tr w:rsidR="000941B2" w:rsidRPr="00A00E1D" w14:paraId="2B5CACD8" w14:textId="77777777" w:rsidTr="00C32E2B">
        <w:tc>
          <w:tcPr>
            <w:tcW w:w="2547" w:type="dxa"/>
            <w:vMerge w:val="restart"/>
            <w:vAlign w:val="center"/>
          </w:tcPr>
          <w:p w14:paraId="251A8F77" w14:textId="2D1D7E2D" w:rsidR="000941B2" w:rsidRPr="00E72925" w:rsidRDefault="000941B2" w:rsidP="003A3EB9">
            <w:pPr>
              <w:keepNext/>
              <w:jc w:val="left"/>
              <w:rPr>
                <w:rFonts w:ascii="Arial Narrow" w:hAnsi="Arial Narrow"/>
                <w:b/>
                <w:sz w:val="20"/>
                <w:szCs w:val="20"/>
              </w:rPr>
            </w:pPr>
            <w:r w:rsidRPr="00E72925">
              <w:rPr>
                <w:rFonts w:ascii="Arial Narrow" w:hAnsi="Arial Narrow"/>
                <w:b/>
                <w:sz w:val="20"/>
                <w:szCs w:val="20"/>
              </w:rPr>
              <w:t>AEs</w:t>
            </w:r>
            <w:r>
              <w:rPr>
                <w:rFonts w:ascii="Arial Narrow" w:hAnsi="Arial Narrow"/>
                <w:b/>
                <w:sz w:val="20"/>
                <w:szCs w:val="20"/>
              </w:rPr>
              <w:t>, n</w:t>
            </w:r>
            <w:r w:rsidR="006A4FCD">
              <w:rPr>
                <w:rFonts w:ascii="Arial Narrow" w:hAnsi="Arial Narrow"/>
                <w:b/>
                <w:sz w:val="20"/>
                <w:szCs w:val="20"/>
              </w:rPr>
              <w:t xml:space="preserve"> </w:t>
            </w:r>
            <w:r>
              <w:rPr>
                <w:rFonts w:ascii="Arial Narrow" w:hAnsi="Arial Narrow"/>
                <w:b/>
                <w:sz w:val="20"/>
                <w:szCs w:val="20"/>
              </w:rPr>
              <w:t>(%)</w:t>
            </w:r>
          </w:p>
        </w:tc>
        <w:tc>
          <w:tcPr>
            <w:tcW w:w="1168" w:type="dxa"/>
            <w:tcBorders>
              <w:bottom w:val="nil"/>
            </w:tcBorders>
            <w:vAlign w:val="center"/>
          </w:tcPr>
          <w:p w14:paraId="06FE97A9" w14:textId="77777777" w:rsidR="000941B2" w:rsidRPr="00E72925" w:rsidRDefault="000941B2" w:rsidP="003A3EB9">
            <w:pPr>
              <w:keepNext/>
              <w:jc w:val="center"/>
              <w:rPr>
                <w:rFonts w:ascii="Arial Narrow" w:hAnsi="Arial Narrow"/>
                <w:b/>
                <w:sz w:val="20"/>
                <w:szCs w:val="20"/>
              </w:rPr>
            </w:pPr>
            <w:r w:rsidRPr="00E72925">
              <w:rPr>
                <w:rFonts w:ascii="Arial Narrow" w:hAnsi="Arial Narrow"/>
                <w:b/>
                <w:sz w:val="20"/>
                <w:szCs w:val="20"/>
              </w:rPr>
              <w:t>ENZA + ADT</w:t>
            </w:r>
          </w:p>
        </w:tc>
        <w:tc>
          <w:tcPr>
            <w:tcW w:w="1100" w:type="dxa"/>
            <w:tcBorders>
              <w:bottom w:val="nil"/>
            </w:tcBorders>
            <w:vAlign w:val="center"/>
          </w:tcPr>
          <w:p w14:paraId="700CD02F" w14:textId="77777777" w:rsidR="000941B2" w:rsidRPr="00E72925" w:rsidRDefault="000941B2" w:rsidP="003A3EB9">
            <w:pPr>
              <w:keepNext/>
              <w:jc w:val="center"/>
              <w:rPr>
                <w:rFonts w:ascii="Arial Narrow" w:hAnsi="Arial Narrow"/>
                <w:b/>
                <w:sz w:val="20"/>
                <w:szCs w:val="20"/>
              </w:rPr>
            </w:pPr>
            <w:r w:rsidRPr="00E72925">
              <w:rPr>
                <w:rFonts w:ascii="Arial Narrow" w:hAnsi="Arial Narrow"/>
                <w:b/>
                <w:sz w:val="20"/>
                <w:szCs w:val="20"/>
              </w:rPr>
              <w:t>ENZA</w:t>
            </w:r>
          </w:p>
        </w:tc>
        <w:tc>
          <w:tcPr>
            <w:tcW w:w="992" w:type="dxa"/>
            <w:tcBorders>
              <w:bottom w:val="nil"/>
            </w:tcBorders>
            <w:vAlign w:val="center"/>
          </w:tcPr>
          <w:p w14:paraId="369B9835" w14:textId="77777777" w:rsidR="000941B2" w:rsidRPr="00E72925" w:rsidRDefault="000941B2" w:rsidP="003A3EB9">
            <w:pPr>
              <w:keepNext/>
              <w:jc w:val="center"/>
              <w:rPr>
                <w:rFonts w:ascii="Arial Narrow" w:hAnsi="Arial Narrow"/>
                <w:b/>
                <w:sz w:val="20"/>
                <w:szCs w:val="20"/>
              </w:rPr>
            </w:pPr>
            <w:r w:rsidRPr="00E72925">
              <w:rPr>
                <w:rFonts w:ascii="Arial Narrow" w:hAnsi="Arial Narrow"/>
                <w:b/>
                <w:sz w:val="20"/>
                <w:szCs w:val="20"/>
              </w:rPr>
              <w:t>PBO + ADT</w:t>
            </w:r>
          </w:p>
        </w:tc>
        <w:tc>
          <w:tcPr>
            <w:tcW w:w="3210" w:type="dxa"/>
            <w:gridSpan w:val="2"/>
            <w:vAlign w:val="center"/>
          </w:tcPr>
          <w:p w14:paraId="0A2AE9EC" w14:textId="2961EF13" w:rsidR="000941B2" w:rsidRPr="00E72925" w:rsidRDefault="000941B2" w:rsidP="003A3EB9">
            <w:pPr>
              <w:keepNext/>
              <w:jc w:val="center"/>
              <w:rPr>
                <w:rFonts w:ascii="Arial Narrow" w:hAnsi="Arial Narrow"/>
                <w:b/>
                <w:sz w:val="20"/>
                <w:szCs w:val="20"/>
              </w:rPr>
            </w:pPr>
            <w:r w:rsidRPr="00E72925">
              <w:rPr>
                <w:rFonts w:ascii="Arial Narrow" w:hAnsi="Arial Narrow"/>
                <w:b/>
                <w:sz w:val="20"/>
                <w:szCs w:val="20"/>
              </w:rPr>
              <w:t>RD (95%</w:t>
            </w:r>
            <w:r w:rsidR="006A4FCD">
              <w:rPr>
                <w:rFonts w:ascii="Arial Narrow" w:hAnsi="Arial Narrow"/>
                <w:b/>
                <w:sz w:val="20"/>
                <w:szCs w:val="20"/>
              </w:rPr>
              <w:t xml:space="preserve"> </w:t>
            </w:r>
            <w:r w:rsidRPr="00E72925">
              <w:rPr>
                <w:rFonts w:ascii="Arial Narrow" w:hAnsi="Arial Narrow"/>
                <w:b/>
                <w:sz w:val="20"/>
                <w:szCs w:val="20"/>
              </w:rPr>
              <w:t>CI)</w:t>
            </w:r>
            <w:r>
              <w:rPr>
                <w:rFonts w:ascii="Arial Narrow" w:hAnsi="Arial Narrow"/>
                <w:b/>
                <w:sz w:val="20"/>
                <w:szCs w:val="20"/>
              </w:rPr>
              <w:t>*</w:t>
            </w:r>
          </w:p>
        </w:tc>
      </w:tr>
      <w:tr w:rsidR="000941B2" w:rsidRPr="00A00E1D" w14:paraId="226AAAA7" w14:textId="77777777" w:rsidTr="00C32E2B">
        <w:tc>
          <w:tcPr>
            <w:tcW w:w="2547" w:type="dxa"/>
            <w:vMerge/>
          </w:tcPr>
          <w:p w14:paraId="1D5FB775" w14:textId="77777777" w:rsidR="000941B2" w:rsidRPr="00E72925" w:rsidRDefault="000941B2" w:rsidP="003A3EB9">
            <w:pPr>
              <w:keepNext/>
              <w:rPr>
                <w:rFonts w:ascii="Arial Narrow" w:hAnsi="Arial Narrow"/>
                <w:b/>
                <w:sz w:val="20"/>
                <w:szCs w:val="20"/>
              </w:rPr>
            </w:pPr>
          </w:p>
        </w:tc>
        <w:tc>
          <w:tcPr>
            <w:tcW w:w="1168" w:type="dxa"/>
            <w:tcBorders>
              <w:top w:val="nil"/>
            </w:tcBorders>
            <w:vAlign w:val="center"/>
          </w:tcPr>
          <w:p w14:paraId="7C0DC6F0" w14:textId="77777777" w:rsidR="000941B2" w:rsidRPr="00E72925" w:rsidRDefault="000941B2" w:rsidP="003A3EB9">
            <w:pPr>
              <w:keepNext/>
              <w:jc w:val="center"/>
              <w:rPr>
                <w:rFonts w:ascii="Arial Narrow" w:hAnsi="Arial Narrow"/>
                <w:b/>
                <w:sz w:val="20"/>
                <w:szCs w:val="20"/>
              </w:rPr>
            </w:pPr>
            <w:r w:rsidRPr="00E72925">
              <w:rPr>
                <w:rFonts w:ascii="Arial Narrow" w:hAnsi="Arial Narrow"/>
                <w:b/>
                <w:sz w:val="20"/>
                <w:szCs w:val="20"/>
              </w:rPr>
              <w:t>N=35</w:t>
            </w:r>
            <w:r>
              <w:rPr>
                <w:rFonts w:ascii="Arial Narrow" w:hAnsi="Arial Narrow"/>
                <w:b/>
                <w:sz w:val="20"/>
                <w:szCs w:val="20"/>
              </w:rPr>
              <w:t>3</w:t>
            </w:r>
          </w:p>
        </w:tc>
        <w:tc>
          <w:tcPr>
            <w:tcW w:w="1100" w:type="dxa"/>
            <w:tcBorders>
              <w:top w:val="nil"/>
            </w:tcBorders>
            <w:vAlign w:val="center"/>
          </w:tcPr>
          <w:p w14:paraId="3795D14F" w14:textId="77777777" w:rsidR="000941B2" w:rsidRPr="00E72925" w:rsidRDefault="000941B2" w:rsidP="003A3EB9">
            <w:pPr>
              <w:keepNext/>
              <w:jc w:val="center"/>
              <w:rPr>
                <w:rFonts w:ascii="Arial Narrow" w:hAnsi="Arial Narrow"/>
                <w:b/>
                <w:sz w:val="20"/>
                <w:szCs w:val="20"/>
              </w:rPr>
            </w:pPr>
            <w:r w:rsidRPr="00E72925">
              <w:rPr>
                <w:rFonts w:ascii="Arial Narrow" w:hAnsi="Arial Narrow"/>
                <w:b/>
                <w:sz w:val="20"/>
                <w:szCs w:val="20"/>
              </w:rPr>
              <w:t>N=354</w:t>
            </w:r>
          </w:p>
        </w:tc>
        <w:tc>
          <w:tcPr>
            <w:tcW w:w="992" w:type="dxa"/>
            <w:tcBorders>
              <w:top w:val="nil"/>
            </w:tcBorders>
            <w:vAlign w:val="center"/>
          </w:tcPr>
          <w:p w14:paraId="098BA1BD" w14:textId="77777777" w:rsidR="000941B2" w:rsidRPr="00E72925" w:rsidRDefault="000941B2" w:rsidP="003A3EB9">
            <w:pPr>
              <w:keepNext/>
              <w:jc w:val="center"/>
              <w:rPr>
                <w:rFonts w:ascii="Arial Narrow" w:hAnsi="Arial Narrow"/>
                <w:b/>
                <w:sz w:val="20"/>
                <w:szCs w:val="20"/>
              </w:rPr>
            </w:pPr>
            <w:r w:rsidRPr="00E72925">
              <w:rPr>
                <w:rFonts w:ascii="Arial Narrow" w:hAnsi="Arial Narrow"/>
                <w:b/>
                <w:sz w:val="20"/>
                <w:szCs w:val="20"/>
              </w:rPr>
              <w:t>N=354</w:t>
            </w:r>
          </w:p>
        </w:tc>
        <w:tc>
          <w:tcPr>
            <w:tcW w:w="1707" w:type="dxa"/>
            <w:tcBorders>
              <w:top w:val="nil"/>
            </w:tcBorders>
            <w:vAlign w:val="center"/>
          </w:tcPr>
          <w:p w14:paraId="4CC88190" w14:textId="77777777" w:rsidR="000941B2" w:rsidRPr="00FF1F6D" w:rsidRDefault="000941B2" w:rsidP="003A3EB9">
            <w:pPr>
              <w:keepNext/>
              <w:jc w:val="center"/>
              <w:rPr>
                <w:rFonts w:ascii="Arial Narrow" w:hAnsi="Arial Narrow"/>
                <w:b/>
                <w:sz w:val="16"/>
                <w:szCs w:val="16"/>
              </w:rPr>
            </w:pPr>
            <w:r w:rsidRPr="00FF1F6D">
              <w:rPr>
                <w:rFonts w:ascii="Arial Narrow" w:hAnsi="Arial Narrow"/>
                <w:b/>
                <w:sz w:val="16"/>
                <w:szCs w:val="16"/>
              </w:rPr>
              <w:t>ENZA + ADT v PBO + ADT</w:t>
            </w:r>
          </w:p>
        </w:tc>
        <w:tc>
          <w:tcPr>
            <w:tcW w:w="1503" w:type="dxa"/>
            <w:vAlign w:val="center"/>
          </w:tcPr>
          <w:p w14:paraId="431F4A1A" w14:textId="77777777" w:rsidR="000941B2" w:rsidRPr="00FF1F6D" w:rsidRDefault="000941B2" w:rsidP="003A3EB9">
            <w:pPr>
              <w:keepNext/>
              <w:jc w:val="center"/>
              <w:rPr>
                <w:rFonts w:ascii="Arial Narrow" w:hAnsi="Arial Narrow"/>
                <w:b/>
                <w:sz w:val="16"/>
                <w:szCs w:val="16"/>
              </w:rPr>
            </w:pPr>
            <w:r w:rsidRPr="00FF1F6D">
              <w:rPr>
                <w:rFonts w:ascii="Arial Narrow" w:hAnsi="Arial Narrow"/>
                <w:b/>
                <w:sz w:val="16"/>
                <w:szCs w:val="16"/>
              </w:rPr>
              <w:t>ENZA v PBO + ADT</w:t>
            </w:r>
          </w:p>
        </w:tc>
      </w:tr>
      <w:tr w:rsidR="000941B2" w:rsidRPr="00A00E1D" w14:paraId="1DDE2487" w14:textId="77777777" w:rsidTr="00C32E2B">
        <w:tc>
          <w:tcPr>
            <w:tcW w:w="2547" w:type="dxa"/>
          </w:tcPr>
          <w:p w14:paraId="71218F06" w14:textId="77777777" w:rsidR="000941B2" w:rsidRPr="00A00E1D" w:rsidRDefault="000941B2" w:rsidP="003A3EB9">
            <w:pPr>
              <w:keepNext/>
              <w:rPr>
                <w:rFonts w:ascii="Arial Narrow" w:hAnsi="Arial Narrow"/>
                <w:sz w:val="20"/>
                <w:szCs w:val="20"/>
              </w:rPr>
            </w:pPr>
            <w:r>
              <w:rPr>
                <w:rFonts w:ascii="Arial Narrow" w:hAnsi="Arial Narrow"/>
                <w:sz w:val="20"/>
                <w:szCs w:val="20"/>
              </w:rPr>
              <w:t>Any TEAEs</w:t>
            </w:r>
          </w:p>
        </w:tc>
        <w:tc>
          <w:tcPr>
            <w:tcW w:w="1168" w:type="dxa"/>
            <w:vAlign w:val="center"/>
          </w:tcPr>
          <w:p w14:paraId="2F78C886" w14:textId="77777777" w:rsidR="000941B2" w:rsidRPr="00A00E1D" w:rsidRDefault="000941B2" w:rsidP="003A3EB9">
            <w:pPr>
              <w:keepNext/>
              <w:jc w:val="center"/>
              <w:rPr>
                <w:rFonts w:ascii="Arial Narrow" w:hAnsi="Arial Narrow"/>
                <w:sz w:val="20"/>
                <w:szCs w:val="20"/>
              </w:rPr>
            </w:pPr>
            <w:r>
              <w:rPr>
                <w:rFonts w:ascii="Arial Narrow" w:hAnsi="Arial Narrow"/>
                <w:sz w:val="20"/>
                <w:szCs w:val="20"/>
              </w:rPr>
              <w:t>343 (97.3)</w:t>
            </w:r>
          </w:p>
        </w:tc>
        <w:tc>
          <w:tcPr>
            <w:tcW w:w="1100" w:type="dxa"/>
            <w:vAlign w:val="center"/>
          </w:tcPr>
          <w:p w14:paraId="47B19385" w14:textId="77777777" w:rsidR="000941B2" w:rsidRPr="00A00E1D" w:rsidRDefault="000941B2" w:rsidP="003A3EB9">
            <w:pPr>
              <w:keepNext/>
              <w:jc w:val="center"/>
              <w:rPr>
                <w:rFonts w:ascii="Arial Narrow" w:hAnsi="Arial Narrow"/>
                <w:sz w:val="20"/>
                <w:szCs w:val="20"/>
              </w:rPr>
            </w:pPr>
            <w:r>
              <w:rPr>
                <w:rFonts w:ascii="Arial Narrow" w:hAnsi="Arial Narrow"/>
                <w:sz w:val="20"/>
                <w:szCs w:val="20"/>
              </w:rPr>
              <w:t>347 (98.0)</w:t>
            </w:r>
          </w:p>
        </w:tc>
        <w:tc>
          <w:tcPr>
            <w:tcW w:w="992" w:type="dxa"/>
            <w:vAlign w:val="center"/>
          </w:tcPr>
          <w:p w14:paraId="0275432A" w14:textId="77777777" w:rsidR="000941B2" w:rsidRPr="00A00E1D" w:rsidRDefault="000941B2" w:rsidP="003A3EB9">
            <w:pPr>
              <w:keepNext/>
              <w:jc w:val="center"/>
              <w:rPr>
                <w:rFonts w:ascii="Arial Narrow" w:hAnsi="Arial Narrow"/>
                <w:sz w:val="20"/>
                <w:szCs w:val="20"/>
              </w:rPr>
            </w:pPr>
            <w:r w:rsidRPr="00E72925">
              <w:rPr>
                <w:rFonts w:ascii="Arial Narrow" w:hAnsi="Arial Narrow"/>
                <w:sz w:val="20"/>
                <w:szCs w:val="20"/>
              </w:rPr>
              <w:t>345 (97.5)</w:t>
            </w:r>
          </w:p>
        </w:tc>
        <w:tc>
          <w:tcPr>
            <w:tcW w:w="1707" w:type="dxa"/>
            <w:vAlign w:val="center"/>
          </w:tcPr>
          <w:p w14:paraId="679E60AC" w14:textId="77777777" w:rsidR="000941B2" w:rsidRPr="00FF1F6D" w:rsidRDefault="000941B2" w:rsidP="003A3EB9">
            <w:pPr>
              <w:keepNext/>
              <w:jc w:val="center"/>
              <w:rPr>
                <w:rFonts w:ascii="Arial Narrow" w:hAnsi="Arial Narrow"/>
                <w:sz w:val="20"/>
                <w:szCs w:val="20"/>
              </w:rPr>
            </w:pPr>
            <w:r w:rsidRPr="00FF1F6D">
              <w:rPr>
                <w:rFonts w:ascii="Arial Narrow" w:hAnsi="Arial Narrow"/>
                <w:sz w:val="20"/>
                <w:szCs w:val="20"/>
              </w:rPr>
              <w:t>-0.00 (-0.03, 0.02)</w:t>
            </w:r>
          </w:p>
        </w:tc>
        <w:tc>
          <w:tcPr>
            <w:tcW w:w="1503" w:type="dxa"/>
            <w:vAlign w:val="center"/>
          </w:tcPr>
          <w:p w14:paraId="41EF8C17" w14:textId="77777777" w:rsidR="000941B2" w:rsidRPr="00FF1F6D" w:rsidRDefault="000941B2" w:rsidP="003A3EB9">
            <w:pPr>
              <w:keepNext/>
              <w:jc w:val="center"/>
              <w:rPr>
                <w:rFonts w:ascii="Arial Narrow" w:hAnsi="Arial Narrow"/>
                <w:sz w:val="20"/>
                <w:szCs w:val="20"/>
              </w:rPr>
            </w:pPr>
            <w:r w:rsidRPr="00FF1F6D">
              <w:rPr>
                <w:rFonts w:ascii="Arial Narrow" w:hAnsi="Arial Narrow"/>
                <w:sz w:val="20"/>
                <w:szCs w:val="20"/>
              </w:rPr>
              <w:t>0.01 (-0.02, 0.03)</w:t>
            </w:r>
          </w:p>
        </w:tc>
      </w:tr>
      <w:tr w:rsidR="000941B2" w:rsidRPr="00A00E1D" w14:paraId="1893AE26" w14:textId="77777777" w:rsidTr="00C32E2B">
        <w:tc>
          <w:tcPr>
            <w:tcW w:w="2547" w:type="dxa"/>
          </w:tcPr>
          <w:p w14:paraId="6E2BFE2C" w14:textId="77777777" w:rsidR="000941B2" w:rsidRPr="00A00E1D" w:rsidRDefault="000941B2" w:rsidP="003A3EB9">
            <w:pPr>
              <w:rPr>
                <w:rFonts w:ascii="Arial Narrow" w:hAnsi="Arial Narrow"/>
                <w:sz w:val="20"/>
                <w:szCs w:val="20"/>
              </w:rPr>
            </w:pPr>
            <w:r>
              <w:rPr>
                <w:rFonts w:ascii="Arial Narrow" w:hAnsi="Arial Narrow"/>
                <w:sz w:val="20"/>
                <w:szCs w:val="20"/>
              </w:rPr>
              <w:t>TEAE to discontinuation</w:t>
            </w:r>
          </w:p>
        </w:tc>
        <w:tc>
          <w:tcPr>
            <w:tcW w:w="1168" w:type="dxa"/>
            <w:vAlign w:val="center"/>
          </w:tcPr>
          <w:p w14:paraId="28C2C17E" w14:textId="77777777" w:rsidR="000941B2" w:rsidRPr="00A00E1D" w:rsidRDefault="000941B2" w:rsidP="003A3EB9">
            <w:pPr>
              <w:jc w:val="center"/>
              <w:rPr>
                <w:rFonts w:ascii="Arial Narrow" w:hAnsi="Arial Narrow"/>
                <w:sz w:val="20"/>
                <w:szCs w:val="20"/>
              </w:rPr>
            </w:pPr>
            <w:r w:rsidRPr="00E72925">
              <w:rPr>
                <w:rFonts w:ascii="Arial Narrow" w:hAnsi="Arial Narrow"/>
                <w:sz w:val="20"/>
                <w:szCs w:val="20"/>
              </w:rPr>
              <w:t>73 (20.7)</w:t>
            </w:r>
          </w:p>
        </w:tc>
        <w:tc>
          <w:tcPr>
            <w:tcW w:w="1100" w:type="dxa"/>
            <w:vAlign w:val="center"/>
          </w:tcPr>
          <w:p w14:paraId="5285BAA4" w14:textId="77777777" w:rsidR="000941B2" w:rsidRPr="00A00E1D" w:rsidRDefault="000941B2" w:rsidP="003A3EB9">
            <w:pPr>
              <w:jc w:val="center"/>
              <w:rPr>
                <w:rFonts w:ascii="Arial Narrow" w:hAnsi="Arial Narrow"/>
                <w:sz w:val="20"/>
                <w:szCs w:val="20"/>
              </w:rPr>
            </w:pPr>
            <w:r w:rsidRPr="00E72925">
              <w:rPr>
                <w:rFonts w:ascii="Arial Narrow" w:hAnsi="Arial Narrow"/>
                <w:sz w:val="20"/>
                <w:szCs w:val="20"/>
              </w:rPr>
              <w:t>63 (17.8)</w:t>
            </w:r>
          </w:p>
        </w:tc>
        <w:tc>
          <w:tcPr>
            <w:tcW w:w="992" w:type="dxa"/>
            <w:vAlign w:val="center"/>
          </w:tcPr>
          <w:p w14:paraId="6F56046F" w14:textId="77777777" w:rsidR="000941B2" w:rsidRPr="00A00E1D" w:rsidRDefault="000941B2" w:rsidP="003A3EB9">
            <w:pPr>
              <w:jc w:val="center"/>
              <w:rPr>
                <w:rFonts w:ascii="Arial Narrow" w:hAnsi="Arial Narrow"/>
                <w:sz w:val="20"/>
                <w:szCs w:val="20"/>
              </w:rPr>
            </w:pPr>
            <w:r w:rsidRPr="00E72925">
              <w:rPr>
                <w:rFonts w:ascii="Arial Narrow" w:hAnsi="Arial Narrow"/>
                <w:sz w:val="20"/>
                <w:szCs w:val="20"/>
              </w:rPr>
              <w:t>36 (10.2)</w:t>
            </w:r>
          </w:p>
        </w:tc>
        <w:tc>
          <w:tcPr>
            <w:tcW w:w="1707" w:type="dxa"/>
            <w:vAlign w:val="center"/>
          </w:tcPr>
          <w:p w14:paraId="51F514E1" w14:textId="77777777" w:rsidR="000941B2" w:rsidRPr="00FF1F6D" w:rsidRDefault="000941B2" w:rsidP="003A3EB9">
            <w:pPr>
              <w:jc w:val="center"/>
              <w:rPr>
                <w:rFonts w:ascii="Arial Narrow" w:hAnsi="Arial Narrow"/>
                <w:b/>
                <w:sz w:val="20"/>
                <w:szCs w:val="20"/>
              </w:rPr>
            </w:pPr>
            <w:r w:rsidRPr="00FF1F6D">
              <w:rPr>
                <w:rFonts w:ascii="Arial Narrow" w:hAnsi="Arial Narrow"/>
                <w:b/>
                <w:sz w:val="20"/>
                <w:szCs w:val="20"/>
              </w:rPr>
              <w:t>0.11 (0.05, 0.16)</w:t>
            </w:r>
          </w:p>
        </w:tc>
        <w:tc>
          <w:tcPr>
            <w:tcW w:w="1503" w:type="dxa"/>
            <w:vAlign w:val="center"/>
          </w:tcPr>
          <w:p w14:paraId="422ECDA3" w14:textId="77777777" w:rsidR="000941B2" w:rsidRPr="00FF1F6D" w:rsidRDefault="000941B2" w:rsidP="003A3EB9">
            <w:pPr>
              <w:jc w:val="center"/>
              <w:rPr>
                <w:rFonts w:ascii="Arial Narrow" w:hAnsi="Arial Narrow"/>
                <w:b/>
                <w:sz w:val="20"/>
                <w:szCs w:val="20"/>
              </w:rPr>
            </w:pPr>
            <w:r w:rsidRPr="00FF1F6D">
              <w:rPr>
                <w:rFonts w:ascii="Arial Narrow" w:hAnsi="Arial Narrow"/>
                <w:b/>
                <w:sz w:val="20"/>
                <w:szCs w:val="20"/>
              </w:rPr>
              <w:t>0.08 (0.03, 0.13)</w:t>
            </w:r>
          </w:p>
        </w:tc>
      </w:tr>
      <w:tr w:rsidR="000941B2" w:rsidRPr="00A00E1D" w14:paraId="34F27EAC" w14:textId="77777777" w:rsidTr="00C32E2B">
        <w:tc>
          <w:tcPr>
            <w:tcW w:w="2547" w:type="dxa"/>
          </w:tcPr>
          <w:p w14:paraId="748CA9AA" w14:textId="77777777" w:rsidR="000941B2" w:rsidRDefault="000941B2" w:rsidP="003A3EB9">
            <w:pPr>
              <w:jc w:val="left"/>
              <w:rPr>
                <w:rFonts w:ascii="Arial Narrow" w:hAnsi="Arial Narrow"/>
                <w:sz w:val="20"/>
                <w:szCs w:val="20"/>
              </w:rPr>
            </w:pPr>
            <w:r>
              <w:rPr>
                <w:rFonts w:ascii="Arial Narrow" w:hAnsi="Arial Narrow"/>
                <w:sz w:val="20"/>
                <w:szCs w:val="20"/>
              </w:rPr>
              <w:t>TEAE to dose reduction</w:t>
            </w:r>
          </w:p>
        </w:tc>
        <w:tc>
          <w:tcPr>
            <w:tcW w:w="1168" w:type="dxa"/>
            <w:vAlign w:val="center"/>
          </w:tcPr>
          <w:p w14:paraId="5355D1FF" w14:textId="77777777" w:rsidR="000941B2" w:rsidRPr="00E72925" w:rsidRDefault="000941B2" w:rsidP="003A3EB9">
            <w:pPr>
              <w:jc w:val="center"/>
              <w:rPr>
                <w:rFonts w:ascii="Arial Narrow" w:hAnsi="Arial Narrow"/>
                <w:sz w:val="20"/>
                <w:szCs w:val="20"/>
              </w:rPr>
            </w:pPr>
            <w:r w:rsidRPr="00FA1564">
              <w:rPr>
                <w:rFonts w:ascii="Arial Narrow" w:hAnsi="Arial Narrow"/>
                <w:sz w:val="20"/>
                <w:szCs w:val="20"/>
              </w:rPr>
              <w:t>25 (7.1)</w:t>
            </w:r>
          </w:p>
        </w:tc>
        <w:tc>
          <w:tcPr>
            <w:tcW w:w="1100" w:type="dxa"/>
            <w:vAlign w:val="center"/>
          </w:tcPr>
          <w:p w14:paraId="1E660B91" w14:textId="77777777" w:rsidR="000941B2" w:rsidRPr="00E72925" w:rsidRDefault="000941B2" w:rsidP="003A3EB9">
            <w:pPr>
              <w:jc w:val="center"/>
              <w:rPr>
                <w:rFonts w:ascii="Arial Narrow" w:hAnsi="Arial Narrow"/>
                <w:sz w:val="20"/>
                <w:szCs w:val="20"/>
              </w:rPr>
            </w:pPr>
            <w:r w:rsidRPr="00FA1564">
              <w:rPr>
                <w:rFonts w:ascii="Arial Narrow" w:hAnsi="Arial Narrow"/>
                <w:sz w:val="20"/>
                <w:szCs w:val="20"/>
              </w:rPr>
              <w:t>56 (15.8)</w:t>
            </w:r>
          </w:p>
        </w:tc>
        <w:tc>
          <w:tcPr>
            <w:tcW w:w="992" w:type="dxa"/>
            <w:vAlign w:val="center"/>
          </w:tcPr>
          <w:p w14:paraId="4BD66AAE" w14:textId="77777777" w:rsidR="000941B2" w:rsidRPr="00E72925" w:rsidRDefault="000941B2" w:rsidP="003A3EB9">
            <w:pPr>
              <w:jc w:val="center"/>
              <w:rPr>
                <w:rFonts w:ascii="Arial Narrow" w:hAnsi="Arial Narrow"/>
                <w:sz w:val="20"/>
                <w:szCs w:val="20"/>
              </w:rPr>
            </w:pPr>
            <w:r w:rsidRPr="00FA1564">
              <w:rPr>
                <w:rFonts w:ascii="Arial Narrow" w:hAnsi="Arial Narrow"/>
                <w:sz w:val="20"/>
                <w:szCs w:val="20"/>
              </w:rPr>
              <w:t>16 (4.5)</w:t>
            </w:r>
          </w:p>
        </w:tc>
        <w:tc>
          <w:tcPr>
            <w:tcW w:w="1707" w:type="dxa"/>
            <w:vAlign w:val="center"/>
          </w:tcPr>
          <w:p w14:paraId="7BC7671B" w14:textId="77777777" w:rsidR="000941B2" w:rsidRPr="00FF1F6D" w:rsidRDefault="000941B2" w:rsidP="003A3EB9">
            <w:pPr>
              <w:jc w:val="center"/>
              <w:rPr>
                <w:rFonts w:ascii="Arial Narrow" w:hAnsi="Arial Narrow"/>
                <w:sz w:val="20"/>
                <w:szCs w:val="20"/>
              </w:rPr>
            </w:pPr>
            <w:r w:rsidRPr="00FF1F6D">
              <w:rPr>
                <w:rFonts w:ascii="Arial Narrow" w:hAnsi="Arial Narrow"/>
                <w:sz w:val="20"/>
                <w:szCs w:val="20"/>
              </w:rPr>
              <w:t>0.03 (-0.01, 0.06)</w:t>
            </w:r>
          </w:p>
        </w:tc>
        <w:tc>
          <w:tcPr>
            <w:tcW w:w="1503" w:type="dxa"/>
            <w:vAlign w:val="center"/>
          </w:tcPr>
          <w:p w14:paraId="2BCB651B" w14:textId="77777777" w:rsidR="000941B2" w:rsidRPr="00FF1F6D" w:rsidRDefault="000941B2" w:rsidP="003A3EB9">
            <w:pPr>
              <w:jc w:val="center"/>
              <w:rPr>
                <w:rFonts w:ascii="Arial Narrow" w:hAnsi="Arial Narrow"/>
                <w:b/>
                <w:sz w:val="20"/>
                <w:szCs w:val="20"/>
              </w:rPr>
            </w:pPr>
            <w:r w:rsidRPr="00FF1F6D">
              <w:rPr>
                <w:rFonts w:ascii="Arial Narrow" w:hAnsi="Arial Narrow"/>
                <w:b/>
                <w:sz w:val="20"/>
                <w:szCs w:val="20"/>
              </w:rPr>
              <w:t>0.11 (0.07, 0.16)</w:t>
            </w:r>
          </w:p>
        </w:tc>
      </w:tr>
      <w:tr w:rsidR="000941B2" w:rsidRPr="00A00E1D" w14:paraId="23BB9BA2" w14:textId="77777777" w:rsidTr="00C32E2B">
        <w:tc>
          <w:tcPr>
            <w:tcW w:w="2547" w:type="dxa"/>
          </w:tcPr>
          <w:p w14:paraId="55F2595C" w14:textId="77777777" w:rsidR="000941B2" w:rsidRPr="00A00E1D" w:rsidRDefault="000941B2" w:rsidP="003A3EB9">
            <w:pPr>
              <w:rPr>
                <w:rFonts w:ascii="Arial Narrow" w:hAnsi="Arial Narrow"/>
                <w:sz w:val="20"/>
                <w:szCs w:val="20"/>
              </w:rPr>
            </w:pPr>
            <w:r>
              <w:rPr>
                <w:rFonts w:ascii="Arial Narrow" w:hAnsi="Arial Narrow"/>
                <w:sz w:val="20"/>
                <w:szCs w:val="20"/>
              </w:rPr>
              <w:t>TEAE to death</w:t>
            </w:r>
            <w:r w:rsidRPr="001D00A0">
              <w:rPr>
                <w:rFonts w:ascii="Arial Narrow" w:hAnsi="Arial Narrow"/>
                <w:sz w:val="20"/>
                <w:szCs w:val="20"/>
                <w:vertAlign w:val="superscript"/>
              </w:rPr>
              <w:t>#</w:t>
            </w:r>
          </w:p>
        </w:tc>
        <w:tc>
          <w:tcPr>
            <w:tcW w:w="1168" w:type="dxa"/>
            <w:vAlign w:val="center"/>
          </w:tcPr>
          <w:p w14:paraId="4D5B0632" w14:textId="77777777" w:rsidR="000941B2" w:rsidRPr="00A00E1D" w:rsidRDefault="000941B2" w:rsidP="003A3EB9">
            <w:pPr>
              <w:jc w:val="center"/>
              <w:rPr>
                <w:rFonts w:ascii="Arial Narrow" w:hAnsi="Arial Narrow"/>
                <w:sz w:val="20"/>
                <w:szCs w:val="20"/>
              </w:rPr>
            </w:pPr>
            <w:r w:rsidRPr="00E72925">
              <w:rPr>
                <w:rFonts w:ascii="Arial Narrow" w:hAnsi="Arial Narrow"/>
                <w:sz w:val="20"/>
                <w:szCs w:val="20"/>
              </w:rPr>
              <w:t>6 (1.7)</w:t>
            </w:r>
          </w:p>
        </w:tc>
        <w:tc>
          <w:tcPr>
            <w:tcW w:w="1100" w:type="dxa"/>
            <w:vAlign w:val="center"/>
          </w:tcPr>
          <w:p w14:paraId="38099BF5" w14:textId="77777777" w:rsidR="000941B2" w:rsidRPr="00A00E1D" w:rsidRDefault="000941B2" w:rsidP="003A3EB9">
            <w:pPr>
              <w:jc w:val="center"/>
              <w:rPr>
                <w:rFonts w:ascii="Arial Narrow" w:hAnsi="Arial Narrow"/>
                <w:sz w:val="20"/>
                <w:szCs w:val="20"/>
              </w:rPr>
            </w:pPr>
            <w:r w:rsidRPr="00E72925">
              <w:rPr>
                <w:rFonts w:ascii="Arial Narrow" w:hAnsi="Arial Narrow"/>
                <w:sz w:val="20"/>
                <w:szCs w:val="20"/>
              </w:rPr>
              <w:t>8 (2.3)</w:t>
            </w:r>
          </w:p>
        </w:tc>
        <w:tc>
          <w:tcPr>
            <w:tcW w:w="992" w:type="dxa"/>
            <w:vAlign w:val="center"/>
          </w:tcPr>
          <w:p w14:paraId="63B0E024" w14:textId="77777777" w:rsidR="000941B2" w:rsidRPr="00A00E1D" w:rsidRDefault="000941B2" w:rsidP="003A3EB9">
            <w:pPr>
              <w:jc w:val="center"/>
              <w:rPr>
                <w:rFonts w:ascii="Arial Narrow" w:hAnsi="Arial Narrow"/>
                <w:sz w:val="20"/>
                <w:szCs w:val="20"/>
              </w:rPr>
            </w:pPr>
            <w:r w:rsidRPr="00E72925">
              <w:rPr>
                <w:rFonts w:ascii="Arial Narrow" w:hAnsi="Arial Narrow"/>
                <w:sz w:val="20"/>
                <w:szCs w:val="20"/>
              </w:rPr>
              <w:t>3 (0.8)</w:t>
            </w:r>
          </w:p>
        </w:tc>
        <w:tc>
          <w:tcPr>
            <w:tcW w:w="1707" w:type="dxa"/>
            <w:vAlign w:val="center"/>
          </w:tcPr>
          <w:p w14:paraId="1393B2A0" w14:textId="77777777" w:rsidR="000941B2" w:rsidRPr="00FF1F6D" w:rsidRDefault="000941B2" w:rsidP="003A3EB9">
            <w:pPr>
              <w:jc w:val="center"/>
              <w:rPr>
                <w:rFonts w:ascii="Arial Narrow" w:hAnsi="Arial Narrow"/>
                <w:sz w:val="20"/>
                <w:szCs w:val="20"/>
              </w:rPr>
            </w:pPr>
            <w:r w:rsidRPr="00FF1F6D">
              <w:rPr>
                <w:rFonts w:ascii="Arial Narrow" w:hAnsi="Arial Narrow"/>
                <w:sz w:val="20"/>
                <w:szCs w:val="20"/>
              </w:rPr>
              <w:t>0.01 (-0.01, 0.03)</w:t>
            </w:r>
          </w:p>
        </w:tc>
        <w:tc>
          <w:tcPr>
            <w:tcW w:w="1503" w:type="dxa"/>
            <w:vAlign w:val="center"/>
          </w:tcPr>
          <w:p w14:paraId="24386D08" w14:textId="77777777" w:rsidR="000941B2" w:rsidRPr="00FF1F6D" w:rsidRDefault="000941B2" w:rsidP="003A3EB9">
            <w:pPr>
              <w:jc w:val="center"/>
              <w:rPr>
                <w:rFonts w:ascii="Arial Narrow" w:hAnsi="Arial Narrow"/>
                <w:sz w:val="20"/>
                <w:szCs w:val="20"/>
              </w:rPr>
            </w:pPr>
            <w:r w:rsidRPr="00FF1F6D">
              <w:rPr>
                <w:rFonts w:ascii="Arial Narrow" w:hAnsi="Arial Narrow"/>
                <w:sz w:val="20"/>
                <w:szCs w:val="20"/>
              </w:rPr>
              <w:t>0.01 (-0.00, 0.03)</w:t>
            </w:r>
          </w:p>
        </w:tc>
      </w:tr>
      <w:tr w:rsidR="000941B2" w:rsidRPr="00A00E1D" w14:paraId="7B8508F9" w14:textId="77777777" w:rsidTr="00C32E2B">
        <w:tc>
          <w:tcPr>
            <w:tcW w:w="2547" w:type="dxa"/>
          </w:tcPr>
          <w:p w14:paraId="6F4E5384" w14:textId="77777777" w:rsidR="000941B2" w:rsidRPr="00A00E1D" w:rsidRDefault="000941B2" w:rsidP="003A3EB9">
            <w:pPr>
              <w:rPr>
                <w:rFonts w:ascii="Arial Narrow" w:hAnsi="Arial Narrow"/>
                <w:sz w:val="20"/>
                <w:szCs w:val="20"/>
              </w:rPr>
            </w:pPr>
            <w:r>
              <w:rPr>
                <w:rFonts w:ascii="Arial Narrow" w:hAnsi="Arial Narrow"/>
                <w:sz w:val="20"/>
                <w:szCs w:val="20"/>
              </w:rPr>
              <w:t>TEAE (Grade 3+)</w:t>
            </w:r>
          </w:p>
        </w:tc>
        <w:tc>
          <w:tcPr>
            <w:tcW w:w="1168" w:type="dxa"/>
            <w:vAlign w:val="center"/>
          </w:tcPr>
          <w:p w14:paraId="2AE6DB9A" w14:textId="77777777" w:rsidR="000941B2" w:rsidRPr="00A00E1D" w:rsidRDefault="000941B2" w:rsidP="003A3EB9">
            <w:pPr>
              <w:jc w:val="center"/>
              <w:rPr>
                <w:rFonts w:ascii="Arial Narrow" w:hAnsi="Arial Narrow"/>
                <w:sz w:val="20"/>
                <w:szCs w:val="20"/>
              </w:rPr>
            </w:pPr>
            <w:r w:rsidRPr="00E72925">
              <w:rPr>
                <w:rFonts w:ascii="Arial Narrow" w:hAnsi="Arial Narrow"/>
                <w:sz w:val="20"/>
                <w:szCs w:val="20"/>
              </w:rPr>
              <w:t>164 (46.5)</w:t>
            </w:r>
          </w:p>
        </w:tc>
        <w:tc>
          <w:tcPr>
            <w:tcW w:w="1100" w:type="dxa"/>
            <w:vAlign w:val="center"/>
          </w:tcPr>
          <w:p w14:paraId="7583651B" w14:textId="77777777" w:rsidR="000941B2" w:rsidRPr="00A00E1D" w:rsidRDefault="000941B2" w:rsidP="003A3EB9">
            <w:pPr>
              <w:jc w:val="center"/>
              <w:rPr>
                <w:rFonts w:ascii="Arial Narrow" w:hAnsi="Arial Narrow"/>
                <w:sz w:val="20"/>
                <w:szCs w:val="20"/>
              </w:rPr>
            </w:pPr>
            <w:r w:rsidRPr="00E72925">
              <w:rPr>
                <w:rFonts w:ascii="Arial Narrow" w:hAnsi="Arial Narrow"/>
                <w:sz w:val="20"/>
                <w:szCs w:val="20"/>
              </w:rPr>
              <w:t>177 (50.0)</w:t>
            </w:r>
          </w:p>
        </w:tc>
        <w:tc>
          <w:tcPr>
            <w:tcW w:w="992" w:type="dxa"/>
            <w:vAlign w:val="center"/>
          </w:tcPr>
          <w:p w14:paraId="4CCAA58F" w14:textId="77777777" w:rsidR="000941B2" w:rsidRPr="00A00E1D" w:rsidRDefault="000941B2" w:rsidP="003A3EB9">
            <w:pPr>
              <w:jc w:val="center"/>
              <w:rPr>
                <w:rFonts w:ascii="Arial Narrow" w:hAnsi="Arial Narrow"/>
                <w:sz w:val="20"/>
                <w:szCs w:val="20"/>
              </w:rPr>
            </w:pPr>
            <w:r w:rsidRPr="00E72925">
              <w:rPr>
                <w:rFonts w:ascii="Arial Narrow" w:hAnsi="Arial Narrow"/>
                <w:sz w:val="20"/>
                <w:szCs w:val="20"/>
              </w:rPr>
              <w:t>151 (42.7)</w:t>
            </w:r>
          </w:p>
        </w:tc>
        <w:tc>
          <w:tcPr>
            <w:tcW w:w="1707" w:type="dxa"/>
            <w:vAlign w:val="center"/>
          </w:tcPr>
          <w:p w14:paraId="153E3665" w14:textId="77777777" w:rsidR="000941B2" w:rsidRPr="00FF1F6D" w:rsidRDefault="000941B2" w:rsidP="003A3EB9">
            <w:pPr>
              <w:jc w:val="center"/>
              <w:rPr>
                <w:rFonts w:ascii="Arial Narrow" w:hAnsi="Arial Narrow"/>
                <w:sz w:val="20"/>
                <w:szCs w:val="20"/>
              </w:rPr>
            </w:pPr>
            <w:r w:rsidRPr="00FF1F6D">
              <w:rPr>
                <w:rFonts w:ascii="Arial Narrow" w:hAnsi="Arial Narrow"/>
                <w:sz w:val="20"/>
                <w:szCs w:val="20"/>
              </w:rPr>
              <w:t>0.04 (-0.04, 0.11)</w:t>
            </w:r>
          </w:p>
        </w:tc>
        <w:tc>
          <w:tcPr>
            <w:tcW w:w="1503" w:type="dxa"/>
            <w:vAlign w:val="center"/>
          </w:tcPr>
          <w:p w14:paraId="0EB97332" w14:textId="77777777" w:rsidR="000941B2" w:rsidRPr="00FF1F6D" w:rsidRDefault="000941B2" w:rsidP="003A3EB9">
            <w:pPr>
              <w:jc w:val="center"/>
              <w:rPr>
                <w:rFonts w:ascii="Arial Narrow" w:hAnsi="Arial Narrow"/>
                <w:b/>
                <w:sz w:val="20"/>
                <w:szCs w:val="20"/>
              </w:rPr>
            </w:pPr>
            <w:r w:rsidRPr="00FF1F6D">
              <w:rPr>
                <w:rFonts w:ascii="Arial Narrow" w:hAnsi="Arial Narrow"/>
                <w:b/>
                <w:sz w:val="20"/>
                <w:szCs w:val="20"/>
              </w:rPr>
              <w:t>0.07 (0.00, 0.15)</w:t>
            </w:r>
          </w:p>
        </w:tc>
      </w:tr>
      <w:tr w:rsidR="000941B2" w:rsidRPr="00A00E1D" w14:paraId="05EC7019" w14:textId="77777777" w:rsidTr="00C32E2B">
        <w:tc>
          <w:tcPr>
            <w:tcW w:w="2547" w:type="dxa"/>
          </w:tcPr>
          <w:p w14:paraId="39B6210F" w14:textId="77777777" w:rsidR="000941B2" w:rsidRPr="00A00E1D" w:rsidRDefault="000941B2" w:rsidP="003A3EB9">
            <w:pPr>
              <w:rPr>
                <w:rFonts w:ascii="Arial Narrow" w:hAnsi="Arial Narrow"/>
                <w:sz w:val="20"/>
                <w:szCs w:val="20"/>
              </w:rPr>
            </w:pPr>
            <w:r>
              <w:rPr>
                <w:rFonts w:ascii="Arial Narrow" w:hAnsi="Arial Narrow"/>
                <w:sz w:val="20"/>
                <w:szCs w:val="20"/>
              </w:rPr>
              <w:t>TEAE treatment-related</w:t>
            </w:r>
          </w:p>
        </w:tc>
        <w:tc>
          <w:tcPr>
            <w:tcW w:w="1168" w:type="dxa"/>
            <w:vAlign w:val="center"/>
          </w:tcPr>
          <w:p w14:paraId="1B1F05CE" w14:textId="77777777" w:rsidR="000941B2" w:rsidRPr="00A00E1D" w:rsidRDefault="000941B2" w:rsidP="003A3EB9">
            <w:pPr>
              <w:jc w:val="center"/>
              <w:rPr>
                <w:rFonts w:ascii="Arial Narrow" w:hAnsi="Arial Narrow"/>
                <w:sz w:val="20"/>
                <w:szCs w:val="20"/>
              </w:rPr>
            </w:pPr>
            <w:r w:rsidRPr="00E72925">
              <w:rPr>
                <w:rFonts w:ascii="Arial Narrow" w:hAnsi="Arial Narrow"/>
                <w:sz w:val="20"/>
                <w:szCs w:val="20"/>
              </w:rPr>
              <w:t>305 (86.4)</w:t>
            </w:r>
          </w:p>
        </w:tc>
        <w:tc>
          <w:tcPr>
            <w:tcW w:w="1100" w:type="dxa"/>
            <w:vAlign w:val="center"/>
          </w:tcPr>
          <w:p w14:paraId="102E8302" w14:textId="77777777" w:rsidR="000941B2" w:rsidRPr="00A00E1D" w:rsidRDefault="000941B2" w:rsidP="003A3EB9">
            <w:pPr>
              <w:jc w:val="center"/>
              <w:rPr>
                <w:rFonts w:ascii="Arial Narrow" w:hAnsi="Arial Narrow"/>
                <w:sz w:val="20"/>
                <w:szCs w:val="20"/>
              </w:rPr>
            </w:pPr>
            <w:r w:rsidRPr="00E72925">
              <w:rPr>
                <w:rFonts w:ascii="Arial Narrow" w:hAnsi="Arial Narrow"/>
                <w:sz w:val="20"/>
                <w:szCs w:val="20"/>
              </w:rPr>
              <w:t>312 (88.1)</w:t>
            </w:r>
          </w:p>
        </w:tc>
        <w:tc>
          <w:tcPr>
            <w:tcW w:w="992" w:type="dxa"/>
            <w:vAlign w:val="center"/>
          </w:tcPr>
          <w:p w14:paraId="6364AF07" w14:textId="77777777" w:rsidR="000941B2" w:rsidRPr="00A00E1D" w:rsidRDefault="000941B2" w:rsidP="003A3EB9">
            <w:pPr>
              <w:jc w:val="center"/>
              <w:rPr>
                <w:rFonts w:ascii="Arial Narrow" w:hAnsi="Arial Narrow"/>
                <w:sz w:val="20"/>
                <w:szCs w:val="20"/>
              </w:rPr>
            </w:pPr>
            <w:r w:rsidRPr="00E72925">
              <w:rPr>
                <w:rFonts w:ascii="Arial Narrow" w:hAnsi="Arial Narrow"/>
                <w:sz w:val="20"/>
                <w:szCs w:val="20"/>
              </w:rPr>
              <w:t>283 (79.9)</w:t>
            </w:r>
          </w:p>
        </w:tc>
        <w:tc>
          <w:tcPr>
            <w:tcW w:w="1707" w:type="dxa"/>
            <w:vAlign w:val="center"/>
          </w:tcPr>
          <w:p w14:paraId="289B8E70" w14:textId="77777777" w:rsidR="000941B2" w:rsidRPr="00FF1F6D" w:rsidRDefault="000941B2" w:rsidP="003A3EB9">
            <w:pPr>
              <w:jc w:val="center"/>
              <w:rPr>
                <w:rFonts w:ascii="Arial Narrow" w:hAnsi="Arial Narrow"/>
                <w:b/>
                <w:sz w:val="20"/>
                <w:szCs w:val="20"/>
              </w:rPr>
            </w:pPr>
            <w:r w:rsidRPr="00FF1F6D">
              <w:rPr>
                <w:rFonts w:ascii="Arial Narrow" w:hAnsi="Arial Narrow"/>
                <w:b/>
                <w:sz w:val="20"/>
                <w:szCs w:val="20"/>
              </w:rPr>
              <w:t>0.06 (0.01, 0.12)</w:t>
            </w:r>
          </w:p>
        </w:tc>
        <w:tc>
          <w:tcPr>
            <w:tcW w:w="1503" w:type="dxa"/>
            <w:vAlign w:val="center"/>
          </w:tcPr>
          <w:p w14:paraId="72B431EE" w14:textId="77777777" w:rsidR="000941B2" w:rsidRPr="00FF1F6D" w:rsidRDefault="000941B2" w:rsidP="003A3EB9">
            <w:pPr>
              <w:jc w:val="center"/>
              <w:rPr>
                <w:rFonts w:ascii="Arial Narrow" w:hAnsi="Arial Narrow"/>
                <w:b/>
                <w:sz w:val="20"/>
                <w:szCs w:val="20"/>
              </w:rPr>
            </w:pPr>
            <w:r w:rsidRPr="00FF1F6D">
              <w:rPr>
                <w:rFonts w:ascii="Arial Narrow" w:hAnsi="Arial Narrow"/>
                <w:b/>
                <w:sz w:val="20"/>
                <w:szCs w:val="20"/>
              </w:rPr>
              <w:t>0.08 (0.03, 0.14)</w:t>
            </w:r>
          </w:p>
        </w:tc>
      </w:tr>
      <w:tr w:rsidR="000941B2" w:rsidRPr="00A00E1D" w14:paraId="373DBB94" w14:textId="77777777" w:rsidTr="00C32E2B">
        <w:tc>
          <w:tcPr>
            <w:tcW w:w="2547" w:type="dxa"/>
            <w:tcBorders>
              <w:bottom w:val="double" w:sz="4" w:space="0" w:color="auto"/>
            </w:tcBorders>
          </w:tcPr>
          <w:p w14:paraId="5A9533A4" w14:textId="77777777" w:rsidR="000941B2" w:rsidRDefault="000941B2" w:rsidP="003A3EB9">
            <w:pPr>
              <w:rPr>
                <w:rFonts w:ascii="Arial Narrow" w:hAnsi="Arial Narrow"/>
                <w:sz w:val="20"/>
                <w:szCs w:val="20"/>
              </w:rPr>
            </w:pPr>
            <w:r>
              <w:rPr>
                <w:rFonts w:ascii="Arial Narrow" w:hAnsi="Arial Narrow"/>
                <w:sz w:val="20"/>
                <w:szCs w:val="20"/>
              </w:rPr>
              <w:t>Serious TEAE</w:t>
            </w:r>
          </w:p>
        </w:tc>
        <w:tc>
          <w:tcPr>
            <w:tcW w:w="1168" w:type="dxa"/>
            <w:tcBorders>
              <w:bottom w:val="double" w:sz="4" w:space="0" w:color="auto"/>
            </w:tcBorders>
            <w:vAlign w:val="center"/>
          </w:tcPr>
          <w:p w14:paraId="28EAFC23" w14:textId="77777777" w:rsidR="000941B2" w:rsidRPr="00A00E1D" w:rsidRDefault="000941B2" w:rsidP="003A3EB9">
            <w:pPr>
              <w:jc w:val="center"/>
              <w:rPr>
                <w:rFonts w:ascii="Arial Narrow" w:hAnsi="Arial Narrow"/>
                <w:sz w:val="20"/>
                <w:szCs w:val="20"/>
              </w:rPr>
            </w:pPr>
            <w:r w:rsidRPr="00E72925">
              <w:rPr>
                <w:rFonts w:ascii="Arial Narrow" w:hAnsi="Arial Narrow"/>
                <w:sz w:val="20"/>
                <w:szCs w:val="20"/>
              </w:rPr>
              <w:t>123 (34.8)</w:t>
            </w:r>
          </w:p>
        </w:tc>
        <w:tc>
          <w:tcPr>
            <w:tcW w:w="1100" w:type="dxa"/>
            <w:tcBorders>
              <w:bottom w:val="double" w:sz="4" w:space="0" w:color="auto"/>
            </w:tcBorders>
            <w:vAlign w:val="center"/>
          </w:tcPr>
          <w:p w14:paraId="59D79139" w14:textId="77777777" w:rsidR="000941B2" w:rsidRPr="00A00E1D" w:rsidRDefault="000941B2" w:rsidP="003A3EB9">
            <w:pPr>
              <w:jc w:val="center"/>
              <w:rPr>
                <w:rFonts w:ascii="Arial Narrow" w:hAnsi="Arial Narrow"/>
                <w:sz w:val="20"/>
                <w:szCs w:val="20"/>
              </w:rPr>
            </w:pPr>
            <w:r w:rsidRPr="00E72925">
              <w:rPr>
                <w:rFonts w:ascii="Arial Narrow" w:hAnsi="Arial Narrow"/>
                <w:sz w:val="20"/>
                <w:szCs w:val="20"/>
              </w:rPr>
              <w:t>131 (37.0)</w:t>
            </w:r>
          </w:p>
        </w:tc>
        <w:tc>
          <w:tcPr>
            <w:tcW w:w="992" w:type="dxa"/>
            <w:tcBorders>
              <w:bottom w:val="double" w:sz="4" w:space="0" w:color="auto"/>
            </w:tcBorders>
            <w:vAlign w:val="center"/>
          </w:tcPr>
          <w:p w14:paraId="3DEB0EA0" w14:textId="77777777" w:rsidR="000941B2" w:rsidRPr="00A00E1D" w:rsidRDefault="000941B2" w:rsidP="003A3EB9">
            <w:pPr>
              <w:jc w:val="center"/>
              <w:rPr>
                <w:rFonts w:ascii="Arial Narrow" w:hAnsi="Arial Narrow"/>
                <w:sz w:val="20"/>
                <w:szCs w:val="20"/>
              </w:rPr>
            </w:pPr>
            <w:r w:rsidRPr="00E72925">
              <w:rPr>
                <w:rFonts w:ascii="Arial Narrow" w:hAnsi="Arial Narrow"/>
                <w:sz w:val="20"/>
                <w:szCs w:val="20"/>
              </w:rPr>
              <w:t>112 (31.6)</w:t>
            </w:r>
          </w:p>
        </w:tc>
        <w:tc>
          <w:tcPr>
            <w:tcW w:w="1707" w:type="dxa"/>
            <w:tcBorders>
              <w:bottom w:val="double" w:sz="4" w:space="0" w:color="auto"/>
            </w:tcBorders>
            <w:vAlign w:val="center"/>
          </w:tcPr>
          <w:p w14:paraId="7D9CDE92" w14:textId="77777777" w:rsidR="000941B2" w:rsidRPr="00FF1F6D" w:rsidRDefault="000941B2" w:rsidP="003A3EB9">
            <w:pPr>
              <w:jc w:val="center"/>
              <w:rPr>
                <w:rFonts w:ascii="Arial Narrow" w:hAnsi="Arial Narrow"/>
                <w:sz w:val="20"/>
                <w:szCs w:val="20"/>
              </w:rPr>
            </w:pPr>
            <w:r w:rsidRPr="00FF1F6D">
              <w:rPr>
                <w:rFonts w:ascii="Arial Narrow" w:hAnsi="Arial Narrow"/>
                <w:sz w:val="20"/>
                <w:szCs w:val="20"/>
              </w:rPr>
              <w:t>0.03 (-0.04, 0.10)</w:t>
            </w:r>
          </w:p>
        </w:tc>
        <w:tc>
          <w:tcPr>
            <w:tcW w:w="1503" w:type="dxa"/>
            <w:tcBorders>
              <w:bottom w:val="double" w:sz="4" w:space="0" w:color="auto"/>
            </w:tcBorders>
            <w:vAlign w:val="center"/>
          </w:tcPr>
          <w:p w14:paraId="06138E10" w14:textId="77777777" w:rsidR="000941B2" w:rsidRPr="00FF1F6D" w:rsidRDefault="000941B2" w:rsidP="003A3EB9">
            <w:pPr>
              <w:jc w:val="center"/>
              <w:rPr>
                <w:rFonts w:ascii="Arial Narrow" w:hAnsi="Arial Narrow"/>
                <w:sz w:val="20"/>
                <w:szCs w:val="20"/>
              </w:rPr>
            </w:pPr>
            <w:r w:rsidRPr="00FF1F6D">
              <w:rPr>
                <w:rFonts w:ascii="Arial Narrow" w:hAnsi="Arial Narrow"/>
                <w:sz w:val="20"/>
                <w:szCs w:val="20"/>
              </w:rPr>
              <w:t>0.05 (-0.02, 0.12)</w:t>
            </w:r>
          </w:p>
        </w:tc>
      </w:tr>
      <w:tr w:rsidR="00E07F09" w:rsidRPr="00A00E1D" w14:paraId="00222BDF" w14:textId="77777777" w:rsidTr="00B424CA">
        <w:tc>
          <w:tcPr>
            <w:tcW w:w="9017" w:type="dxa"/>
            <w:gridSpan w:val="6"/>
            <w:tcBorders>
              <w:top w:val="double" w:sz="4" w:space="0" w:color="auto"/>
            </w:tcBorders>
          </w:tcPr>
          <w:p w14:paraId="12025FCE" w14:textId="4A127313" w:rsidR="00E07F09" w:rsidRPr="00E72925" w:rsidRDefault="00E07F09" w:rsidP="00E07F09">
            <w:pPr>
              <w:jc w:val="left"/>
              <w:rPr>
                <w:rFonts w:ascii="Arial Narrow" w:hAnsi="Arial Narrow"/>
                <w:i/>
                <w:sz w:val="20"/>
                <w:szCs w:val="20"/>
              </w:rPr>
            </w:pPr>
            <w:r>
              <w:rPr>
                <w:rFonts w:ascii="Arial Narrow" w:hAnsi="Arial Narrow"/>
                <w:sz w:val="20"/>
                <w:szCs w:val="20"/>
              </w:rPr>
              <w:t>Common TEAEs (≥5% patients)</w:t>
            </w:r>
          </w:p>
        </w:tc>
      </w:tr>
      <w:tr w:rsidR="000941B2" w:rsidRPr="00A00E1D" w14:paraId="135F75AC" w14:textId="77777777" w:rsidTr="00C32E2B">
        <w:tc>
          <w:tcPr>
            <w:tcW w:w="2547" w:type="dxa"/>
          </w:tcPr>
          <w:p w14:paraId="39F9A8CF" w14:textId="77777777" w:rsidR="000941B2" w:rsidRDefault="000941B2" w:rsidP="003A3EB9">
            <w:pPr>
              <w:rPr>
                <w:rFonts w:ascii="Arial Narrow" w:hAnsi="Arial Narrow"/>
                <w:sz w:val="20"/>
                <w:szCs w:val="20"/>
              </w:rPr>
            </w:pPr>
            <w:r>
              <w:rPr>
                <w:rFonts w:ascii="Arial Narrow" w:hAnsi="Arial Narrow"/>
                <w:sz w:val="20"/>
                <w:szCs w:val="20"/>
              </w:rPr>
              <w:t>Hot flush</w:t>
            </w:r>
          </w:p>
        </w:tc>
        <w:tc>
          <w:tcPr>
            <w:tcW w:w="1168" w:type="dxa"/>
            <w:vAlign w:val="center"/>
          </w:tcPr>
          <w:p w14:paraId="39CDD9C7" w14:textId="77777777" w:rsidR="000941B2" w:rsidRPr="00E72925" w:rsidRDefault="000941B2" w:rsidP="003A3EB9">
            <w:pPr>
              <w:jc w:val="center"/>
              <w:rPr>
                <w:rFonts w:ascii="Arial Narrow" w:hAnsi="Arial Narrow"/>
                <w:sz w:val="20"/>
                <w:szCs w:val="20"/>
              </w:rPr>
            </w:pPr>
            <w:r w:rsidRPr="00D72E0A">
              <w:rPr>
                <w:rFonts w:ascii="Arial Narrow" w:hAnsi="Arial Narrow"/>
                <w:sz w:val="20"/>
                <w:szCs w:val="20"/>
              </w:rPr>
              <w:t>242 (68.6)</w:t>
            </w:r>
            <w:r>
              <w:rPr>
                <w:rFonts w:ascii="Arial Narrow" w:hAnsi="Arial Narrow"/>
                <w:sz w:val="20"/>
                <w:szCs w:val="20"/>
              </w:rPr>
              <w:t>^</w:t>
            </w:r>
          </w:p>
        </w:tc>
        <w:tc>
          <w:tcPr>
            <w:tcW w:w="1100" w:type="dxa"/>
            <w:vAlign w:val="center"/>
          </w:tcPr>
          <w:p w14:paraId="29288195" w14:textId="77777777" w:rsidR="000941B2" w:rsidRPr="00E72925" w:rsidRDefault="000941B2" w:rsidP="003A3EB9">
            <w:pPr>
              <w:jc w:val="center"/>
              <w:rPr>
                <w:rFonts w:ascii="Arial Narrow" w:hAnsi="Arial Narrow"/>
                <w:sz w:val="20"/>
                <w:szCs w:val="20"/>
              </w:rPr>
            </w:pPr>
            <w:r w:rsidRPr="00D72E0A">
              <w:rPr>
                <w:rFonts w:ascii="Arial Narrow" w:hAnsi="Arial Narrow"/>
                <w:sz w:val="20"/>
                <w:szCs w:val="20"/>
              </w:rPr>
              <w:t>77 (21.8)</w:t>
            </w:r>
            <w:r>
              <w:rPr>
                <w:rFonts w:ascii="Arial Narrow" w:hAnsi="Arial Narrow"/>
                <w:sz w:val="20"/>
                <w:szCs w:val="20"/>
              </w:rPr>
              <w:t>^</w:t>
            </w:r>
          </w:p>
        </w:tc>
        <w:tc>
          <w:tcPr>
            <w:tcW w:w="992" w:type="dxa"/>
            <w:vAlign w:val="center"/>
          </w:tcPr>
          <w:p w14:paraId="12000640" w14:textId="77777777" w:rsidR="000941B2" w:rsidRPr="00E72925" w:rsidRDefault="000941B2" w:rsidP="003A3EB9">
            <w:pPr>
              <w:jc w:val="center"/>
              <w:rPr>
                <w:rFonts w:ascii="Arial Narrow" w:hAnsi="Arial Narrow"/>
                <w:sz w:val="20"/>
                <w:szCs w:val="20"/>
              </w:rPr>
            </w:pPr>
            <w:r w:rsidRPr="00D72E0A">
              <w:rPr>
                <w:rFonts w:ascii="Arial Narrow" w:hAnsi="Arial Narrow"/>
                <w:sz w:val="20"/>
                <w:szCs w:val="20"/>
              </w:rPr>
              <w:t>203 (57.3)</w:t>
            </w:r>
            <w:r>
              <w:rPr>
                <w:rFonts w:ascii="Arial Narrow" w:hAnsi="Arial Narrow"/>
                <w:sz w:val="20"/>
                <w:szCs w:val="20"/>
              </w:rPr>
              <w:t>^</w:t>
            </w:r>
          </w:p>
        </w:tc>
        <w:tc>
          <w:tcPr>
            <w:tcW w:w="1707" w:type="dxa"/>
            <w:vAlign w:val="center"/>
          </w:tcPr>
          <w:p w14:paraId="25FC85EA" w14:textId="77777777" w:rsidR="000941B2" w:rsidRPr="00FF1F6D" w:rsidRDefault="000941B2" w:rsidP="003A3EB9">
            <w:pPr>
              <w:jc w:val="center"/>
              <w:rPr>
                <w:rFonts w:ascii="Arial Narrow" w:hAnsi="Arial Narrow"/>
                <w:b/>
                <w:iCs/>
                <w:sz w:val="20"/>
                <w:szCs w:val="20"/>
              </w:rPr>
            </w:pPr>
            <w:r w:rsidRPr="00FF1F6D">
              <w:rPr>
                <w:rFonts w:ascii="Arial Narrow" w:hAnsi="Arial Narrow"/>
                <w:b/>
                <w:iCs/>
                <w:sz w:val="20"/>
                <w:szCs w:val="20"/>
              </w:rPr>
              <w:t>0.11 (0.04, 0.18)</w:t>
            </w:r>
          </w:p>
        </w:tc>
        <w:tc>
          <w:tcPr>
            <w:tcW w:w="1503" w:type="dxa"/>
            <w:vAlign w:val="center"/>
          </w:tcPr>
          <w:p w14:paraId="63AA327B" w14:textId="77777777" w:rsidR="000941B2" w:rsidRPr="00FF1F6D" w:rsidRDefault="000941B2" w:rsidP="003A3EB9">
            <w:pPr>
              <w:jc w:val="center"/>
              <w:rPr>
                <w:rFonts w:ascii="Arial Narrow" w:hAnsi="Arial Narrow"/>
                <w:b/>
                <w:iCs/>
                <w:sz w:val="20"/>
                <w:szCs w:val="20"/>
              </w:rPr>
            </w:pPr>
            <w:r w:rsidRPr="00FF1F6D">
              <w:rPr>
                <w:rFonts w:ascii="Arial Narrow" w:hAnsi="Arial Narrow"/>
                <w:b/>
                <w:iCs/>
                <w:sz w:val="20"/>
                <w:szCs w:val="20"/>
              </w:rPr>
              <w:t>-0.36 (-0.42, -0.29)</w:t>
            </w:r>
          </w:p>
        </w:tc>
      </w:tr>
      <w:tr w:rsidR="000941B2" w:rsidRPr="00A00E1D" w14:paraId="5CF4B50F" w14:textId="77777777" w:rsidTr="00C32E2B">
        <w:tc>
          <w:tcPr>
            <w:tcW w:w="2547" w:type="dxa"/>
          </w:tcPr>
          <w:p w14:paraId="50320AEB" w14:textId="77777777" w:rsidR="000941B2" w:rsidRDefault="000941B2" w:rsidP="003A3EB9">
            <w:pPr>
              <w:rPr>
                <w:rFonts w:ascii="Arial Narrow" w:hAnsi="Arial Narrow"/>
                <w:sz w:val="20"/>
                <w:szCs w:val="20"/>
              </w:rPr>
            </w:pPr>
            <w:r>
              <w:rPr>
                <w:rFonts w:ascii="Arial Narrow" w:hAnsi="Arial Narrow"/>
                <w:sz w:val="20"/>
                <w:szCs w:val="20"/>
              </w:rPr>
              <w:t>Fatigue</w:t>
            </w:r>
          </w:p>
        </w:tc>
        <w:tc>
          <w:tcPr>
            <w:tcW w:w="1168" w:type="dxa"/>
            <w:vAlign w:val="center"/>
          </w:tcPr>
          <w:p w14:paraId="2AD9C57F" w14:textId="77777777" w:rsidR="000941B2" w:rsidRPr="00E72925" w:rsidRDefault="000941B2" w:rsidP="003A3EB9">
            <w:pPr>
              <w:jc w:val="center"/>
              <w:rPr>
                <w:rFonts w:ascii="Arial Narrow" w:hAnsi="Arial Narrow"/>
                <w:sz w:val="20"/>
                <w:szCs w:val="20"/>
              </w:rPr>
            </w:pPr>
            <w:r w:rsidRPr="00D72E0A">
              <w:rPr>
                <w:rFonts w:ascii="Arial Narrow" w:hAnsi="Arial Narrow"/>
                <w:sz w:val="20"/>
                <w:szCs w:val="20"/>
              </w:rPr>
              <w:t>151 (42.8</w:t>
            </w:r>
            <w:r>
              <w:rPr>
                <w:rFonts w:ascii="Arial Narrow" w:hAnsi="Arial Narrow"/>
                <w:sz w:val="20"/>
                <w:szCs w:val="20"/>
              </w:rPr>
              <w:t>)^</w:t>
            </w:r>
          </w:p>
        </w:tc>
        <w:tc>
          <w:tcPr>
            <w:tcW w:w="1100" w:type="dxa"/>
            <w:vAlign w:val="center"/>
          </w:tcPr>
          <w:p w14:paraId="7F7A50BB" w14:textId="77777777" w:rsidR="000941B2" w:rsidRPr="00E72925" w:rsidRDefault="000941B2" w:rsidP="003A3EB9">
            <w:pPr>
              <w:jc w:val="center"/>
              <w:rPr>
                <w:rFonts w:ascii="Arial Narrow" w:hAnsi="Arial Narrow"/>
                <w:sz w:val="20"/>
                <w:szCs w:val="20"/>
              </w:rPr>
            </w:pPr>
            <w:r w:rsidRPr="00D72E0A">
              <w:rPr>
                <w:rFonts w:ascii="Arial Narrow" w:hAnsi="Arial Narrow"/>
                <w:sz w:val="20"/>
                <w:szCs w:val="20"/>
              </w:rPr>
              <w:t>165 (46.6)</w:t>
            </w:r>
            <w:r>
              <w:rPr>
                <w:rFonts w:ascii="Arial Narrow" w:hAnsi="Arial Narrow"/>
                <w:sz w:val="20"/>
                <w:szCs w:val="20"/>
              </w:rPr>
              <w:t>^</w:t>
            </w:r>
          </w:p>
        </w:tc>
        <w:tc>
          <w:tcPr>
            <w:tcW w:w="992" w:type="dxa"/>
            <w:vAlign w:val="center"/>
          </w:tcPr>
          <w:p w14:paraId="12780D99" w14:textId="77777777" w:rsidR="000941B2" w:rsidRPr="00E72925" w:rsidRDefault="000941B2" w:rsidP="003A3EB9">
            <w:pPr>
              <w:jc w:val="center"/>
              <w:rPr>
                <w:rFonts w:ascii="Arial Narrow" w:hAnsi="Arial Narrow"/>
                <w:sz w:val="20"/>
                <w:szCs w:val="20"/>
              </w:rPr>
            </w:pPr>
            <w:r w:rsidRPr="00D72E0A">
              <w:rPr>
                <w:rFonts w:ascii="Arial Narrow" w:hAnsi="Arial Narrow"/>
                <w:sz w:val="20"/>
                <w:szCs w:val="20"/>
              </w:rPr>
              <w:t>116 (32.8</w:t>
            </w:r>
            <w:r>
              <w:rPr>
                <w:rFonts w:ascii="Arial Narrow" w:hAnsi="Arial Narrow"/>
                <w:sz w:val="20"/>
                <w:szCs w:val="20"/>
              </w:rPr>
              <w:t>^</w:t>
            </w:r>
            <w:r w:rsidRPr="00D72E0A">
              <w:rPr>
                <w:rFonts w:ascii="Arial Narrow" w:hAnsi="Arial Narrow"/>
                <w:sz w:val="20"/>
                <w:szCs w:val="20"/>
              </w:rPr>
              <w:t>)</w:t>
            </w:r>
          </w:p>
        </w:tc>
        <w:tc>
          <w:tcPr>
            <w:tcW w:w="1707" w:type="dxa"/>
            <w:vAlign w:val="center"/>
          </w:tcPr>
          <w:p w14:paraId="22AE5D35" w14:textId="77777777" w:rsidR="000941B2" w:rsidRPr="00FF1F6D" w:rsidRDefault="000941B2" w:rsidP="003A3EB9">
            <w:pPr>
              <w:jc w:val="center"/>
              <w:rPr>
                <w:rFonts w:ascii="Arial Narrow" w:hAnsi="Arial Narrow"/>
                <w:b/>
                <w:iCs/>
                <w:sz w:val="20"/>
                <w:szCs w:val="20"/>
              </w:rPr>
            </w:pPr>
            <w:r w:rsidRPr="00FF1F6D">
              <w:rPr>
                <w:rFonts w:ascii="Arial Narrow" w:hAnsi="Arial Narrow"/>
                <w:b/>
                <w:iCs/>
                <w:sz w:val="20"/>
                <w:szCs w:val="20"/>
              </w:rPr>
              <w:t>0.10 (0.03, 0.17)</w:t>
            </w:r>
          </w:p>
        </w:tc>
        <w:tc>
          <w:tcPr>
            <w:tcW w:w="1503" w:type="dxa"/>
            <w:vAlign w:val="center"/>
          </w:tcPr>
          <w:p w14:paraId="163A7DB1" w14:textId="77777777" w:rsidR="000941B2" w:rsidRPr="00FF1F6D" w:rsidRDefault="000941B2" w:rsidP="003A3EB9">
            <w:pPr>
              <w:jc w:val="center"/>
              <w:rPr>
                <w:rFonts w:ascii="Arial Narrow" w:hAnsi="Arial Narrow"/>
                <w:b/>
                <w:iCs/>
                <w:sz w:val="20"/>
                <w:szCs w:val="20"/>
              </w:rPr>
            </w:pPr>
            <w:r w:rsidRPr="00FF1F6D">
              <w:rPr>
                <w:rFonts w:ascii="Arial Narrow" w:hAnsi="Arial Narrow"/>
                <w:b/>
                <w:iCs/>
                <w:sz w:val="20"/>
                <w:szCs w:val="20"/>
              </w:rPr>
              <w:t>0.14 (0.07, 0.21)</w:t>
            </w:r>
          </w:p>
        </w:tc>
      </w:tr>
      <w:tr w:rsidR="000941B2" w:rsidRPr="00A00E1D" w14:paraId="45ADC1F8" w14:textId="77777777" w:rsidTr="00C32E2B">
        <w:tc>
          <w:tcPr>
            <w:tcW w:w="2547" w:type="dxa"/>
          </w:tcPr>
          <w:p w14:paraId="32D2DE69" w14:textId="77777777" w:rsidR="000941B2" w:rsidRDefault="000941B2" w:rsidP="003A3EB9">
            <w:pPr>
              <w:rPr>
                <w:rFonts w:ascii="Arial Narrow" w:hAnsi="Arial Narrow"/>
                <w:sz w:val="20"/>
                <w:szCs w:val="20"/>
              </w:rPr>
            </w:pPr>
            <w:r>
              <w:rPr>
                <w:rFonts w:ascii="Arial Narrow" w:hAnsi="Arial Narrow"/>
                <w:sz w:val="20"/>
                <w:szCs w:val="20"/>
              </w:rPr>
              <w:t>Arthralgia</w:t>
            </w:r>
          </w:p>
        </w:tc>
        <w:tc>
          <w:tcPr>
            <w:tcW w:w="1168" w:type="dxa"/>
            <w:vAlign w:val="center"/>
          </w:tcPr>
          <w:p w14:paraId="5EAB3371" w14:textId="77777777" w:rsidR="000941B2" w:rsidRPr="00E72925" w:rsidRDefault="000941B2" w:rsidP="003A3EB9">
            <w:pPr>
              <w:jc w:val="center"/>
              <w:rPr>
                <w:rFonts w:ascii="Arial Narrow" w:hAnsi="Arial Narrow"/>
                <w:sz w:val="20"/>
                <w:szCs w:val="20"/>
              </w:rPr>
            </w:pPr>
            <w:r w:rsidRPr="00D72E0A">
              <w:rPr>
                <w:rFonts w:ascii="Arial Narrow" w:hAnsi="Arial Narrow"/>
                <w:sz w:val="20"/>
                <w:szCs w:val="20"/>
              </w:rPr>
              <w:t>97 (27.5)</w:t>
            </w:r>
          </w:p>
        </w:tc>
        <w:tc>
          <w:tcPr>
            <w:tcW w:w="1100" w:type="dxa"/>
            <w:vAlign w:val="center"/>
          </w:tcPr>
          <w:p w14:paraId="68E152F6" w14:textId="77777777" w:rsidR="000941B2" w:rsidRPr="00E72925" w:rsidRDefault="000941B2" w:rsidP="003A3EB9">
            <w:pPr>
              <w:jc w:val="center"/>
              <w:rPr>
                <w:rFonts w:ascii="Arial Narrow" w:hAnsi="Arial Narrow"/>
                <w:sz w:val="20"/>
                <w:szCs w:val="20"/>
              </w:rPr>
            </w:pPr>
            <w:r w:rsidRPr="00D72E0A">
              <w:rPr>
                <w:rFonts w:ascii="Arial Narrow" w:hAnsi="Arial Narrow"/>
                <w:sz w:val="20"/>
                <w:szCs w:val="20"/>
              </w:rPr>
              <w:t>81 (22.9)</w:t>
            </w:r>
          </w:p>
        </w:tc>
        <w:tc>
          <w:tcPr>
            <w:tcW w:w="992" w:type="dxa"/>
            <w:vAlign w:val="center"/>
          </w:tcPr>
          <w:p w14:paraId="27388A33" w14:textId="77777777" w:rsidR="000941B2" w:rsidRPr="00E72925" w:rsidRDefault="000941B2" w:rsidP="003A3EB9">
            <w:pPr>
              <w:jc w:val="center"/>
              <w:rPr>
                <w:rFonts w:ascii="Arial Narrow" w:hAnsi="Arial Narrow"/>
                <w:sz w:val="20"/>
                <w:szCs w:val="20"/>
              </w:rPr>
            </w:pPr>
            <w:r w:rsidRPr="00D72E0A">
              <w:rPr>
                <w:rFonts w:ascii="Arial Narrow" w:hAnsi="Arial Narrow"/>
                <w:sz w:val="20"/>
                <w:szCs w:val="20"/>
              </w:rPr>
              <w:t>75 (21.2)</w:t>
            </w:r>
          </w:p>
        </w:tc>
        <w:tc>
          <w:tcPr>
            <w:tcW w:w="1707" w:type="dxa"/>
            <w:vAlign w:val="center"/>
          </w:tcPr>
          <w:p w14:paraId="3F1A9068" w14:textId="77777777" w:rsidR="000941B2" w:rsidRPr="00FF1F6D" w:rsidRDefault="000941B2" w:rsidP="003A3EB9">
            <w:pPr>
              <w:jc w:val="center"/>
              <w:rPr>
                <w:rFonts w:ascii="Arial Narrow" w:hAnsi="Arial Narrow"/>
                <w:b/>
                <w:iCs/>
                <w:sz w:val="20"/>
                <w:szCs w:val="20"/>
              </w:rPr>
            </w:pPr>
            <w:r w:rsidRPr="00FF1F6D">
              <w:rPr>
                <w:rFonts w:ascii="Arial Narrow" w:hAnsi="Arial Narrow"/>
                <w:b/>
                <w:iCs/>
                <w:sz w:val="20"/>
                <w:szCs w:val="20"/>
              </w:rPr>
              <w:t>0.06 (-0.00, 0.13)</w:t>
            </w:r>
          </w:p>
        </w:tc>
        <w:tc>
          <w:tcPr>
            <w:tcW w:w="1503" w:type="dxa"/>
            <w:vAlign w:val="center"/>
          </w:tcPr>
          <w:p w14:paraId="7922C35D"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0.02 (-0.04, 0.08)</w:t>
            </w:r>
          </w:p>
        </w:tc>
      </w:tr>
      <w:tr w:rsidR="000941B2" w:rsidRPr="00A00E1D" w14:paraId="0FFF5151" w14:textId="77777777" w:rsidTr="00C32E2B">
        <w:tc>
          <w:tcPr>
            <w:tcW w:w="2547" w:type="dxa"/>
          </w:tcPr>
          <w:p w14:paraId="35F7123F" w14:textId="77777777" w:rsidR="000941B2" w:rsidRDefault="000941B2" w:rsidP="003A3EB9">
            <w:pPr>
              <w:rPr>
                <w:rFonts w:ascii="Arial Narrow" w:hAnsi="Arial Narrow"/>
                <w:sz w:val="20"/>
                <w:szCs w:val="20"/>
              </w:rPr>
            </w:pPr>
            <w:r>
              <w:rPr>
                <w:rFonts w:ascii="Arial Narrow" w:hAnsi="Arial Narrow"/>
                <w:sz w:val="20"/>
                <w:szCs w:val="20"/>
              </w:rPr>
              <w:t>Hypertension</w:t>
            </w:r>
          </w:p>
        </w:tc>
        <w:tc>
          <w:tcPr>
            <w:tcW w:w="1168" w:type="dxa"/>
            <w:vAlign w:val="center"/>
          </w:tcPr>
          <w:p w14:paraId="6283DBD8" w14:textId="77777777" w:rsidR="000941B2" w:rsidRPr="00E72925" w:rsidRDefault="000941B2" w:rsidP="003A3EB9">
            <w:pPr>
              <w:jc w:val="center"/>
              <w:rPr>
                <w:rFonts w:ascii="Arial Narrow" w:hAnsi="Arial Narrow"/>
                <w:sz w:val="20"/>
                <w:szCs w:val="20"/>
              </w:rPr>
            </w:pPr>
            <w:r w:rsidRPr="00D72E0A">
              <w:rPr>
                <w:rFonts w:ascii="Arial Narrow" w:hAnsi="Arial Narrow"/>
                <w:sz w:val="20"/>
                <w:szCs w:val="20"/>
              </w:rPr>
              <w:t>82 (23.2)</w:t>
            </w:r>
          </w:p>
        </w:tc>
        <w:tc>
          <w:tcPr>
            <w:tcW w:w="1100" w:type="dxa"/>
            <w:vAlign w:val="center"/>
          </w:tcPr>
          <w:p w14:paraId="7795C8F4" w14:textId="77777777" w:rsidR="000941B2" w:rsidRPr="00E72925" w:rsidRDefault="000941B2" w:rsidP="003A3EB9">
            <w:pPr>
              <w:jc w:val="center"/>
              <w:rPr>
                <w:rFonts w:ascii="Arial Narrow" w:hAnsi="Arial Narrow"/>
                <w:sz w:val="20"/>
                <w:szCs w:val="20"/>
              </w:rPr>
            </w:pPr>
            <w:r w:rsidRPr="00D72E0A">
              <w:rPr>
                <w:rFonts w:ascii="Arial Narrow" w:hAnsi="Arial Narrow"/>
                <w:sz w:val="20"/>
                <w:szCs w:val="20"/>
              </w:rPr>
              <w:t>67 (18.9)</w:t>
            </w:r>
          </w:p>
        </w:tc>
        <w:tc>
          <w:tcPr>
            <w:tcW w:w="992" w:type="dxa"/>
            <w:vAlign w:val="center"/>
          </w:tcPr>
          <w:p w14:paraId="484B3087" w14:textId="77777777" w:rsidR="000941B2" w:rsidRPr="00E72925" w:rsidRDefault="000941B2" w:rsidP="003A3EB9">
            <w:pPr>
              <w:jc w:val="center"/>
              <w:rPr>
                <w:rFonts w:ascii="Arial Narrow" w:hAnsi="Arial Narrow"/>
                <w:sz w:val="20"/>
                <w:szCs w:val="20"/>
              </w:rPr>
            </w:pPr>
            <w:r w:rsidRPr="000B0A95">
              <w:rPr>
                <w:rFonts w:ascii="Arial Narrow" w:hAnsi="Arial Narrow"/>
                <w:sz w:val="20"/>
                <w:szCs w:val="20"/>
              </w:rPr>
              <w:t>69 (19.5)</w:t>
            </w:r>
          </w:p>
        </w:tc>
        <w:tc>
          <w:tcPr>
            <w:tcW w:w="1707" w:type="dxa"/>
            <w:vAlign w:val="center"/>
          </w:tcPr>
          <w:p w14:paraId="07917680"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0.04 (-0.02, 0.10)</w:t>
            </w:r>
          </w:p>
        </w:tc>
        <w:tc>
          <w:tcPr>
            <w:tcW w:w="1503" w:type="dxa"/>
            <w:vAlign w:val="center"/>
          </w:tcPr>
          <w:p w14:paraId="727BBC9A"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-0.01 (-0.06, 0.05)</w:t>
            </w:r>
          </w:p>
        </w:tc>
      </w:tr>
      <w:tr w:rsidR="000941B2" w:rsidRPr="00A00E1D" w14:paraId="0E86ABC7" w14:textId="77777777" w:rsidTr="00C32E2B">
        <w:tc>
          <w:tcPr>
            <w:tcW w:w="2547" w:type="dxa"/>
          </w:tcPr>
          <w:p w14:paraId="50DF3D28" w14:textId="77777777" w:rsidR="000941B2" w:rsidRDefault="000941B2" w:rsidP="003A3EB9">
            <w:pPr>
              <w:rPr>
                <w:rFonts w:ascii="Arial Narrow" w:hAnsi="Arial Narrow"/>
                <w:sz w:val="20"/>
                <w:szCs w:val="20"/>
              </w:rPr>
            </w:pPr>
            <w:r>
              <w:rPr>
                <w:rFonts w:ascii="Arial Narrow" w:hAnsi="Arial Narrow"/>
                <w:sz w:val="20"/>
                <w:szCs w:val="20"/>
              </w:rPr>
              <w:t>Fall</w:t>
            </w:r>
          </w:p>
        </w:tc>
        <w:tc>
          <w:tcPr>
            <w:tcW w:w="1168" w:type="dxa"/>
            <w:vAlign w:val="center"/>
          </w:tcPr>
          <w:p w14:paraId="1F3A123B" w14:textId="77777777" w:rsidR="000941B2" w:rsidRPr="00E72925" w:rsidRDefault="000941B2" w:rsidP="003A3EB9">
            <w:pPr>
              <w:jc w:val="center"/>
              <w:rPr>
                <w:rFonts w:ascii="Arial Narrow" w:hAnsi="Arial Narrow"/>
                <w:sz w:val="20"/>
                <w:szCs w:val="20"/>
              </w:rPr>
            </w:pPr>
            <w:r w:rsidRPr="000B0A95">
              <w:rPr>
                <w:rFonts w:ascii="Arial Narrow" w:hAnsi="Arial Narrow"/>
                <w:sz w:val="20"/>
                <w:szCs w:val="20"/>
              </w:rPr>
              <w:t>74 (21.0)</w:t>
            </w:r>
          </w:p>
        </w:tc>
        <w:tc>
          <w:tcPr>
            <w:tcW w:w="1100" w:type="dxa"/>
            <w:vAlign w:val="center"/>
          </w:tcPr>
          <w:p w14:paraId="11DA2E17" w14:textId="77777777" w:rsidR="000941B2" w:rsidRPr="00E72925" w:rsidRDefault="000941B2" w:rsidP="003A3EB9">
            <w:pPr>
              <w:jc w:val="center"/>
              <w:rPr>
                <w:rFonts w:ascii="Arial Narrow" w:hAnsi="Arial Narrow"/>
                <w:sz w:val="20"/>
                <w:szCs w:val="20"/>
              </w:rPr>
            </w:pPr>
            <w:r w:rsidRPr="000B0A95">
              <w:rPr>
                <w:rFonts w:ascii="Arial Narrow" w:hAnsi="Arial Narrow"/>
                <w:sz w:val="20"/>
                <w:szCs w:val="20"/>
              </w:rPr>
              <w:t>56 (15.8)</w:t>
            </w:r>
          </w:p>
        </w:tc>
        <w:tc>
          <w:tcPr>
            <w:tcW w:w="992" w:type="dxa"/>
            <w:vAlign w:val="center"/>
          </w:tcPr>
          <w:p w14:paraId="7A26D4DC" w14:textId="77777777" w:rsidR="000941B2" w:rsidRPr="00E72925" w:rsidRDefault="000941B2" w:rsidP="003A3EB9">
            <w:pPr>
              <w:jc w:val="center"/>
              <w:rPr>
                <w:rFonts w:ascii="Arial Narrow" w:hAnsi="Arial Narrow"/>
                <w:sz w:val="20"/>
                <w:szCs w:val="20"/>
              </w:rPr>
            </w:pPr>
            <w:r w:rsidRPr="000B0A95">
              <w:rPr>
                <w:rFonts w:ascii="Arial Narrow" w:hAnsi="Arial Narrow"/>
                <w:sz w:val="20"/>
                <w:szCs w:val="20"/>
              </w:rPr>
              <w:t>51 (14.4)</w:t>
            </w:r>
          </w:p>
        </w:tc>
        <w:tc>
          <w:tcPr>
            <w:tcW w:w="1707" w:type="dxa"/>
            <w:vAlign w:val="center"/>
          </w:tcPr>
          <w:p w14:paraId="3EC0F814" w14:textId="77777777" w:rsidR="000941B2" w:rsidRPr="00FF1F6D" w:rsidRDefault="000941B2" w:rsidP="003A3EB9">
            <w:pPr>
              <w:jc w:val="center"/>
              <w:rPr>
                <w:rFonts w:ascii="Arial Narrow" w:hAnsi="Arial Narrow"/>
                <w:b/>
                <w:iCs/>
                <w:sz w:val="20"/>
                <w:szCs w:val="20"/>
              </w:rPr>
            </w:pPr>
            <w:r w:rsidRPr="00FF1F6D">
              <w:rPr>
                <w:rFonts w:ascii="Arial Narrow" w:hAnsi="Arial Narrow"/>
                <w:b/>
                <w:iCs/>
                <w:sz w:val="20"/>
                <w:szCs w:val="20"/>
              </w:rPr>
              <w:t>0.07 (0.01, 0.12)</w:t>
            </w:r>
          </w:p>
        </w:tc>
        <w:tc>
          <w:tcPr>
            <w:tcW w:w="1503" w:type="dxa"/>
            <w:vAlign w:val="center"/>
          </w:tcPr>
          <w:p w14:paraId="0BF9F05C"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0.01 (-0.04, 0.07)</w:t>
            </w:r>
          </w:p>
        </w:tc>
      </w:tr>
      <w:tr w:rsidR="000941B2" w:rsidRPr="00A00E1D" w14:paraId="7D6C346C" w14:textId="77777777" w:rsidTr="00C32E2B">
        <w:tc>
          <w:tcPr>
            <w:tcW w:w="2547" w:type="dxa"/>
          </w:tcPr>
          <w:p w14:paraId="5F78A72A" w14:textId="77777777" w:rsidR="000941B2" w:rsidRDefault="000941B2" w:rsidP="003A3EB9">
            <w:pPr>
              <w:rPr>
                <w:rFonts w:ascii="Arial Narrow" w:hAnsi="Arial Narrow"/>
                <w:sz w:val="20"/>
                <w:szCs w:val="20"/>
              </w:rPr>
            </w:pPr>
            <w:r>
              <w:rPr>
                <w:rFonts w:ascii="Arial Narrow" w:hAnsi="Arial Narrow"/>
                <w:sz w:val="20"/>
                <w:szCs w:val="20"/>
              </w:rPr>
              <w:t>Back pain</w:t>
            </w:r>
          </w:p>
        </w:tc>
        <w:tc>
          <w:tcPr>
            <w:tcW w:w="1168" w:type="dxa"/>
            <w:vAlign w:val="center"/>
          </w:tcPr>
          <w:p w14:paraId="32B1E71A" w14:textId="77777777" w:rsidR="000941B2" w:rsidRPr="00E72925" w:rsidRDefault="000941B2" w:rsidP="003A3EB9">
            <w:pPr>
              <w:jc w:val="center"/>
              <w:rPr>
                <w:rFonts w:ascii="Arial Narrow" w:hAnsi="Arial Narrow"/>
                <w:sz w:val="20"/>
                <w:szCs w:val="20"/>
              </w:rPr>
            </w:pPr>
            <w:r w:rsidRPr="000B0A95">
              <w:rPr>
                <w:rFonts w:ascii="Arial Narrow" w:hAnsi="Arial Narrow"/>
                <w:sz w:val="20"/>
                <w:szCs w:val="20"/>
              </w:rPr>
              <w:t>60 (17.0)</w:t>
            </w:r>
          </w:p>
        </w:tc>
        <w:tc>
          <w:tcPr>
            <w:tcW w:w="1100" w:type="dxa"/>
            <w:vAlign w:val="center"/>
          </w:tcPr>
          <w:p w14:paraId="6DFB990C" w14:textId="77777777" w:rsidR="000941B2" w:rsidRPr="00E72925" w:rsidRDefault="000941B2" w:rsidP="003A3EB9">
            <w:pPr>
              <w:jc w:val="center"/>
              <w:rPr>
                <w:rFonts w:ascii="Arial Narrow" w:hAnsi="Arial Narrow"/>
                <w:sz w:val="20"/>
                <w:szCs w:val="20"/>
              </w:rPr>
            </w:pPr>
            <w:r w:rsidRPr="000B0A95">
              <w:rPr>
                <w:rFonts w:ascii="Arial Narrow" w:hAnsi="Arial Narrow"/>
                <w:sz w:val="20"/>
                <w:szCs w:val="20"/>
              </w:rPr>
              <w:t>62 (17.5)</w:t>
            </w:r>
          </w:p>
        </w:tc>
        <w:tc>
          <w:tcPr>
            <w:tcW w:w="992" w:type="dxa"/>
            <w:vAlign w:val="center"/>
          </w:tcPr>
          <w:p w14:paraId="682B61EF" w14:textId="77777777" w:rsidR="000941B2" w:rsidRPr="00E72925" w:rsidRDefault="000941B2" w:rsidP="003A3EB9">
            <w:pPr>
              <w:jc w:val="center"/>
              <w:rPr>
                <w:rFonts w:ascii="Arial Narrow" w:hAnsi="Arial Narrow"/>
                <w:sz w:val="20"/>
                <w:szCs w:val="20"/>
              </w:rPr>
            </w:pPr>
            <w:r w:rsidRPr="000B0A95">
              <w:rPr>
                <w:rFonts w:ascii="Arial Narrow" w:hAnsi="Arial Narrow"/>
                <w:sz w:val="20"/>
                <w:szCs w:val="20"/>
              </w:rPr>
              <w:t>54 (15.3)</w:t>
            </w:r>
          </w:p>
        </w:tc>
        <w:tc>
          <w:tcPr>
            <w:tcW w:w="1707" w:type="dxa"/>
            <w:vAlign w:val="center"/>
          </w:tcPr>
          <w:p w14:paraId="63590256"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0.02 (-0.04, 0.07)</w:t>
            </w:r>
          </w:p>
        </w:tc>
        <w:tc>
          <w:tcPr>
            <w:tcW w:w="1503" w:type="dxa"/>
            <w:vAlign w:val="center"/>
          </w:tcPr>
          <w:p w14:paraId="68BB8863"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0.02 (-0.03, 0.08)</w:t>
            </w:r>
          </w:p>
        </w:tc>
      </w:tr>
      <w:tr w:rsidR="000941B2" w:rsidRPr="00A00E1D" w14:paraId="5A69C63A" w14:textId="77777777" w:rsidTr="00C32E2B">
        <w:tc>
          <w:tcPr>
            <w:tcW w:w="2547" w:type="dxa"/>
          </w:tcPr>
          <w:p w14:paraId="3B241A1B" w14:textId="77777777" w:rsidR="000941B2" w:rsidRDefault="000941B2" w:rsidP="003A3EB9">
            <w:pPr>
              <w:rPr>
                <w:rFonts w:ascii="Arial Narrow" w:hAnsi="Arial Narrow"/>
                <w:sz w:val="20"/>
                <w:szCs w:val="20"/>
              </w:rPr>
            </w:pPr>
            <w:r>
              <w:rPr>
                <w:rFonts w:ascii="Arial Narrow" w:hAnsi="Arial Narrow"/>
                <w:sz w:val="20"/>
                <w:szCs w:val="20"/>
              </w:rPr>
              <w:t>Diarrhea</w:t>
            </w:r>
          </w:p>
        </w:tc>
        <w:tc>
          <w:tcPr>
            <w:tcW w:w="1168" w:type="dxa"/>
            <w:vAlign w:val="center"/>
          </w:tcPr>
          <w:p w14:paraId="730A55D9" w14:textId="77777777" w:rsidR="000941B2" w:rsidRPr="00E72925" w:rsidRDefault="000941B2" w:rsidP="003A3EB9">
            <w:pPr>
              <w:jc w:val="center"/>
              <w:rPr>
                <w:rFonts w:ascii="Arial Narrow" w:hAnsi="Arial Narrow"/>
                <w:sz w:val="20"/>
                <w:szCs w:val="20"/>
              </w:rPr>
            </w:pPr>
            <w:r w:rsidRPr="000B0A95">
              <w:rPr>
                <w:rFonts w:ascii="Arial Narrow" w:hAnsi="Arial Narrow"/>
                <w:sz w:val="20"/>
                <w:szCs w:val="20"/>
              </w:rPr>
              <w:t>49 (13.9)</w:t>
            </w:r>
          </w:p>
        </w:tc>
        <w:tc>
          <w:tcPr>
            <w:tcW w:w="1100" w:type="dxa"/>
            <w:vAlign w:val="center"/>
          </w:tcPr>
          <w:p w14:paraId="6E8C5014" w14:textId="77777777" w:rsidR="000941B2" w:rsidRPr="00E72925" w:rsidRDefault="000941B2" w:rsidP="003A3EB9">
            <w:pPr>
              <w:jc w:val="center"/>
              <w:rPr>
                <w:rFonts w:ascii="Arial Narrow" w:hAnsi="Arial Narrow"/>
                <w:sz w:val="20"/>
                <w:szCs w:val="20"/>
              </w:rPr>
            </w:pPr>
            <w:r w:rsidRPr="000B0A95">
              <w:rPr>
                <w:rFonts w:ascii="Arial Narrow" w:hAnsi="Arial Narrow"/>
                <w:sz w:val="20"/>
                <w:szCs w:val="20"/>
              </w:rPr>
              <w:t>46 (13.0)</w:t>
            </w:r>
          </w:p>
        </w:tc>
        <w:tc>
          <w:tcPr>
            <w:tcW w:w="992" w:type="dxa"/>
            <w:vAlign w:val="center"/>
          </w:tcPr>
          <w:p w14:paraId="17E8FEFD" w14:textId="77777777" w:rsidR="000941B2" w:rsidRPr="00E72925" w:rsidRDefault="000941B2" w:rsidP="003A3EB9">
            <w:pPr>
              <w:jc w:val="center"/>
              <w:rPr>
                <w:rFonts w:ascii="Arial Narrow" w:hAnsi="Arial Narrow"/>
                <w:sz w:val="20"/>
                <w:szCs w:val="20"/>
              </w:rPr>
            </w:pPr>
            <w:r w:rsidRPr="000B0A95">
              <w:rPr>
                <w:rFonts w:ascii="Arial Narrow" w:hAnsi="Arial Narrow"/>
                <w:sz w:val="20"/>
                <w:szCs w:val="20"/>
              </w:rPr>
              <w:t>31 (8.8)</w:t>
            </w:r>
          </w:p>
        </w:tc>
        <w:tc>
          <w:tcPr>
            <w:tcW w:w="1707" w:type="dxa"/>
            <w:vAlign w:val="center"/>
          </w:tcPr>
          <w:p w14:paraId="608ADCCA" w14:textId="77777777" w:rsidR="000941B2" w:rsidRPr="00FF1F6D" w:rsidRDefault="000941B2" w:rsidP="003A3EB9">
            <w:pPr>
              <w:jc w:val="center"/>
              <w:rPr>
                <w:rFonts w:ascii="Arial Narrow" w:hAnsi="Arial Narrow"/>
                <w:b/>
                <w:iCs/>
                <w:sz w:val="20"/>
                <w:szCs w:val="20"/>
              </w:rPr>
            </w:pPr>
            <w:r w:rsidRPr="00FF1F6D">
              <w:rPr>
                <w:rFonts w:ascii="Arial Narrow" w:hAnsi="Arial Narrow"/>
                <w:b/>
                <w:iCs/>
                <w:sz w:val="20"/>
                <w:szCs w:val="20"/>
              </w:rPr>
              <w:t>0.05 (0.00, 0.10)</w:t>
            </w:r>
          </w:p>
        </w:tc>
        <w:tc>
          <w:tcPr>
            <w:tcW w:w="1503" w:type="dxa"/>
            <w:vAlign w:val="center"/>
          </w:tcPr>
          <w:p w14:paraId="4A452A04"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0.04 (-0.00, 0.09)</w:t>
            </w:r>
          </w:p>
        </w:tc>
      </w:tr>
      <w:tr w:rsidR="000941B2" w:rsidRPr="00A00E1D" w14:paraId="567D7A96" w14:textId="77777777" w:rsidTr="00C32E2B">
        <w:tc>
          <w:tcPr>
            <w:tcW w:w="2547" w:type="dxa"/>
          </w:tcPr>
          <w:p w14:paraId="26E672B1" w14:textId="77777777" w:rsidR="000941B2" w:rsidRPr="00A00E1D" w:rsidRDefault="000941B2" w:rsidP="003A3EB9">
            <w:pPr>
              <w:rPr>
                <w:rFonts w:ascii="Arial Narrow" w:hAnsi="Arial Narrow"/>
                <w:sz w:val="20"/>
                <w:szCs w:val="20"/>
              </w:rPr>
            </w:pPr>
            <w:r>
              <w:rPr>
                <w:rFonts w:ascii="Arial Narrow" w:hAnsi="Arial Narrow"/>
                <w:sz w:val="20"/>
                <w:szCs w:val="20"/>
              </w:rPr>
              <w:t>Constipation</w:t>
            </w:r>
          </w:p>
        </w:tc>
        <w:tc>
          <w:tcPr>
            <w:tcW w:w="1168" w:type="dxa"/>
            <w:vAlign w:val="center"/>
          </w:tcPr>
          <w:p w14:paraId="71CABF0C"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46 (13.0)</w:t>
            </w:r>
          </w:p>
        </w:tc>
        <w:tc>
          <w:tcPr>
            <w:tcW w:w="1100" w:type="dxa"/>
            <w:vAlign w:val="center"/>
          </w:tcPr>
          <w:p w14:paraId="0A102BE5"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34 (9.6)</w:t>
            </w:r>
          </w:p>
        </w:tc>
        <w:tc>
          <w:tcPr>
            <w:tcW w:w="992" w:type="dxa"/>
            <w:vAlign w:val="center"/>
          </w:tcPr>
          <w:p w14:paraId="29709F79"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31 (8.8)</w:t>
            </w:r>
          </w:p>
        </w:tc>
        <w:tc>
          <w:tcPr>
            <w:tcW w:w="1707" w:type="dxa"/>
            <w:vAlign w:val="center"/>
          </w:tcPr>
          <w:p w14:paraId="60A2B009"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0.04 (-0.00, 0.09)</w:t>
            </w:r>
          </w:p>
        </w:tc>
        <w:tc>
          <w:tcPr>
            <w:tcW w:w="1503" w:type="dxa"/>
            <w:vAlign w:val="center"/>
          </w:tcPr>
          <w:p w14:paraId="5C482342"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0.01 (-0.03, 0.05)</w:t>
            </w:r>
          </w:p>
        </w:tc>
      </w:tr>
      <w:tr w:rsidR="000941B2" w:rsidRPr="00A00E1D" w14:paraId="1E7E44A2" w14:textId="77777777" w:rsidTr="00C32E2B">
        <w:tc>
          <w:tcPr>
            <w:tcW w:w="2547" w:type="dxa"/>
          </w:tcPr>
          <w:p w14:paraId="26D49DA4" w14:textId="77777777" w:rsidR="000941B2" w:rsidRDefault="000941B2" w:rsidP="003A3EB9">
            <w:pPr>
              <w:rPr>
                <w:rFonts w:ascii="Arial Narrow" w:hAnsi="Arial Narrow"/>
                <w:sz w:val="20"/>
                <w:szCs w:val="20"/>
              </w:rPr>
            </w:pPr>
            <w:r>
              <w:rPr>
                <w:rFonts w:ascii="Arial Narrow" w:hAnsi="Arial Narrow"/>
                <w:sz w:val="20"/>
                <w:szCs w:val="20"/>
              </w:rPr>
              <w:t>Haematuria</w:t>
            </w:r>
          </w:p>
        </w:tc>
        <w:tc>
          <w:tcPr>
            <w:tcW w:w="1168" w:type="dxa"/>
            <w:vAlign w:val="center"/>
          </w:tcPr>
          <w:p w14:paraId="45B06B8D"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42 (11.9)</w:t>
            </w:r>
          </w:p>
        </w:tc>
        <w:tc>
          <w:tcPr>
            <w:tcW w:w="1100" w:type="dxa"/>
            <w:vAlign w:val="center"/>
          </w:tcPr>
          <w:p w14:paraId="1C1AEB4C"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45 (12.7)</w:t>
            </w:r>
          </w:p>
        </w:tc>
        <w:tc>
          <w:tcPr>
            <w:tcW w:w="992" w:type="dxa"/>
            <w:vAlign w:val="center"/>
          </w:tcPr>
          <w:p w14:paraId="4FC18BBD"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44 (12.4)</w:t>
            </w:r>
          </w:p>
        </w:tc>
        <w:tc>
          <w:tcPr>
            <w:tcW w:w="1707" w:type="dxa"/>
            <w:vAlign w:val="center"/>
          </w:tcPr>
          <w:p w14:paraId="4F1AB64A"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-0.01 (-0.05, 0.04)</w:t>
            </w:r>
          </w:p>
        </w:tc>
        <w:tc>
          <w:tcPr>
            <w:tcW w:w="1503" w:type="dxa"/>
            <w:vAlign w:val="center"/>
          </w:tcPr>
          <w:p w14:paraId="4ED00C8C"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0.00 (-0.05, 0.05)</w:t>
            </w:r>
          </w:p>
        </w:tc>
      </w:tr>
      <w:tr w:rsidR="000941B2" w:rsidRPr="00A00E1D" w14:paraId="3148C1F0" w14:textId="77777777" w:rsidTr="00C32E2B">
        <w:tc>
          <w:tcPr>
            <w:tcW w:w="2547" w:type="dxa"/>
          </w:tcPr>
          <w:p w14:paraId="6D1BB24C" w14:textId="77777777" w:rsidR="000941B2" w:rsidRDefault="000941B2" w:rsidP="003A3EB9">
            <w:pPr>
              <w:rPr>
                <w:rFonts w:ascii="Arial Narrow" w:hAnsi="Arial Narrow"/>
                <w:sz w:val="20"/>
                <w:szCs w:val="20"/>
              </w:rPr>
            </w:pPr>
            <w:r>
              <w:rPr>
                <w:rFonts w:ascii="Arial Narrow" w:hAnsi="Arial Narrow"/>
                <w:sz w:val="20"/>
                <w:szCs w:val="20"/>
              </w:rPr>
              <w:t>Insomnia</w:t>
            </w:r>
          </w:p>
        </w:tc>
        <w:tc>
          <w:tcPr>
            <w:tcW w:w="1168" w:type="dxa"/>
            <w:vAlign w:val="center"/>
          </w:tcPr>
          <w:p w14:paraId="5A93F755"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42 (11.9)</w:t>
            </w:r>
          </w:p>
        </w:tc>
        <w:tc>
          <w:tcPr>
            <w:tcW w:w="1100" w:type="dxa"/>
            <w:vAlign w:val="center"/>
          </w:tcPr>
          <w:p w14:paraId="79845D1B"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25 (7.1)</w:t>
            </w:r>
          </w:p>
        </w:tc>
        <w:tc>
          <w:tcPr>
            <w:tcW w:w="992" w:type="dxa"/>
            <w:vAlign w:val="center"/>
          </w:tcPr>
          <w:p w14:paraId="65F4BDDB"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37 (10.5)</w:t>
            </w:r>
          </w:p>
        </w:tc>
        <w:tc>
          <w:tcPr>
            <w:tcW w:w="1707" w:type="dxa"/>
            <w:vAlign w:val="center"/>
          </w:tcPr>
          <w:p w14:paraId="79246DDF"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0.01 (-0.03, 0.06)</w:t>
            </w:r>
          </w:p>
        </w:tc>
        <w:tc>
          <w:tcPr>
            <w:tcW w:w="1503" w:type="dxa"/>
            <w:vAlign w:val="center"/>
          </w:tcPr>
          <w:p w14:paraId="0597F2C2"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-0.03 (-0.08, 0.01)</w:t>
            </w:r>
          </w:p>
        </w:tc>
      </w:tr>
      <w:tr w:rsidR="000941B2" w:rsidRPr="00A00E1D" w14:paraId="3FE505F7" w14:textId="77777777" w:rsidTr="00C32E2B">
        <w:tc>
          <w:tcPr>
            <w:tcW w:w="2547" w:type="dxa"/>
          </w:tcPr>
          <w:p w14:paraId="4F44D646" w14:textId="77777777" w:rsidR="000941B2" w:rsidRDefault="000941B2" w:rsidP="003A3EB9">
            <w:pPr>
              <w:rPr>
                <w:rFonts w:ascii="Arial Narrow" w:hAnsi="Arial Narrow"/>
                <w:sz w:val="20"/>
                <w:szCs w:val="20"/>
              </w:rPr>
            </w:pPr>
            <w:r>
              <w:rPr>
                <w:rFonts w:ascii="Arial Narrow" w:hAnsi="Arial Narrow"/>
                <w:sz w:val="20"/>
                <w:szCs w:val="20"/>
              </w:rPr>
              <w:t>Nausea</w:t>
            </w:r>
          </w:p>
        </w:tc>
        <w:tc>
          <w:tcPr>
            <w:tcW w:w="1168" w:type="dxa"/>
            <w:vAlign w:val="center"/>
          </w:tcPr>
          <w:p w14:paraId="1EDD1D37"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42 (11.9)</w:t>
            </w:r>
          </w:p>
        </w:tc>
        <w:tc>
          <w:tcPr>
            <w:tcW w:w="1100" w:type="dxa"/>
            <w:vAlign w:val="center"/>
          </w:tcPr>
          <w:p w14:paraId="23B67C08"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54 (15.3)</w:t>
            </w:r>
          </w:p>
        </w:tc>
        <w:tc>
          <w:tcPr>
            <w:tcW w:w="992" w:type="dxa"/>
            <w:vAlign w:val="center"/>
          </w:tcPr>
          <w:p w14:paraId="2AC10976"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29 (8.2)</w:t>
            </w:r>
          </w:p>
        </w:tc>
        <w:tc>
          <w:tcPr>
            <w:tcW w:w="1707" w:type="dxa"/>
            <w:vAlign w:val="center"/>
          </w:tcPr>
          <w:p w14:paraId="4A94C371"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0.04 (-0.01, 0.08)</w:t>
            </w:r>
          </w:p>
        </w:tc>
        <w:tc>
          <w:tcPr>
            <w:tcW w:w="1503" w:type="dxa"/>
            <w:vAlign w:val="center"/>
          </w:tcPr>
          <w:p w14:paraId="481A9C25" w14:textId="77777777" w:rsidR="000941B2" w:rsidRPr="00FF1F6D" w:rsidRDefault="000941B2" w:rsidP="003A3EB9">
            <w:pPr>
              <w:jc w:val="center"/>
              <w:rPr>
                <w:rFonts w:ascii="Arial Narrow" w:hAnsi="Arial Narrow"/>
                <w:b/>
                <w:iCs/>
                <w:sz w:val="20"/>
                <w:szCs w:val="20"/>
              </w:rPr>
            </w:pPr>
            <w:r w:rsidRPr="00FF1F6D">
              <w:rPr>
                <w:rFonts w:ascii="Arial Narrow" w:hAnsi="Arial Narrow"/>
                <w:b/>
                <w:iCs/>
                <w:sz w:val="20"/>
                <w:szCs w:val="20"/>
              </w:rPr>
              <w:t>0.07 (0.02, 0.12)</w:t>
            </w:r>
          </w:p>
        </w:tc>
      </w:tr>
      <w:tr w:rsidR="000941B2" w:rsidRPr="00A00E1D" w14:paraId="2DD0D0ED" w14:textId="77777777" w:rsidTr="00C32E2B">
        <w:tc>
          <w:tcPr>
            <w:tcW w:w="2547" w:type="dxa"/>
          </w:tcPr>
          <w:p w14:paraId="5022BC5B" w14:textId="77777777" w:rsidR="000941B2" w:rsidRDefault="000941B2" w:rsidP="003A3EB9">
            <w:pPr>
              <w:rPr>
                <w:rFonts w:ascii="Arial Narrow" w:hAnsi="Arial Narrow"/>
                <w:sz w:val="20"/>
                <w:szCs w:val="20"/>
              </w:rPr>
            </w:pPr>
            <w:r>
              <w:rPr>
                <w:rFonts w:ascii="Arial Narrow" w:hAnsi="Arial Narrow"/>
                <w:sz w:val="20"/>
                <w:szCs w:val="20"/>
              </w:rPr>
              <w:t>Pain in extremity</w:t>
            </w:r>
          </w:p>
        </w:tc>
        <w:tc>
          <w:tcPr>
            <w:tcW w:w="1168" w:type="dxa"/>
            <w:vAlign w:val="center"/>
          </w:tcPr>
          <w:p w14:paraId="5FA0D0EA"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41 (11.6)</w:t>
            </w:r>
          </w:p>
        </w:tc>
        <w:tc>
          <w:tcPr>
            <w:tcW w:w="1100" w:type="dxa"/>
            <w:vAlign w:val="center"/>
          </w:tcPr>
          <w:p w14:paraId="377B8364"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40 (11.3)</w:t>
            </w:r>
          </w:p>
        </w:tc>
        <w:tc>
          <w:tcPr>
            <w:tcW w:w="992" w:type="dxa"/>
            <w:vAlign w:val="center"/>
          </w:tcPr>
          <w:p w14:paraId="186C59C3"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36 (10.2)</w:t>
            </w:r>
          </w:p>
        </w:tc>
        <w:tc>
          <w:tcPr>
            <w:tcW w:w="1707" w:type="dxa"/>
            <w:vAlign w:val="center"/>
          </w:tcPr>
          <w:p w14:paraId="0FBC5DCB"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0.01 (-0.03, 0.06)</w:t>
            </w:r>
          </w:p>
        </w:tc>
        <w:tc>
          <w:tcPr>
            <w:tcW w:w="1503" w:type="dxa"/>
            <w:vAlign w:val="center"/>
          </w:tcPr>
          <w:p w14:paraId="4866E0F4"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0.01 (-0.03, 0.06)</w:t>
            </w:r>
          </w:p>
        </w:tc>
      </w:tr>
      <w:tr w:rsidR="000941B2" w:rsidRPr="00A00E1D" w14:paraId="38E9764A" w14:textId="77777777" w:rsidTr="00C32E2B">
        <w:tc>
          <w:tcPr>
            <w:tcW w:w="2547" w:type="dxa"/>
          </w:tcPr>
          <w:p w14:paraId="3EEBD73C" w14:textId="77777777" w:rsidR="000941B2" w:rsidRDefault="000941B2" w:rsidP="003A3EB9">
            <w:pPr>
              <w:rPr>
                <w:rFonts w:ascii="Arial Narrow" w:hAnsi="Arial Narrow"/>
                <w:sz w:val="20"/>
                <w:szCs w:val="20"/>
              </w:rPr>
            </w:pPr>
            <w:r>
              <w:rPr>
                <w:rFonts w:ascii="Arial Narrow" w:hAnsi="Arial Narrow"/>
                <w:sz w:val="20"/>
                <w:szCs w:val="20"/>
              </w:rPr>
              <w:t>Asthenia</w:t>
            </w:r>
          </w:p>
        </w:tc>
        <w:tc>
          <w:tcPr>
            <w:tcW w:w="1168" w:type="dxa"/>
            <w:vAlign w:val="center"/>
          </w:tcPr>
          <w:p w14:paraId="78ACE90B"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39 (11.0)</w:t>
            </w:r>
          </w:p>
        </w:tc>
        <w:tc>
          <w:tcPr>
            <w:tcW w:w="1100" w:type="dxa"/>
            <w:vAlign w:val="center"/>
          </w:tcPr>
          <w:p w14:paraId="1C753971"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39 (11.0)</w:t>
            </w:r>
          </w:p>
        </w:tc>
        <w:tc>
          <w:tcPr>
            <w:tcW w:w="992" w:type="dxa"/>
            <w:vAlign w:val="center"/>
          </w:tcPr>
          <w:p w14:paraId="58297400"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21 (5.9)</w:t>
            </w:r>
          </w:p>
        </w:tc>
        <w:tc>
          <w:tcPr>
            <w:tcW w:w="1707" w:type="dxa"/>
            <w:vAlign w:val="center"/>
          </w:tcPr>
          <w:p w14:paraId="4953F692" w14:textId="77777777" w:rsidR="000941B2" w:rsidRPr="00FF1F6D" w:rsidRDefault="000941B2" w:rsidP="003A3EB9">
            <w:pPr>
              <w:jc w:val="center"/>
              <w:rPr>
                <w:rFonts w:ascii="Arial Narrow" w:hAnsi="Arial Narrow"/>
                <w:b/>
                <w:iCs/>
                <w:sz w:val="20"/>
                <w:szCs w:val="20"/>
              </w:rPr>
            </w:pPr>
            <w:r w:rsidRPr="00FF1F6D">
              <w:rPr>
                <w:rFonts w:ascii="Arial Narrow" w:hAnsi="Arial Narrow"/>
                <w:b/>
                <w:iCs/>
                <w:sz w:val="20"/>
                <w:szCs w:val="20"/>
              </w:rPr>
              <w:t>0.05 (0.01, 0.09)</w:t>
            </w:r>
          </w:p>
        </w:tc>
        <w:tc>
          <w:tcPr>
            <w:tcW w:w="1503" w:type="dxa"/>
            <w:vAlign w:val="center"/>
          </w:tcPr>
          <w:p w14:paraId="35271F53" w14:textId="77777777" w:rsidR="000941B2" w:rsidRPr="00FF1F6D" w:rsidRDefault="000941B2" w:rsidP="003A3EB9">
            <w:pPr>
              <w:jc w:val="center"/>
              <w:rPr>
                <w:rFonts w:ascii="Arial Narrow" w:hAnsi="Arial Narrow"/>
                <w:b/>
                <w:iCs/>
                <w:sz w:val="20"/>
                <w:szCs w:val="20"/>
              </w:rPr>
            </w:pPr>
            <w:r w:rsidRPr="00FF1F6D">
              <w:rPr>
                <w:rFonts w:ascii="Arial Narrow" w:hAnsi="Arial Narrow"/>
                <w:b/>
                <w:iCs/>
                <w:sz w:val="20"/>
                <w:szCs w:val="20"/>
              </w:rPr>
              <w:t>0.05 (0.01, 0.09)</w:t>
            </w:r>
          </w:p>
        </w:tc>
      </w:tr>
      <w:tr w:rsidR="000941B2" w:rsidRPr="00A00E1D" w14:paraId="7A4F2347" w14:textId="77777777" w:rsidTr="00C32E2B">
        <w:tc>
          <w:tcPr>
            <w:tcW w:w="2547" w:type="dxa"/>
          </w:tcPr>
          <w:p w14:paraId="6F6BC521" w14:textId="77777777" w:rsidR="000941B2" w:rsidRDefault="000941B2" w:rsidP="003A3EB9">
            <w:pPr>
              <w:rPr>
                <w:rFonts w:ascii="Arial Narrow" w:hAnsi="Arial Narrow"/>
                <w:sz w:val="20"/>
                <w:szCs w:val="20"/>
              </w:rPr>
            </w:pPr>
            <w:r>
              <w:rPr>
                <w:rFonts w:ascii="Arial Narrow" w:hAnsi="Arial Narrow"/>
                <w:sz w:val="20"/>
                <w:szCs w:val="20"/>
              </w:rPr>
              <w:t>Dizziness</w:t>
            </w:r>
          </w:p>
        </w:tc>
        <w:tc>
          <w:tcPr>
            <w:tcW w:w="1168" w:type="dxa"/>
            <w:vAlign w:val="center"/>
          </w:tcPr>
          <w:p w14:paraId="14767170"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39 (11.0)</w:t>
            </w:r>
          </w:p>
        </w:tc>
        <w:tc>
          <w:tcPr>
            <w:tcW w:w="1100" w:type="dxa"/>
            <w:vAlign w:val="center"/>
          </w:tcPr>
          <w:p w14:paraId="1EEA7F46"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41 (11.6)</w:t>
            </w:r>
          </w:p>
        </w:tc>
        <w:tc>
          <w:tcPr>
            <w:tcW w:w="992" w:type="dxa"/>
            <w:vAlign w:val="center"/>
          </w:tcPr>
          <w:p w14:paraId="25217301"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37 (10.5)</w:t>
            </w:r>
          </w:p>
        </w:tc>
        <w:tc>
          <w:tcPr>
            <w:tcW w:w="1707" w:type="dxa"/>
            <w:vAlign w:val="center"/>
          </w:tcPr>
          <w:p w14:paraId="0F45A749"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0.01 (-0.04, 0.05)</w:t>
            </w:r>
          </w:p>
        </w:tc>
        <w:tc>
          <w:tcPr>
            <w:tcW w:w="1503" w:type="dxa"/>
            <w:vAlign w:val="center"/>
          </w:tcPr>
          <w:p w14:paraId="7E2F5EA7"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0.01 (-0.03, 0.06)</w:t>
            </w:r>
          </w:p>
        </w:tc>
      </w:tr>
      <w:tr w:rsidR="000941B2" w:rsidRPr="00A00E1D" w14:paraId="336C399B" w14:textId="77777777" w:rsidTr="00C32E2B">
        <w:tc>
          <w:tcPr>
            <w:tcW w:w="2547" w:type="dxa"/>
          </w:tcPr>
          <w:p w14:paraId="49094950" w14:textId="77777777" w:rsidR="000941B2" w:rsidRDefault="000941B2" w:rsidP="003A3EB9">
            <w:pPr>
              <w:rPr>
                <w:rFonts w:ascii="Arial Narrow" w:hAnsi="Arial Narrow"/>
                <w:sz w:val="20"/>
                <w:szCs w:val="20"/>
              </w:rPr>
            </w:pPr>
            <w:r>
              <w:rPr>
                <w:rFonts w:ascii="Arial Narrow" w:hAnsi="Arial Narrow"/>
                <w:sz w:val="20"/>
                <w:szCs w:val="20"/>
              </w:rPr>
              <w:t>Headache</w:t>
            </w:r>
          </w:p>
        </w:tc>
        <w:tc>
          <w:tcPr>
            <w:tcW w:w="1168" w:type="dxa"/>
            <w:vAlign w:val="center"/>
          </w:tcPr>
          <w:p w14:paraId="044E58E9"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39 (11.0)</w:t>
            </w:r>
          </w:p>
        </w:tc>
        <w:tc>
          <w:tcPr>
            <w:tcW w:w="1100" w:type="dxa"/>
            <w:vAlign w:val="center"/>
          </w:tcPr>
          <w:p w14:paraId="4CB583C3"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41 (11.6)</w:t>
            </w:r>
          </w:p>
        </w:tc>
        <w:tc>
          <w:tcPr>
            <w:tcW w:w="992" w:type="dxa"/>
            <w:vAlign w:val="center"/>
          </w:tcPr>
          <w:p w14:paraId="6A8CB49E"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32 (9.0)</w:t>
            </w:r>
          </w:p>
        </w:tc>
        <w:tc>
          <w:tcPr>
            <w:tcW w:w="1707" w:type="dxa"/>
            <w:vAlign w:val="center"/>
          </w:tcPr>
          <w:p w14:paraId="32F9F701"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0.02 (-0.02, 0.06)</w:t>
            </w:r>
          </w:p>
        </w:tc>
        <w:tc>
          <w:tcPr>
            <w:tcW w:w="1503" w:type="dxa"/>
            <w:vAlign w:val="center"/>
          </w:tcPr>
          <w:p w14:paraId="3A85A087"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0.03 (-0.02, 0.07)</w:t>
            </w:r>
          </w:p>
        </w:tc>
      </w:tr>
      <w:tr w:rsidR="000941B2" w:rsidRPr="00A00E1D" w14:paraId="11FDD01B" w14:textId="77777777" w:rsidTr="00C32E2B">
        <w:tc>
          <w:tcPr>
            <w:tcW w:w="2547" w:type="dxa"/>
          </w:tcPr>
          <w:p w14:paraId="59EAABA0" w14:textId="77777777" w:rsidR="000941B2" w:rsidRDefault="000941B2" w:rsidP="003A3EB9">
            <w:pPr>
              <w:rPr>
                <w:rFonts w:ascii="Arial Narrow" w:hAnsi="Arial Narrow"/>
                <w:sz w:val="20"/>
                <w:szCs w:val="20"/>
              </w:rPr>
            </w:pPr>
            <w:r>
              <w:rPr>
                <w:rFonts w:ascii="Arial Narrow" w:hAnsi="Arial Narrow"/>
                <w:sz w:val="20"/>
                <w:szCs w:val="20"/>
              </w:rPr>
              <w:t>Urinary incontinence</w:t>
            </w:r>
          </w:p>
        </w:tc>
        <w:tc>
          <w:tcPr>
            <w:tcW w:w="1168" w:type="dxa"/>
            <w:vAlign w:val="center"/>
          </w:tcPr>
          <w:p w14:paraId="1AC6FB6F"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34 (9.6)</w:t>
            </w:r>
          </w:p>
        </w:tc>
        <w:tc>
          <w:tcPr>
            <w:tcW w:w="1100" w:type="dxa"/>
            <w:vAlign w:val="center"/>
          </w:tcPr>
          <w:p w14:paraId="5EA890C9"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36 (10.2)</w:t>
            </w:r>
          </w:p>
        </w:tc>
        <w:tc>
          <w:tcPr>
            <w:tcW w:w="992" w:type="dxa"/>
            <w:vAlign w:val="center"/>
          </w:tcPr>
          <w:p w14:paraId="03C76975"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28 (7.9)</w:t>
            </w:r>
          </w:p>
        </w:tc>
        <w:tc>
          <w:tcPr>
            <w:tcW w:w="1707" w:type="dxa"/>
            <w:vAlign w:val="center"/>
          </w:tcPr>
          <w:p w14:paraId="14255957"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0.02 (-0.02, 0.06)</w:t>
            </w:r>
          </w:p>
        </w:tc>
        <w:tc>
          <w:tcPr>
            <w:tcW w:w="1503" w:type="dxa"/>
            <w:vAlign w:val="center"/>
          </w:tcPr>
          <w:p w14:paraId="77E11C0B"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0.02 (-0.02, 0.06)</w:t>
            </w:r>
          </w:p>
        </w:tc>
      </w:tr>
      <w:tr w:rsidR="000941B2" w:rsidRPr="00A00E1D" w14:paraId="317DFEE6" w14:textId="77777777" w:rsidTr="00C32E2B">
        <w:tc>
          <w:tcPr>
            <w:tcW w:w="2547" w:type="dxa"/>
          </w:tcPr>
          <w:p w14:paraId="512543E5" w14:textId="77777777" w:rsidR="000941B2" w:rsidRDefault="000941B2" w:rsidP="003A3EB9">
            <w:pPr>
              <w:rPr>
                <w:rFonts w:ascii="Arial Narrow" w:hAnsi="Arial Narrow"/>
                <w:sz w:val="20"/>
                <w:szCs w:val="20"/>
              </w:rPr>
            </w:pPr>
            <w:r>
              <w:rPr>
                <w:rFonts w:ascii="Arial Narrow" w:hAnsi="Arial Narrow"/>
                <w:sz w:val="20"/>
                <w:szCs w:val="20"/>
              </w:rPr>
              <w:t>Gynecomastia</w:t>
            </w:r>
          </w:p>
        </w:tc>
        <w:tc>
          <w:tcPr>
            <w:tcW w:w="1168" w:type="dxa"/>
            <w:vAlign w:val="center"/>
          </w:tcPr>
          <w:p w14:paraId="1DAA88DA"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29 (8.2)</w:t>
            </w:r>
          </w:p>
        </w:tc>
        <w:tc>
          <w:tcPr>
            <w:tcW w:w="1100" w:type="dxa"/>
            <w:vAlign w:val="center"/>
          </w:tcPr>
          <w:p w14:paraId="3250D2D0"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159 (44.9)</w:t>
            </w:r>
            <w:r>
              <w:rPr>
                <w:rFonts w:ascii="Arial Narrow" w:hAnsi="Arial Narrow"/>
                <w:sz w:val="20"/>
                <w:szCs w:val="20"/>
              </w:rPr>
              <w:t>^</w:t>
            </w:r>
          </w:p>
        </w:tc>
        <w:tc>
          <w:tcPr>
            <w:tcW w:w="992" w:type="dxa"/>
            <w:vAlign w:val="center"/>
          </w:tcPr>
          <w:p w14:paraId="61B43134"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32 (9.0)</w:t>
            </w:r>
          </w:p>
        </w:tc>
        <w:tc>
          <w:tcPr>
            <w:tcW w:w="1707" w:type="dxa"/>
            <w:vAlign w:val="center"/>
          </w:tcPr>
          <w:p w14:paraId="58D08835"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-0.01 (-0.05, 0.03)</w:t>
            </w:r>
          </w:p>
        </w:tc>
        <w:tc>
          <w:tcPr>
            <w:tcW w:w="1503" w:type="dxa"/>
            <w:vAlign w:val="center"/>
          </w:tcPr>
          <w:p w14:paraId="53063DCF" w14:textId="77777777" w:rsidR="000941B2" w:rsidRPr="00FF1F6D" w:rsidRDefault="000941B2" w:rsidP="003A3EB9">
            <w:pPr>
              <w:jc w:val="center"/>
              <w:rPr>
                <w:rFonts w:ascii="Arial Narrow" w:hAnsi="Arial Narrow"/>
                <w:b/>
                <w:iCs/>
                <w:sz w:val="20"/>
                <w:szCs w:val="20"/>
              </w:rPr>
            </w:pPr>
            <w:r w:rsidRPr="00FF1F6D">
              <w:rPr>
                <w:rFonts w:ascii="Arial Narrow" w:hAnsi="Arial Narrow"/>
                <w:b/>
                <w:iCs/>
                <w:sz w:val="20"/>
                <w:szCs w:val="20"/>
              </w:rPr>
              <w:t>0.36 (0.30, 0.42)</w:t>
            </w:r>
          </w:p>
        </w:tc>
      </w:tr>
      <w:tr w:rsidR="000941B2" w:rsidRPr="00A00E1D" w14:paraId="2749839C" w14:textId="77777777" w:rsidTr="00C32E2B">
        <w:tc>
          <w:tcPr>
            <w:tcW w:w="2547" w:type="dxa"/>
          </w:tcPr>
          <w:p w14:paraId="49A88915" w14:textId="493557AA" w:rsidR="000941B2" w:rsidRDefault="000941B2" w:rsidP="003A3EB9">
            <w:pPr>
              <w:rPr>
                <w:rFonts w:ascii="Arial Narrow" w:hAnsi="Arial Narrow"/>
                <w:sz w:val="20"/>
                <w:szCs w:val="20"/>
              </w:rPr>
            </w:pPr>
            <w:r>
              <w:rPr>
                <w:rFonts w:ascii="Arial Narrow" w:hAnsi="Arial Narrow"/>
                <w:sz w:val="20"/>
                <w:szCs w:val="20"/>
              </w:rPr>
              <w:t xml:space="preserve">Peripheral </w:t>
            </w:r>
            <w:r w:rsidR="006A4FCD">
              <w:rPr>
                <w:rFonts w:ascii="Arial Narrow" w:hAnsi="Arial Narrow"/>
                <w:sz w:val="20"/>
                <w:szCs w:val="20"/>
              </w:rPr>
              <w:t>oedema</w:t>
            </w:r>
          </w:p>
        </w:tc>
        <w:tc>
          <w:tcPr>
            <w:tcW w:w="1168" w:type="dxa"/>
            <w:vAlign w:val="center"/>
          </w:tcPr>
          <w:p w14:paraId="619FC810"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27 (7.6)</w:t>
            </w:r>
          </w:p>
        </w:tc>
        <w:tc>
          <w:tcPr>
            <w:tcW w:w="1100" w:type="dxa"/>
            <w:vAlign w:val="center"/>
          </w:tcPr>
          <w:p w14:paraId="49CAFB0F"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31 (8.8)</w:t>
            </w:r>
          </w:p>
        </w:tc>
        <w:tc>
          <w:tcPr>
            <w:tcW w:w="992" w:type="dxa"/>
            <w:vAlign w:val="center"/>
          </w:tcPr>
          <w:p w14:paraId="0B0E41D9"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37 (10.5)</w:t>
            </w:r>
          </w:p>
        </w:tc>
        <w:tc>
          <w:tcPr>
            <w:tcW w:w="1707" w:type="dxa"/>
            <w:vAlign w:val="center"/>
          </w:tcPr>
          <w:p w14:paraId="3D00DBAD"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-0.03 (-0.07, 0.01)</w:t>
            </w:r>
          </w:p>
        </w:tc>
        <w:tc>
          <w:tcPr>
            <w:tcW w:w="1503" w:type="dxa"/>
            <w:vAlign w:val="center"/>
          </w:tcPr>
          <w:p w14:paraId="64F85E60"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-0.02 (-0.06, 0.03)</w:t>
            </w:r>
          </w:p>
        </w:tc>
      </w:tr>
      <w:tr w:rsidR="000941B2" w:rsidRPr="00A00E1D" w14:paraId="1AD02888" w14:textId="77777777" w:rsidTr="00C32E2B">
        <w:tc>
          <w:tcPr>
            <w:tcW w:w="2547" w:type="dxa"/>
          </w:tcPr>
          <w:p w14:paraId="4A4ABF61" w14:textId="77777777" w:rsidR="000941B2" w:rsidRDefault="000941B2" w:rsidP="003A3EB9">
            <w:pPr>
              <w:rPr>
                <w:rFonts w:ascii="Arial Narrow" w:hAnsi="Arial Narrow"/>
                <w:sz w:val="20"/>
                <w:szCs w:val="20"/>
              </w:rPr>
            </w:pPr>
            <w:r>
              <w:rPr>
                <w:rFonts w:ascii="Arial Narrow" w:hAnsi="Arial Narrow"/>
                <w:sz w:val="20"/>
                <w:szCs w:val="20"/>
              </w:rPr>
              <w:t>Urinary tract infection</w:t>
            </w:r>
          </w:p>
        </w:tc>
        <w:tc>
          <w:tcPr>
            <w:tcW w:w="1168" w:type="dxa"/>
            <w:vAlign w:val="center"/>
          </w:tcPr>
          <w:p w14:paraId="309CBF8F"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27 (7.6)</w:t>
            </w:r>
          </w:p>
        </w:tc>
        <w:tc>
          <w:tcPr>
            <w:tcW w:w="1100" w:type="dxa"/>
            <w:vAlign w:val="center"/>
          </w:tcPr>
          <w:p w14:paraId="086DAA31"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37 (10.5)</w:t>
            </w:r>
          </w:p>
        </w:tc>
        <w:tc>
          <w:tcPr>
            <w:tcW w:w="992" w:type="dxa"/>
            <w:vAlign w:val="center"/>
          </w:tcPr>
          <w:p w14:paraId="7226DA16"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26 (7.3)</w:t>
            </w:r>
          </w:p>
        </w:tc>
        <w:tc>
          <w:tcPr>
            <w:tcW w:w="1707" w:type="dxa"/>
            <w:vAlign w:val="center"/>
          </w:tcPr>
          <w:p w14:paraId="57897859"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0.00 (-0.04, 0.04)</w:t>
            </w:r>
          </w:p>
        </w:tc>
        <w:tc>
          <w:tcPr>
            <w:tcW w:w="1503" w:type="dxa"/>
            <w:vAlign w:val="center"/>
          </w:tcPr>
          <w:p w14:paraId="4FDADFFF"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0.03 (-0.01, 0.07)</w:t>
            </w:r>
          </w:p>
        </w:tc>
      </w:tr>
      <w:tr w:rsidR="000941B2" w:rsidRPr="00A00E1D" w14:paraId="71858C01" w14:textId="77777777" w:rsidTr="00C32E2B">
        <w:tc>
          <w:tcPr>
            <w:tcW w:w="2547" w:type="dxa"/>
          </w:tcPr>
          <w:p w14:paraId="3EAFBCA7" w14:textId="77777777" w:rsidR="000941B2" w:rsidRDefault="000941B2" w:rsidP="003A3EB9">
            <w:pPr>
              <w:rPr>
                <w:rFonts w:ascii="Arial Narrow" w:hAnsi="Arial Narrow"/>
                <w:sz w:val="20"/>
                <w:szCs w:val="20"/>
              </w:rPr>
            </w:pPr>
            <w:r>
              <w:rPr>
                <w:rFonts w:ascii="Arial Narrow" w:hAnsi="Arial Narrow"/>
                <w:sz w:val="20"/>
                <w:szCs w:val="20"/>
              </w:rPr>
              <w:t>Weight decreased</w:t>
            </w:r>
          </w:p>
        </w:tc>
        <w:tc>
          <w:tcPr>
            <w:tcW w:w="1168" w:type="dxa"/>
            <w:vAlign w:val="center"/>
          </w:tcPr>
          <w:p w14:paraId="76E524F0" w14:textId="77777777" w:rsidR="000941B2" w:rsidRPr="00A00E1D" w:rsidRDefault="000941B2" w:rsidP="003A3EB9">
            <w:pPr>
              <w:jc w:val="center"/>
              <w:rPr>
                <w:rFonts w:ascii="Arial Narrow" w:hAnsi="Arial Narrow"/>
                <w:sz w:val="20"/>
                <w:szCs w:val="20"/>
              </w:rPr>
            </w:pPr>
            <w:r w:rsidRPr="0060263D">
              <w:rPr>
                <w:rFonts w:ascii="Arial Narrow" w:hAnsi="Arial Narrow"/>
                <w:sz w:val="20"/>
                <w:szCs w:val="20"/>
              </w:rPr>
              <w:t>24 (6.8)</w:t>
            </w:r>
          </w:p>
        </w:tc>
        <w:tc>
          <w:tcPr>
            <w:tcW w:w="1100" w:type="dxa"/>
            <w:vAlign w:val="center"/>
          </w:tcPr>
          <w:p w14:paraId="4FC6F5F6"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39 (11.0)</w:t>
            </w:r>
          </w:p>
        </w:tc>
        <w:tc>
          <w:tcPr>
            <w:tcW w:w="992" w:type="dxa"/>
            <w:vAlign w:val="center"/>
          </w:tcPr>
          <w:p w14:paraId="1ED6B210"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12 (3.4)</w:t>
            </w:r>
          </w:p>
        </w:tc>
        <w:tc>
          <w:tcPr>
            <w:tcW w:w="1707" w:type="dxa"/>
            <w:vAlign w:val="center"/>
          </w:tcPr>
          <w:p w14:paraId="2D79E588" w14:textId="77777777" w:rsidR="000941B2" w:rsidRPr="00FF1F6D" w:rsidRDefault="000941B2" w:rsidP="003A3EB9">
            <w:pPr>
              <w:jc w:val="center"/>
              <w:rPr>
                <w:rFonts w:ascii="Arial Narrow" w:hAnsi="Arial Narrow"/>
                <w:b/>
                <w:iCs/>
                <w:sz w:val="20"/>
                <w:szCs w:val="20"/>
              </w:rPr>
            </w:pPr>
            <w:r w:rsidRPr="00FF1F6D">
              <w:rPr>
                <w:rFonts w:ascii="Arial Narrow" w:hAnsi="Arial Narrow"/>
                <w:b/>
                <w:iCs/>
                <w:sz w:val="20"/>
                <w:szCs w:val="20"/>
              </w:rPr>
              <w:t>0.03 (0.00, 0.07)</w:t>
            </w:r>
          </w:p>
        </w:tc>
        <w:tc>
          <w:tcPr>
            <w:tcW w:w="1503" w:type="dxa"/>
            <w:vAlign w:val="center"/>
          </w:tcPr>
          <w:p w14:paraId="38676474" w14:textId="77777777" w:rsidR="000941B2" w:rsidRPr="00FF1F6D" w:rsidRDefault="000941B2" w:rsidP="003A3EB9">
            <w:pPr>
              <w:jc w:val="center"/>
              <w:rPr>
                <w:rFonts w:ascii="Arial Narrow" w:hAnsi="Arial Narrow"/>
                <w:b/>
                <w:iCs/>
                <w:sz w:val="20"/>
                <w:szCs w:val="20"/>
              </w:rPr>
            </w:pPr>
            <w:r w:rsidRPr="00FF1F6D">
              <w:rPr>
                <w:rFonts w:ascii="Arial Narrow" w:hAnsi="Arial Narrow"/>
                <w:b/>
                <w:iCs/>
                <w:sz w:val="20"/>
                <w:szCs w:val="20"/>
              </w:rPr>
              <w:t>0.08 (0.04, 0.11)</w:t>
            </w:r>
          </w:p>
        </w:tc>
      </w:tr>
      <w:tr w:rsidR="000941B2" w:rsidRPr="00A00E1D" w14:paraId="4FFAE7FA" w14:textId="77777777" w:rsidTr="00C32E2B">
        <w:tc>
          <w:tcPr>
            <w:tcW w:w="2547" w:type="dxa"/>
          </w:tcPr>
          <w:p w14:paraId="2B5908B6" w14:textId="77777777" w:rsidR="000941B2" w:rsidRDefault="000941B2" w:rsidP="003A3EB9">
            <w:pPr>
              <w:rPr>
                <w:rFonts w:ascii="Arial Narrow" w:hAnsi="Arial Narrow"/>
                <w:sz w:val="20"/>
                <w:szCs w:val="20"/>
              </w:rPr>
            </w:pPr>
            <w:r>
              <w:rPr>
                <w:rFonts w:ascii="Arial Narrow" w:hAnsi="Arial Narrow"/>
                <w:sz w:val="20"/>
                <w:szCs w:val="20"/>
              </w:rPr>
              <w:t>Nipple pain</w:t>
            </w:r>
          </w:p>
        </w:tc>
        <w:tc>
          <w:tcPr>
            <w:tcW w:w="1168" w:type="dxa"/>
            <w:vAlign w:val="center"/>
          </w:tcPr>
          <w:p w14:paraId="11AFFBD2"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11 (3.1)</w:t>
            </w:r>
          </w:p>
        </w:tc>
        <w:tc>
          <w:tcPr>
            <w:tcW w:w="1100" w:type="dxa"/>
            <w:vAlign w:val="center"/>
          </w:tcPr>
          <w:p w14:paraId="275C68A1"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54 (15.3)</w:t>
            </w:r>
          </w:p>
        </w:tc>
        <w:tc>
          <w:tcPr>
            <w:tcW w:w="992" w:type="dxa"/>
            <w:vAlign w:val="center"/>
          </w:tcPr>
          <w:p w14:paraId="1F26AAF4"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4 (1.1)</w:t>
            </w:r>
          </w:p>
        </w:tc>
        <w:tc>
          <w:tcPr>
            <w:tcW w:w="1707" w:type="dxa"/>
            <w:vAlign w:val="center"/>
          </w:tcPr>
          <w:p w14:paraId="29790A8A"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0.02 (-0.00, 0.04)</w:t>
            </w:r>
          </w:p>
        </w:tc>
        <w:tc>
          <w:tcPr>
            <w:tcW w:w="1503" w:type="dxa"/>
            <w:vAlign w:val="center"/>
          </w:tcPr>
          <w:p w14:paraId="239616F1" w14:textId="77777777" w:rsidR="000941B2" w:rsidRPr="00FF1F6D" w:rsidRDefault="000941B2" w:rsidP="003A3EB9">
            <w:pPr>
              <w:jc w:val="center"/>
              <w:rPr>
                <w:rFonts w:ascii="Arial Narrow" w:hAnsi="Arial Narrow"/>
                <w:b/>
                <w:iCs/>
                <w:sz w:val="20"/>
                <w:szCs w:val="20"/>
              </w:rPr>
            </w:pPr>
            <w:r w:rsidRPr="00FF1F6D">
              <w:rPr>
                <w:rFonts w:ascii="Arial Narrow" w:hAnsi="Arial Narrow"/>
                <w:b/>
                <w:iCs/>
                <w:sz w:val="20"/>
                <w:szCs w:val="20"/>
              </w:rPr>
              <w:t>0.14 (0.10, 0.18)</w:t>
            </w:r>
          </w:p>
        </w:tc>
      </w:tr>
      <w:tr w:rsidR="000941B2" w:rsidRPr="00A00E1D" w14:paraId="154A4CD7" w14:textId="77777777" w:rsidTr="00C32E2B">
        <w:tc>
          <w:tcPr>
            <w:tcW w:w="2547" w:type="dxa"/>
            <w:tcBorders>
              <w:bottom w:val="single" w:sz="4" w:space="0" w:color="auto"/>
            </w:tcBorders>
          </w:tcPr>
          <w:p w14:paraId="67A24626" w14:textId="77777777" w:rsidR="000941B2" w:rsidRDefault="000941B2" w:rsidP="003A3EB9">
            <w:pPr>
              <w:rPr>
                <w:rFonts w:ascii="Arial Narrow" w:hAnsi="Arial Narrow"/>
                <w:sz w:val="20"/>
                <w:szCs w:val="20"/>
              </w:rPr>
            </w:pPr>
            <w:r>
              <w:rPr>
                <w:rFonts w:ascii="Arial Narrow" w:hAnsi="Arial Narrow"/>
                <w:sz w:val="20"/>
                <w:szCs w:val="20"/>
              </w:rPr>
              <w:t>Breast tenderness</w:t>
            </w:r>
          </w:p>
        </w:tc>
        <w:tc>
          <w:tcPr>
            <w:tcW w:w="1168" w:type="dxa"/>
            <w:tcBorders>
              <w:bottom w:val="single" w:sz="4" w:space="0" w:color="auto"/>
            </w:tcBorders>
            <w:vAlign w:val="center"/>
          </w:tcPr>
          <w:p w14:paraId="576A01F6"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5 (1.4)</w:t>
            </w:r>
          </w:p>
        </w:tc>
        <w:tc>
          <w:tcPr>
            <w:tcW w:w="1100" w:type="dxa"/>
            <w:tcBorders>
              <w:bottom w:val="single" w:sz="4" w:space="0" w:color="auto"/>
            </w:tcBorders>
            <w:vAlign w:val="center"/>
          </w:tcPr>
          <w:p w14:paraId="18DA1243"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51 (14.4)</w:t>
            </w:r>
          </w:p>
        </w:tc>
        <w:tc>
          <w:tcPr>
            <w:tcW w:w="992" w:type="dxa"/>
            <w:tcBorders>
              <w:bottom w:val="single" w:sz="4" w:space="0" w:color="auto"/>
            </w:tcBorders>
            <w:vAlign w:val="center"/>
          </w:tcPr>
          <w:p w14:paraId="00FB4A4B" w14:textId="77777777" w:rsidR="000941B2" w:rsidRPr="00A00E1D" w:rsidRDefault="000941B2" w:rsidP="003A3EB9">
            <w:pPr>
              <w:jc w:val="center"/>
              <w:rPr>
                <w:rFonts w:ascii="Arial Narrow" w:hAnsi="Arial Narrow"/>
                <w:sz w:val="20"/>
                <w:szCs w:val="20"/>
              </w:rPr>
            </w:pPr>
            <w:r w:rsidRPr="00E67BCE">
              <w:rPr>
                <w:rFonts w:ascii="Arial Narrow" w:hAnsi="Arial Narrow"/>
                <w:sz w:val="20"/>
                <w:szCs w:val="20"/>
              </w:rPr>
              <w:t>4 (1.1)</w:t>
            </w:r>
          </w:p>
        </w:tc>
        <w:tc>
          <w:tcPr>
            <w:tcW w:w="1707" w:type="dxa"/>
            <w:tcBorders>
              <w:bottom w:val="single" w:sz="4" w:space="0" w:color="auto"/>
            </w:tcBorders>
            <w:vAlign w:val="center"/>
          </w:tcPr>
          <w:p w14:paraId="435DCA54" w14:textId="77777777" w:rsidR="000941B2" w:rsidRPr="00FF1F6D" w:rsidRDefault="000941B2" w:rsidP="003A3EB9">
            <w:pPr>
              <w:jc w:val="center"/>
              <w:rPr>
                <w:rFonts w:ascii="Arial Narrow" w:hAnsi="Arial Narrow"/>
                <w:iCs/>
                <w:sz w:val="20"/>
                <w:szCs w:val="20"/>
              </w:rPr>
            </w:pPr>
            <w:r w:rsidRPr="00FF1F6D">
              <w:rPr>
                <w:rFonts w:ascii="Arial Narrow" w:hAnsi="Arial Narrow"/>
                <w:iCs/>
                <w:sz w:val="20"/>
                <w:szCs w:val="20"/>
              </w:rPr>
              <w:t>0.00 (-0.01, 0.02)</w:t>
            </w:r>
          </w:p>
        </w:tc>
        <w:tc>
          <w:tcPr>
            <w:tcW w:w="1503" w:type="dxa"/>
            <w:tcBorders>
              <w:bottom w:val="single" w:sz="4" w:space="0" w:color="auto"/>
            </w:tcBorders>
            <w:vAlign w:val="center"/>
          </w:tcPr>
          <w:p w14:paraId="0027E35E" w14:textId="77777777" w:rsidR="000941B2" w:rsidRPr="00FF1F6D" w:rsidRDefault="000941B2" w:rsidP="003A3EB9">
            <w:pPr>
              <w:jc w:val="center"/>
              <w:rPr>
                <w:rFonts w:ascii="Arial Narrow" w:hAnsi="Arial Narrow"/>
                <w:b/>
                <w:iCs/>
                <w:sz w:val="20"/>
                <w:szCs w:val="20"/>
              </w:rPr>
            </w:pPr>
            <w:r w:rsidRPr="00FF1F6D">
              <w:rPr>
                <w:rFonts w:ascii="Arial Narrow" w:hAnsi="Arial Narrow"/>
                <w:b/>
                <w:iCs/>
                <w:sz w:val="20"/>
                <w:szCs w:val="20"/>
              </w:rPr>
              <w:t>0.13 (0.09, 0.17)</w:t>
            </w:r>
          </w:p>
        </w:tc>
      </w:tr>
    </w:tbl>
    <w:p w14:paraId="5E7296B7" w14:textId="01F40D55" w:rsidR="000941B2" w:rsidRDefault="000941B2" w:rsidP="000941B2">
      <w:pPr>
        <w:rPr>
          <w:rFonts w:ascii="Arial Narrow" w:hAnsi="Arial Narrow"/>
          <w:sz w:val="18"/>
          <w:szCs w:val="18"/>
        </w:rPr>
      </w:pPr>
      <w:r>
        <w:rPr>
          <w:rFonts w:ascii="Arial Narrow" w:hAnsi="Arial Narrow"/>
          <w:sz w:val="18"/>
          <w:szCs w:val="18"/>
        </w:rPr>
        <w:t>Source: Table 2-29, pp103-405</w:t>
      </w:r>
      <w:r w:rsidR="003401FD">
        <w:rPr>
          <w:rFonts w:ascii="Arial Narrow" w:hAnsi="Arial Narrow"/>
          <w:sz w:val="18"/>
          <w:szCs w:val="18"/>
        </w:rPr>
        <w:t xml:space="preserve"> and </w:t>
      </w:r>
      <w:r>
        <w:rPr>
          <w:rFonts w:ascii="Arial Narrow" w:hAnsi="Arial Narrow"/>
          <w:sz w:val="18"/>
          <w:szCs w:val="18"/>
        </w:rPr>
        <w:t>Table 2-32, p110 of the submission.</w:t>
      </w:r>
    </w:p>
    <w:p w14:paraId="6D0CE50B" w14:textId="5F7E48C1" w:rsidR="000941B2" w:rsidRDefault="000941B2" w:rsidP="000941B2">
      <w:pPr>
        <w:tabs>
          <w:tab w:val="left" w:pos="142"/>
        </w:tabs>
        <w:rPr>
          <w:rFonts w:ascii="Arial Narrow" w:hAnsi="Arial Narrow"/>
          <w:sz w:val="18"/>
          <w:szCs w:val="18"/>
        </w:rPr>
      </w:pPr>
      <w:r>
        <w:rPr>
          <w:rFonts w:ascii="Arial Narrow" w:hAnsi="Arial Narrow"/>
          <w:sz w:val="18"/>
          <w:szCs w:val="18"/>
        </w:rPr>
        <w:t xml:space="preserve">ADT=androgen deprivation therapy; </w:t>
      </w:r>
      <w:r w:rsidRPr="00684D20">
        <w:rPr>
          <w:rFonts w:ascii="Arial Narrow" w:hAnsi="Arial Narrow"/>
          <w:sz w:val="18"/>
          <w:szCs w:val="18"/>
        </w:rPr>
        <w:t xml:space="preserve">AE=adverse event; </w:t>
      </w:r>
      <w:r>
        <w:rPr>
          <w:rFonts w:ascii="Arial Narrow" w:hAnsi="Arial Narrow"/>
          <w:sz w:val="18"/>
          <w:szCs w:val="18"/>
        </w:rPr>
        <w:t xml:space="preserve">ENZA=enzalutamide; PBO=placebo; </w:t>
      </w:r>
      <w:r w:rsidR="003401FD" w:rsidRPr="003401FD">
        <w:rPr>
          <w:rFonts w:ascii="Arial Narrow" w:hAnsi="Arial Narrow"/>
          <w:sz w:val="18"/>
          <w:szCs w:val="18"/>
        </w:rPr>
        <w:t xml:space="preserve">RD=risk difference; </w:t>
      </w:r>
      <w:r w:rsidRPr="00684D20">
        <w:rPr>
          <w:rFonts w:ascii="Arial Narrow" w:hAnsi="Arial Narrow"/>
          <w:sz w:val="18"/>
          <w:szCs w:val="18"/>
        </w:rPr>
        <w:t>TEAE=Treatment emergent AE</w:t>
      </w:r>
    </w:p>
    <w:p w14:paraId="22BBBF00" w14:textId="77777777" w:rsidR="000941B2" w:rsidRDefault="000941B2" w:rsidP="000941B2">
      <w:pPr>
        <w:tabs>
          <w:tab w:val="left" w:pos="142"/>
        </w:tabs>
        <w:rPr>
          <w:rFonts w:ascii="Arial Narrow" w:hAnsi="Arial Narrow"/>
          <w:sz w:val="18"/>
          <w:szCs w:val="18"/>
        </w:rPr>
      </w:pPr>
      <w:r>
        <w:rPr>
          <w:rFonts w:ascii="Arial Narrow" w:hAnsi="Arial Narrow"/>
          <w:sz w:val="18"/>
          <w:szCs w:val="18"/>
        </w:rPr>
        <w:t>*</w:t>
      </w:r>
      <w:r>
        <w:rPr>
          <w:rFonts w:ascii="Arial Narrow" w:hAnsi="Arial Narrow"/>
          <w:sz w:val="18"/>
          <w:szCs w:val="18"/>
        </w:rPr>
        <w:tab/>
        <w:t>Calculated during the evaluation using RevMan v5.3.</w:t>
      </w:r>
    </w:p>
    <w:p w14:paraId="179B1AF9" w14:textId="77777777" w:rsidR="000941B2" w:rsidRDefault="000941B2" w:rsidP="000941B2">
      <w:pPr>
        <w:tabs>
          <w:tab w:val="left" w:pos="142"/>
        </w:tabs>
        <w:rPr>
          <w:rFonts w:ascii="Arial Narrow" w:hAnsi="Arial Narrow"/>
          <w:sz w:val="18"/>
          <w:szCs w:val="18"/>
        </w:rPr>
      </w:pPr>
      <w:r>
        <w:rPr>
          <w:rFonts w:ascii="Arial Narrow" w:hAnsi="Arial Narrow"/>
          <w:sz w:val="18"/>
          <w:szCs w:val="18"/>
        </w:rPr>
        <w:t>#</w:t>
      </w:r>
      <w:r>
        <w:rPr>
          <w:rFonts w:ascii="Arial Narrow" w:hAnsi="Arial Narrow"/>
          <w:sz w:val="18"/>
          <w:szCs w:val="18"/>
        </w:rPr>
        <w:tab/>
      </w:r>
      <w:r w:rsidRPr="001D00A0">
        <w:rPr>
          <w:rFonts w:ascii="Arial Narrow" w:hAnsi="Arial Narrow"/>
          <w:sz w:val="18"/>
          <w:szCs w:val="18"/>
        </w:rPr>
        <w:t>Adverse events leading to death were grade 5 adverse events; none were considered by the investigator to be related to treatment.</w:t>
      </w:r>
    </w:p>
    <w:p w14:paraId="3466903C" w14:textId="77777777" w:rsidR="000941B2" w:rsidRDefault="000941B2" w:rsidP="000941B2">
      <w:pPr>
        <w:tabs>
          <w:tab w:val="left" w:pos="142"/>
        </w:tabs>
        <w:rPr>
          <w:rFonts w:ascii="Arial Narrow" w:hAnsi="Arial Narrow"/>
          <w:sz w:val="18"/>
          <w:szCs w:val="18"/>
        </w:rPr>
      </w:pPr>
      <w:r>
        <w:rPr>
          <w:rFonts w:ascii="Arial Narrow" w:hAnsi="Arial Narrow"/>
          <w:sz w:val="18"/>
          <w:szCs w:val="18"/>
        </w:rPr>
        <w:t>^</w:t>
      </w:r>
      <w:r>
        <w:rPr>
          <w:rFonts w:ascii="Arial Narrow" w:hAnsi="Arial Narrow"/>
          <w:sz w:val="18"/>
          <w:szCs w:val="18"/>
        </w:rPr>
        <w:tab/>
      </w:r>
      <w:r w:rsidRPr="003739E6">
        <w:rPr>
          <w:rFonts w:ascii="Arial Narrow" w:hAnsi="Arial Narrow"/>
          <w:sz w:val="18"/>
          <w:szCs w:val="18"/>
        </w:rPr>
        <w:t>These events were among the most common treatment-related adverse events (occurring in ≥30% of the patients).</w:t>
      </w:r>
    </w:p>
    <w:p w14:paraId="40FDA310" w14:textId="3A7D434C" w:rsidR="005C6580" w:rsidRPr="00B63CD0" w:rsidRDefault="000941B2" w:rsidP="00D86231">
      <w:pPr>
        <w:pStyle w:val="3-BodyText"/>
        <w:rPr>
          <w:iCs/>
        </w:rPr>
      </w:pPr>
      <w:r w:rsidRPr="00B63CD0">
        <w:rPr>
          <w:iCs/>
        </w:rPr>
        <w:t xml:space="preserve">Overall, the incidence of any TEAEs, AEs leading to death and serious AEs was similar across the three treatment groups. TEAEs leading to death occurred in 6 (1.7%) patients treated with enzalutamide plus ADT, 8 (2.3%) in the enzalutamide monotherapy group and 3 (0.8%) patients in the placebo plus ADT group. There was a higher incidence of TEAEs leading to discontinuation, Grade 3+ TEAEs, and drug-related TEAEs in the enzalutamide (combination and monotherapy) groups compared </w:t>
      </w:r>
      <w:r w:rsidRPr="00B63CD0">
        <w:rPr>
          <w:iCs/>
        </w:rPr>
        <w:lastRenderedPageBreak/>
        <w:t>to ADT alone. Although the overall incidence of TEAEs were similar in all groups, the type of events differed between groups. The most frequent TEAEs (≥15% of patients in any group) included hot flush, fatigue, arthralgia, hypertension, fall, back pain, gynaecomastia, nausea and nipple pain. The most common TEAEs in the enzalutamide plus ADT combination group and ADT alone group were hot flushes and fatigue. Enzalutamide monotherapy group reported higher incidence of fatigue, gynaecomastia, weight decreased, nipple pain and breast tenderness than in enzalutamide plus ADT combination group and the ADT alone group.</w:t>
      </w:r>
    </w:p>
    <w:p w14:paraId="04908C7F" w14:textId="415B9B7D" w:rsidR="007F1017" w:rsidRPr="0098262F" w:rsidRDefault="007F1017" w:rsidP="00D86231">
      <w:pPr>
        <w:pStyle w:val="4-SubsectionHeading"/>
      </w:pPr>
      <w:bookmarkStart w:id="31" w:name="_Toc22897643"/>
      <w:bookmarkStart w:id="32" w:name="_Toc177371547"/>
      <w:r w:rsidRPr="0098262F">
        <w:t>Benefits/harms</w:t>
      </w:r>
      <w:bookmarkEnd w:id="31"/>
      <w:bookmarkEnd w:id="32"/>
    </w:p>
    <w:p w14:paraId="7540B72E" w14:textId="5815670C" w:rsidR="000941B2" w:rsidRDefault="000D3ECC" w:rsidP="00D2155B">
      <w:pPr>
        <w:pStyle w:val="3-BodyText"/>
      </w:pPr>
      <w:r>
        <w:fldChar w:fldCharType="begin" w:fldLock="1"/>
      </w:r>
      <w:r>
        <w:instrText xml:space="preserve"> REF _Ref176769076 \h </w:instrText>
      </w:r>
      <w:r>
        <w:fldChar w:fldCharType="separate"/>
      </w:r>
      <w:r w:rsidR="006619E7">
        <w:t xml:space="preserve">Table </w:t>
      </w:r>
      <w:r w:rsidR="006619E7">
        <w:rPr>
          <w:noProof/>
        </w:rPr>
        <w:t>9</w:t>
      </w:r>
      <w:r>
        <w:fldChar w:fldCharType="end"/>
      </w:r>
      <w:r>
        <w:t xml:space="preserve"> </w:t>
      </w:r>
      <w:r w:rsidR="000941B2" w:rsidRPr="00BF06FC">
        <w:t xml:space="preserve">presents a summary of the comparative benefits and harms for </w:t>
      </w:r>
      <w:r w:rsidR="000941B2">
        <w:t>enzalutamide plus ADT</w:t>
      </w:r>
      <w:r w:rsidR="00B819D1">
        <w:t xml:space="preserve"> and enzalutamide monotherapy</w:t>
      </w:r>
      <w:r w:rsidR="000941B2" w:rsidRPr="00BF06FC">
        <w:t xml:space="preserve"> versus placebo</w:t>
      </w:r>
      <w:r w:rsidR="00B819D1">
        <w:t xml:space="preserve"> plus ADT</w:t>
      </w:r>
      <w:r w:rsidR="000941B2" w:rsidRPr="00BF06FC">
        <w:t xml:space="preserve"> for m</w:t>
      </w:r>
      <w:r w:rsidR="000941B2">
        <w:t>0</w:t>
      </w:r>
      <w:r w:rsidR="000941B2" w:rsidRPr="00BF06FC">
        <w:t>HSPC.</w:t>
      </w:r>
    </w:p>
    <w:p w14:paraId="54FE44B0" w14:textId="17376B71" w:rsidR="00B819D1" w:rsidRPr="00B819D1" w:rsidRDefault="000D3ECC" w:rsidP="006A4FCD">
      <w:pPr>
        <w:pStyle w:val="Caption"/>
        <w:rPr>
          <w:rFonts w:eastAsia="SimSun"/>
          <w:b w:val="0"/>
          <w:szCs w:val="20"/>
        </w:rPr>
      </w:pPr>
      <w:bookmarkStart w:id="33" w:name="_Ref176769076"/>
      <w:r>
        <w:t xml:space="preserve">Table </w:t>
      </w:r>
      <w:r>
        <w:fldChar w:fldCharType="begin" w:fldLock="1"/>
      </w:r>
      <w:r>
        <w:instrText xml:space="preserve"> SEQ Table \* ARABIC </w:instrText>
      </w:r>
      <w:r>
        <w:fldChar w:fldCharType="separate"/>
      </w:r>
      <w:r w:rsidR="00DF24EF">
        <w:rPr>
          <w:noProof/>
        </w:rPr>
        <w:t>9</w:t>
      </w:r>
      <w:r>
        <w:rPr>
          <w:noProof/>
        </w:rPr>
        <w:fldChar w:fldCharType="end"/>
      </w:r>
      <w:bookmarkEnd w:id="33"/>
      <w:r>
        <w:t xml:space="preserve">: </w:t>
      </w:r>
      <w:r w:rsidR="00B819D1" w:rsidRPr="000D3ECC">
        <w:rPr>
          <w:rFonts w:eastAsia="SimSun"/>
          <w:szCs w:val="20"/>
        </w:rPr>
        <w:t xml:space="preserve">Summary of comparative benefits and harms </w:t>
      </w:r>
      <w:r w:rsidR="00311FEB" w:rsidRPr="000D3ECC">
        <w:rPr>
          <w:rFonts w:eastAsia="SimSun"/>
          <w:szCs w:val="20"/>
        </w:rPr>
        <w:t>of</w:t>
      </w:r>
      <w:r w:rsidR="00B819D1" w:rsidRPr="000D3ECC">
        <w:rPr>
          <w:rFonts w:eastAsia="SimSun"/>
          <w:szCs w:val="20"/>
        </w:rPr>
        <w:t xml:space="preserve"> enzalutamide plus ADT and enzalutamide monotherapy vs and placebo plus ADT (ITT)</w:t>
      </w:r>
    </w:p>
    <w:tbl>
      <w:tblPr>
        <w:tblW w:w="5000" w:type="pct"/>
        <w:tblLayout w:type="fixed"/>
        <w:tblCellMar>
          <w:left w:w="28" w:type="dxa"/>
          <w:right w:w="28" w:type="dxa"/>
        </w:tblCellMar>
        <w:tblLook w:val="04A0" w:firstRow="1" w:lastRow="0" w:firstColumn="1" w:lastColumn="0" w:noHBand="0" w:noVBand="1"/>
        <w:tblCaption w:val="Table 9: Summary of comparative benefits and harms of enzalutamide plus ADT and enzalutamide monotherapy vs and placebo plus ADT (ITT)"/>
      </w:tblPr>
      <w:tblGrid>
        <w:gridCol w:w="9017"/>
      </w:tblGrid>
      <w:tr w:rsidR="00B819D1" w:rsidRPr="00B819D1" w14:paraId="7B7E140A" w14:textId="77777777" w:rsidTr="003A3EB9">
        <w:trPr>
          <w:cantSplit/>
        </w:trPr>
        <w:tc>
          <w:tcPr>
            <w:tcW w:w="5000" w:type="pct"/>
            <w:tcBorders>
              <w:top w:val="single" w:sz="4" w:space="0" w:color="auto"/>
              <w:left w:val="single" w:sz="4" w:space="0" w:color="auto"/>
              <w:bottom w:val="double" w:sz="4" w:space="0" w:color="auto"/>
              <w:right w:val="single" w:sz="4" w:space="0" w:color="auto"/>
            </w:tcBorders>
            <w:shd w:val="clear" w:color="auto" w:fill="auto"/>
            <w:vAlign w:val="center"/>
          </w:tcPr>
          <w:p w14:paraId="399DF2F3" w14:textId="77777777" w:rsidR="00B819D1" w:rsidRPr="00B819D1" w:rsidRDefault="00B819D1" w:rsidP="006A4FCD">
            <w:pPr>
              <w:keepNext/>
              <w:jc w:val="left"/>
              <w:rPr>
                <w:rFonts w:ascii="Arial Narrow" w:eastAsiaTheme="majorEastAsia" w:hAnsi="Arial Narrow" w:cs="Times New Roman"/>
                <w:b/>
                <w:sz w:val="20"/>
              </w:rPr>
            </w:pPr>
            <w:r w:rsidRPr="00B819D1">
              <w:rPr>
                <w:rFonts w:ascii="Arial Narrow" w:eastAsiaTheme="majorEastAsia" w:hAnsi="Arial Narrow" w:cs="Times New Roman"/>
                <w:b/>
                <w:sz w:val="20"/>
              </w:rPr>
              <w:t>Benefits</w:t>
            </w:r>
          </w:p>
        </w:tc>
      </w:tr>
    </w:tbl>
    <w:tbl>
      <w:tblPr>
        <w:tblStyle w:val="MSDTableGrid1"/>
        <w:tblW w:w="5000" w:type="pct"/>
        <w:tblLayout w:type="fixed"/>
        <w:tblCellMar>
          <w:left w:w="28" w:type="dxa"/>
          <w:right w:w="28" w:type="dxa"/>
        </w:tblCellMar>
        <w:tblLook w:val="04A0" w:firstRow="1" w:lastRow="0" w:firstColumn="1" w:lastColumn="0" w:noHBand="0" w:noVBand="1"/>
      </w:tblPr>
      <w:tblGrid>
        <w:gridCol w:w="2275"/>
        <w:gridCol w:w="1078"/>
        <w:gridCol w:w="1176"/>
        <w:gridCol w:w="1133"/>
        <w:gridCol w:w="1701"/>
        <w:gridCol w:w="1654"/>
      </w:tblGrid>
      <w:tr w:rsidR="00F37AAE" w:rsidRPr="00B819D1" w14:paraId="5B406229" w14:textId="77777777" w:rsidTr="00E23A2A">
        <w:trPr>
          <w:trHeight w:val="20"/>
        </w:trPr>
        <w:tc>
          <w:tcPr>
            <w:tcW w:w="1262" w:type="pct"/>
            <w:vMerge w:val="restart"/>
            <w:shd w:val="clear" w:color="auto" w:fill="auto"/>
            <w:vAlign w:val="center"/>
          </w:tcPr>
          <w:p w14:paraId="2ED3B394" w14:textId="77777777" w:rsidR="00F37AAE" w:rsidRPr="00B819D1" w:rsidRDefault="00F37AAE" w:rsidP="006A4FCD">
            <w:pPr>
              <w:keepNext/>
              <w:jc w:val="left"/>
              <w:rPr>
                <w:rFonts w:ascii="Arial Narrow" w:eastAsiaTheme="majorEastAsia" w:hAnsi="Arial Narrow" w:cs="Times New Roman"/>
                <w:b/>
                <w:sz w:val="20"/>
              </w:rPr>
            </w:pPr>
            <w:r w:rsidRPr="00B819D1">
              <w:rPr>
                <w:rFonts w:ascii="Arial Narrow" w:eastAsiaTheme="majorEastAsia" w:hAnsi="Arial Narrow" w:cs="Times New Roman"/>
                <w:b/>
                <w:sz w:val="20"/>
              </w:rPr>
              <w:t>Event</w:t>
            </w:r>
          </w:p>
        </w:tc>
        <w:tc>
          <w:tcPr>
            <w:tcW w:w="598" w:type="pct"/>
            <w:vMerge w:val="restart"/>
            <w:shd w:val="clear" w:color="auto" w:fill="auto"/>
            <w:vAlign w:val="center"/>
          </w:tcPr>
          <w:p w14:paraId="5C5FAD53" w14:textId="77777777" w:rsidR="00F37AAE" w:rsidRDefault="00F37AAE" w:rsidP="006A4FCD">
            <w:pPr>
              <w:keepNext/>
              <w:jc w:val="center"/>
              <w:rPr>
                <w:rFonts w:ascii="Arial Narrow" w:eastAsiaTheme="majorEastAsia" w:hAnsi="Arial Narrow" w:cs="Times New Roman"/>
                <w:b/>
                <w:sz w:val="20"/>
              </w:rPr>
            </w:pPr>
            <w:r>
              <w:rPr>
                <w:rFonts w:ascii="Arial Narrow" w:eastAsiaTheme="majorEastAsia" w:hAnsi="Arial Narrow" w:cs="Times New Roman"/>
                <w:b/>
                <w:sz w:val="20"/>
              </w:rPr>
              <w:t>ENZA + ADT</w:t>
            </w:r>
          </w:p>
          <w:p w14:paraId="0A9CF6A2" w14:textId="5D892131" w:rsidR="00F37AAE" w:rsidRPr="00B819D1" w:rsidRDefault="00F37AAE" w:rsidP="006A4FCD">
            <w:pPr>
              <w:keepNext/>
              <w:jc w:val="center"/>
              <w:rPr>
                <w:rFonts w:ascii="Arial Narrow" w:eastAsiaTheme="majorEastAsia" w:hAnsi="Arial Narrow" w:cs="Times New Roman"/>
                <w:b/>
                <w:sz w:val="20"/>
              </w:rPr>
            </w:pPr>
            <w:r>
              <w:rPr>
                <w:rFonts w:ascii="Arial Narrow" w:hAnsi="Arial Narrow"/>
                <w:b/>
                <w:sz w:val="20"/>
                <w:szCs w:val="20"/>
              </w:rPr>
              <w:t>N=355</w:t>
            </w:r>
          </w:p>
        </w:tc>
        <w:tc>
          <w:tcPr>
            <w:tcW w:w="652" w:type="pct"/>
            <w:vMerge w:val="restart"/>
            <w:vAlign w:val="center"/>
          </w:tcPr>
          <w:p w14:paraId="3A0CC115" w14:textId="77777777" w:rsidR="00F37AAE" w:rsidRDefault="00F37AAE" w:rsidP="006A4FCD">
            <w:pPr>
              <w:keepNext/>
              <w:jc w:val="center"/>
              <w:rPr>
                <w:rFonts w:ascii="Arial Narrow" w:eastAsiaTheme="majorEastAsia" w:hAnsi="Arial Narrow" w:cs="Times New Roman"/>
                <w:b/>
                <w:sz w:val="20"/>
              </w:rPr>
            </w:pPr>
            <w:r>
              <w:rPr>
                <w:rFonts w:ascii="Arial Narrow" w:eastAsiaTheme="majorEastAsia" w:hAnsi="Arial Narrow" w:cs="Times New Roman"/>
                <w:b/>
                <w:sz w:val="20"/>
              </w:rPr>
              <w:t>ENZA</w:t>
            </w:r>
          </w:p>
          <w:p w14:paraId="15421FCE" w14:textId="1658064B" w:rsidR="00F37AAE" w:rsidRPr="00B819D1" w:rsidRDefault="00F37AAE" w:rsidP="006A4FCD">
            <w:pPr>
              <w:keepNext/>
              <w:jc w:val="center"/>
              <w:rPr>
                <w:rFonts w:ascii="Arial Narrow" w:eastAsiaTheme="majorEastAsia" w:hAnsi="Arial Narrow" w:cs="Times New Roman"/>
                <w:b/>
                <w:sz w:val="20"/>
              </w:rPr>
            </w:pPr>
            <w:r>
              <w:rPr>
                <w:rFonts w:ascii="Arial Narrow" w:hAnsi="Arial Narrow"/>
                <w:b/>
                <w:sz w:val="20"/>
                <w:szCs w:val="20"/>
              </w:rPr>
              <w:t>N=355</w:t>
            </w:r>
          </w:p>
        </w:tc>
        <w:tc>
          <w:tcPr>
            <w:tcW w:w="628" w:type="pct"/>
            <w:vMerge w:val="restart"/>
            <w:shd w:val="clear" w:color="auto" w:fill="auto"/>
            <w:vAlign w:val="center"/>
          </w:tcPr>
          <w:p w14:paraId="32BECF73" w14:textId="77777777" w:rsidR="00F37AAE" w:rsidRDefault="00F37AAE" w:rsidP="006A4FCD">
            <w:pPr>
              <w:keepNext/>
              <w:jc w:val="center"/>
              <w:rPr>
                <w:rFonts w:ascii="Arial Narrow" w:eastAsiaTheme="majorEastAsia" w:hAnsi="Arial Narrow" w:cs="Times New Roman"/>
                <w:b/>
                <w:sz w:val="20"/>
              </w:rPr>
            </w:pPr>
            <w:r w:rsidRPr="00B819D1">
              <w:rPr>
                <w:rFonts w:ascii="Arial Narrow" w:eastAsiaTheme="majorEastAsia" w:hAnsi="Arial Narrow" w:cs="Times New Roman"/>
                <w:b/>
                <w:sz w:val="20"/>
              </w:rPr>
              <w:t>PBO</w:t>
            </w:r>
            <w:r>
              <w:rPr>
                <w:rFonts w:ascii="Arial Narrow" w:eastAsiaTheme="majorEastAsia" w:hAnsi="Arial Narrow" w:cs="Times New Roman"/>
                <w:b/>
                <w:sz w:val="20"/>
              </w:rPr>
              <w:t xml:space="preserve"> + ADT</w:t>
            </w:r>
          </w:p>
          <w:p w14:paraId="42AE4B5D" w14:textId="5D292ACB" w:rsidR="00F37AAE" w:rsidRPr="00B819D1" w:rsidRDefault="00F37AAE" w:rsidP="006A4FCD">
            <w:pPr>
              <w:keepNext/>
              <w:jc w:val="center"/>
              <w:rPr>
                <w:rFonts w:ascii="Arial Narrow" w:eastAsiaTheme="majorEastAsia" w:hAnsi="Arial Narrow" w:cs="Times New Roman"/>
                <w:b/>
                <w:sz w:val="20"/>
              </w:rPr>
            </w:pPr>
            <w:r>
              <w:rPr>
                <w:rFonts w:ascii="Arial Narrow" w:hAnsi="Arial Narrow"/>
                <w:b/>
                <w:sz w:val="20"/>
                <w:szCs w:val="20"/>
              </w:rPr>
              <w:t>N=358</w:t>
            </w:r>
          </w:p>
        </w:tc>
        <w:tc>
          <w:tcPr>
            <w:tcW w:w="1860" w:type="pct"/>
            <w:gridSpan w:val="2"/>
            <w:tcBorders>
              <w:bottom w:val="single" w:sz="4" w:space="0" w:color="auto"/>
            </w:tcBorders>
            <w:shd w:val="clear" w:color="auto" w:fill="auto"/>
          </w:tcPr>
          <w:p w14:paraId="6D045BBD" w14:textId="64B3E85A" w:rsidR="00F37AAE" w:rsidRPr="00B819D1" w:rsidRDefault="00F37AAE" w:rsidP="006A4FCD">
            <w:pPr>
              <w:keepNext/>
              <w:jc w:val="center"/>
              <w:rPr>
                <w:rFonts w:ascii="Arial Narrow" w:eastAsiaTheme="majorEastAsia" w:hAnsi="Arial Narrow" w:cs="Times New Roman"/>
                <w:b/>
                <w:sz w:val="20"/>
              </w:rPr>
            </w:pPr>
            <w:r>
              <w:rPr>
                <w:rFonts w:ascii="Arial Narrow" w:eastAsiaTheme="majorEastAsia" w:hAnsi="Arial Narrow" w:cs="Times New Roman"/>
                <w:b/>
                <w:sz w:val="20"/>
              </w:rPr>
              <w:t>Difference</w:t>
            </w:r>
            <w:r w:rsidR="002339B3">
              <w:rPr>
                <w:rFonts w:ascii="Arial Narrow" w:eastAsiaTheme="majorEastAsia" w:hAnsi="Arial Narrow" w:cs="Times New Roman"/>
                <w:b/>
                <w:sz w:val="20"/>
              </w:rPr>
              <w:t xml:space="preserve"> (95%</w:t>
            </w:r>
            <w:r w:rsidR="006A4FCD">
              <w:rPr>
                <w:rFonts w:ascii="Arial Narrow" w:eastAsiaTheme="majorEastAsia" w:hAnsi="Arial Narrow" w:cs="Times New Roman"/>
                <w:b/>
                <w:sz w:val="20"/>
              </w:rPr>
              <w:t xml:space="preserve"> </w:t>
            </w:r>
            <w:r w:rsidR="002339B3">
              <w:rPr>
                <w:rFonts w:ascii="Arial Narrow" w:eastAsiaTheme="majorEastAsia" w:hAnsi="Arial Narrow" w:cs="Times New Roman"/>
                <w:b/>
                <w:sz w:val="20"/>
              </w:rPr>
              <w:t>CI)</w:t>
            </w:r>
          </w:p>
        </w:tc>
      </w:tr>
      <w:tr w:rsidR="00F37AAE" w:rsidRPr="00B819D1" w14:paraId="1ED1EF22" w14:textId="77777777" w:rsidTr="00E23A2A">
        <w:trPr>
          <w:trHeight w:val="20"/>
        </w:trPr>
        <w:tc>
          <w:tcPr>
            <w:tcW w:w="1262" w:type="pct"/>
            <w:vMerge/>
            <w:tcBorders>
              <w:bottom w:val="single" w:sz="4" w:space="0" w:color="auto"/>
            </w:tcBorders>
            <w:shd w:val="clear" w:color="auto" w:fill="auto"/>
          </w:tcPr>
          <w:p w14:paraId="7F3D3A92" w14:textId="77777777" w:rsidR="00F37AAE" w:rsidRPr="00B819D1" w:rsidRDefault="00F37AAE" w:rsidP="006A4FCD">
            <w:pPr>
              <w:keepNext/>
              <w:jc w:val="left"/>
              <w:rPr>
                <w:rFonts w:ascii="Arial Narrow" w:eastAsiaTheme="majorEastAsia" w:hAnsi="Arial Narrow" w:cs="Times New Roman"/>
                <w:b/>
                <w:sz w:val="20"/>
              </w:rPr>
            </w:pPr>
          </w:p>
        </w:tc>
        <w:tc>
          <w:tcPr>
            <w:tcW w:w="598" w:type="pct"/>
            <w:vMerge/>
            <w:tcBorders>
              <w:bottom w:val="single" w:sz="4" w:space="0" w:color="auto"/>
            </w:tcBorders>
            <w:shd w:val="clear" w:color="auto" w:fill="auto"/>
          </w:tcPr>
          <w:p w14:paraId="6AFCF137" w14:textId="77777777" w:rsidR="00F37AAE" w:rsidRDefault="00F37AAE" w:rsidP="006A4FCD">
            <w:pPr>
              <w:keepNext/>
              <w:jc w:val="center"/>
              <w:rPr>
                <w:rFonts w:ascii="Arial Narrow" w:eastAsiaTheme="majorEastAsia" w:hAnsi="Arial Narrow" w:cs="Times New Roman"/>
                <w:b/>
                <w:sz w:val="20"/>
              </w:rPr>
            </w:pPr>
          </w:p>
        </w:tc>
        <w:tc>
          <w:tcPr>
            <w:tcW w:w="652" w:type="pct"/>
            <w:vMerge/>
            <w:tcBorders>
              <w:bottom w:val="single" w:sz="4" w:space="0" w:color="auto"/>
            </w:tcBorders>
          </w:tcPr>
          <w:p w14:paraId="04BEC6B1" w14:textId="77777777" w:rsidR="00F37AAE" w:rsidRDefault="00F37AAE" w:rsidP="006A4FCD">
            <w:pPr>
              <w:keepNext/>
              <w:jc w:val="center"/>
              <w:rPr>
                <w:rFonts w:ascii="Arial Narrow" w:eastAsiaTheme="majorEastAsia" w:hAnsi="Arial Narrow" w:cs="Times New Roman"/>
                <w:b/>
                <w:sz w:val="20"/>
              </w:rPr>
            </w:pPr>
          </w:p>
        </w:tc>
        <w:tc>
          <w:tcPr>
            <w:tcW w:w="628" w:type="pct"/>
            <w:vMerge/>
            <w:tcBorders>
              <w:bottom w:val="single" w:sz="4" w:space="0" w:color="auto"/>
            </w:tcBorders>
            <w:shd w:val="clear" w:color="auto" w:fill="auto"/>
          </w:tcPr>
          <w:p w14:paraId="25D92395" w14:textId="77777777" w:rsidR="00F37AAE" w:rsidRPr="00B819D1" w:rsidRDefault="00F37AAE" w:rsidP="006A4FCD">
            <w:pPr>
              <w:keepNext/>
              <w:jc w:val="center"/>
              <w:rPr>
                <w:rFonts w:ascii="Arial Narrow" w:eastAsiaTheme="majorEastAsia" w:hAnsi="Arial Narrow" w:cs="Times New Roman"/>
                <w:b/>
                <w:sz w:val="20"/>
              </w:rPr>
            </w:pPr>
          </w:p>
        </w:tc>
        <w:tc>
          <w:tcPr>
            <w:tcW w:w="943" w:type="pct"/>
            <w:tcBorders>
              <w:bottom w:val="single" w:sz="4" w:space="0" w:color="auto"/>
            </w:tcBorders>
            <w:shd w:val="clear" w:color="auto" w:fill="auto"/>
          </w:tcPr>
          <w:p w14:paraId="1636D636" w14:textId="7451DF98" w:rsidR="00F37AAE" w:rsidRDefault="00F37AAE" w:rsidP="006A4FCD">
            <w:pPr>
              <w:keepNext/>
              <w:jc w:val="center"/>
              <w:rPr>
                <w:rFonts w:ascii="Arial Narrow" w:eastAsiaTheme="majorEastAsia" w:hAnsi="Arial Narrow" w:cs="Times New Roman"/>
                <w:b/>
                <w:sz w:val="20"/>
              </w:rPr>
            </w:pPr>
            <w:r>
              <w:rPr>
                <w:rFonts w:ascii="Arial Narrow" w:eastAsiaTheme="majorEastAsia" w:hAnsi="Arial Narrow" w:cs="Times New Roman"/>
                <w:b/>
                <w:sz w:val="20"/>
              </w:rPr>
              <w:t xml:space="preserve">ENZA + ADT vs </w:t>
            </w:r>
            <w:r w:rsidR="00E23A2A">
              <w:rPr>
                <w:rFonts w:ascii="Arial Narrow" w:eastAsiaTheme="majorEastAsia" w:hAnsi="Arial Narrow" w:cs="Times New Roman"/>
                <w:b/>
                <w:sz w:val="20"/>
              </w:rPr>
              <w:br/>
            </w:r>
            <w:r>
              <w:rPr>
                <w:rFonts w:ascii="Arial Narrow" w:eastAsiaTheme="majorEastAsia" w:hAnsi="Arial Narrow" w:cs="Times New Roman"/>
                <w:b/>
                <w:sz w:val="20"/>
              </w:rPr>
              <w:t>PBO + ADT</w:t>
            </w:r>
          </w:p>
        </w:tc>
        <w:tc>
          <w:tcPr>
            <w:tcW w:w="917" w:type="pct"/>
            <w:tcBorders>
              <w:bottom w:val="single" w:sz="4" w:space="0" w:color="auto"/>
            </w:tcBorders>
            <w:shd w:val="clear" w:color="auto" w:fill="auto"/>
          </w:tcPr>
          <w:p w14:paraId="50C4893E" w14:textId="2FCC3F54" w:rsidR="00F37AAE" w:rsidRDefault="00F37AAE" w:rsidP="006A4FCD">
            <w:pPr>
              <w:keepNext/>
              <w:jc w:val="center"/>
              <w:rPr>
                <w:rFonts w:ascii="Arial Narrow" w:eastAsiaTheme="majorEastAsia" w:hAnsi="Arial Narrow" w:cs="Times New Roman"/>
                <w:b/>
                <w:sz w:val="20"/>
              </w:rPr>
            </w:pPr>
            <w:r>
              <w:rPr>
                <w:rFonts w:ascii="Arial Narrow" w:eastAsiaTheme="majorEastAsia" w:hAnsi="Arial Narrow" w:cs="Times New Roman"/>
                <w:b/>
                <w:sz w:val="20"/>
              </w:rPr>
              <w:t xml:space="preserve">ENZA vs </w:t>
            </w:r>
            <w:r w:rsidR="00E23A2A">
              <w:rPr>
                <w:rFonts w:ascii="Arial Narrow" w:eastAsiaTheme="majorEastAsia" w:hAnsi="Arial Narrow" w:cs="Times New Roman"/>
                <w:b/>
                <w:sz w:val="20"/>
              </w:rPr>
              <w:br/>
            </w:r>
            <w:r>
              <w:rPr>
                <w:rFonts w:ascii="Arial Narrow" w:eastAsiaTheme="majorEastAsia" w:hAnsi="Arial Narrow" w:cs="Times New Roman"/>
                <w:b/>
                <w:sz w:val="20"/>
              </w:rPr>
              <w:t>PBO + ADT</w:t>
            </w:r>
          </w:p>
        </w:tc>
      </w:tr>
      <w:tr w:rsidR="00B819D1" w:rsidRPr="00B819D1" w14:paraId="5E4EB2F6" w14:textId="77777777" w:rsidTr="003A3EB9">
        <w:trPr>
          <w:trHeight w:val="20"/>
        </w:trPr>
        <w:tc>
          <w:tcPr>
            <w:tcW w:w="5000" w:type="pct"/>
            <w:gridSpan w:val="6"/>
          </w:tcPr>
          <w:p w14:paraId="67CA7DF3" w14:textId="07BEA0D2" w:rsidR="00B819D1" w:rsidRPr="00B819D1" w:rsidRDefault="00B819D1" w:rsidP="006A4FCD">
            <w:pPr>
              <w:keepNext/>
              <w:jc w:val="left"/>
              <w:rPr>
                <w:rFonts w:ascii="Arial Narrow" w:eastAsiaTheme="majorEastAsia" w:hAnsi="Arial Narrow" w:cs="Times New Roman"/>
                <w:b/>
                <w:sz w:val="20"/>
              </w:rPr>
            </w:pPr>
            <w:r>
              <w:rPr>
                <w:rFonts w:ascii="Arial Narrow" w:eastAsiaTheme="majorEastAsia" w:hAnsi="Arial Narrow" w:cs="Times New Roman"/>
                <w:b/>
                <w:sz w:val="20"/>
              </w:rPr>
              <w:t>Metastasis-free survival</w:t>
            </w:r>
            <w:r w:rsidR="00763069">
              <w:rPr>
                <w:rFonts w:ascii="Arial Narrow" w:eastAsiaTheme="majorEastAsia" w:hAnsi="Arial Narrow" w:cs="Times New Roman"/>
                <w:b/>
                <w:sz w:val="20"/>
              </w:rPr>
              <w:t xml:space="preserve"> (MFS)</w:t>
            </w:r>
          </w:p>
        </w:tc>
      </w:tr>
      <w:tr w:rsidR="00F37AAE" w:rsidRPr="00B819D1" w14:paraId="19730C88" w14:textId="77777777" w:rsidTr="00E23A2A">
        <w:trPr>
          <w:trHeight w:val="20"/>
        </w:trPr>
        <w:tc>
          <w:tcPr>
            <w:tcW w:w="1262" w:type="pct"/>
            <w:tcBorders>
              <w:bottom w:val="single" w:sz="4" w:space="0" w:color="auto"/>
              <w:right w:val="single" w:sz="4" w:space="0" w:color="auto"/>
            </w:tcBorders>
            <w:shd w:val="clear" w:color="auto" w:fill="auto"/>
            <w:vAlign w:val="center"/>
          </w:tcPr>
          <w:p w14:paraId="6B82779E" w14:textId="69A69983" w:rsidR="00B819D1" w:rsidRPr="00B819D1" w:rsidRDefault="003401FD" w:rsidP="006A4FCD">
            <w:pPr>
              <w:keepNext/>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Events</w:t>
            </w:r>
            <w:r w:rsidR="00B819D1" w:rsidRPr="00B819D1">
              <w:rPr>
                <w:rFonts w:ascii="Arial Narrow" w:eastAsiaTheme="majorEastAsia" w:hAnsi="Arial Narrow" w:cstheme="majorBidi"/>
                <w:bCs/>
                <w:sz w:val="20"/>
              </w:rPr>
              <w:t>, n (%)</w:t>
            </w:r>
          </w:p>
        </w:tc>
        <w:tc>
          <w:tcPr>
            <w:tcW w:w="598" w:type="pct"/>
            <w:tcBorders>
              <w:left w:val="single" w:sz="4" w:space="0" w:color="auto"/>
              <w:bottom w:val="single" w:sz="4" w:space="0" w:color="auto"/>
              <w:right w:val="single" w:sz="4" w:space="0" w:color="auto"/>
            </w:tcBorders>
            <w:shd w:val="clear" w:color="auto" w:fill="auto"/>
            <w:vAlign w:val="center"/>
          </w:tcPr>
          <w:p w14:paraId="0733CCCE" w14:textId="6C4540DA" w:rsidR="00B819D1" w:rsidRPr="00B819D1" w:rsidRDefault="00763069" w:rsidP="006A4FCD">
            <w:pPr>
              <w:keepNext/>
              <w:widowControl w:val="0"/>
              <w:jc w:val="center"/>
              <w:rPr>
                <w:rFonts w:ascii="Arial Narrow" w:eastAsiaTheme="majorEastAsia" w:hAnsi="Arial Narrow" w:cstheme="majorBidi"/>
                <w:bCs/>
                <w:sz w:val="20"/>
              </w:rPr>
            </w:pPr>
            <w:r>
              <w:rPr>
                <w:rFonts w:ascii="Arial Narrow" w:hAnsi="Arial Narrow"/>
                <w:sz w:val="20"/>
                <w:szCs w:val="20"/>
              </w:rPr>
              <w:t>45 (12.7)</w:t>
            </w:r>
          </w:p>
        </w:tc>
        <w:tc>
          <w:tcPr>
            <w:tcW w:w="652" w:type="pct"/>
            <w:tcBorders>
              <w:left w:val="single" w:sz="4" w:space="0" w:color="auto"/>
              <w:bottom w:val="single" w:sz="4" w:space="0" w:color="auto"/>
              <w:right w:val="single" w:sz="4" w:space="0" w:color="auto"/>
            </w:tcBorders>
            <w:vAlign w:val="center"/>
          </w:tcPr>
          <w:p w14:paraId="2EB0BF4F" w14:textId="79A1DE8F" w:rsidR="00B819D1" w:rsidRPr="00B819D1" w:rsidRDefault="00763069" w:rsidP="006A4FCD">
            <w:pPr>
              <w:keepNext/>
              <w:widowControl w:val="0"/>
              <w:jc w:val="center"/>
              <w:rPr>
                <w:rFonts w:ascii="Arial Narrow" w:eastAsiaTheme="majorEastAsia" w:hAnsi="Arial Narrow" w:cstheme="majorBidi"/>
                <w:bCs/>
                <w:sz w:val="20"/>
                <w:szCs w:val="20"/>
              </w:rPr>
            </w:pPr>
            <w:r w:rsidRPr="008E1795">
              <w:rPr>
                <w:rFonts w:ascii="Arial Narrow" w:hAnsi="Arial Narrow"/>
                <w:sz w:val="20"/>
                <w:szCs w:val="20"/>
              </w:rPr>
              <w:t>63 (17.7)</w:t>
            </w:r>
          </w:p>
        </w:tc>
        <w:tc>
          <w:tcPr>
            <w:tcW w:w="628" w:type="pct"/>
            <w:tcBorders>
              <w:left w:val="single" w:sz="4" w:space="0" w:color="auto"/>
              <w:bottom w:val="single" w:sz="4" w:space="0" w:color="auto"/>
              <w:right w:val="single" w:sz="4" w:space="0" w:color="auto"/>
            </w:tcBorders>
            <w:shd w:val="clear" w:color="auto" w:fill="auto"/>
            <w:vAlign w:val="center"/>
          </w:tcPr>
          <w:p w14:paraId="6944BD98" w14:textId="64A4A1A5" w:rsidR="00B819D1" w:rsidRPr="00B819D1" w:rsidRDefault="00763069" w:rsidP="006A4FCD">
            <w:pPr>
              <w:keepNext/>
              <w:widowControl w:val="0"/>
              <w:jc w:val="center"/>
              <w:rPr>
                <w:rFonts w:ascii="Arial Narrow" w:eastAsiaTheme="majorEastAsia" w:hAnsi="Arial Narrow" w:cstheme="majorBidi"/>
                <w:bCs/>
                <w:sz w:val="20"/>
              </w:rPr>
            </w:pPr>
            <w:r>
              <w:rPr>
                <w:rFonts w:ascii="Arial Narrow" w:hAnsi="Arial Narrow"/>
                <w:sz w:val="20"/>
                <w:szCs w:val="20"/>
              </w:rPr>
              <w:t>92 (25.7)</w:t>
            </w:r>
          </w:p>
        </w:tc>
        <w:tc>
          <w:tcPr>
            <w:tcW w:w="943" w:type="pct"/>
            <w:tcBorders>
              <w:left w:val="single" w:sz="4" w:space="0" w:color="auto"/>
              <w:bottom w:val="single" w:sz="4" w:space="0" w:color="auto"/>
              <w:right w:val="single" w:sz="4" w:space="0" w:color="auto"/>
            </w:tcBorders>
            <w:shd w:val="clear" w:color="auto" w:fill="auto"/>
            <w:vAlign w:val="center"/>
          </w:tcPr>
          <w:p w14:paraId="0D2A6A5B" w14:textId="6BE92D7A" w:rsidR="00B819D1" w:rsidRPr="00B819D1" w:rsidRDefault="00B819D1" w:rsidP="006A4FCD">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sz w:val="20"/>
              </w:rPr>
              <w:t>HR:</w:t>
            </w:r>
            <w:r w:rsidR="00763069">
              <w:rPr>
                <w:rFonts w:ascii="Arial Narrow" w:eastAsiaTheme="majorEastAsia" w:hAnsi="Arial Narrow" w:cstheme="majorBidi"/>
                <w:bCs/>
                <w:sz w:val="20"/>
              </w:rPr>
              <w:t xml:space="preserve"> </w:t>
            </w:r>
            <w:r w:rsidR="00763069" w:rsidRPr="000C3351">
              <w:rPr>
                <w:rFonts w:ascii="Arial Narrow" w:hAnsi="Arial Narrow"/>
                <w:b/>
                <w:sz w:val="20"/>
                <w:szCs w:val="20"/>
              </w:rPr>
              <w:t>0.42 (0.3, 0.61)</w:t>
            </w:r>
          </w:p>
        </w:tc>
        <w:tc>
          <w:tcPr>
            <w:tcW w:w="917" w:type="pct"/>
            <w:tcBorders>
              <w:left w:val="single" w:sz="4" w:space="0" w:color="auto"/>
              <w:bottom w:val="single" w:sz="4" w:space="0" w:color="auto"/>
            </w:tcBorders>
            <w:shd w:val="clear" w:color="auto" w:fill="auto"/>
            <w:vAlign w:val="center"/>
          </w:tcPr>
          <w:p w14:paraId="2F3EDB62" w14:textId="605B28E0" w:rsidR="00B819D1" w:rsidRPr="00B819D1" w:rsidRDefault="00B819D1" w:rsidP="006A4FCD">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sz w:val="20"/>
              </w:rPr>
              <w:t>HR:</w:t>
            </w:r>
            <w:r w:rsidR="00763069">
              <w:rPr>
                <w:rFonts w:ascii="Arial Narrow" w:eastAsiaTheme="majorEastAsia" w:hAnsi="Arial Narrow" w:cstheme="majorBidi"/>
                <w:bCs/>
                <w:sz w:val="20"/>
              </w:rPr>
              <w:t xml:space="preserve"> </w:t>
            </w:r>
            <w:r w:rsidR="00763069" w:rsidRPr="000C3351">
              <w:rPr>
                <w:rFonts w:ascii="Arial Narrow" w:hAnsi="Arial Narrow"/>
                <w:b/>
                <w:sz w:val="20"/>
                <w:szCs w:val="20"/>
              </w:rPr>
              <w:t>0.63 (0.46, 0.87)</w:t>
            </w:r>
          </w:p>
        </w:tc>
      </w:tr>
      <w:tr w:rsidR="00F37AAE" w:rsidRPr="00B819D1" w14:paraId="7F568333" w14:textId="77777777" w:rsidTr="00E23A2A">
        <w:trPr>
          <w:trHeight w:val="20"/>
        </w:trPr>
        <w:tc>
          <w:tcPr>
            <w:tcW w:w="1262" w:type="pct"/>
            <w:tcBorders>
              <w:bottom w:val="single" w:sz="4" w:space="0" w:color="auto"/>
              <w:right w:val="single" w:sz="4" w:space="0" w:color="auto"/>
            </w:tcBorders>
            <w:shd w:val="clear" w:color="auto" w:fill="auto"/>
            <w:vAlign w:val="center"/>
          </w:tcPr>
          <w:p w14:paraId="6DB46D48" w14:textId="1EBBA3D6" w:rsidR="00B819D1" w:rsidRPr="00B819D1" w:rsidRDefault="00B819D1" w:rsidP="006A4FCD">
            <w:pPr>
              <w:keepNext/>
              <w:widowControl w:val="0"/>
              <w:jc w:val="left"/>
              <w:rPr>
                <w:rFonts w:ascii="Arial Narrow" w:eastAsiaTheme="majorEastAsia" w:hAnsi="Arial Narrow" w:cstheme="majorBidi"/>
                <w:bCs/>
                <w:sz w:val="20"/>
              </w:rPr>
            </w:pPr>
            <w:r w:rsidRPr="00B819D1">
              <w:rPr>
                <w:rFonts w:ascii="Arial Narrow" w:eastAsiaTheme="majorEastAsia" w:hAnsi="Arial Narrow" w:cstheme="majorBidi"/>
                <w:bCs/>
                <w:sz w:val="20"/>
              </w:rPr>
              <w:t xml:space="preserve">Median </w:t>
            </w:r>
            <w:r w:rsidR="00763069">
              <w:rPr>
                <w:rFonts w:ascii="Arial Narrow" w:eastAsiaTheme="majorEastAsia" w:hAnsi="Arial Narrow" w:cstheme="majorBidi"/>
                <w:bCs/>
                <w:sz w:val="20"/>
              </w:rPr>
              <w:t>MFS</w:t>
            </w:r>
            <w:r w:rsidRPr="00B819D1">
              <w:rPr>
                <w:rFonts w:ascii="Arial Narrow" w:eastAsiaTheme="majorEastAsia" w:hAnsi="Arial Narrow" w:cstheme="majorBidi"/>
                <w:bCs/>
                <w:sz w:val="20"/>
              </w:rPr>
              <w:t>, months (95%</w:t>
            </w:r>
            <w:r w:rsidR="006A4FCD">
              <w:rPr>
                <w:rFonts w:ascii="Arial Narrow" w:eastAsiaTheme="majorEastAsia" w:hAnsi="Arial Narrow" w:cstheme="majorBidi"/>
                <w:bCs/>
                <w:sz w:val="20"/>
              </w:rPr>
              <w:t xml:space="preserve"> </w:t>
            </w:r>
            <w:r w:rsidRPr="00B819D1">
              <w:rPr>
                <w:rFonts w:ascii="Arial Narrow" w:eastAsiaTheme="majorEastAsia" w:hAnsi="Arial Narrow" w:cstheme="majorBidi"/>
                <w:bCs/>
                <w:sz w:val="20"/>
              </w:rPr>
              <w:t>CI)</w:t>
            </w:r>
          </w:p>
        </w:tc>
        <w:tc>
          <w:tcPr>
            <w:tcW w:w="598" w:type="pct"/>
            <w:tcBorders>
              <w:left w:val="single" w:sz="4" w:space="0" w:color="auto"/>
              <w:bottom w:val="single" w:sz="4" w:space="0" w:color="auto"/>
              <w:right w:val="single" w:sz="4" w:space="0" w:color="auto"/>
            </w:tcBorders>
            <w:shd w:val="clear" w:color="auto" w:fill="auto"/>
            <w:vAlign w:val="center"/>
          </w:tcPr>
          <w:p w14:paraId="3DD165FB" w14:textId="63B36E53" w:rsidR="00B819D1" w:rsidRPr="00B819D1" w:rsidRDefault="00763069" w:rsidP="006A4FCD">
            <w:pPr>
              <w:keepNext/>
              <w:widowControl w:val="0"/>
              <w:jc w:val="center"/>
              <w:rPr>
                <w:rFonts w:ascii="Arial Narrow" w:eastAsiaTheme="majorEastAsia" w:hAnsi="Arial Narrow" w:cs="Times New Roman"/>
                <w:bCs/>
                <w:sz w:val="20"/>
                <w:szCs w:val="20"/>
              </w:rPr>
            </w:pPr>
            <w:r w:rsidRPr="008E1795">
              <w:rPr>
                <w:rFonts w:ascii="Arial Narrow" w:hAnsi="Arial Narrow"/>
                <w:sz w:val="20"/>
                <w:szCs w:val="20"/>
              </w:rPr>
              <w:t>NR (NR, NR)</w:t>
            </w:r>
          </w:p>
        </w:tc>
        <w:tc>
          <w:tcPr>
            <w:tcW w:w="652" w:type="pct"/>
            <w:tcBorders>
              <w:left w:val="single" w:sz="4" w:space="0" w:color="auto"/>
              <w:bottom w:val="single" w:sz="4" w:space="0" w:color="auto"/>
              <w:right w:val="single" w:sz="4" w:space="0" w:color="auto"/>
            </w:tcBorders>
            <w:vAlign w:val="center"/>
          </w:tcPr>
          <w:p w14:paraId="3FB29877" w14:textId="759C5A10" w:rsidR="00B819D1" w:rsidRPr="00B819D1" w:rsidRDefault="00763069" w:rsidP="006A4FCD">
            <w:pPr>
              <w:keepNext/>
              <w:widowControl w:val="0"/>
              <w:jc w:val="center"/>
              <w:rPr>
                <w:rFonts w:ascii="Arial Narrow" w:eastAsiaTheme="majorEastAsia" w:hAnsi="Arial Narrow" w:cstheme="majorBidi"/>
                <w:bCs/>
                <w:sz w:val="20"/>
                <w:szCs w:val="20"/>
              </w:rPr>
            </w:pPr>
            <w:r w:rsidRPr="008E1795">
              <w:rPr>
                <w:rFonts w:ascii="Arial Narrow" w:hAnsi="Arial Narrow"/>
                <w:sz w:val="20"/>
                <w:szCs w:val="20"/>
              </w:rPr>
              <w:t>NR (NR, NR)</w:t>
            </w:r>
          </w:p>
        </w:tc>
        <w:tc>
          <w:tcPr>
            <w:tcW w:w="628" w:type="pct"/>
            <w:tcBorders>
              <w:left w:val="single" w:sz="4" w:space="0" w:color="auto"/>
              <w:bottom w:val="single" w:sz="4" w:space="0" w:color="auto"/>
              <w:right w:val="single" w:sz="4" w:space="0" w:color="auto"/>
            </w:tcBorders>
            <w:shd w:val="clear" w:color="auto" w:fill="auto"/>
            <w:vAlign w:val="center"/>
          </w:tcPr>
          <w:p w14:paraId="25422DB8" w14:textId="3F9C93B4" w:rsidR="00B819D1" w:rsidRPr="00B819D1" w:rsidRDefault="00763069" w:rsidP="006A4FCD">
            <w:pPr>
              <w:keepNext/>
              <w:widowControl w:val="0"/>
              <w:jc w:val="center"/>
              <w:rPr>
                <w:rFonts w:ascii="Arial Narrow" w:eastAsiaTheme="majorEastAsia" w:hAnsi="Arial Narrow" w:cs="Times New Roman"/>
                <w:bCs/>
                <w:sz w:val="20"/>
                <w:szCs w:val="20"/>
              </w:rPr>
            </w:pPr>
            <w:r w:rsidRPr="00763069">
              <w:rPr>
                <w:rFonts w:ascii="Arial Narrow" w:hAnsi="Arial Narrow"/>
                <w:sz w:val="20"/>
                <w:szCs w:val="20"/>
              </w:rPr>
              <w:t>NR (85.1, NR)</w:t>
            </w:r>
          </w:p>
        </w:tc>
        <w:tc>
          <w:tcPr>
            <w:tcW w:w="943" w:type="pct"/>
            <w:tcBorders>
              <w:left w:val="single" w:sz="4" w:space="0" w:color="auto"/>
              <w:bottom w:val="single" w:sz="4" w:space="0" w:color="auto"/>
              <w:right w:val="single" w:sz="4" w:space="0" w:color="auto"/>
            </w:tcBorders>
            <w:shd w:val="clear" w:color="auto" w:fill="auto"/>
            <w:vAlign w:val="center"/>
          </w:tcPr>
          <w:p w14:paraId="76E0B605" w14:textId="30955742" w:rsidR="00B819D1" w:rsidRPr="00B819D1" w:rsidRDefault="00763069" w:rsidP="006A4FCD">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sz w:val="20"/>
              </w:rPr>
              <w:t>-</w:t>
            </w:r>
          </w:p>
        </w:tc>
        <w:tc>
          <w:tcPr>
            <w:tcW w:w="917" w:type="pct"/>
            <w:tcBorders>
              <w:top w:val="single" w:sz="4" w:space="0" w:color="auto"/>
              <w:left w:val="single" w:sz="4" w:space="0" w:color="auto"/>
              <w:bottom w:val="single" w:sz="4" w:space="0" w:color="auto"/>
            </w:tcBorders>
            <w:shd w:val="clear" w:color="auto" w:fill="auto"/>
            <w:vAlign w:val="center"/>
          </w:tcPr>
          <w:p w14:paraId="25B3D747" w14:textId="6C414EFF" w:rsidR="00B819D1" w:rsidRPr="00B819D1" w:rsidRDefault="00763069" w:rsidP="006A4FCD">
            <w:pPr>
              <w:keepNext/>
              <w:widowControl w:val="0"/>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w:t>
            </w:r>
          </w:p>
        </w:tc>
      </w:tr>
      <w:tr w:rsidR="00F37AAE" w:rsidRPr="00B819D1" w14:paraId="5A46E3E4" w14:textId="77777777" w:rsidTr="00E23A2A">
        <w:trPr>
          <w:trHeight w:val="20"/>
        </w:trPr>
        <w:tc>
          <w:tcPr>
            <w:tcW w:w="1262" w:type="pct"/>
            <w:tcBorders>
              <w:top w:val="single" w:sz="4" w:space="0" w:color="auto"/>
              <w:bottom w:val="single" w:sz="4" w:space="0" w:color="auto"/>
              <w:right w:val="single" w:sz="4" w:space="0" w:color="auto"/>
            </w:tcBorders>
            <w:shd w:val="clear" w:color="auto" w:fill="auto"/>
            <w:vAlign w:val="center"/>
          </w:tcPr>
          <w:p w14:paraId="34F43583" w14:textId="7BB3F391" w:rsidR="00B819D1" w:rsidRPr="00B819D1" w:rsidRDefault="003401FD" w:rsidP="006A4FCD">
            <w:pPr>
              <w:keepNext/>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Event-free</w:t>
            </w:r>
            <w:r w:rsidR="00B819D1" w:rsidRPr="00B819D1">
              <w:rPr>
                <w:rFonts w:ascii="Arial Narrow" w:eastAsiaTheme="majorEastAsia" w:hAnsi="Arial Narrow" w:cstheme="majorBidi"/>
                <w:bCs/>
                <w:sz w:val="20"/>
              </w:rPr>
              <w:t xml:space="preserve"> at </w:t>
            </w:r>
            <w:r w:rsidR="00E23A2A">
              <w:rPr>
                <w:rFonts w:ascii="Arial Narrow" w:eastAsiaTheme="majorEastAsia" w:hAnsi="Arial Narrow" w:cstheme="majorBidi"/>
                <w:bCs/>
                <w:sz w:val="20"/>
              </w:rPr>
              <w:t>5 years</w:t>
            </w:r>
            <w:r w:rsidR="00B819D1" w:rsidRPr="00B819D1">
              <w:rPr>
                <w:rFonts w:ascii="Arial Narrow" w:eastAsiaTheme="majorEastAsia" w:hAnsi="Arial Narrow" w:cstheme="majorBidi"/>
                <w:bCs/>
                <w:sz w:val="20"/>
              </w:rPr>
              <w:t xml:space="preserve"> (</w:t>
            </w:r>
            <w:r w:rsidR="00E23A2A">
              <w:rPr>
                <w:rFonts w:ascii="Arial Narrow" w:eastAsiaTheme="majorEastAsia" w:hAnsi="Arial Narrow" w:cstheme="majorBidi"/>
                <w:bCs/>
                <w:sz w:val="20"/>
              </w:rPr>
              <w:t>%)</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17B5B158" w14:textId="2466C514" w:rsidR="00B819D1" w:rsidRPr="00B819D1" w:rsidRDefault="00E23A2A" w:rsidP="006A4FCD">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sz w:val="20"/>
              </w:rPr>
              <w:t>87.3</w:t>
            </w:r>
          </w:p>
        </w:tc>
        <w:tc>
          <w:tcPr>
            <w:tcW w:w="652" w:type="pct"/>
            <w:tcBorders>
              <w:top w:val="single" w:sz="4" w:space="0" w:color="auto"/>
              <w:left w:val="single" w:sz="4" w:space="0" w:color="auto"/>
              <w:bottom w:val="single" w:sz="4" w:space="0" w:color="auto"/>
              <w:right w:val="single" w:sz="4" w:space="0" w:color="auto"/>
            </w:tcBorders>
            <w:vAlign w:val="center"/>
          </w:tcPr>
          <w:p w14:paraId="49FF1F6F" w14:textId="15A34C70" w:rsidR="00B819D1" w:rsidRPr="00B819D1" w:rsidRDefault="00E23A2A" w:rsidP="006A4FCD">
            <w:pPr>
              <w:keepNext/>
              <w:widowControl w:val="0"/>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80.0</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30612CC6" w14:textId="34B812B2" w:rsidR="00B819D1" w:rsidRPr="00B819D1" w:rsidRDefault="00E23A2A" w:rsidP="006A4FCD">
            <w:pPr>
              <w:keepNext/>
              <w:widowControl w:val="0"/>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71.4</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1AFF7D6D" w14:textId="11AC53EB" w:rsidR="00E23A2A" w:rsidRPr="00B819D1" w:rsidRDefault="003401FD" w:rsidP="00E23A2A">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sz w:val="20"/>
              </w:rPr>
              <w:t>15.9</w:t>
            </w:r>
          </w:p>
        </w:tc>
        <w:tc>
          <w:tcPr>
            <w:tcW w:w="917" w:type="pct"/>
            <w:tcBorders>
              <w:top w:val="single" w:sz="4" w:space="0" w:color="auto"/>
              <w:left w:val="single" w:sz="4" w:space="0" w:color="auto"/>
              <w:bottom w:val="single" w:sz="4" w:space="0" w:color="auto"/>
            </w:tcBorders>
            <w:shd w:val="clear" w:color="auto" w:fill="auto"/>
            <w:vAlign w:val="center"/>
          </w:tcPr>
          <w:p w14:paraId="567B7BBD" w14:textId="1B1C1C0A" w:rsidR="00E23A2A" w:rsidRPr="00B819D1" w:rsidRDefault="00E23A2A" w:rsidP="00E23A2A">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sz w:val="20"/>
              </w:rPr>
              <w:t>8.6</w:t>
            </w:r>
          </w:p>
        </w:tc>
      </w:tr>
      <w:tr w:rsidR="00B819D1" w:rsidRPr="00B819D1" w14:paraId="2CA0063B" w14:textId="77777777" w:rsidTr="00B819D1">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3CFC0D89" w14:textId="6A8F25DF" w:rsidR="00B819D1" w:rsidRPr="00B819D1" w:rsidRDefault="00B819D1" w:rsidP="006A4FCD">
            <w:pPr>
              <w:keepNext/>
              <w:jc w:val="left"/>
              <w:rPr>
                <w:rFonts w:ascii="Arial Narrow" w:eastAsiaTheme="majorEastAsia" w:hAnsi="Arial Narrow" w:cs="Times New Roman"/>
                <w:b/>
                <w:sz w:val="20"/>
              </w:rPr>
            </w:pPr>
            <w:r w:rsidRPr="00B819D1">
              <w:rPr>
                <w:rFonts w:ascii="Arial Narrow" w:eastAsiaTheme="majorEastAsia" w:hAnsi="Arial Narrow" w:cs="Times New Roman"/>
                <w:b/>
                <w:sz w:val="20"/>
              </w:rPr>
              <w:t>Overall survival</w:t>
            </w:r>
            <w:r w:rsidR="00763069">
              <w:rPr>
                <w:rFonts w:ascii="Arial Narrow" w:eastAsiaTheme="majorEastAsia" w:hAnsi="Arial Narrow" w:cs="Times New Roman"/>
                <w:b/>
                <w:sz w:val="20"/>
              </w:rPr>
              <w:t xml:space="preserve"> (OS)</w:t>
            </w:r>
          </w:p>
        </w:tc>
      </w:tr>
      <w:tr w:rsidR="00F37AAE" w:rsidRPr="00B819D1" w14:paraId="7A143777" w14:textId="77777777" w:rsidTr="00E23A2A">
        <w:trPr>
          <w:trHeight w:val="20"/>
        </w:trPr>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121BC786" w14:textId="77777777" w:rsidR="00B819D1" w:rsidRPr="00B819D1" w:rsidRDefault="00B819D1" w:rsidP="006A4FCD">
            <w:pPr>
              <w:keepNext/>
              <w:widowControl w:val="0"/>
              <w:jc w:val="left"/>
              <w:rPr>
                <w:rFonts w:ascii="Arial Narrow" w:eastAsiaTheme="majorEastAsia" w:hAnsi="Arial Narrow" w:cstheme="majorBidi"/>
                <w:bCs/>
                <w:sz w:val="20"/>
              </w:rPr>
            </w:pPr>
            <w:r w:rsidRPr="00B819D1">
              <w:rPr>
                <w:rFonts w:ascii="Arial Narrow" w:eastAsiaTheme="majorEastAsia" w:hAnsi="Arial Narrow" w:cstheme="majorBidi"/>
                <w:bCs/>
                <w:sz w:val="20"/>
              </w:rPr>
              <w:t xml:space="preserve">Deaths, n/N (%) </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4EC21B19" w14:textId="31F6B49D" w:rsidR="00B819D1" w:rsidRPr="00B819D1" w:rsidRDefault="00F37AAE" w:rsidP="006A4FCD">
            <w:pPr>
              <w:keepNext/>
              <w:widowControl w:val="0"/>
              <w:jc w:val="center"/>
              <w:rPr>
                <w:rFonts w:ascii="Arial Narrow" w:eastAsiaTheme="majorEastAsia" w:hAnsi="Arial Narrow" w:cstheme="majorBidi"/>
                <w:bCs/>
                <w:sz w:val="20"/>
              </w:rPr>
            </w:pPr>
            <w:r w:rsidRPr="000C3351">
              <w:rPr>
                <w:rFonts w:ascii="Arial Narrow" w:hAnsi="Arial Narrow"/>
                <w:sz w:val="20"/>
                <w:szCs w:val="20"/>
              </w:rPr>
              <w:t>33 (9.3)</w:t>
            </w:r>
          </w:p>
        </w:tc>
        <w:tc>
          <w:tcPr>
            <w:tcW w:w="652" w:type="pct"/>
            <w:tcBorders>
              <w:top w:val="single" w:sz="4" w:space="0" w:color="auto"/>
              <w:left w:val="single" w:sz="4" w:space="0" w:color="auto"/>
              <w:bottom w:val="single" w:sz="4" w:space="0" w:color="auto"/>
              <w:right w:val="single" w:sz="4" w:space="0" w:color="auto"/>
            </w:tcBorders>
            <w:vAlign w:val="center"/>
          </w:tcPr>
          <w:p w14:paraId="53851880" w14:textId="1B90CB4D" w:rsidR="00B819D1" w:rsidRPr="00B819D1" w:rsidRDefault="00F37AAE" w:rsidP="006A4FCD">
            <w:pPr>
              <w:keepNext/>
              <w:widowControl w:val="0"/>
              <w:jc w:val="center"/>
              <w:rPr>
                <w:rFonts w:ascii="Arial Narrow" w:eastAsiaTheme="majorEastAsia" w:hAnsi="Arial Narrow" w:cstheme="majorBidi"/>
                <w:bCs/>
                <w:sz w:val="20"/>
                <w:szCs w:val="20"/>
              </w:rPr>
            </w:pPr>
            <w:r w:rsidRPr="000C3351">
              <w:rPr>
                <w:rFonts w:ascii="Arial Narrow" w:hAnsi="Arial Narrow"/>
                <w:sz w:val="20"/>
                <w:szCs w:val="20"/>
              </w:rPr>
              <w:t>42 (11.8)</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07966980" w14:textId="02A21151" w:rsidR="00B819D1" w:rsidRPr="00B819D1" w:rsidRDefault="00F37AAE" w:rsidP="006A4FCD">
            <w:pPr>
              <w:keepNext/>
              <w:widowControl w:val="0"/>
              <w:jc w:val="center"/>
              <w:rPr>
                <w:rFonts w:ascii="Arial Narrow" w:eastAsiaTheme="majorEastAsia" w:hAnsi="Arial Narrow" w:cstheme="majorBidi"/>
                <w:bCs/>
                <w:sz w:val="20"/>
              </w:rPr>
            </w:pPr>
            <w:r w:rsidRPr="000C3351">
              <w:rPr>
                <w:rFonts w:ascii="Arial Narrow" w:hAnsi="Arial Narrow"/>
                <w:sz w:val="20"/>
                <w:szCs w:val="20"/>
              </w:rPr>
              <w:t>55 (15.4)</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3059F7B1" w14:textId="27FC0BDC" w:rsidR="00B819D1" w:rsidRPr="00B819D1" w:rsidRDefault="00763069" w:rsidP="006A4FCD">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sz w:val="20"/>
              </w:rPr>
              <w:t>HR</w:t>
            </w:r>
            <w:r w:rsidR="00F37AAE">
              <w:rPr>
                <w:rFonts w:ascii="Arial Narrow" w:eastAsiaTheme="majorEastAsia" w:hAnsi="Arial Narrow" w:cstheme="majorBidi"/>
                <w:bCs/>
                <w:sz w:val="20"/>
              </w:rPr>
              <w:t xml:space="preserve">: </w:t>
            </w:r>
            <w:r w:rsidR="00F37AAE" w:rsidRPr="00F37AAE">
              <w:rPr>
                <w:rFonts w:ascii="Arial Narrow" w:eastAsiaTheme="majorEastAsia" w:hAnsi="Arial Narrow" w:cstheme="majorBidi"/>
                <w:bCs/>
                <w:sz w:val="20"/>
              </w:rPr>
              <w:t>0.59 (0.38,</w:t>
            </w:r>
            <w:r w:rsidR="00F37AAE">
              <w:rPr>
                <w:rFonts w:ascii="Arial Narrow" w:eastAsiaTheme="majorEastAsia" w:hAnsi="Arial Narrow" w:cstheme="majorBidi"/>
                <w:bCs/>
                <w:sz w:val="20"/>
              </w:rPr>
              <w:t xml:space="preserve"> </w:t>
            </w:r>
            <w:r w:rsidR="00F37AAE" w:rsidRPr="00F37AAE">
              <w:rPr>
                <w:rFonts w:ascii="Arial Narrow" w:eastAsiaTheme="majorEastAsia" w:hAnsi="Arial Narrow" w:cstheme="majorBidi"/>
                <w:bCs/>
                <w:sz w:val="20"/>
              </w:rPr>
              <w:t>0.91)</w:t>
            </w:r>
            <w:r w:rsidR="0067632E" w:rsidRPr="0067632E">
              <w:rPr>
                <w:rFonts w:ascii="Arial Narrow" w:eastAsiaTheme="majorEastAsia" w:hAnsi="Arial Narrow" w:cstheme="majorBidi"/>
                <w:bCs/>
                <w:sz w:val="20"/>
                <w:vertAlign w:val="superscript"/>
              </w:rPr>
              <w:t>a</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068010E1" w14:textId="5E968027" w:rsidR="00B819D1" w:rsidRPr="00B819D1" w:rsidRDefault="00763069" w:rsidP="006A4FCD">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sz w:val="20"/>
              </w:rPr>
              <w:t>HR</w:t>
            </w:r>
            <w:r w:rsidR="00F37AAE">
              <w:rPr>
                <w:rFonts w:ascii="Arial Narrow" w:eastAsiaTheme="majorEastAsia" w:hAnsi="Arial Narrow" w:cstheme="majorBidi"/>
                <w:bCs/>
                <w:sz w:val="20"/>
              </w:rPr>
              <w:t xml:space="preserve">: </w:t>
            </w:r>
            <w:r w:rsidR="00F37AAE" w:rsidRPr="00F37AAE">
              <w:rPr>
                <w:rFonts w:ascii="Arial Narrow" w:eastAsiaTheme="majorEastAsia" w:hAnsi="Arial Narrow" w:cstheme="majorBidi"/>
                <w:bCs/>
                <w:sz w:val="20"/>
              </w:rPr>
              <w:t>0.78 (0.52, 1.17)</w:t>
            </w:r>
            <w:r w:rsidR="0067632E" w:rsidRPr="0067632E">
              <w:rPr>
                <w:rFonts w:ascii="Arial Narrow" w:eastAsiaTheme="majorEastAsia" w:hAnsi="Arial Narrow" w:cstheme="majorBidi"/>
                <w:bCs/>
                <w:sz w:val="20"/>
                <w:vertAlign w:val="superscript"/>
              </w:rPr>
              <w:t>a</w:t>
            </w:r>
          </w:p>
        </w:tc>
      </w:tr>
      <w:tr w:rsidR="00F37AAE" w:rsidRPr="00B819D1" w14:paraId="18BB4919" w14:textId="77777777" w:rsidTr="00E23A2A">
        <w:trPr>
          <w:trHeight w:val="20"/>
        </w:trPr>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74A0C51E" w14:textId="77777777" w:rsidR="00F37AAE" w:rsidRPr="00B819D1" w:rsidRDefault="00F37AAE" w:rsidP="006A4FCD">
            <w:pPr>
              <w:keepNext/>
              <w:widowControl w:val="0"/>
              <w:jc w:val="left"/>
              <w:rPr>
                <w:rFonts w:ascii="Arial Narrow" w:eastAsiaTheme="majorEastAsia" w:hAnsi="Arial Narrow" w:cstheme="majorBidi"/>
                <w:bCs/>
                <w:sz w:val="20"/>
              </w:rPr>
            </w:pPr>
            <w:r w:rsidRPr="00B819D1">
              <w:rPr>
                <w:rFonts w:ascii="Arial Narrow" w:eastAsiaTheme="majorEastAsia" w:hAnsi="Arial Narrow" w:cstheme="majorBidi"/>
                <w:bCs/>
                <w:sz w:val="20"/>
              </w:rPr>
              <w:t>Median OS, months (95% CI)</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56B6F786" w14:textId="0056EACA" w:rsidR="00F37AAE" w:rsidRPr="00B819D1" w:rsidRDefault="00F37AAE" w:rsidP="006A4FCD">
            <w:pPr>
              <w:keepNext/>
              <w:widowControl w:val="0"/>
              <w:jc w:val="center"/>
              <w:rPr>
                <w:rFonts w:ascii="Arial Narrow" w:eastAsiaTheme="majorEastAsia" w:hAnsi="Arial Narrow" w:cs="Times New Roman"/>
                <w:bCs/>
                <w:sz w:val="20"/>
                <w:szCs w:val="20"/>
              </w:rPr>
            </w:pPr>
            <w:r w:rsidRPr="00780872">
              <w:rPr>
                <w:rFonts w:ascii="Arial Narrow" w:hAnsi="Arial Narrow"/>
                <w:sz w:val="20"/>
                <w:szCs w:val="20"/>
              </w:rPr>
              <w:t>NR (NR, NR)</w:t>
            </w:r>
          </w:p>
        </w:tc>
        <w:tc>
          <w:tcPr>
            <w:tcW w:w="652" w:type="pct"/>
            <w:tcBorders>
              <w:top w:val="single" w:sz="4" w:space="0" w:color="auto"/>
              <w:left w:val="single" w:sz="4" w:space="0" w:color="auto"/>
              <w:bottom w:val="single" w:sz="4" w:space="0" w:color="auto"/>
              <w:right w:val="single" w:sz="4" w:space="0" w:color="auto"/>
            </w:tcBorders>
            <w:vAlign w:val="center"/>
          </w:tcPr>
          <w:p w14:paraId="769A4A76" w14:textId="2179EFD9" w:rsidR="00F37AAE" w:rsidRPr="00B819D1" w:rsidRDefault="00F37AAE" w:rsidP="006A4FCD">
            <w:pPr>
              <w:keepNext/>
              <w:widowControl w:val="0"/>
              <w:jc w:val="center"/>
              <w:rPr>
                <w:rFonts w:ascii="Arial Narrow" w:eastAsiaTheme="majorEastAsia" w:hAnsi="Arial Narrow" w:cstheme="majorBidi"/>
                <w:bCs/>
                <w:sz w:val="20"/>
                <w:szCs w:val="20"/>
              </w:rPr>
            </w:pPr>
            <w:r w:rsidRPr="00780872">
              <w:rPr>
                <w:rFonts w:ascii="Arial Narrow" w:hAnsi="Arial Narrow"/>
                <w:sz w:val="20"/>
                <w:szCs w:val="20"/>
              </w:rPr>
              <w:t>NR (NR, NR)</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4442B19C" w14:textId="53F6635B" w:rsidR="00F37AAE" w:rsidRPr="00B819D1" w:rsidRDefault="00F37AAE" w:rsidP="006A4FCD">
            <w:pPr>
              <w:keepNext/>
              <w:widowControl w:val="0"/>
              <w:jc w:val="center"/>
              <w:rPr>
                <w:rFonts w:ascii="Arial Narrow" w:eastAsiaTheme="majorEastAsia" w:hAnsi="Arial Narrow" w:cs="Times New Roman"/>
                <w:bCs/>
                <w:sz w:val="20"/>
                <w:szCs w:val="20"/>
              </w:rPr>
            </w:pPr>
            <w:r w:rsidRPr="00780872">
              <w:rPr>
                <w:rFonts w:ascii="Arial Narrow" w:hAnsi="Arial Narrow"/>
                <w:sz w:val="20"/>
                <w:szCs w:val="20"/>
              </w:rPr>
              <w:t>NR (NR, NR)</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4DA49705" w14:textId="11FD9906" w:rsidR="00F37AAE" w:rsidRPr="00B819D1" w:rsidRDefault="00F37AAE" w:rsidP="006A4FCD">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sz w:val="20"/>
              </w:rPr>
              <w:t>-</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3E42837E" w14:textId="48E439E5" w:rsidR="00F37AAE" w:rsidRPr="00B819D1" w:rsidRDefault="00F37AAE" w:rsidP="006A4FCD">
            <w:pPr>
              <w:keepNext/>
              <w:widowControl w:val="0"/>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w:t>
            </w:r>
          </w:p>
        </w:tc>
      </w:tr>
      <w:tr w:rsidR="00F37AAE" w:rsidRPr="00B819D1" w14:paraId="418355F6" w14:textId="77777777" w:rsidTr="00E23A2A">
        <w:trPr>
          <w:trHeight w:val="20"/>
        </w:trPr>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63F01321" w14:textId="348EA4F6" w:rsidR="00B819D1" w:rsidRPr="00B819D1" w:rsidRDefault="00B819D1" w:rsidP="006A4FCD">
            <w:pPr>
              <w:keepNext/>
              <w:widowControl w:val="0"/>
              <w:jc w:val="left"/>
              <w:rPr>
                <w:rFonts w:ascii="Arial Narrow" w:eastAsiaTheme="majorEastAsia" w:hAnsi="Arial Narrow" w:cstheme="majorBidi"/>
                <w:bCs/>
                <w:sz w:val="20"/>
              </w:rPr>
            </w:pPr>
            <w:r w:rsidRPr="00B819D1">
              <w:rPr>
                <w:rFonts w:ascii="Arial Narrow" w:eastAsiaTheme="majorEastAsia" w:hAnsi="Arial Narrow" w:cstheme="majorBidi"/>
                <w:bCs/>
                <w:sz w:val="20"/>
              </w:rPr>
              <w:t xml:space="preserve">Alive at </w:t>
            </w:r>
            <w:r w:rsidR="00E23A2A">
              <w:rPr>
                <w:rFonts w:ascii="Arial Narrow" w:eastAsiaTheme="majorEastAsia" w:hAnsi="Arial Narrow" w:cstheme="majorBidi"/>
                <w:bCs/>
                <w:sz w:val="20"/>
              </w:rPr>
              <w:t>5 years (%)</w:t>
            </w:r>
            <w:r w:rsidRPr="00B819D1">
              <w:rPr>
                <w:rFonts w:ascii="Arial Narrow" w:eastAsiaTheme="majorEastAsia" w:hAnsi="Arial Narrow" w:cstheme="majorBidi"/>
                <w:bCs/>
                <w:sz w:val="20"/>
              </w:rPr>
              <w:t xml:space="preserve"> </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0C1ACB08" w14:textId="15E03C5F" w:rsidR="00B819D1" w:rsidRPr="00B819D1" w:rsidRDefault="003401FD" w:rsidP="006A4FCD">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sz w:val="20"/>
              </w:rPr>
              <w:t>92.2</w:t>
            </w:r>
          </w:p>
        </w:tc>
        <w:tc>
          <w:tcPr>
            <w:tcW w:w="652" w:type="pct"/>
            <w:tcBorders>
              <w:top w:val="single" w:sz="4" w:space="0" w:color="auto"/>
              <w:left w:val="single" w:sz="4" w:space="0" w:color="auto"/>
              <w:bottom w:val="single" w:sz="4" w:space="0" w:color="auto"/>
              <w:right w:val="single" w:sz="4" w:space="0" w:color="auto"/>
            </w:tcBorders>
            <w:vAlign w:val="center"/>
          </w:tcPr>
          <w:p w14:paraId="4117AFBC" w14:textId="0C349CAC" w:rsidR="00B819D1" w:rsidRPr="00B819D1" w:rsidRDefault="003401FD" w:rsidP="006A4FCD">
            <w:pPr>
              <w:keepNext/>
              <w:widowControl w:val="0"/>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89.5</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7AEBB6E9" w14:textId="29403276" w:rsidR="00B819D1" w:rsidRPr="00B819D1" w:rsidRDefault="003401FD" w:rsidP="006A4FCD">
            <w:pPr>
              <w:keepNext/>
              <w:widowControl w:val="0"/>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87.2</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3FD51403" w14:textId="69B1F844" w:rsidR="00B819D1" w:rsidRPr="00B819D1" w:rsidRDefault="003401FD" w:rsidP="006A4FCD">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sz w:val="20"/>
              </w:rPr>
              <w:t>5.0</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6C6D8B3B" w14:textId="6528799C" w:rsidR="00B819D1" w:rsidRPr="00B819D1" w:rsidRDefault="003401FD" w:rsidP="006A4FCD">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sz w:val="20"/>
              </w:rPr>
              <w:t>2.3</w:t>
            </w:r>
          </w:p>
        </w:tc>
      </w:tr>
    </w:tbl>
    <w:tbl>
      <w:tblPr>
        <w:tblW w:w="5000" w:type="pct"/>
        <w:tblLayout w:type="fixed"/>
        <w:tblCellMar>
          <w:left w:w="28" w:type="dxa"/>
          <w:right w:w="28" w:type="dxa"/>
        </w:tblCellMar>
        <w:tblLook w:val="04A0" w:firstRow="1" w:lastRow="0" w:firstColumn="1" w:lastColumn="0" w:noHBand="0" w:noVBand="1"/>
      </w:tblPr>
      <w:tblGrid>
        <w:gridCol w:w="1414"/>
        <w:gridCol w:w="709"/>
        <w:gridCol w:w="709"/>
        <w:gridCol w:w="709"/>
        <w:gridCol w:w="1273"/>
        <w:gridCol w:w="1419"/>
        <w:gridCol w:w="1417"/>
        <w:gridCol w:w="1367"/>
      </w:tblGrid>
      <w:tr w:rsidR="003401FD" w:rsidRPr="00B819D1" w14:paraId="06113805" w14:textId="4A43C64D" w:rsidTr="003401FD">
        <w:tc>
          <w:tcPr>
            <w:tcW w:w="5000" w:type="pct"/>
            <w:gridSpan w:val="8"/>
            <w:tcBorders>
              <w:top w:val="double" w:sz="4" w:space="0" w:color="auto"/>
              <w:left w:val="single" w:sz="4" w:space="0" w:color="auto"/>
              <w:bottom w:val="single" w:sz="4" w:space="0" w:color="auto"/>
              <w:right w:val="single" w:sz="4" w:space="0" w:color="auto"/>
            </w:tcBorders>
          </w:tcPr>
          <w:p w14:paraId="251B6538" w14:textId="2F07EEF5" w:rsidR="003401FD" w:rsidRPr="00B819D1" w:rsidRDefault="003401FD" w:rsidP="006A4FCD">
            <w:pPr>
              <w:keepNext/>
              <w:jc w:val="left"/>
              <w:rPr>
                <w:rFonts w:ascii="Arial Narrow" w:eastAsiaTheme="majorEastAsia" w:hAnsi="Arial Narrow" w:cs="Times New Roman"/>
                <w:b/>
                <w:sz w:val="20"/>
              </w:rPr>
            </w:pPr>
            <w:r w:rsidRPr="00B819D1">
              <w:rPr>
                <w:rFonts w:ascii="Arial Narrow" w:eastAsiaTheme="majorEastAsia" w:hAnsi="Arial Narrow" w:cs="Times New Roman"/>
                <w:b/>
                <w:sz w:val="20"/>
              </w:rPr>
              <w:t xml:space="preserve">Harms </w:t>
            </w:r>
          </w:p>
        </w:tc>
      </w:tr>
      <w:tr w:rsidR="00FF4850" w:rsidRPr="00B819D1" w14:paraId="4D068980" w14:textId="77777777" w:rsidTr="00FF4850">
        <w:trPr>
          <w:trHeight w:val="70"/>
        </w:trPr>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028165D8" w14:textId="77777777" w:rsidR="003401FD" w:rsidRDefault="003401FD" w:rsidP="006A4FCD">
            <w:pPr>
              <w:keepNext/>
              <w:jc w:val="left"/>
              <w:rPr>
                <w:rFonts w:ascii="Arial Narrow" w:eastAsiaTheme="majorEastAsia" w:hAnsi="Arial Narrow" w:cs="Times New Roman"/>
                <w:b/>
                <w:sz w:val="20"/>
              </w:rPr>
            </w:pPr>
          </w:p>
        </w:tc>
        <w:tc>
          <w:tcPr>
            <w:tcW w:w="1179" w:type="pct"/>
            <w:gridSpan w:val="3"/>
            <w:tcBorders>
              <w:top w:val="single" w:sz="4" w:space="0" w:color="auto"/>
              <w:left w:val="single" w:sz="4" w:space="0" w:color="auto"/>
              <w:bottom w:val="single" w:sz="4" w:space="0" w:color="auto"/>
              <w:right w:val="single" w:sz="4" w:space="0" w:color="auto"/>
            </w:tcBorders>
            <w:vAlign w:val="center"/>
          </w:tcPr>
          <w:p w14:paraId="43B6F664" w14:textId="5EEAC527" w:rsidR="003401FD" w:rsidRPr="00B819D1" w:rsidRDefault="003401FD" w:rsidP="006A4FCD">
            <w:pPr>
              <w:keepNext/>
              <w:jc w:val="center"/>
              <w:rPr>
                <w:rFonts w:ascii="Arial Narrow" w:eastAsiaTheme="majorEastAsia" w:hAnsi="Arial Narrow" w:cs="Times New Roman"/>
                <w:b/>
                <w:sz w:val="20"/>
              </w:rPr>
            </w:pPr>
            <w:r w:rsidRPr="003401FD">
              <w:rPr>
                <w:rFonts w:ascii="Arial Narrow" w:eastAsiaTheme="majorEastAsia" w:hAnsi="Arial Narrow" w:cs="Times New Roman"/>
                <w:b/>
                <w:sz w:val="20"/>
              </w:rPr>
              <w:t>Event rate/100 patients</w:t>
            </w:r>
          </w:p>
        </w:tc>
        <w:tc>
          <w:tcPr>
            <w:tcW w:w="1493" w:type="pct"/>
            <w:gridSpan w:val="2"/>
            <w:tcBorders>
              <w:top w:val="single" w:sz="4" w:space="0" w:color="auto"/>
              <w:left w:val="single" w:sz="4" w:space="0" w:color="auto"/>
              <w:bottom w:val="single" w:sz="4" w:space="0" w:color="auto"/>
              <w:right w:val="single" w:sz="4" w:space="0" w:color="auto"/>
            </w:tcBorders>
            <w:vAlign w:val="center"/>
          </w:tcPr>
          <w:p w14:paraId="5D172A0D" w14:textId="5FEF2D4F" w:rsidR="003401FD" w:rsidRPr="003401FD" w:rsidRDefault="003401FD" w:rsidP="006A4FCD">
            <w:pPr>
              <w:keepNext/>
              <w:jc w:val="center"/>
              <w:rPr>
                <w:rFonts w:ascii="Arial Narrow" w:eastAsiaTheme="majorEastAsia" w:hAnsi="Arial Narrow" w:cs="Times New Roman"/>
                <w:b/>
                <w:sz w:val="20"/>
              </w:rPr>
            </w:pPr>
            <w:r w:rsidRPr="00B819D1">
              <w:rPr>
                <w:rFonts w:ascii="Arial Narrow" w:eastAsiaTheme="majorEastAsia" w:hAnsi="Arial Narrow" w:cs="Times New Roman"/>
                <w:b/>
                <w:sz w:val="20"/>
              </w:rPr>
              <w:t>RR*</w:t>
            </w:r>
            <w:r>
              <w:rPr>
                <w:rFonts w:ascii="Arial Narrow" w:eastAsiaTheme="majorEastAsia" w:hAnsi="Arial Narrow" w:cs="Times New Roman"/>
                <w:b/>
                <w:sz w:val="20"/>
              </w:rPr>
              <w:t xml:space="preserve"> </w:t>
            </w:r>
            <w:r w:rsidRPr="00B819D1">
              <w:rPr>
                <w:rFonts w:ascii="Arial Narrow" w:eastAsiaTheme="majorEastAsia" w:hAnsi="Arial Narrow" w:cs="Times New Roman"/>
                <w:b/>
                <w:sz w:val="20"/>
              </w:rPr>
              <w:t>(95% CI)</w:t>
            </w:r>
          </w:p>
        </w:tc>
        <w:tc>
          <w:tcPr>
            <w:tcW w:w="1544" w:type="pct"/>
            <w:gridSpan w:val="2"/>
            <w:tcBorders>
              <w:top w:val="single" w:sz="4" w:space="0" w:color="auto"/>
              <w:left w:val="single" w:sz="4" w:space="0" w:color="auto"/>
              <w:bottom w:val="single" w:sz="4" w:space="0" w:color="auto"/>
              <w:right w:val="single" w:sz="4" w:space="0" w:color="auto"/>
            </w:tcBorders>
            <w:vAlign w:val="center"/>
          </w:tcPr>
          <w:p w14:paraId="2DF5E2B2" w14:textId="47603266" w:rsidR="003401FD" w:rsidRPr="00B819D1" w:rsidRDefault="003401FD" w:rsidP="006A4FCD">
            <w:pPr>
              <w:keepNext/>
              <w:jc w:val="center"/>
              <w:rPr>
                <w:rFonts w:ascii="Arial Narrow" w:eastAsiaTheme="majorEastAsia" w:hAnsi="Arial Narrow" w:cs="Times New Roman"/>
                <w:b/>
                <w:sz w:val="20"/>
              </w:rPr>
            </w:pPr>
            <w:r w:rsidRPr="00B819D1">
              <w:rPr>
                <w:rFonts w:ascii="Arial Narrow" w:eastAsiaTheme="majorEastAsia" w:hAnsi="Arial Narrow" w:cs="Times New Roman"/>
                <w:b/>
                <w:sz w:val="20"/>
              </w:rPr>
              <w:t>RD</w:t>
            </w:r>
            <w:r>
              <w:rPr>
                <w:rFonts w:ascii="Arial Narrow" w:eastAsiaTheme="majorEastAsia" w:hAnsi="Arial Narrow" w:cs="Times New Roman"/>
                <w:b/>
                <w:sz w:val="20"/>
              </w:rPr>
              <w:t xml:space="preserve"> </w:t>
            </w:r>
            <w:r w:rsidRPr="00B819D1">
              <w:rPr>
                <w:rFonts w:ascii="Arial Narrow" w:eastAsiaTheme="majorEastAsia" w:hAnsi="Arial Narrow" w:cs="Times New Roman"/>
                <w:b/>
                <w:sz w:val="20"/>
              </w:rPr>
              <w:t>(95% CI)</w:t>
            </w:r>
          </w:p>
        </w:tc>
      </w:tr>
      <w:tr w:rsidR="00FF4850" w:rsidRPr="00B819D1" w14:paraId="20F7DFD1" w14:textId="2706E8BE" w:rsidTr="00FF4850">
        <w:trPr>
          <w:trHeight w:val="145"/>
        </w:trPr>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5D9ECB71" w14:textId="5C98D0EE" w:rsidR="003401FD" w:rsidRPr="00B819D1" w:rsidRDefault="003401FD" w:rsidP="006A4FCD">
            <w:pPr>
              <w:keepNext/>
              <w:jc w:val="left"/>
              <w:rPr>
                <w:rFonts w:ascii="Arial Narrow" w:eastAsiaTheme="majorEastAsia" w:hAnsi="Arial Narrow" w:cs="Times New Roman"/>
                <w:b/>
                <w:sz w:val="20"/>
              </w:rPr>
            </w:pPr>
            <w:r>
              <w:rPr>
                <w:rFonts w:ascii="Arial Narrow" w:eastAsiaTheme="majorEastAsia" w:hAnsi="Arial Narrow" w:cs="Times New Roman"/>
                <w:b/>
                <w:sz w:val="20"/>
              </w:rPr>
              <w:t>TEAEs</w:t>
            </w:r>
          </w:p>
        </w:tc>
        <w:tc>
          <w:tcPr>
            <w:tcW w:w="393" w:type="pct"/>
            <w:tcBorders>
              <w:top w:val="single" w:sz="4" w:space="0" w:color="auto"/>
              <w:left w:val="single" w:sz="4" w:space="0" w:color="auto"/>
              <w:bottom w:val="single" w:sz="4" w:space="0" w:color="auto"/>
              <w:right w:val="single" w:sz="4" w:space="0" w:color="auto"/>
            </w:tcBorders>
            <w:vAlign w:val="center"/>
          </w:tcPr>
          <w:p w14:paraId="141A5D8B" w14:textId="4B823587" w:rsidR="003401FD" w:rsidRPr="00B819D1" w:rsidRDefault="003401FD" w:rsidP="006A4FCD">
            <w:pPr>
              <w:keepNext/>
              <w:jc w:val="center"/>
              <w:rPr>
                <w:rFonts w:ascii="Arial Narrow" w:eastAsiaTheme="majorEastAsia" w:hAnsi="Arial Narrow" w:cs="Times New Roman"/>
                <w:b/>
                <w:sz w:val="20"/>
              </w:rPr>
            </w:pPr>
            <w:r>
              <w:rPr>
                <w:rFonts w:ascii="Arial Narrow" w:eastAsiaTheme="majorEastAsia" w:hAnsi="Arial Narrow" w:cs="Times New Roman"/>
                <w:b/>
                <w:sz w:val="20"/>
              </w:rPr>
              <w:t>ENZA + ADT</w:t>
            </w:r>
          </w:p>
        </w:tc>
        <w:tc>
          <w:tcPr>
            <w:tcW w:w="393" w:type="pct"/>
            <w:tcBorders>
              <w:top w:val="single" w:sz="4" w:space="0" w:color="auto"/>
              <w:left w:val="single" w:sz="4" w:space="0" w:color="auto"/>
              <w:bottom w:val="single" w:sz="4" w:space="0" w:color="auto"/>
              <w:right w:val="single" w:sz="4" w:space="0" w:color="auto"/>
            </w:tcBorders>
            <w:vAlign w:val="center"/>
          </w:tcPr>
          <w:p w14:paraId="16E522AB" w14:textId="5D4C68EA" w:rsidR="003401FD" w:rsidRPr="00B819D1" w:rsidRDefault="003401FD" w:rsidP="006A4FCD">
            <w:pPr>
              <w:keepNext/>
              <w:jc w:val="center"/>
              <w:rPr>
                <w:rFonts w:ascii="Arial Narrow" w:eastAsiaTheme="majorEastAsia" w:hAnsi="Arial Narrow" w:cs="Times New Roman"/>
                <w:b/>
                <w:sz w:val="20"/>
              </w:rPr>
            </w:pPr>
            <w:r>
              <w:rPr>
                <w:rFonts w:ascii="Arial Narrow" w:eastAsiaTheme="majorEastAsia" w:hAnsi="Arial Narrow" w:cs="Times New Roman"/>
                <w:b/>
                <w:sz w:val="20"/>
              </w:rPr>
              <w:t>ENZA</w:t>
            </w:r>
          </w:p>
        </w:tc>
        <w:tc>
          <w:tcPr>
            <w:tcW w:w="393" w:type="pct"/>
            <w:tcBorders>
              <w:top w:val="single" w:sz="4" w:space="0" w:color="auto"/>
              <w:left w:val="single" w:sz="4" w:space="0" w:color="auto"/>
              <w:bottom w:val="single" w:sz="4" w:space="0" w:color="auto"/>
              <w:right w:val="single" w:sz="4" w:space="0" w:color="auto"/>
            </w:tcBorders>
            <w:vAlign w:val="center"/>
          </w:tcPr>
          <w:p w14:paraId="2DA252E1" w14:textId="5761AFEC" w:rsidR="003401FD" w:rsidRPr="00B819D1" w:rsidRDefault="003401FD" w:rsidP="006A4FCD">
            <w:pPr>
              <w:keepNext/>
              <w:jc w:val="center"/>
              <w:rPr>
                <w:rFonts w:ascii="Arial Narrow" w:eastAsiaTheme="majorEastAsia" w:hAnsi="Arial Narrow" w:cs="Times New Roman"/>
                <w:b/>
                <w:sz w:val="20"/>
              </w:rPr>
            </w:pPr>
            <w:r w:rsidRPr="00B819D1">
              <w:rPr>
                <w:rFonts w:ascii="Arial Narrow" w:eastAsiaTheme="majorEastAsia" w:hAnsi="Arial Narrow" w:cs="Times New Roman"/>
                <w:b/>
                <w:sz w:val="20"/>
              </w:rPr>
              <w:t>PBO</w:t>
            </w:r>
          </w:p>
        </w:tc>
        <w:tc>
          <w:tcPr>
            <w:tcW w:w="706" w:type="pct"/>
            <w:tcBorders>
              <w:top w:val="single" w:sz="4" w:space="0" w:color="auto"/>
              <w:left w:val="single" w:sz="4" w:space="0" w:color="auto"/>
              <w:right w:val="single" w:sz="4" w:space="0" w:color="auto"/>
            </w:tcBorders>
            <w:vAlign w:val="center"/>
          </w:tcPr>
          <w:p w14:paraId="4AAAFD88" w14:textId="77777777" w:rsidR="003401FD" w:rsidRPr="00B819D1" w:rsidRDefault="003401FD" w:rsidP="006A4FCD">
            <w:pPr>
              <w:keepNext/>
              <w:jc w:val="center"/>
              <w:rPr>
                <w:rFonts w:ascii="Arial Narrow" w:eastAsiaTheme="majorEastAsia" w:hAnsi="Arial Narrow" w:cs="Times New Roman"/>
                <w:b/>
                <w:sz w:val="20"/>
              </w:rPr>
            </w:pPr>
            <w:r>
              <w:rPr>
                <w:rFonts w:ascii="Arial Narrow" w:eastAsiaTheme="majorEastAsia" w:hAnsi="Arial Narrow" w:cs="Times New Roman"/>
                <w:b/>
                <w:sz w:val="20"/>
              </w:rPr>
              <w:t>ENZA + ADT vs PBO + ADT</w:t>
            </w:r>
          </w:p>
        </w:tc>
        <w:tc>
          <w:tcPr>
            <w:tcW w:w="786" w:type="pct"/>
            <w:tcBorders>
              <w:top w:val="single" w:sz="4" w:space="0" w:color="auto"/>
              <w:left w:val="single" w:sz="4" w:space="0" w:color="auto"/>
              <w:right w:val="single" w:sz="4" w:space="0" w:color="auto"/>
            </w:tcBorders>
            <w:vAlign w:val="center"/>
          </w:tcPr>
          <w:p w14:paraId="3BC7758A" w14:textId="066B38FB" w:rsidR="003401FD" w:rsidRPr="00B819D1" w:rsidRDefault="003401FD" w:rsidP="006A4FCD">
            <w:pPr>
              <w:keepNext/>
              <w:jc w:val="center"/>
              <w:rPr>
                <w:rFonts w:ascii="Arial Narrow" w:eastAsiaTheme="majorEastAsia" w:hAnsi="Arial Narrow" w:cs="Times New Roman"/>
                <w:b/>
                <w:sz w:val="20"/>
              </w:rPr>
            </w:pPr>
            <w:r w:rsidRPr="003401FD">
              <w:rPr>
                <w:rFonts w:ascii="Arial Narrow" w:eastAsiaTheme="majorEastAsia" w:hAnsi="Arial Narrow" w:cs="Times New Roman"/>
                <w:b/>
                <w:sz w:val="20"/>
              </w:rPr>
              <w:t>ENZA vs PBO + ADT</w:t>
            </w:r>
          </w:p>
        </w:tc>
        <w:tc>
          <w:tcPr>
            <w:tcW w:w="786" w:type="pct"/>
            <w:tcBorders>
              <w:top w:val="single" w:sz="4" w:space="0" w:color="auto"/>
              <w:left w:val="single" w:sz="4" w:space="0" w:color="auto"/>
              <w:right w:val="single" w:sz="4" w:space="0" w:color="auto"/>
            </w:tcBorders>
            <w:vAlign w:val="center"/>
          </w:tcPr>
          <w:p w14:paraId="3DFB9ABD" w14:textId="0D3AC861" w:rsidR="003401FD" w:rsidRPr="00B819D1" w:rsidRDefault="003401FD" w:rsidP="006A4FCD">
            <w:pPr>
              <w:keepNext/>
              <w:jc w:val="center"/>
              <w:rPr>
                <w:rFonts w:ascii="Arial Narrow" w:eastAsiaTheme="majorEastAsia" w:hAnsi="Arial Narrow" w:cs="Times New Roman"/>
                <w:b/>
                <w:sz w:val="20"/>
              </w:rPr>
            </w:pPr>
            <w:r>
              <w:rPr>
                <w:rFonts w:ascii="Arial Narrow" w:eastAsiaTheme="majorEastAsia" w:hAnsi="Arial Narrow" w:cs="Times New Roman"/>
                <w:b/>
                <w:sz w:val="20"/>
              </w:rPr>
              <w:t>ENZA + ADT vs PBO + ADT</w:t>
            </w:r>
          </w:p>
        </w:tc>
        <w:tc>
          <w:tcPr>
            <w:tcW w:w="758" w:type="pct"/>
            <w:tcBorders>
              <w:top w:val="single" w:sz="4" w:space="0" w:color="auto"/>
              <w:left w:val="single" w:sz="4" w:space="0" w:color="auto"/>
              <w:right w:val="single" w:sz="4" w:space="0" w:color="auto"/>
            </w:tcBorders>
            <w:vAlign w:val="center"/>
          </w:tcPr>
          <w:p w14:paraId="4F1B7ADE" w14:textId="58854EC3" w:rsidR="003401FD" w:rsidRPr="00B819D1" w:rsidRDefault="003401FD" w:rsidP="006A4FCD">
            <w:pPr>
              <w:keepNext/>
              <w:jc w:val="center"/>
              <w:rPr>
                <w:rFonts w:ascii="Arial Narrow" w:eastAsiaTheme="majorEastAsia" w:hAnsi="Arial Narrow" w:cs="Times New Roman"/>
                <w:b/>
                <w:sz w:val="20"/>
              </w:rPr>
            </w:pPr>
            <w:r w:rsidRPr="003401FD">
              <w:rPr>
                <w:rFonts w:ascii="Arial Narrow" w:eastAsiaTheme="majorEastAsia" w:hAnsi="Arial Narrow" w:cs="Times New Roman"/>
                <w:b/>
                <w:sz w:val="20"/>
              </w:rPr>
              <w:t>ENZA vs PBO + ADT</w:t>
            </w:r>
          </w:p>
        </w:tc>
      </w:tr>
      <w:tr w:rsidR="003401FD" w:rsidRPr="00B819D1" w14:paraId="1521A86A" w14:textId="7291237B" w:rsidTr="003401FD">
        <w:tc>
          <w:tcPr>
            <w:tcW w:w="5000" w:type="pct"/>
            <w:gridSpan w:val="8"/>
            <w:tcBorders>
              <w:top w:val="single" w:sz="4" w:space="0" w:color="auto"/>
              <w:left w:val="single" w:sz="4" w:space="0" w:color="auto"/>
              <w:bottom w:val="single" w:sz="4" w:space="0" w:color="auto"/>
              <w:right w:val="single" w:sz="4" w:space="0" w:color="auto"/>
            </w:tcBorders>
          </w:tcPr>
          <w:p w14:paraId="450B2D4E" w14:textId="05662A50" w:rsidR="003401FD" w:rsidRDefault="003401FD" w:rsidP="006A4FCD">
            <w:pPr>
              <w:keepNext/>
              <w:rPr>
                <w:rFonts w:ascii="Arial Narrow" w:eastAsiaTheme="majorEastAsia" w:hAnsi="Arial Narrow" w:cs="Times New Roman"/>
                <w:b/>
                <w:sz w:val="20"/>
              </w:rPr>
            </w:pPr>
            <w:r>
              <w:rPr>
                <w:rFonts w:ascii="Arial Narrow" w:eastAsiaTheme="majorEastAsia" w:hAnsi="Arial Narrow" w:cs="Times New Roman"/>
                <w:b/>
                <w:sz w:val="20"/>
              </w:rPr>
              <w:t>Selected common TEA</w:t>
            </w:r>
            <w:r w:rsidRPr="00B819D1">
              <w:rPr>
                <w:rFonts w:ascii="Arial Narrow" w:eastAsiaTheme="majorEastAsia" w:hAnsi="Arial Narrow" w:cs="Times New Roman"/>
                <w:b/>
                <w:sz w:val="20"/>
              </w:rPr>
              <w:t>Es</w:t>
            </w:r>
            <w:r>
              <w:rPr>
                <w:rFonts w:ascii="Arial Narrow" w:eastAsiaTheme="majorEastAsia" w:hAnsi="Arial Narrow" w:cs="Times New Roman"/>
                <w:b/>
                <w:sz w:val="20"/>
              </w:rPr>
              <w:t xml:space="preserve"> </w:t>
            </w:r>
            <w:r w:rsidRPr="00F37AAE">
              <w:rPr>
                <w:rFonts w:ascii="Arial Narrow" w:eastAsiaTheme="majorEastAsia" w:hAnsi="Arial Narrow" w:cs="Times New Roman"/>
                <w:b/>
                <w:sz w:val="20"/>
              </w:rPr>
              <w:t>(≥5% patients</w:t>
            </w:r>
            <w:r>
              <w:rPr>
                <w:rFonts w:ascii="Arial Narrow" w:eastAsiaTheme="majorEastAsia" w:hAnsi="Arial Narrow" w:cs="Times New Roman"/>
                <w:b/>
                <w:sz w:val="20"/>
              </w:rPr>
              <w:t>)</w:t>
            </w:r>
          </w:p>
        </w:tc>
      </w:tr>
      <w:tr w:rsidR="00FF4850" w:rsidRPr="00B819D1" w14:paraId="7D957CFB" w14:textId="58D5DA7B" w:rsidTr="00FF4850">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37E039B7" w14:textId="6B444EA8" w:rsidR="00FF4850" w:rsidRPr="00B819D1" w:rsidRDefault="00FF4850" w:rsidP="006A4FCD">
            <w:pPr>
              <w:keepNext/>
              <w:jc w:val="left"/>
              <w:rPr>
                <w:rFonts w:ascii="Arial Narrow" w:eastAsiaTheme="majorEastAsia" w:hAnsi="Arial Narrow" w:cstheme="majorBidi"/>
                <w:bCs/>
                <w:sz w:val="20"/>
              </w:rPr>
            </w:pPr>
            <w:r>
              <w:rPr>
                <w:rFonts w:ascii="Arial Narrow" w:hAnsi="Arial Narrow"/>
                <w:sz w:val="20"/>
                <w:szCs w:val="20"/>
              </w:rPr>
              <w:t>Hot flush</w:t>
            </w:r>
          </w:p>
        </w:tc>
        <w:tc>
          <w:tcPr>
            <w:tcW w:w="393" w:type="pct"/>
            <w:tcBorders>
              <w:top w:val="single" w:sz="4" w:space="0" w:color="auto"/>
              <w:left w:val="single" w:sz="4" w:space="0" w:color="auto"/>
              <w:bottom w:val="single" w:sz="4" w:space="0" w:color="auto"/>
              <w:right w:val="single" w:sz="4" w:space="0" w:color="auto"/>
            </w:tcBorders>
            <w:vAlign w:val="center"/>
          </w:tcPr>
          <w:p w14:paraId="3013000B" w14:textId="002920B2"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69</w:t>
            </w:r>
          </w:p>
        </w:tc>
        <w:tc>
          <w:tcPr>
            <w:tcW w:w="393" w:type="pct"/>
            <w:tcBorders>
              <w:top w:val="single" w:sz="4" w:space="0" w:color="auto"/>
              <w:left w:val="single" w:sz="4" w:space="0" w:color="auto"/>
              <w:bottom w:val="single" w:sz="4" w:space="0" w:color="auto"/>
              <w:right w:val="single" w:sz="4" w:space="0" w:color="auto"/>
            </w:tcBorders>
            <w:vAlign w:val="center"/>
          </w:tcPr>
          <w:p w14:paraId="63F56250" w14:textId="2BB88BB4"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22</w:t>
            </w:r>
          </w:p>
        </w:tc>
        <w:tc>
          <w:tcPr>
            <w:tcW w:w="393" w:type="pct"/>
            <w:tcBorders>
              <w:top w:val="single" w:sz="4" w:space="0" w:color="auto"/>
              <w:left w:val="single" w:sz="4" w:space="0" w:color="auto"/>
              <w:bottom w:val="single" w:sz="4" w:space="0" w:color="auto"/>
              <w:right w:val="single" w:sz="4" w:space="0" w:color="auto"/>
            </w:tcBorders>
            <w:vAlign w:val="center"/>
          </w:tcPr>
          <w:p w14:paraId="57C9795E" w14:textId="280A82A0"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57</w:t>
            </w:r>
          </w:p>
        </w:tc>
        <w:tc>
          <w:tcPr>
            <w:tcW w:w="706" w:type="pct"/>
            <w:tcBorders>
              <w:top w:val="single" w:sz="4" w:space="0" w:color="auto"/>
              <w:left w:val="single" w:sz="4" w:space="0" w:color="auto"/>
              <w:bottom w:val="single" w:sz="4" w:space="0" w:color="auto"/>
              <w:right w:val="single" w:sz="4" w:space="0" w:color="auto"/>
            </w:tcBorders>
            <w:vAlign w:val="center"/>
          </w:tcPr>
          <w:p w14:paraId="67C67AE3" w14:textId="2518EA81" w:rsidR="00FF4850" w:rsidRPr="00FF1F6D" w:rsidRDefault="00FF4850" w:rsidP="006A4FCD">
            <w:pPr>
              <w:keepNext/>
              <w:jc w:val="center"/>
              <w:rPr>
                <w:rFonts w:ascii="Arial Narrow" w:eastAsiaTheme="majorEastAsia" w:hAnsi="Arial Narrow" w:cstheme="majorBidi"/>
                <w:b/>
                <w:bCs/>
                <w:iCs/>
                <w:sz w:val="19"/>
                <w:szCs w:val="19"/>
              </w:rPr>
            </w:pPr>
            <w:r w:rsidRPr="00FF1F6D">
              <w:rPr>
                <w:rFonts w:ascii="Arial Narrow" w:eastAsiaTheme="majorEastAsia" w:hAnsi="Arial Narrow" w:cstheme="majorBidi"/>
                <w:b/>
                <w:bCs/>
                <w:iCs/>
                <w:sz w:val="19"/>
                <w:szCs w:val="19"/>
              </w:rPr>
              <w:t>1.20 (1.07, 1.34)</w:t>
            </w:r>
          </w:p>
        </w:tc>
        <w:tc>
          <w:tcPr>
            <w:tcW w:w="786" w:type="pct"/>
            <w:tcBorders>
              <w:top w:val="single" w:sz="4" w:space="0" w:color="auto"/>
              <w:left w:val="single" w:sz="4" w:space="0" w:color="auto"/>
              <w:bottom w:val="single" w:sz="4" w:space="0" w:color="auto"/>
              <w:right w:val="single" w:sz="4" w:space="0" w:color="auto"/>
            </w:tcBorders>
            <w:vAlign w:val="center"/>
          </w:tcPr>
          <w:p w14:paraId="742B1630" w14:textId="38B1DF1D" w:rsidR="00FF4850" w:rsidRPr="00FF1F6D" w:rsidRDefault="00FF4850" w:rsidP="006A4FCD">
            <w:pPr>
              <w:keepNext/>
              <w:jc w:val="center"/>
              <w:rPr>
                <w:rFonts w:ascii="Arial Narrow" w:eastAsiaTheme="majorEastAsia" w:hAnsi="Arial Narrow" w:cstheme="majorBidi"/>
                <w:b/>
                <w:bCs/>
                <w:iCs/>
                <w:sz w:val="19"/>
                <w:szCs w:val="19"/>
              </w:rPr>
            </w:pPr>
            <w:r w:rsidRPr="00FF1F6D">
              <w:rPr>
                <w:rFonts w:ascii="Arial Narrow" w:eastAsiaTheme="majorEastAsia" w:hAnsi="Arial Narrow" w:cstheme="majorBidi"/>
                <w:b/>
                <w:bCs/>
                <w:iCs/>
                <w:sz w:val="19"/>
                <w:szCs w:val="19"/>
              </w:rPr>
              <w:t>0.38 (0.31, 0.47)</w:t>
            </w:r>
          </w:p>
        </w:tc>
        <w:tc>
          <w:tcPr>
            <w:tcW w:w="786" w:type="pct"/>
            <w:tcBorders>
              <w:top w:val="single" w:sz="4" w:space="0" w:color="auto"/>
              <w:left w:val="single" w:sz="4" w:space="0" w:color="auto"/>
              <w:bottom w:val="single" w:sz="4" w:space="0" w:color="auto"/>
              <w:right w:val="single" w:sz="4" w:space="0" w:color="auto"/>
            </w:tcBorders>
            <w:vAlign w:val="center"/>
          </w:tcPr>
          <w:p w14:paraId="44654F06" w14:textId="13972843"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b/>
                <w:iCs/>
                <w:sz w:val="19"/>
                <w:szCs w:val="19"/>
              </w:rPr>
              <w:t>0.11 (0.04, 0.18)</w:t>
            </w:r>
          </w:p>
        </w:tc>
        <w:tc>
          <w:tcPr>
            <w:tcW w:w="758" w:type="pct"/>
            <w:tcBorders>
              <w:top w:val="single" w:sz="4" w:space="0" w:color="auto"/>
              <w:left w:val="single" w:sz="4" w:space="0" w:color="auto"/>
              <w:bottom w:val="single" w:sz="4" w:space="0" w:color="auto"/>
              <w:right w:val="single" w:sz="4" w:space="0" w:color="auto"/>
            </w:tcBorders>
            <w:vAlign w:val="center"/>
          </w:tcPr>
          <w:p w14:paraId="1F2B9606" w14:textId="5F2FED6E"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b/>
                <w:iCs/>
                <w:sz w:val="19"/>
                <w:szCs w:val="19"/>
              </w:rPr>
              <w:t>-0.36 (-0.42, -0.29)</w:t>
            </w:r>
          </w:p>
        </w:tc>
      </w:tr>
      <w:tr w:rsidR="00FF4850" w:rsidRPr="00B819D1" w14:paraId="5EEE762E" w14:textId="662728E3" w:rsidTr="00FF4850">
        <w:tc>
          <w:tcPr>
            <w:tcW w:w="784" w:type="pct"/>
            <w:tcBorders>
              <w:top w:val="single" w:sz="4" w:space="0" w:color="auto"/>
              <w:left w:val="single" w:sz="4" w:space="0" w:color="auto"/>
              <w:bottom w:val="single" w:sz="4" w:space="0" w:color="auto"/>
              <w:right w:val="single" w:sz="4" w:space="0" w:color="auto"/>
            </w:tcBorders>
            <w:shd w:val="clear" w:color="auto" w:fill="auto"/>
          </w:tcPr>
          <w:p w14:paraId="2FE900BA" w14:textId="6B493D5A" w:rsidR="00FF4850" w:rsidRPr="00B819D1" w:rsidRDefault="00FF4850" w:rsidP="006A4FCD">
            <w:pPr>
              <w:keepNext/>
              <w:jc w:val="left"/>
              <w:rPr>
                <w:rFonts w:ascii="Arial Narrow" w:eastAsiaTheme="majorEastAsia" w:hAnsi="Arial Narrow" w:cstheme="majorBidi"/>
                <w:bCs/>
                <w:sz w:val="20"/>
              </w:rPr>
            </w:pPr>
            <w:r>
              <w:rPr>
                <w:rFonts w:ascii="Arial Narrow" w:hAnsi="Arial Narrow"/>
                <w:sz w:val="20"/>
                <w:szCs w:val="20"/>
              </w:rPr>
              <w:t>Fatigue</w:t>
            </w:r>
          </w:p>
        </w:tc>
        <w:tc>
          <w:tcPr>
            <w:tcW w:w="393" w:type="pct"/>
            <w:tcBorders>
              <w:top w:val="single" w:sz="4" w:space="0" w:color="auto"/>
              <w:left w:val="single" w:sz="4" w:space="0" w:color="auto"/>
              <w:bottom w:val="single" w:sz="4" w:space="0" w:color="auto"/>
              <w:right w:val="single" w:sz="4" w:space="0" w:color="auto"/>
            </w:tcBorders>
            <w:vAlign w:val="center"/>
          </w:tcPr>
          <w:p w14:paraId="18CD9BAA" w14:textId="1E6C566C"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43</w:t>
            </w:r>
          </w:p>
        </w:tc>
        <w:tc>
          <w:tcPr>
            <w:tcW w:w="393" w:type="pct"/>
            <w:tcBorders>
              <w:top w:val="single" w:sz="4" w:space="0" w:color="auto"/>
              <w:left w:val="single" w:sz="4" w:space="0" w:color="auto"/>
              <w:bottom w:val="single" w:sz="4" w:space="0" w:color="auto"/>
              <w:right w:val="single" w:sz="4" w:space="0" w:color="auto"/>
            </w:tcBorders>
            <w:vAlign w:val="center"/>
          </w:tcPr>
          <w:p w14:paraId="22D99629" w14:textId="4A7A0CDA"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47</w:t>
            </w:r>
          </w:p>
        </w:tc>
        <w:tc>
          <w:tcPr>
            <w:tcW w:w="393" w:type="pct"/>
            <w:tcBorders>
              <w:top w:val="single" w:sz="4" w:space="0" w:color="auto"/>
              <w:left w:val="single" w:sz="4" w:space="0" w:color="auto"/>
              <w:bottom w:val="single" w:sz="4" w:space="0" w:color="auto"/>
              <w:right w:val="single" w:sz="4" w:space="0" w:color="auto"/>
            </w:tcBorders>
            <w:vAlign w:val="center"/>
          </w:tcPr>
          <w:p w14:paraId="10626EBA" w14:textId="46E21279"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33</w:t>
            </w:r>
          </w:p>
        </w:tc>
        <w:tc>
          <w:tcPr>
            <w:tcW w:w="706" w:type="pct"/>
            <w:tcBorders>
              <w:top w:val="single" w:sz="4" w:space="0" w:color="auto"/>
              <w:left w:val="single" w:sz="4" w:space="0" w:color="auto"/>
              <w:bottom w:val="single" w:sz="4" w:space="0" w:color="auto"/>
              <w:right w:val="single" w:sz="4" w:space="0" w:color="auto"/>
            </w:tcBorders>
            <w:vAlign w:val="center"/>
          </w:tcPr>
          <w:p w14:paraId="1813EEEF" w14:textId="6E95ACD2" w:rsidR="00FF4850" w:rsidRPr="00FF1F6D" w:rsidRDefault="00FF4850" w:rsidP="006A4FCD">
            <w:pPr>
              <w:keepNext/>
              <w:jc w:val="center"/>
              <w:rPr>
                <w:rFonts w:ascii="Arial Narrow" w:eastAsiaTheme="majorEastAsia" w:hAnsi="Arial Narrow" w:cstheme="majorBidi"/>
                <w:b/>
                <w:bCs/>
                <w:iCs/>
                <w:sz w:val="19"/>
                <w:szCs w:val="19"/>
              </w:rPr>
            </w:pPr>
            <w:r w:rsidRPr="00FF1F6D">
              <w:rPr>
                <w:rFonts w:ascii="Arial Narrow" w:eastAsiaTheme="majorEastAsia" w:hAnsi="Arial Narrow" w:cstheme="majorBidi"/>
                <w:b/>
                <w:bCs/>
                <w:iCs/>
                <w:sz w:val="19"/>
                <w:szCs w:val="19"/>
              </w:rPr>
              <w:t>1.31 (1.08, 1.58)</w:t>
            </w:r>
          </w:p>
        </w:tc>
        <w:tc>
          <w:tcPr>
            <w:tcW w:w="786" w:type="pct"/>
            <w:tcBorders>
              <w:top w:val="single" w:sz="4" w:space="0" w:color="auto"/>
              <w:left w:val="single" w:sz="4" w:space="0" w:color="auto"/>
              <w:bottom w:val="single" w:sz="4" w:space="0" w:color="auto"/>
              <w:right w:val="single" w:sz="4" w:space="0" w:color="auto"/>
            </w:tcBorders>
            <w:vAlign w:val="center"/>
          </w:tcPr>
          <w:p w14:paraId="5FED5716" w14:textId="49428F09" w:rsidR="00FF4850" w:rsidRPr="00FF1F6D" w:rsidRDefault="00FF4850" w:rsidP="006A4FCD">
            <w:pPr>
              <w:keepNext/>
              <w:jc w:val="center"/>
              <w:rPr>
                <w:rFonts w:ascii="Arial Narrow" w:eastAsiaTheme="majorEastAsia" w:hAnsi="Arial Narrow" w:cstheme="majorBidi"/>
                <w:b/>
                <w:bCs/>
                <w:iCs/>
                <w:sz w:val="19"/>
                <w:szCs w:val="19"/>
              </w:rPr>
            </w:pPr>
            <w:r w:rsidRPr="00FF1F6D">
              <w:rPr>
                <w:rFonts w:ascii="Arial Narrow" w:eastAsiaTheme="majorEastAsia" w:hAnsi="Arial Narrow" w:cstheme="majorBidi"/>
                <w:b/>
                <w:bCs/>
                <w:iCs/>
                <w:sz w:val="19"/>
                <w:szCs w:val="19"/>
              </w:rPr>
              <w:t>1.42 (1.18, 1.71)</w:t>
            </w:r>
          </w:p>
        </w:tc>
        <w:tc>
          <w:tcPr>
            <w:tcW w:w="786" w:type="pct"/>
            <w:tcBorders>
              <w:top w:val="single" w:sz="4" w:space="0" w:color="auto"/>
              <w:left w:val="single" w:sz="4" w:space="0" w:color="auto"/>
              <w:bottom w:val="single" w:sz="4" w:space="0" w:color="auto"/>
              <w:right w:val="single" w:sz="4" w:space="0" w:color="auto"/>
            </w:tcBorders>
            <w:vAlign w:val="center"/>
          </w:tcPr>
          <w:p w14:paraId="4FC1F55B" w14:textId="28F05FF8"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b/>
                <w:iCs/>
                <w:sz w:val="19"/>
                <w:szCs w:val="19"/>
              </w:rPr>
              <w:t>0.10 (0.03, 0.17)</w:t>
            </w:r>
          </w:p>
        </w:tc>
        <w:tc>
          <w:tcPr>
            <w:tcW w:w="758" w:type="pct"/>
            <w:tcBorders>
              <w:top w:val="single" w:sz="4" w:space="0" w:color="auto"/>
              <w:left w:val="single" w:sz="4" w:space="0" w:color="auto"/>
              <w:bottom w:val="single" w:sz="4" w:space="0" w:color="auto"/>
              <w:right w:val="single" w:sz="4" w:space="0" w:color="auto"/>
            </w:tcBorders>
            <w:vAlign w:val="center"/>
          </w:tcPr>
          <w:p w14:paraId="07587BF6" w14:textId="4CB46FEC"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b/>
                <w:iCs/>
                <w:sz w:val="19"/>
                <w:szCs w:val="19"/>
              </w:rPr>
              <w:t>0.14 (0.07, 0.21)</w:t>
            </w:r>
          </w:p>
        </w:tc>
      </w:tr>
      <w:tr w:rsidR="00FF4850" w:rsidRPr="00B819D1" w14:paraId="4BFCEE07" w14:textId="68984AA1" w:rsidTr="00FF4850">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1B97B644" w14:textId="32A686FA" w:rsidR="00FF4850" w:rsidRPr="00B819D1" w:rsidRDefault="00FF4850" w:rsidP="006A4FCD">
            <w:pPr>
              <w:keepNext/>
              <w:jc w:val="left"/>
              <w:rPr>
                <w:rFonts w:ascii="Arial Narrow" w:eastAsiaTheme="majorEastAsia" w:hAnsi="Arial Narrow" w:cstheme="majorBidi"/>
                <w:bCs/>
                <w:sz w:val="20"/>
              </w:rPr>
            </w:pPr>
            <w:r>
              <w:rPr>
                <w:rFonts w:ascii="Arial Narrow" w:hAnsi="Arial Narrow"/>
                <w:sz w:val="20"/>
                <w:szCs w:val="20"/>
              </w:rPr>
              <w:t>Arthralgia</w:t>
            </w:r>
          </w:p>
        </w:tc>
        <w:tc>
          <w:tcPr>
            <w:tcW w:w="393" w:type="pct"/>
            <w:tcBorders>
              <w:top w:val="single" w:sz="4" w:space="0" w:color="auto"/>
              <w:left w:val="single" w:sz="4" w:space="0" w:color="auto"/>
              <w:bottom w:val="single" w:sz="4" w:space="0" w:color="auto"/>
              <w:right w:val="single" w:sz="4" w:space="0" w:color="auto"/>
            </w:tcBorders>
            <w:vAlign w:val="center"/>
          </w:tcPr>
          <w:p w14:paraId="26380999" w14:textId="0C5EAA70"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28</w:t>
            </w:r>
          </w:p>
        </w:tc>
        <w:tc>
          <w:tcPr>
            <w:tcW w:w="393" w:type="pct"/>
            <w:tcBorders>
              <w:top w:val="single" w:sz="4" w:space="0" w:color="auto"/>
              <w:left w:val="single" w:sz="4" w:space="0" w:color="auto"/>
              <w:bottom w:val="single" w:sz="4" w:space="0" w:color="auto"/>
              <w:right w:val="single" w:sz="4" w:space="0" w:color="auto"/>
            </w:tcBorders>
            <w:vAlign w:val="center"/>
          </w:tcPr>
          <w:p w14:paraId="4ED50394" w14:textId="474B48CE"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23</w:t>
            </w:r>
          </w:p>
        </w:tc>
        <w:tc>
          <w:tcPr>
            <w:tcW w:w="393" w:type="pct"/>
            <w:tcBorders>
              <w:top w:val="single" w:sz="4" w:space="0" w:color="auto"/>
              <w:left w:val="single" w:sz="4" w:space="0" w:color="auto"/>
              <w:bottom w:val="single" w:sz="4" w:space="0" w:color="auto"/>
              <w:right w:val="single" w:sz="4" w:space="0" w:color="auto"/>
            </w:tcBorders>
            <w:vAlign w:val="center"/>
          </w:tcPr>
          <w:p w14:paraId="5CF72C2A" w14:textId="3F458B61"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21</w:t>
            </w:r>
          </w:p>
        </w:tc>
        <w:tc>
          <w:tcPr>
            <w:tcW w:w="706" w:type="pct"/>
            <w:tcBorders>
              <w:top w:val="single" w:sz="4" w:space="0" w:color="auto"/>
              <w:left w:val="single" w:sz="4" w:space="0" w:color="auto"/>
              <w:bottom w:val="single" w:sz="4" w:space="0" w:color="auto"/>
              <w:right w:val="single" w:sz="4" w:space="0" w:color="auto"/>
            </w:tcBorders>
            <w:vAlign w:val="center"/>
          </w:tcPr>
          <w:p w14:paraId="19E1E1C9" w14:textId="18418C0E" w:rsidR="00FF4850" w:rsidRPr="00FF1F6D" w:rsidRDefault="00FF4850" w:rsidP="006A4FCD">
            <w:pPr>
              <w:keepNext/>
              <w:jc w:val="center"/>
              <w:rPr>
                <w:rFonts w:ascii="Arial Narrow" w:eastAsiaTheme="majorEastAsia" w:hAnsi="Arial Narrow" w:cstheme="majorBidi"/>
                <w:b/>
                <w:bCs/>
                <w:iCs/>
                <w:sz w:val="19"/>
                <w:szCs w:val="19"/>
              </w:rPr>
            </w:pPr>
            <w:r w:rsidRPr="00FF1F6D">
              <w:rPr>
                <w:rFonts w:ascii="Arial Narrow" w:eastAsiaTheme="majorEastAsia" w:hAnsi="Arial Narrow" w:cstheme="majorBidi"/>
                <w:b/>
                <w:bCs/>
                <w:iCs/>
                <w:sz w:val="19"/>
                <w:szCs w:val="19"/>
              </w:rPr>
              <w:t>1.30 (1.00, 1.69)</w:t>
            </w:r>
          </w:p>
        </w:tc>
        <w:tc>
          <w:tcPr>
            <w:tcW w:w="786" w:type="pct"/>
            <w:tcBorders>
              <w:top w:val="single" w:sz="4" w:space="0" w:color="auto"/>
              <w:left w:val="single" w:sz="4" w:space="0" w:color="auto"/>
              <w:bottom w:val="single" w:sz="4" w:space="0" w:color="auto"/>
              <w:right w:val="single" w:sz="4" w:space="0" w:color="auto"/>
            </w:tcBorders>
            <w:vAlign w:val="center"/>
          </w:tcPr>
          <w:p w14:paraId="493C1BA1" w14:textId="22390DD0"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eastAsiaTheme="majorEastAsia" w:hAnsi="Arial Narrow" w:cstheme="majorBidi"/>
                <w:bCs/>
                <w:iCs/>
                <w:sz w:val="19"/>
                <w:szCs w:val="19"/>
              </w:rPr>
              <w:t>1.08 (0.82, 1.43)</w:t>
            </w:r>
          </w:p>
        </w:tc>
        <w:tc>
          <w:tcPr>
            <w:tcW w:w="786" w:type="pct"/>
            <w:tcBorders>
              <w:top w:val="single" w:sz="4" w:space="0" w:color="auto"/>
              <w:left w:val="single" w:sz="4" w:space="0" w:color="auto"/>
              <w:bottom w:val="single" w:sz="4" w:space="0" w:color="auto"/>
              <w:right w:val="single" w:sz="4" w:space="0" w:color="auto"/>
            </w:tcBorders>
            <w:vAlign w:val="center"/>
          </w:tcPr>
          <w:p w14:paraId="099FA155" w14:textId="289E6777"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b/>
                <w:iCs/>
                <w:sz w:val="19"/>
                <w:szCs w:val="19"/>
              </w:rPr>
              <w:t>0.06 (-0.00, 0.13)</w:t>
            </w:r>
          </w:p>
        </w:tc>
        <w:tc>
          <w:tcPr>
            <w:tcW w:w="758" w:type="pct"/>
            <w:tcBorders>
              <w:top w:val="single" w:sz="4" w:space="0" w:color="auto"/>
              <w:left w:val="single" w:sz="4" w:space="0" w:color="auto"/>
              <w:bottom w:val="single" w:sz="4" w:space="0" w:color="auto"/>
              <w:right w:val="single" w:sz="4" w:space="0" w:color="auto"/>
            </w:tcBorders>
            <w:vAlign w:val="center"/>
          </w:tcPr>
          <w:p w14:paraId="35740085" w14:textId="41369E34"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iCs/>
                <w:sz w:val="19"/>
                <w:szCs w:val="19"/>
              </w:rPr>
              <w:t>0.02 (-0.04, 0.08)</w:t>
            </w:r>
          </w:p>
        </w:tc>
      </w:tr>
      <w:tr w:rsidR="00FF4850" w:rsidRPr="00B819D1" w14:paraId="7F7F4CB1" w14:textId="3E44B5B9" w:rsidTr="00FF4850">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1BA96E93" w14:textId="169356B1" w:rsidR="00FF4850" w:rsidRDefault="00FF4850" w:rsidP="006A4FCD">
            <w:pPr>
              <w:keepNext/>
              <w:jc w:val="left"/>
              <w:rPr>
                <w:rFonts w:ascii="Arial Narrow" w:hAnsi="Arial Narrow"/>
                <w:sz w:val="20"/>
                <w:szCs w:val="20"/>
              </w:rPr>
            </w:pPr>
            <w:r>
              <w:rPr>
                <w:rFonts w:ascii="Arial Narrow" w:hAnsi="Arial Narrow"/>
                <w:sz w:val="20"/>
                <w:szCs w:val="20"/>
              </w:rPr>
              <w:t>Fall</w:t>
            </w:r>
          </w:p>
        </w:tc>
        <w:tc>
          <w:tcPr>
            <w:tcW w:w="393" w:type="pct"/>
            <w:tcBorders>
              <w:top w:val="single" w:sz="4" w:space="0" w:color="auto"/>
              <w:left w:val="single" w:sz="4" w:space="0" w:color="auto"/>
              <w:bottom w:val="single" w:sz="4" w:space="0" w:color="auto"/>
              <w:right w:val="single" w:sz="4" w:space="0" w:color="auto"/>
            </w:tcBorders>
            <w:vAlign w:val="center"/>
          </w:tcPr>
          <w:p w14:paraId="4E03C928" w14:textId="3F7224FD"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21</w:t>
            </w:r>
          </w:p>
        </w:tc>
        <w:tc>
          <w:tcPr>
            <w:tcW w:w="393" w:type="pct"/>
            <w:tcBorders>
              <w:top w:val="single" w:sz="4" w:space="0" w:color="auto"/>
              <w:left w:val="single" w:sz="4" w:space="0" w:color="auto"/>
              <w:bottom w:val="single" w:sz="4" w:space="0" w:color="auto"/>
              <w:right w:val="single" w:sz="4" w:space="0" w:color="auto"/>
            </w:tcBorders>
            <w:vAlign w:val="center"/>
          </w:tcPr>
          <w:p w14:paraId="0248CF83" w14:textId="7703AF51"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16</w:t>
            </w:r>
          </w:p>
        </w:tc>
        <w:tc>
          <w:tcPr>
            <w:tcW w:w="393" w:type="pct"/>
            <w:tcBorders>
              <w:top w:val="single" w:sz="4" w:space="0" w:color="auto"/>
              <w:left w:val="single" w:sz="4" w:space="0" w:color="auto"/>
              <w:bottom w:val="single" w:sz="4" w:space="0" w:color="auto"/>
              <w:right w:val="single" w:sz="4" w:space="0" w:color="auto"/>
            </w:tcBorders>
            <w:vAlign w:val="center"/>
          </w:tcPr>
          <w:p w14:paraId="3E4D8F1C" w14:textId="662BF74A"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14</w:t>
            </w:r>
          </w:p>
        </w:tc>
        <w:tc>
          <w:tcPr>
            <w:tcW w:w="706" w:type="pct"/>
            <w:tcBorders>
              <w:top w:val="single" w:sz="4" w:space="0" w:color="auto"/>
              <w:left w:val="single" w:sz="4" w:space="0" w:color="auto"/>
              <w:bottom w:val="single" w:sz="4" w:space="0" w:color="auto"/>
              <w:right w:val="single" w:sz="4" w:space="0" w:color="auto"/>
            </w:tcBorders>
            <w:vAlign w:val="center"/>
          </w:tcPr>
          <w:p w14:paraId="55B2E7F2" w14:textId="49B94BEC" w:rsidR="00FF4850" w:rsidRPr="00FF1F6D" w:rsidRDefault="00FF4850" w:rsidP="006A4FCD">
            <w:pPr>
              <w:keepNext/>
              <w:jc w:val="center"/>
              <w:rPr>
                <w:rFonts w:ascii="Arial Narrow" w:eastAsiaTheme="majorEastAsia" w:hAnsi="Arial Narrow" w:cstheme="majorBidi"/>
                <w:b/>
                <w:bCs/>
                <w:iCs/>
                <w:sz w:val="19"/>
                <w:szCs w:val="19"/>
              </w:rPr>
            </w:pPr>
            <w:r w:rsidRPr="00FF1F6D">
              <w:rPr>
                <w:rFonts w:ascii="Arial Narrow" w:eastAsiaTheme="majorEastAsia" w:hAnsi="Arial Narrow" w:cstheme="majorBidi"/>
                <w:b/>
                <w:bCs/>
                <w:iCs/>
                <w:sz w:val="19"/>
                <w:szCs w:val="19"/>
              </w:rPr>
              <w:t>1.46 (1.05, 2.01)</w:t>
            </w:r>
          </w:p>
        </w:tc>
        <w:tc>
          <w:tcPr>
            <w:tcW w:w="786" w:type="pct"/>
            <w:tcBorders>
              <w:top w:val="single" w:sz="4" w:space="0" w:color="auto"/>
              <w:left w:val="single" w:sz="4" w:space="0" w:color="auto"/>
              <w:bottom w:val="single" w:sz="4" w:space="0" w:color="auto"/>
              <w:right w:val="single" w:sz="4" w:space="0" w:color="auto"/>
            </w:tcBorders>
            <w:vAlign w:val="center"/>
          </w:tcPr>
          <w:p w14:paraId="78A7D9FD" w14:textId="4A403DF4"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eastAsiaTheme="majorEastAsia" w:hAnsi="Arial Narrow" w:cstheme="majorBidi"/>
                <w:bCs/>
                <w:iCs/>
                <w:sz w:val="19"/>
                <w:szCs w:val="19"/>
              </w:rPr>
              <w:t>1.10 (0.77, 1.56)</w:t>
            </w:r>
          </w:p>
        </w:tc>
        <w:tc>
          <w:tcPr>
            <w:tcW w:w="786" w:type="pct"/>
            <w:tcBorders>
              <w:top w:val="single" w:sz="4" w:space="0" w:color="auto"/>
              <w:left w:val="single" w:sz="4" w:space="0" w:color="auto"/>
              <w:bottom w:val="single" w:sz="4" w:space="0" w:color="auto"/>
              <w:right w:val="single" w:sz="4" w:space="0" w:color="auto"/>
            </w:tcBorders>
            <w:vAlign w:val="center"/>
          </w:tcPr>
          <w:p w14:paraId="4B79174A" w14:textId="4FF0B13A"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b/>
                <w:iCs/>
                <w:sz w:val="19"/>
                <w:szCs w:val="19"/>
              </w:rPr>
              <w:t>0.07 (0.01, 0.12)</w:t>
            </w:r>
          </w:p>
        </w:tc>
        <w:tc>
          <w:tcPr>
            <w:tcW w:w="758" w:type="pct"/>
            <w:tcBorders>
              <w:top w:val="single" w:sz="4" w:space="0" w:color="auto"/>
              <w:left w:val="single" w:sz="4" w:space="0" w:color="auto"/>
              <w:bottom w:val="single" w:sz="4" w:space="0" w:color="auto"/>
              <w:right w:val="single" w:sz="4" w:space="0" w:color="auto"/>
            </w:tcBorders>
            <w:vAlign w:val="center"/>
          </w:tcPr>
          <w:p w14:paraId="6CFC5804" w14:textId="5FCBF0C9"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iCs/>
                <w:sz w:val="19"/>
                <w:szCs w:val="19"/>
              </w:rPr>
              <w:t>0.01 (-0.04, 0.07)</w:t>
            </w:r>
          </w:p>
        </w:tc>
      </w:tr>
      <w:tr w:rsidR="00FF4850" w:rsidRPr="00B819D1" w14:paraId="2F72094F" w14:textId="77777777" w:rsidTr="00FF4850">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332B5580" w14:textId="6C142DE0" w:rsidR="00FF4850" w:rsidRDefault="00FF4850" w:rsidP="006A4FCD">
            <w:pPr>
              <w:keepNext/>
              <w:jc w:val="left"/>
              <w:rPr>
                <w:rFonts w:ascii="Arial Narrow" w:hAnsi="Arial Narrow"/>
                <w:sz w:val="20"/>
                <w:szCs w:val="20"/>
              </w:rPr>
            </w:pPr>
            <w:r>
              <w:rPr>
                <w:rFonts w:ascii="Arial Narrow" w:hAnsi="Arial Narrow"/>
                <w:sz w:val="20"/>
                <w:szCs w:val="20"/>
              </w:rPr>
              <w:t>Asthenia</w:t>
            </w:r>
          </w:p>
        </w:tc>
        <w:tc>
          <w:tcPr>
            <w:tcW w:w="393" w:type="pct"/>
            <w:tcBorders>
              <w:top w:val="single" w:sz="4" w:space="0" w:color="auto"/>
              <w:left w:val="single" w:sz="4" w:space="0" w:color="auto"/>
              <w:bottom w:val="single" w:sz="4" w:space="0" w:color="auto"/>
              <w:right w:val="single" w:sz="4" w:space="0" w:color="auto"/>
            </w:tcBorders>
            <w:vAlign w:val="center"/>
          </w:tcPr>
          <w:p w14:paraId="207BDCE7" w14:textId="3414F605" w:rsidR="00FF4850"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11</w:t>
            </w:r>
          </w:p>
        </w:tc>
        <w:tc>
          <w:tcPr>
            <w:tcW w:w="393" w:type="pct"/>
            <w:tcBorders>
              <w:top w:val="single" w:sz="4" w:space="0" w:color="auto"/>
              <w:left w:val="single" w:sz="4" w:space="0" w:color="auto"/>
              <w:bottom w:val="single" w:sz="4" w:space="0" w:color="auto"/>
              <w:right w:val="single" w:sz="4" w:space="0" w:color="auto"/>
            </w:tcBorders>
            <w:vAlign w:val="center"/>
          </w:tcPr>
          <w:p w14:paraId="4AD655BF" w14:textId="5AA0A80F" w:rsidR="00FF4850"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11</w:t>
            </w:r>
          </w:p>
        </w:tc>
        <w:tc>
          <w:tcPr>
            <w:tcW w:w="393" w:type="pct"/>
            <w:tcBorders>
              <w:top w:val="single" w:sz="4" w:space="0" w:color="auto"/>
              <w:left w:val="single" w:sz="4" w:space="0" w:color="auto"/>
              <w:bottom w:val="single" w:sz="4" w:space="0" w:color="auto"/>
              <w:right w:val="single" w:sz="4" w:space="0" w:color="auto"/>
            </w:tcBorders>
            <w:vAlign w:val="center"/>
          </w:tcPr>
          <w:p w14:paraId="1BA45356" w14:textId="605C1DEA" w:rsidR="00FF4850"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6</w:t>
            </w:r>
          </w:p>
        </w:tc>
        <w:tc>
          <w:tcPr>
            <w:tcW w:w="706" w:type="pct"/>
            <w:tcBorders>
              <w:top w:val="single" w:sz="4" w:space="0" w:color="auto"/>
              <w:left w:val="single" w:sz="4" w:space="0" w:color="auto"/>
              <w:bottom w:val="single" w:sz="4" w:space="0" w:color="auto"/>
              <w:right w:val="single" w:sz="4" w:space="0" w:color="auto"/>
            </w:tcBorders>
            <w:vAlign w:val="center"/>
          </w:tcPr>
          <w:p w14:paraId="0A1DC0A5" w14:textId="7A6777F6" w:rsidR="00FF4850" w:rsidRPr="00FF1F6D" w:rsidRDefault="00311FEB" w:rsidP="006A4FCD">
            <w:pPr>
              <w:keepNext/>
              <w:jc w:val="center"/>
              <w:rPr>
                <w:rFonts w:ascii="Arial Narrow" w:eastAsiaTheme="majorEastAsia" w:hAnsi="Arial Narrow" w:cstheme="majorBidi"/>
                <w:b/>
                <w:bCs/>
                <w:iCs/>
                <w:sz w:val="19"/>
                <w:szCs w:val="19"/>
              </w:rPr>
            </w:pPr>
            <w:r w:rsidRPr="00FF1F6D">
              <w:rPr>
                <w:rFonts w:ascii="Arial Narrow" w:eastAsiaTheme="majorEastAsia" w:hAnsi="Arial Narrow" w:cstheme="majorBidi"/>
                <w:b/>
                <w:bCs/>
                <w:iCs/>
                <w:sz w:val="19"/>
                <w:szCs w:val="19"/>
              </w:rPr>
              <w:t>1.86 (1.12, 3.10)</w:t>
            </w:r>
          </w:p>
        </w:tc>
        <w:tc>
          <w:tcPr>
            <w:tcW w:w="786" w:type="pct"/>
            <w:tcBorders>
              <w:top w:val="single" w:sz="4" w:space="0" w:color="auto"/>
              <w:left w:val="single" w:sz="4" w:space="0" w:color="auto"/>
              <w:bottom w:val="single" w:sz="4" w:space="0" w:color="auto"/>
              <w:right w:val="single" w:sz="4" w:space="0" w:color="auto"/>
            </w:tcBorders>
            <w:vAlign w:val="center"/>
          </w:tcPr>
          <w:p w14:paraId="32742879" w14:textId="16928140" w:rsidR="00FF4850" w:rsidRPr="00FF1F6D" w:rsidRDefault="00311FEB" w:rsidP="006A4FCD">
            <w:pPr>
              <w:keepNext/>
              <w:jc w:val="center"/>
              <w:rPr>
                <w:rFonts w:ascii="Arial Narrow" w:eastAsiaTheme="majorEastAsia" w:hAnsi="Arial Narrow" w:cstheme="majorBidi"/>
                <w:b/>
                <w:bCs/>
                <w:iCs/>
                <w:sz w:val="19"/>
                <w:szCs w:val="19"/>
              </w:rPr>
            </w:pPr>
            <w:r w:rsidRPr="00FF1F6D">
              <w:rPr>
                <w:rFonts w:ascii="Arial Narrow" w:eastAsiaTheme="majorEastAsia" w:hAnsi="Arial Narrow" w:cstheme="majorBidi"/>
                <w:b/>
                <w:bCs/>
                <w:iCs/>
                <w:sz w:val="19"/>
                <w:szCs w:val="19"/>
              </w:rPr>
              <w:t>1.86 (1.12, 3.09)</w:t>
            </w:r>
          </w:p>
        </w:tc>
        <w:tc>
          <w:tcPr>
            <w:tcW w:w="786" w:type="pct"/>
            <w:tcBorders>
              <w:top w:val="single" w:sz="4" w:space="0" w:color="auto"/>
              <w:left w:val="single" w:sz="4" w:space="0" w:color="auto"/>
              <w:bottom w:val="single" w:sz="4" w:space="0" w:color="auto"/>
              <w:right w:val="single" w:sz="4" w:space="0" w:color="auto"/>
            </w:tcBorders>
            <w:vAlign w:val="center"/>
          </w:tcPr>
          <w:p w14:paraId="2D417C14" w14:textId="14A94749"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b/>
                <w:iCs/>
                <w:sz w:val="19"/>
                <w:szCs w:val="19"/>
              </w:rPr>
              <w:t>0.05 (0.01, 0.09)</w:t>
            </w:r>
          </w:p>
        </w:tc>
        <w:tc>
          <w:tcPr>
            <w:tcW w:w="758" w:type="pct"/>
            <w:tcBorders>
              <w:top w:val="single" w:sz="4" w:space="0" w:color="auto"/>
              <w:left w:val="single" w:sz="4" w:space="0" w:color="auto"/>
              <w:bottom w:val="single" w:sz="4" w:space="0" w:color="auto"/>
              <w:right w:val="single" w:sz="4" w:space="0" w:color="auto"/>
            </w:tcBorders>
            <w:vAlign w:val="center"/>
          </w:tcPr>
          <w:p w14:paraId="4441E81A" w14:textId="3D207271"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b/>
                <w:iCs/>
                <w:sz w:val="19"/>
                <w:szCs w:val="19"/>
              </w:rPr>
              <w:t>0.05 (0.01, 0.09)</w:t>
            </w:r>
          </w:p>
        </w:tc>
      </w:tr>
      <w:tr w:rsidR="00FF4850" w:rsidRPr="00B819D1" w14:paraId="4B7ABDD1" w14:textId="27C97B2E" w:rsidTr="00FF4850">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34399CDD" w14:textId="73FF8760" w:rsidR="00FF4850" w:rsidRDefault="00FF4850" w:rsidP="006A4FCD">
            <w:pPr>
              <w:keepNext/>
              <w:jc w:val="left"/>
              <w:rPr>
                <w:rFonts w:ascii="Arial Narrow" w:hAnsi="Arial Narrow"/>
                <w:sz w:val="20"/>
                <w:szCs w:val="20"/>
              </w:rPr>
            </w:pPr>
            <w:r w:rsidRPr="00F37AAE">
              <w:rPr>
                <w:rFonts w:ascii="Arial Narrow" w:hAnsi="Arial Narrow"/>
                <w:sz w:val="20"/>
                <w:szCs w:val="20"/>
              </w:rPr>
              <w:t>Gynecomastia</w:t>
            </w:r>
          </w:p>
        </w:tc>
        <w:tc>
          <w:tcPr>
            <w:tcW w:w="393" w:type="pct"/>
            <w:tcBorders>
              <w:top w:val="single" w:sz="4" w:space="0" w:color="auto"/>
              <w:left w:val="single" w:sz="4" w:space="0" w:color="auto"/>
              <w:bottom w:val="single" w:sz="4" w:space="0" w:color="auto"/>
              <w:right w:val="single" w:sz="4" w:space="0" w:color="auto"/>
            </w:tcBorders>
            <w:vAlign w:val="center"/>
          </w:tcPr>
          <w:p w14:paraId="21438C26" w14:textId="3FBAC32D"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8</w:t>
            </w:r>
          </w:p>
        </w:tc>
        <w:tc>
          <w:tcPr>
            <w:tcW w:w="393" w:type="pct"/>
            <w:tcBorders>
              <w:top w:val="single" w:sz="4" w:space="0" w:color="auto"/>
              <w:left w:val="single" w:sz="4" w:space="0" w:color="auto"/>
              <w:bottom w:val="single" w:sz="4" w:space="0" w:color="auto"/>
              <w:right w:val="single" w:sz="4" w:space="0" w:color="auto"/>
            </w:tcBorders>
            <w:vAlign w:val="center"/>
          </w:tcPr>
          <w:p w14:paraId="37645AAF" w14:textId="404B6DE8"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45</w:t>
            </w:r>
          </w:p>
        </w:tc>
        <w:tc>
          <w:tcPr>
            <w:tcW w:w="393" w:type="pct"/>
            <w:tcBorders>
              <w:top w:val="single" w:sz="4" w:space="0" w:color="auto"/>
              <w:left w:val="single" w:sz="4" w:space="0" w:color="auto"/>
              <w:bottom w:val="single" w:sz="4" w:space="0" w:color="auto"/>
              <w:right w:val="single" w:sz="4" w:space="0" w:color="auto"/>
            </w:tcBorders>
            <w:vAlign w:val="center"/>
          </w:tcPr>
          <w:p w14:paraId="1FF7ACFD" w14:textId="28C42DD5"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9</w:t>
            </w:r>
          </w:p>
        </w:tc>
        <w:tc>
          <w:tcPr>
            <w:tcW w:w="706" w:type="pct"/>
            <w:tcBorders>
              <w:top w:val="single" w:sz="4" w:space="0" w:color="auto"/>
              <w:left w:val="single" w:sz="4" w:space="0" w:color="auto"/>
              <w:bottom w:val="single" w:sz="4" w:space="0" w:color="auto"/>
              <w:right w:val="single" w:sz="4" w:space="0" w:color="auto"/>
            </w:tcBorders>
            <w:vAlign w:val="center"/>
          </w:tcPr>
          <w:p w14:paraId="4A88F6BE" w14:textId="2DB85398" w:rsidR="00FF4850" w:rsidRPr="00FF1F6D" w:rsidRDefault="00311FEB" w:rsidP="006A4FCD">
            <w:pPr>
              <w:keepNext/>
              <w:jc w:val="center"/>
              <w:rPr>
                <w:rFonts w:ascii="Arial Narrow" w:eastAsiaTheme="majorEastAsia" w:hAnsi="Arial Narrow" w:cstheme="majorBidi"/>
                <w:bCs/>
                <w:iCs/>
                <w:sz w:val="19"/>
                <w:szCs w:val="19"/>
              </w:rPr>
            </w:pPr>
            <w:r w:rsidRPr="00FF1F6D">
              <w:rPr>
                <w:rFonts w:ascii="Arial Narrow" w:eastAsiaTheme="majorEastAsia" w:hAnsi="Arial Narrow" w:cstheme="majorBidi"/>
                <w:bCs/>
                <w:iCs/>
                <w:sz w:val="19"/>
                <w:szCs w:val="19"/>
              </w:rPr>
              <w:t>0.91 (0.56, 1.47)</w:t>
            </w:r>
          </w:p>
        </w:tc>
        <w:tc>
          <w:tcPr>
            <w:tcW w:w="786" w:type="pct"/>
            <w:tcBorders>
              <w:top w:val="single" w:sz="4" w:space="0" w:color="auto"/>
              <w:left w:val="single" w:sz="4" w:space="0" w:color="auto"/>
              <w:bottom w:val="single" w:sz="4" w:space="0" w:color="auto"/>
              <w:right w:val="single" w:sz="4" w:space="0" w:color="auto"/>
            </w:tcBorders>
            <w:vAlign w:val="center"/>
          </w:tcPr>
          <w:p w14:paraId="171FC652" w14:textId="7DBCF8D0" w:rsidR="00FF4850" w:rsidRPr="00FF1F6D" w:rsidRDefault="00311FEB" w:rsidP="006A4FCD">
            <w:pPr>
              <w:keepNext/>
              <w:jc w:val="center"/>
              <w:rPr>
                <w:rFonts w:ascii="Arial Narrow" w:eastAsiaTheme="majorEastAsia" w:hAnsi="Arial Narrow" w:cstheme="majorBidi"/>
                <w:b/>
                <w:bCs/>
                <w:iCs/>
                <w:sz w:val="19"/>
                <w:szCs w:val="19"/>
              </w:rPr>
            </w:pPr>
            <w:r w:rsidRPr="00FF1F6D">
              <w:rPr>
                <w:rFonts w:ascii="Arial Narrow" w:eastAsiaTheme="majorEastAsia" w:hAnsi="Arial Narrow" w:cstheme="majorBidi"/>
                <w:b/>
                <w:bCs/>
                <w:iCs/>
                <w:sz w:val="19"/>
                <w:szCs w:val="19"/>
              </w:rPr>
              <w:t>4.97 (3.50, 7.05)</w:t>
            </w:r>
          </w:p>
        </w:tc>
        <w:tc>
          <w:tcPr>
            <w:tcW w:w="786" w:type="pct"/>
            <w:tcBorders>
              <w:top w:val="single" w:sz="4" w:space="0" w:color="auto"/>
              <w:left w:val="single" w:sz="4" w:space="0" w:color="auto"/>
              <w:bottom w:val="single" w:sz="4" w:space="0" w:color="auto"/>
              <w:right w:val="single" w:sz="4" w:space="0" w:color="auto"/>
            </w:tcBorders>
            <w:vAlign w:val="center"/>
          </w:tcPr>
          <w:p w14:paraId="036EC4A6" w14:textId="73D8F6D1"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iCs/>
                <w:sz w:val="19"/>
                <w:szCs w:val="19"/>
              </w:rPr>
              <w:t>-0.01 (-0.05, 0.03)</w:t>
            </w:r>
          </w:p>
        </w:tc>
        <w:tc>
          <w:tcPr>
            <w:tcW w:w="758" w:type="pct"/>
            <w:tcBorders>
              <w:top w:val="single" w:sz="4" w:space="0" w:color="auto"/>
              <w:left w:val="single" w:sz="4" w:space="0" w:color="auto"/>
              <w:bottom w:val="single" w:sz="4" w:space="0" w:color="auto"/>
              <w:right w:val="single" w:sz="4" w:space="0" w:color="auto"/>
            </w:tcBorders>
            <w:vAlign w:val="center"/>
          </w:tcPr>
          <w:p w14:paraId="77875293" w14:textId="658196CD"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b/>
                <w:iCs/>
                <w:sz w:val="19"/>
                <w:szCs w:val="19"/>
              </w:rPr>
              <w:t>0.36 (0.30, 0.42)</w:t>
            </w:r>
          </w:p>
        </w:tc>
      </w:tr>
      <w:tr w:rsidR="00FF4850" w:rsidRPr="00B819D1" w14:paraId="00469941" w14:textId="1D77BA74" w:rsidTr="00FF4850">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0A422E8C" w14:textId="1460423A" w:rsidR="00FF4850" w:rsidRDefault="00FF4850" w:rsidP="006A4FCD">
            <w:pPr>
              <w:keepNext/>
              <w:jc w:val="left"/>
              <w:rPr>
                <w:rFonts w:ascii="Arial Narrow" w:hAnsi="Arial Narrow"/>
                <w:sz w:val="20"/>
                <w:szCs w:val="20"/>
              </w:rPr>
            </w:pPr>
            <w:r w:rsidRPr="00F37AAE">
              <w:rPr>
                <w:rFonts w:ascii="Arial Narrow" w:hAnsi="Arial Narrow"/>
                <w:sz w:val="20"/>
                <w:szCs w:val="20"/>
              </w:rPr>
              <w:t>Weight decreased</w:t>
            </w:r>
          </w:p>
        </w:tc>
        <w:tc>
          <w:tcPr>
            <w:tcW w:w="393" w:type="pct"/>
            <w:tcBorders>
              <w:top w:val="single" w:sz="4" w:space="0" w:color="auto"/>
              <w:left w:val="single" w:sz="4" w:space="0" w:color="auto"/>
              <w:bottom w:val="single" w:sz="4" w:space="0" w:color="auto"/>
              <w:right w:val="single" w:sz="4" w:space="0" w:color="auto"/>
            </w:tcBorders>
            <w:vAlign w:val="center"/>
          </w:tcPr>
          <w:p w14:paraId="28007618" w14:textId="091F01F9"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7</w:t>
            </w:r>
          </w:p>
        </w:tc>
        <w:tc>
          <w:tcPr>
            <w:tcW w:w="393" w:type="pct"/>
            <w:tcBorders>
              <w:top w:val="single" w:sz="4" w:space="0" w:color="auto"/>
              <w:left w:val="single" w:sz="4" w:space="0" w:color="auto"/>
              <w:bottom w:val="single" w:sz="4" w:space="0" w:color="auto"/>
              <w:right w:val="single" w:sz="4" w:space="0" w:color="auto"/>
            </w:tcBorders>
            <w:vAlign w:val="center"/>
          </w:tcPr>
          <w:p w14:paraId="34BF4A44" w14:textId="36A8AE10"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11</w:t>
            </w:r>
          </w:p>
        </w:tc>
        <w:tc>
          <w:tcPr>
            <w:tcW w:w="393" w:type="pct"/>
            <w:tcBorders>
              <w:top w:val="single" w:sz="4" w:space="0" w:color="auto"/>
              <w:left w:val="single" w:sz="4" w:space="0" w:color="auto"/>
              <w:bottom w:val="single" w:sz="4" w:space="0" w:color="auto"/>
              <w:right w:val="single" w:sz="4" w:space="0" w:color="auto"/>
            </w:tcBorders>
            <w:vAlign w:val="center"/>
          </w:tcPr>
          <w:p w14:paraId="2990DA7C" w14:textId="002A7641" w:rsidR="00FF4850" w:rsidRPr="003401FD" w:rsidRDefault="00FF4850" w:rsidP="006A4FCD">
            <w:pPr>
              <w:keepNext/>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3</w:t>
            </w:r>
          </w:p>
        </w:tc>
        <w:tc>
          <w:tcPr>
            <w:tcW w:w="706" w:type="pct"/>
            <w:tcBorders>
              <w:top w:val="single" w:sz="4" w:space="0" w:color="auto"/>
              <w:left w:val="single" w:sz="4" w:space="0" w:color="auto"/>
              <w:bottom w:val="single" w:sz="4" w:space="0" w:color="auto"/>
              <w:right w:val="single" w:sz="4" w:space="0" w:color="auto"/>
            </w:tcBorders>
            <w:vAlign w:val="center"/>
          </w:tcPr>
          <w:p w14:paraId="59AC355C" w14:textId="2D08D363" w:rsidR="00FF4850" w:rsidRPr="00FF1F6D" w:rsidRDefault="00311FEB" w:rsidP="006A4FCD">
            <w:pPr>
              <w:keepNext/>
              <w:jc w:val="center"/>
              <w:rPr>
                <w:rFonts w:ascii="Arial Narrow" w:eastAsiaTheme="majorEastAsia" w:hAnsi="Arial Narrow" w:cstheme="majorBidi"/>
                <w:b/>
                <w:bCs/>
                <w:iCs/>
                <w:sz w:val="19"/>
                <w:szCs w:val="19"/>
              </w:rPr>
            </w:pPr>
            <w:r w:rsidRPr="00FF1F6D">
              <w:rPr>
                <w:rFonts w:ascii="Arial Narrow" w:eastAsiaTheme="majorEastAsia" w:hAnsi="Arial Narrow" w:cstheme="majorBidi"/>
                <w:b/>
                <w:bCs/>
                <w:iCs/>
                <w:sz w:val="19"/>
                <w:szCs w:val="19"/>
              </w:rPr>
              <w:t>2.01 (1.02, 3.95)</w:t>
            </w:r>
          </w:p>
        </w:tc>
        <w:tc>
          <w:tcPr>
            <w:tcW w:w="786" w:type="pct"/>
            <w:tcBorders>
              <w:top w:val="single" w:sz="4" w:space="0" w:color="auto"/>
              <w:left w:val="single" w:sz="4" w:space="0" w:color="auto"/>
              <w:bottom w:val="single" w:sz="4" w:space="0" w:color="auto"/>
              <w:right w:val="single" w:sz="4" w:space="0" w:color="auto"/>
            </w:tcBorders>
            <w:vAlign w:val="center"/>
          </w:tcPr>
          <w:p w14:paraId="0054FBD1" w14:textId="72CEE260" w:rsidR="00FF4850" w:rsidRPr="00FF1F6D" w:rsidRDefault="00311FEB" w:rsidP="006A4FCD">
            <w:pPr>
              <w:keepNext/>
              <w:jc w:val="center"/>
              <w:rPr>
                <w:rFonts w:ascii="Arial Narrow" w:eastAsiaTheme="majorEastAsia" w:hAnsi="Arial Narrow" w:cstheme="majorBidi"/>
                <w:b/>
                <w:bCs/>
                <w:iCs/>
                <w:sz w:val="19"/>
                <w:szCs w:val="19"/>
              </w:rPr>
            </w:pPr>
            <w:r w:rsidRPr="00FF1F6D">
              <w:rPr>
                <w:rFonts w:ascii="Arial Narrow" w:eastAsiaTheme="majorEastAsia" w:hAnsi="Arial Narrow" w:cstheme="majorBidi"/>
                <w:b/>
                <w:bCs/>
                <w:iCs/>
                <w:sz w:val="19"/>
                <w:szCs w:val="19"/>
              </w:rPr>
              <w:t>3.25 (1.73, 6.10)</w:t>
            </w:r>
          </w:p>
        </w:tc>
        <w:tc>
          <w:tcPr>
            <w:tcW w:w="786" w:type="pct"/>
            <w:tcBorders>
              <w:top w:val="single" w:sz="4" w:space="0" w:color="auto"/>
              <w:left w:val="single" w:sz="4" w:space="0" w:color="auto"/>
              <w:bottom w:val="single" w:sz="4" w:space="0" w:color="auto"/>
              <w:right w:val="single" w:sz="4" w:space="0" w:color="auto"/>
            </w:tcBorders>
            <w:vAlign w:val="center"/>
          </w:tcPr>
          <w:p w14:paraId="3E87F173" w14:textId="0F9A88A4"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b/>
                <w:iCs/>
                <w:sz w:val="19"/>
                <w:szCs w:val="19"/>
              </w:rPr>
              <w:t>0.03 (0.00, 0.07)</w:t>
            </w:r>
          </w:p>
        </w:tc>
        <w:tc>
          <w:tcPr>
            <w:tcW w:w="758" w:type="pct"/>
            <w:tcBorders>
              <w:top w:val="single" w:sz="4" w:space="0" w:color="auto"/>
              <w:left w:val="single" w:sz="4" w:space="0" w:color="auto"/>
              <w:bottom w:val="single" w:sz="4" w:space="0" w:color="auto"/>
              <w:right w:val="single" w:sz="4" w:space="0" w:color="auto"/>
            </w:tcBorders>
            <w:vAlign w:val="center"/>
          </w:tcPr>
          <w:p w14:paraId="1538C118" w14:textId="3678A996"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b/>
                <w:iCs/>
                <w:sz w:val="19"/>
                <w:szCs w:val="19"/>
              </w:rPr>
              <w:t>0.08 (0.04, 0.11)</w:t>
            </w:r>
          </w:p>
        </w:tc>
      </w:tr>
      <w:tr w:rsidR="00FF4850" w:rsidRPr="00B819D1" w14:paraId="5A5AEA2E" w14:textId="3D547E1A" w:rsidTr="00FF4850">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4746AAB9" w14:textId="619AAD68" w:rsidR="00FF4850" w:rsidRPr="00B819D1" w:rsidRDefault="00FF4850" w:rsidP="006A4FCD">
            <w:pPr>
              <w:keepNext/>
              <w:jc w:val="left"/>
              <w:rPr>
                <w:rFonts w:ascii="Arial Narrow" w:eastAsiaTheme="majorEastAsia" w:hAnsi="Arial Narrow" w:cstheme="majorBidi"/>
                <w:bCs/>
                <w:sz w:val="20"/>
              </w:rPr>
            </w:pPr>
            <w:r>
              <w:rPr>
                <w:rFonts w:ascii="Arial Narrow" w:hAnsi="Arial Narrow"/>
                <w:sz w:val="20"/>
                <w:szCs w:val="20"/>
              </w:rPr>
              <w:t>Nipple pain</w:t>
            </w:r>
          </w:p>
        </w:tc>
        <w:tc>
          <w:tcPr>
            <w:tcW w:w="393" w:type="pct"/>
            <w:tcBorders>
              <w:top w:val="single" w:sz="4" w:space="0" w:color="auto"/>
              <w:left w:val="single" w:sz="4" w:space="0" w:color="auto"/>
              <w:bottom w:val="single" w:sz="4" w:space="0" w:color="auto"/>
              <w:right w:val="single" w:sz="4" w:space="0" w:color="auto"/>
            </w:tcBorders>
            <w:vAlign w:val="center"/>
          </w:tcPr>
          <w:p w14:paraId="7D105F3C" w14:textId="7807584D" w:rsidR="00FF4850" w:rsidRPr="00B819D1" w:rsidRDefault="00FF4850" w:rsidP="006A4FCD">
            <w:pPr>
              <w:keepNext/>
              <w:jc w:val="center"/>
              <w:rPr>
                <w:rFonts w:ascii="Arial Narrow" w:eastAsiaTheme="majorEastAsia" w:hAnsi="Arial Narrow" w:cstheme="majorBidi"/>
                <w:bCs/>
                <w:sz w:val="20"/>
              </w:rPr>
            </w:pPr>
            <w:r>
              <w:rPr>
                <w:rFonts w:ascii="Arial Narrow" w:eastAsiaTheme="majorEastAsia" w:hAnsi="Arial Narrow" w:cstheme="majorBidi"/>
                <w:bCs/>
                <w:sz w:val="20"/>
              </w:rPr>
              <w:t>3</w:t>
            </w:r>
          </w:p>
        </w:tc>
        <w:tc>
          <w:tcPr>
            <w:tcW w:w="393" w:type="pct"/>
            <w:tcBorders>
              <w:top w:val="single" w:sz="4" w:space="0" w:color="auto"/>
              <w:left w:val="single" w:sz="4" w:space="0" w:color="auto"/>
              <w:bottom w:val="single" w:sz="4" w:space="0" w:color="auto"/>
              <w:right w:val="single" w:sz="4" w:space="0" w:color="auto"/>
            </w:tcBorders>
            <w:vAlign w:val="center"/>
          </w:tcPr>
          <w:p w14:paraId="78226D71" w14:textId="69F38FF1" w:rsidR="00FF4850" w:rsidRPr="00B819D1" w:rsidRDefault="00FF4850" w:rsidP="006A4FCD">
            <w:pPr>
              <w:keepNext/>
              <w:jc w:val="center"/>
              <w:rPr>
                <w:rFonts w:ascii="Arial Narrow" w:eastAsiaTheme="majorEastAsia" w:hAnsi="Arial Narrow" w:cstheme="majorBidi"/>
                <w:bCs/>
                <w:sz w:val="20"/>
              </w:rPr>
            </w:pPr>
            <w:r>
              <w:rPr>
                <w:rFonts w:ascii="Arial Narrow" w:eastAsiaTheme="majorEastAsia" w:hAnsi="Arial Narrow" w:cstheme="majorBidi"/>
                <w:bCs/>
                <w:sz w:val="20"/>
              </w:rPr>
              <w:t>15</w:t>
            </w:r>
          </w:p>
        </w:tc>
        <w:tc>
          <w:tcPr>
            <w:tcW w:w="393" w:type="pct"/>
            <w:tcBorders>
              <w:top w:val="single" w:sz="4" w:space="0" w:color="auto"/>
              <w:left w:val="single" w:sz="4" w:space="0" w:color="auto"/>
              <w:bottom w:val="single" w:sz="4" w:space="0" w:color="auto"/>
              <w:right w:val="single" w:sz="4" w:space="0" w:color="auto"/>
            </w:tcBorders>
            <w:vAlign w:val="center"/>
          </w:tcPr>
          <w:p w14:paraId="5BCD7093" w14:textId="3FE60F08" w:rsidR="00FF4850" w:rsidRPr="00B819D1" w:rsidRDefault="00FF4850" w:rsidP="006A4FCD">
            <w:pPr>
              <w:keepNext/>
              <w:jc w:val="center"/>
              <w:rPr>
                <w:rFonts w:ascii="Arial Narrow" w:eastAsiaTheme="majorEastAsia" w:hAnsi="Arial Narrow" w:cstheme="majorBidi"/>
                <w:bCs/>
                <w:sz w:val="20"/>
              </w:rPr>
            </w:pPr>
            <w:r>
              <w:rPr>
                <w:rFonts w:ascii="Arial Narrow" w:eastAsiaTheme="majorEastAsia" w:hAnsi="Arial Narrow" w:cstheme="majorBidi"/>
                <w:bCs/>
                <w:sz w:val="20"/>
              </w:rPr>
              <w:t>1</w:t>
            </w:r>
          </w:p>
        </w:tc>
        <w:tc>
          <w:tcPr>
            <w:tcW w:w="706" w:type="pct"/>
            <w:tcBorders>
              <w:top w:val="single" w:sz="4" w:space="0" w:color="auto"/>
              <w:left w:val="single" w:sz="4" w:space="0" w:color="auto"/>
              <w:bottom w:val="single" w:sz="4" w:space="0" w:color="auto"/>
              <w:right w:val="single" w:sz="4" w:space="0" w:color="auto"/>
            </w:tcBorders>
            <w:vAlign w:val="center"/>
          </w:tcPr>
          <w:p w14:paraId="7663AF54" w14:textId="15C2E520" w:rsidR="00FF4850" w:rsidRPr="00FF1F6D" w:rsidRDefault="00311FEB" w:rsidP="006A4FCD">
            <w:pPr>
              <w:keepNext/>
              <w:jc w:val="center"/>
              <w:rPr>
                <w:rFonts w:ascii="Arial Narrow" w:eastAsiaTheme="majorEastAsia" w:hAnsi="Arial Narrow" w:cstheme="majorBidi"/>
                <w:bCs/>
                <w:iCs/>
                <w:sz w:val="19"/>
                <w:szCs w:val="19"/>
              </w:rPr>
            </w:pPr>
            <w:r w:rsidRPr="00FF1F6D">
              <w:rPr>
                <w:rFonts w:ascii="Arial Narrow" w:eastAsiaTheme="majorEastAsia" w:hAnsi="Arial Narrow" w:cstheme="majorBidi"/>
                <w:bCs/>
                <w:iCs/>
                <w:sz w:val="19"/>
                <w:szCs w:val="19"/>
              </w:rPr>
              <w:t>2.76 (0.89, 8.58)</w:t>
            </w:r>
          </w:p>
        </w:tc>
        <w:tc>
          <w:tcPr>
            <w:tcW w:w="786" w:type="pct"/>
            <w:tcBorders>
              <w:top w:val="single" w:sz="4" w:space="0" w:color="auto"/>
              <w:left w:val="single" w:sz="4" w:space="0" w:color="auto"/>
              <w:bottom w:val="single" w:sz="4" w:space="0" w:color="auto"/>
              <w:right w:val="single" w:sz="4" w:space="0" w:color="auto"/>
            </w:tcBorders>
            <w:vAlign w:val="center"/>
          </w:tcPr>
          <w:p w14:paraId="49FF6CA6" w14:textId="7DCD9717" w:rsidR="00FF4850" w:rsidRPr="00FF1F6D" w:rsidRDefault="00311FEB" w:rsidP="006A4FCD">
            <w:pPr>
              <w:keepNext/>
              <w:jc w:val="center"/>
              <w:rPr>
                <w:rFonts w:ascii="Arial Narrow" w:eastAsiaTheme="majorEastAsia" w:hAnsi="Arial Narrow" w:cstheme="majorBidi"/>
                <w:b/>
                <w:bCs/>
                <w:iCs/>
                <w:sz w:val="19"/>
                <w:szCs w:val="19"/>
              </w:rPr>
            </w:pPr>
            <w:r w:rsidRPr="00FF1F6D">
              <w:rPr>
                <w:rFonts w:ascii="Arial Narrow" w:eastAsiaTheme="majorEastAsia" w:hAnsi="Arial Narrow" w:cstheme="majorBidi"/>
                <w:b/>
                <w:bCs/>
                <w:iCs/>
                <w:sz w:val="19"/>
                <w:szCs w:val="19"/>
              </w:rPr>
              <w:t>13.50 (4.94, 36.88)</w:t>
            </w:r>
          </w:p>
        </w:tc>
        <w:tc>
          <w:tcPr>
            <w:tcW w:w="786" w:type="pct"/>
            <w:tcBorders>
              <w:top w:val="single" w:sz="4" w:space="0" w:color="auto"/>
              <w:left w:val="single" w:sz="4" w:space="0" w:color="auto"/>
              <w:bottom w:val="single" w:sz="4" w:space="0" w:color="auto"/>
              <w:right w:val="single" w:sz="4" w:space="0" w:color="auto"/>
            </w:tcBorders>
            <w:vAlign w:val="center"/>
          </w:tcPr>
          <w:p w14:paraId="694A16D5" w14:textId="22D209A1"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iCs/>
                <w:sz w:val="19"/>
                <w:szCs w:val="19"/>
              </w:rPr>
              <w:t>0.02 (-0.00, 0.04)</w:t>
            </w:r>
          </w:p>
        </w:tc>
        <w:tc>
          <w:tcPr>
            <w:tcW w:w="758" w:type="pct"/>
            <w:tcBorders>
              <w:top w:val="single" w:sz="4" w:space="0" w:color="auto"/>
              <w:left w:val="single" w:sz="4" w:space="0" w:color="auto"/>
              <w:bottom w:val="single" w:sz="4" w:space="0" w:color="auto"/>
              <w:right w:val="single" w:sz="4" w:space="0" w:color="auto"/>
            </w:tcBorders>
            <w:vAlign w:val="center"/>
          </w:tcPr>
          <w:p w14:paraId="6D7670C0" w14:textId="6EC82660"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b/>
                <w:iCs/>
                <w:sz w:val="19"/>
                <w:szCs w:val="19"/>
              </w:rPr>
              <w:t>0.14 (0.10, 0.18)</w:t>
            </w:r>
          </w:p>
        </w:tc>
      </w:tr>
      <w:tr w:rsidR="00FF4850" w:rsidRPr="00B819D1" w14:paraId="4167D46C" w14:textId="73D076A0" w:rsidTr="00FF4850">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6CD6C9C4" w14:textId="55E28049" w:rsidR="00FF4850" w:rsidRPr="00B819D1" w:rsidRDefault="00FF4850" w:rsidP="006A4FCD">
            <w:pPr>
              <w:keepNext/>
              <w:jc w:val="left"/>
              <w:rPr>
                <w:rFonts w:ascii="Arial Narrow" w:eastAsiaTheme="majorEastAsia" w:hAnsi="Arial Narrow" w:cstheme="majorBidi"/>
                <w:bCs/>
                <w:sz w:val="20"/>
              </w:rPr>
            </w:pPr>
            <w:r>
              <w:rPr>
                <w:rFonts w:ascii="Arial Narrow" w:hAnsi="Arial Narrow"/>
                <w:sz w:val="20"/>
                <w:szCs w:val="20"/>
              </w:rPr>
              <w:t>Breast tenderness</w:t>
            </w:r>
          </w:p>
        </w:tc>
        <w:tc>
          <w:tcPr>
            <w:tcW w:w="393" w:type="pct"/>
            <w:tcBorders>
              <w:top w:val="single" w:sz="4" w:space="0" w:color="auto"/>
              <w:left w:val="single" w:sz="4" w:space="0" w:color="auto"/>
              <w:bottom w:val="single" w:sz="4" w:space="0" w:color="auto"/>
              <w:right w:val="single" w:sz="4" w:space="0" w:color="auto"/>
            </w:tcBorders>
            <w:vAlign w:val="center"/>
          </w:tcPr>
          <w:p w14:paraId="070742FE" w14:textId="77DB70C2" w:rsidR="00FF4850" w:rsidRPr="00B819D1" w:rsidRDefault="00FF4850" w:rsidP="006A4FCD">
            <w:pPr>
              <w:keepNext/>
              <w:jc w:val="center"/>
              <w:rPr>
                <w:rFonts w:ascii="Arial Narrow" w:eastAsiaTheme="majorEastAsia" w:hAnsi="Arial Narrow" w:cstheme="majorBidi"/>
                <w:bCs/>
                <w:sz w:val="20"/>
              </w:rPr>
            </w:pPr>
            <w:r>
              <w:rPr>
                <w:rFonts w:ascii="Arial Narrow" w:eastAsiaTheme="majorEastAsia" w:hAnsi="Arial Narrow" w:cstheme="majorBidi"/>
                <w:bCs/>
                <w:sz w:val="20"/>
              </w:rPr>
              <w:t>1</w:t>
            </w:r>
          </w:p>
        </w:tc>
        <w:tc>
          <w:tcPr>
            <w:tcW w:w="393" w:type="pct"/>
            <w:tcBorders>
              <w:top w:val="single" w:sz="4" w:space="0" w:color="auto"/>
              <w:left w:val="single" w:sz="4" w:space="0" w:color="auto"/>
              <w:bottom w:val="single" w:sz="4" w:space="0" w:color="auto"/>
              <w:right w:val="single" w:sz="4" w:space="0" w:color="auto"/>
            </w:tcBorders>
            <w:vAlign w:val="center"/>
          </w:tcPr>
          <w:p w14:paraId="3CA1B535" w14:textId="61FA22DB" w:rsidR="00FF4850" w:rsidRPr="00B819D1" w:rsidRDefault="00FF4850" w:rsidP="006A4FCD">
            <w:pPr>
              <w:keepNext/>
              <w:jc w:val="center"/>
              <w:rPr>
                <w:rFonts w:ascii="Arial Narrow" w:eastAsiaTheme="majorEastAsia" w:hAnsi="Arial Narrow" w:cstheme="majorBidi"/>
                <w:bCs/>
                <w:sz w:val="20"/>
              </w:rPr>
            </w:pPr>
            <w:r>
              <w:rPr>
                <w:rFonts w:ascii="Arial Narrow" w:eastAsiaTheme="majorEastAsia" w:hAnsi="Arial Narrow" w:cstheme="majorBidi"/>
                <w:bCs/>
                <w:sz w:val="20"/>
              </w:rPr>
              <w:t>14</w:t>
            </w:r>
          </w:p>
        </w:tc>
        <w:tc>
          <w:tcPr>
            <w:tcW w:w="393" w:type="pct"/>
            <w:tcBorders>
              <w:top w:val="single" w:sz="4" w:space="0" w:color="auto"/>
              <w:left w:val="single" w:sz="4" w:space="0" w:color="auto"/>
              <w:bottom w:val="single" w:sz="4" w:space="0" w:color="auto"/>
              <w:right w:val="single" w:sz="4" w:space="0" w:color="auto"/>
            </w:tcBorders>
            <w:vAlign w:val="center"/>
          </w:tcPr>
          <w:p w14:paraId="22B18F2B" w14:textId="54180985" w:rsidR="00FF4850" w:rsidRPr="00B819D1" w:rsidRDefault="00FF4850" w:rsidP="006A4FCD">
            <w:pPr>
              <w:keepNext/>
              <w:jc w:val="center"/>
              <w:rPr>
                <w:rFonts w:ascii="Arial Narrow" w:eastAsiaTheme="majorEastAsia" w:hAnsi="Arial Narrow" w:cstheme="majorBidi"/>
                <w:bCs/>
                <w:sz w:val="20"/>
              </w:rPr>
            </w:pPr>
            <w:r>
              <w:rPr>
                <w:rFonts w:ascii="Arial Narrow" w:eastAsiaTheme="majorEastAsia" w:hAnsi="Arial Narrow" w:cstheme="majorBidi"/>
                <w:bCs/>
                <w:sz w:val="20"/>
              </w:rPr>
              <w:t>1</w:t>
            </w:r>
          </w:p>
        </w:tc>
        <w:tc>
          <w:tcPr>
            <w:tcW w:w="706" w:type="pct"/>
            <w:tcBorders>
              <w:top w:val="single" w:sz="4" w:space="0" w:color="auto"/>
              <w:left w:val="single" w:sz="4" w:space="0" w:color="auto"/>
              <w:bottom w:val="single" w:sz="4" w:space="0" w:color="auto"/>
              <w:right w:val="single" w:sz="4" w:space="0" w:color="auto"/>
            </w:tcBorders>
            <w:vAlign w:val="center"/>
          </w:tcPr>
          <w:p w14:paraId="4ED8393C" w14:textId="2A501AD7" w:rsidR="00FF4850" w:rsidRPr="00FF1F6D" w:rsidRDefault="00311FEB" w:rsidP="006A4FCD">
            <w:pPr>
              <w:keepNext/>
              <w:jc w:val="center"/>
              <w:rPr>
                <w:rFonts w:ascii="Arial Narrow" w:eastAsiaTheme="majorEastAsia" w:hAnsi="Arial Narrow" w:cstheme="majorBidi"/>
                <w:bCs/>
                <w:iCs/>
                <w:sz w:val="19"/>
                <w:szCs w:val="19"/>
              </w:rPr>
            </w:pPr>
            <w:r w:rsidRPr="00FF1F6D">
              <w:rPr>
                <w:rFonts w:ascii="Arial Narrow" w:eastAsiaTheme="majorEastAsia" w:hAnsi="Arial Narrow" w:cstheme="majorBidi"/>
                <w:bCs/>
                <w:iCs/>
                <w:sz w:val="19"/>
                <w:szCs w:val="19"/>
              </w:rPr>
              <w:t>1.25 (0.34, 4.63)</w:t>
            </w:r>
          </w:p>
        </w:tc>
        <w:tc>
          <w:tcPr>
            <w:tcW w:w="786" w:type="pct"/>
            <w:tcBorders>
              <w:top w:val="single" w:sz="4" w:space="0" w:color="auto"/>
              <w:left w:val="single" w:sz="4" w:space="0" w:color="auto"/>
              <w:bottom w:val="single" w:sz="4" w:space="0" w:color="auto"/>
              <w:right w:val="single" w:sz="4" w:space="0" w:color="auto"/>
            </w:tcBorders>
            <w:vAlign w:val="center"/>
          </w:tcPr>
          <w:p w14:paraId="5203D71A" w14:textId="58330980" w:rsidR="00FF4850" w:rsidRPr="00FF1F6D" w:rsidRDefault="00311FEB" w:rsidP="006A4FCD">
            <w:pPr>
              <w:keepNext/>
              <w:jc w:val="center"/>
              <w:rPr>
                <w:rFonts w:ascii="Arial Narrow" w:eastAsiaTheme="majorEastAsia" w:hAnsi="Arial Narrow" w:cstheme="majorBidi"/>
                <w:b/>
                <w:bCs/>
                <w:iCs/>
                <w:sz w:val="19"/>
                <w:szCs w:val="19"/>
              </w:rPr>
            </w:pPr>
            <w:r w:rsidRPr="00FF1F6D">
              <w:rPr>
                <w:rFonts w:ascii="Arial Narrow" w:eastAsiaTheme="majorEastAsia" w:hAnsi="Arial Narrow" w:cstheme="majorBidi"/>
                <w:b/>
                <w:bCs/>
                <w:iCs/>
                <w:sz w:val="19"/>
                <w:szCs w:val="19"/>
              </w:rPr>
              <w:t>12.75 (4.66, 34.90)</w:t>
            </w:r>
          </w:p>
        </w:tc>
        <w:tc>
          <w:tcPr>
            <w:tcW w:w="786" w:type="pct"/>
            <w:tcBorders>
              <w:top w:val="single" w:sz="4" w:space="0" w:color="auto"/>
              <w:left w:val="single" w:sz="4" w:space="0" w:color="auto"/>
              <w:bottom w:val="single" w:sz="4" w:space="0" w:color="auto"/>
              <w:right w:val="single" w:sz="4" w:space="0" w:color="auto"/>
            </w:tcBorders>
            <w:vAlign w:val="center"/>
          </w:tcPr>
          <w:p w14:paraId="58189062" w14:textId="0F751642"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iCs/>
                <w:sz w:val="19"/>
                <w:szCs w:val="19"/>
              </w:rPr>
              <w:t>0.00 (-0.01, 0.02)</w:t>
            </w:r>
          </w:p>
        </w:tc>
        <w:tc>
          <w:tcPr>
            <w:tcW w:w="758" w:type="pct"/>
            <w:tcBorders>
              <w:top w:val="single" w:sz="4" w:space="0" w:color="auto"/>
              <w:left w:val="single" w:sz="4" w:space="0" w:color="auto"/>
              <w:bottom w:val="single" w:sz="4" w:space="0" w:color="auto"/>
              <w:right w:val="single" w:sz="4" w:space="0" w:color="auto"/>
            </w:tcBorders>
            <w:vAlign w:val="center"/>
          </w:tcPr>
          <w:p w14:paraId="1F63C227" w14:textId="19E38C50" w:rsidR="00FF4850" w:rsidRPr="00FF1F6D" w:rsidRDefault="00FF4850" w:rsidP="006A4FCD">
            <w:pPr>
              <w:keepNext/>
              <w:jc w:val="center"/>
              <w:rPr>
                <w:rFonts w:ascii="Arial Narrow" w:eastAsiaTheme="majorEastAsia" w:hAnsi="Arial Narrow" w:cstheme="majorBidi"/>
                <w:bCs/>
                <w:iCs/>
                <w:sz w:val="19"/>
                <w:szCs w:val="19"/>
              </w:rPr>
            </w:pPr>
            <w:r w:rsidRPr="00FF1F6D">
              <w:rPr>
                <w:rFonts w:ascii="Arial Narrow" w:hAnsi="Arial Narrow"/>
                <w:b/>
                <w:iCs/>
                <w:sz w:val="19"/>
                <w:szCs w:val="19"/>
              </w:rPr>
              <w:t>0.13 (0.09, 0.17)</w:t>
            </w:r>
          </w:p>
        </w:tc>
      </w:tr>
    </w:tbl>
    <w:p w14:paraId="169FD528" w14:textId="040D04D5" w:rsidR="003401FD" w:rsidRDefault="003401FD" w:rsidP="003401FD">
      <w:pPr>
        <w:pStyle w:val="FooterTableFigure"/>
        <w:spacing w:after="0"/>
      </w:pPr>
      <w:r w:rsidRPr="0098262F">
        <w:t xml:space="preserve">Source: </w:t>
      </w:r>
      <w:r w:rsidRPr="003401FD">
        <w:t>Table 2-10, p55</w:t>
      </w:r>
      <w:r>
        <w:t>,</w:t>
      </w:r>
      <w:r w:rsidRPr="003401FD">
        <w:t xml:space="preserve"> Table 2-12, p61</w:t>
      </w:r>
      <w:r>
        <w:t xml:space="preserve">, </w:t>
      </w:r>
      <w:r w:rsidRPr="003401FD">
        <w:t>Table 2-29, pp103-405</w:t>
      </w:r>
      <w:r>
        <w:t xml:space="preserve"> and</w:t>
      </w:r>
      <w:r w:rsidRPr="003401FD">
        <w:t xml:space="preserve"> Table 2-32, p110 of the submission.</w:t>
      </w:r>
    </w:p>
    <w:p w14:paraId="676EF3A2" w14:textId="736F6B2E" w:rsidR="003401FD" w:rsidRPr="0098262F" w:rsidRDefault="003401FD" w:rsidP="003401FD">
      <w:pPr>
        <w:pStyle w:val="FooterTableFigure"/>
        <w:spacing w:after="0"/>
      </w:pPr>
      <w:r w:rsidRPr="003401FD">
        <w:t xml:space="preserve">ADT=androgen deprivation therapy; AE=adverse event; ENZA=enzalutamide; </w:t>
      </w:r>
      <w:r w:rsidRPr="0098262F">
        <w:t xml:space="preserve">HR=hazard ratio; </w:t>
      </w:r>
      <w:r w:rsidR="002339B3" w:rsidRPr="002339B3">
        <w:t xml:space="preserve">MFS=metastasis-free survival; NR=not reached; OS=overall survival; </w:t>
      </w:r>
      <w:r w:rsidRPr="003401FD">
        <w:t xml:space="preserve">PBO=placebo; RD=risk difference; </w:t>
      </w:r>
      <w:r w:rsidRPr="0098262F">
        <w:t>RR=risk ratio</w:t>
      </w:r>
      <w:r>
        <w:t>;</w:t>
      </w:r>
      <w:r w:rsidRPr="003401FD">
        <w:t xml:space="preserve"> TEAE=</w:t>
      </w:r>
      <w:r w:rsidR="00C02E47">
        <w:t>t</w:t>
      </w:r>
      <w:r w:rsidRPr="003401FD">
        <w:t>reatment emergent AE</w:t>
      </w:r>
      <w:r w:rsidRPr="0098262F">
        <w:t xml:space="preserve"> </w:t>
      </w:r>
    </w:p>
    <w:p w14:paraId="366CB266" w14:textId="4321701D" w:rsidR="00B819D1" w:rsidRPr="003401FD" w:rsidRDefault="003401FD" w:rsidP="003401FD">
      <w:pPr>
        <w:tabs>
          <w:tab w:val="left" w:pos="142"/>
        </w:tabs>
        <w:rPr>
          <w:rFonts w:ascii="Arial Narrow" w:hAnsi="Arial Narrow"/>
          <w:sz w:val="18"/>
          <w:szCs w:val="18"/>
        </w:rPr>
      </w:pPr>
      <w:r w:rsidRPr="003401FD">
        <w:rPr>
          <w:rFonts w:ascii="Arial Narrow" w:hAnsi="Arial Narrow"/>
          <w:sz w:val="18"/>
          <w:szCs w:val="18"/>
        </w:rPr>
        <w:t>*</w:t>
      </w:r>
      <w:r>
        <w:rPr>
          <w:rFonts w:ascii="Arial Narrow" w:hAnsi="Arial Narrow"/>
          <w:sz w:val="18"/>
          <w:szCs w:val="18"/>
        </w:rPr>
        <w:tab/>
      </w:r>
      <w:r w:rsidRPr="003401FD">
        <w:rPr>
          <w:rFonts w:ascii="Arial Narrow" w:hAnsi="Arial Narrow"/>
          <w:sz w:val="18"/>
          <w:szCs w:val="18"/>
        </w:rPr>
        <w:t>Median duration of follow-up in EMBARK was 60.7 months.</w:t>
      </w:r>
    </w:p>
    <w:p w14:paraId="65F400D8" w14:textId="19137B36" w:rsidR="003401FD" w:rsidRDefault="003401FD" w:rsidP="003401FD">
      <w:pPr>
        <w:tabs>
          <w:tab w:val="left" w:pos="142"/>
        </w:tabs>
        <w:rPr>
          <w:rFonts w:ascii="Arial Narrow" w:hAnsi="Arial Narrow"/>
          <w:sz w:val="18"/>
          <w:szCs w:val="18"/>
        </w:rPr>
      </w:pPr>
      <w:r>
        <w:rPr>
          <w:rFonts w:ascii="Arial Narrow" w:hAnsi="Arial Narrow"/>
          <w:sz w:val="18"/>
          <w:szCs w:val="18"/>
        </w:rPr>
        <w:t>*</w:t>
      </w:r>
      <w:r>
        <w:rPr>
          <w:rFonts w:ascii="Arial Narrow" w:hAnsi="Arial Narrow"/>
          <w:sz w:val="18"/>
          <w:szCs w:val="18"/>
        </w:rPr>
        <w:tab/>
        <w:t>Calculated during the evaluation using RevMan v5.3.</w:t>
      </w:r>
    </w:p>
    <w:p w14:paraId="1B6A7B4B" w14:textId="31F6F522" w:rsidR="0067632E" w:rsidRDefault="0067632E" w:rsidP="003401FD">
      <w:pPr>
        <w:tabs>
          <w:tab w:val="left" w:pos="142"/>
        </w:tabs>
        <w:rPr>
          <w:rFonts w:ascii="Arial Narrow" w:hAnsi="Arial Narrow"/>
          <w:sz w:val="18"/>
          <w:szCs w:val="18"/>
        </w:rPr>
      </w:pPr>
      <w:proofErr w:type="spellStart"/>
      <w:r>
        <w:rPr>
          <w:rFonts w:ascii="Arial Narrow" w:hAnsi="Arial Narrow"/>
          <w:sz w:val="18"/>
          <w:szCs w:val="18"/>
        </w:rPr>
        <w:t>a</w:t>
      </w:r>
      <w:proofErr w:type="spellEnd"/>
      <w:r>
        <w:rPr>
          <w:rFonts w:ascii="Arial Narrow" w:hAnsi="Arial Narrow"/>
          <w:sz w:val="18"/>
          <w:szCs w:val="18"/>
        </w:rPr>
        <w:tab/>
      </w:r>
      <w:r w:rsidRPr="0067632E">
        <w:rPr>
          <w:rFonts w:ascii="Arial Narrow" w:hAnsi="Arial Narrow"/>
          <w:sz w:val="18"/>
          <w:szCs w:val="18"/>
        </w:rPr>
        <w:t>For the interim analysis, an O'Brien-Fleming stopping boundary will be used. The prespecified efficacy boundary (P ≤ 0.0001) was not crossed at this interim OS analysis and the results were not statistically significant.</w:t>
      </w:r>
    </w:p>
    <w:p w14:paraId="1F0522EC" w14:textId="64676721" w:rsidR="00311FEB" w:rsidRPr="00311FEB" w:rsidRDefault="00311FEB" w:rsidP="00311FEB">
      <w:pPr>
        <w:pStyle w:val="3-BodyText"/>
      </w:pPr>
      <w:r w:rsidRPr="00311FEB">
        <w:lastRenderedPageBreak/>
        <w:t xml:space="preserve">On the basis of evidence from the </w:t>
      </w:r>
      <w:r>
        <w:t>EMBARK</w:t>
      </w:r>
      <w:r w:rsidRPr="00311FEB">
        <w:t xml:space="preserve"> trial presented by the submission, for every 100 patients treated with </w:t>
      </w:r>
      <w:r>
        <w:t>enzalutamide plus ADT</w:t>
      </w:r>
      <w:r w:rsidRPr="00311FEB">
        <w:t xml:space="preserve"> </w:t>
      </w:r>
      <w:r w:rsidR="003A3EB9">
        <w:t xml:space="preserve">or enzalutamide monotherapy </w:t>
      </w:r>
      <w:r w:rsidRPr="00311FEB">
        <w:t>in comparison to placebo</w:t>
      </w:r>
      <w:r>
        <w:t xml:space="preserve"> plus ADT</w:t>
      </w:r>
      <w:r w:rsidRPr="00311FEB">
        <w:t>:</w:t>
      </w:r>
    </w:p>
    <w:p w14:paraId="1DE8B331" w14:textId="6582C37B" w:rsidR="000941B2" w:rsidRDefault="003A3EB9" w:rsidP="00E16BBF">
      <w:pPr>
        <w:pStyle w:val="3-BodyText"/>
        <w:numPr>
          <w:ilvl w:val="2"/>
          <w:numId w:val="7"/>
        </w:numPr>
        <w:ind w:left="993" w:hanging="284"/>
      </w:pPr>
      <w:r>
        <w:t xml:space="preserve">Approximately 16 additional patients treated with enzalutamide plus ADT </w:t>
      </w:r>
      <w:r w:rsidR="000B7BE3">
        <w:t xml:space="preserve">and </w:t>
      </w:r>
      <w:r>
        <w:t xml:space="preserve">9 additional patients treated with enzalutamide monotherapy will remain metastasis-free after </w:t>
      </w:r>
      <w:r w:rsidR="00E23A2A">
        <w:t>5 years.</w:t>
      </w:r>
    </w:p>
    <w:p w14:paraId="0D18F3BB" w14:textId="5607BCC4" w:rsidR="003A3EB9" w:rsidRDefault="008476AA" w:rsidP="00E16BBF">
      <w:pPr>
        <w:pStyle w:val="3-BodyText"/>
        <w:numPr>
          <w:ilvl w:val="2"/>
          <w:numId w:val="7"/>
        </w:numPr>
        <w:ind w:left="993" w:hanging="284"/>
      </w:pPr>
      <w:r>
        <w:t>P</w:t>
      </w:r>
      <w:r w:rsidR="00345AB7">
        <w:t xml:space="preserve">atients treated with enzalutamide plus ADT </w:t>
      </w:r>
      <w:r>
        <w:t>will experience an increased incidence of hot flush, fatigue, arthralgia, falls, asthenia, gynecomastia, weight loss, nipple pain and breast tenderness compared to patients receiving</w:t>
      </w:r>
      <w:r w:rsidR="00345AB7">
        <w:t xml:space="preserve"> enzalutamide monotherapy.</w:t>
      </w:r>
    </w:p>
    <w:p w14:paraId="7A1772B6" w14:textId="23BB3145" w:rsidR="00B60939" w:rsidRPr="0098262F" w:rsidRDefault="00B60939" w:rsidP="00E9094A">
      <w:pPr>
        <w:pStyle w:val="4-SubsectionHeading"/>
      </w:pPr>
      <w:bookmarkStart w:id="34" w:name="_Toc22897644"/>
      <w:bookmarkStart w:id="35" w:name="_Toc177371548"/>
      <w:r w:rsidRPr="0098262F">
        <w:t>Clinical claim</w:t>
      </w:r>
      <w:bookmarkEnd w:id="34"/>
      <w:bookmarkEnd w:id="35"/>
    </w:p>
    <w:p w14:paraId="69C52E71" w14:textId="5D9F3C77" w:rsidR="003D773D" w:rsidRPr="00E16BBF" w:rsidRDefault="003D773D" w:rsidP="00E9094A">
      <w:pPr>
        <w:pStyle w:val="3-BodyText"/>
      </w:pPr>
      <w:r w:rsidRPr="00E16BBF">
        <w:t>The submission described enzalutamide</w:t>
      </w:r>
      <w:r w:rsidR="005420F7">
        <w:t>,</w:t>
      </w:r>
      <w:r w:rsidRPr="00E16BBF">
        <w:t xml:space="preserve"> with or without ADT</w:t>
      </w:r>
      <w:r w:rsidR="005420F7">
        <w:t>,</w:t>
      </w:r>
      <w:r w:rsidRPr="00E16BBF">
        <w:t xml:space="preserve"> as superior in terms of effectiveness and inferior (but manageable) in terms of safety compared to placebo plus ADT for the treatment of patients with high-risk m0HSPC after definitive local therapy.</w:t>
      </w:r>
    </w:p>
    <w:p w14:paraId="54BC3CDD" w14:textId="5346A52E" w:rsidR="003D773D" w:rsidRPr="00E16BBF" w:rsidRDefault="00FF1F6D" w:rsidP="00E9094A">
      <w:pPr>
        <w:pStyle w:val="3-BodyText"/>
      </w:pPr>
      <w:r w:rsidRPr="00E16BBF">
        <w:t xml:space="preserve">The ESC considered that </w:t>
      </w:r>
      <w:r w:rsidR="003D773D" w:rsidRPr="00E16BBF">
        <w:t>the clinical claim</w:t>
      </w:r>
      <w:r w:rsidR="005B0619" w:rsidRPr="00E16BBF">
        <w:t xml:space="preserve"> </w:t>
      </w:r>
      <w:r w:rsidR="00BF407A" w:rsidRPr="00E16BBF">
        <w:t xml:space="preserve">for the </w:t>
      </w:r>
      <w:r w:rsidR="005B0619" w:rsidRPr="00E16BBF">
        <w:t>effectiveness</w:t>
      </w:r>
      <w:r w:rsidR="00BF407A" w:rsidRPr="00E16BBF">
        <w:t xml:space="preserve"> of enzalutamide plus ADT and enzalutamide monotherapy v</w:t>
      </w:r>
      <w:r w:rsidR="00CC1D47" w:rsidRPr="00E16BBF">
        <w:t>er</w:t>
      </w:r>
      <w:r w:rsidR="00BF407A" w:rsidRPr="00E16BBF">
        <w:t>s</w:t>
      </w:r>
      <w:r w:rsidR="00CC1D47" w:rsidRPr="00E16BBF">
        <w:t>us</w:t>
      </w:r>
      <w:r w:rsidR="00BF407A" w:rsidRPr="00E16BBF">
        <w:t xml:space="preserve"> ADT alone</w:t>
      </w:r>
      <w:r w:rsidR="003D773D" w:rsidRPr="00E16BBF">
        <w:t xml:space="preserve"> </w:t>
      </w:r>
      <w:r w:rsidRPr="00E16BBF">
        <w:t>was</w:t>
      </w:r>
      <w:r w:rsidR="003D773D" w:rsidRPr="00E16BBF">
        <w:t xml:space="preserve"> supported </w:t>
      </w:r>
      <w:r w:rsidRPr="00E16BBF">
        <w:t>in terms of the</w:t>
      </w:r>
      <w:r w:rsidR="003D773D" w:rsidRPr="00E16BBF">
        <w:t xml:space="preserve"> </w:t>
      </w:r>
      <w:r w:rsidR="00B822A8" w:rsidRPr="00E16BBF">
        <w:t>MFS outcomes data reported in EMBARK</w:t>
      </w:r>
      <w:r w:rsidRPr="00E16BBF">
        <w:t xml:space="preserve">. However, the ESC considered that </w:t>
      </w:r>
      <w:r w:rsidR="00CD2794" w:rsidRPr="00E16BBF">
        <w:t>the magnitude of the clinical treatment effect and the applicability to the practice setting was highly uncertain</w:t>
      </w:r>
      <w:r w:rsidR="00DE47B0" w:rsidRPr="00E16BBF">
        <w:t>. The</w:t>
      </w:r>
      <w:r w:rsidRPr="00E16BBF">
        <w:t xml:space="preserve"> ESC noted the</w:t>
      </w:r>
      <w:r w:rsidR="00DE47B0" w:rsidRPr="00E16BBF">
        <w:t xml:space="preserve"> </w:t>
      </w:r>
      <w:r w:rsidR="003D773D" w:rsidRPr="00E16BBF">
        <w:t>following issues:</w:t>
      </w:r>
    </w:p>
    <w:p w14:paraId="620EF897" w14:textId="588B6A9F" w:rsidR="00DE47B0" w:rsidRPr="00E16BBF" w:rsidRDefault="003D773D" w:rsidP="00E16BBF">
      <w:pPr>
        <w:pStyle w:val="3-BodyText"/>
        <w:numPr>
          <w:ilvl w:val="2"/>
          <w:numId w:val="7"/>
        </w:numPr>
        <w:ind w:left="993" w:hanging="284"/>
      </w:pPr>
      <w:r w:rsidRPr="00E16BBF">
        <w:t>EMBARK potentially included a sizeable proportion of patients with metastatic disease on PSMA-PET imaging (i.e. mHSPC), who would be eligible for current NHA treatment on the PBS.</w:t>
      </w:r>
      <w:r w:rsidR="0067632E" w:rsidRPr="00E16BBF">
        <w:t xml:space="preserve"> Under PSMA-PET testing a proportion of patients in the trial are likely to be mHSPC at baseline, therefore time to metastases is likely overestimated for the cohort from EMBARK, but underestimated for the true population with m0HSPC defined by PSMA-PET.</w:t>
      </w:r>
    </w:p>
    <w:p w14:paraId="3802D5CF" w14:textId="12FEDD09" w:rsidR="009B2F36" w:rsidRPr="00E16BBF" w:rsidRDefault="009B2F36" w:rsidP="00E16BBF">
      <w:pPr>
        <w:pStyle w:val="3-BodyText"/>
        <w:numPr>
          <w:ilvl w:val="2"/>
          <w:numId w:val="7"/>
        </w:numPr>
        <w:ind w:left="993" w:hanging="284"/>
      </w:pPr>
      <w:r w:rsidRPr="00E16BBF">
        <w:t>At the time of the data analysis cut-off date (median follow-up 60.7 months), the OS data were immature and despite a trend favouring enzalutamide plus ADT compared to ADT alone, the results were not statistically significant based on the statistical analysis plan. The follow-up was also relatively incomplete, as the majority of patients were alive (87.8%) and had not experienced metastatic progression (81.3%) at censoring.</w:t>
      </w:r>
      <w:r w:rsidR="00FF1F6D" w:rsidRPr="00E16BBF">
        <w:t xml:space="preserve"> The ESC further noted that mature OS data would likely not be available at the final data cut, estimated in September 2026.</w:t>
      </w:r>
    </w:p>
    <w:p w14:paraId="736C6E6B" w14:textId="37185EF0" w:rsidR="003D773D" w:rsidRPr="00E16BBF" w:rsidRDefault="003D773D" w:rsidP="00E16BBF">
      <w:pPr>
        <w:pStyle w:val="3-BodyText"/>
        <w:numPr>
          <w:ilvl w:val="2"/>
          <w:numId w:val="7"/>
        </w:numPr>
        <w:ind w:left="993" w:hanging="284"/>
      </w:pPr>
      <w:r w:rsidRPr="00E16BBF">
        <w:t xml:space="preserve">While MFS has been validated as a surrogate for OS in m0CRPC, there </w:t>
      </w:r>
      <w:r w:rsidR="006B69B6" w:rsidRPr="00E16BBF">
        <w:t xml:space="preserve">is </w:t>
      </w:r>
      <w:r w:rsidRPr="00E16BBF">
        <w:t xml:space="preserve">limited evidence of the surrogate relationship between MFS and OS in m0HSPC, and MFS may take many years to develop in patients with m0HSPC. </w:t>
      </w:r>
    </w:p>
    <w:p w14:paraId="0FB44245" w14:textId="31F2DD11" w:rsidR="003D773D" w:rsidRPr="00E16BBF" w:rsidRDefault="007B6502" w:rsidP="00E16BBF">
      <w:pPr>
        <w:pStyle w:val="3-BodyText"/>
        <w:numPr>
          <w:ilvl w:val="2"/>
          <w:numId w:val="7"/>
        </w:numPr>
        <w:ind w:left="993" w:hanging="284"/>
      </w:pPr>
      <w:r w:rsidRPr="00E16BBF">
        <w:t>The EMBARK trial was not designed to compare enzalutamide plus ADT versus enzalutamide monotherapy. Although the trial showed a significant difference between</w:t>
      </w:r>
      <w:r w:rsidR="00253F12" w:rsidRPr="00E16BBF">
        <w:t xml:space="preserve"> enzalutamide</w:t>
      </w:r>
      <w:r w:rsidRPr="00E16BBF">
        <w:t xml:space="preserve"> (combination and monotherapy) compared to ADT alone in </w:t>
      </w:r>
      <w:r w:rsidRPr="00E16BBF">
        <w:lastRenderedPageBreak/>
        <w:t>terms of MFS and most secondary</w:t>
      </w:r>
      <w:r w:rsidR="006B69B6" w:rsidRPr="00E16BBF">
        <w:t xml:space="preserve"> endpoints</w:t>
      </w:r>
      <w:r w:rsidRPr="00E16BBF">
        <w:t>, the treatment effects were numerically larger for enzalutamide plus ADT combination than enzalutamide monotherapy.</w:t>
      </w:r>
    </w:p>
    <w:p w14:paraId="137A6140" w14:textId="464C6040" w:rsidR="00CD2794" w:rsidRPr="00E16BBF" w:rsidRDefault="007B6502" w:rsidP="00E16BBF">
      <w:pPr>
        <w:pStyle w:val="3-BodyText"/>
        <w:numPr>
          <w:ilvl w:val="2"/>
          <w:numId w:val="7"/>
        </w:numPr>
        <w:ind w:left="993" w:hanging="284"/>
      </w:pPr>
      <w:r w:rsidRPr="00E16BBF">
        <w:t xml:space="preserve">The EMBARK trial protocol required all patients with undetectable PSA at Week 36 to suspend treatment until PSA levels increased beyond a certain threshold. </w:t>
      </w:r>
      <w:r w:rsidR="00FF1F6D" w:rsidRPr="00E16BBF">
        <w:t>I</w:t>
      </w:r>
      <w:r w:rsidRPr="00E16BBF">
        <w:t xml:space="preserve">t was unknown whether the same treatment suspension would be </w:t>
      </w:r>
      <w:r w:rsidR="00FF1F6D" w:rsidRPr="00E16BBF">
        <w:t xml:space="preserve">implemented in the same manner in </w:t>
      </w:r>
      <w:r w:rsidRPr="00E16BBF">
        <w:t>the Australian practice setting.</w:t>
      </w:r>
    </w:p>
    <w:p w14:paraId="6A8FC699" w14:textId="68367701" w:rsidR="00740830" w:rsidRPr="00CE42B4" w:rsidRDefault="00740830" w:rsidP="00740830">
      <w:pPr>
        <w:widowControl w:val="0"/>
        <w:numPr>
          <w:ilvl w:val="1"/>
          <w:numId w:val="1"/>
        </w:numPr>
        <w:spacing w:after="120"/>
        <w:rPr>
          <w:rFonts w:asciiTheme="minorHAnsi" w:hAnsiTheme="minorHAnsi"/>
          <w:snapToGrid w:val="0"/>
          <w:szCs w:val="20"/>
        </w:rPr>
      </w:pPr>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superior comparative effectiveness was reasonable</w:t>
      </w:r>
      <w:r w:rsidR="005420F7">
        <w:rPr>
          <w:rFonts w:asciiTheme="minorHAnsi" w:hAnsiTheme="minorHAnsi"/>
          <w:snapToGrid w:val="0"/>
          <w:szCs w:val="20"/>
        </w:rPr>
        <w:t>, noting that the magnitude of the benefit was uncertain due to the immaturity of the data</w:t>
      </w:r>
      <w:r w:rsidRPr="00CE42B4">
        <w:rPr>
          <w:rFonts w:asciiTheme="minorHAnsi" w:hAnsiTheme="minorHAnsi"/>
          <w:snapToGrid w:val="0"/>
          <w:szCs w:val="20"/>
        </w:rPr>
        <w:t>.</w:t>
      </w:r>
    </w:p>
    <w:p w14:paraId="722BAE11" w14:textId="389A4DB0" w:rsidR="005B0619" w:rsidRDefault="00DA4CEC" w:rsidP="005B0619">
      <w:pPr>
        <w:pStyle w:val="3-BodyText"/>
        <w:numPr>
          <w:ilvl w:val="1"/>
          <w:numId w:val="1"/>
        </w:numPr>
      </w:pPr>
      <w:r w:rsidRPr="00E16BBF">
        <w:t xml:space="preserve">The </w:t>
      </w:r>
      <w:r w:rsidR="00FF1F6D" w:rsidRPr="00E16BBF">
        <w:t xml:space="preserve">ESC considered that the </w:t>
      </w:r>
      <w:r w:rsidRPr="00E16BBF">
        <w:t>claim of inferior safety was adequately supported by the evidence. Although the overall incidence of TEAEs was similar across the treatment groups, there was a higher incidence of TEAEs leading to discontinuation, Grade 3+ TEAEs, and drug-related TEAEs for enzalutamide with or without ADT compared to ADT alone.</w:t>
      </w:r>
      <w:r w:rsidR="00FF1F6D" w:rsidRPr="00E16BBF">
        <w:t xml:space="preserve"> The ESC agreed that the safety profile of enzalutamide was known and manageable.</w:t>
      </w:r>
    </w:p>
    <w:p w14:paraId="4CDD3136" w14:textId="7878CA7A" w:rsidR="00E16BBF" w:rsidRPr="00E16BBF" w:rsidRDefault="00E16BBF" w:rsidP="00E16BBF">
      <w:pPr>
        <w:widowControl w:val="0"/>
        <w:numPr>
          <w:ilvl w:val="1"/>
          <w:numId w:val="1"/>
        </w:numPr>
        <w:spacing w:after="120"/>
      </w:pPr>
      <w:bookmarkStart w:id="36" w:name="_Hlk76376200"/>
      <w:r w:rsidRPr="00CE42B4">
        <w:rPr>
          <w:rFonts w:asciiTheme="minorHAnsi" w:hAnsiTheme="minorHAnsi"/>
          <w:snapToGrid w:val="0"/>
          <w:szCs w:val="20"/>
        </w:rPr>
        <w:t>The PBAC considered that the claim of inferior comparative safety was reasonable.</w:t>
      </w:r>
      <w:bookmarkEnd w:id="36"/>
    </w:p>
    <w:p w14:paraId="588393A5" w14:textId="77777777" w:rsidR="00ED509D" w:rsidRPr="0098262F" w:rsidRDefault="00ED509D" w:rsidP="00ED509D">
      <w:pPr>
        <w:pStyle w:val="4-SubsectionHeading"/>
      </w:pPr>
      <w:bookmarkStart w:id="37" w:name="_Toc22897645"/>
      <w:bookmarkStart w:id="38" w:name="_Toc176779513"/>
      <w:bookmarkStart w:id="39" w:name="_Toc177371549"/>
      <w:bookmarkStart w:id="40" w:name="_Toc22897646"/>
      <w:r w:rsidRPr="0098262F">
        <w:t>Economic analysis</w:t>
      </w:r>
      <w:bookmarkEnd w:id="37"/>
      <w:bookmarkEnd w:id="38"/>
      <w:bookmarkEnd w:id="39"/>
      <w:r w:rsidRPr="0098262F">
        <w:t xml:space="preserve"> </w:t>
      </w:r>
    </w:p>
    <w:p w14:paraId="4AC402F3" w14:textId="3D17C081" w:rsidR="00ED509D" w:rsidRPr="00FF1F6D" w:rsidRDefault="00ED509D" w:rsidP="00ED509D">
      <w:pPr>
        <w:pStyle w:val="3-BodyText"/>
        <w:numPr>
          <w:ilvl w:val="1"/>
          <w:numId w:val="1"/>
        </w:numPr>
        <w:rPr>
          <w:b/>
          <w:bCs/>
          <w:i/>
          <w:iCs/>
        </w:rPr>
      </w:pPr>
      <w:r w:rsidRPr="00B13078">
        <w:t xml:space="preserve">The submission presented stepped economic evaluations of enzalutamide therapies (enzalutamide plus ADT, and enzalutamide monotherapy), versus ADT </w:t>
      </w:r>
      <w:r>
        <w:t>alone</w:t>
      </w:r>
      <w:r w:rsidRPr="00B13078">
        <w:t xml:space="preserve"> for patients </w:t>
      </w:r>
      <w:r>
        <w:t xml:space="preserve">who have m0HSPC </w:t>
      </w:r>
      <w:r w:rsidRPr="00B13078">
        <w:t xml:space="preserve">with high-risk </w:t>
      </w:r>
      <w:r>
        <w:t>BCR</w:t>
      </w:r>
      <w:r w:rsidRPr="00B13078">
        <w:t xml:space="preserve"> based on the EMBARK randomised trial.</w:t>
      </w:r>
    </w:p>
    <w:p w14:paraId="5CB1EE3B" w14:textId="79FE35F1" w:rsidR="00ED509D" w:rsidRPr="00B13078" w:rsidRDefault="00ED509D" w:rsidP="00ED509D">
      <w:pPr>
        <w:pStyle w:val="3-BodyText"/>
        <w:numPr>
          <w:ilvl w:val="1"/>
          <w:numId w:val="1"/>
        </w:numPr>
        <w:rPr>
          <w:b/>
          <w:bCs/>
        </w:rPr>
      </w:pPr>
      <w:r w:rsidRPr="00B13078">
        <w:t>The type of economic evaluations presented were cost-utility analyses using a semi-Markov model</w:t>
      </w:r>
      <w:r>
        <w:t xml:space="preserve">. The model used a combined partitioned survival and Markov model approach to estimate movement between </w:t>
      </w:r>
      <w:r w:rsidRPr="00B13078">
        <w:t xml:space="preserve">seven health states: </w:t>
      </w:r>
      <w:r>
        <w:t xml:space="preserve">(i) </w:t>
      </w:r>
      <w:r w:rsidRPr="00B13078">
        <w:t xml:space="preserve">m0HSPC prior to or without treatment suspension, </w:t>
      </w:r>
      <w:r>
        <w:t xml:space="preserve">(ii) </w:t>
      </w:r>
      <w:r w:rsidRPr="00B13078">
        <w:t xml:space="preserve">m0HSPC during treatment suspension, </w:t>
      </w:r>
      <w:r>
        <w:t xml:space="preserve">(iii) </w:t>
      </w:r>
      <w:r w:rsidRPr="00B13078">
        <w:t xml:space="preserve">m0HSPC post-treatment suspension, </w:t>
      </w:r>
      <w:r>
        <w:t xml:space="preserve">(iv) </w:t>
      </w:r>
      <w:r w:rsidRPr="00B13078">
        <w:t xml:space="preserve">mHSPC, </w:t>
      </w:r>
      <w:r>
        <w:t xml:space="preserve">(v) </w:t>
      </w:r>
      <w:r w:rsidRPr="00B13078">
        <w:t xml:space="preserve">m0CRPC, </w:t>
      </w:r>
      <w:r>
        <w:t xml:space="preserve">(vi) </w:t>
      </w:r>
      <w:r w:rsidRPr="00B13078">
        <w:t>mCRPC</w:t>
      </w:r>
      <w:r>
        <w:t xml:space="preserve"> and (vii) dead</w:t>
      </w:r>
      <w:r w:rsidRPr="00B13078">
        <w:t xml:space="preserve">. A summary of the key components is presented in </w:t>
      </w:r>
      <w:r>
        <w:fldChar w:fldCharType="begin" w:fldLock="1"/>
      </w:r>
      <w:r>
        <w:instrText xml:space="preserve"> REF _Ref176258218 </w:instrText>
      </w:r>
      <w:r>
        <w:fldChar w:fldCharType="separate"/>
      </w:r>
      <w:r w:rsidR="006619E7" w:rsidRPr="0098262F">
        <w:t xml:space="preserve">Table </w:t>
      </w:r>
      <w:r w:rsidR="006619E7">
        <w:rPr>
          <w:noProof/>
        </w:rPr>
        <w:t>10</w:t>
      </w:r>
      <w:r>
        <w:rPr>
          <w:noProof/>
        </w:rPr>
        <w:fldChar w:fldCharType="end"/>
      </w:r>
      <w:r w:rsidRPr="00B13078">
        <w:t>.</w:t>
      </w:r>
    </w:p>
    <w:p w14:paraId="6243879B" w14:textId="5FD98A9C" w:rsidR="00ED509D" w:rsidRPr="0098262F" w:rsidRDefault="00ED509D" w:rsidP="006A4FCD">
      <w:pPr>
        <w:pStyle w:val="Caption"/>
        <w:jc w:val="left"/>
        <w:rPr>
          <w:rStyle w:val="CommentReference"/>
          <w:b/>
          <w:szCs w:val="24"/>
        </w:rPr>
      </w:pPr>
      <w:bookmarkStart w:id="41" w:name="_Ref176258218"/>
      <w:r w:rsidRPr="0098262F">
        <w:t xml:space="preserve">Table </w:t>
      </w:r>
      <w:r>
        <w:fldChar w:fldCharType="begin" w:fldLock="1"/>
      </w:r>
      <w:r>
        <w:instrText xml:space="preserve"> SEQ Table \* ARABIC </w:instrText>
      </w:r>
      <w:r>
        <w:fldChar w:fldCharType="separate"/>
      </w:r>
      <w:r w:rsidR="00DF24EF">
        <w:rPr>
          <w:noProof/>
        </w:rPr>
        <w:t>10</w:t>
      </w:r>
      <w:r>
        <w:rPr>
          <w:noProof/>
        </w:rPr>
        <w:fldChar w:fldCharType="end"/>
      </w:r>
      <w:bookmarkEnd w:id="41"/>
      <w:r w:rsidRPr="0098262F">
        <w:t>:</w:t>
      </w:r>
      <w:r w:rsidRPr="0098262F">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0: Summary of model structure, key inputs and rationale"/>
      </w:tblPr>
      <w:tblGrid>
        <w:gridCol w:w="1129"/>
        <w:gridCol w:w="7888"/>
      </w:tblGrid>
      <w:tr w:rsidR="00ED509D" w:rsidRPr="00B63CD0" w14:paraId="4676D69D" w14:textId="77777777" w:rsidTr="006A4FCD">
        <w:trPr>
          <w:cantSplit/>
          <w:tblHeader/>
        </w:trPr>
        <w:tc>
          <w:tcPr>
            <w:tcW w:w="626" w:type="pct"/>
            <w:shd w:val="clear" w:color="auto" w:fill="auto"/>
            <w:vAlign w:val="center"/>
          </w:tcPr>
          <w:p w14:paraId="53B63733" w14:textId="77777777" w:rsidR="00ED509D" w:rsidRPr="00B63CD0" w:rsidRDefault="00ED509D" w:rsidP="006A4FCD">
            <w:pPr>
              <w:pStyle w:val="In-tableHeading"/>
              <w:keepNext/>
            </w:pPr>
            <w:r w:rsidRPr="00B63CD0">
              <w:t>Component</w:t>
            </w:r>
          </w:p>
        </w:tc>
        <w:tc>
          <w:tcPr>
            <w:tcW w:w="4374" w:type="pct"/>
            <w:shd w:val="clear" w:color="auto" w:fill="auto"/>
            <w:vAlign w:val="center"/>
          </w:tcPr>
          <w:p w14:paraId="10707CF7" w14:textId="77777777" w:rsidR="00ED509D" w:rsidRPr="00B63CD0" w:rsidRDefault="00ED509D" w:rsidP="006A4FCD">
            <w:pPr>
              <w:pStyle w:val="In-tableHeading"/>
              <w:keepNext/>
            </w:pPr>
            <w:r w:rsidRPr="00B63CD0">
              <w:t>Summary</w:t>
            </w:r>
          </w:p>
        </w:tc>
      </w:tr>
      <w:tr w:rsidR="00ED509D" w:rsidRPr="00B63CD0" w14:paraId="35E49827" w14:textId="77777777" w:rsidTr="006A4FCD">
        <w:trPr>
          <w:cantSplit/>
        </w:trPr>
        <w:tc>
          <w:tcPr>
            <w:tcW w:w="626" w:type="pct"/>
            <w:shd w:val="clear" w:color="auto" w:fill="auto"/>
            <w:vAlign w:val="center"/>
          </w:tcPr>
          <w:p w14:paraId="5814186E" w14:textId="77777777" w:rsidR="00ED509D" w:rsidRPr="00B63CD0" w:rsidRDefault="00ED509D" w:rsidP="006A4FCD">
            <w:pPr>
              <w:pStyle w:val="TableText0"/>
              <w:keepLines w:val="0"/>
            </w:pPr>
            <w:r w:rsidRPr="00B63CD0">
              <w:t>Treatments</w:t>
            </w:r>
          </w:p>
        </w:tc>
        <w:tc>
          <w:tcPr>
            <w:tcW w:w="4374" w:type="pct"/>
            <w:shd w:val="clear" w:color="auto" w:fill="auto"/>
            <w:vAlign w:val="center"/>
          </w:tcPr>
          <w:p w14:paraId="15FA142C" w14:textId="44C29F36" w:rsidR="00ED509D" w:rsidRPr="00B63CD0" w:rsidRDefault="00ED509D" w:rsidP="006A4FCD">
            <w:pPr>
              <w:pStyle w:val="TableText0"/>
              <w:keepLines w:val="0"/>
            </w:pPr>
            <w:r w:rsidRPr="00B63CD0">
              <w:t>ENZA+ADT vs ADT alone; ENZA mono</w:t>
            </w:r>
            <w:r w:rsidR="00C02E47">
              <w:t>therapy</w:t>
            </w:r>
            <w:r w:rsidRPr="00B63CD0">
              <w:t xml:space="preserve"> vs ADT alone. ADT was expected to be 88.02% leuprorelin, 11.65% degarelix, 0.34% orchiectomy. </w:t>
            </w:r>
          </w:p>
        </w:tc>
      </w:tr>
      <w:tr w:rsidR="00ED509D" w:rsidRPr="00B63CD0" w14:paraId="388E906D" w14:textId="77777777" w:rsidTr="006A4FCD">
        <w:trPr>
          <w:cantSplit/>
        </w:trPr>
        <w:tc>
          <w:tcPr>
            <w:tcW w:w="626" w:type="pct"/>
            <w:shd w:val="clear" w:color="auto" w:fill="auto"/>
            <w:vAlign w:val="center"/>
          </w:tcPr>
          <w:p w14:paraId="1DADE48A" w14:textId="77777777" w:rsidR="00ED509D" w:rsidRPr="00B63CD0" w:rsidRDefault="00ED509D" w:rsidP="006A4FCD">
            <w:pPr>
              <w:pStyle w:val="TableText0"/>
              <w:keepLines w:val="0"/>
            </w:pPr>
            <w:r w:rsidRPr="00B63CD0">
              <w:t>Time horizon</w:t>
            </w:r>
          </w:p>
        </w:tc>
        <w:tc>
          <w:tcPr>
            <w:tcW w:w="4374" w:type="pct"/>
            <w:shd w:val="clear" w:color="auto" w:fill="auto"/>
            <w:vAlign w:val="center"/>
          </w:tcPr>
          <w:p w14:paraId="332549D7" w14:textId="03D5F1C2" w:rsidR="00ED509D" w:rsidRPr="00B63CD0" w:rsidRDefault="00ED509D" w:rsidP="006A4FCD">
            <w:pPr>
              <w:pStyle w:val="TableText0"/>
              <w:keepLines w:val="0"/>
            </w:pPr>
            <w:r w:rsidRPr="00B63CD0">
              <w:t>30 years in the model base case vs. median 60.7 months in EMBARK for MFS and 63.7-66.2 months OS follow-up.</w:t>
            </w:r>
            <w:r w:rsidR="00FF1F6D">
              <w:t xml:space="preserve"> </w:t>
            </w:r>
            <w:r w:rsidR="00FF1F6D" w:rsidRPr="00E16BBF">
              <w:t>Patients entered the model at age 69.</w:t>
            </w:r>
          </w:p>
        </w:tc>
      </w:tr>
      <w:tr w:rsidR="00ED509D" w:rsidRPr="00B63CD0" w14:paraId="7969FCAF" w14:textId="77777777" w:rsidTr="006A4FCD">
        <w:trPr>
          <w:cantSplit/>
        </w:trPr>
        <w:tc>
          <w:tcPr>
            <w:tcW w:w="626" w:type="pct"/>
            <w:shd w:val="clear" w:color="auto" w:fill="auto"/>
            <w:vAlign w:val="center"/>
          </w:tcPr>
          <w:p w14:paraId="50477ED6" w14:textId="77777777" w:rsidR="00ED509D" w:rsidRPr="00B63CD0" w:rsidRDefault="00ED509D" w:rsidP="006A4FCD">
            <w:pPr>
              <w:pStyle w:val="TableText0"/>
              <w:keepLines w:val="0"/>
            </w:pPr>
            <w:r w:rsidRPr="00B63CD0">
              <w:t>Outcomes</w:t>
            </w:r>
          </w:p>
        </w:tc>
        <w:tc>
          <w:tcPr>
            <w:tcW w:w="4374" w:type="pct"/>
            <w:shd w:val="clear" w:color="auto" w:fill="auto"/>
            <w:vAlign w:val="center"/>
          </w:tcPr>
          <w:p w14:paraId="61D9BE64" w14:textId="5CD689C5" w:rsidR="00ED509D" w:rsidRPr="00B63CD0" w:rsidRDefault="00ED509D" w:rsidP="006A4FCD">
            <w:pPr>
              <w:pStyle w:val="TableText0"/>
              <w:keepLines w:val="0"/>
            </w:pPr>
            <w:r w:rsidRPr="00B63CD0">
              <w:t>Life years gained (LYG), quality-adjusted life years (QALYs).</w:t>
            </w:r>
          </w:p>
        </w:tc>
      </w:tr>
      <w:tr w:rsidR="00ED509D" w:rsidRPr="00B63CD0" w14:paraId="7C111883" w14:textId="77777777" w:rsidTr="006A4FCD">
        <w:trPr>
          <w:cantSplit/>
        </w:trPr>
        <w:tc>
          <w:tcPr>
            <w:tcW w:w="626" w:type="pct"/>
            <w:shd w:val="clear" w:color="auto" w:fill="auto"/>
            <w:vAlign w:val="center"/>
          </w:tcPr>
          <w:p w14:paraId="720FB72A" w14:textId="77777777" w:rsidR="00ED509D" w:rsidRPr="00B63CD0" w:rsidRDefault="00ED509D" w:rsidP="006A4FCD">
            <w:pPr>
              <w:pStyle w:val="TableText0"/>
              <w:keepLines w:val="0"/>
            </w:pPr>
            <w:r w:rsidRPr="00B63CD0">
              <w:t>Methods used to generate results</w:t>
            </w:r>
          </w:p>
        </w:tc>
        <w:tc>
          <w:tcPr>
            <w:tcW w:w="4374" w:type="pct"/>
            <w:shd w:val="clear" w:color="auto" w:fill="auto"/>
            <w:vAlign w:val="center"/>
          </w:tcPr>
          <w:p w14:paraId="5FF2AE2F" w14:textId="6754B5CE" w:rsidR="00ED509D" w:rsidRPr="00B63CD0" w:rsidRDefault="00ED509D" w:rsidP="006A4FCD">
            <w:pPr>
              <w:pStyle w:val="TableText0"/>
              <w:keepLines w:val="0"/>
            </w:pPr>
            <w:r w:rsidRPr="00B63CD0">
              <w:t>Semi-Markov cohort model. The structure of the model appeared to exaggerate the benefit of enzalutamide, beyond what was observed in the clinical evidence. As such</w:t>
            </w:r>
            <w:r w:rsidR="00C60F37" w:rsidRPr="00E16BBF">
              <w:t>,</w:t>
            </w:r>
            <w:r w:rsidRPr="00E16BBF">
              <w:t xml:space="preserve"> </w:t>
            </w:r>
            <w:r w:rsidR="00FF1F6D" w:rsidRPr="00E16BBF">
              <w:t xml:space="preserve">the ESC considered that </w:t>
            </w:r>
            <w:r w:rsidRPr="00E16BBF">
              <w:t>this approach may not be reasonable.</w:t>
            </w:r>
          </w:p>
        </w:tc>
      </w:tr>
      <w:tr w:rsidR="00ED509D" w:rsidRPr="00B63CD0" w14:paraId="16D155B7" w14:textId="77777777" w:rsidTr="006A4FCD">
        <w:trPr>
          <w:cantSplit/>
        </w:trPr>
        <w:tc>
          <w:tcPr>
            <w:tcW w:w="626" w:type="pct"/>
            <w:shd w:val="clear" w:color="auto" w:fill="auto"/>
            <w:vAlign w:val="center"/>
          </w:tcPr>
          <w:p w14:paraId="36E658D2" w14:textId="77777777" w:rsidR="00ED509D" w:rsidRPr="00B63CD0" w:rsidRDefault="00ED509D" w:rsidP="006A4FCD">
            <w:pPr>
              <w:pStyle w:val="TableText0"/>
              <w:keepLines w:val="0"/>
            </w:pPr>
            <w:r w:rsidRPr="00B63CD0">
              <w:t>Health states</w:t>
            </w:r>
          </w:p>
        </w:tc>
        <w:tc>
          <w:tcPr>
            <w:tcW w:w="4374" w:type="pct"/>
            <w:shd w:val="clear" w:color="auto" w:fill="auto"/>
            <w:vAlign w:val="center"/>
          </w:tcPr>
          <w:p w14:paraId="3DEA3440" w14:textId="77777777" w:rsidR="00ED509D" w:rsidRPr="00B63CD0" w:rsidRDefault="00ED509D" w:rsidP="006A4FCD">
            <w:pPr>
              <w:pStyle w:val="TableText0"/>
              <w:keepLines w:val="0"/>
            </w:pPr>
            <w:r w:rsidRPr="00B63CD0">
              <w:t>Each arm had 7 health states: m0HSPC (pre-/no treatment suspension, treatment suspension, post-treatment suspension); mHSPC; m0CRPC (one cycle); mCRPC; Dead.</w:t>
            </w:r>
          </w:p>
          <w:p w14:paraId="5CE34B6C" w14:textId="03AA9D2F" w:rsidR="00ED509D" w:rsidRPr="00B63CD0" w:rsidRDefault="00ED509D" w:rsidP="006A4FCD">
            <w:pPr>
              <w:pStyle w:val="TableText0"/>
              <w:keepLines w:val="0"/>
            </w:pPr>
            <w:r w:rsidRPr="00B63CD0">
              <w:t>Patients could be on or off treatment in every state and TTD was modelled separately, with the exception of patients in the treatment suspension who were</w:t>
            </w:r>
            <w:r w:rsidR="00C60F37" w:rsidRPr="00B63CD0">
              <w:t>,</w:t>
            </w:r>
            <w:r w:rsidRPr="00B63CD0">
              <w:t xml:space="preserve"> by definition</w:t>
            </w:r>
            <w:r w:rsidR="00C60F37" w:rsidRPr="00B63CD0">
              <w:t>,</w:t>
            </w:r>
            <w:r w:rsidRPr="00B63CD0">
              <w:t xml:space="preserve"> off treatment.</w:t>
            </w:r>
          </w:p>
        </w:tc>
      </w:tr>
      <w:tr w:rsidR="00ED509D" w:rsidRPr="00B63CD0" w14:paraId="6C7C80F2" w14:textId="77777777" w:rsidTr="006A4FCD">
        <w:trPr>
          <w:cantSplit/>
        </w:trPr>
        <w:tc>
          <w:tcPr>
            <w:tcW w:w="626" w:type="pct"/>
            <w:shd w:val="clear" w:color="auto" w:fill="auto"/>
            <w:vAlign w:val="center"/>
          </w:tcPr>
          <w:p w14:paraId="77D1FB09" w14:textId="77777777" w:rsidR="00ED509D" w:rsidRPr="00B63CD0" w:rsidRDefault="00ED509D" w:rsidP="008F7A8E">
            <w:pPr>
              <w:pStyle w:val="TableText0"/>
              <w:keepNext w:val="0"/>
              <w:keepLines w:val="0"/>
            </w:pPr>
            <w:r w:rsidRPr="00B63CD0">
              <w:t>Cycle length</w:t>
            </w:r>
          </w:p>
        </w:tc>
        <w:tc>
          <w:tcPr>
            <w:tcW w:w="4374" w:type="pct"/>
            <w:shd w:val="clear" w:color="auto" w:fill="auto"/>
            <w:vAlign w:val="center"/>
          </w:tcPr>
          <w:p w14:paraId="4D9872E4" w14:textId="77777777" w:rsidR="00ED509D" w:rsidRPr="00B63CD0" w:rsidRDefault="00ED509D" w:rsidP="008F7A8E">
            <w:pPr>
              <w:pStyle w:val="TableText0"/>
              <w:keepNext w:val="0"/>
              <w:keepLines w:val="0"/>
            </w:pPr>
            <w:r w:rsidRPr="00B63CD0">
              <w:t>1 month.</w:t>
            </w:r>
          </w:p>
        </w:tc>
      </w:tr>
      <w:tr w:rsidR="00ED509D" w:rsidRPr="00B63CD0" w14:paraId="012A34DB" w14:textId="77777777" w:rsidTr="006A4FCD">
        <w:trPr>
          <w:cantSplit/>
        </w:trPr>
        <w:tc>
          <w:tcPr>
            <w:tcW w:w="626" w:type="pct"/>
            <w:shd w:val="clear" w:color="auto" w:fill="auto"/>
            <w:vAlign w:val="center"/>
          </w:tcPr>
          <w:p w14:paraId="7F6BC83C" w14:textId="77777777" w:rsidR="00ED509D" w:rsidRPr="00B63CD0" w:rsidRDefault="00ED509D" w:rsidP="008F7A8E">
            <w:pPr>
              <w:pStyle w:val="TableText0"/>
              <w:keepNext w:val="0"/>
              <w:keepLines w:val="0"/>
            </w:pPr>
            <w:r w:rsidRPr="00B63CD0">
              <w:lastRenderedPageBreak/>
              <w:t>Allocation to health states</w:t>
            </w:r>
          </w:p>
        </w:tc>
        <w:tc>
          <w:tcPr>
            <w:tcW w:w="4374" w:type="pct"/>
            <w:shd w:val="clear" w:color="auto" w:fill="auto"/>
            <w:vAlign w:val="center"/>
          </w:tcPr>
          <w:p w14:paraId="64ED9D9B" w14:textId="7CA8330C" w:rsidR="00ED509D" w:rsidRPr="00B63CD0" w:rsidRDefault="00ED509D" w:rsidP="008F7A8E">
            <w:pPr>
              <w:pStyle w:val="TableText0"/>
              <w:keepNext w:val="0"/>
              <w:keepLines w:val="0"/>
            </w:pPr>
            <w:r w:rsidRPr="00B63CD0">
              <w:t>m0HSPC to mHSPC: variable probabilities each cycle based on MFS EMBARK KM data.</w:t>
            </w:r>
            <w:r w:rsidRPr="00B63CD0" w:rsidDel="00942A19">
              <w:t xml:space="preserve"> </w:t>
            </w:r>
            <w:r w:rsidR="005944D1" w:rsidRPr="00B63CD0">
              <w:br/>
            </w:r>
            <w:r w:rsidRPr="00B63CD0">
              <w:t xml:space="preserve">m0HSPC to m0CRPC or mCRPC: constant per cycle probabilities based on EMBARK data. </w:t>
            </w:r>
          </w:p>
          <w:p w14:paraId="0AC42E3C" w14:textId="77777777" w:rsidR="00ED509D" w:rsidRPr="00B63CD0" w:rsidRDefault="00ED509D" w:rsidP="008F7A8E">
            <w:pPr>
              <w:pStyle w:val="TableText0"/>
              <w:keepNext w:val="0"/>
              <w:keepLines w:val="0"/>
            </w:pPr>
            <w:r w:rsidRPr="00B63CD0">
              <w:t xml:space="preserve">m0HSPC to death: variable probabilities each cycle based on OS in EMBARK KM data. </w:t>
            </w:r>
          </w:p>
          <w:p w14:paraId="232E6EFE" w14:textId="25FA7FE7" w:rsidR="00ED509D" w:rsidRPr="00B63CD0" w:rsidRDefault="00ED509D" w:rsidP="008F7A8E">
            <w:pPr>
              <w:pStyle w:val="TableText0"/>
              <w:keepNext w:val="0"/>
              <w:keepLines w:val="0"/>
            </w:pPr>
            <w:r w:rsidRPr="00B63CD0">
              <w:t>TTD was split between pre and post treatment suspension and based on EMBARK KM data. Further, the proportion of patients entering treatment suspension at Month 9 and time in treatment suspension was based on averages from EMBARK for each arm.</w:t>
            </w:r>
          </w:p>
          <w:p w14:paraId="0110EB94" w14:textId="4CFCA700" w:rsidR="00ED509D" w:rsidRPr="00B63CD0" w:rsidRDefault="00ED509D" w:rsidP="008F7A8E">
            <w:pPr>
              <w:pStyle w:val="TableText0"/>
              <w:keepNext w:val="0"/>
              <w:keepLines w:val="0"/>
            </w:pPr>
            <w:r w:rsidRPr="00B63CD0">
              <w:t>Per cycle probabilities for treatment progression or death from other health states were based on enzalutamide trials (ARCHES, PROSPER, and PREVAIL), weighted by subsequent therapies used in each health state by treatment arm. Time to subsequent treatment discontinuation was based on pooled median time on treatment from prostate cancer trials.</w:t>
            </w:r>
            <w:r w:rsidRPr="00B63CD0" w:rsidDel="009505ED">
              <w:t xml:space="preserve"> </w:t>
            </w:r>
            <w:r w:rsidRPr="00B63CD0">
              <w:t>General population mortality was introduced from Year 6.5.</w:t>
            </w:r>
          </w:p>
        </w:tc>
      </w:tr>
      <w:tr w:rsidR="00ED509D" w:rsidRPr="00B63CD0" w14:paraId="71AB2BB8" w14:textId="77777777" w:rsidTr="006A4FCD">
        <w:trPr>
          <w:cantSplit/>
        </w:trPr>
        <w:tc>
          <w:tcPr>
            <w:tcW w:w="626" w:type="pct"/>
            <w:shd w:val="clear" w:color="auto" w:fill="auto"/>
            <w:vAlign w:val="center"/>
          </w:tcPr>
          <w:p w14:paraId="4B3A6FDB" w14:textId="77777777" w:rsidR="00ED509D" w:rsidRPr="00B63CD0" w:rsidRDefault="00ED509D" w:rsidP="008F7A8E">
            <w:pPr>
              <w:pStyle w:val="TableText0"/>
              <w:keepNext w:val="0"/>
              <w:keepLines w:val="0"/>
            </w:pPr>
            <w:r w:rsidRPr="00B63CD0">
              <w:t>Extrapolation method</w:t>
            </w:r>
          </w:p>
        </w:tc>
        <w:tc>
          <w:tcPr>
            <w:tcW w:w="4374" w:type="pct"/>
            <w:shd w:val="clear" w:color="auto" w:fill="auto"/>
            <w:vAlign w:val="center"/>
          </w:tcPr>
          <w:p w14:paraId="1BE1EFAD" w14:textId="6FF50F37" w:rsidR="00ED509D" w:rsidRPr="00B63CD0" w:rsidRDefault="00ED509D" w:rsidP="008F7A8E">
            <w:pPr>
              <w:pStyle w:val="TableText0"/>
              <w:keepNext w:val="0"/>
              <w:keepLines w:val="0"/>
              <w:rPr>
                <w:rFonts w:cs="Times New Roman"/>
                <w:lang w:eastAsia="en-GB"/>
              </w:rPr>
            </w:pPr>
            <w:r w:rsidRPr="00B63CD0">
              <w:t xml:space="preserve">Extrapolations of EMBARK data were based on </w:t>
            </w:r>
            <w:r w:rsidRPr="00FF1F6D">
              <w:t>independently</w:t>
            </w:r>
            <w:r w:rsidRPr="00B63CD0">
              <w:t xml:space="preserve"> fit</w:t>
            </w:r>
            <w:r w:rsidR="00CE5C29" w:rsidRPr="00B63CD0">
              <w:t>ted</w:t>
            </w:r>
            <w:r w:rsidRPr="00B63CD0">
              <w:t xml:space="preserve"> parametric survival curves </w:t>
            </w:r>
            <w:r w:rsidRPr="00B63CD0">
              <w:rPr>
                <w:rFonts w:cs="Times New Roman"/>
                <w:lang w:eastAsia="en-GB"/>
              </w:rPr>
              <w:t xml:space="preserve">for </w:t>
            </w:r>
            <w:r w:rsidRPr="00B63CD0">
              <w:t xml:space="preserve">MFS, TTD from trial start, TTD from treatment reinitiation and OS. </w:t>
            </w:r>
            <w:r w:rsidRPr="00B63CD0">
              <w:rPr>
                <w:rFonts w:cs="Times New Roman"/>
                <w:lang w:eastAsia="en-GB"/>
              </w:rPr>
              <w:t xml:space="preserve">The submission selected the parametric functions for the base case using a combination of goodness of fit statistics (AIC/BIC), visual inspection, clinical plausibility and consistency with the other extrapolations. </w:t>
            </w:r>
            <w:r w:rsidR="00CC245F" w:rsidRPr="00B63CD0">
              <w:rPr>
                <w:rFonts w:cs="Times New Roman"/>
                <w:lang w:eastAsia="en-GB"/>
              </w:rPr>
              <w:br/>
            </w:r>
            <w:r w:rsidRPr="00B63CD0">
              <w:rPr>
                <w:rFonts w:cs="Times New Roman"/>
                <w:lang w:eastAsia="en-GB"/>
              </w:rPr>
              <w:t xml:space="preserve">MFS: Gamma extrapolations in all arms. </w:t>
            </w:r>
            <w:r w:rsidR="00CC245F" w:rsidRPr="00B63CD0">
              <w:rPr>
                <w:rFonts w:cs="Times New Roman"/>
                <w:lang w:eastAsia="en-GB"/>
              </w:rPr>
              <w:br/>
            </w:r>
            <w:r w:rsidRPr="00B63CD0">
              <w:rPr>
                <w:rFonts w:cs="Times New Roman"/>
                <w:lang w:eastAsia="en-GB"/>
              </w:rPr>
              <w:t>OS: Weibull extrapolations for ENZA+ADT and ADT alone, and Gamma extrapolation applied for ENZA mono</w:t>
            </w:r>
            <w:r w:rsidR="00C02E47">
              <w:rPr>
                <w:rFonts w:cs="Times New Roman"/>
                <w:lang w:eastAsia="en-GB"/>
              </w:rPr>
              <w:t>therapy</w:t>
            </w:r>
            <w:r w:rsidRPr="00B63CD0">
              <w:rPr>
                <w:rFonts w:cs="Times New Roman"/>
                <w:lang w:eastAsia="en-GB"/>
              </w:rPr>
              <w:t xml:space="preserve">. </w:t>
            </w:r>
            <w:r w:rsidR="00CC245F" w:rsidRPr="00B63CD0">
              <w:rPr>
                <w:rFonts w:cs="Times New Roman"/>
                <w:lang w:eastAsia="en-GB"/>
              </w:rPr>
              <w:br/>
            </w:r>
            <w:r w:rsidRPr="00B63CD0">
              <w:rPr>
                <w:rFonts w:cs="Times New Roman"/>
                <w:lang w:eastAsia="en-GB"/>
              </w:rPr>
              <w:t xml:space="preserve">TTD from Time 0: log-normal extrapolations for all arms. </w:t>
            </w:r>
            <w:r w:rsidR="00CC245F" w:rsidRPr="00B63CD0">
              <w:rPr>
                <w:rFonts w:cs="Times New Roman"/>
                <w:lang w:eastAsia="en-GB"/>
              </w:rPr>
              <w:br/>
            </w:r>
            <w:r w:rsidRPr="00B63CD0">
              <w:rPr>
                <w:rFonts w:cs="Times New Roman"/>
                <w:lang w:eastAsia="en-GB"/>
              </w:rPr>
              <w:t>TTD post treatment reinitiation: exponential extrapolations for the enzalutamide arms and Gamma extrapolation for ADT alone.</w:t>
            </w:r>
          </w:p>
          <w:p w14:paraId="36B34915" w14:textId="77777777" w:rsidR="00ED509D" w:rsidRPr="00B63CD0" w:rsidRDefault="00ED509D" w:rsidP="008F7A8E">
            <w:pPr>
              <w:pStyle w:val="TableText0"/>
              <w:keepNext w:val="0"/>
              <w:keepLines w:val="0"/>
              <w:rPr>
                <w:rFonts w:cs="Times New Roman"/>
                <w:lang w:eastAsia="en-GB"/>
              </w:rPr>
            </w:pPr>
            <w:r w:rsidRPr="00B63CD0">
              <w:rPr>
                <w:rFonts w:cs="Times New Roman"/>
                <w:lang w:eastAsia="en-GB"/>
              </w:rPr>
              <w:t>The constant transition probabilities for the progressed disease health states (mHSPC, m0CRPC, mCRPC) were applied from Time 0.</w:t>
            </w:r>
          </w:p>
          <w:p w14:paraId="179CB3D2" w14:textId="39FB5174" w:rsidR="00ED509D" w:rsidRPr="00B63CD0" w:rsidRDefault="00ED509D" w:rsidP="008F7A8E">
            <w:pPr>
              <w:pStyle w:val="TableText0"/>
              <w:keepNext w:val="0"/>
              <w:keepLines w:val="0"/>
            </w:pPr>
            <w:r w:rsidRPr="00B63CD0">
              <w:t>In the comparison to ADT alone</w:t>
            </w:r>
            <w:r w:rsidR="00CE5C29" w:rsidRPr="00B63CD0">
              <w:t>,</w:t>
            </w:r>
            <w:r w:rsidRPr="00B63CD0">
              <w:t xml:space="preserve"> ~81% </w:t>
            </w:r>
            <w:r w:rsidR="00CE5C29" w:rsidRPr="00B63CD0">
              <w:t xml:space="preserve">of </w:t>
            </w:r>
            <w:r w:rsidRPr="00B63CD0">
              <w:t>incremental QALYs from enzalutamide with or without ADT (and 11-26% of incremental costs) occurred beyond Month 75.</w:t>
            </w:r>
          </w:p>
        </w:tc>
      </w:tr>
      <w:tr w:rsidR="00ED509D" w:rsidRPr="00B63CD0" w14:paraId="4D92C7B2" w14:textId="77777777" w:rsidTr="006A4FCD">
        <w:trPr>
          <w:cantSplit/>
        </w:trPr>
        <w:tc>
          <w:tcPr>
            <w:tcW w:w="626" w:type="pct"/>
            <w:shd w:val="clear" w:color="auto" w:fill="auto"/>
            <w:vAlign w:val="center"/>
          </w:tcPr>
          <w:p w14:paraId="4EB92708" w14:textId="77777777" w:rsidR="00ED509D" w:rsidRPr="00B63CD0" w:rsidRDefault="00ED509D" w:rsidP="008F7A8E">
            <w:pPr>
              <w:pStyle w:val="TableText0"/>
              <w:keepNext w:val="0"/>
              <w:keepLines w:val="0"/>
            </w:pPr>
            <w:r w:rsidRPr="00B63CD0">
              <w:t>Health related quality of life</w:t>
            </w:r>
          </w:p>
        </w:tc>
        <w:tc>
          <w:tcPr>
            <w:tcW w:w="4374" w:type="pct"/>
            <w:shd w:val="clear" w:color="auto" w:fill="auto"/>
            <w:vAlign w:val="center"/>
          </w:tcPr>
          <w:p w14:paraId="301B3B0B" w14:textId="77B055F2" w:rsidR="00ED509D" w:rsidRPr="00B63CD0" w:rsidRDefault="00ED509D" w:rsidP="008F7A8E">
            <w:pPr>
              <w:pStyle w:val="TableText0"/>
              <w:keepNext w:val="0"/>
              <w:keepLines w:val="0"/>
            </w:pPr>
            <w:r w:rsidRPr="00B63CD0">
              <w:t xml:space="preserve">m0HSPC treatment suspension: 0.950, </w:t>
            </w:r>
            <w:r w:rsidR="00CC245F" w:rsidRPr="00B63CD0">
              <w:br/>
            </w:r>
            <w:r w:rsidRPr="00B63CD0">
              <w:t>m0HSPC otherwise: 0.934 from EMBARK (could not be verified). Utility values from EMBARK (0.934-0.95) were high compared to Australian general population</w:t>
            </w:r>
            <w:r w:rsidRPr="00B63CD0">
              <w:rPr>
                <w:rStyle w:val="FootnoteReference"/>
              </w:rPr>
              <w:footnoteReference w:id="19"/>
            </w:r>
          </w:p>
          <w:p w14:paraId="01CD5342" w14:textId="59AA495C" w:rsidR="00ED509D" w:rsidRPr="00B63CD0" w:rsidRDefault="00ED509D" w:rsidP="008F7A8E">
            <w:pPr>
              <w:pStyle w:val="TableText0"/>
              <w:keepNext w:val="0"/>
              <w:keepLines w:val="0"/>
            </w:pPr>
            <w:r w:rsidRPr="00B63CD0">
              <w:t>mHSPC: 0.817 from ARCHES,</w:t>
            </w:r>
            <w:r w:rsidRPr="00B63CD0">
              <w:rPr>
                <w:rFonts w:eastAsiaTheme="minorHAnsi"/>
              </w:rPr>
              <w:t xml:space="preserve"> higher than 0.806 reported previously (para 6.46, e</w:t>
            </w:r>
            <w:r w:rsidRPr="00B63CD0">
              <w:t xml:space="preserve">nzalutamide PSD, March 2023). </w:t>
            </w:r>
            <w:r w:rsidR="00CC245F" w:rsidRPr="00B63CD0">
              <w:br/>
            </w:r>
            <w:r w:rsidRPr="00B63CD0">
              <w:t xml:space="preserve">m0CRPC: 0.852 from PROSPER. </w:t>
            </w:r>
            <w:r w:rsidR="00CC245F" w:rsidRPr="00B63CD0">
              <w:br/>
            </w:r>
            <w:r w:rsidRPr="00B63CD0">
              <w:t xml:space="preserve">mCRPC: 0.706 </w:t>
            </w:r>
            <w:r w:rsidRPr="00B63CD0">
              <w:rPr>
                <w:rFonts w:eastAsiaTheme="minorHAnsi"/>
              </w:rPr>
              <w:t>equal</w:t>
            </w:r>
            <w:r w:rsidR="00CE5C29" w:rsidRPr="00B63CD0">
              <w:rPr>
                <w:rFonts w:eastAsiaTheme="minorHAnsi"/>
              </w:rPr>
              <w:t>s</w:t>
            </w:r>
            <w:r w:rsidRPr="00B63CD0">
              <w:rPr>
                <w:rFonts w:eastAsiaTheme="minorHAnsi"/>
              </w:rPr>
              <w:t xml:space="preserve"> the PD2 utility reported for enzalutamide in mHSPC (para 6.46, e</w:t>
            </w:r>
            <w:r w:rsidRPr="00B63CD0">
              <w:t>nzalutamide PSD, March 2023).</w:t>
            </w:r>
          </w:p>
          <w:p w14:paraId="37E454B7" w14:textId="4311B15E" w:rsidR="00ED509D" w:rsidRPr="00B63CD0" w:rsidRDefault="00ED509D" w:rsidP="008F7A8E">
            <w:pPr>
              <w:pStyle w:val="TableText0"/>
              <w:keepNext w:val="0"/>
              <w:keepLines w:val="0"/>
              <w:rPr>
                <w:rFonts w:eastAsiaTheme="minorHAnsi"/>
              </w:rPr>
            </w:pPr>
            <w:r w:rsidRPr="00B63CD0">
              <w:t xml:space="preserve">Health state utilities were adjusted for age and adverse event utility loss. An </w:t>
            </w:r>
            <w:r w:rsidR="00C02E47" w:rsidRPr="00B63CD0">
              <w:t>end-of-life</w:t>
            </w:r>
            <w:r w:rsidRPr="00B63CD0">
              <w:t xml:space="preserve"> QALY loss was also incorrectly applied</w:t>
            </w:r>
            <w:r w:rsidRPr="00B63CD0">
              <w:rPr>
                <w:rFonts w:eastAsiaTheme="minorHAnsi"/>
              </w:rPr>
              <w:t>.</w:t>
            </w:r>
          </w:p>
        </w:tc>
      </w:tr>
      <w:tr w:rsidR="00ED509D" w:rsidRPr="00B63CD0" w14:paraId="2E42481B" w14:textId="77777777" w:rsidTr="006A4FCD">
        <w:trPr>
          <w:cantSplit/>
        </w:trPr>
        <w:tc>
          <w:tcPr>
            <w:tcW w:w="626" w:type="pct"/>
            <w:shd w:val="clear" w:color="auto" w:fill="auto"/>
            <w:vAlign w:val="center"/>
          </w:tcPr>
          <w:p w14:paraId="1303E1FE" w14:textId="77777777" w:rsidR="00ED509D" w:rsidRPr="00B63CD0" w:rsidRDefault="00ED509D" w:rsidP="008F7A8E">
            <w:pPr>
              <w:pStyle w:val="TableText0"/>
              <w:keepNext w:val="0"/>
              <w:keepLines w:val="0"/>
            </w:pPr>
            <w:r w:rsidRPr="00B63CD0">
              <w:t xml:space="preserve">Subsequent treatments </w:t>
            </w:r>
          </w:p>
        </w:tc>
        <w:tc>
          <w:tcPr>
            <w:tcW w:w="4374" w:type="pct"/>
            <w:shd w:val="clear" w:color="auto" w:fill="auto"/>
            <w:vAlign w:val="center"/>
          </w:tcPr>
          <w:p w14:paraId="17017716" w14:textId="69023E74" w:rsidR="00ED509D" w:rsidRPr="00B63CD0" w:rsidRDefault="00ED509D" w:rsidP="008F7A8E">
            <w:pPr>
              <w:pStyle w:val="TableText0"/>
              <w:keepNext w:val="0"/>
              <w:keepLines w:val="0"/>
            </w:pPr>
            <w:r w:rsidRPr="00B63CD0">
              <w:t>Proportion of subsequent treatments in each health state were based on PBS 10% sample and included NHAs (enzalutamide, apalutamide, darolutamide, abiraterone), cabazitaxel/docetaxel, and ADT. Subsequent treatment modelling was complex and may not reflect actual patient experience.</w:t>
            </w:r>
          </w:p>
        </w:tc>
      </w:tr>
    </w:tbl>
    <w:p w14:paraId="3FD507BB" w14:textId="77777777" w:rsidR="00ED509D" w:rsidRDefault="00ED509D" w:rsidP="00ED509D">
      <w:pPr>
        <w:pStyle w:val="FooterTableFigure"/>
      </w:pPr>
      <w:r w:rsidRPr="0098262F">
        <w:t xml:space="preserve">Source: </w:t>
      </w:r>
      <w:r>
        <w:t>compiled during the evaluation</w:t>
      </w:r>
    </w:p>
    <w:p w14:paraId="6A965531" w14:textId="38A6F31F" w:rsidR="00ED509D" w:rsidRPr="0098262F" w:rsidRDefault="00ED509D" w:rsidP="00ED509D">
      <w:pPr>
        <w:pStyle w:val="FooterTableFigure"/>
      </w:pPr>
      <w:r>
        <w:t xml:space="preserve">ADT=androgen deprivation therapy, ENZA=enzalutamide, </w:t>
      </w:r>
      <w:r w:rsidR="00C02E47">
        <w:t xml:space="preserve">KM=Kaplan Meier, </w:t>
      </w:r>
      <w:r>
        <w:t xml:space="preserve">m0HSPC=non-metastatic hormone sensitive prostate cancer, mHSPC=metastatic hormone sensitive prostate cancer, m0CRPC=non-metastatic castrate resistant prostate cancer, mCRPC=metastatic castrate resistant prostate cancer, MFS=metastases free survival, </w:t>
      </w:r>
      <w:r w:rsidR="00C02E47">
        <w:t xml:space="preserve">NHA=novel hormonal agent, </w:t>
      </w:r>
      <w:r>
        <w:t>OS=overall survival, QALY=quality adjusted life year</w:t>
      </w:r>
      <w:r w:rsidR="00C02E47">
        <w:t>; TTD=time to treatment discontinuation</w:t>
      </w:r>
    </w:p>
    <w:p w14:paraId="244F24D9" w14:textId="60608C20" w:rsidR="00ED509D" w:rsidRPr="00E16BBF" w:rsidRDefault="00ED509D" w:rsidP="00ED509D">
      <w:pPr>
        <w:pStyle w:val="3-BodyText"/>
        <w:numPr>
          <w:ilvl w:val="1"/>
          <w:numId w:val="1"/>
        </w:numPr>
      </w:pPr>
      <w:r w:rsidRPr="00E16BBF">
        <w:t xml:space="preserve">The model structure is presented in </w:t>
      </w:r>
      <w:r w:rsidR="00C525D5" w:rsidRPr="00E16BBF">
        <w:fldChar w:fldCharType="begin" w:fldLock="1"/>
      </w:r>
      <w:r w:rsidR="00C525D5" w:rsidRPr="00E16BBF">
        <w:instrText xml:space="preserve"> REF _Ref176273140 </w:instrText>
      </w:r>
      <w:r w:rsidR="00B63CD0" w:rsidRPr="00E16BBF">
        <w:instrText xml:space="preserve"> \* MERGEFORMAT </w:instrText>
      </w:r>
      <w:r w:rsidR="00C525D5" w:rsidRPr="00E16BBF">
        <w:fldChar w:fldCharType="separate"/>
      </w:r>
      <w:r w:rsidR="006619E7" w:rsidRPr="00E16BBF">
        <w:t xml:space="preserve">Figure </w:t>
      </w:r>
      <w:r w:rsidR="006619E7" w:rsidRPr="00E16BBF">
        <w:rPr>
          <w:noProof/>
        </w:rPr>
        <w:t>2</w:t>
      </w:r>
      <w:r w:rsidR="00C525D5" w:rsidRPr="00E16BBF">
        <w:rPr>
          <w:noProof/>
        </w:rPr>
        <w:fldChar w:fldCharType="end"/>
      </w:r>
      <w:r w:rsidRPr="00E16BBF">
        <w:t>. The submission implemented a semi-Markov cohort model to estimate all costs and benefits of the three alternative treatments compared in EMBARK, over the trial period and beyond the trial follow-up. However, as no data from EMBARK was used to inform the progressed health state transitions, the estimates were pulled from multiple sources</w:t>
      </w:r>
      <w:r w:rsidR="00CE5C29" w:rsidRPr="00E16BBF">
        <w:t>,</w:t>
      </w:r>
      <w:r w:rsidRPr="00E16BBF">
        <w:t xml:space="preserve"> and therefore</w:t>
      </w:r>
      <w:r w:rsidR="00CE5C29" w:rsidRPr="00E16BBF">
        <w:t>,</w:t>
      </w:r>
      <w:r w:rsidRPr="00E16BBF">
        <w:t xml:space="preserve"> the </w:t>
      </w:r>
      <w:r w:rsidRPr="00E16BBF">
        <w:lastRenderedPageBreak/>
        <w:t xml:space="preserve">transition probabilities were uncertain. Further, </w:t>
      </w:r>
      <w:r w:rsidR="00FF1F6D" w:rsidRPr="00E16BBF">
        <w:t xml:space="preserve">the ESC noted that </w:t>
      </w:r>
      <w:r w:rsidRPr="00E16BBF">
        <w:t xml:space="preserve">the implementation of the approach resulted in structurally increasing the survival benefit of enzalutamide (with or without ADT) over ADT alone, </w:t>
      </w:r>
      <w:r w:rsidR="006B69B6" w:rsidRPr="00E16BBF">
        <w:t xml:space="preserve">which </w:t>
      </w:r>
      <w:r w:rsidR="00FF1F6D" w:rsidRPr="00E16BBF">
        <w:t>may</w:t>
      </w:r>
      <w:r w:rsidRPr="00E16BBF">
        <w:t xml:space="preserve"> not </w:t>
      </w:r>
      <w:r w:rsidR="00FF1F6D" w:rsidRPr="00E16BBF">
        <w:t xml:space="preserve">be </w:t>
      </w:r>
      <w:r w:rsidRPr="00E16BBF">
        <w:t>reasonable.</w:t>
      </w:r>
    </w:p>
    <w:p w14:paraId="01DFC713" w14:textId="2339305C" w:rsidR="00ED509D" w:rsidRDefault="00ED509D" w:rsidP="00ED509D">
      <w:pPr>
        <w:pStyle w:val="Caption"/>
      </w:pPr>
      <w:bookmarkStart w:id="42" w:name="_Ref176273140"/>
      <w:r>
        <w:t xml:space="preserve">Figure </w:t>
      </w:r>
      <w:r>
        <w:fldChar w:fldCharType="begin" w:fldLock="1"/>
      </w:r>
      <w:r>
        <w:instrText xml:space="preserve"> SEQ Figure \* ARABIC </w:instrText>
      </w:r>
      <w:r>
        <w:fldChar w:fldCharType="separate"/>
      </w:r>
      <w:r w:rsidR="006619E7">
        <w:rPr>
          <w:noProof/>
        </w:rPr>
        <w:t>2</w:t>
      </w:r>
      <w:r>
        <w:rPr>
          <w:noProof/>
        </w:rPr>
        <w:fldChar w:fldCharType="end"/>
      </w:r>
      <w:bookmarkEnd w:id="42"/>
      <w:r>
        <w:t xml:space="preserve">: </w:t>
      </w:r>
      <w:r w:rsidRPr="00617A06">
        <w:t>Structure of the economic model</w:t>
      </w:r>
    </w:p>
    <w:p w14:paraId="00E4DA14" w14:textId="7E091F6E" w:rsidR="00ED509D" w:rsidRDefault="00FF1F6D" w:rsidP="00ED509D">
      <w:r>
        <w:rPr>
          <w:noProof/>
        </w:rPr>
        <w:drawing>
          <wp:inline distT="0" distB="0" distL="0" distR="0" wp14:anchorId="3F07B306" wp14:editId="38B2724C">
            <wp:extent cx="3307080" cy="3426088"/>
            <wp:effectExtent l="0" t="0" r="7620" b="3175"/>
            <wp:docPr id="28" name="Picture 28" descr="Figure 2: Structur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2: Structure of the economic mod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6740" cy="3436096"/>
                    </a:xfrm>
                    <a:prstGeom prst="rect">
                      <a:avLst/>
                    </a:prstGeom>
                    <a:noFill/>
                  </pic:spPr>
                </pic:pic>
              </a:graphicData>
            </a:graphic>
          </wp:inline>
        </w:drawing>
      </w:r>
    </w:p>
    <w:p w14:paraId="668EF141" w14:textId="16098388" w:rsidR="00ED509D" w:rsidRDefault="00ED509D" w:rsidP="009F195B">
      <w:pPr>
        <w:pStyle w:val="TableFigureFooter"/>
      </w:pPr>
      <w:r>
        <w:t>Source: compiled during the evaluation based on Figure 3-1, p123 of the submission</w:t>
      </w:r>
    </w:p>
    <w:p w14:paraId="14CA4019" w14:textId="77C9BFA7" w:rsidR="00ED509D" w:rsidRDefault="00ED509D" w:rsidP="009F195B">
      <w:pPr>
        <w:pStyle w:val="TableFigureFooter"/>
      </w:pPr>
      <w:bookmarkStart w:id="43" w:name="_Hlk175764960"/>
      <w:r>
        <w:t>m0HSPC=non-metastatic hormone sensitive prostate cancer, mHSPC=metastatic hormone sensitive prostate cancer, m0CRPC=non-</w:t>
      </w:r>
      <w:r w:rsidRPr="00AE3E9B">
        <w:t xml:space="preserve"> </w:t>
      </w:r>
      <w:r>
        <w:t>metastatic castrate resistant prostate cancer, mCRPC=metastatic castrate resistant prostate cancer.</w:t>
      </w:r>
    </w:p>
    <w:bookmarkEnd w:id="43"/>
    <w:p w14:paraId="2E09BE9F" w14:textId="77777777" w:rsidR="00ED509D" w:rsidRPr="007A2DE8" w:rsidRDefault="00ED509D" w:rsidP="009F195B">
      <w:pPr>
        <w:pStyle w:val="TableFigureFooter"/>
      </w:pPr>
      <w:r>
        <w:t>In the pre/no treatment suspension, and post-treatment suspension health states of m0HSPC patients could be on or off treatment.</w:t>
      </w:r>
    </w:p>
    <w:p w14:paraId="46E2B4CD" w14:textId="5043428C" w:rsidR="00ED509D" w:rsidRPr="00E16BBF" w:rsidRDefault="0081473F" w:rsidP="00ED509D">
      <w:pPr>
        <w:pStyle w:val="3-BodyText"/>
        <w:numPr>
          <w:ilvl w:val="1"/>
          <w:numId w:val="1"/>
        </w:numPr>
        <w:rPr>
          <w:rFonts w:ascii="Times New Roman" w:hAnsi="Times New Roman" w:cs="Times New Roman"/>
          <w:szCs w:val="24"/>
        </w:rPr>
      </w:pPr>
      <w:r w:rsidRPr="00E16BBF">
        <w:t xml:space="preserve">All patients entered the model in the m0HSPC health state. From m0HSPC, patients could develop metastatic disease progression (mHSPC), non-metastatic disease progression (m0CRPC) or die. A partitioned survival analysis, based on MFS and OS </w:t>
      </w:r>
      <w:r w:rsidR="008926BA">
        <w:t>Kaplan Meier</w:t>
      </w:r>
      <w:r w:rsidRPr="00E16BBF">
        <w:t xml:space="preserve"> data from EMBARK extrapolated to 30 years, was used to estimate the proportion of patients in the m0HSPC, mHSPC and dead (from m0HSPC) each cycle. The transition from m0HSPC to mCRPC (or m0CRPC) was informed by a constant probability estimated as 50% the rate of mCRPC in EMBARK. Allocation within the </w:t>
      </w:r>
      <w:r w:rsidRPr="00E16BBF">
        <w:rPr>
          <w:rFonts w:cs="Times New Roman"/>
          <w:lang w:eastAsia="en-GB"/>
        </w:rPr>
        <w:t xml:space="preserve">m0HSPC health state to treatment suspension was based on proportions from EMBARK and the average duration of treatment suspension. Allocation from treatment suspension to mHSPC was stated as based on EMBARK, but </w:t>
      </w:r>
      <w:r w:rsidR="00FF1F6D" w:rsidRPr="00E16BBF">
        <w:rPr>
          <w:rFonts w:cs="Times New Roman"/>
          <w:lang w:eastAsia="en-GB"/>
        </w:rPr>
        <w:t xml:space="preserve">the ESC noted that </w:t>
      </w:r>
      <w:r w:rsidRPr="00E16BBF">
        <w:rPr>
          <w:rFonts w:cs="Times New Roman"/>
          <w:lang w:eastAsia="en-GB"/>
        </w:rPr>
        <w:t xml:space="preserve">this could not be </w:t>
      </w:r>
      <w:r w:rsidR="00FF1F6D" w:rsidRPr="00E16BBF">
        <w:rPr>
          <w:rFonts w:cs="Times New Roman"/>
          <w:lang w:eastAsia="en-GB"/>
        </w:rPr>
        <w:t>verified,</w:t>
      </w:r>
      <w:r w:rsidRPr="00E16BBF">
        <w:rPr>
          <w:rFonts w:cs="Times New Roman"/>
          <w:lang w:eastAsia="en-GB"/>
        </w:rPr>
        <w:t xml:space="preserve"> </w:t>
      </w:r>
      <w:r w:rsidRPr="00E16BBF">
        <w:t>and it was unclear why the probability was higher in enzalutamide arms (0.15% per cycle enzalutamide plus ADT, 0.27% enzalutamide monotherapy) than ADT alone (0.08% per cycle).</w:t>
      </w:r>
    </w:p>
    <w:p w14:paraId="023EEA8D" w14:textId="482D2A5D" w:rsidR="00ED509D" w:rsidRPr="00B63CD0" w:rsidRDefault="00ED509D" w:rsidP="00ED509D">
      <w:pPr>
        <w:pStyle w:val="3-BodyText"/>
        <w:numPr>
          <w:ilvl w:val="1"/>
          <w:numId w:val="1"/>
        </w:numPr>
      </w:pPr>
      <w:r w:rsidRPr="00E16BBF">
        <w:rPr>
          <w:rFonts w:cs="Times New Roman"/>
          <w:lang w:eastAsia="en-GB"/>
        </w:rPr>
        <w:t xml:space="preserve">Time to further progression and death from progressed disease states (mHSPC, m0CRPC, mCRPC) used a Markov model approach. Monthly transition probabilities were based on treatment allocation upon entry to each progressed health state and </w:t>
      </w:r>
      <w:r w:rsidRPr="00E16BBF">
        <w:rPr>
          <w:rFonts w:cs="Times New Roman"/>
          <w:lang w:eastAsia="en-GB"/>
        </w:rPr>
        <w:lastRenderedPageBreak/>
        <w:t>the expected time to progression or death based upon enzalutamide trials in mHSPC, m0CRPC, mCRPC (ARCHES, PROSPER, PREVAIL).</w:t>
      </w:r>
      <w:r w:rsidRPr="00E16BBF">
        <w:t xml:space="preserve"> </w:t>
      </w:r>
    </w:p>
    <w:p w14:paraId="42B8E10A" w14:textId="4D3E40B5" w:rsidR="00ED509D" w:rsidRPr="00E16BBF" w:rsidRDefault="00ED509D" w:rsidP="00ED509D">
      <w:pPr>
        <w:pStyle w:val="3-BodyText"/>
        <w:numPr>
          <w:ilvl w:val="1"/>
          <w:numId w:val="1"/>
        </w:numPr>
      </w:pPr>
      <w:r w:rsidRPr="00E16BBF">
        <w:rPr>
          <w:rFonts w:cs="Times New Roman"/>
          <w:lang w:eastAsia="en-GB"/>
        </w:rPr>
        <w:t xml:space="preserve">Patients in all health states (except treatment suspension, who were off treatment by definition) could be on or off treatment. Time on treatment was modelled based on time to treatment discontinuation (TTD) </w:t>
      </w:r>
      <w:r w:rsidR="008926BA">
        <w:rPr>
          <w:rFonts w:cs="Times New Roman"/>
          <w:lang w:eastAsia="en-GB"/>
        </w:rPr>
        <w:t>Kaplan Meier</w:t>
      </w:r>
      <w:r w:rsidRPr="00E16BBF">
        <w:rPr>
          <w:rFonts w:cs="Times New Roman"/>
          <w:lang w:eastAsia="en-GB"/>
        </w:rPr>
        <w:t xml:space="preserve"> data before and after treatment suspension in EMBARK extrapolated to 30 years.</w:t>
      </w:r>
      <w:r w:rsidRPr="00E16BBF">
        <w:t xml:space="preserve"> </w:t>
      </w:r>
      <w:r w:rsidR="0081473F" w:rsidRPr="00E16BBF">
        <w:rPr>
          <w:rFonts w:cs="Times New Roman"/>
          <w:lang w:eastAsia="en-GB"/>
        </w:rPr>
        <w:t xml:space="preserve">Treatment suspension occurred at Month 9 with </w:t>
      </w:r>
      <w:r w:rsidR="0081473F" w:rsidRPr="00E16BBF">
        <w:t xml:space="preserve">a proportion of patients (90.9% enzalutamide plus ADT arm, 85.9% enzalutamide monotherapy arm, 67.8% ADT alone arm) suspending treatment, followed by 68.3% patients resuming treatment at Month 39 in the enzalutamide plus ADT arm, 76.3% patients resuming treatment at Month 27 in the enzalutamide monotherapy arm, and 57.3% at Month 33 in the ADT arm. </w:t>
      </w:r>
      <w:r w:rsidRPr="00E16BBF">
        <w:t xml:space="preserve">The treatment suspension substates based on the trial may not reflect how enzalutamide will be used in practice, and the difference between treatment suspension, stoppage and intermittent treatment may be open to interpretation in practice. </w:t>
      </w:r>
      <w:r w:rsidR="00FF1F6D" w:rsidRPr="00E16BBF">
        <w:t xml:space="preserve">The ESC considered that the application of the treatment suspension in clinical practice would likely differ to how it was mandated in the EMBARK trial, and this was likely to have a significant effect on the cost effectiveness of enzalutamide + ADT. </w:t>
      </w:r>
      <w:r w:rsidRPr="00E16BBF">
        <w:t>Time to subsequent treatment discontinuation in the progressed health states was based on pooled median time on treatment for available treatments from a range of sources, including ARCHES, TITAN, ARASENS</w:t>
      </w:r>
      <w:r w:rsidR="006619E7" w:rsidRPr="00E16BBF">
        <w:t>,</w:t>
      </w:r>
      <w:r w:rsidRPr="00E16BBF">
        <w:t xml:space="preserve"> PROSPER, and PREVAIL. </w:t>
      </w:r>
      <w:r w:rsidR="00DF24EF">
        <w:t>The pre-PBAC response stated that treatment suspension was protocol defined and should be considered as trial evidence rather than a bias in favour of the enzalutamide arms.</w:t>
      </w:r>
    </w:p>
    <w:p w14:paraId="499E10DB" w14:textId="4B6908D4" w:rsidR="00ED509D" w:rsidRPr="00E16BBF" w:rsidRDefault="00ED509D" w:rsidP="00ED509D">
      <w:pPr>
        <w:pStyle w:val="3-BodyText"/>
        <w:numPr>
          <w:ilvl w:val="1"/>
          <w:numId w:val="1"/>
        </w:numPr>
      </w:pPr>
      <w:r w:rsidRPr="00E16BBF">
        <w:t>The model estimated costs and benefits over the lifetime, with a base case time horizon of 30 years</w:t>
      </w:r>
      <w:r w:rsidR="00FF1F6D" w:rsidRPr="00E16BBF">
        <w:t xml:space="preserve"> (age of entry to the model was 69 years)</w:t>
      </w:r>
      <w:r w:rsidRPr="00E16BBF">
        <w:t>. While patients are expected to have long survival, the extrapolation was long compared to the trial follow up (median 60-67 months). PBAC has previously considered time horizons of 10 years in m0CRPC (paragraph 4.6, darolutamide PSD, July 2021 PBAC meeting) and mHSPC (paragraph</w:t>
      </w:r>
      <w:r w:rsidR="008476AA">
        <w:t>s</w:t>
      </w:r>
      <w:r w:rsidRPr="00E16BBF">
        <w:t xml:space="preserve"> 7.15</w:t>
      </w:r>
      <w:r w:rsidR="008476AA">
        <w:t xml:space="preserve"> and 7.</w:t>
      </w:r>
      <w:r w:rsidRPr="00E16BBF">
        <w:t>16, apalutamide PSD, Nov 2021 PBAC meeting, paragraph 6.57-6.58, enzalutamide PSD, March 2023 PBAC meeting).</w:t>
      </w:r>
      <w:r w:rsidR="00687AFF" w:rsidRPr="00E16BBF">
        <w:t xml:space="preserve"> The PSCR reiterate</w:t>
      </w:r>
      <w:r w:rsidR="00FF1F6D" w:rsidRPr="00E16BBF">
        <w:t>d</w:t>
      </w:r>
      <w:r w:rsidR="00687AFF" w:rsidRPr="00E16BBF">
        <w:t xml:space="preserve"> that 89% and 92% of patients in the enzalutamide monotherapy and enzalutamide + ADT arms respectively were alive after a 5 year follow up and </w:t>
      </w:r>
      <w:r w:rsidR="00FF1F6D" w:rsidRPr="00E16BBF">
        <w:t xml:space="preserve">stated </w:t>
      </w:r>
      <w:r w:rsidR="00687AFF" w:rsidRPr="00E16BBF">
        <w:t>that a 10</w:t>
      </w:r>
      <w:r w:rsidR="00FF1F6D" w:rsidRPr="00E16BBF">
        <w:t>-</w:t>
      </w:r>
      <w:r w:rsidR="00687AFF" w:rsidRPr="00E16BBF">
        <w:t>year time horizon in the early setting was unrealistic.</w:t>
      </w:r>
    </w:p>
    <w:p w14:paraId="47948EE5" w14:textId="3BC65F63" w:rsidR="00ED509D" w:rsidRPr="00E16BBF" w:rsidRDefault="00ED509D" w:rsidP="00ED509D">
      <w:pPr>
        <w:pStyle w:val="3-BodyText"/>
        <w:numPr>
          <w:ilvl w:val="1"/>
          <w:numId w:val="1"/>
        </w:numPr>
      </w:pPr>
      <w:r w:rsidRPr="00E16BBF">
        <w:t>K</w:t>
      </w:r>
      <w:r w:rsidR="008926BA">
        <w:t>aplan Meier</w:t>
      </w:r>
      <w:r w:rsidRPr="00E16BBF">
        <w:t xml:space="preserve"> data from EMBARK are presented in </w:t>
      </w:r>
      <w:r w:rsidRPr="00E16BBF">
        <w:fldChar w:fldCharType="begin" w:fldLock="1"/>
      </w:r>
      <w:r w:rsidRPr="00E16BBF">
        <w:instrText xml:space="preserve"> REF _Ref176363283 \h </w:instrText>
      </w:r>
      <w:r w:rsidR="00B63CD0" w:rsidRPr="00E16BBF">
        <w:instrText xml:space="preserve"> \* MERGEFORMAT </w:instrText>
      </w:r>
      <w:r w:rsidRPr="00E16BBF">
        <w:fldChar w:fldCharType="separate"/>
      </w:r>
      <w:r w:rsidR="006619E7" w:rsidRPr="00E16BBF">
        <w:t xml:space="preserve">Figure </w:t>
      </w:r>
      <w:r w:rsidR="006619E7" w:rsidRPr="00E16BBF">
        <w:rPr>
          <w:noProof/>
        </w:rPr>
        <w:t>3</w:t>
      </w:r>
      <w:r w:rsidRPr="00E16BBF">
        <w:fldChar w:fldCharType="end"/>
      </w:r>
      <w:r w:rsidRPr="00E16BBF">
        <w:t>. In the base case, K</w:t>
      </w:r>
      <w:r w:rsidR="008926BA">
        <w:t xml:space="preserve">aplan Meier </w:t>
      </w:r>
      <w:r w:rsidRPr="00E16BBF">
        <w:t>data were used to 69 months (ADT arm) and 75 months (enzalutamide arms) for PFS and TTD and 78 months (all arms) for OS,</w:t>
      </w:r>
      <w:r w:rsidR="00861B37" w:rsidRPr="00E16BBF">
        <w:t xml:space="preserve"> where 10% patients remained at risk,</w:t>
      </w:r>
      <w:r w:rsidRPr="00E16BBF">
        <w:t xml:space="preserve"> followed by extrapolation to 30 years.</w:t>
      </w:r>
      <w:r w:rsidR="00861B37" w:rsidRPr="00E16BBF">
        <w:t xml:space="preserve"> The choice of month cut-off was generally reasonable, although other model assumptions, discussed in the following paragraphs, meant that </w:t>
      </w:r>
      <w:r w:rsidR="00FF1F6D" w:rsidRPr="00E16BBF">
        <w:t xml:space="preserve">where </w:t>
      </w:r>
      <w:r w:rsidR="008926BA">
        <w:t xml:space="preserve">Kaplan Meier </w:t>
      </w:r>
      <w:r w:rsidR="00FF1F6D" w:rsidRPr="00E16BBF">
        <w:t>data was applied, it was adjusted by other factors (usually related to mortality)</w:t>
      </w:r>
      <w:r w:rsidR="00861B37" w:rsidRPr="00E16BBF">
        <w:t xml:space="preserve">, and it may </w:t>
      </w:r>
      <w:r w:rsidR="00FF1F6D" w:rsidRPr="00E16BBF">
        <w:t xml:space="preserve">have </w:t>
      </w:r>
      <w:r w:rsidR="00861B37" w:rsidRPr="00E16BBF">
        <w:t>be</w:t>
      </w:r>
      <w:r w:rsidR="00FF1F6D" w:rsidRPr="00E16BBF">
        <w:t>en</w:t>
      </w:r>
      <w:r w:rsidR="00861B37" w:rsidRPr="00E16BBF">
        <w:t xml:space="preserve"> more reasonable to implement the parametric extrapolations for Time 0.</w:t>
      </w:r>
      <w:r w:rsidRPr="00E16BBF">
        <w:t xml:space="preserve"> Treatment reinitiation was modelled using a parametric function from the time of reinitiation. The submission did not explain why the </w:t>
      </w:r>
      <w:r w:rsidR="008926BA">
        <w:t xml:space="preserve">Kaplan Meier </w:t>
      </w:r>
      <w:r w:rsidRPr="00E16BBF">
        <w:t xml:space="preserve">curves of MFS and OS for the enzalutamide plus ADT </w:t>
      </w:r>
      <w:r w:rsidRPr="00E16BBF">
        <w:lastRenderedPageBreak/>
        <w:t xml:space="preserve">arms crossed, which should be an impossibility. </w:t>
      </w:r>
      <w:r w:rsidR="00687AFF" w:rsidRPr="00E16BBF">
        <w:t xml:space="preserve">The PSCR stated that the </w:t>
      </w:r>
      <w:r w:rsidR="008926BA">
        <w:t>Kaplan Meier</w:t>
      </w:r>
      <w:r w:rsidR="00687AFF" w:rsidRPr="00E16BBF">
        <w:t xml:space="preserve"> estimates of MFS and OS in the last phase </w:t>
      </w:r>
      <w:r w:rsidR="00FF1F6D" w:rsidRPr="00E16BBF">
        <w:t>we</w:t>
      </w:r>
      <w:r w:rsidR="00687AFF" w:rsidRPr="00E16BBF">
        <w:t xml:space="preserve">re affected by the very small numbers of patients remaining at risk. </w:t>
      </w:r>
      <w:r w:rsidRPr="00E16BBF">
        <w:t xml:space="preserve">The submission also did not explain the severe drop in the TTD from Time 0 </w:t>
      </w:r>
      <w:r w:rsidR="008926BA">
        <w:t>Kaplan Meier</w:t>
      </w:r>
      <w:r w:rsidRPr="00E16BBF">
        <w:t xml:space="preserve"> curve at ~Month 8, but this may have been the proportion of patients who suspended treatment and then never reinitiated.</w:t>
      </w:r>
    </w:p>
    <w:p w14:paraId="293AC4C7" w14:textId="2F5B87C3" w:rsidR="00ED509D" w:rsidRDefault="00ED509D" w:rsidP="00A32882">
      <w:pPr>
        <w:pStyle w:val="TableFigureHeading"/>
      </w:pPr>
      <w:bookmarkStart w:id="44" w:name="_Ref176363283"/>
      <w:r>
        <w:t xml:space="preserve">Figure </w:t>
      </w:r>
      <w:r>
        <w:fldChar w:fldCharType="begin" w:fldLock="1"/>
      </w:r>
      <w:r>
        <w:instrText xml:space="preserve"> SEQ Figure \* ARABIC </w:instrText>
      </w:r>
      <w:r>
        <w:fldChar w:fldCharType="separate"/>
      </w:r>
      <w:r w:rsidR="006619E7">
        <w:rPr>
          <w:noProof/>
        </w:rPr>
        <w:t>3</w:t>
      </w:r>
      <w:r>
        <w:rPr>
          <w:noProof/>
        </w:rPr>
        <w:fldChar w:fldCharType="end"/>
      </w:r>
      <w:bookmarkEnd w:id="44"/>
      <w:r>
        <w:t>: EMBARK KM data used in the model</w:t>
      </w:r>
    </w:p>
    <w:tbl>
      <w:tblPr>
        <w:tblStyle w:val="TableGrid"/>
        <w:tblW w:w="0" w:type="auto"/>
        <w:tblCellMar>
          <w:left w:w="28" w:type="dxa"/>
          <w:right w:w="28" w:type="dxa"/>
        </w:tblCellMar>
        <w:tblLook w:val="04A0" w:firstRow="1" w:lastRow="0" w:firstColumn="1" w:lastColumn="0" w:noHBand="0" w:noVBand="1"/>
      </w:tblPr>
      <w:tblGrid>
        <w:gridCol w:w="4508"/>
        <w:gridCol w:w="4509"/>
      </w:tblGrid>
      <w:tr w:rsidR="00ED509D" w14:paraId="29A0EAE5" w14:textId="77777777" w:rsidTr="00142C15">
        <w:tc>
          <w:tcPr>
            <w:tcW w:w="4508" w:type="dxa"/>
            <w:tcBorders>
              <w:top w:val="single" w:sz="4" w:space="0" w:color="auto"/>
              <w:left w:val="single" w:sz="4" w:space="0" w:color="auto"/>
              <w:bottom w:val="single" w:sz="4" w:space="0" w:color="auto"/>
              <w:right w:val="single" w:sz="4" w:space="0" w:color="auto"/>
            </w:tcBorders>
            <w:vAlign w:val="center"/>
            <w:hideMark/>
          </w:tcPr>
          <w:p w14:paraId="4E9BDB1C" w14:textId="77777777" w:rsidR="00ED509D" w:rsidRDefault="00ED509D" w:rsidP="00A32882">
            <w:pPr>
              <w:pStyle w:val="In-tableHeading"/>
              <w:keepNext/>
              <w:jc w:val="center"/>
            </w:pPr>
            <w:r>
              <w:t>Time to treatment discontinuation, metastases, and death (from Time 0)</w:t>
            </w:r>
          </w:p>
        </w:tc>
        <w:tc>
          <w:tcPr>
            <w:tcW w:w="4509" w:type="dxa"/>
            <w:tcBorders>
              <w:top w:val="single" w:sz="4" w:space="0" w:color="auto"/>
              <w:left w:val="single" w:sz="4" w:space="0" w:color="auto"/>
              <w:bottom w:val="single" w:sz="4" w:space="0" w:color="auto"/>
              <w:right w:val="single" w:sz="4" w:space="0" w:color="auto"/>
            </w:tcBorders>
            <w:vAlign w:val="center"/>
            <w:hideMark/>
          </w:tcPr>
          <w:p w14:paraId="4C31B2B0" w14:textId="77777777" w:rsidR="00ED509D" w:rsidRDefault="00ED509D" w:rsidP="00A32882">
            <w:pPr>
              <w:pStyle w:val="In-tableHeading"/>
              <w:keepNext/>
              <w:jc w:val="center"/>
            </w:pPr>
            <w:r>
              <w:t>Time to treatment discontinuation after treatment reinitiation</w:t>
            </w:r>
          </w:p>
        </w:tc>
      </w:tr>
      <w:tr w:rsidR="00ED509D" w14:paraId="229BE9C0" w14:textId="77777777" w:rsidTr="00142C15">
        <w:tc>
          <w:tcPr>
            <w:tcW w:w="4508" w:type="dxa"/>
            <w:tcBorders>
              <w:top w:val="single" w:sz="4" w:space="0" w:color="auto"/>
              <w:left w:val="single" w:sz="4" w:space="0" w:color="auto"/>
              <w:bottom w:val="single" w:sz="4" w:space="0" w:color="auto"/>
              <w:right w:val="single" w:sz="4" w:space="0" w:color="auto"/>
            </w:tcBorders>
            <w:vAlign w:val="center"/>
            <w:hideMark/>
          </w:tcPr>
          <w:p w14:paraId="1D602EAE" w14:textId="77777777" w:rsidR="00ED509D" w:rsidRDefault="00ED509D" w:rsidP="00A32882">
            <w:pPr>
              <w:keepNext/>
              <w:jc w:val="center"/>
            </w:pPr>
            <w:r>
              <w:rPr>
                <w:noProof/>
              </w:rPr>
              <w:drawing>
                <wp:inline distT="0" distB="0" distL="0" distR="0" wp14:anchorId="0A7C91DD" wp14:editId="5C9E5CA8">
                  <wp:extent cx="2790000" cy="1822803"/>
                  <wp:effectExtent l="0" t="0" r="0" b="6350"/>
                  <wp:docPr id="46" name="Picture 46" descr="Figure 3: EMBARK KM data used in the model&#10;Time to treatment discontinuation, metastases, and death (from Time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Figure 3: EMBARK KM data used in the model&#10;Time to treatment discontinuation, metastases, and death (from Time 0)&#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c>
          <w:tcPr>
            <w:tcW w:w="4509" w:type="dxa"/>
            <w:tcBorders>
              <w:top w:val="single" w:sz="4" w:space="0" w:color="auto"/>
              <w:left w:val="single" w:sz="4" w:space="0" w:color="auto"/>
              <w:bottom w:val="single" w:sz="4" w:space="0" w:color="auto"/>
              <w:right w:val="single" w:sz="4" w:space="0" w:color="auto"/>
            </w:tcBorders>
            <w:vAlign w:val="center"/>
            <w:hideMark/>
          </w:tcPr>
          <w:p w14:paraId="0DEB9ABC" w14:textId="77777777" w:rsidR="00ED509D" w:rsidRDefault="00ED509D" w:rsidP="00A32882">
            <w:pPr>
              <w:keepNext/>
              <w:jc w:val="center"/>
            </w:pPr>
            <w:r>
              <w:rPr>
                <w:noProof/>
              </w:rPr>
              <w:drawing>
                <wp:inline distT="0" distB="0" distL="0" distR="0" wp14:anchorId="2B3C7EAB" wp14:editId="216D11F9">
                  <wp:extent cx="2790000" cy="1822803"/>
                  <wp:effectExtent l="0" t="0" r="0" b="6350"/>
                  <wp:docPr id="47" name="Picture 47" descr="Figure 3: EMBARK KM data used in the model&#10;Time to treatment discontinuation after treatment reiniti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Figure 3: EMBARK KM data used in the model&#10;Time to treatment discontinuation after treatment reinitiation&#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r>
    </w:tbl>
    <w:p w14:paraId="52634137" w14:textId="77777777" w:rsidR="00ED509D" w:rsidRDefault="00ED509D" w:rsidP="009F195B">
      <w:pPr>
        <w:pStyle w:val="TableFigureFooter"/>
      </w:pPr>
      <w:r>
        <w:t>Source: compiled during the evaluation from the Excel file ‘Attachment 08 – XTANDI nmHSPC_CEM_v10.xlsm’</w:t>
      </w:r>
    </w:p>
    <w:p w14:paraId="44C9CC59" w14:textId="77777777" w:rsidR="00ED509D" w:rsidRDefault="00ED509D" w:rsidP="009F195B">
      <w:pPr>
        <w:pStyle w:val="TableFigureFooter"/>
      </w:pPr>
      <w:r>
        <w:t>ADT=androgen deprivation therapy, ENZA=enzalutamide, MFS=metastases free survival, OS=overall survival, TTD=time to treatment discontinuation</w:t>
      </w:r>
    </w:p>
    <w:p w14:paraId="0CB1455B" w14:textId="17A64817" w:rsidR="00ED509D" w:rsidRPr="00B63CD0" w:rsidRDefault="00ED509D" w:rsidP="00ED509D">
      <w:pPr>
        <w:pStyle w:val="3-BodyText"/>
        <w:numPr>
          <w:ilvl w:val="1"/>
          <w:numId w:val="1"/>
        </w:numPr>
      </w:pPr>
      <w:r w:rsidRPr="00B63CD0">
        <w:t>Individual patient data (IPD) from EMBARK was used to fit parametric survival curves for MFS, TTD from trial start, TTD from treatment reinitiation and OS. The submission selected the parametric functions for the base case using a combination of goodness of fit statistics (the Akaike information criterion [AIC] and Bayesian information criterion [BIC]), visual inspection, clinical plausibility and consistency with the other extrapolations. The submission independently fitted all extrapolations, which was reasonable, although proportional hazards did not appear to have been tested and the proposed MAP described that the ICERs would be updated with revised hazard ratios for MFS and OS when final analysis for EMBARK was complete, inconsistent with the approach presented here.</w:t>
      </w:r>
    </w:p>
    <w:p w14:paraId="02611EB2" w14:textId="71390C85" w:rsidR="006A4FCD" w:rsidRPr="00B63CD0" w:rsidRDefault="00ED509D" w:rsidP="006A4FCD">
      <w:pPr>
        <w:pStyle w:val="3-BodyText"/>
        <w:numPr>
          <w:ilvl w:val="1"/>
          <w:numId w:val="1"/>
        </w:numPr>
      </w:pPr>
      <w:r w:rsidRPr="00B63CD0">
        <w:t>Extrapolations based on EMBARK ITT are presented below.</w:t>
      </w:r>
    </w:p>
    <w:p w14:paraId="3012335F" w14:textId="05ADE223" w:rsidR="00ED509D" w:rsidRDefault="00ED509D" w:rsidP="006A4FCD">
      <w:pPr>
        <w:pStyle w:val="TableFigureHeading"/>
      </w:pPr>
      <w:r>
        <w:lastRenderedPageBreak/>
        <w:t xml:space="preserve">Figure </w:t>
      </w:r>
      <w:r>
        <w:fldChar w:fldCharType="begin" w:fldLock="1"/>
      </w:r>
      <w:r>
        <w:instrText xml:space="preserve"> SEQ Figure \* ARABIC </w:instrText>
      </w:r>
      <w:r>
        <w:fldChar w:fldCharType="separate"/>
      </w:r>
      <w:r w:rsidR="006619E7">
        <w:rPr>
          <w:noProof/>
        </w:rPr>
        <w:t>4</w:t>
      </w:r>
      <w:r>
        <w:rPr>
          <w:noProof/>
        </w:rPr>
        <w:fldChar w:fldCharType="end"/>
      </w:r>
      <w:r>
        <w:t>: Extrapolations of EMBARK KM data</w:t>
      </w:r>
    </w:p>
    <w:tbl>
      <w:tblPr>
        <w:tblStyle w:val="TableGrid"/>
        <w:tblW w:w="0" w:type="auto"/>
        <w:tblCellMar>
          <w:left w:w="28" w:type="dxa"/>
          <w:right w:w="28" w:type="dxa"/>
        </w:tblCellMar>
        <w:tblLook w:val="04A0" w:firstRow="1" w:lastRow="0" w:firstColumn="1" w:lastColumn="0" w:noHBand="0" w:noVBand="1"/>
      </w:tblPr>
      <w:tblGrid>
        <w:gridCol w:w="4508"/>
        <w:gridCol w:w="4509"/>
      </w:tblGrid>
      <w:tr w:rsidR="00ED509D" w14:paraId="06FE0142" w14:textId="77777777" w:rsidTr="00142C15">
        <w:trPr>
          <w:tblHeader/>
        </w:trPr>
        <w:tc>
          <w:tcPr>
            <w:tcW w:w="4508" w:type="dxa"/>
            <w:vAlign w:val="center"/>
          </w:tcPr>
          <w:p w14:paraId="45499602" w14:textId="77777777" w:rsidR="00ED509D" w:rsidRDefault="00ED509D" w:rsidP="006A4FCD">
            <w:pPr>
              <w:pStyle w:val="In-tableHeading"/>
              <w:keepNext/>
              <w:jc w:val="center"/>
            </w:pPr>
            <w:bookmarkStart w:id="45" w:name="_Hlk176777285"/>
            <w:r>
              <w:t>Enzalutamide plus ADT vs ADT alone</w:t>
            </w:r>
          </w:p>
        </w:tc>
        <w:tc>
          <w:tcPr>
            <w:tcW w:w="4509" w:type="dxa"/>
            <w:vAlign w:val="center"/>
          </w:tcPr>
          <w:p w14:paraId="330CA40B" w14:textId="77777777" w:rsidR="00ED509D" w:rsidRDefault="00ED509D" w:rsidP="006A4FCD">
            <w:pPr>
              <w:pStyle w:val="In-tableHeading"/>
              <w:keepNext/>
              <w:jc w:val="center"/>
            </w:pPr>
            <w:r>
              <w:t>Enzalutamide monotherapy vs ADT alone</w:t>
            </w:r>
          </w:p>
        </w:tc>
      </w:tr>
      <w:tr w:rsidR="00ED509D" w14:paraId="0E6A8904" w14:textId="77777777" w:rsidTr="00142C15">
        <w:tc>
          <w:tcPr>
            <w:tcW w:w="9017" w:type="dxa"/>
            <w:gridSpan w:val="2"/>
            <w:vAlign w:val="center"/>
          </w:tcPr>
          <w:p w14:paraId="5982EA7C" w14:textId="77777777" w:rsidR="00ED509D" w:rsidRDefault="00ED509D" w:rsidP="006A4FCD">
            <w:pPr>
              <w:pStyle w:val="In-tableHeading"/>
              <w:keepNext/>
              <w:jc w:val="center"/>
            </w:pPr>
            <w:r>
              <w:t>Metastases free survival</w:t>
            </w:r>
          </w:p>
        </w:tc>
      </w:tr>
      <w:tr w:rsidR="00ED509D" w14:paraId="1B88A954" w14:textId="77777777" w:rsidTr="00142C15">
        <w:tc>
          <w:tcPr>
            <w:tcW w:w="4508" w:type="dxa"/>
            <w:vAlign w:val="center"/>
          </w:tcPr>
          <w:p w14:paraId="28171C7F" w14:textId="77777777" w:rsidR="00ED509D" w:rsidRDefault="00ED509D" w:rsidP="006A4FCD">
            <w:pPr>
              <w:pStyle w:val="In-tableHeading"/>
              <w:keepNext/>
            </w:pPr>
            <w:r>
              <w:rPr>
                <w:noProof/>
              </w:rPr>
              <w:drawing>
                <wp:inline distT="0" distB="0" distL="0" distR="0" wp14:anchorId="46D84964" wp14:editId="4A1921BF">
                  <wp:extent cx="2790000" cy="1822803"/>
                  <wp:effectExtent l="0" t="0" r="0" b="6350"/>
                  <wp:docPr id="48" name="Picture 48" descr="Figure 4: Extrapolations of EMBARK KM data&#10;Enzalutamide plus ADT vs ADT alone&#10;Metastases free surviv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Figure 4: Extrapolations of EMBARK KM data&#10;Enzalutamide plus ADT vs ADT alone&#10;Metastases free survival&#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c>
          <w:tcPr>
            <w:tcW w:w="4509" w:type="dxa"/>
            <w:vAlign w:val="center"/>
          </w:tcPr>
          <w:p w14:paraId="19ACF6E7" w14:textId="77777777" w:rsidR="00ED509D" w:rsidRDefault="00ED509D" w:rsidP="006A4FCD">
            <w:pPr>
              <w:pStyle w:val="In-tableHeading"/>
              <w:keepNext/>
            </w:pPr>
            <w:r>
              <w:rPr>
                <w:noProof/>
              </w:rPr>
              <w:drawing>
                <wp:inline distT="0" distB="0" distL="0" distR="0" wp14:anchorId="5A76949F" wp14:editId="4A9E5980">
                  <wp:extent cx="2790000" cy="1822803"/>
                  <wp:effectExtent l="0" t="0" r="0" b="6350"/>
                  <wp:docPr id="49" name="Picture 49" descr="Figure 4: Extrapolations of EMBARK KM data&#10;Enzalutamide monotherapy vs ADT alone&#10;Metastases free surviv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Figure 4: Extrapolations of EMBARK KM data&#10;Enzalutamide monotherapy vs ADT alone&#10;Metastases free survival&#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r>
      <w:tr w:rsidR="00ED509D" w14:paraId="4EB75308" w14:textId="77777777" w:rsidTr="00142C15">
        <w:tc>
          <w:tcPr>
            <w:tcW w:w="9017" w:type="dxa"/>
            <w:gridSpan w:val="2"/>
            <w:vAlign w:val="center"/>
          </w:tcPr>
          <w:p w14:paraId="64D4B1D6" w14:textId="77777777" w:rsidR="00ED509D" w:rsidRDefault="00ED509D" w:rsidP="006A4FCD">
            <w:pPr>
              <w:pStyle w:val="In-tableHeading"/>
              <w:keepNext/>
              <w:jc w:val="center"/>
            </w:pPr>
            <w:r>
              <w:t>Overall Survival</w:t>
            </w:r>
          </w:p>
        </w:tc>
      </w:tr>
      <w:tr w:rsidR="00ED509D" w14:paraId="2EFF5617" w14:textId="77777777" w:rsidTr="00142C15">
        <w:tc>
          <w:tcPr>
            <w:tcW w:w="4508" w:type="dxa"/>
            <w:vAlign w:val="center"/>
          </w:tcPr>
          <w:p w14:paraId="69F93025" w14:textId="77777777" w:rsidR="00ED509D" w:rsidRDefault="00ED509D" w:rsidP="006A4FCD">
            <w:pPr>
              <w:pStyle w:val="In-tableHeading"/>
              <w:keepNext/>
            </w:pPr>
            <w:r>
              <w:rPr>
                <w:noProof/>
              </w:rPr>
              <w:drawing>
                <wp:inline distT="0" distB="0" distL="0" distR="0" wp14:anchorId="670FF7CA" wp14:editId="1A3D2904">
                  <wp:extent cx="2790000" cy="1822803"/>
                  <wp:effectExtent l="0" t="0" r="0" b="6350"/>
                  <wp:docPr id="50" name="Picture 50" descr="Figure 4: Extrapolations of EMBARK KM data&#10;Enzalutamide plus ADT vs ADT alone&#10;Overall surviv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Figure 4: Extrapolations of EMBARK KM data&#10;Enzalutamide plus ADT vs ADT alone&#10;Overall survival&#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c>
          <w:tcPr>
            <w:tcW w:w="4509" w:type="dxa"/>
            <w:vAlign w:val="center"/>
          </w:tcPr>
          <w:p w14:paraId="17B8FE45" w14:textId="77777777" w:rsidR="00ED509D" w:rsidRDefault="00ED509D" w:rsidP="006A4FCD">
            <w:pPr>
              <w:pStyle w:val="In-tableHeading"/>
              <w:keepNext/>
            </w:pPr>
            <w:r>
              <w:rPr>
                <w:noProof/>
              </w:rPr>
              <w:drawing>
                <wp:inline distT="0" distB="0" distL="0" distR="0" wp14:anchorId="5FE13B7F" wp14:editId="64466B01">
                  <wp:extent cx="2790000" cy="1822803"/>
                  <wp:effectExtent l="0" t="0" r="0" b="6350"/>
                  <wp:docPr id="51" name="Picture 51" descr="Figure 4: Extrapolations of EMBARK KM data&#10;Enzalutamide monotherapy vs ADT alone&#10;Overall surviv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Figure 4: Extrapolations of EMBARK KM data&#10;Enzalutamide monotherapy vs ADT alone&#10;Overall survival&#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r>
      <w:tr w:rsidR="00ED509D" w14:paraId="69D104EB" w14:textId="77777777" w:rsidTr="00142C15">
        <w:tc>
          <w:tcPr>
            <w:tcW w:w="9017" w:type="dxa"/>
            <w:gridSpan w:val="2"/>
            <w:vAlign w:val="center"/>
          </w:tcPr>
          <w:p w14:paraId="14966C9A" w14:textId="1E808875" w:rsidR="00ED509D" w:rsidRDefault="00ED509D" w:rsidP="008F7A8E">
            <w:pPr>
              <w:pStyle w:val="In-tableHeading"/>
              <w:jc w:val="center"/>
            </w:pPr>
            <w:r>
              <w:t>Time to treatment discontinuation (from Cycle 0)</w:t>
            </w:r>
            <w:r w:rsidR="005E171B">
              <w:t>*</w:t>
            </w:r>
          </w:p>
        </w:tc>
      </w:tr>
      <w:tr w:rsidR="00ED509D" w14:paraId="55E8F0C4" w14:textId="77777777" w:rsidTr="00142C15">
        <w:tc>
          <w:tcPr>
            <w:tcW w:w="4508" w:type="dxa"/>
            <w:vAlign w:val="center"/>
          </w:tcPr>
          <w:p w14:paraId="12B69553" w14:textId="77777777" w:rsidR="00ED509D" w:rsidRDefault="00ED509D" w:rsidP="008F7A8E">
            <w:pPr>
              <w:pStyle w:val="In-tableHeading"/>
            </w:pPr>
            <w:r>
              <w:rPr>
                <w:noProof/>
              </w:rPr>
              <w:drawing>
                <wp:inline distT="0" distB="0" distL="0" distR="0" wp14:anchorId="4853C451" wp14:editId="0E7D23C6">
                  <wp:extent cx="2790000" cy="1822803"/>
                  <wp:effectExtent l="0" t="0" r="0" b="6350"/>
                  <wp:docPr id="52" name="Picture 52" descr="Figure 4: Extrapolations of EMBARK KM data&#10;Enzalutamide plus ADT vs ADT alone&#10;Time to treatment discontinuation (from Cycle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Figure 4: Extrapolations of EMBARK KM data&#10;Enzalutamide plus ADT vs ADT alone&#10;Time to treatment discontinuation (from Cycle 0)*&#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c>
          <w:tcPr>
            <w:tcW w:w="4509" w:type="dxa"/>
            <w:vAlign w:val="center"/>
          </w:tcPr>
          <w:p w14:paraId="018B3E7D" w14:textId="77777777" w:rsidR="00ED509D" w:rsidRDefault="00ED509D" w:rsidP="008F7A8E">
            <w:pPr>
              <w:pStyle w:val="In-tableHeading"/>
            </w:pPr>
            <w:r>
              <w:rPr>
                <w:noProof/>
              </w:rPr>
              <w:drawing>
                <wp:inline distT="0" distB="0" distL="0" distR="0" wp14:anchorId="0785001E" wp14:editId="24EB3EF8">
                  <wp:extent cx="2790000" cy="1822803"/>
                  <wp:effectExtent l="0" t="0" r="0" b="6350"/>
                  <wp:docPr id="53" name="Picture 53" descr="Figure 4: Extrapolations of EMBARK KM data&#10;Enzalutamide monotherapy vs ADT alone&#10;Time to treatment discontinuation (from Cycl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Figure 4: Extrapolations of EMBARK KM data&#10;Enzalutamide monotherapy vs ADT alone&#10;Time to treatment discontinuation (from Cycle 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r>
      <w:tr w:rsidR="00ED509D" w14:paraId="39C4B595" w14:textId="77777777" w:rsidTr="00142C15">
        <w:tc>
          <w:tcPr>
            <w:tcW w:w="9017" w:type="dxa"/>
            <w:gridSpan w:val="2"/>
            <w:vAlign w:val="center"/>
          </w:tcPr>
          <w:p w14:paraId="64696140" w14:textId="0856C8EE" w:rsidR="00ED509D" w:rsidRDefault="00ED509D" w:rsidP="003315FD">
            <w:pPr>
              <w:pStyle w:val="In-tableHeading"/>
              <w:keepNext/>
              <w:keepLines/>
              <w:jc w:val="center"/>
            </w:pPr>
            <w:r>
              <w:lastRenderedPageBreak/>
              <w:t>Time to treatment discontinuation (from treatment reinitiation)</w:t>
            </w:r>
            <w:r w:rsidR="008615CA">
              <w:t>*</w:t>
            </w:r>
          </w:p>
        </w:tc>
      </w:tr>
      <w:tr w:rsidR="00ED509D" w14:paraId="79CAEE53" w14:textId="77777777" w:rsidTr="00142C15">
        <w:tc>
          <w:tcPr>
            <w:tcW w:w="4508" w:type="dxa"/>
            <w:vAlign w:val="center"/>
          </w:tcPr>
          <w:p w14:paraId="4A76ED18" w14:textId="77777777" w:rsidR="00ED509D" w:rsidRDefault="00ED509D" w:rsidP="006A4FCD">
            <w:pPr>
              <w:pStyle w:val="In-tableHeading"/>
              <w:keepLines/>
            </w:pPr>
            <w:r>
              <w:rPr>
                <w:noProof/>
              </w:rPr>
              <w:drawing>
                <wp:inline distT="0" distB="0" distL="0" distR="0" wp14:anchorId="17FF49DC" wp14:editId="786D2C0E">
                  <wp:extent cx="2790000" cy="1822803"/>
                  <wp:effectExtent l="0" t="0" r="0" b="6350"/>
                  <wp:docPr id="54" name="Picture 54" descr="Figure 4: Extrapolations of EMBARK KM data&#10;Enzalutamide plus ADT vs ADT alone&#10;Time to treatment discontinuation (from treatment reinit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Figure 4: Extrapolations of EMBARK KM data&#10;Enzalutamide plus ADT vs ADT alone&#10;Time to treatment discontinuation (from treatment reinitiat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c>
          <w:tcPr>
            <w:tcW w:w="4509" w:type="dxa"/>
            <w:vAlign w:val="center"/>
          </w:tcPr>
          <w:p w14:paraId="4F729500" w14:textId="77777777" w:rsidR="00ED509D" w:rsidRDefault="00ED509D" w:rsidP="006A4FCD">
            <w:pPr>
              <w:pStyle w:val="In-tableHeading"/>
              <w:keepLines/>
            </w:pPr>
            <w:r>
              <w:rPr>
                <w:noProof/>
              </w:rPr>
              <w:drawing>
                <wp:inline distT="0" distB="0" distL="0" distR="0" wp14:anchorId="084557EC" wp14:editId="7DD51DA9">
                  <wp:extent cx="2790000" cy="1822803"/>
                  <wp:effectExtent l="0" t="0" r="0" b="6350"/>
                  <wp:docPr id="55" name="Picture 55" descr="Figure 4: Extrapolations of EMBARK KM data&#10;Enzalutamide monotherapy vs ADT alone&#10;Time to treatment discontinuation (from treatment reinit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Figure 4: Extrapolations of EMBARK KM data&#10;Enzalutamide monotherapy vs ADT alone&#10;Time to treatment discontinuation (from treatment reiniti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r>
    </w:tbl>
    <w:bookmarkEnd w:id="45"/>
    <w:p w14:paraId="7925D15F" w14:textId="349387BA" w:rsidR="00ED509D" w:rsidRDefault="00ED509D" w:rsidP="009F195B">
      <w:pPr>
        <w:pStyle w:val="TableFigureFooter"/>
      </w:pPr>
      <w:r>
        <w:t>Source: compiled during the evaluation from the Excel file ‘Attachment 08 – XTANDI nmHSPC_CEM_v10.xlsm’</w:t>
      </w:r>
    </w:p>
    <w:p w14:paraId="714E75B5" w14:textId="77777777" w:rsidR="007156D5" w:rsidRDefault="00ED509D" w:rsidP="009F195B">
      <w:pPr>
        <w:pStyle w:val="TableFigureFooter"/>
      </w:pPr>
      <w:r>
        <w:t>ADT=androgen deprivation therapy, ENZA=enzalutamide, MFS=metastases free survival, OS=overall survival, TTD=time to treatment discontinuation</w:t>
      </w:r>
      <w:r w:rsidR="007156D5">
        <w:t xml:space="preserve"> </w:t>
      </w:r>
    </w:p>
    <w:p w14:paraId="3ADE2704" w14:textId="44BC6FDA" w:rsidR="00ED509D" w:rsidRPr="00AD515A" w:rsidRDefault="00F95E30" w:rsidP="009F195B">
      <w:pPr>
        <w:pStyle w:val="TableFigureFooter"/>
        <w:rPr>
          <w:i/>
        </w:rPr>
      </w:pPr>
      <w:r w:rsidRPr="00AD515A">
        <w:rPr>
          <w:i/>
        </w:rPr>
        <w:t>Note that</w:t>
      </w:r>
      <w:r w:rsidR="002D42FF" w:rsidRPr="00AD515A">
        <w:rPr>
          <w:i/>
        </w:rPr>
        <w:t xml:space="preserve"> </w:t>
      </w:r>
      <w:r w:rsidR="00DA453B" w:rsidRPr="00AD515A">
        <w:rPr>
          <w:i/>
        </w:rPr>
        <w:t xml:space="preserve">results </w:t>
      </w:r>
      <w:r w:rsidR="00676F09">
        <w:t xml:space="preserve">in Figure 4 </w:t>
      </w:r>
      <w:r w:rsidR="00DA453B" w:rsidRPr="00AD515A">
        <w:rPr>
          <w:i/>
        </w:rPr>
        <w:t xml:space="preserve">denoted by (*) for the time to treatment discontinuation </w:t>
      </w:r>
      <w:r w:rsidR="007156D5" w:rsidRPr="00AD515A">
        <w:rPr>
          <w:i/>
        </w:rPr>
        <w:t>are derived from post-hoc analyses conducted by the applicant during the evaluation specifically for the purposes of informing the PBAC consideration. These analyses were not part of the pre-specified statistical plan from EMBARK study. Interpretation of the results and their application should therefore be limited to seeking to understand the basis for the PBAC outcome and should not be used for any other purpose.</w:t>
      </w:r>
    </w:p>
    <w:p w14:paraId="778BA7E1" w14:textId="2FDBDE91" w:rsidR="00ED509D" w:rsidRPr="00E16BBF" w:rsidRDefault="00ED509D" w:rsidP="00ED509D">
      <w:pPr>
        <w:pStyle w:val="3-BodyText"/>
        <w:numPr>
          <w:ilvl w:val="1"/>
          <w:numId w:val="1"/>
        </w:numPr>
      </w:pPr>
      <w:r w:rsidRPr="00E16BBF">
        <w:t>For OS, independent Weibull extrapolations were chosen as the base case in the enzalutamide plus ADT and ADT alone arms and gamma was the chosen extrapolation for the enzalutamide monotherapy arm. For MFS, Independent gamma distributions were chosen as the base case in each arm.</w:t>
      </w:r>
    </w:p>
    <w:p w14:paraId="6190C4C2" w14:textId="52ED62BD" w:rsidR="00ED509D" w:rsidRPr="00E16BBF" w:rsidRDefault="00ED509D" w:rsidP="00ED509D">
      <w:pPr>
        <w:pStyle w:val="3-BodyText"/>
        <w:numPr>
          <w:ilvl w:val="1"/>
          <w:numId w:val="1"/>
        </w:numPr>
        <w:rPr>
          <w:rFonts w:ascii="Calibri" w:hAnsi="Calibri" w:cs="Arial"/>
          <w:szCs w:val="24"/>
        </w:rPr>
      </w:pPr>
      <w:r w:rsidRPr="00E16BBF">
        <w:t>For OS and MFS, all extrapolations fit the data visually (with the exception of the exponential function for OS) to the time point where 10% patients remained at risk. Beyond this</w:t>
      </w:r>
      <w:r w:rsidR="00987079" w:rsidRPr="00E16BBF">
        <w:t>,</w:t>
      </w:r>
      <w:r w:rsidRPr="00E16BBF">
        <w:t xml:space="preserve"> extrapolations tended to exceed the </w:t>
      </w:r>
      <w:r w:rsidR="008926BA">
        <w:t xml:space="preserve">Kaplan Meier </w:t>
      </w:r>
      <w:r w:rsidRPr="00E16BBF">
        <w:t>data. The model assumed an OS benefit for enzalutamide with or without ADT over ADT alone despite no significant difference observed in EMBARK, and MFS and OS benefits in m0HSPC were assumed to persist across the time horizon. Further, the estimates of OS from EMBARK did not censor patients who died from progressed disease, despite the model estimating survival from progressed disease separately, resulting in double-counting of mortality (see model traces below). As MFS could not exceed total OS, modelled MFS was also adjusted by the modelled OS.</w:t>
      </w:r>
    </w:p>
    <w:p w14:paraId="498C857E" w14:textId="73570E59" w:rsidR="00ED509D" w:rsidRPr="00E16BBF" w:rsidRDefault="00ED509D" w:rsidP="00ED509D">
      <w:pPr>
        <w:pStyle w:val="3-BodyText"/>
        <w:numPr>
          <w:ilvl w:val="1"/>
          <w:numId w:val="1"/>
        </w:numPr>
      </w:pPr>
      <w:r w:rsidRPr="00E16BBF">
        <w:rPr>
          <w:lang w:val="en-US"/>
        </w:rPr>
        <w:t xml:space="preserve">When </w:t>
      </w:r>
      <w:r w:rsidRPr="00E16BBF">
        <w:t>patients</w:t>
      </w:r>
      <w:r w:rsidRPr="00E16BBF">
        <w:rPr>
          <w:lang w:val="en-US"/>
        </w:rPr>
        <w:t xml:space="preserve"> entered a </w:t>
      </w:r>
      <w:r w:rsidRPr="00E16BBF">
        <w:t>progressed</w:t>
      </w:r>
      <w:r w:rsidRPr="00E16BBF">
        <w:rPr>
          <w:lang w:val="en-US"/>
        </w:rPr>
        <w:t xml:space="preserve"> disease state (i.e., mHSPC, m0CRPC or mCRPC) they were allocated to a subsequent treatment based on the reported median PFS (or time to next treatment) and OS from the enzalutamide trials ARCHES (mHSPC), PROSPER (m0CRPC), and PREVAIL (mCRPC), assuming transition probabilities to be equal across NHA and cabazitaxel/docetaxel-based regimens. Transition probabilities were hardcoded into the model and therefore calculations have not been verified. </w:t>
      </w:r>
    </w:p>
    <w:p w14:paraId="2E2B6493" w14:textId="27B9B5FC" w:rsidR="00ED509D" w:rsidRPr="00E16BBF" w:rsidRDefault="00ED509D" w:rsidP="0081473F">
      <w:pPr>
        <w:pStyle w:val="3-BodyText"/>
        <w:numPr>
          <w:ilvl w:val="1"/>
          <w:numId w:val="1"/>
        </w:numPr>
      </w:pPr>
      <w:r w:rsidRPr="00E16BBF">
        <w:t xml:space="preserve">The modelling of the progressed health states </w:t>
      </w:r>
      <w:r w:rsidR="00173857" w:rsidRPr="00E16BBF">
        <w:t xml:space="preserve">was </w:t>
      </w:r>
      <w:r w:rsidRPr="00E16BBF">
        <w:t>unlikely to be accurate to the population of interest</w:t>
      </w:r>
      <w:r w:rsidR="00CE396E" w:rsidRPr="00E16BBF">
        <w:t xml:space="preserve"> as: (i)</w:t>
      </w:r>
      <w:r w:rsidRPr="00E16BBF">
        <w:t xml:space="preserve"> NHA use in mHSPC </w:t>
      </w:r>
      <w:r w:rsidR="00173857" w:rsidRPr="00E16BBF">
        <w:t xml:space="preserve">was </w:t>
      </w:r>
      <w:r w:rsidRPr="00E16BBF">
        <w:t>likely to increase in the future once treatments are established</w:t>
      </w:r>
      <w:r w:rsidR="00CE396E" w:rsidRPr="00E16BBF">
        <w:t>; (ii)</w:t>
      </w:r>
      <w:r w:rsidRPr="00E16BBF">
        <w:t xml:space="preserve"> ARCHES was unlikely to reflect progressed patients from EMBARK, as ARCHES included newly diagnosed mHSPC patients (66.7%), &lt;30% patients with prior prostatectomy or radiotherapy and less than half had any </w:t>
      </w:r>
      <w:r w:rsidRPr="00E16BBF">
        <w:lastRenderedPageBreak/>
        <w:t>prior ADT</w:t>
      </w:r>
      <w:r w:rsidR="00173857" w:rsidRPr="00E16BBF">
        <w:t xml:space="preserve">; and (iii) </w:t>
      </w:r>
      <w:r w:rsidRPr="00E16BBF">
        <w:t>the OS transitions from ARCHES and PROSPER include death from mCRPC, despite death from mCRPC also being estimated, suggesting further double counting of mortality in the progressed disease states. This likely disadvantaged</w:t>
      </w:r>
      <w:r w:rsidRPr="00E16BBF">
        <w:rPr>
          <w:color w:val="0066FF"/>
        </w:rPr>
        <w:t xml:space="preserve"> </w:t>
      </w:r>
      <w:r w:rsidRPr="00E16BBF">
        <w:t>the ADT arm, which had a higher occupancy in the progressed disease states. Overall, the modelling of the progressed disease states was complex and likely to be highly uncertain</w:t>
      </w:r>
      <w:r w:rsidR="00173857" w:rsidRPr="00E16BBF">
        <w:t xml:space="preserve"> and </w:t>
      </w:r>
      <w:r w:rsidRPr="00E16BBF">
        <w:t xml:space="preserve">given the structure of the model, it </w:t>
      </w:r>
      <w:r w:rsidR="00173857" w:rsidRPr="00E16BBF">
        <w:t>wa</w:t>
      </w:r>
      <w:r w:rsidRPr="00E16BBF">
        <w:t>s difficult to quantify this uncertainty in sensitivity analyses.</w:t>
      </w:r>
      <w:r w:rsidR="00687AFF" w:rsidRPr="00E16BBF">
        <w:t xml:space="preserve"> The PSCR stated that although </w:t>
      </w:r>
      <w:r w:rsidR="00FF1F6D" w:rsidRPr="00E16BBF">
        <w:t xml:space="preserve">the </w:t>
      </w:r>
      <w:r w:rsidR="00687AFF" w:rsidRPr="00E16BBF">
        <w:t xml:space="preserve">ARCHES </w:t>
      </w:r>
      <w:r w:rsidR="00FF1F6D" w:rsidRPr="00E16BBF">
        <w:t xml:space="preserve">trial </w:t>
      </w:r>
      <w:r w:rsidR="00687AFF" w:rsidRPr="00E16BBF">
        <w:t xml:space="preserve">may have overestimated the treatment effect of NHA therapy for enrolled patients relative to EMBARK patients progressing to mHSPC, this would </w:t>
      </w:r>
      <w:r w:rsidR="00FF1F6D" w:rsidRPr="00E16BBF">
        <w:t xml:space="preserve">have </w:t>
      </w:r>
      <w:r w:rsidR="00687AFF" w:rsidRPr="00E16BBF">
        <w:t>bias</w:t>
      </w:r>
      <w:r w:rsidR="00FF1F6D" w:rsidRPr="00E16BBF">
        <w:t>ed</w:t>
      </w:r>
      <w:r w:rsidR="00687AFF" w:rsidRPr="00E16BBF">
        <w:t xml:space="preserve"> in favour of the ADT arm as patients in this arm transition to NHA therapy (whereas patients in the enzalutamide arms d</w:t>
      </w:r>
      <w:r w:rsidR="00FF1F6D" w:rsidRPr="00E16BBF">
        <w:t>id</w:t>
      </w:r>
      <w:r w:rsidR="00687AFF" w:rsidRPr="00E16BBF">
        <w:t xml:space="preserve"> not).</w:t>
      </w:r>
    </w:p>
    <w:p w14:paraId="79F38FFE" w14:textId="1ACD32B0" w:rsidR="001751A8" w:rsidRPr="00E16BBF" w:rsidRDefault="006619E7" w:rsidP="001751A8">
      <w:pPr>
        <w:pStyle w:val="3-BodyText"/>
        <w:numPr>
          <w:ilvl w:val="1"/>
          <w:numId w:val="1"/>
        </w:numPr>
      </w:pPr>
      <w:bookmarkStart w:id="46" w:name="_Ref184730155"/>
      <w:r w:rsidRPr="00E16BBF">
        <w:t xml:space="preserve">Overall, </w:t>
      </w:r>
      <w:r w:rsidR="00FF1F6D" w:rsidRPr="00E16BBF">
        <w:t xml:space="preserve">the ESC noted that the </w:t>
      </w:r>
      <w:r w:rsidRPr="00E16BBF">
        <w:t>transition assumptions in the economic model resulted in MFS and OS estimates that were much lower than observed in EMBARK (</w:t>
      </w:r>
      <w:fldSimple w:instr="REF _Ref177130728  \* MERGEFORMAT" w:fldLock="1">
        <w:r w:rsidRPr="00E16BBF">
          <w:t xml:space="preserve">Figure </w:t>
        </w:r>
        <w:r w:rsidRPr="00E16BBF">
          <w:rPr>
            <w:noProof/>
          </w:rPr>
          <w:t>5</w:t>
        </w:r>
      </w:fldSimple>
      <w:r w:rsidRPr="00E16BBF">
        <w:t>), and OS less than previously reported in the literature (</w:t>
      </w:r>
      <w:proofErr w:type="spellStart"/>
      <w:r w:rsidRPr="00E16BBF">
        <w:t>Oudard</w:t>
      </w:r>
      <w:proofErr w:type="spellEnd"/>
      <w:r w:rsidRPr="00E16BBF">
        <w:t xml:space="preserve"> et al., 2019</w:t>
      </w:r>
      <w:r w:rsidRPr="00E16BBF">
        <w:rPr>
          <w:rStyle w:val="FootnoteReference"/>
        </w:rPr>
        <w:footnoteReference w:id="20"/>
      </w:r>
      <w:r w:rsidRPr="00E16BBF">
        <w:t>, Svensson et al, 2021</w:t>
      </w:r>
      <w:r w:rsidRPr="00E16BBF">
        <w:rPr>
          <w:rStyle w:val="FootnoteReference"/>
        </w:rPr>
        <w:footnoteReference w:id="21"/>
      </w:r>
      <w:r w:rsidRPr="00E16BBF">
        <w:t>). However, the model also appeared to overestimate the OS benefit (i.e., difference in OS) for enzalutamide with or without ADT versus ADT alone observed in EMBARK. Given the model structure, it was not possible to set the overall OS in the model equal across arms (from any time point). Therefore, the impact of the assumed survival benefit could not be explored in full. If no survival benefit was assumed, the ICERs would be expected to increase greatly.</w:t>
      </w:r>
      <w:r w:rsidR="00FF1F6D" w:rsidRPr="00E16BBF">
        <w:t xml:space="preserve"> The ESC noted that the overestimated benefits were driven by the double counting of progression and mortality due to the Markov approach applied. The ESC noted that this was supported by the analysis presented in the PSCR in which extrapolation were based only on EMBARK </w:t>
      </w:r>
      <w:r w:rsidR="008926BA">
        <w:t xml:space="preserve">Kaplan Meier </w:t>
      </w:r>
      <w:r w:rsidR="00FF1F6D" w:rsidRPr="00E16BBF">
        <w:t xml:space="preserve">data extrapolated to 30 years. In the absence of mortality adjustment in progressed disease the incremental life years gained in the enzalutamide + ADT model decreased (from 2.03 to 1.76) which demonstrated that there was a survival advantage in the enzalutamide arm. Further, the ESC noted that the analysis in the PSCR underestimated the modelled MFS for all arms and exaggerated the incremental difference in modelled MFS between the ADT alone and enzalutamide arms compared to the EMBARK </w:t>
      </w:r>
      <w:r w:rsidR="008926BA">
        <w:t xml:space="preserve">Kaplan Meier </w:t>
      </w:r>
      <w:r w:rsidR="00FF1F6D" w:rsidRPr="00E16BBF">
        <w:t xml:space="preserve">data. </w:t>
      </w:r>
      <w:r w:rsidR="00DF24EF">
        <w:t>An additional analysis was provided in the pre-PBAC response in which additional OS mortality effects were only applied to the enzalutamide plus ADT arm, with the ADT alone arm assigned the OS risk from EMBARK (i.e. all double counting is applied to the enzalutamide plus ADT arm</w:t>
      </w:r>
      <w:r w:rsidR="005420F7">
        <w:t xml:space="preserve"> which the pre-PBAC response described as highly conservative</w:t>
      </w:r>
      <w:r w:rsidR="00DF24EF">
        <w:t>). This resulted in 0.51 incremental life years gained.</w:t>
      </w:r>
      <w:bookmarkEnd w:id="46"/>
    </w:p>
    <w:p w14:paraId="0FE80D25" w14:textId="27B8C823" w:rsidR="001751A8" w:rsidRDefault="001751A8" w:rsidP="006A4FCD">
      <w:pPr>
        <w:pStyle w:val="TableFigureHeading"/>
        <w:keepLines/>
      </w:pPr>
      <w:bookmarkStart w:id="47" w:name="_Ref177130728"/>
      <w:r>
        <w:lastRenderedPageBreak/>
        <w:t xml:space="preserve">Figure </w:t>
      </w:r>
      <w:r>
        <w:fldChar w:fldCharType="begin" w:fldLock="1"/>
      </w:r>
      <w:r>
        <w:instrText xml:space="preserve"> SEQ Figure \* ARABIC </w:instrText>
      </w:r>
      <w:r>
        <w:fldChar w:fldCharType="separate"/>
      </w:r>
      <w:r w:rsidR="006619E7">
        <w:rPr>
          <w:noProof/>
        </w:rPr>
        <w:t>5</w:t>
      </w:r>
      <w:r>
        <w:rPr>
          <w:noProof/>
        </w:rPr>
        <w:fldChar w:fldCharType="end"/>
      </w:r>
      <w:bookmarkEnd w:id="47"/>
      <w:r>
        <w:t>: Comparison of model outcomes to EMBARK KM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08"/>
        <w:gridCol w:w="4509"/>
      </w:tblGrid>
      <w:tr w:rsidR="001751A8" w14:paraId="276F0724" w14:textId="77777777" w:rsidTr="00CF70FB">
        <w:tc>
          <w:tcPr>
            <w:tcW w:w="4508" w:type="dxa"/>
            <w:hideMark/>
          </w:tcPr>
          <w:p w14:paraId="544D004F" w14:textId="77777777" w:rsidR="001751A8" w:rsidRDefault="001751A8" w:rsidP="006A4FCD">
            <w:pPr>
              <w:pStyle w:val="In-tableHeading"/>
              <w:keepNext/>
              <w:keepLines/>
              <w:jc w:val="center"/>
            </w:pPr>
            <w:r>
              <w:t>Metastases free survival</w:t>
            </w:r>
          </w:p>
        </w:tc>
        <w:tc>
          <w:tcPr>
            <w:tcW w:w="4509" w:type="dxa"/>
            <w:hideMark/>
          </w:tcPr>
          <w:p w14:paraId="2911B58F" w14:textId="77777777" w:rsidR="001751A8" w:rsidRDefault="001751A8" w:rsidP="006A4FCD">
            <w:pPr>
              <w:pStyle w:val="In-tableHeading"/>
              <w:keepNext/>
              <w:keepLines/>
              <w:jc w:val="center"/>
            </w:pPr>
            <w:r>
              <w:t>Overall survival</w:t>
            </w:r>
          </w:p>
        </w:tc>
      </w:tr>
      <w:tr w:rsidR="001751A8" w14:paraId="48255316" w14:textId="77777777" w:rsidTr="00CF70FB">
        <w:tc>
          <w:tcPr>
            <w:tcW w:w="4508" w:type="dxa"/>
            <w:hideMark/>
          </w:tcPr>
          <w:p w14:paraId="6971C1E6" w14:textId="2CB27FBE" w:rsidR="001751A8" w:rsidRDefault="001751A8" w:rsidP="006A4FCD">
            <w:pPr>
              <w:keepNext/>
              <w:jc w:val="center"/>
            </w:pPr>
            <w:r>
              <w:rPr>
                <w:noProof/>
              </w:rPr>
              <w:drawing>
                <wp:inline distT="0" distB="0" distL="0" distR="0" wp14:anchorId="41B6E436" wp14:editId="2B42ECCC">
                  <wp:extent cx="2790000" cy="1822803"/>
                  <wp:effectExtent l="0" t="0" r="0" b="6350"/>
                  <wp:docPr id="71" name="Picture 71" descr="Figure 5: Comparison of model outcomes to EMBARK KM data&#10;Metastases free surviv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Figure 5: Comparison of model outcomes to EMBARK KM data&#10;Metastases free survival&#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c>
          <w:tcPr>
            <w:tcW w:w="4509" w:type="dxa"/>
            <w:hideMark/>
          </w:tcPr>
          <w:p w14:paraId="4C287BE1" w14:textId="528857B3" w:rsidR="001751A8" w:rsidRDefault="001751A8" w:rsidP="006A4FCD">
            <w:pPr>
              <w:keepNext/>
              <w:jc w:val="center"/>
            </w:pPr>
            <w:r>
              <w:rPr>
                <w:noProof/>
              </w:rPr>
              <w:drawing>
                <wp:inline distT="0" distB="0" distL="0" distR="0" wp14:anchorId="48A94876" wp14:editId="7C26F0F1">
                  <wp:extent cx="2790000" cy="1822803"/>
                  <wp:effectExtent l="0" t="0" r="0" b="6350"/>
                  <wp:docPr id="72" name="Picture 72" descr="Figure 5: Comparison of model outcomes to EMBARK KM data&#10;Overall surviv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Figure 5: Comparison of model outcomes to EMBARK KM data&#10;Overall survival&#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r>
      <w:tr w:rsidR="001751A8" w14:paraId="31F88093" w14:textId="77777777" w:rsidTr="00CF70FB">
        <w:tc>
          <w:tcPr>
            <w:tcW w:w="4508" w:type="dxa"/>
            <w:hideMark/>
          </w:tcPr>
          <w:p w14:paraId="5AF13F7E" w14:textId="77777777" w:rsidR="001751A8" w:rsidRDefault="001751A8" w:rsidP="006A4FCD">
            <w:pPr>
              <w:pStyle w:val="In-tableHeading"/>
              <w:keepNext/>
              <w:jc w:val="center"/>
            </w:pPr>
            <w:r>
              <w:t>Time on treatment</w:t>
            </w:r>
          </w:p>
        </w:tc>
        <w:tc>
          <w:tcPr>
            <w:tcW w:w="4509" w:type="dxa"/>
          </w:tcPr>
          <w:p w14:paraId="741DB011" w14:textId="77777777" w:rsidR="001751A8" w:rsidRDefault="001751A8" w:rsidP="006A4FCD">
            <w:pPr>
              <w:pStyle w:val="In-tableHeading"/>
              <w:keepNext/>
              <w:jc w:val="center"/>
            </w:pPr>
          </w:p>
        </w:tc>
      </w:tr>
      <w:tr w:rsidR="001751A8" w14:paraId="281E66BE" w14:textId="77777777" w:rsidTr="00CF70FB">
        <w:tc>
          <w:tcPr>
            <w:tcW w:w="4508" w:type="dxa"/>
            <w:hideMark/>
          </w:tcPr>
          <w:p w14:paraId="25695FBF" w14:textId="03DED560" w:rsidR="001751A8" w:rsidRDefault="001751A8" w:rsidP="006A4FCD">
            <w:pPr>
              <w:keepNext/>
              <w:jc w:val="center"/>
            </w:pPr>
            <w:r>
              <w:rPr>
                <w:noProof/>
              </w:rPr>
              <w:drawing>
                <wp:inline distT="0" distB="0" distL="0" distR="0" wp14:anchorId="3AF71325" wp14:editId="5A887B48">
                  <wp:extent cx="2790000" cy="1822803"/>
                  <wp:effectExtent l="0" t="0" r="0" b="6350"/>
                  <wp:docPr id="73" name="Picture 73" descr="Figure 5: Comparison of model outcomes to EMBARK KM data&#10;Time on treat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Figure 5: Comparison of model outcomes to EMBARK KM data&#10;Time on treatment&#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c>
          <w:tcPr>
            <w:tcW w:w="4509" w:type="dxa"/>
          </w:tcPr>
          <w:p w14:paraId="568ADBC8" w14:textId="77777777" w:rsidR="001751A8" w:rsidRDefault="001751A8" w:rsidP="006A4FCD">
            <w:pPr>
              <w:keepNext/>
              <w:jc w:val="center"/>
            </w:pPr>
          </w:p>
        </w:tc>
      </w:tr>
    </w:tbl>
    <w:p w14:paraId="31584DC2" w14:textId="77777777" w:rsidR="001751A8" w:rsidRPr="002B1D75" w:rsidRDefault="001751A8" w:rsidP="009F195B">
      <w:pPr>
        <w:pStyle w:val="TableFigureFooter"/>
      </w:pPr>
      <w:r w:rsidRPr="002B1D75">
        <w:t>Source: compiled during the evaluation</w:t>
      </w:r>
    </w:p>
    <w:p w14:paraId="23ABD0F0" w14:textId="1E40B6B1" w:rsidR="001751A8" w:rsidRPr="002B1D75" w:rsidRDefault="001751A8" w:rsidP="009F195B">
      <w:pPr>
        <w:pStyle w:val="TableFigureFooter"/>
      </w:pPr>
      <w:r w:rsidRPr="002B1D75">
        <w:t>ADT=androgen deprivation therapy, ENZA=enzalutamide, m0HSPC=non-metastatic hormone sensitive prostate cancer, mHSPC=metastatic hormone sensitive prostate cancer, m0CRPC=non-metastatic castrate resistant prostate cancer, mCRPC=metastatic castrate resistant prostate cancer</w:t>
      </w:r>
    </w:p>
    <w:p w14:paraId="416A713A" w14:textId="31B72D76" w:rsidR="001751A8" w:rsidRPr="00B63CD0" w:rsidRDefault="00BC7B4A" w:rsidP="001751A8">
      <w:pPr>
        <w:pStyle w:val="3-BodyText"/>
        <w:numPr>
          <w:ilvl w:val="1"/>
          <w:numId w:val="1"/>
        </w:numPr>
      </w:pPr>
      <w:r w:rsidRPr="00B63CD0">
        <w:t xml:space="preserve">Health state allocation plots compiled during the evaluation are presented in </w:t>
      </w:r>
      <w:fldSimple w:instr="REF _Ref176369165  \* MERGEFORMAT" w:fldLock="1">
        <w:r w:rsidR="006619E7" w:rsidRPr="00B63CD0">
          <w:t xml:space="preserve">Figure </w:t>
        </w:r>
        <w:r w:rsidR="006619E7" w:rsidRPr="00B63CD0">
          <w:rPr>
            <w:noProof/>
          </w:rPr>
          <w:t>6</w:t>
        </w:r>
      </w:fldSimple>
      <w:r w:rsidRPr="00B63CD0">
        <w:t xml:space="preserve"> to further validate the modelled transitions.</w:t>
      </w:r>
    </w:p>
    <w:p w14:paraId="2B8682C8" w14:textId="49C9F77F" w:rsidR="001751A8" w:rsidRDefault="00BC7B4A" w:rsidP="006A4FCD">
      <w:pPr>
        <w:pStyle w:val="TableFigureHeading"/>
        <w:keepLines/>
      </w:pPr>
      <w:bookmarkStart w:id="48" w:name="_Ref176369165"/>
      <w:r>
        <w:lastRenderedPageBreak/>
        <w:t xml:space="preserve">Figure </w:t>
      </w:r>
      <w:r>
        <w:fldChar w:fldCharType="begin" w:fldLock="1"/>
      </w:r>
      <w:r>
        <w:instrText xml:space="preserve"> SEQ Figure \* ARABIC </w:instrText>
      </w:r>
      <w:r>
        <w:fldChar w:fldCharType="separate"/>
      </w:r>
      <w:r w:rsidR="006619E7">
        <w:rPr>
          <w:noProof/>
        </w:rPr>
        <w:t>6</w:t>
      </w:r>
      <w:r>
        <w:rPr>
          <w:noProof/>
        </w:rPr>
        <w:fldChar w:fldCharType="end"/>
      </w:r>
      <w:bookmarkEnd w:id="48"/>
      <w:r>
        <w:t>: Health state allocation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08"/>
        <w:gridCol w:w="4509"/>
      </w:tblGrid>
      <w:tr w:rsidR="00BC7B4A" w14:paraId="0E38B578" w14:textId="77777777" w:rsidTr="00CB79F0">
        <w:trPr>
          <w:jc w:val="center"/>
        </w:trPr>
        <w:tc>
          <w:tcPr>
            <w:tcW w:w="4508" w:type="dxa"/>
            <w:vAlign w:val="center"/>
            <w:hideMark/>
          </w:tcPr>
          <w:p w14:paraId="2B4FF249" w14:textId="77777777" w:rsidR="00BC7B4A" w:rsidRDefault="00BC7B4A" w:rsidP="006A4FCD">
            <w:pPr>
              <w:pStyle w:val="In-tableHeading"/>
              <w:keepNext/>
              <w:keepLines/>
              <w:jc w:val="center"/>
            </w:pPr>
            <w:r>
              <w:t>Enzalutamide plus ADT</w:t>
            </w:r>
          </w:p>
        </w:tc>
        <w:tc>
          <w:tcPr>
            <w:tcW w:w="4509" w:type="dxa"/>
            <w:vAlign w:val="center"/>
            <w:hideMark/>
          </w:tcPr>
          <w:p w14:paraId="350EA766" w14:textId="77777777" w:rsidR="00BC7B4A" w:rsidRDefault="00BC7B4A" w:rsidP="006A4FCD">
            <w:pPr>
              <w:pStyle w:val="In-tableHeading"/>
              <w:keepNext/>
              <w:keepLines/>
              <w:jc w:val="center"/>
            </w:pPr>
            <w:r>
              <w:t>ADT alone</w:t>
            </w:r>
          </w:p>
        </w:tc>
      </w:tr>
      <w:tr w:rsidR="00BC7B4A" w14:paraId="3AB506F9" w14:textId="77777777" w:rsidTr="00CB79F0">
        <w:trPr>
          <w:jc w:val="center"/>
        </w:trPr>
        <w:tc>
          <w:tcPr>
            <w:tcW w:w="4508" w:type="dxa"/>
            <w:vAlign w:val="center"/>
            <w:hideMark/>
          </w:tcPr>
          <w:p w14:paraId="30968606" w14:textId="77777777" w:rsidR="00BC7B4A" w:rsidRDefault="00BC7B4A" w:rsidP="006A4FCD">
            <w:pPr>
              <w:pStyle w:val="In-tableHeading"/>
              <w:keepNext/>
              <w:jc w:val="center"/>
            </w:pPr>
            <w:r>
              <w:rPr>
                <w:noProof/>
              </w:rPr>
              <w:drawing>
                <wp:inline distT="0" distB="0" distL="0" distR="0" wp14:anchorId="0181988C" wp14:editId="4F1DC2F9">
                  <wp:extent cx="2790825" cy="1820545"/>
                  <wp:effectExtent l="0" t="0" r="9525" b="8255"/>
                  <wp:docPr id="64" name="Picture 64" descr="Figure 6: Health state allocation&#10;Enzalutamide plus AD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Figure 6: Health state allocation&#10;Enzalutamide plus ADT&#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0825" cy="1820545"/>
                          </a:xfrm>
                          <a:prstGeom prst="rect">
                            <a:avLst/>
                          </a:prstGeom>
                          <a:noFill/>
                          <a:ln>
                            <a:noFill/>
                          </a:ln>
                        </pic:spPr>
                      </pic:pic>
                    </a:graphicData>
                  </a:graphic>
                </wp:inline>
              </w:drawing>
            </w:r>
          </w:p>
        </w:tc>
        <w:tc>
          <w:tcPr>
            <w:tcW w:w="4509" w:type="dxa"/>
            <w:vAlign w:val="center"/>
            <w:hideMark/>
          </w:tcPr>
          <w:p w14:paraId="19A06E52" w14:textId="77777777" w:rsidR="00BC7B4A" w:rsidRDefault="00BC7B4A" w:rsidP="006A4FCD">
            <w:pPr>
              <w:pStyle w:val="In-tableHeading"/>
              <w:keepNext/>
              <w:jc w:val="center"/>
            </w:pPr>
            <w:r>
              <w:rPr>
                <w:noProof/>
              </w:rPr>
              <w:drawing>
                <wp:inline distT="0" distB="0" distL="0" distR="0" wp14:anchorId="37E91C86" wp14:editId="3E274132">
                  <wp:extent cx="2790825" cy="1820545"/>
                  <wp:effectExtent l="0" t="0" r="9525" b="8255"/>
                  <wp:docPr id="65" name="Picture 65" descr="Figure 6: Health state allocation&#10;ADT alo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Figure 6: Health state allocation&#10;ADT alone&#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90825" cy="1820545"/>
                          </a:xfrm>
                          <a:prstGeom prst="rect">
                            <a:avLst/>
                          </a:prstGeom>
                          <a:noFill/>
                          <a:ln>
                            <a:noFill/>
                          </a:ln>
                        </pic:spPr>
                      </pic:pic>
                    </a:graphicData>
                  </a:graphic>
                </wp:inline>
              </w:drawing>
            </w:r>
          </w:p>
        </w:tc>
      </w:tr>
      <w:tr w:rsidR="00BC7B4A" w14:paraId="6E358141" w14:textId="77777777" w:rsidTr="00CB79F0">
        <w:trPr>
          <w:jc w:val="center"/>
        </w:trPr>
        <w:tc>
          <w:tcPr>
            <w:tcW w:w="4508" w:type="dxa"/>
            <w:vAlign w:val="center"/>
            <w:hideMark/>
          </w:tcPr>
          <w:p w14:paraId="4DD9475D" w14:textId="77777777" w:rsidR="00BC7B4A" w:rsidRDefault="00BC7B4A" w:rsidP="006A4FCD">
            <w:pPr>
              <w:pStyle w:val="In-tableHeading"/>
              <w:keepNext/>
              <w:jc w:val="center"/>
            </w:pPr>
            <w:r>
              <w:t>Enzalutamide monotherapy</w:t>
            </w:r>
          </w:p>
        </w:tc>
        <w:tc>
          <w:tcPr>
            <w:tcW w:w="4509" w:type="dxa"/>
            <w:vAlign w:val="center"/>
          </w:tcPr>
          <w:p w14:paraId="23938A83" w14:textId="77777777" w:rsidR="00BC7B4A" w:rsidRDefault="00BC7B4A" w:rsidP="006A4FCD">
            <w:pPr>
              <w:pStyle w:val="In-tableHeading"/>
              <w:keepNext/>
              <w:jc w:val="center"/>
            </w:pPr>
          </w:p>
        </w:tc>
      </w:tr>
      <w:tr w:rsidR="00BC7B4A" w14:paraId="71D1323F" w14:textId="77777777" w:rsidTr="00CB79F0">
        <w:trPr>
          <w:jc w:val="center"/>
        </w:trPr>
        <w:tc>
          <w:tcPr>
            <w:tcW w:w="4508" w:type="dxa"/>
            <w:vAlign w:val="center"/>
            <w:hideMark/>
          </w:tcPr>
          <w:p w14:paraId="15AC8743" w14:textId="77777777" w:rsidR="00BC7B4A" w:rsidRDefault="00BC7B4A" w:rsidP="006A4FCD">
            <w:pPr>
              <w:pStyle w:val="In-tableHeading"/>
              <w:keepNext/>
              <w:jc w:val="center"/>
            </w:pPr>
            <w:r>
              <w:rPr>
                <w:noProof/>
              </w:rPr>
              <w:drawing>
                <wp:inline distT="0" distB="0" distL="0" distR="0" wp14:anchorId="3A91AF59" wp14:editId="64142D74">
                  <wp:extent cx="2790825" cy="1820545"/>
                  <wp:effectExtent l="0" t="0" r="9525" b="8255"/>
                  <wp:docPr id="66" name="Picture 66" descr="Figure 6: Health state allocation&#10;Enzalutamide monotherap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Figure 6: Health state allocation&#10;Enzalutamide monotherapy&#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90825" cy="1820545"/>
                          </a:xfrm>
                          <a:prstGeom prst="rect">
                            <a:avLst/>
                          </a:prstGeom>
                          <a:noFill/>
                          <a:ln>
                            <a:noFill/>
                          </a:ln>
                        </pic:spPr>
                      </pic:pic>
                    </a:graphicData>
                  </a:graphic>
                </wp:inline>
              </w:drawing>
            </w:r>
          </w:p>
        </w:tc>
        <w:tc>
          <w:tcPr>
            <w:tcW w:w="4509" w:type="dxa"/>
            <w:vAlign w:val="center"/>
            <w:hideMark/>
          </w:tcPr>
          <w:p w14:paraId="16CDD781" w14:textId="77777777" w:rsidR="00BC7B4A" w:rsidRDefault="00BC7B4A" w:rsidP="006A4FCD">
            <w:pPr>
              <w:pStyle w:val="In-tableHeading"/>
              <w:keepNext/>
              <w:jc w:val="center"/>
            </w:pPr>
            <w:r>
              <w:rPr>
                <w:noProof/>
              </w:rPr>
              <w:drawing>
                <wp:inline distT="0" distB="0" distL="0" distR="0" wp14:anchorId="6EB18A2B" wp14:editId="411A85F0">
                  <wp:extent cx="2632075" cy="325755"/>
                  <wp:effectExtent l="0" t="0" r="0" b="0"/>
                  <wp:docPr id="67" name="Picture 67" descr="Figure 6: Health state allocation&#10;Lege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Figure 6: Health state allocation&#10;Legend&#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32075" cy="325755"/>
                          </a:xfrm>
                          <a:prstGeom prst="rect">
                            <a:avLst/>
                          </a:prstGeom>
                          <a:noFill/>
                          <a:ln>
                            <a:noFill/>
                          </a:ln>
                        </pic:spPr>
                      </pic:pic>
                    </a:graphicData>
                  </a:graphic>
                </wp:inline>
              </w:drawing>
            </w:r>
          </w:p>
        </w:tc>
      </w:tr>
    </w:tbl>
    <w:p w14:paraId="6F2D36C0" w14:textId="77777777" w:rsidR="00BC7B4A" w:rsidRDefault="00BC7B4A" w:rsidP="009F195B">
      <w:pPr>
        <w:pStyle w:val="TableFigureFooter"/>
      </w:pPr>
      <w:r>
        <w:t>Source: compiled during the evaluation</w:t>
      </w:r>
    </w:p>
    <w:p w14:paraId="18F6C580" w14:textId="20FB2631" w:rsidR="001751A8" w:rsidRDefault="00BC7B4A" w:rsidP="009F195B">
      <w:pPr>
        <w:pStyle w:val="TableFigureFooter"/>
      </w:pPr>
      <w:r>
        <w:t>ADT=androgen deprivation therapy, m0HSPC=non-metastatic hormone sensitive prostate cancer, mHSPC=metastatic hormone sensitive prostate cancer, m0CRPC=non-metastatic castrate resistant prostate cancer, mCRPC=metastatic castrate resistant prostate cancer</w:t>
      </w:r>
    </w:p>
    <w:p w14:paraId="4E038149" w14:textId="25ED93E1" w:rsidR="001751A8" w:rsidRPr="00E16BBF" w:rsidRDefault="006619E7" w:rsidP="001751A8">
      <w:pPr>
        <w:pStyle w:val="3-BodyText"/>
        <w:numPr>
          <w:ilvl w:val="1"/>
          <w:numId w:val="1"/>
        </w:numPr>
        <w:rPr>
          <w:rFonts w:ascii="Times New Roman" w:hAnsi="Times New Roman" w:cs="Times New Roman"/>
          <w:szCs w:val="24"/>
        </w:rPr>
      </w:pPr>
      <w:r w:rsidRPr="00E16BBF">
        <w:t>In the enzalutamide arms, the majority of alive patients remained in m0HSPC for more than 20 years in the model, compared to ~11 years of alive patients in the ADT alone arm. There was little allocation to the metastatic health states over the 30-year time horizon: the maximum proportion of patients in mHSPC or mCRPC at any time point was &lt;10% for the enzalutamide arms and &lt;15% for ADT alone arm. Nearly half of all deaths in the enzalutamide arms (50.0% patients in the enzalutamide plus ADT arm, 49.2% in the enzalutamide monotherapy arm) and 29.4% of deaths in the ADT alone arm occurred in the m0HSPC state. Patients who died without experiencing disease progression may be more likely to die from causes other than prostate cancer.</w:t>
      </w:r>
    </w:p>
    <w:p w14:paraId="3004679C" w14:textId="4ED47A15" w:rsidR="001751A8" w:rsidRPr="00E16BBF" w:rsidRDefault="006619E7" w:rsidP="00144AEA">
      <w:pPr>
        <w:pStyle w:val="3-BodyText"/>
        <w:numPr>
          <w:ilvl w:val="1"/>
          <w:numId w:val="1"/>
        </w:numPr>
      </w:pPr>
      <w:r w:rsidRPr="00E16BBF">
        <w:t>The health state allocation plots also demonstrate the impact of the treatment suspension on the number of patients receiving treatment in m0HSPC. Further, the enzalutamide arms, particularly the enzalutamide plus ADT arm, accrued time off treatment in m0HSPC after treatment reinitiation, whereas very few patients in the ADT arm stayed in m0HSPC once they discontinued treatment after reinitiation.</w:t>
      </w:r>
    </w:p>
    <w:p w14:paraId="51BE1B64" w14:textId="485C6061" w:rsidR="00ED509D" w:rsidRPr="00E16BBF" w:rsidRDefault="00ED509D" w:rsidP="00ED509D">
      <w:pPr>
        <w:pStyle w:val="3-BodyText"/>
        <w:numPr>
          <w:ilvl w:val="1"/>
          <w:numId w:val="1"/>
        </w:numPr>
      </w:pPr>
      <w:r w:rsidRPr="00E16BBF">
        <w:t xml:space="preserve">The submission included adverse events in all modelled health states. However, </w:t>
      </w:r>
      <w:r w:rsidRPr="00E16BBF">
        <w:rPr>
          <w:lang w:val="en-US"/>
        </w:rPr>
        <w:t xml:space="preserve">adverse event rates could not be verified and for m0HSPC did not appear to match previously reported safety information from EMBARK (no adverse events for the ADT alone arm, only hypertension accounted for in the enzalutamide arms: 6.8% </w:t>
      </w:r>
      <w:r w:rsidRPr="00E16BBF">
        <w:rPr>
          <w:lang w:val="en-US"/>
        </w:rPr>
        <w:lastRenderedPageBreak/>
        <w:t xml:space="preserve">enzalutamide plus ADT, 5.4% enzalutamide monotherapy). </w:t>
      </w:r>
      <w:r w:rsidR="00875263" w:rsidRPr="00E16BBF">
        <w:rPr>
          <w:lang w:val="en-US"/>
        </w:rPr>
        <w:t>T</w:t>
      </w:r>
      <w:r w:rsidRPr="00E16BBF">
        <w:rPr>
          <w:lang w:val="en-US"/>
        </w:rPr>
        <w:t xml:space="preserve">he </w:t>
      </w:r>
      <w:r w:rsidR="00FF1F6D" w:rsidRPr="00E16BBF">
        <w:rPr>
          <w:lang w:val="en-US"/>
        </w:rPr>
        <w:t xml:space="preserve">ESC noted that the </w:t>
      </w:r>
      <w:r w:rsidRPr="00E16BBF">
        <w:rPr>
          <w:lang w:val="en-US"/>
        </w:rPr>
        <w:t>ICERs were not sensitive to adverse events (removing adverse event utility loss reduced ICERs by 0.0-0.1%).</w:t>
      </w:r>
    </w:p>
    <w:p w14:paraId="052DA9D1" w14:textId="77777777" w:rsidR="00ED509D" w:rsidRPr="00E16BBF" w:rsidRDefault="00ED509D" w:rsidP="00ED509D">
      <w:pPr>
        <w:pStyle w:val="3-BodyText"/>
        <w:numPr>
          <w:ilvl w:val="1"/>
          <w:numId w:val="1"/>
        </w:numPr>
      </w:pPr>
      <w:r w:rsidRPr="00E16BBF">
        <w:t>The submission applied health care utilities to the m0HSPC (treatment suspension and otherwise), mHSPC, m0CRPC, and mCRPC health states, as well as an age adjustment, and disutilities for adverse events and at end of life. Utilities did not differ by treatment received in the base case.</w:t>
      </w:r>
    </w:p>
    <w:p w14:paraId="43D86C46" w14:textId="46826124" w:rsidR="00ED509D" w:rsidRPr="00E16BBF" w:rsidRDefault="00ED509D" w:rsidP="00E16BBF">
      <w:pPr>
        <w:pStyle w:val="3-BodyText"/>
        <w:numPr>
          <w:ilvl w:val="0"/>
          <w:numId w:val="8"/>
        </w:numPr>
        <w:ind w:left="993" w:hanging="284"/>
      </w:pPr>
      <w:r w:rsidRPr="00E16BBF">
        <w:t>m0HSPC utility (during treatment suspension and otherwise) was sourced from EMBARK EQ-5D-5L with Australian preference weights. The details of the utility estimates were not included in the submission and so utility estimates could not be verified. Utility values from EMBARK (</w:t>
      </w:r>
      <w:r w:rsidR="00FF1F6D" w:rsidRPr="00E16BBF">
        <w:t xml:space="preserve">m0HSPC = </w:t>
      </w:r>
      <w:r w:rsidRPr="00E16BBF">
        <w:t>0.934</w:t>
      </w:r>
      <w:r w:rsidR="00FF1F6D" w:rsidRPr="00E16BBF">
        <w:t xml:space="preserve">, treatment suspension = </w:t>
      </w:r>
      <w:r w:rsidRPr="00E16BBF">
        <w:t xml:space="preserve">0.95) were high compared to recent Australian general population (0.89 for 69-year-old men) estimates. If m0HSPC utilities could not exceed general population (i.e., general population utility in treatment suspension 0.89, 0.89*0.934/0.95=0.875 otherwise) the ICERs increased to </w:t>
      </w:r>
      <w:r w:rsidR="00D2273C" w:rsidRPr="00D2273C">
        <w:t>$15,000 to &lt; $25,000</w:t>
      </w:r>
      <w:r w:rsidR="00EF0858">
        <w:t xml:space="preserve"> </w:t>
      </w:r>
      <w:r w:rsidRPr="00E16BBF">
        <w:t xml:space="preserve">per QALY gained for enzalutamide plus ADT versus ADT alone and </w:t>
      </w:r>
      <w:r w:rsidR="001C2846" w:rsidRPr="001C2846">
        <w:t>$35,000</w:t>
      </w:r>
      <w:r w:rsidR="00EF0858">
        <w:t> </w:t>
      </w:r>
      <w:r w:rsidR="001C2846" w:rsidRPr="001C2846">
        <w:t>to</w:t>
      </w:r>
      <w:r w:rsidR="00EF0858">
        <w:t> </w:t>
      </w:r>
      <w:r w:rsidR="001C2846" w:rsidRPr="001C2846">
        <w:t>&lt;</w:t>
      </w:r>
      <w:r w:rsidR="00EF0858">
        <w:t> </w:t>
      </w:r>
      <w:r w:rsidR="001C2846" w:rsidRPr="001C2846">
        <w:t>$45,000</w:t>
      </w:r>
      <w:r w:rsidR="00EF0858">
        <w:t xml:space="preserve"> </w:t>
      </w:r>
      <w:r w:rsidR="00751B67" w:rsidRPr="00E16BBF">
        <w:t xml:space="preserve">per QALY </w:t>
      </w:r>
      <w:r w:rsidRPr="00E16BBF">
        <w:t xml:space="preserve">for enzalutamide monotherapy versus ADT alone (compared to </w:t>
      </w:r>
      <w:r w:rsidR="00DB17D0" w:rsidRPr="00DB17D0">
        <w:t>$15,000</w:t>
      </w:r>
      <w:r w:rsidR="00EF0858">
        <w:t> </w:t>
      </w:r>
      <w:r w:rsidR="00DB17D0" w:rsidRPr="00DB17D0">
        <w:t>to &lt; $25,000</w:t>
      </w:r>
      <w:r w:rsidR="00EF0858">
        <w:t xml:space="preserve"> </w:t>
      </w:r>
      <w:r w:rsidRPr="00E16BBF">
        <w:t xml:space="preserve">and </w:t>
      </w:r>
      <w:r w:rsidR="001C2846" w:rsidRPr="001C2846">
        <w:t>$35,000 to &lt; $45,000</w:t>
      </w:r>
      <w:r w:rsidR="00EF0858">
        <w:t xml:space="preserve"> </w:t>
      </w:r>
      <w:r w:rsidRPr="00E16BBF">
        <w:t>in the base case).</w:t>
      </w:r>
      <w:r w:rsidR="00FF1F6D" w:rsidRPr="00E16BBF">
        <w:t xml:space="preserve"> The PSCR provided an analysis applying US preference weights (m0HSPC = 0.882, treatment suspension = 0.908) and which resulted in an ICER of </w:t>
      </w:r>
      <w:r w:rsidR="00DB17D0" w:rsidRPr="00DB17D0">
        <w:t>$15,000 to &lt; $25,000</w:t>
      </w:r>
      <w:r w:rsidR="00EF0858">
        <w:t xml:space="preserve"> </w:t>
      </w:r>
      <w:r w:rsidR="00FF1F6D" w:rsidRPr="00E16BBF">
        <w:t xml:space="preserve">per QALY gained in the enzalutamide + ADT versus ADT model. The ESC noted that the US weighted values remined high compared to the Australia general population. </w:t>
      </w:r>
    </w:p>
    <w:p w14:paraId="60BE9FDB" w14:textId="77777777" w:rsidR="00ED509D" w:rsidRPr="00E16BBF" w:rsidRDefault="00ED509D" w:rsidP="00E16BBF">
      <w:pPr>
        <w:pStyle w:val="3-BodyText"/>
        <w:numPr>
          <w:ilvl w:val="0"/>
          <w:numId w:val="8"/>
        </w:numPr>
        <w:ind w:left="993" w:hanging="284"/>
        <w:rPr>
          <w:rFonts w:ascii="Calibri" w:hAnsi="Calibri" w:cs="Arial"/>
          <w:szCs w:val="24"/>
        </w:rPr>
      </w:pPr>
      <w:r w:rsidRPr="00E16BBF">
        <w:t>mHSPC utility was sourced from ARCHES ITT EQ-5D-5L baseline data, mapped to UK preference weights for the EQ-5D-3L, to give utility value of 0.817. This was higher than the mean mHSPC progression free utility of 0.806 reported previously (paragraph 6.46, enzalutamide Public Summary Document, March 2023, PBAC meeting).</w:t>
      </w:r>
    </w:p>
    <w:p w14:paraId="0C077A04" w14:textId="77777777" w:rsidR="00ED509D" w:rsidRPr="00E16BBF" w:rsidRDefault="00ED509D" w:rsidP="00E16BBF">
      <w:pPr>
        <w:pStyle w:val="3-BodyText"/>
        <w:numPr>
          <w:ilvl w:val="0"/>
          <w:numId w:val="8"/>
        </w:numPr>
        <w:ind w:left="993" w:hanging="284"/>
      </w:pPr>
      <w:r w:rsidRPr="00E16BBF">
        <w:t>mCRPC utility was assumed to be 0.706, equal to the PD2 utility reported for enzalutamide in mHSPC (paragraph 6.46, enzalutamide Public Summary Document, March 2023, PBAC meeting).</w:t>
      </w:r>
    </w:p>
    <w:p w14:paraId="15E09CAF" w14:textId="1AEA4088" w:rsidR="00ED509D" w:rsidRPr="00B63CD0" w:rsidRDefault="00ED509D" w:rsidP="00ED509D">
      <w:pPr>
        <w:pStyle w:val="3-BodyText"/>
        <w:numPr>
          <w:ilvl w:val="1"/>
          <w:numId w:val="1"/>
        </w:numPr>
      </w:pPr>
      <w:r w:rsidRPr="00E16BBF">
        <w:t>Health state utilities were adjusted for patient age over the course of the model using Australian weighted EQ-5D-5L population data reported in Redwood et al., 2024. Redwood et al. 2024 found that utility increased with age, contrary to previous general population utility studies. Population level data collected at one time point does not necessarily reflect the experience of individuals or cohorts over time. By assuming that utility increased with age, the model predicted that utilities (within each health state) would increase over time, which is unlikely to be true of an aging cohort with prostate cancer. The age adjustment</w:t>
      </w:r>
      <w:r w:rsidR="00FF1F6D" w:rsidRPr="00E16BBF">
        <w:t xml:space="preserve"> </w:t>
      </w:r>
      <w:r w:rsidRPr="00E16BBF">
        <w:t xml:space="preserve">had little impact on the ICERs. </w:t>
      </w:r>
    </w:p>
    <w:p w14:paraId="64E7A603" w14:textId="58DED063" w:rsidR="00ED509D" w:rsidRPr="00E16BBF" w:rsidRDefault="00ED509D" w:rsidP="00ED509D">
      <w:pPr>
        <w:pStyle w:val="3-BodyText"/>
        <w:numPr>
          <w:ilvl w:val="1"/>
          <w:numId w:val="1"/>
        </w:numPr>
      </w:pPr>
      <w:r w:rsidRPr="00E16BBF">
        <w:t xml:space="preserve">End of life utility in the last 3 months of life was estimated from the last pre-death assessment for patients in ARCHES and a disutility was estimated by subtracting the utility of the health state the patient died in within the model. This disutility was </w:t>
      </w:r>
      <w:r w:rsidRPr="00E16BBF">
        <w:lastRenderedPageBreak/>
        <w:t>applied as a one off QALY decrement in the cycle the patient died, and was supposed to represent 3 months of disutility, but appeared to be applied for an equivalent 3</w:t>
      </w:r>
      <w:r w:rsidR="00EF0858">
        <w:t> </w:t>
      </w:r>
      <w:r w:rsidRPr="00E16BBF">
        <w:t xml:space="preserve">years rather than 3 months. </w:t>
      </w:r>
      <w:r w:rsidR="00FF1F6D" w:rsidRPr="00E16BBF">
        <w:t>The ESC noted that i</w:t>
      </w:r>
      <w:r w:rsidRPr="00E16BBF">
        <w:t xml:space="preserve">f end of life disutility was removed from the model ICERs increased 6.4-6.6% vs ADT </w:t>
      </w:r>
      <w:r w:rsidR="007028B3" w:rsidRPr="007028B3">
        <w:t>$15,000 to &lt; $25,000</w:t>
      </w:r>
      <w:r w:rsidR="00EF0858">
        <w:t xml:space="preserve"> </w:t>
      </w:r>
      <w:r w:rsidRPr="00E16BBF">
        <w:t xml:space="preserve">per QALY gained enzalutamide plus ADT versus ADT alone, </w:t>
      </w:r>
      <w:r w:rsidR="008B12AE" w:rsidRPr="008B12AE">
        <w:t>$35,000 to &lt; $45,000</w:t>
      </w:r>
      <w:r w:rsidR="00EF0858">
        <w:t xml:space="preserve"> </w:t>
      </w:r>
      <w:r w:rsidRPr="00E16BBF">
        <w:t>enzalutamide monotherapy versus ADT alone).</w:t>
      </w:r>
    </w:p>
    <w:p w14:paraId="25D8A306" w14:textId="2651F438" w:rsidR="00ED509D" w:rsidRPr="00E16BBF" w:rsidRDefault="00ED509D" w:rsidP="00ED509D">
      <w:pPr>
        <w:pStyle w:val="3-BodyText"/>
        <w:numPr>
          <w:ilvl w:val="1"/>
          <w:numId w:val="1"/>
        </w:numPr>
      </w:pPr>
      <w:r w:rsidRPr="00E16BBF">
        <w:t>Enzalutamide was costed at a dose of 4x40mg once daily, with 100% compliance, based on a pack of 112x40mg capsules at $</w:t>
      </w:r>
      <w:r w:rsidR="00E639BD" w:rsidRPr="00B0524F">
        <w:rPr>
          <w:color w:val="000000"/>
          <w:w w:val="15"/>
          <w:shd w:val="solid" w:color="000000" w:fill="000000"/>
          <w:fitText w:val="-20" w:id="-761099516"/>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516"/>
          <w14:textFill>
            <w14:solidFill>
              <w14:srgbClr w14:val="000000">
                <w14:alpha w14:val="100000"/>
              </w14:srgbClr>
            </w14:solidFill>
          </w14:textFill>
        </w:rPr>
        <w:t>|</w:t>
      </w:r>
      <w:r w:rsidRPr="00E16BBF">
        <w:t xml:space="preserve"> (requested effective DMPQ, based on AEMP $</w:t>
      </w:r>
      <w:r w:rsidR="00E639BD" w:rsidRPr="00B0524F">
        <w:rPr>
          <w:color w:val="000000"/>
          <w:w w:val="15"/>
          <w:shd w:val="solid" w:color="000000" w:fill="000000"/>
          <w:fitText w:val="-20" w:id="-761099515"/>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515"/>
          <w14:textFill>
            <w14:solidFill>
              <w14:srgbClr w14:val="000000">
                <w14:alpha w14:val="100000"/>
              </w14:srgbClr>
            </w14:solidFill>
          </w14:textFill>
        </w:rPr>
        <w:t>|</w:t>
      </w:r>
      <w:r w:rsidRPr="00E16BBF">
        <w:t>). The cost per month of enzalutamide was estimated at $</w:t>
      </w:r>
      <w:r w:rsidR="00E639BD" w:rsidRPr="00B0524F">
        <w:rPr>
          <w:color w:val="000000"/>
          <w:w w:val="15"/>
          <w:shd w:val="solid" w:color="000000" w:fill="000000"/>
          <w:fitText w:val="-20" w:id="-761099514"/>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514"/>
          <w14:textFill>
            <w14:solidFill>
              <w14:srgbClr w14:val="000000">
                <w14:alpha w14:val="100000"/>
              </w14:srgbClr>
            </w14:solidFill>
          </w14:textFill>
        </w:rPr>
        <w:t>|</w:t>
      </w:r>
      <w:r w:rsidRPr="00E16BBF">
        <w:t>. This cost was also implemented for subsequent enzalutamide use in mHSPC, m0CRPC and mCRPC, though currently listed prices are higher (AEMP $</w:t>
      </w:r>
      <w:r w:rsidR="00E639BD" w:rsidRPr="00B0524F">
        <w:rPr>
          <w:color w:val="000000"/>
          <w:w w:val="15"/>
          <w:shd w:val="solid" w:color="000000" w:fill="000000"/>
          <w:fitText w:val="-20" w:id="-761099513"/>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513"/>
          <w14:textFill>
            <w14:solidFill>
              <w14:srgbClr w14:val="000000">
                <w14:alpha w14:val="100000"/>
              </w14:srgbClr>
            </w14:solidFill>
          </w14:textFill>
        </w:rPr>
        <w:t>|</w:t>
      </w:r>
      <w:r w:rsidRPr="00E16BBF">
        <w:t xml:space="preserve"> in m0CRPC, $</w:t>
      </w:r>
      <w:r w:rsidR="00E639BD" w:rsidRPr="00B0524F">
        <w:rPr>
          <w:color w:val="000000"/>
          <w:w w:val="15"/>
          <w:shd w:val="solid" w:color="000000" w:fill="000000"/>
          <w:fitText w:val="-20" w:id="-761099512"/>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512"/>
          <w14:textFill>
            <w14:solidFill>
              <w14:srgbClr w14:val="000000">
                <w14:alpha w14:val="100000"/>
              </w14:srgbClr>
            </w14:solidFill>
          </w14:textFill>
        </w:rPr>
        <w:t>|</w:t>
      </w:r>
      <w:r w:rsidRPr="00E16BBF">
        <w:t xml:space="preserve"> in mCRPC), slightly advantaging the ADT arm.</w:t>
      </w:r>
    </w:p>
    <w:p w14:paraId="3A8E93EF" w14:textId="14C8CA1F" w:rsidR="00ED509D" w:rsidRPr="00E16BBF" w:rsidRDefault="00ED509D" w:rsidP="00ED509D">
      <w:pPr>
        <w:pStyle w:val="3-BodyText"/>
        <w:numPr>
          <w:ilvl w:val="1"/>
          <w:numId w:val="1"/>
        </w:numPr>
      </w:pPr>
      <w:r w:rsidRPr="00E16BBF">
        <w:t xml:space="preserve">Costs for ADT were based on PBS DPMQs and orchiectomy was assumed to be two of MBS item 30642 (unilateral orchiectomy), which </w:t>
      </w:r>
      <w:r w:rsidR="00A80407" w:rsidRPr="00E16BBF">
        <w:t xml:space="preserve">was </w:t>
      </w:r>
      <w:r w:rsidRPr="00E16BBF">
        <w:t>reasonable. The submission did not provide a source that could be verified for the split of ADT treatments (88.02% leuprorelin, 11.65% degarelix, 0.34% orchiectomy). The total cost of ADT (including one off cost of orchiectomy) was $</w:t>
      </w:r>
      <w:r w:rsidR="00E639BD" w:rsidRPr="00B0524F">
        <w:rPr>
          <w:color w:val="000000"/>
          <w:w w:val="15"/>
          <w:shd w:val="solid" w:color="000000" w:fill="000000"/>
          <w:fitText w:val="-20" w:id="-761099511"/>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511"/>
          <w14:textFill>
            <w14:solidFill>
              <w14:srgbClr w14:val="000000">
                <w14:alpha w14:val="100000"/>
              </w14:srgbClr>
            </w14:solidFill>
          </w14:textFill>
        </w:rPr>
        <w:t>|</w:t>
      </w:r>
      <w:r w:rsidRPr="00E16BBF">
        <w:t xml:space="preserve"> for the first month and $</w:t>
      </w:r>
      <w:r w:rsidR="00E639BD" w:rsidRPr="00B0524F">
        <w:rPr>
          <w:color w:val="000000"/>
          <w:w w:val="15"/>
          <w:shd w:val="solid" w:color="000000" w:fill="000000"/>
          <w:fitText w:val="-20" w:id="-761099510"/>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510"/>
          <w14:textFill>
            <w14:solidFill>
              <w14:srgbClr w14:val="000000">
                <w14:alpha w14:val="100000"/>
              </w14:srgbClr>
            </w14:solidFill>
          </w14:textFill>
        </w:rPr>
        <w:t>|</w:t>
      </w:r>
      <w:r w:rsidRPr="00E16BBF">
        <w:t xml:space="preserve"> thereafter in all health states. This was </w:t>
      </w:r>
      <w:r w:rsidR="00A80407" w:rsidRPr="00E16BBF">
        <w:t xml:space="preserve">less </w:t>
      </w:r>
      <w:r w:rsidRPr="00E16BBF">
        <w:t>than the cost of ADT estimated previously for mHSPC of $412.42 (paragraph 6.48, enzalutamide, Public Summary Document, March 2023 PBAC Meeting). The cost of ADT was not a significant driver of the ICER.</w:t>
      </w:r>
    </w:p>
    <w:p w14:paraId="0ACE0827" w14:textId="6831CDBC" w:rsidR="00ED509D" w:rsidRPr="00E16BBF" w:rsidRDefault="00ED509D" w:rsidP="00ED509D">
      <w:pPr>
        <w:pStyle w:val="3-BodyText"/>
        <w:numPr>
          <w:ilvl w:val="1"/>
          <w:numId w:val="1"/>
        </w:numPr>
      </w:pPr>
      <w:r w:rsidRPr="00E16BBF">
        <w:t xml:space="preserve">Patients were assumed to require subsequent treatment once they progress. Costs were based on PBS DPMQs, except for apalutamide, darolutamide and abiraterone plus methylprednisolone where a </w:t>
      </w:r>
      <w:r w:rsidR="008F5BC3" w:rsidRPr="00B0524F">
        <w:rPr>
          <w:color w:val="000000"/>
          <w:w w:val="15"/>
          <w:shd w:val="solid" w:color="000000" w:fill="000000"/>
          <w:fitText w:val="-20" w:id="-756765952"/>
          <w14:textFill>
            <w14:solidFill>
              <w14:srgbClr w14:val="000000">
                <w14:alpha w14:val="100000"/>
              </w14:srgbClr>
            </w14:solidFill>
          </w14:textFill>
        </w:rPr>
        <w:t xml:space="preserve">|  </w:t>
      </w:r>
      <w:r w:rsidR="008F5BC3" w:rsidRPr="00B0524F">
        <w:rPr>
          <w:color w:val="000000"/>
          <w:spacing w:val="-69"/>
          <w:w w:val="15"/>
          <w:shd w:val="solid" w:color="000000" w:fill="000000"/>
          <w:fitText w:val="-20" w:id="-756765952"/>
          <w14:textFill>
            <w14:solidFill>
              <w14:srgbClr w14:val="000000">
                <w14:alpha w14:val="100000"/>
              </w14:srgbClr>
            </w14:solidFill>
          </w14:textFill>
        </w:rPr>
        <w:t>|</w:t>
      </w:r>
      <w:r w:rsidRPr="00E16BBF">
        <w:t xml:space="preserve">% discount to the AEMP was estimated, and olaparib where a </w:t>
      </w:r>
      <w:r w:rsidR="008F5BC3" w:rsidRPr="00B0524F">
        <w:rPr>
          <w:color w:val="000000"/>
          <w:w w:val="15"/>
          <w:shd w:val="solid" w:color="000000" w:fill="000000"/>
          <w:fitText w:val="-20" w:id="-756765951"/>
          <w14:textFill>
            <w14:solidFill>
              <w14:srgbClr w14:val="000000">
                <w14:alpha w14:val="100000"/>
              </w14:srgbClr>
            </w14:solidFill>
          </w14:textFill>
        </w:rPr>
        <w:t xml:space="preserve">|  </w:t>
      </w:r>
      <w:r w:rsidR="008F5BC3" w:rsidRPr="00B0524F">
        <w:rPr>
          <w:color w:val="000000"/>
          <w:spacing w:val="-69"/>
          <w:w w:val="15"/>
          <w:shd w:val="solid" w:color="000000" w:fill="000000"/>
          <w:fitText w:val="-20" w:id="-756765951"/>
          <w14:textFill>
            <w14:solidFill>
              <w14:srgbClr w14:val="000000">
                <w14:alpha w14:val="100000"/>
              </w14:srgbClr>
            </w14:solidFill>
          </w14:textFill>
        </w:rPr>
        <w:t>|</w:t>
      </w:r>
      <w:r w:rsidRPr="00E16BBF">
        <w:t>% discount to the AEMP was estimated. Patients also accrued costs for concomitant therapies, treatment monitoring, disease monitoring, adverse events and palliative care. Subsequent treatments were the largest driver of cost-offsets in the model.</w:t>
      </w:r>
    </w:p>
    <w:p w14:paraId="28A31B94" w14:textId="27A141C3" w:rsidR="00ED509D" w:rsidRPr="00B63CD0" w:rsidRDefault="00ED509D" w:rsidP="00ED509D">
      <w:pPr>
        <w:pStyle w:val="3-BodyText"/>
        <w:numPr>
          <w:ilvl w:val="1"/>
          <w:numId w:val="1"/>
        </w:numPr>
      </w:pPr>
      <w:r w:rsidRPr="00B63CD0">
        <w:t xml:space="preserve">A summary of the key drivers of the model is presented in </w:t>
      </w:r>
      <w:r w:rsidRPr="00B63CD0">
        <w:fldChar w:fldCharType="begin" w:fldLock="1"/>
      </w:r>
      <w:r w:rsidRPr="00B63CD0">
        <w:instrText xml:space="preserve"> REF _Ref104805122 \h  \* MERGEFORMAT </w:instrText>
      </w:r>
      <w:r w:rsidRPr="00B63CD0">
        <w:fldChar w:fldCharType="separate"/>
      </w:r>
      <w:r w:rsidR="006619E7" w:rsidRPr="00B63CD0">
        <w:t>Table 11</w:t>
      </w:r>
      <w:r w:rsidRPr="00B63CD0">
        <w:fldChar w:fldCharType="end"/>
      </w:r>
      <w:r w:rsidRPr="00B63CD0">
        <w:t>.</w:t>
      </w:r>
    </w:p>
    <w:p w14:paraId="1465C84C" w14:textId="1F2312CA" w:rsidR="00ED509D" w:rsidRPr="0098262F" w:rsidRDefault="00ED509D" w:rsidP="006A4FCD">
      <w:pPr>
        <w:pStyle w:val="Caption"/>
        <w:jc w:val="left"/>
        <w:rPr>
          <w:rStyle w:val="CommentReference"/>
          <w:b/>
          <w:szCs w:val="24"/>
        </w:rPr>
      </w:pPr>
      <w:bookmarkStart w:id="49" w:name="_Ref104805122"/>
      <w:r w:rsidRPr="0098262F">
        <w:lastRenderedPageBreak/>
        <w:t xml:space="preserve">Table </w:t>
      </w:r>
      <w:r>
        <w:fldChar w:fldCharType="begin" w:fldLock="1"/>
      </w:r>
      <w:r>
        <w:instrText xml:space="preserve"> SEQ Table \* ARABIC </w:instrText>
      </w:r>
      <w:r>
        <w:fldChar w:fldCharType="separate"/>
      </w:r>
      <w:r w:rsidR="00DF24EF">
        <w:rPr>
          <w:noProof/>
        </w:rPr>
        <w:t>11</w:t>
      </w:r>
      <w:r>
        <w:rPr>
          <w:noProof/>
        </w:rPr>
        <w:fldChar w:fldCharType="end"/>
      </w:r>
      <w:bookmarkEnd w:id="49"/>
      <w:r w:rsidRPr="0098262F">
        <w:t>:</w:t>
      </w:r>
      <w:r w:rsidRPr="0098262F">
        <w:rPr>
          <w:rStyle w:val="CommentReference"/>
          <w:b/>
          <w:szCs w:val="24"/>
        </w:rPr>
        <w:t xml:space="preserve"> Key drivers of the model</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130"/>
        <w:gridCol w:w="3425"/>
        <w:gridCol w:w="2161"/>
        <w:gridCol w:w="2279"/>
      </w:tblGrid>
      <w:tr w:rsidR="008476AA" w:rsidRPr="00B63CD0" w14:paraId="1A9619CD" w14:textId="77777777" w:rsidTr="008476AA">
        <w:trPr>
          <w:trHeight w:val="288"/>
          <w:tblHeader/>
        </w:trPr>
        <w:tc>
          <w:tcPr>
            <w:tcW w:w="628" w:type="pct"/>
            <w:vMerge w:val="restart"/>
            <w:shd w:val="clear" w:color="auto" w:fill="auto"/>
            <w:vAlign w:val="center"/>
          </w:tcPr>
          <w:p w14:paraId="302DD1A7" w14:textId="06BAD3D2" w:rsidR="008476AA" w:rsidRPr="00B63CD0" w:rsidRDefault="008476AA" w:rsidP="008476AA">
            <w:pPr>
              <w:pStyle w:val="In-tableHeading"/>
              <w:keepNext/>
              <w:jc w:val="center"/>
            </w:pPr>
            <w:r w:rsidRPr="00B63CD0">
              <w:t>Description</w:t>
            </w:r>
          </w:p>
        </w:tc>
        <w:tc>
          <w:tcPr>
            <w:tcW w:w="1904" w:type="pct"/>
            <w:vMerge w:val="restart"/>
            <w:shd w:val="clear" w:color="auto" w:fill="auto"/>
            <w:vAlign w:val="center"/>
          </w:tcPr>
          <w:p w14:paraId="68D0CC4E" w14:textId="485CDC21" w:rsidR="008476AA" w:rsidRPr="00B63CD0" w:rsidRDefault="008476AA" w:rsidP="008476AA">
            <w:pPr>
              <w:pStyle w:val="In-tableHeading"/>
              <w:keepNext/>
              <w:jc w:val="center"/>
            </w:pPr>
            <w:r w:rsidRPr="00B63CD0">
              <w:t>Method/Value</w:t>
            </w:r>
          </w:p>
        </w:tc>
        <w:tc>
          <w:tcPr>
            <w:tcW w:w="2468" w:type="pct"/>
            <w:gridSpan w:val="2"/>
            <w:shd w:val="clear" w:color="auto" w:fill="auto"/>
            <w:vAlign w:val="center"/>
          </w:tcPr>
          <w:p w14:paraId="3A6EB79F" w14:textId="0FEACC02" w:rsidR="008476AA" w:rsidRPr="00B63CD0" w:rsidRDefault="008476AA" w:rsidP="008476AA">
            <w:pPr>
              <w:pStyle w:val="In-tableHeading"/>
              <w:keepNext/>
              <w:jc w:val="center"/>
            </w:pPr>
            <w:r>
              <w:t>Impact</w:t>
            </w:r>
          </w:p>
        </w:tc>
      </w:tr>
      <w:tr w:rsidR="008476AA" w:rsidRPr="00B63CD0" w14:paraId="63B64D60" w14:textId="77777777" w:rsidTr="008476AA">
        <w:trPr>
          <w:trHeight w:val="288"/>
          <w:tblHeader/>
        </w:trPr>
        <w:tc>
          <w:tcPr>
            <w:tcW w:w="628" w:type="pct"/>
            <w:vMerge/>
            <w:shd w:val="clear" w:color="auto" w:fill="auto"/>
            <w:vAlign w:val="center"/>
          </w:tcPr>
          <w:p w14:paraId="2E4573BE" w14:textId="77777777" w:rsidR="008476AA" w:rsidRPr="00B63CD0" w:rsidRDefault="008476AA" w:rsidP="008476AA">
            <w:pPr>
              <w:pStyle w:val="In-tableHeading"/>
              <w:keepNext/>
              <w:jc w:val="center"/>
            </w:pPr>
          </w:p>
        </w:tc>
        <w:tc>
          <w:tcPr>
            <w:tcW w:w="1904" w:type="pct"/>
            <w:vMerge/>
            <w:shd w:val="clear" w:color="auto" w:fill="auto"/>
            <w:vAlign w:val="center"/>
          </w:tcPr>
          <w:p w14:paraId="39760B41" w14:textId="77777777" w:rsidR="008476AA" w:rsidRPr="00B63CD0" w:rsidRDefault="008476AA" w:rsidP="008476AA">
            <w:pPr>
              <w:pStyle w:val="In-tableHeading"/>
              <w:keepNext/>
              <w:jc w:val="center"/>
            </w:pPr>
          </w:p>
        </w:tc>
        <w:tc>
          <w:tcPr>
            <w:tcW w:w="1201" w:type="pct"/>
            <w:shd w:val="clear" w:color="auto" w:fill="auto"/>
            <w:vAlign w:val="center"/>
          </w:tcPr>
          <w:p w14:paraId="134350A2" w14:textId="77777777" w:rsidR="008476AA" w:rsidRPr="00B63CD0" w:rsidRDefault="008476AA" w:rsidP="008476AA">
            <w:pPr>
              <w:pStyle w:val="In-tableHeading"/>
              <w:keepNext/>
              <w:jc w:val="center"/>
            </w:pPr>
            <w:r w:rsidRPr="00B63CD0">
              <w:t xml:space="preserve">ENZA+ADT vs </w:t>
            </w:r>
          </w:p>
          <w:p w14:paraId="18790097" w14:textId="77777777" w:rsidR="008476AA" w:rsidRPr="00B63CD0" w:rsidRDefault="008476AA" w:rsidP="008476AA">
            <w:pPr>
              <w:pStyle w:val="In-tableHeading"/>
              <w:keepNext/>
              <w:jc w:val="center"/>
            </w:pPr>
            <w:r w:rsidRPr="00B63CD0">
              <w:t>ADT alone</w:t>
            </w:r>
          </w:p>
          <w:p w14:paraId="009A7E2E" w14:textId="47EC467E" w:rsidR="008476AA" w:rsidRPr="00B63CD0" w:rsidRDefault="008476AA" w:rsidP="008476AA">
            <w:pPr>
              <w:pStyle w:val="In-tableHeading"/>
              <w:keepNext/>
              <w:jc w:val="center"/>
            </w:pPr>
            <w:r w:rsidRPr="00B63CD0">
              <w:t>Base $</w:t>
            </w:r>
            <w:r w:rsidR="00E639BD" w:rsidRPr="009F65A1">
              <w:rPr>
                <w:rFonts w:hint="eastAsia"/>
                <w:color w:val="000000"/>
                <w:w w:val="17"/>
                <w:shd w:val="solid" w:color="000000" w:fill="000000"/>
                <w:fitText w:val="80" w:id="-761099509"/>
                <w14:textFill>
                  <w14:solidFill>
                    <w14:srgbClr w14:val="000000">
                      <w14:alpha w14:val="100000"/>
                    </w14:srgbClr>
                  </w14:solidFill>
                </w14:textFill>
              </w:rPr>
              <w:t xml:space="preserve">　</w:t>
            </w:r>
            <w:r w:rsidR="00E639BD" w:rsidRPr="009F65A1">
              <w:rPr>
                <w:color w:val="000000"/>
                <w:w w:val="17"/>
                <w:shd w:val="solid" w:color="000000" w:fill="000000"/>
                <w:fitText w:val="80" w:id="-761099509"/>
                <w14:textFill>
                  <w14:solidFill>
                    <w14:srgbClr w14:val="000000">
                      <w14:alpha w14:val="100000"/>
                    </w14:srgbClr>
                  </w14:solidFill>
                </w14:textFill>
              </w:rPr>
              <w:t>|</w:t>
            </w:r>
            <w:r w:rsidR="00E639BD" w:rsidRPr="009F65A1">
              <w:rPr>
                <w:rFonts w:hint="eastAsia"/>
                <w:color w:val="000000"/>
                <w:spacing w:val="6"/>
                <w:w w:val="17"/>
                <w:shd w:val="solid" w:color="000000" w:fill="000000"/>
                <w:fitText w:val="80" w:id="-761099509"/>
                <w14:textFill>
                  <w14:solidFill>
                    <w14:srgbClr w14:val="000000">
                      <w14:alpha w14:val="100000"/>
                    </w14:srgbClr>
                  </w14:solidFill>
                </w14:textFill>
              </w:rPr>
              <w:t xml:space="preserve">　</w:t>
            </w:r>
            <w:r w:rsidR="00E17390" w:rsidRPr="00E17390">
              <w:rPr>
                <w:vertAlign w:val="superscript"/>
              </w:rPr>
              <w:t>1</w:t>
            </w:r>
            <w:r w:rsidRPr="00B63CD0">
              <w:t>/QALY</w:t>
            </w:r>
          </w:p>
        </w:tc>
        <w:tc>
          <w:tcPr>
            <w:tcW w:w="1267" w:type="pct"/>
          </w:tcPr>
          <w:p w14:paraId="4267E70A" w14:textId="77777777" w:rsidR="008476AA" w:rsidRPr="00B63CD0" w:rsidRDefault="008476AA" w:rsidP="008476AA">
            <w:pPr>
              <w:pStyle w:val="In-tableHeading"/>
              <w:keepNext/>
              <w:jc w:val="center"/>
            </w:pPr>
            <w:r w:rsidRPr="00B63CD0">
              <w:t>ENZA mono vs</w:t>
            </w:r>
          </w:p>
          <w:p w14:paraId="271754F5" w14:textId="77777777" w:rsidR="008476AA" w:rsidRPr="00B63CD0" w:rsidRDefault="008476AA" w:rsidP="008476AA">
            <w:pPr>
              <w:pStyle w:val="In-tableHeading"/>
              <w:keepNext/>
              <w:jc w:val="center"/>
            </w:pPr>
            <w:r w:rsidRPr="00B63CD0">
              <w:t>ADT alone</w:t>
            </w:r>
          </w:p>
          <w:p w14:paraId="41E75BB7" w14:textId="743A61AC" w:rsidR="008476AA" w:rsidRPr="00B63CD0" w:rsidRDefault="008476AA" w:rsidP="008476AA">
            <w:pPr>
              <w:pStyle w:val="In-tableHeading"/>
              <w:keepNext/>
              <w:jc w:val="center"/>
            </w:pPr>
            <w:r w:rsidRPr="00B63CD0">
              <w:t>Base $</w:t>
            </w:r>
            <w:r w:rsidR="00E639BD">
              <w:rPr>
                <w:rFonts w:hint="eastAsia"/>
                <w:color w:val="000000"/>
                <w:w w:val="15"/>
                <w:shd w:val="solid" w:color="000000" w:fill="000000"/>
                <w:fitText w:val="20" w:id="-761099508"/>
                <w14:textFill>
                  <w14:solidFill>
                    <w14:srgbClr w14:val="000000">
                      <w14:alpha w14:val="100000"/>
                    </w14:srgbClr>
                  </w14:solidFill>
                </w14:textFill>
              </w:rPr>
              <w:t xml:space="preserve">　</w:t>
            </w:r>
            <w:r w:rsidR="00E639BD">
              <w:rPr>
                <w:color w:val="000000"/>
                <w:w w:val="15"/>
                <w:shd w:val="solid" w:color="000000" w:fill="000000"/>
                <w:fitText w:val="20" w:id="-761099508"/>
                <w14:textFill>
                  <w14:solidFill>
                    <w14:srgbClr w14:val="000000">
                      <w14:alpha w14:val="100000"/>
                    </w14:srgbClr>
                  </w14:solidFill>
                </w14:textFill>
              </w:rPr>
              <w:t>|</w:t>
            </w:r>
            <w:r w:rsidR="00E639BD">
              <w:rPr>
                <w:rFonts w:hint="eastAsia"/>
                <w:color w:val="000000"/>
                <w:spacing w:val="-46"/>
                <w:w w:val="15"/>
                <w:shd w:val="solid" w:color="000000" w:fill="000000"/>
                <w:fitText w:val="20" w:id="-761099508"/>
                <w14:textFill>
                  <w14:solidFill>
                    <w14:srgbClr w14:val="000000">
                      <w14:alpha w14:val="100000"/>
                    </w14:srgbClr>
                  </w14:solidFill>
                </w14:textFill>
              </w:rPr>
              <w:t xml:space="preserve">　</w:t>
            </w:r>
            <w:r w:rsidR="00E17390" w:rsidRPr="00E17390">
              <w:rPr>
                <w:vertAlign w:val="superscript"/>
              </w:rPr>
              <w:t>2</w:t>
            </w:r>
            <w:r w:rsidRPr="00B63CD0">
              <w:t>/QALY</w:t>
            </w:r>
          </w:p>
        </w:tc>
      </w:tr>
      <w:tr w:rsidR="008476AA" w:rsidRPr="00B63CD0" w14:paraId="6A32D3D6" w14:textId="77777777" w:rsidTr="008476AA">
        <w:tc>
          <w:tcPr>
            <w:tcW w:w="628" w:type="pct"/>
            <w:shd w:val="clear" w:color="auto" w:fill="auto"/>
            <w:vAlign w:val="center"/>
          </w:tcPr>
          <w:p w14:paraId="0B687DE1" w14:textId="77777777" w:rsidR="008476AA" w:rsidRPr="00B63CD0" w:rsidRDefault="008476AA" w:rsidP="006A4FCD">
            <w:pPr>
              <w:pStyle w:val="TableText0"/>
              <w:keepLines w:val="0"/>
            </w:pPr>
            <w:r w:rsidRPr="00B63CD0">
              <w:t>Extrapolation</w:t>
            </w:r>
          </w:p>
        </w:tc>
        <w:tc>
          <w:tcPr>
            <w:tcW w:w="1904" w:type="pct"/>
            <w:shd w:val="clear" w:color="auto" w:fill="auto"/>
            <w:vAlign w:val="center"/>
          </w:tcPr>
          <w:p w14:paraId="42B1E140" w14:textId="77777777" w:rsidR="008476AA" w:rsidRPr="00B63CD0" w:rsidRDefault="008476AA" w:rsidP="006A4FCD">
            <w:pPr>
              <w:pStyle w:val="TableText0"/>
              <w:keepLines w:val="0"/>
            </w:pPr>
            <w:r w:rsidRPr="00B63CD0">
              <w:t xml:space="preserve">Treatment effect (MFS and OS benefit) continued beyond 75 month trial period for up to 30 years. </w:t>
            </w:r>
          </w:p>
          <w:p w14:paraId="3D1B3D26" w14:textId="23E1458F" w:rsidR="008476AA" w:rsidRPr="00B63CD0" w:rsidRDefault="008476AA" w:rsidP="006A4FCD">
            <w:pPr>
              <w:pStyle w:val="TableText0"/>
              <w:keepLines w:val="0"/>
            </w:pPr>
            <w:r w:rsidRPr="00B63CD0">
              <w:t>Trial evidence is immature (median MFS and OS not yet achieved) and confirmatory OS benefit was not demonstrated in EMBARK for ENZA+/-ADT over ADT alone. Mortality was not adjusted for patients dying in downstream health states.</w:t>
            </w:r>
          </w:p>
        </w:tc>
        <w:tc>
          <w:tcPr>
            <w:tcW w:w="1201" w:type="pct"/>
            <w:shd w:val="clear" w:color="auto" w:fill="auto"/>
            <w:vAlign w:val="center"/>
          </w:tcPr>
          <w:p w14:paraId="5905C008" w14:textId="77777777" w:rsidR="008476AA" w:rsidRPr="00B63CD0" w:rsidRDefault="008476AA" w:rsidP="006A4FCD">
            <w:pPr>
              <w:pStyle w:val="TableText0"/>
              <w:keepLines w:val="0"/>
            </w:pPr>
            <w:r w:rsidRPr="00B63CD0">
              <w:t xml:space="preserve">High, favoured ENZA+ADT </w:t>
            </w:r>
          </w:p>
          <w:p w14:paraId="4CA4DBF5" w14:textId="413593CF" w:rsidR="008476AA" w:rsidRPr="00B63CD0" w:rsidRDefault="008476AA" w:rsidP="006A4FCD">
            <w:pPr>
              <w:pStyle w:val="TableText0"/>
              <w:keepLines w:val="0"/>
            </w:pPr>
            <w:r w:rsidRPr="00B63CD0">
              <w:t>It was not possible to converge the modelled OS. If MFS and OS hazards were equal to ADT arm from Year 10 ICER increased to $</w:t>
            </w:r>
            <w:r w:rsidR="00E639BD" w:rsidRPr="00E639BD">
              <w:rPr>
                <w:color w:val="000000"/>
                <w:spacing w:val="49"/>
                <w:shd w:val="solid" w:color="000000" w:fill="000000"/>
                <w:fitText w:val="320" w:id="-761099507"/>
                <w14:textFill>
                  <w14:solidFill>
                    <w14:srgbClr w14:val="000000">
                      <w14:alpha w14:val="100000"/>
                    </w14:srgbClr>
                  </w14:solidFill>
                </w14:textFill>
              </w:rPr>
              <w:t>|||</w:t>
            </w:r>
            <w:r w:rsidR="00E639BD" w:rsidRPr="00E639BD">
              <w:rPr>
                <w:color w:val="000000"/>
                <w:spacing w:val="3"/>
                <w:shd w:val="solid" w:color="000000" w:fill="000000"/>
                <w:fitText w:val="320" w:id="-761099507"/>
                <w14:textFill>
                  <w14:solidFill>
                    <w14:srgbClr w14:val="000000">
                      <w14:alpha w14:val="100000"/>
                    </w14:srgbClr>
                  </w14:solidFill>
                </w14:textFill>
              </w:rPr>
              <w:t>|</w:t>
            </w:r>
            <w:r w:rsidR="008D3B46" w:rsidRPr="008D3B46">
              <w:rPr>
                <w:vertAlign w:val="superscript"/>
              </w:rPr>
              <w:t>3</w:t>
            </w:r>
            <w:r w:rsidRPr="00B63CD0">
              <w:t>/QALY.</w:t>
            </w:r>
          </w:p>
        </w:tc>
        <w:tc>
          <w:tcPr>
            <w:tcW w:w="1267" w:type="pct"/>
            <w:vAlign w:val="center"/>
          </w:tcPr>
          <w:p w14:paraId="6B9712CE" w14:textId="77777777" w:rsidR="008476AA" w:rsidRPr="00B63CD0" w:rsidRDefault="008476AA" w:rsidP="006A4FCD">
            <w:pPr>
              <w:pStyle w:val="TableText0"/>
              <w:keepLines w:val="0"/>
            </w:pPr>
            <w:r w:rsidRPr="00B63CD0">
              <w:t>High, favoured ENZA mono arm</w:t>
            </w:r>
          </w:p>
          <w:p w14:paraId="1DB949A5" w14:textId="3260E20F" w:rsidR="008476AA" w:rsidRPr="00B63CD0" w:rsidRDefault="008476AA" w:rsidP="006A4FCD">
            <w:pPr>
              <w:pStyle w:val="TableText0"/>
              <w:keepLines w:val="0"/>
            </w:pPr>
            <w:r w:rsidRPr="00B63CD0">
              <w:t>It was not possible to converge the modelled OS. If MFS and OS hazards were equal to ADT arm from Year 10 ICER increased to $</w:t>
            </w:r>
            <w:r w:rsidR="00E639BD" w:rsidRPr="00E639BD">
              <w:rPr>
                <w:color w:val="000000"/>
                <w:spacing w:val="49"/>
                <w:shd w:val="solid" w:color="000000" w:fill="000000"/>
                <w:fitText w:val="320" w:id="-761099506"/>
                <w14:textFill>
                  <w14:solidFill>
                    <w14:srgbClr w14:val="000000">
                      <w14:alpha w14:val="100000"/>
                    </w14:srgbClr>
                  </w14:solidFill>
                </w14:textFill>
              </w:rPr>
              <w:t>|||</w:t>
            </w:r>
            <w:r w:rsidR="00E639BD" w:rsidRPr="00E639BD">
              <w:rPr>
                <w:color w:val="000000"/>
                <w:spacing w:val="3"/>
                <w:shd w:val="solid" w:color="000000" w:fill="000000"/>
                <w:fitText w:val="320" w:id="-761099506"/>
                <w14:textFill>
                  <w14:solidFill>
                    <w14:srgbClr w14:val="000000">
                      <w14:alpha w14:val="100000"/>
                    </w14:srgbClr>
                  </w14:solidFill>
                </w14:textFill>
              </w:rPr>
              <w:t>|</w:t>
            </w:r>
            <w:r w:rsidR="001A04E4" w:rsidRPr="00E17390">
              <w:rPr>
                <w:vertAlign w:val="superscript"/>
              </w:rPr>
              <w:t>2</w:t>
            </w:r>
            <w:r w:rsidRPr="00B63CD0">
              <w:t>/QALY.</w:t>
            </w:r>
          </w:p>
        </w:tc>
      </w:tr>
      <w:tr w:rsidR="008476AA" w:rsidRPr="00B63CD0" w14:paraId="0B12F69A" w14:textId="77777777" w:rsidTr="008476AA">
        <w:tc>
          <w:tcPr>
            <w:tcW w:w="628" w:type="pct"/>
            <w:shd w:val="clear" w:color="auto" w:fill="auto"/>
            <w:vAlign w:val="center"/>
          </w:tcPr>
          <w:p w14:paraId="3AF59641" w14:textId="77777777" w:rsidR="008476AA" w:rsidRPr="00B63CD0" w:rsidRDefault="008476AA" w:rsidP="006A4FCD">
            <w:pPr>
              <w:pStyle w:val="TableText0"/>
              <w:keepLines w:val="0"/>
            </w:pPr>
            <w:r w:rsidRPr="00B63CD0">
              <w:t>Treatment suspension</w:t>
            </w:r>
          </w:p>
        </w:tc>
        <w:tc>
          <w:tcPr>
            <w:tcW w:w="1904" w:type="pct"/>
            <w:shd w:val="clear" w:color="auto" w:fill="auto"/>
            <w:vAlign w:val="center"/>
          </w:tcPr>
          <w:p w14:paraId="7A920976" w14:textId="7F30546E" w:rsidR="008476AA" w:rsidRPr="00B63CD0" w:rsidRDefault="008476AA" w:rsidP="006A4FCD">
            <w:pPr>
              <w:pStyle w:val="TableText0"/>
              <w:keepLines w:val="0"/>
            </w:pPr>
            <w:r w:rsidRPr="00B63CD0">
              <w:t>At Month 9, a proportion of patients (90.9% ENZA+ADT, 85.9% ENZA mono, 67.8% ADT alone) suspended treatment, with patients resuming treatment: 68.3% at Month 39 in ENZA+ADT, 76.3% at Month 27 in ENZA mono, and 57.3% at Month 33 in ADT alone.</w:t>
            </w:r>
          </w:p>
          <w:p w14:paraId="4F81E981" w14:textId="77777777" w:rsidR="008476AA" w:rsidRPr="00B63CD0" w:rsidRDefault="008476AA" w:rsidP="006A4FCD">
            <w:pPr>
              <w:pStyle w:val="TableText0"/>
              <w:keepLines w:val="0"/>
            </w:pPr>
            <w:r w:rsidRPr="00B63CD0">
              <w:t>Implementation of treatment suspension in practice is uncertain.</w:t>
            </w:r>
          </w:p>
        </w:tc>
        <w:tc>
          <w:tcPr>
            <w:tcW w:w="1201" w:type="pct"/>
            <w:shd w:val="clear" w:color="auto" w:fill="auto"/>
            <w:vAlign w:val="center"/>
          </w:tcPr>
          <w:p w14:paraId="45E7DA98" w14:textId="15B3A3B9" w:rsidR="008476AA" w:rsidRPr="00B63CD0" w:rsidRDefault="008476AA" w:rsidP="006A4FCD">
            <w:pPr>
              <w:pStyle w:val="TableText0"/>
              <w:keepLines w:val="0"/>
            </w:pPr>
            <w:r w:rsidRPr="00B63CD0">
              <w:t>High, favoured ENZA+ADT. If time on treatment was equal to time in m0HSPC, the ICER increased to $</w:t>
            </w:r>
            <w:r w:rsidR="00E639BD" w:rsidRPr="00E639BD">
              <w:rPr>
                <w:color w:val="000000"/>
                <w:spacing w:val="49"/>
                <w:shd w:val="solid" w:color="000000" w:fill="000000"/>
                <w:fitText w:val="320" w:id="-761099505"/>
                <w14:textFill>
                  <w14:solidFill>
                    <w14:srgbClr w14:val="000000">
                      <w14:alpha w14:val="100000"/>
                    </w14:srgbClr>
                  </w14:solidFill>
                </w14:textFill>
              </w:rPr>
              <w:t>|||</w:t>
            </w:r>
            <w:r w:rsidR="00E639BD" w:rsidRPr="00E639BD">
              <w:rPr>
                <w:color w:val="000000"/>
                <w:spacing w:val="3"/>
                <w:shd w:val="solid" w:color="000000" w:fill="000000"/>
                <w:fitText w:val="320" w:id="-761099505"/>
                <w14:textFill>
                  <w14:solidFill>
                    <w14:srgbClr w14:val="000000">
                      <w14:alpha w14:val="100000"/>
                    </w14:srgbClr>
                  </w14:solidFill>
                </w14:textFill>
              </w:rPr>
              <w:t>|</w:t>
            </w:r>
            <w:r w:rsidR="00093702" w:rsidRPr="00E52A7B">
              <w:rPr>
                <w:vertAlign w:val="superscript"/>
              </w:rPr>
              <w:t>4</w:t>
            </w:r>
            <w:r w:rsidRPr="00B63CD0">
              <w:t>/QALY.</w:t>
            </w:r>
          </w:p>
        </w:tc>
        <w:tc>
          <w:tcPr>
            <w:tcW w:w="1267" w:type="pct"/>
            <w:vAlign w:val="center"/>
          </w:tcPr>
          <w:p w14:paraId="6AB9E62A" w14:textId="54414D35" w:rsidR="008476AA" w:rsidRPr="00B63CD0" w:rsidRDefault="008476AA" w:rsidP="006A4FCD">
            <w:pPr>
              <w:pStyle w:val="TableText0"/>
              <w:keepLines w:val="0"/>
            </w:pPr>
            <w:r w:rsidRPr="00B63CD0">
              <w:t>High, favoured ENZA mono. If time on treatment was equal to time in m0HSPC, the ICER increased to $</w:t>
            </w:r>
            <w:r w:rsidR="00E639BD" w:rsidRPr="00E639BD">
              <w:rPr>
                <w:color w:val="000000"/>
                <w:spacing w:val="49"/>
                <w:shd w:val="solid" w:color="000000" w:fill="000000"/>
                <w:fitText w:val="320" w:id="-761099504"/>
                <w14:textFill>
                  <w14:solidFill>
                    <w14:srgbClr w14:val="000000">
                      <w14:alpha w14:val="100000"/>
                    </w14:srgbClr>
                  </w14:solidFill>
                </w14:textFill>
              </w:rPr>
              <w:t>|||</w:t>
            </w:r>
            <w:r w:rsidR="00E639BD" w:rsidRPr="00E639BD">
              <w:rPr>
                <w:color w:val="000000"/>
                <w:spacing w:val="3"/>
                <w:shd w:val="solid" w:color="000000" w:fill="000000"/>
                <w:fitText w:val="320" w:id="-761099504"/>
                <w14:textFill>
                  <w14:solidFill>
                    <w14:srgbClr w14:val="000000">
                      <w14:alpha w14:val="100000"/>
                    </w14:srgbClr>
                  </w14:solidFill>
                </w14:textFill>
              </w:rPr>
              <w:t>|</w:t>
            </w:r>
            <w:r w:rsidR="00E52A7B" w:rsidRPr="00E52A7B">
              <w:rPr>
                <w:vertAlign w:val="superscript"/>
              </w:rPr>
              <w:t>4</w:t>
            </w:r>
            <w:r w:rsidRPr="00B63CD0">
              <w:t>/QALY.</w:t>
            </w:r>
          </w:p>
        </w:tc>
      </w:tr>
      <w:tr w:rsidR="008476AA" w:rsidRPr="00B63CD0" w14:paraId="24963073" w14:textId="77777777" w:rsidTr="008476AA">
        <w:tc>
          <w:tcPr>
            <w:tcW w:w="628" w:type="pct"/>
            <w:shd w:val="clear" w:color="auto" w:fill="auto"/>
            <w:vAlign w:val="center"/>
          </w:tcPr>
          <w:p w14:paraId="718B2E1C" w14:textId="77777777" w:rsidR="008476AA" w:rsidRPr="00B63CD0" w:rsidRDefault="008476AA" w:rsidP="008F7A8E">
            <w:pPr>
              <w:pStyle w:val="TableText0"/>
              <w:keepNext w:val="0"/>
              <w:keepLines w:val="0"/>
            </w:pPr>
            <w:r w:rsidRPr="00B63CD0">
              <w:t>Subsequent treatments</w:t>
            </w:r>
          </w:p>
        </w:tc>
        <w:tc>
          <w:tcPr>
            <w:tcW w:w="1904" w:type="pct"/>
            <w:shd w:val="clear" w:color="auto" w:fill="auto"/>
            <w:vAlign w:val="center"/>
          </w:tcPr>
          <w:p w14:paraId="0374E2E9" w14:textId="37E300B2" w:rsidR="008476AA" w:rsidRPr="00B63CD0" w:rsidRDefault="008476AA" w:rsidP="008F7A8E">
            <w:pPr>
              <w:pStyle w:val="TableText0"/>
              <w:keepNext w:val="0"/>
              <w:keepLines w:val="0"/>
            </w:pPr>
            <w:r w:rsidRPr="00B63CD0">
              <w:t xml:space="preserve">Subsequent treatment proportions were based on PBS 10% sample. Costs were based on median durations and effectiveness on </w:t>
            </w:r>
            <w:r w:rsidR="00C02E47">
              <w:t>M</w:t>
            </w:r>
            <w:r w:rsidRPr="00B63CD0">
              <w:t>FS and OS reported in enzalutamide trials. Mortality from each source was not adjusted for patients dying in downstream health states. Therefore, NHA use in subsequent health states was unlikely to be cost-effective.</w:t>
            </w:r>
          </w:p>
        </w:tc>
        <w:tc>
          <w:tcPr>
            <w:tcW w:w="1201" w:type="pct"/>
            <w:shd w:val="clear" w:color="auto" w:fill="auto"/>
            <w:vAlign w:val="center"/>
          </w:tcPr>
          <w:p w14:paraId="3631A623" w14:textId="28371ED1" w:rsidR="008476AA" w:rsidRPr="00B63CD0" w:rsidRDefault="008476AA" w:rsidP="00142C15">
            <w:pPr>
              <w:pStyle w:val="TableText0"/>
              <w:keepNext w:val="0"/>
              <w:keepLines w:val="0"/>
            </w:pPr>
            <w:r w:rsidRPr="00B63CD0">
              <w:t>High, favoured ENZA+ADT. If 100% subsequent treatment ADT alone, the ICER increased to $</w:t>
            </w:r>
            <w:r w:rsidR="00E639BD" w:rsidRPr="00E639BD">
              <w:rPr>
                <w:color w:val="000000"/>
                <w:spacing w:val="49"/>
                <w:shd w:val="solid" w:color="000000" w:fill="000000"/>
                <w:fitText w:val="320" w:id="-761099520"/>
                <w14:textFill>
                  <w14:solidFill>
                    <w14:srgbClr w14:val="000000">
                      <w14:alpha w14:val="100000"/>
                    </w14:srgbClr>
                  </w14:solidFill>
                </w14:textFill>
              </w:rPr>
              <w:t>|||</w:t>
            </w:r>
            <w:r w:rsidR="00E639BD" w:rsidRPr="00E639BD">
              <w:rPr>
                <w:color w:val="000000"/>
                <w:spacing w:val="3"/>
                <w:shd w:val="solid" w:color="000000" w:fill="000000"/>
                <w:fitText w:val="320" w:id="-761099520"/>
                <w14:textFill>
                  <w14:solidFill>
                    <w14:srgbClr w14:val="000000">
                      <w14:alpha w14:val="100000"/>
                    </w14:srgbClr>
                  </w14:solidFill>
                </w14:textFill>
              </w:rPr>
              <w:t>|</w:t>
            </w:r>
            <w:r w:rsidR="007F16FD" w:rsidRPr="008D3B46">
              <w:rPr>
                <w:vertAlign w:val="superscript"/>
              </w:rPr>
              <w:t>3</w:t>
            </w:r>
            <w:r w:rsidRPr="00B63CD0">
              <w:t>/QALY.</w:t>
            </w:r>
          </w:p>
        </w:tc>
        <w:tc>
          <w:tcPr>
            <w:tcW w:w="1267" w:type="pct"/>
            <w:vAlign w:val="center"/>
          </w:tcPr>
          <w:p w14:paraId="29BF6DF9" w14:textId="7ECC3A82" w:rsidR="008476AA" w:rsidRPr="00B63CD0" w:rsidRDefault="008476AA" w:rsidP="00142C15">
            <w:pPr>
              <w:pStyle w:val="TableText0"/>
              <w:keepNext w:val="0"/>
              <w:keepLines w:val="0"/>
            </w:pPr>
            <w:r w:rsidRPr="00B63CD0">
              <w:t>High, favoured ENZA mono. If 100% subsequent treatment ADT alone, the ICER increased to $</w:t>
            </w:r>
            <w:r w:rsidR="00E639BD" w:rsidRPr="00E639BD">
              <w:rPr>
                <w:color w:val="000000"/>
                <w:spacing w:val="49"/>
                <w:shd w:val="solid" w:color="000000" w:fill="000000"/>
                <w:fitText w:val="320" w:id="-761099519"/>
                <w14:textFill>
                  <w14:solidFill>
                    <w14:srgbClr w14:val="000000">
                      <w14:alpha w14:val="100000"/>
                    </w14:srgbClr>
                  </w14:solidFill>
                </w14:textFill>
              </w:rPr>
              <w:t>|||</w:t>
            </w:r>
            <w:r w:rsidR="00E639BD" w:rsidRPr="00E639BD">
              <w:rPr>
                <w:color w:val="000000"/>
                <w:spacing w:val="3"/>
                <w:shd w:val="solid" w:color="000000" w:fill="000000"/>
                <w:fitText w:val="320" w:id="-761099519"/>
                <w14:textFill>
                  <w14:solidFill>
                    <w14:srgbClr w14:val="000000">
                      <w14:alpha w14:val="100000"/>
                    </w14:srgbClr>
                  </w14:solidFill>
                </w14:textFill>
              </w:rPr>
              <w:t>|</w:t>
            </w:r>
            <w:r w:rsidR="001A04E4" w:rsidRPr="00E17390">
              <w:rPr>
                <w:vertAlign w:val="superscript"/>
              </w:rPr>
              <w:t>2</w:t>
            </w:r>
            <w:r w:rsidRPr="00B63CD0">
              <w:t>/QALY.</w:t>
            </w:r>
          </w:p>
        </w:tc>
      </w:tr>
      <w:tr w:rsidR="008476AA" w:rsidRPr="00B63CD0" w14:paraId="39A890C3" w14:textId="77777777" w:rsidTr="008476AA">
        <w:tc>
          <w:tcPr>
            <w:tcW w:w="628" w:type="pct"/>
            <w:shd w:val="clear" w:color="auto" w:fill="auto"/>
            <w:vAlign w:val="center"/>
          </w:tcPr>
          <w:p w14:paraId="30CD7429" w14:textId="77777777" w:rsidR="008476AA" w:rsidRPr="00B63CD0" w:rsidRDefault="008476AA" w:rsidP="008F7A8E">
            <w:pPr>
              <w:pStyle w:val="TableText0"/>
              <w:keepNext w:val="0"/>
              <w:keepLines w:val="0"/>
            </w:pPr>
            <w:r w:rsidRPr="00B63CD0">
              <w:t>Utilities in m0HSPC</w:t>
            </w:r>
          </w:p>
        </w:tc>
        <w:tc>
          <w:tcPr>
            <w:tcW w:w="1904" w:type="pct"/>
            <w:shd w:val="clear" w:color="auto" w:fill="auto"/>
            <w:vAlign w:val="center"/>
          </w:tcPr>
          <w:p w14:paraId="54EE0E34" w14:textId="1436520C" w:rsidR="008476AA" w:rsidRPr="00B63CD0" w:rsidRDefault="008476AA" w:rsidP="008F7A8E">
            <w:pPr>
              <w:pStyle w:val="TableText0"/>
              <w:keepNext w:val="0"/>
              <w:keepLines w:val="0"/>
            </w:pPr>
            <w:r w:rsidRPr="00B63CD0">
              <w:t>High values for model health states taken from EMBARK exceeded Australian general population utilities.</w:t>
            </w:r>
          </w:p>
        </w:tc>
        <w:tc>
          <w:tcPr>
            <w:tcW w:w="1201" w:type="pct"/>
            <w:shd w:val="clear" w:color="auto" w:fill="auto"/>
            <w:vAlign w:val="center"/>
          </w:tcPr>
          <w:p w14:paraId="4BA3BB67" w14:textId="746AA007" w:rsidR="008476AA" w:rsidRPr="00B63CD0" w:rsidRDefault="008476AA" w:rsidP="00142C15">
            <w:pPr>
              <w:pStyle w:val="TableText0"/>
              <w:keepNext w:val="0"/>
              <w:keepLines w:val="0"/>
            </w:pPr>
            <w:r w:rsidRPr="00B63CD0">
              <w:t>Moderate, favoured ENZA+ADT. If utilities could not exceed the general population (m0HSPC utilities reduced by 0.06), the ICER increased to $</w:t>
            </w:r>
            <w:r w:rsidR="00E639BD" w:rsidRPr="00E639BD">
              <w:rPr>
                <w:color w:val="000000"/>
                <w:spacing w:val="49"/>
                <w:shd w:val="solid" w:color="000000" w:fill="000000"/>
                <w:fitText w:val="320" w:id="-761099518"/>
                <w14:textFill>
                  <w14:solidFill>
                    <w14:srgbClr w14:val="000000">
                      <w14:alpha w14:val="100000"/>
                    </w14:srgbClr>
                  </w14:solidFill>
                </w14:textFill>
              </w:rPr>
              <w:t>|||</w:t>
            </w:r>
            <w:r w:rsidR="00E639BD" w:rsidRPr="00E639BD">
              <w:rPr>
                <w:color w:val="000000"/>
                <w:spacing w:val="3"/>
                <w:shd w:val="solid" w:color="000000" w:fill="000000"/>
                <w:fitText w:val="320" w:id="-761099518"/>
                <w14:textFill>
                  <w14:solidFill>
                    <w14:srgbClr w14:val="000000">
                      <w14:alpha w14:val="100000"/>
                    </w14:srgbClr>
                  </w14:solidFill>
                </w14:textFill>
              </w:rPr>
              <w:t>|</w:t>
            </w:r>
            <w:r w:rsidR="00E17390" w:rsidRPr="00E17390">
              <w:rPr>
                <w:vertAlign w:val="superscript"/>
              </w:rPr>
              <w:t>1</w:t>
            </w:r>
            <w:r w:rsidRPr="00B63CD0">
              <w:t>/QALY.</w:t>
            </w:r>
          </w:p>
        </w:tc>
        <w:tc>
          <w:tcPr>
            <w:tcW w:w="1267" w:type="pct"/>
            <w:vAlign w:val="center"/>
          </w:tcPr>
          <w:p w14:paraId="63594871" w14:textId="7105C32F" w:rsidR="008476AA" w:rsidRPr="00B63CD0" w:rsidRDefault="008476AA" w:rsidP="00142C15">
            <w:pPr>
              <w:pStyle w:val="TableText0"/>
              <w:keepNext w:val="0"/>
              <w:keepLines w:val="0"/>
            </w:pPr>
            <w:r w:rsidRPr="00B63CD0">
              <w:t>Moderate, favoured ENZA mono. If utilities could not exceed the general population (m0HSPC utilities reduced by 0.06), the ICER increased to $</w:t>
            </w:r>
            <w:r w:rsidR="00E639BD" w:rsidRPr="00E639BD">
              <w:rPr>
                <w:color w:val="000000"/>
                <w:spacing w:val="49"/>
                <w:shd w:val="solid" w:color="000000" w:fill="000000"/>
                <w:fitText w:val="320" w:id="-761099517"/>
                <w14:textFill>
                  <w14:solidFill>
                    <w14:srgbClr w14:val="000000">
                      <w14:alpha w14:val="100000"/>
                    </w14:srgbClr>
                  </w14:solidFill>
                </w14:textFill>
              </w:rPr>
              <w:t>|||</w:t>
            </w:r>
            <w:r w:rsidR="00E639BD" w:rsidRPr="00E639BD">
              <w:rPr>
                <w:color w:val="000000"/>
                <w:spacing w:val="3"/>
                <w:shd w:val="solid" w:color="000000" w:fill="000000"/>
                <w:fitText w:val="320" w:id="-761099517"/>
                <w14:textFill>
                  <w14:solidFill>
                    <w14:srgbClr w14:val="000000">
                      <w14:alpha w14:val="100000"/>
                    </w14:srgbClr>
                  </w14:solidFill>
                </w14:textFill>
              </w:rPr>
              <w:t>|</w:t>
            </w:r>
            <w:r w:rsidR="001A04E4" w:rsidRPr="00E17390">
              <w:rPr>
                <w:vertAlign w:val="superscript"/>
              </w:rPr>
              <w:t>2</w:t>
            </w:r>
            <w:r w:rsidRPr="00B63CD0">
              <w:t>/QALY.</w:t>
            </w:r>
          </w:p>
        </w:tc>
      </w:tr>
    </w:tbl>
    <w:p w14:paraId="12C66228" w14:textId="77777777" w:rsidR="00ED509D" w:rsidRPr="001C474A" w:rsidRDefault="00ED509D" w:rsidP="009F195B">
      <w:pPr>
        <w:pStyle w:val="TableFigureFooter"/>
      </w:pPr>
      <w:r w:rsidRPr="001C474A">
        <w:t>Source: compiled during the evaluation</w:t>
      </w:r>
    </w:p>
    <w:p w14:paraId="27DF8687" w14:textId="77777777" w:rsidR="00905193" w:rsidRPr="001C474A" w:rsidRDefault="00ED509D" w:rsidP="009F195B">
      <w:pPr>
        <w:pStyle w:val="TableFigureFooter"/>
      </w:pPr>
      <w:r w:rsidRPr="001C474A">
        <w:t xml:space="preserve">ADT=androgen deprivation therapy, ENZA=enzalutamide, </w:t>
      </w:r>
      <w:r w:rsidR="00C02E47" w:rsidRPr="001C474A">
        <w:t xml:space="preserve">ICER=incremental cost effectiveness ratio, </w:t>
      </w:r>
      <w:r w:rsidRPr="001C474A">
        <w:t xml:space="preserve">m0HSPC=non- metastatic hormone sensitive prostate cancer, MFS=metastases free survival, </w:t>
      </w:r>
      <w:r w:rsidR="00C02E47" w:rsidRPr="001C474A">
        <w:t xml:space="preserve">NHA=novel hormonal agent, </w:t>
      </w:r>
      <w:r w:rsidRPr="001C474A">
        <w:t xml:space="preserve">OS=overall survival, </w:t>
      </w:r>
      <w:r w:rsidR="00C02E47" w:rsidRPr="001C474A">
        <w:t xml:space="preserve">QALY=quality adjusted life year, </w:t>
      </w:r>
      <w:r w:rsidRPr="001C474A">
        <w:t>TTD=time to treatment discontinuation</w:t>
      </w:r>
      <w:r w:rsidR="00905193" w:rsidRPr="001C474A">
        <w:t xml:space="preserve"> </w:t>
      </w:r>
    </w:p>
    <w:p w14:paraId="038C3477" w14:textId="77777777" w:rsidR="00C721EB" w:rsidRPr="001C474A" w:rsidRDefault="00905193" w:rsidP="009F195B">
      <w:pPr>
        <w:pStyle w:val="TableFigureFooter"/>
        <w:rPr>
          <w:i/>
          <w:iCs w:val="0"/>
        </w:rPr>
      </w:pPr>
      <w:r w:rsidRPr="001C474A">
        <w:rPr>
          <w:i/>
          <w:iCs w:val="0"/>
        </w:rPr>
        <w:t>The redacted values correspond to the following ranges:</w:t>
      </w:r>
      <w:r w:rsidR="00C721EB" w:rsidRPr="001C474A">
        <w:rPr>
          <w:i/>
          <w:iCs w:val="0"/>
        </w:rPr>
        <w:t xml:space="preserve"> </w:t>
      </w:r>
    </w:p>
    <w:p w14:paraId="5A1DDFD4" w14:textId="77777777" w:rsidR="002A24C9" w:rsidRPr="001C474A" w:rsidRDefault="00595E44" w:rsidP="009F195B">
      <w:pPr>
        <w:pStyle w:val="TableFigureFooter"/>
        <w:rPr>
          <w:i/>
          <w:iCs w:val="0"/>
        </w:rPr>
      </w:pPr>
      <w:r w:rsidRPr="001C474A">
        <w:rPr>
          <w:i/>
          <w:iCs w:val="0"/>
        </w:rPr>
        <w:t xml:space="preserve">1 </w:t>
      </w:r>
      <w:r w:rsidR="00C721EB" w:rsidRPr="001C474A">
        <w:rPr>
          <w:i/>
          <w:iCs w:val="0"/>
        </w:rPr>
        <w:t>$15,000 to &lt; $25,000</w:t>
      </w:r>
      <w:r w:rsidR="002A24C9" w:rsidRPr="001C474A">
        <w:rPr>
          <w:i/>
          <w:iCs w:val="0"/>
        </w:rPr>
        <w:t xml:space="preserve"> </w:t>
      </w:r>
    </w:p>
    <w:p w14:paraId="2A601A96" w14:textId="5E22189A" w:rsidR="00C721EB" w:rsidRPr="001C474A" w:rsidRDefault="002A24C9" w:rsidP="009F195B">
      <w:pPr>
        <w:pStyle w:val="TableFigureFooter"/>
        <w:rPr>
          <w:i/>
          <w:iCs w:val="0"/>
        </w:rPr>
      </w:pPr>
      <w:r w:rsidRPr="001C474A">
        <w:rPr>
          <w:i/>
          <w:iCs w:val="0"/>
        </w:rPr>
        <w:t xml:space="preserve">2 $35,000 to &lt; $45,000 </w:t>
      </w:r>
    </w:p>
    <w:p w14:paraId="43E8AE34" w14:textId="36ED5F5F" w:rsidR="00C721EB" w:rsidRPr="001C474A" w:rsidRDefault="00093702" w:rsidP="009F195B">
      <w:pPr>
        <w:pStyle w:val="TableFigureFooter"/>
        <w:rPr>
          <w:i/>
          <w:iCs w:val="0"/>
        </w:rPr>
      </w:pPr>
      <w:r w:rsidRPr="001C474A">
        <w:rPr>
          <w:i/>
          <w:iCs w:val="0"/>
        </w:rPr>
        <w:t xml:space="preserve">3 </w:t>
      </w:r>
      <w:r w:rsidR="00C721EB" w:rsidRPr="001C474A">
        <w:rPr>
          <w:i/>
          <w:iCs w:val="0"/>
        </w:rPr>
        <w:t>$25,000 to &lt; $35,000</w:t>
      </w:r>
    </w:p>
    <w:p w14:paraId="5FB05FC9" w14:textId="6F5837B9" w:rsidR="00ED509D" w:rsidRPr="001C474A" w:rsidRDefault="00E52A7B" w:rsidP="009F195B">
      <w:pPr>
        <w:pStyle w:val="TableFigureFooter"/>
        <w:rPr>
          <w:i/>
          <w:iCs w:val="0"/>
        </w:rPr>
      </w:pPr>
      <w:r w:rsidRPr="001C474A">
        <w:rPr>
          <w:i/>
          <w:iCs w:val="0"/>
        </w:rPr>
        <w:t xml:space="preserve">4 </w:t>
      </w:r>
      <w:r w:rsidR="00C721EB" w:rsidRPr="001C474A">
        <w:rPr>
          <w:i/>
          <w:iCs w:val="0"/>
        </w:rPr>
        <w:t>$55,000 to &lt; $75,000</w:t>
      </w:r>
    </w:p>
    <w:p w14:paraId="0C579843" w14:textId="73056A62" w:rsidR="00ED509D" w:rsidRPr="00E16BBF" w:rsidRDefault="00ED509D" w:rsidP="00ED509D">
      <w:pPr>
        <w:pStyle w:val="3-BodyText"/>
        <w:numPr>
          <w:ilvl w:val="1"/>
          <w:numId w:val="1"/>
        </w:numPr>
      </w:pPr>
      <w:r w:rsidRPr="00B63CD0">
        <w:t xml:space="preserve">Results of the stepped economic analysis are presented in </w:t>
      </w:r>
      <w:r w:rsidRPr="00B63CD0">
        <w:fldChar w:fldCharType="begin" w:fldLock="1"/>
      </w:r>
      <w:r w:rsidRPr="00B63CD0">
        <w:instrText xml:space="preserve"> REF _Ref104805160 \h  \* MERGEFORMAT </w:instrText>
      </w:r>
      <w:r w:rsidRPr="00B63CD0">
        <w:fldChar w:fldCharType="separate"/>
      </w:r>
      <w:r w:rsidR="006619E7" w:rsidRPr="00B63CD0">
        <w:t>Table 12</w:t>
      </w:r>
      <w:r w:rsidRPr="00B63CD0">
        <w:fldChar w:fldCharType="end"/>
      </w:r>
      <w:r w:rsidRPr="00B63CD0">
        <w:t>. For completeness</w:t>
      </w:r>
      <w:r w:rsidR="00D20B2D" w:rsidRPr="00B63CD0">
        <w:t>,</w:t>
      </w:r>
      <w:r w:rsidRPr="00B63CD0">
        <w:t xml:space="preserve"> </w:t>
      </w:r>
      <w:r w:rsidRPr="00E16BBF">
        <w:t xml:space="preserve">a cost-effectiveness plane is presented in </w:t>
      </w:r>
      <w:fldSimple w:instr="REF _Ref176370103  \* MERGEFORMAT" w:fldLock="1">
        <w:r w:rsidR="006619E7" w:rsidRPr="00E16BBF">
          <w:t xml:space="preserve">Figure </w:t>
        </w:r>
        <w:r w:rsidR="006619E7" w:rsidRPr="00E16BBF">
          <w:rPr>
            <w:noProof/>
          </w:rPr>
          <w:t>7</w:t>
        </w:r>
      </w:fldSimple>
      <w:r w:rsidRPr="00E16BBF">
        <w:t xml:space="preserve">. While the evaluation was described as a stepped analysis, Step 4 did not build on the previous steps, with a different modelling approach used for the 75-month time horizon compared to the final base case. </w:t>
      </w:r>
      <w:r w:rsidR="00FF1F6D" w:rsidRPr="00E16BBF">
        <w:t>The ESC noted that it</w:t>
      </w:r>
      <w:r w:rsidRPr="00E16BBF">
        <w:t xml:space="preserve"> would </w:t>
      </w:r>
      <w:r w:rsidR="00FF1F6D" w:rsidRPr="00E16BBF">
        <w:t>have been</w:t>
      </w:r>
      <w:r w:rsidRPr="00E16BBF">
        <w:t xml:space="preserve"> more appropriate to present an actual trial-based analysis (data from EMBARK only) followed by the introduction of data </w:t>
      </w:r>
      <w:r w:rsidRPr="00E16BBF">
        <w:lastRenderedPageBreak/>
        <w:t>from other sources, to demonstrate the effect of the assumptions of incorporating the additional data.</w:t>
      </w:r>
    </w:p>
    <w:p w14:paraId="1778E795" w14:textId="5E553540" w:rsidR="00ED509D" w:rsidRPr="0098262F" w:rsidRDefault="00ED509D" w:rsidP="00ED509D">
      <w:pPr>
        <w:pStyle w:val="Caption"/>
      </w:pPr>
      <w:bookmarkStart w:id="50" w:name="_Ref104805160"/>
      <w:r w:rsidRPr="0098262F">
        <w:t xml:space="preserve">Table </w:t>
      </w:r>
      <w:r>
        <w:fldChar w:fldCharType="begin" w:fldLock="1"/>
      </w:r>
      <w:r>
        <w:instrText xml:space="preserve"> SEQ Table \* ARABIC </w:instrText>
      </w:r>
      <w:r>
        <w:fldChar w:fldCharType="separate"/>
      </w:r>
      <w:r w:rsidR="00DF24EF">
        <w:rPr>
          <w:noProof/>
        </w:rPr>
        <w:t>12</w:t>
      </w:r>
      <w:r>
        <w:rPr>
          <w:noProof/>
        </w:rPr>
        <w:fldChar w:fldCharType="end"/>
      </w:r>
      <w:bookmarkEnd w:id="50"/>
      <w:r w:rsidRPr="0098262F">
        <w:t>:</w:t>
      </w:r>
      <w:r w:rsidRPr="0098262F">
        <w:rPr>
          <w:rStyle w:val="CommentReference"/>
          <w:b/>
          <w:szCs w:val="24"/>
        </w:rPr>
        <w:t xml:space="preserve"> Results of the stepped economic evaluation</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2: Results of the stepped economic evaluation"/>
      </w:tblPr>
      <w:tblGrid>
        <w:gridCol w:w="1691"/>
        <w:gridCol w:w="1418"/>
        <w:gridCol w:w="1418"/>
        <w:gridCol w:w="1422"/>
        <w:gridCol w:w="1560"/>
        <w:gridCol w:w="1558"/>
      </w:tblGrid>
      <w:tr w:rsidR="00ED509D" w:rsidRPr="00B63CD0" w14:paraId="268B3C50" w14:textId="77777777" w:rsidTr="003A5E69">
        <w:trPr>
          <w:tblHeader/>
        </w:trPr>
        <w:tc>
          <w:tcPr>
            <w:tcW w:w="933" w:type="pct"/>
            <w:vMerge w:val="restart"/>
            <w:tcBorders>
              <w:top w:val="single" w:sz="4" w:space="0" w:color="auto"/>
              <w:left w:val="single" w:sz="4" w:space="0" w:color="auto"/>
              <w:bottom w:val="single" w:sz="4" w:space="0" w:color="auto"/>
              <w:right w:val="single" w:sz="4" w:space="0" w:color="auto"/>
            </w:tcBorders>
            <w:vAlign w:val="center"/>
            <w:hideMark/>
          </w:tcPr>
          <w:p w14:paraId="1458FD2C" w14:textId="77777777" w:rsidR="00ED509D" w:rsidRPr="00B63CD0" w:rsidRDefault="00ED509D" w:rsidP="003712B8">
            <w:pPr>
              <w:pStyle w:val="In-tableHeading"/>
            </w:pPr>
            <w:r w:rsidRPr="00B63CD0">
              <w:t>Step and component</w:t>
            </w:r>
          </w:p>
        </w:tc>
        <w:tc>
          <w:tcPr>
            <w:tcW w:w="782" w:type="pct"/>
            <w:vMerge w:val="restart"/>
            <w:tcBorders>
              <w:top w:val="single" w:sz="4" w:space="0" w:color="auto"/>
              <w:left w:val="single" w:sz="4" w:space="0" w:color="auto"/>
              <w:bottom w:val="single" w:sz="4" w:space="0" w:color="auto"/>
              <w:right w:val="single" w:sz="4" w:space="0" w:color="auto"/>
            </w:tcBorders>
            <w:vAlign w:val="center"/>
            <w:hideMark/>
          </w:tcPr>
          <w:p w14:paraId="34F543BF" w14:textId="77777777" w:rsidR="00ED509D" w:rsidRPr="00B63CD0" w:rsidRDefault="00ED509D" w:rsidP="003712B8">
            <w:pPr>
              <w:pStyle w:val="In-tableHeading"/>
              <w:jc w:val="center"/>
            </w:pPr>
            <w:r w:rsidRPr="00B63CD0">
              <w:t>ENZA+ADT</w:t>
            </w:r>
          </w:p>
        </w:tc>
        <w:tc>
          <w:tcPr>
            <w:tcW w:w="782" w:type="pct"/>
            <w:vMerge w:val="restart"/>
            <w:tcBorders>
              <w:top w:val="single" w:sz="4" w:space="0" w:color="auto"/>
              <w:left w:val="single" w:sz="4" w:space="0" w:color="auto"/>
              <w:bottom w:val="single" w:sz="4" w:space="0" w:color="auto"/>
              <w:right w:val="single" w:sz="4" w:space="0" w:color="auto"/>
            </w:tcBorders>
            <w:vAlign w:val="center"/>
            <w:hideMark/>
          </w:tcPr>
          <w:p w14:paraId="4034CA28" w14:textId="7AC2234B" w:rsidR="00ED509D" w:rsidRPr="00B63CD0" w:rsidRDefault="00ED509D" w:rsidP="003712B8">
            <w:pPr>
              <w:pStyle w:val="In-tableHeading"/>
              <w:jc w:val="center"/>
            </w:pPr>
            <w:r w:rsidRPr="00B63CD0">
              <w:t>ENZA mono</w:t>
            </w:r>
          </w:p>
        </w:tc>
        <w:tc>
          <w:tcPr>
            <w:tcW w:w="784" w:type="pct"/>
            <w:vMerge w:val="restart"/>
            <w:tcBorders>
              <w:top w:val="single" w:sz="4" w:space="0" w:color="auto"/>
              <w:left w:val="single" w:sz="4" w:space="0" w:color="auto"/>
              <w:bottom w:val="single" w:sz="4" w:space="0" w:color="auto"/>
              <w:right w:val="single" w:sz="4" w:space="0" w:color="auto"/>
            </w:tcBorders>
            <w:vAlign w:val="center"/>
            <w:hideMark/>
          </w:tcPr>
          <w:p w14:paraId="443C3D38" w14:textId="77777777" w:rsidR="00ED509D" w:rsidRPr="00B63CD0" w:rsidRDefault="00ED509D" w:rsidP="003712B8">
            <w:pPr>
              <w:pStyle w:val="In-tableHeading"/>
              <w:jc w:val="center"/>
            </w:pPr>
            <w:r w:rsidRPr="00B63CD0">
              <w:t>ADT alone</w:t>
            </w:r>
          </w:p>
        </w:tc>
        <w:tc>
          <w:tcPr>
            <w:tcW w:w="1719" w:type="pct"/>
            <w:gridSpan w:val="2"/>
            <w:tcBorders>
              <w:top w:val="single" w:sz="4" w:space="0" w:color="auto"/>
              <w:left w:val="single" w:sz="4" w:space="0" w:color="auto"/>
              <w:bottom w:val="nil"/>
              <w:right w:val="single" w:sz="4" w:space="0" w:color="auto"/>
            </w:tcBorders>
            <w:vAlign w:val="center"/>
            <w:hideMark/>
          </w:tcPr>
          <w:p w14:paraId="56055B45" w14:textId="77777777" w:rsidR="00ED509D" w:rsidRPr="00B63CD0" w:rsidRDefault="00ED509D" w:rsidP="003712B8">
            <w:pPr>
              <w:pStyle w:val="In-tableHeading"/>
              <w:jc w:val="center"/>
            </w:pPr>
            <w:r w:rsidRPr="00B63CD0">
              <w:t>Increment</w:t>
            </w:r>
          </w:p>
        </w:tc>
      </w:tr>
      <w:tr w:rsidR="008476AA" w:rsidRPr="00B63CD0" w14:paraId="67C69F08" w14:textId="77777777" w:rsidTr="003A5E69">
        <w:trPr>
          <w:tblHeader/>
        </w:trPr>
        <w:tc>
          <w:tcPr>
            <w:tcW w:w="933" w:type="pct"/>
            <w:vMerge/>
            <w:tcBorders>
              <w:top w:val="single" w:sz="4" w:space="0" w:color="auto"/>
              <w:left w:val="single" w:sz="4" w:space="0" w:color="auto"/>
              <w:bottom w:val="single" w:sz="4" w:space="0" w:color="auto"/>
              <w:right w:val="single" w:sz="4" w:space="0" w:color="auto"/>
            </w:tcBorders>
            <w:vAlign w:val="center"/>
            <w:hideMark/>
          </w:tcPr>
          <w:p w14:paraId="46957F29" w14:textId="77777777" w:rsidR="008476AA" w:rsidRPr="00B63CD0" w:rsidRDefault="008476AA" w:rsidP="003712B8">
            <w:pPr>
              <w:jc w:val="left"/>
              <w:rPr>
                <w:rFonts w:ascii="Arial Narrow" w:eastAsiaTheme="majorEastAsia" w:hAnsi="Arial Narrow" w:cs="Times New Roman"/>
                <w:b/>
                <w:sz w:val="20"/>
                <w:lang w:val="en-US"/>
              </w:rPr>
            </w:pP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703C2747" w14:textId="77777777" w:rsidR="008476AA" w:rsidRPr="00B63CD0" w:rsidRDefault="008476AA" w:rsidP="003712B8">
            <w:pPr>
              <w:jc w:val="center"/>
              <w:rPr>
                <w:rFonts w:ascii="Arial Narrow" w:eastAsiaTheme="majorEastAsia" w:hAnsi="Arial Narrow" w:cs="Times New Roman"/>
                <w:b/>
                <w:sz w:val="20"/>
                <w:lang w:val="en-US"/>
              </w:rPr>
            </w:pP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4EBBB166" w14:textId="77777777" w:rsidR="008476AA" w:rsidRPr="00B63CD0" w:rsidRDefault="008476AA" w:rsidP="003712B8">
            <w:pPr>
              <w:jc w:val="center"/>
              <w:rPr>
                <w:rFonts w:ascii="Arial Narrow" w:eastAsiaTheme="majorEastAsia" w:hAnsi="Arial Narrow" w:cs="Times New Roman"/>
                <w:b/>
                <w:sz w:val="20"/>
                <w:lang w:val="en-US"/>
              </w:rPr>
            </w:pPr>
          </w:p>
        </w:tc>
        <w:tc>
          <w:tcPr>
            <w:tcW w:w="784" w:type="pct"/>
            <w:vMerge/>
            <w:tcBorders>
              <w:top w:val="single" w:sz="4" w:space="0" w:color="auto"/>
              <w:left w:val="single" w:sz="4" w:space="0" w:color="auto"/>
              <w:bottom w:val="single" w:sz="4" w:space="0" w:color="auto"/>
              <w:right w:val="single" w:sz="4" w:space="0" w:color="auto"/>
            </w:tcBorders>
            <w:vAlign w:val="center"/>
            <w:hideMark/>
          </w:tcPr>
          <w:p w14:paraId="11917165" w14:textId="77777777" w:rsidR="008476AA" w:rsidRPr="00B63CD0" w:rsidRDefault="008476AA" w:rsidP="003712B8">
            <w:pPr>
              <w:jc w:val="center"/>
              <w:rPr>
                <w:rFonts w:ascii="Arial Narrow" w:eastAsiaTheme="majorEastAsia" w:hAnsi="Arial Narrow" w:cs="Times New Roman"/>
                <w:b/>
                <w:sz w:val="20"/>
                <w:lang w:val="en-US"/>
              </w:rPr>
            </w:pPr>
          </w:p>
        </w:tc>
        <w:tc>
          <w:tcPr>
            <w:tcW w:w="860" w:type="pct"/>
            <w:tcBorders>
              <w:top w:val="nil"/>
              <w:left w:val="single" w:sz="4" w:space="0" w:color="auto"/>
              <w:bottom w:val="single" w:sz="4" w:space="0" w:color="auto"/>
              <w:right w:val="single" w:sz="4" w:space="0" w:color="auto"/>
            </w:tcBorders>
            <w:vAlign w:val="center"/>
            <w:hideMark/>
          </w:tcPr>
          <w:p w14:paraId="13B7F348" w14:textId="1FAD5EDB" w:rsidR="008476AA" w:rsidRPr="00B63CD0" w:rsidRDefault="008476AA" w:rsidP="003712B8">
            <w:pPr>
              <w:pStyle w:val="In-tableHeading"/>
              <w:jc w:val="center"/>
            </w:pPr>
            <w:r w:rsidRPr="00B63CD0">
              <w:t xml:space="preserve">ENZA+ADT vs </w:t>
            </w:r>
            <w:r>
              <w:br/>
            </w:r>
            <w:r w:rsidRPr="00B63CD0">
              <w:t>ADT alone</w:t>
            </w:r>
          </w:p>
        </w:tc>
        <w:tc>
          <w:tcPr>
            <w:tcW w:w="859" w:type="pct"/>
            <w:tcBorders>
              <w:top w:val="nil"/>
              <w:left w:val="single" w:sz="4" w:space="0" w:color="auto"/>
              <w:bottom w:val="single" w:sz="4" w:space="0" w:color="auto"/>
              <w:right w:val="single" w:sz="4" w:space="0" w:color="auto"/>
            </w:tcBorders>
            <w:vAlign w:val="center"/>
            <w:hideMark/>
          </w:tcPr>
          <w:p w14:paraId="05249722" w14:textId="5AEF0C07" w:rsidR="008476AA" w:rsidRPr="00B63CD0" w:rsidRDefault="008476AA" w:rsidP="003712B8">
            <w:pPr>
              <w:pStyle w:val="In-tableHeading"/>
              <w:jc w:val="center"/>
            </w:pPr>
            <w:r w:rsidRPr="00B63CD0">
              <w:t xml:space="preserve">ENZA mono vs </w:t>
            </w:r>
            <w:r>
              <w:br/>
            </w:r>
            <w:r w:rsidRPr="00B63CD0">
              <w:t>ADT alone</w:t>
            </w:r>
          </w:p>
        </w:tc>
      </w:tr>
      <w:tr w:rsidR="00ED509D" w:rsidRPr="00B63CD0" w14:paraId="498908B3" w14:textId="77777777" w:rsidTr="003A5E69">
        <w:tc>
          <w:tcPr>
            <w:tcW w:w="5000" w:type="pct"/>
            <w:gridSpan w:val="6"/>
            <w:tcBorders>
              <w:top w:val="single" w:sz="4" w:space="0" w:color="auto"/>
              <w:left w:val="single" w:sz="4" w:space="0" w:color="auto"/>
              <w:bottom w:val="single" w:sz="4" w:space="0" w:color="auto"/>
              <w:right w:val="single" w:sz="4" w:space="0" w:color="auto"/>
            </w:tcBorders>
            <w:hideMark/>
          </w:tcPr>
          <w:p w14:paraId="49CFF223" w14:textId="77777777" w:rsidR="00ED509D" w:rsidRPr="00B63CD0" w:rsidRDefault="00ED509D" w:rsidP="003712B8">
            <w:pPr>
              <w:pStyle w:val="TableText0"/>
              <w:keepNext w:val="0"/>
              <w:keepLines w:val="0"/>
              <w:rPr>
                <w:b/>
                <w:bCs w:val="0"/>
              </w:rPr>
            </w:pPr>
            <w:r w:rsidRPr="00B63CD0">
              <w:rPr>
                <w:b/>
              </w:rPr>
              <w:t>Step 1: time horizon 75 months, constant per cycle transition probabilities, undiscounted drug and administration costs in m0HSPC only, undiscounted life years in m0HSPC and total life years.</w:t>
            </w:r>
          </w:p>
        </w:tc>
      </w:tr>
      <w:tr w:rsidR="004F06E9" w:rsidRPr="00B63CD0" w14:paraId="2A7CCB27" w14:textId="77777777" w:rsidTr="003A5E69">
        <w:tc>
          <w:tcPr>
            <w:tcW w:w="933" w:type="pct"/>
            <w:tcBorders>
              <w:top w:val="single" w:sz="4" w:space="0" w:color="auto"/>
              <w:left w:val="single" w:sz="4" w:space="0" w:color="auto"/>
              <w:bottom w:val="single" w:sz="4" w:space="0" w:color="auto"/>
              <w:right w:val="single" w:sz="4" w:space="0" w:color="auto"/>
            </w:tcBorders>
            <w:vAlign w:val="center"/>
            <w:hideMark/>
          </w:tcPr>
          <w:p w14:paraId="291F88A8" w14:textId="49E5D14C" w:rsidR="00AE546C" w:rsidRPr="00B63CD0" w:rsidRDefault="00AE546C" w:rsidP="00AE546C">
            <w:pPr>
              <w:pStyle w:val="TableText0"/>
              <w:keepNext w:val="0"/>
              <w:keepLines w:val="0"/>
              <w:rPr>
                <w:rFonts w:ascii="Times" w:hAnsi="Times"/>
              </w:rPr>
            </w:pPr>
            <w:r w:rsidRPr="00B63CD0">
              <w:t>Costs</w:t>
            </w:r>
            <w:r>
              <w:t xml:space="preserve"> ($)</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39CA4F67" w14:textId="0430DD7F" w:rsidR="00AE546C" w:rsidRPr="009B31C9" w:rsidRDefault="00AE546C" w:rsidP="00AE546C">
            <w:pPr>
              <w:pStyle w:val="TableText0"/>
              <w:keepNext w:val="0"/>
              <w:keepLines w:val="0"/>
              <w:jc w:val="center"/>
              <w:rPr>
                <w:rFonts w:ascii="Times" w:hAnsi="Times"/>
                <w:highlight w:val="darkGray"/>
              </w:rPr>
            </w:pPr>
            <w:r w:rsidRPr="00E639BD">
              <w:rPr>
                <w:color w:val="000000"/>
                <w:shd w:val="solid" w:color="000000" w:fill="000000"/>
                <w14:textFill>
                  <w14:solidFill>
                    <w14:srgbClr w14:val="000000">
                      <w14:alpha w14:val="100000"/>
                    </w14:srgbClr>
                  </w14:solidFill>
                </w14:textFill>
              </w:rPr>
              <w:t>|</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2154E901" w14:textId="7A07AF4F" w:rsidR="00AE546C" w:rsidRPr="009B31C9" w:rsidRDefault="00AE546C" w:rsidP="00AE546C">
            <w:pPr>
              <w:pStyle w:val="TableText0"/>
              <w:keepNext w:val="0"/>
              <w:keepLines w:val="0"/>
              <w:jc w:val="center"/>
              <w:rPr>
                <w:rFonts w:ascii="Times" w:hAnsi="Times"/>
                <w:highlight w:val="darkGray"/>
              </w:rPr>
            </w:pPr>
            <w:r w:rsidRPr="003A4FB9">
              <w:rPr>
                <w:color w:val="000000"/>
                <w:shd w:val="solid" w:color="000000" w:fill="000000"/>
                <w14:textFill>
                  <w14:solidFill>
                    <w14:srgbClr w14:val="000000">
                      <w14:alpha w14:val="100000"/>
                    </w14:srgbClr>
                  </w14:solidFill>
                </w14:textFill>
              </w:rPr>
              <w:t>|</w:t>
            </w: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517B82E2" w14:textId="13DD5932" w:rsidR="00AE546C" w:rsidRPr="009B31C9" w:rsidRDefault="00AE546C" w:rsidP="00AE546C">
            <w:pPr>
              <w:pStyle w:val="TableText0"/>
              <w:keepNext w:val="0"/>
              <w:keepLines w:val="0"/>
              <w:jc w:val="center"/>
              <w:rPr>
                <w:highlight w:val="darkGray"/>
              </w:rPr>
            </w:pPr>
            <w:r w:rsidRPr="003A4FB9">
              <w:rPr>
                <w:color w:val="000000"/>
                <w:shd w:val="solid" w:color="000000" w:fill="000000"/>
                <w14:textFill>
                  <w14:solidFill>
                    <w14:srgbClr w14:val="000000">
                      <w14:alpha w14:val="100000"/>
                    </w14:srgbClr>
                  </w14:solidFill>
                </w14:textFill>
              </w:rPr>
              <w:t>|</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0A5908CC" w14:textId="2DB3916E" w:rsidR="00AE546C" w:rsidRPr="009B31C9" w:rsidRDefault="00AE546C" w:rsidP="00AE546C">
            <w:pPr>
              <w:pStyle w:val="TableText0"/>
              <w:keepNext w:val="0"/>
              <w:keepLines w:val="0"/>
              <w:jc w:val="center"/>
              <w:rPr>
                <w:rFonts w:ascii="Times" w:hAnsi="Times"/>
                <w:highlight w:val="darkGray"/>
              </w:rPr>
            </w:pPr>
            <w:r w:rsidRPr="003A4FB9">
              <w:rPr>
                <w:color w:val="000000"/>
                <w:shd w:val="solid" w:color="000000" w:fill="000000"/>
                <w14:textFill>
                  <w14:solidFill>
                    <w14:srgbClr w14:val="000000">
                      <w14:alpha w14:val="100000"/>
                    </w14:srgbClr>
                  </w14:solidFill>
                </w14:textFill>
              </w:rPr>
              <w:t>|</w:t>
            </w:r>
          </w:p>
        </w:tc>
        <w:tc>
          <w:tcPr>
            <w:tcW w:w="859" w:type="pct"/>
            <w:tcBorders>
              <w:top w:val="single" w:sz="4" w:space="0" w:color="auto"/>
              <w:left w:val="single" w:sz="4" w:space="0" w:color="auto"/>
              <w:bottom w:val="single" w:sz="4" w:space="0" w:color="auto"/>
              <w:right w:val="single" w:sz="4" w:space="0" w:color="auto"/>
            </w:tcBorders>
            <w:shd w:val="clear" w:color="auto" w:fill="auto"/>
          </w:tcPr>
          <w:p w14:paraId="39FC98C0" w14:textId="5CDF00A0" w:rsidR="00AE546C" w:rsidRPr="009B31C9" w:rsidRDefault="00AE546C" w:rsidP="00AE546C">
            <w:pPr>
              <w:pStyle w:val="TableText0"/>
              <w:keepNext w:val="0"/>
              <w:keepLines w:val="0"/>
              <w:jc w:val="center"/>
              <w:rPr>
                <w:highlight w:val="darkGray"/>
              </w:rPr>
            </w:pPr>
            <w:r w:rsidRPr="003A4FB9">
              <w:rPr>
                <w:color w:val="000000"/>
                <w:shd w:val="solid" w:color="000000" w:fill="000000"/>
                <w14:textFill>
                  <w14:solidFill>
                    <w14:srgbClr w14:val="000000">
                      <w14:alpha w14:val="100000"/>
                    </w14:srgbClr>
                  </w14:solidFill>
                </w14:textFill>
              </w:rPr>
              <w:t>|</w:t>
            </w:r>
          </w:p>
        </w:tc>
      </w:tr>
      <w:tr w:rsidR="008476AA" w:rsidRPr="00B63CD0" w14:paraId="6CB7BFF2" w14:textId="77777777" w:rsidTr="003A5E69">
        <w:tc>
          <w:tcPr>
            <w:tcW w:w="933" w:type="pct"/>
            <w:tcBorders>
              <w:top w:val="single" w:sz="4" w:space="0" w:color="auto"/>
              <w:left w:val="single" w:sz="4" w:space="0" w:color="auto"/>
              <w:bottom w:val="single" w:sz="4" w:space="0" w:color="auto"/>
              <w:right w:val="single" w:sz="4" w:space="0" w:color="auto"/>
            </w:tcBorders>
            <w:vAlign w:val="center"/>
            <w:hideMark/>
          </w:tcPr>
          <w:p w14:paraId="108A6300" w14:textId="77777777" w:rsidR="008476AA" w:rsidRPr="00B63CD0" w:rsidRDefault="008476AA" w:rsidP="003712B8">
            <w:pPr>
              <w:pStyle w:val="TableText0"/>
              <w:keepNext w:val="0"/>
              <w:keepLines w:val="0"/>
              <w:rPr>
                <w:rFonts w:ascii="Times" w:hAnsi="Times"/>
              </w:rPr>
            </w:pPr>
            <w:r w:rsidRPr="00B63CD0">
              <w:t>m0HSPC LYs</w:t>
            </w:r>
          </w:p>
        </w:tc>
        <w:tc>
          <w:tcPr>
            <w:tcW w:w="782" w:type="pct"/>
            <w:tcBorders>
              <w:top w:val="single" w:sz="4" w:space="0" w:color="auto"/>
              <w:left w:val="single" w:sz="4" w:space="0" w:color="auto"/>
              <w:bottom w:val="single" w:sz="4" w:space="0" w:color="auto"/>
              <w:right w:val="single" w:sz="4" w:space="0" w:color="auto"/>
            </w:tcBorders>
            <w:vAlign w:val="center"/>
            <w:hideMark/>
          </w:tcPr>
          <w:p w14:paraId="2804A396" w14:textId="77777777" w:rsidR="008476AA" w:rsidRPr="00B63CD0" w:rsidRDefault="008476AA" w:rsidP="003712B8">
            <w:pPr>
              <w:pStyle w:val="TableText0"/>
              <w:keepNext w:val="0"/>
              <w:keepLines w:val="0"/>
              <w:jc w:val="center"/>
              <w:rPr>
                <w:rFonts w:ascii="Times" w:hAnsi="Times"/>
              </w:rPr>
            </w:pPr>
            <w:r w:rsidRPr="00B63CD0">
              <w:t>5.57</w:t>
            </w:r>
          </w:p>
        </w:tc>
        <w:tc>
          <w:tcPr>
            <w:tcW w:w="782" w:type="pct"/>
            <w:tcBorders>
              <w:top w:val="single" w:sz="4" w:space="0" w:color="auto"/>
              <w:left w:val="single" w:sz="4" w:space="0" w:color="auto"/>
              <w:bottom w:val="single" w:sz="4" w:space="0" w:color="auto"/>
              <w:right w:val="single" w:sz="4" w:space="0" w:color="auto"/>
            </w:tcBorders>
            <w:vAlign w:val="center"/>
            <w:hideMark/>
          </w:tcPr>
          <w:p w14:paraId="550467E4" w14:textId="77777777" w:rsidR="008476AA" w:rsidRPr="00B63CD0" w:rsidRDefault="008476AA" w:rsidP="003712B8">
            <w:pPr>
              <w:pStyle w:val="TableText0"/>
              <w:keepNext w:val="0"/>
              <w:keepLines w:val="0"/>
              <w:jc w:val="center"/>
              <w:rPr>
                <w:rFonts w:ascii="Times" w:hAnsi="Times"/>
              </w:rPr>
            </w:pPr>
            <w:r w:rsidRPr="00B63CD0">
              <w:t>5.31</w:t>
            </w:r>
          </w:p>
        </w:tc>
        <w:tc>
          <w:tcPr>
            <w:tcW w:w="784" w:type="pct"/>
            <w:tcBorders>
              <w:top w:val="single" w:sz="4" w:space="0" w:color="auto"/>
              <w:left w:val="single" w:sz="4" w:space="0" w:color="auto"/>
              <w:bottom w:val="single" w:sz="4" w:space="0" w:color="auto"/>
              <w:right w:val="single" w:sz="4" w:space="0" w:color="auto"/>
            </w:tcBorders>
            <w:hideMark/>
          </w:tcPr>
          <w:p w14:paraId="25126AB9" w14:textId="77777777" w:rsidR="008476AA" w:rsidRPr="00B63CD0" w:rsidRDefault="008476AA" w:rsidP="003712B8">
            <w:pPr>
              <w:pStyle w:val="TableText0"/>
              <w:keepNext w:val="0"/>
              <w:keepLines w:val="0"/>
              <w:jc w:val="center"/>
            </w:pPr>
            <w:r w:rsidRPr="00B63CD0">
              <w:t>4.59</w:t>
            </w:r>
          </w:p>
        </w:tc>
        <w:tc>
          <w:tcPr>
            <w:tcW w:w="860" w:type="pct"/>
            <w:tcBorders>
              <w:top w:val="single" w:sz="4" w:space="0" w:color="auto"/>
              <w:left w:val="single" w:sz="4" w:space="0" w:color="auto"/>
              <w:bottom w:val="single" w:sz="4" w:space="0" w:color="auto"/>
              <w:right w:val="single" w:sz="4" w:space="0" w:color="auto"/>
            </w:tcBorders>
            <w:vAlign w:val="center"/>
            <w:hideMark/>
          </w:tcPr>
          <w:p w14:paraId="4E950D54" w14:textId="77777777" w:rsidR="008476AA" w:rsidRPr="00B63CD0" w:rsidRDefault="008476AA" w:rsidP="003712B8">
            <w:pPr>
              <w:pStyle w:val="TableText0"/>
              <w:keepNext w:val="0"/>
              <w:keepLines w:val="0"/>
              <w:jc w:val="center"/>
            </w:pPr>
            <w:r w:rsidRPr="00B63CD0">
              <w:t>0.97</w:t>
            </w:r>
          </w:p>
        </w:tc>
        <w:tc>
          <w:tcPr>
            <w:tcW w:w="859" w:type="pct"/>
            <w:tcBorders>
              <w:top w:val="single" w:sz="4" w:space="0" w:color="auto"/>
              <w:left w:val="single" w:sz="4" w:space="0" w:color="auto"/>
              <w:bottom w:val="single" w:sz="4" w:space="0" w:color="auto"/>
              <w:right w:val="single" w:sz="4" w:space="0" w:color="auto"/>
            </w:tcBorders>
            <w:hideMark/>
          </w:tcPr>
          <w:p w14:paraId="2B0B548F" w14:textId="5127F07D" w:rsidR="008476AA" w:rsidRPr="00B63CD0" w:rsidRDefault="008476AA" w:rsidP="003712B8">
            <w:pPr>
              <w:pStyle w:val="TableText0"/>
              <w:keepNext w:val="0"/>
              <w:keepLines w:val="0"/>
              <w:jc w:val="center"/>
            </w:pPr>
            <w:r w:rsidRPr="00B63CD0">
              <w:t>0.72</w:t>
            </w:r>
          </w:p>
        </w:tc>
      </w:tr>
      <w:tr w:rsidR="008476AA" w:rsidRPr="00B63CD0" w14:paraId="2AC4DA9D" w14:textId="77777777" w:rsidTr="003A5E69">
        <w:tc>
          <w:tcPr>
            <w:tcW w:w="933" w:type="pct"/>
            <w:tcBorders>
              <w:top w:val="single" w:sz="4" w:space="0" w:color="auto"/>
              <w:left w:val="single" w:sz="4" w:space="0" w:color="auto"/>
              <w:bottom w:val="single" w:sz="4" w:space="0" w:color="auto"/>
              <w:right w:val="single" w:sz="4" w:space="0" w:color="auto"/>
            </w:tcBorders>
            <w:vAlign w:val="center"/>
            <w:hideMark/>
          </w:tcPr>
          <w:p w14:paraId="604BAA7D" w14:textId="77777777" w:rsidR="008476AA" w:rsidRPr="00B63CD0" w:rsidRDefault="008476AA" w:rsidP="003712B8">
            <w:pPr>
              <w:pStyle w:val="TableText0"/>
              <w:keepNext w:val="0"/>
              <w:keepLines w:val="0"/>
            </w:pPr>
            <w:r w:rsidRPr="00B63CD0">
              <w:t>LYs</w:t>
            </w:r>
          </w:p>
        </w:tc>
        <w:tc>
          <w:tcPr>
            <w:tcW w:w="782" w:type="pct"/>
            <w:tcBorders>
              <w:top w:val="single" w:sz="4" w:space="0" w:color="auto"/>
              <w:left w:val="single" w:sz="4" w:space="0" w:color="auto"/>
              <w:bottom w:val="single" w:sz="4" w:space="0" w:color="auto"/>
              <w:right w:val="single" w:sz="4" w:space="0" w:color="auto"/>
            </w:tcBorders>
            <w:vAlign w:val="center"/>
            <w:hideMark/>
          </w:tcPr>
          <w:p w14:paraId="51D855C0" w14:textId="77777777" w:rsidR="008476AA" w:rsidRPr="00B63CD0" w:rsidRDefault="008476AA" w:rsidP="003712B8">
            <w:pPr>
              <w:pStyle w:val="TableText0"/>
              <w:keepNext w:val="0"/>
              <w:keepLines w:val="0"/>
              <w:jc w:val="center"/>
            </w:pPr>
            <w:r w:rsidRPr="00B63CD0">
              <w:t>5.94</w:t>
            </w:r>
          </w:p>
        </w:tc>
        <w:tc>
          <w:tcPr>
            <w:tcW w:w="782" w:type="pct"/>
            <w:tcBorders>
              <w:top w:val="single" w:sz="4" w:space="0" w:color="auto"/>
              <w:left w:val="single" w:sz="4" w:space="0" w:color="auto"/>
              <w:bottom w:val="single" w:sz="4" w:space="0" w:color="auto"/>
              <w:right w:val="single" w:sz="4" w:space="0" w:color="auto"/>
            </w:tcBorders>
            <w:vAlign w:val="center"/>
            <w:hideMark/>
          </w:tcPr>
          <w:p w14:paraId="735E8681" w14:textId="77777777" w:rsidR="008476AA" w:rsidRPr="00B63CD0" w:rsidRDefault="008476AA" w:rsidP="003712B8">
            <w:pPr>
              <w:pStyle w:val="TableText0"/>
              <w:keepNext w:val="0"/>
              <w:keepLines w:val="0"/>
              <w:jc w:val="center"/>
            </w:pPr>
            <w:r w:rsidRPr="00B63CD0">
              <w:t>5.82</w:t>
            </w:r>
          </w:p>
        </w:tc>
        <w:tc>
          <w:tcPr>
            <w:tcW w:w="784" w:type="pct"/>
            <w:tcBorders>
              <w:top w:val="single" w:sz="4" w:space="0" w:color="auto"/>
              <w:left w:val="single" w:sz="4" w:space="0" w:color="auto"/>
              <w:bottom w:val="single" w:sz="4" w:space="0" w:color="auto"/>
              <w:right w:val="single" w:sz="4" w:space="0" w:color="auto"/>
            </w:tcBorders>
            <w:hideMark/>
          </w:tcPr>
          <w:p w14:paraId="0C5B0850" w14:textId="77777777" w:rsidR="008476AA" w:rsidRPr="00B63CD0" w:rsidRDefault="008476AA" w:rsidP="003712B8">
            <w:pPr>
              <w:pStyle w:val="TableText0"/>
              <w:keepNext w:val="0"/>
              <w:keepLines w:val="0"/>
              <w:jc w:val="center"/>
            </w:pPr>
            <w:r w:rsidRPr="00B63CD0">
              <w:t>5.60</w:t>
            </w:r>
          </w:p>
        </w:tc>
        <w:tc>
          <w:tcPr>
            <w:tcW w:w="860" w:type="pct"/>
            <w:tcBorders>
              <w:top w:val="single" w:sz="4" w:space="0" w:color="auto"/>
              <w:left w:val="single" w:sz="4" w:space="0" w:color="auto"/>
              <w:bottom w:val="single" w:sz="4" w:space="0" w:color="auto"/>
              <w:right w:val="single" w:sz="4" w:space="0" w:color="auto"/>
            </w:tcBorders>
            <w:vAlign w:val="center"/>
            <w:hideMark/>
          </w:tcPr>
          <w:p w14:paraId="1B5AABDF" w14:textId="77777777" w:rsidR="008476AA" w:rsidRPr="00B63CD0" w:rsidRDefault="008476AA" w:rsidP="003712B8">
            <w:pPr>
              <w:pStyle w:val="TableText0"/>
              <w:keepNext w:val="0"/>
              <w:keepLines w:val="0"/>
              <w:jc w:val="center"/>
            </w:pPr>
            <w:r w:rsidRPr="00B63CD0">
              <w:t>0.34</w:t>
            </w:r>
          </w:p>
        </w:tc>
        <w:tc>
          <w:tcPr>
            <w:tcW w:w="859" w:type="pct"/>
            <w:tcBorders>
              <w:top w:val="single" w:sz="4" w:space="0" w:color="auto"/>
              <w:left w:val="single" w:sz="4" w:space="0" w:color="auto"/>
              <w:bottom w:val="single" w:sz="4" w:space="0" w:color="auto"/>
              <w:right w:val="single" w:sz="4" w:space="0" w:color="auto"/>
            </w:tcBorders>
            <w:hideMark/>
          </w:tcPr>
          <w:p w14:paraId="5680EB04" w14:textId="15C7CE62" w:rsidR="008476AA" w:rsidRPr="00B63CD0" w:rsidRDefault="008476AA" w:rsidP="003712B8">
            <w:pPr>
              <w:pStyle w:val="TableText0"/>
              <w:keepNext w:val="0"/>
              <w:keepLines w:val="0"/>
              <w:jc w:val="center"/>
            </w:pPr>
            <w:r w:rsidRPr="00B63CD0">
              <w:t>0.22</w:t>
            </w:r>
          </w:p>
        </w:tc>
      </w:tr>
      <w:tr w:rsidR="008476AA" w:rsidRPr="00B63CD0" w14:paraId="54737282" w14:textId="77777777" w:rsidTr="003A5E69">
        <w:tc>
          <w:tcPr>
            <w:tcW w:w="3281" w:type="pct"/>
            <w:gridSpan w:val="4"/>
            <w:tcBorders>
              <w:top w:val="single" w:sz="4" w:space="0" w:color="auto"/>
              <w:left w:val="single" w:sz="4" w:space="0" w:color="auto"/>
              <w:bottom w:val="single" w:sz="4" w:space="0" w:color="auto"/>
              <w:right w:val="single" w:sz="4" w:space="0" w:color="auto"/>
            </w:tcBorders>
            <w:vAlign w:val="center"/>
            <w:hideMark/>
          </w:tcPr>
          <w:p w14:paraId="5D037606" w14:textId="77777777" w:rsidR="008476AA" w:rsidRPr="00B63CD0" w:rsidRDefault="008476AA" w:rsidP="003712B8">
            <w:pPr>
              <w:pStyle w:val="TableText0"/>
              <w:keepNext w:val="0"/>
              <w:keepLines w:val="0"/>
              <w:jc w:val="right"/>
            </w:pPr>
            <w:r w:rsidRPr="00B63CD0">
              <w:t>Incremental cost/extra m0HSPC LY gained</w:t>
            </w:r>
          </w:p>
        </w:tc>
        <w:tc>
          <w:tcPr>
            <w:tcW w:w="860" w:type="pct"/>
            <w:tcBorders>
              <w:top w:val="single" w:sz="4" w:space="0" w:color="auto"/>
              <w:left w:val="single" w:sz="4" w:space="0" w:color="auto"/>
              <w:bottom w:val="single" w:sz="4" w:space="0" w:color="auto"/>
              <w:right w:val="single" w:sz="4" w:space="0" w:color="auto"/>
            </w:tcBorders>
            <w:vAlign w:val="center"/>
            <w:hideMark/>
          </w:tcPr>
          <w:p w14:paraId="68D3BED6" w14:textId="595D22C1" w:rsidR="008476AA" w:rsidRPr="00C40759" w:rsidRDefault="00E639BD" w:rsidP="003712B8">
            <w:pPr>
              <w:pStyle w:val="TableText0"/>
              <w:keepNext w:val="0"/>
              <w:keepLines w:val="0"/>
              <w:jc w:val="center"/>
              <w:rPr>
                <w:rFonts w:ascii="Times" w:hAnsi="Times"/>
                <w:highlight w:val="darkGray"/>
              </w:rPr>
            </w:pPr>
            <w:r w:rsidRPr="00E639BD">
              <w:rPr>
                <w:color w:val="000000"/>
                <w:shd w:val="solid" w:color="000000" w:fill="000000"/>
                <w14:textFill>
                  <w14:solidFill>
                    <w14:srgbClr w14:val="000000">
                      <w14:alpha w14:val="100000"/>
                    </w14:srgbClr>
                  </w14:solidFill>
                </w14:textFill>
              </w:rPr>
              <w:t>|</w:t>
            </w:r>
            <w:r w:rsidR="006451D5" w:rsidRPr="005F3447">
              <w:rPr>
                <w:vertAlign w:val="superscript"/>
              </w:rPr>
              <w:t>1</w:t>
            </w:r>
          </w:p>
        </w:tc>
        <w:tc>
          <w:tcPr>
            <w:tcW w:w="859" w:type="pct"/>
            <w:tcBorders>
              <w:top w:val="single" w:sz="4" w:space="0" w:color="auto"/>
              <w:left w:val="single" w:sz="4" w:space="0" w:color="auto"/>
              <w:bottom w:val="single" w:sz="4" w:space="0" w:color="auto"/>
              <w:right w:val="single" w:sz="4" w:space="0" w:color="auto"/>
            </w:tcBorders>
            <w:hideMark/>
          </w:tcPr>
          <w:p w14:paraId="0AD97BEA" w14:textId="2E811657" w:rsidR="008476AA" w:rsidRPr="00C40759" w:rsidRDefault="00E639BD" w:rsidP="003712B8">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A57484" w:rsidRPr="00A57484">
              <w:rPr>
                <w:vertAlign w:val="superscript"/>
              </w:rPr>
              <w:t>2</w:t>
            </w:r>
          </w:p>
        </w:tc>
      </w:tr>
      <w:tr w:rsidR="008476AA" w:rsidRPr="00B63CD0" w14:paraId="22238906" w14:textId="77777777" w:rsidTr="003A5E69">
        <w:tc>
          <w:tcPr>
            <w:tcW w:w="3281" w:type="pct"/>
            <w:gridSpan w:val="4"/>
            <w:tcBorders>
              <w:top w:val="single" w:sz="4" w:space="0" w:color="auto"/>
              <w:left w:val="single" w:sz="4" w:space="0" w:color="auto"/>
              <w:bottom w:val="single" w:sz="4" w:space="0" w:color="auto"/>
              <w:right w:val="single" w:sz="4" w:space="0" w:color="auto"/>
            </w:tcBorders>
            <w:vAlign w:val="center"/>
            <w:hideMark/>
          </w:tcPr>
          <w:p w14:paraId="6BFCCF66" w14:textId="77777777" w:rsidR="008476AA" w:rsidRPr="00B63CD0" w:rsidRDefault="008476AA" w:rsidP="003712B8">
            <w:pPr>
              <w:pStyle w:val="TableText0"/>
              <w:keepNext w:val="0"/>
              <w:keepLines w:val="0"/>
              <w:jc w:val="right"/>
            </w:pPr>
            <w:r w:rsidRPr="00B63CD0">
              <w:t>Incremental cost/extra LY gained</w:t>
            </w:r>
          </w:p>
        </w:tc>
        <w:tc>
          <w:tcPr>
            <w:tcW w:w="860" w:type="pct"/>
            <w:tcBorders>
              <w:top w:val="single" w:sz="4" w:space="0" w:color="auto"/>
              <w:left w:val="single" w:sz="4" w:space="0" w:color="auto"/>
              <w:bottom w:val="single" w:sz="4" w:space="0" w:color="auto"/>
              <w:right w:val="single" w:sz="4" w:space="0" w:color="auto"/>
            </w:tcBorders>
            <w:vAlign w:val="center"/>
            <w:hideMark/>
          </w:tcPr>
          <w:p w14:paraId="5CAD64A7" w14:textId="70EDC270" w:rsidR="008476AA" w:rsidRPr="00C40759" w:rsidRDefault="00E639BD" w:rsidP="003712B8">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D71352" w:rsidRPr="00D71352">
              <w:rPr>
                <w:vertAlign w:val="superscript"/>
              </w:rPr>
              <w:t>3</w:t>
            </w:r>
          </w:p>
        </w:tc>
        <w:tc>
          <w:tcPr>
            <w:tcW w:w="859" w:type="pct"/>
            <w:tcBorders>
              <w:top w:val="single" w:sz="4" w:space="0" w:color="auto"/>
              <w:left w:val="single" w:sz="4" w:space="0" w:color="auto"/>
              <w:bottom w:val="single" w:sz="4" w:space="0" w:color="auto"/>
              <w:right w:val="single" w:sz="4" w:space="0" w:color="auto"/>
            </w:tcBorders>
            <w:hideMark/>
          </w:tcPr>
          <w:p w14:paraId="7D618B22" w14:textId="7674D132" w:rsidR="008476AA" w:rsidRPr="00C40759" w:rsidRDefault="00E639BD" w:rsidP="003712B8">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8963BA" w:rsidRPr="008963BA">
              <w:rPr>
                <w:vertAlign w:val="superscript"/>
              </w:rPr>
              <w:t>4</w:t>
            </w:r>
          </w:p>
        </w:tc>
      </w:tr>
      <w:tr w:rsidR="00ED509D" w:rsidRPr="00B63CD0" w14:paraId="35B29AE0" w14:textId="77777777" w:rsidTr="003A5E69">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84C645A" w14:textId="6F3DF200" w:rsidR="00ED509D" w:rsidRPr="00B63CD0" w:rsidRDefault="00ED509D" w:rsidP="003712B8">
            <w:pPr>
              <w:pStyle w:val="TableText0"/>
              <w:keepNext w:val="0"/>
              <w:keepLines w:val="0"/>
              <w:rPr>
                <w:b/>
                <w:bCs w:val="0"/>
              </w:rPr>
            </w:pPr>
            <w:r w:rsidRPr="00B63CD0">
              <w:rPr>
                <w:b/>
              </w:rPr>
              <w:t>Step 2: time horizon 75 months, constant per cycle transition probabilities, undiscounted costs for AEs, concomitant and treatment monitoring across all health states (no terminal care, subsequent treatment drug/admi</w:t>
            </w:r>
            <w:r w:rsidR="00C02E47">
              <w:rPr>
                <w:b/>
              </w:rPr>
              <w:t>nistration</w:t>
            </w:r>
            <w:r w:rsidRPr="00B63CD0">
              <w:rPr>
                <w:b/>
              </w:rPr>
              <w:t>, disease costs), undiscounted life years in m0HSPC and total life years.</w:t>
            </w:r>
          </w:p>
        </w:tc>
      </w:tr>
      <w:tr w:rsidR="004F06E9" w:rsidRPr="00B63CD0" w14:paraId="701500D6" w14:textId="77777777" w:rsidTr="003A5E69">
        <w:tc>
          <w:tcPr>
            <w:tcW w:w="933" w:type="pct"/>
            <w:tcBorders>
              <w:top w:val="single" w:sz="4" w:space="0" w:color="auto"/>
              <w:left w:val="single" w:sz="4" w:space="0" w:color="auto"/>
              <w:bottom w:val="single" w:sz="4" w:space="0" w:color="auto"/>
              <w:right w:val="single" w:sz="4" w:space="0" w:color="auto"/>
            </w:tcBorders>
            <w:vAlign w:val="center"/>
            <w:hideMark/>
          </w:tcPr>
          <w:p w14:paraId="1FEC5679" w14:textId="6650B4C4" w:rsidR="00AE546C" w:rsidRPr="00B63CD0" w:rsidRDefault="00AE546C" w:rsidP="00AE546C">
            <w:pPr>
              <w:pStyle w:val="TableText0"/>
              <w:keepNext w:val="0"/>
              <w:keepLines w:val="0"/>
              <w:rPr>
                <w:rFonts w:ascii="Times" w:hAnsi="Times"/>
              </w:rPr>
            </w:pPr>
            <w:r w:rsidRPr="00B63CD0">
              <w:t>Costs</w:t>
            </w:r>
            <w:r>
              <w:t xml:space="preserve"> ($)</w:t>
            </w:r>
          </w:p>
        </w:tc>
        <w:tc>
          <w:tcPr>
            <w:tcW w:w="782" w:type="pct"/>
            <w:tcBorders>
              <w:top w:val="single" w:sz="4" w:space="0" w:color="auto"/>
              <w:left w:val="single" w:sz="4" w:space="0" w:color="auto"/>
              <w:bottom w:val="single" w:sz="4" w:space="0" w:color="auto"/>
              <w:right w:val="single" w:sz="4" w:space="0" w:color="auto"/>
            </w:tcBorders>
            <w:shd w:val="clear" w:color="auto" w:fill="auto"/>
            <w:hideMark/>
          </w:tcPr>
          <w:p w14:paraId="48BE244B" w14:textId="542F6A05" w:rsidR="00AE546C" w:rsidRPr="00C40759" w:rsidRDefault="00AE546C" w:rsidP="00AE546C">
            <w:pPr>
              <w:pStyle w:val="TableText0"/>
              <w:keepNext w:val="0"/>
              <w:keepLines w:val="0"/>
              <w:jc w:val="center"/>
              <w:rPr>
                <w:rFonts w:ascii="Times" w:hAnsi="Times"/>
                <w:highlight w:val="darkGray"/>
              </w:rPr>
            </w:pPr>
            <w:r w:rsidRPr="00973C8D">
              <w:rPr>
                <w:color w:val="000000"/>
                <w:shd w:val="solid" w:color="000000" w:fill="000000"/>
                <w14:textFill>
                  <w14:solidFill>
                    <w14:srgbClr w14:val="000000">
                      <w14:alpha w14:val="100000"/>
                    </w14:srgbClr>
                  </w14:solidFill>
                </w14:textFill>
              </w:rPr>
              <w:t>|</w:t>
            </w:r>
          </w:p>
        </w:tc>
        <w:tc>
          <w:tcPr>
            <w:tcW w:w="782" w:type="pct"/>
            <w:tcBorders>
              <w:top w:val="single" w:sz="4" w:space="0" w:color="auto"/>
              <w:left w:val="single" w:sz="4" w:space="0" w:color="auto"/>
              <w:bottom w:val="single" w:sz="4" w:space="0" w:color="auto"/>
              <w:right w:val="single" w:sz="4" w:space="0" w:color="auto"/>
            </w:tcBorders>
            <w:shd w:val="clear" w:color="auto" w:fill="auto"/>
            <w:hideMark/>
          </w:tcPr>
          <w:p w14:paraId="41831DE6" w14:textId="280BC261" w:rsidR="00AE546C" w:rsidRPr="00C40759" w:rsidRDefault="00AE546C" w:rsidP="00AE546C">
            <w:pPr>
              <w:pStyle w:val="TableText0"/>
              <w:keepNext w:val="0"/>
              <w:keepLines w:val="0"/>
              <w:jc w:val="center"/>
              <w:rPr>
                <w:rFonts w:ascii="Times" w:hAnsi="Times"/>
                <w:highlight w:val="darkGray"/>
              </w:rPr>
            </w:pPr>
            <w:r w:rsidRPr="00973C8D">
              <w:rPr>
                <w:color w:val="000000"/>
                <w:shd w:val="solid" w:color="000000" w:fill="000000"/>
                <w14:textFill>
                  <w14:solidFill>
                    <w14:srgbClr w14:val="000000">
                      <w14:alpha w14:val="100000"/>
                    </w14:srgbClr>
                  </w14:solidFill>
                </w14:textFill>
              </w:rPr>
              <w:t>|</w:t>
            </w:r>
          </w:p>
        </w:tc>
        <w:tc>
          <w:tcPr>
            <w:tcW w:w="784" w:type="pct"/>
            <w:tcBorders>
              <w:top w:val="single" w:sz="4" w:space="0" w:color="auto"/>
              <w:left w:val="single" w:sz="4" w:space="0" w:color="auto"/>
              <w:bottom w:val="single" w:sz="4" w:space="0" w:color="auto"/>
              <w:right w:val="single" w:sz="4" w:space="0" w:color="auto"/>
            </w:tcBorders>
            <w:shd w:val="clear" w:color="auto" w:fill="auto"/>
            <w:hideMark/>
          </w:tcPr>
          <w:p w14:paraId="5E1ED36D" w14:textId="622CF9CE" w:rsidR="00AE546C" w:rsidRPr="00C40759" w:rsidRDefault="00AE546C" w:rsidP="00AE546C">
            <w:pPr>
              <w:pStyle w:val="TableText0"/>
              <w:keepNext w:val="0"/>
              <w:keepLines w:val="0"/>
              <w:jc w:val="center"/>
              <w:rPr>
                <w:highlight w:val="darkGray"/>
              </w:rPr>
            </w:pPr>
            <w:r w:rsidRPr="00973C8D">
              <w:rPr>
                <w:color w:val="000000"/>
                <w:shd w:val="solid" w:color="000000" w:fill="000000"/>
                <w14:textFill>
                  <w14:solidFill>
                    <w14:srgbClr w14:val="000000">
                      <w14:alpha w14:val="100000"/>
                    </w14:srgbClr>
                  </w14:solidFill>
                </w14:textFill>
              </w:rPr>
              <w:t>|</w:t>
            </w:r>
          </w:p>
        </w:tc>
        <w:tc>
          <w:tcPr>
            <w:tcW w:w="860" w:type="pct"/>
            <w:tcBorders>
              <w:top w:val="single" w:sz="4" w:space="0" w:color="auto"/>
              <w:left w:val="single" w:sz="4" w:space="0" w:color="auto"/>
              <w:bottom w:val="single" w:sz="4" w:space="0" w:color="auto"/>
              <w:right w:val="single" w:sz="4" w:space="0" w:color="auto"/>
            </w:tcBorders>
            <w:shd w:val="clear" w:color="auto" w:fill="auto"/>
            <w:hideMark/>
          </w:tcPr>
          <w:p w14:paraId="5FA1D264" w14:textId="0C8D7D32" w:rsidR="00AE546C" w:rsidRPr="00C40759" w:rsidRDefault="00AE546C" w:rsidP="00AE546C">
            <w:pPr>
              <w:pStyle w:val="TableText0"/>
              <w:keepNext w:val="0"/>
              <w:keepLines w:val="0"/>
              <w:jc w:val="center"/>
              <w:rPr>
                <w:rFonts w:ascii="Times" w:hAnsi="Times"/>
                <w:highlight w:val="darkGray"/>
              </w:rPr>
            </w:pPr>
            <w:r w:rsidRPr="00973C8D">
              <w:rPr>
                <w:color w:val="000000"/>
                <w:shd w:val="solid" w:color="000000" w:fill="000000"/>
                <w14:textFill>
                  <w14:solidFill>
                    <w14:srgbClr w14:val="000000">
                      <w14:alpha w14:val="100000"/>
                    </w14:srgbClr>
                  </w14:solidFill>
                </w14:textFill>
              </w:rPr>
              <w:t>|</w:t>
            </w:r>
          </w:p>
        </w:tc>
        <w:tc>
          <w:tcPr>
            <w:tcW w:w="859" w:type="pct"/>
            <w:tcBorders>
              <w:top w:val="single" w:sz="4" w:space="0" w:color="auto"/>
              <w:left w:val="single" w:sz="4" w:space="0" w:color="auto"/>
              <w:bottom w:val="single" w:sz="4" w:space="0" w:color="auto"/>
              <w:right w:val="single" w:sz="4" w:space="0" w:color="auto"/>
            </w:tcBorders>
            <w:shd w:val="clear" w:color="auto" w:fill="auto"/>
            <w:hideMark/>
          </w:tcPr>
          <w:p w14:paraId="51EC44B7" w14:textId="0740734D" w:rsidR="00AE546C" w:rsidRPr="00C40759" w:rsidRDefault="00AE546C" w:rsidP="00AE546C">
            <w:pPr>
              <w:pStyle w:val="TableText0"/>
              <w:keepNext w:val="0"/>
              <w:keepLines w:val="0"/>
              <w:jc w:val="center"/>
              <w:rPr>
                <w:highlight w:val="darkGray"/>
              </w:rPr>
            </w:pPr>
            <w:r w:rsidRPr="00973C8D">
              <w:rPr>
                <w:color w:val="000000"/>
                <w:shd w:val="solid" w:color="000000" w:fill="000000"/>
                <w14:textFill>
                  <w14:solidFill>
                    <w14:srgbClr w14:val="000000">
                      <w14:alpha w14:val="100000"/>
                    </w14:srgbClr>
                  </w14:solidFill>
                </w14:textFill>
              </w:rPr>
              <w:t>|</w:t>
            </w:r>
          </w:p>
        </w:tc>
      </w:tr>
      <w:tr w:rsidR="008476AA" w:rsidRPr="00B63CD0" w14:paraId="1E007D8B" w14:textId="77777777" w:rsidTr="003A5E69">
        <w:tc>
          <w:tcPr>
            <w:tcW w:w="933" w:type="pct"/>
            <w:tcBorders>
              <w:top w:val="single" w:sz="4" w:space="0" w:color="auto"/>
              <w:left w:val="single" w:sz="4" w:space="0" w:color="auto"/>
              <w:bottom w:val="single" w:sz="4" w:space="0" w:color="auto"/>
              <w:right w:val="single" w:sz="4" w:space="0" w:color="auto"/>
            </w:tcBorders>
            <w:vAlign w:val="center"/>
            <w:hideMark/>
          </w:tcPr>
          <w:p w14:paraId="70CE0235" w14:textId="77777777" w:rsidR="008476AA" w:rsidRPr="00B63CD0" w:rsidRDefault="008476AA" w:rsidP="003712B8">
            <w:pPr>
              <w:pStyle w:val="TableText0"/>
              <w:keepNext w:val="0"/>
              <w:keepLines w:val="0"/>
            </w:pPr>
            <w:r w:rsidRPr="00B63CD0">
              <w:t>m0HSPC LYs</w:t>
            </w:r>
          </w:p>
        </w:tc>
        <w:tc>
          <w:tcPr>
            <w:tcW w:w="782" w:type="pct"/>
            <w:tcBorders>
              <w:top w:val="single" w:sz="4" w:space="0" w:color="auto"/>
              <w:left w:val="single" w:sz="4" w:space="0" w:color="auto"/>
              <w:bottom w:val="single" w:sz="4" w:space="0" w:color="auto"/>
              <w:right w:val="single" w:sz="4" w:space="0" w:color="auto"/>
            </w:tcBorders>
            <w:vAlign w:val="center"/>
            <w:hideMark/>
          </w:tcPr>
          <w:p w14:paraId="2A379DD2" w14:textId="77777777" w:rsidR="008476AA" w:rsidRPr="00B63CD0" w:rsidRDefault="008476AA" w:rsidP="003712B8">
            <w:pPr>
              <w:pStyle w:val="TableText0"/>
              <w:keepNext w:val="0"/>
              <w:keepLines w:val="0"/>
              <w:jc w:val="center"/>
            </w:pPr>
            <w:r w:rsidRPr="00B63CD0">
              <w:t>5.57</w:t>
            </w:r>
          </w:p>
        </w:tc>
        <w:tc>
          <w:tcPr>
            <w:tcW w:w="782" w:type="pct"/>
            <w:tcBorders>
              <w:top w:val="single" w:sz="4" w:space="0" w:color="auto"/>
              <w:left w:val="single" w:sz="4" w:space="0" w:color="auto"/>
              <w:bottom w:val="single" w:sz="4" w:space="0" w:color="auto"/>
              <w:right w:val="single" w:sz="4" w:space="0" w:color="auto"/>
            </w:tcBorders>
            <w:vAlign w:val="center"/>
            <w:hideMark/>
          </w:tcPr>
          <w:p w14:paraId="32AE50CA" w14:textId="77777777" w:rsidR="008476AA" w:rsidRPr="00B63CD0" w:rsidRDefault="008476AA" w:rsidP="003712B8">
            <w:pPr>
              <w:pStyle w:val="TableText0"/>
              <w:keepNext w:val="0"/>
              <w:keepLines w:val="0"/>
              <w:jc w:val="center"/>
            </w:pPr>
            <w:r w:rsidRPr="00B63CD0">
              <w:t>5.31</w:t>
            </w:r>
          </w:p>
        </w:tc>
        <w:tc>
          <w:tcPr>
            <w:tcW w:w="784" w:type="pct"/>
            <w:tcBorders>
              <w:top w:val="single" w:sz="4" w:space="0" w:color="auto"/>
              <w:left w:val="single" w:sz="4" w:space="0" w:color="auto"/>
              <w:bottom w:val="single" w:sz="4" w:space="0" w:color="auto"/>
              <w:right w:val="single" w:sz="4" w:space="0" w:color="auto"/>
            </w:tcBorders>
            <w:hideMark/>
          </w:tcPr>
          <w:p w14:paraId="645E2481" w14:textId="77777777" w:rsidR="008476AA" w:rsidRPr="00B63CD0" w:rsidRDefault="008476AA" w:rsidP="003712B8">
            <w:pPr>
              <w:pStyle w:val="TableText0"/>
              <w:keepNext w:val="0"/>
              <w:keepLines w:val="0"/>
              <w:jc w:val="center"/>
            </w:pPr>
            <w:r w:rsidRPr="00B63CD0">
              <w:t>4.59</w:t>
            </w:r>
          </w:p>
        </w:tc>
        <w:tc>
          <w:tcPr>
            <w:tcW w:w="860" w:type="pct"/>
            <w:tcBorders>
              <w:top w:val="single" w:sz="4" w:space="0" w:color="auto"/>
              <w:left w:val="single" w:sz="4" w:space="0" w:color="auto"/>
              <w:bottom w:val="single" w:sz="4" w:space="0" w:color="auto"/>
              <w:right w:val="single" w:sz="4" w:space="0" w:color="auto"/>
            </w:tcBorders>
            <w:vAlign w:val="center"/>
            <w:hideMark/>
          </w:tcPr>
          <w:p w14:paraId="0AAB61E0" w14:textId="77777777" w:rsidR="008476AA" w:rsidRPr="00B63CD0" w:rsidRDefault="008476AA" w:rsidP="003712B8">
            <w:pPr>
              <w:pStyle w:val="TableText0"/>
              <w:keepNext w:val="0"/>
              <w:keepLines w:val="0"/>
              <w:jc w:val="center"/>
            </w:pPr>
            <w:r w:rsidRPr="00B63CD0">
              <w:t>0.97</w:t>
            </w:r>
          </w:p>
        </w:tc>
        <w:tc>
          <w:tcPr>
            <w:tcW w:w="859" w:type="pct"/>
            <w:tcBorders>
              <w:top w:val="single" w:sz="4" w:space="0" w:color="auto"/>
              <w:left w:val="single" w:sz="4" w:space="0" w:color="auto"/>
              <w:bottom w:val="single" w:sz="4" w:space="0" w:color="auto"/>
              <w:right w:val="single" w:sz="4" w:space="0" w:color="auto"/>
            </w:tcBorders>
            <w:hideMark/>
          </w:tcPr>
          <w:p w14:paraId="2142E2B8" w14:textId="6DA785FD" w:rsidR="008476AA" w:rsidRPr="00B63CD0" w:rsidRDefault="008476AA" w:rsidP="003712B8">
            <w:pPr>
              <w:pStyle w:val="TableText0"/>
              <w:keepNext w:val="0"/>
              <w:keepLines w:val="0"/>
              <w:jc w:val="center"/>
            </w:pPr>
            <w:r w:rsidRPr="00B63CD0">
              <w:t>0.72</w:t>
            </w:r>
          </w:p>
        </w:tc>
      </w:tr>
      <w:tr w:rsidR="008476AA" w:rsidRPr="00B63CD0" w14:paraId="28E0ED5A" w14:textId="77777777" w:rsidTr="003A5E69">
        <w:tc>
          <w:tcPr>
            <w:tcW w:w="933" w:type="pct"/>
            <w:tcBorders>
              <w:top w:val="single" w:sz="4" w:space="0" w:color="auto"/>
              <w:left w:val="single" w:sz="4" w:space="0" w:color="auto"/>
              <w:bottom w:val="single" w:sz="4" w:space="0" w:color="auto"/>
              <w:right w:val="single" w:sz="4" w:space="0" w:color="auto"/>
            </w:tcBorders>
            <w:vAlign w:val="center"/>
            <w:hideMark/>
          </w:tcPr>
          <w:p w14:paraId="13DD0907" w14:textId="77777777" w:rsidR="008476AA" w:rsidRPr="00B63CD0" w:rsidRDefault="008476AA" w:rsidP="003712B8">
            <w:pPr>
              <w:pStyle w:val="TableText0"/>
              <w:keepNext w:val="0"/>
              <w:keepLines w:val="0"/>
              <w:rPr>
                <w:rFonts w:ascii="Times" w:hAnsi="Times"/>
              </w:rPr>
            </w:pPr>
            <w:r w:rsidRPr="00B63CD0">
              <w:t>LYs</w:t>
            </w:r>
          </w:p>
        </w:tc>
        <w:tc>
          <w:tcPr>
            <w:tcW w:w="782" w:type="pct"/>
            <w:tcBorders>
              <w:top w:val="single" w:sz="4" w:space="0" w:color="auto"/>
              <w:left w:val="single" w:sz="4" w:space="0" w:color="auto"/>
              <w:bottom w:val="single" w:sz="4" w:space="0" w:color="auto"/>
              <w:right w:val="single" w:sz="4" w:space="0" w:color="auto"/>
            </w:tcBorders>
            <w:vAlign w:val="center"/>
            <w:hideMark/>
          </w:tcPr>
          <w:p w14:paraId="21B0089E" w14:textId="77777777" w:rsidR="008476AA" w:rsidRPr="00B63CD0" w:rsidRDefault="008476AA" w:rsidP="003712B8">
            <w:pPr>
              <w:pStyle w:val="TableText0"/>
              <w:keepNext w:val="0"/>
              <w:keepLines w:val="0"/>
              <w:jc w:val="center"/>
              <w:rPr>
                <w:rFonts w:ascii="Times" w:hAnsi="Times"/>
              </w:rPr>
            </w:pPr>
            <w:r w:rsidRPr="00B63CD0">
              <w:t>5.94</w:t>
            </w:r>
          </w:p>
        </w:tc>
        <w:tc>
          <w:tcPr>
            <w:tcW w:w="782" w:type="pct"/>
            <w:tcBorders>
              <w:top w:val="single" w:sz="4" w:space="0" w:color="auto"/>
              <w:left w:val="single" w:sz="4" w:space="0" w:color="auto"/>
              <w:bottom w:val="single" w:sz="4" w:space="0" w:color="auto"/>
              <w:right w:val="single" w:sz="4" w:space="0" w:color="auto"/>
            </w:tcBorders>
            <w:vAlign w:val="center"/>
            <w:hideMark/>
          </w:tcPr>
          <w:p w14:paraId="79475C47" w14:textId="77777777" w:rsidR="008476AA" w:rsidRPr="00B63CD0" w:rsidRDefault="008476AA" w:rsidP="003712B8">
            <w:pPr>
              <w:pStyle w:val="TableText0"/>
              <w:keepNext w:val="0"/>
              <w:keepLines w:val="0"/>
              <w:jc w:val="center"/>
              <w:rPr>
                <w:rFonts w:ascii="Times" w:hAnsi="Times"/>
              </w:rPr>
            </w:pPr>
            <w:r w:rsidRPr="00B63CD0">
              <w:t>5.82</w:t>
            </w:r>
          </w:p>
        </w:tc>
        <w:tc>
          <w:tcPr>
            <w:tcW w:w="784" w:type="pct"/>
            <w:tcBorders>
              <w:top w:val="single" w:sz="4" w:space="0" w:color="auto"/>
              <w:left w:val="single" w:sz="4" w:space="0" w:color="auto"/>
              <w:bottom w:val="single" w:sz="4" w:space="0" w:color="auto"/>
              <w:right w:val="single" w:sz="4" w:space="0" w:color="auto"/>
            </w:tcBorders>
            <w:hideMark/>
          </w:tcPr>
          <w:p w14:paraId="41AC098D" w14:textId="77777777" w:rsidR="008476AA" w:rsidRPr="00B63CD0" w:rsidRDefault="008476AA" w:rsidP="003712B8">
            <w:pPr>
              <w:pStyle w:val="TableText0"/>
              <w:keepNext w:val="0"/>
              <w:keepLines w:val="0"/>
              <w:jc w:val="center"/>
            </w:pPr>
            <w:r w:rsidRPr="00B63CD0">
              <w:t>5.60</w:t>
            </w:r>
          </w:p>
        </w:tc>
        <w:tc>
          <w:tcPr>
            <w:tcW w:w="860" w:type="pct"/>
            <w:tcBorders>
              <w:top w:val="single" w:sz="4" w:space="0" w:color="auto"/>
              <w:left w:val="single" w:sz="4" w:space="0" w:color="auto"/>
              <w:bottom w:val="single" w:sz="4" w:space="0" w:color="auto"/>
              <w:right w:val="single" w:sz="4" w:space="0" w:color="auto"/>
            </w:tcBorders>
            <w:vAlign w:val="center"/>
            <w:hideMark/>
          </w:tcPr>
          <w:p w14:paraId="7FF74680" w14:textId="77777777" w:rsidR="008476AA" w:rsidRPr="00B63CD0" w:rsidRDefault="008476AA" w:rsidP="003712B8">
            <w:pPr>
              <w:pStyle w:val="TableText0"/>
              <w:keepNext w:val="0"/>
              <w:keepLines w:val="0"/>
              <w:jc w:val="center"/>
            </w:pPr>
            <w:r w:rsidRPr="00B63CD0">
              <w:t>0.34</w:t>
            </w:r>
          </w:p>
        </w:tc>
        <w:tc>
          <w:tcPr>
            <w:tcW w:w="859" w:type="pct"/>
            <w:tcBorders>
              <w:top w:val="single" w:sz="4" w:space="0" w:color="auto"/>
              <w:left w:val="single" w:sz="4" w:space="0" w:color="auto"/>
              <w:bottom w:val="single" w:sz="4" w:space="0" w:color="auto"/>
              <w:right w:val="single" w:sz="4" w:space="0" w:color="auto"/>
            </w:tcBorders>
            <w:hideMark/>
          </w:tcPr>
          <w:p w14:paraId="00D93C0A" w14:textId="35984D4D" w:rsidR="008476AA" w:rsidRPr="00B63CD0" w:rsidRDefault="008476AA" w:rsidP="003712B8">
            <w:pPr>
              <w:pStyle w:val="TableText0"/>
              <w:keepNext w:val="0"/>
              <w:keepLines w:val="0"/>
              <w:jc w:val="center"/>
            </w:pPr>
            <w:r w:rsidRPr="00B63CD0">
              <w:t>0.22</w:t>
            </w:r>
          </w:p>
        </w:tc>
      </w:tr>
      <w:tr w:rsidR="008476AA" w:rsidRPr="00B63CD0" w14:paraId="6E7BA35A" w14:textId="77777777" w:rsidTr="003A5E69">
        <w:tc>
          <w:tcPr>
            <w:tcW w:w="3281" w:type="pct"/>
            <w:gridSpan w:val="4"/>
            <w:tcBorders>
              <w:top w:val="single" w:sz="4" w:space="0" w:color="auto"/>
              <w:left w:val="single" w:sz="4" w:space="0" w:color="auto"/>
              <w:bottom w:val="single" w:sz="4" w:space="0" w:color="auto"/>
              <w:right w:val="single" w:sz="4" w:space="0" w:color="auto"/>
            </w:tcBorders>
            <w:vAlign w:val="center"/>
            <w:hideMark/>
          </w:tcPr>
          <w:p w14:paraId="57FE657E" w14:textId="77777777" w:rsidR="008476AA" w:rsidRPr="00B63CD0" w:rsidRDefault="008476AA" w:rsidP="003712B8">
            <w:pPr>
              <w:pStyle w:val="TableText0"/>
              <w:keepNext w:val="0"/>
              <w:keepLines w:val="0"/>
              <w:jc w:val="right"/>
              <w:rPr>
                <w:b/>
                <w:bCs w:val="0"/>
              </w:rPr>
            </w:pPr>
            <w:r w:rsidRPr="00B63CD0">
              <w:t>Incremental cost/extra m0HSPC LY gained</w:t>
            </w:r>
          </w:p>
        </w:tc>
        <w:tc>
          <w:tcPr>
            <w:tcW w:w="860" w:type="pct"/>
            <w:tcBorders>
              <w:top w:val="single" w:sz="4" w:space="0" w:color="auto"/>
              <w:left w:val="single" w:sz="4" w:space="0" w:color="auto"/>
              <w:bottom w:val="single" w:sz="4" w:space="0" w:color="auto"/>
              <w:right w:val="single" w:sz="4" w:space="0" w:color="auto"/>
            </w:tcBorders>
            <w:vAlign w:val="center"/>
            <w:hideMark/>
          </w:tcPr>
          <w:p w14:paraId="55888946" w14:textId="36AA1061" w:rsidR="008476AA" w:rsidRPr="00C40759" w:rsidRDefault="00E639BD" w:rsidP="003712B8">
            <w:pPr>
              <w:pStyle w:val="TableText0"/>
              <w:keepNext w:val="0"/>
              <w:keepLines w:val="0"/>
              <w:jc w:val="center"/>
              <w:rPr>
                <w:rFonts w:ascii="Times" w:hAnsi="Times"/>
                <w:b/>
                <w:bCs w:val="0"/>
                <w:highlight w:val="darkGray"/>
              </w:rPr>
            </w:pPr>
            <w:r w:rsidRPr="00E639BD">
              <w:rPr>
                <w:color w:val="000000"/>
                <w:shd w:val="solid" w:color="000000" w:fill="000000"/>
                <w14:textFill>
                  <w14:solidFill>
                    <w14:srgbClr w14:val="000000">
                      <w14:alpha w14:val="100000"/>
                    </w14:srgbClr>
                  </w14:solidFill>
                </w14:textFill>
              </w:rPr>
              <w:t>|</w:t>
            </w:r>
            <w:r w:rsidR="00FC62FB" w:rsidRPr="005F3447">
              <w:rPr>
                <w:vertAlign w:val="superscript"/>
              </w:rPr>
              <w:t>1</w:t>
            </w:r>
          </w:p>
        </w:tc>
        <w:tc>
          <w:tcPr>
            <w:tcW w:w="859" w:type="pct"/>
            <w:tcBorders>
              <w:top w:val="single" w:sz="4" w:space="0" w:color="auto"/>
              <w:left w:val="single" w:sz="4" w:space="0" w:color="auto"/>
              <w:bottom w:val="single" w:sz="4" w:space="0" w:color="auto"/>
              <w:right w:val="single" w:sz="4" w:space="0" w:color="auto"/>
            </w:tcBorders>
            <w:hideMark/>
          </w:tcPr>
          <w:p w14:paraId="14788464" w14:textId="71DFF9D0" w:rsidR="008476AA" w:rsidRPr="00C40759" w:rsidRDefault="00E639BD" w:rsidP="003712B8">
            <w:pPr>
              <w:pStyle w:val="TableText0"/>
              <w:keepNext w:val="0"/>
              <w:keepLines w:val="0"/>
              <w:jc w:val="center"/>
              <w:rPr>
                <w:b/>
                <w:bCs w:val="0"/>
                <w:highlight w:val="darkGray"/>
              </w:rPr>
            </w:pPr>
            <w:r w:rsidRPr="00E639BD">
              <w:rPr>
                <w:color w:val="000000"/>
                <w:shd w:val="solid" w:color="000000" w:fill="000000"/>
                <w14:textFill>
                  <w14:solidFill>
                    <w14:srgbClr w14:val="000000">
                      <w14:alpha w14:val="100000"/>
                    </w14:srgbClr>
                  </w14:solidFill>
                </w14:textFill>
              </w:rPr>
              <w:t>|</w:t>
            </w:r>
            <w:r w:rsidR="00D71352" w:rsidRPr="00A57484">
              <w:rPr>
                <w:vertAlign w:val="superscript"/>
              </w:rPr>
              <w:t>2</w:t>
            </w:r>
          </w:p>
        </w:tc>
      </w:tr>
      <w:tr w:rsidR="008476AA" w:rsidRPr="00B63CD0" w14:paraId="63BC5146" w14:textId="77777777" w:rsidTr="003A5E69">
        <w:tc>
          <w:tcPr>
            <w:tcW w:w="3281" w:type="pct"/>
            <w:gridSpan w:val="4"/>
            <w:tcBorders>
              <w:top w:val="single" w:sz="4" w:space="0" w:color="auto"/>
              <w:left w:val="single" w:sz="4" w:space="0" w:color="auto"/>
              <w:bottom w:val="single" w:sz="4" w:space="0" w:color="auto"/>
              <w:right w:val="single" w:sz="4" w:space="0" w:color="auto"/>
            </w:tcBorders>
            <w:vAlign w:val="center"/>
            <w:hideMark/>
          </w:tcPr>
          <w:p w14:paraId="1836A849" w14:textId="77777777" w:rsidR="008476AA" w:rsidRPr="00B63CD0" w:rsidRDefault="008476AA" w:rsidP="003712B8">
            <w:pPr>
              <w:pStyle w:val="TableText0"/>
              <w:keepNext w:val="0"/>
              <w:keepLines w:val="0"/>
              <w:jc w:val="right"/>
              <w:rPr>
                <w:b/>
                <w:bCs w:val="0"/>
              </w:rPr>
            </w:pPr>
            <w:r w:rsidRPr="00B63CD0">
              <w:t>Incremental cost/extra LY gained</w:t>
            </w:r>
          </w:p>
        </w:tc>
        <w:tc>
          <w:tcPr>
            <w:tcW w:w="860" w:type="pct"/>
            <w:tcBorders>
              <w:top w:val="single" w:sz="4" w:space="0" w:color="auto"/>
              <w:left w:val="single" w:sz="4" w:space="0" w:color="auto"/>
              <w:bottom w:val="single" w:sz="4" w:space="0" w:color="auto"/>
              <w:right w:val="single" w:sz="4" w:space="0" w:color="auto"/>
            </w:tcBorders>
            <w:vAlign w:val="center"/>
            <w:hideMark/>
          </w:tcPr>
          <w:p w14:paraId="03E2C447" w14:textId="25A994F8" w:rsidR="008476AA" w:rsidRPr="00C40759" w:rsidRDefault="00E639BD" w:rsidP="003712B8">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8963BA" w:rsidRPr="00D71352">
              <w:rPr>
                <w:vertAlign w:val="superscript"/>
              </w:rPr>
              <w:t>3</w:t>
            </w:r>
          </w:p>
        </w:tc>
        <w:tc>
          <w:tcPr>
            <w:tcW w:w="859" w:type="pct"/>
            <w:tcBorders>
              <w:top w:val="single" w:sz="4" w:space="0" w:color="auto"/>
              <w:left w:val="single" w:sz="4" w:space="0" w:color="auto"/>
              <w:bottom w:val="single" w:sz="4" w:space="0" w:color="auto"/>
              <w:right w:val="single" w:sz="4" w:space="0" w:color="auto"/>
            </w:tcBorders>
            <w:hideMark/>
          </w:tcPr>
          <w:p w14:paraId="1B27DFAB" w14:textId="6DEED9EE" w:rsidR="008476AA" w:rsidRPr="00C40759" w:rsidRDefault="00E639BD" w:rsidP="003712B8">
            <w:pPr>
              <w:pStyle w:val="TableText0"/>
              <w:keepNext w:val="0"/>
              <w:keepLines w:val="0"/>
              <w:jc w:val="center"/>
              <w:rPr>
                <w:b/>
                <w:bCs w:val="0"/>
                <w:highlight w:val="darkGray"/>
              </w:rPr>
            </w:pPr>
            <w:r w:rsidRPr="00E639BD">
              <w:rPr>
                <w:color w:val="000000"/>
                <w:shd w:val="solid" w:color="000000" w:fill="000000"/>
                <w14:textFill>
                  <w14:solidFill>
                    <w14:srgbClr w14:val="000000">
                      <w14:alpha w14:val="100000"/>
                    </w14:srgbClr>
                  </w14:solidFill>
                </w14:textFill>
              </w:rPr>
              <w:t>|</w:t>
            </w:r>
            <w:r w:rsidR="005F1A3F" w:rsidRPr="008963BA">
              <w:rPr>
                <w:vertAlign w:val="superscript"/>
              </w:rPr>
              <w:t>4</w:t>
            </w:r>
          </w:p>
        </w:tc>
      </w:tr>
      <w:tr w:rsidR="00ED509D" w:rsidRPr="00B63CD0" w14:paraId="344321C4" w14:textId="77777777" w:rsidTr="003A5E69">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A86E670" w14:textId="416EC0BB" w:rsidR="00ED509D" w:rsidRPr="00B63CD0" w:rsidRDefault="00ED509D" w:rsidP="003712B8">
            <w:pPr>
              <w:pStyle w:val="TableText0"/>
              <w:keepNext w:val="0"/>
              <w:keepLines w:val="0"/>
              <w:rPr>
                <w:b/>
                <w:bCs w:val="0"/>
              </w:rPr>
            </w:pPr>
            <w:r w:rsidRPr="00B63CD0">
              <w:rPr>
                <w:b/>
              </w:rPr>
              <w:t>Step 3: time horizon 75 months, constant per cycle transition probabilities, undiscounted costs for AEs, concomitant and treatment monitoring across all health states (no terminal care, subsequent treatment drug/admin</w:t>
            </w:r>
            <w:r w:rsidR="00C02E47">
              <w:rPr>
                <w:b/>
              </w:rPr>
              <w:t>istration</w:t>
            </w:r>
            <w:r w:rsidRPr="00B63CD0">
              <w:rPr>
                <w:b/>
              </w:rPr>
              <w:t>, disease costs), undiscounted QALYs in m0HSPC and total QALYs (no EoL QALY loss)</w:t>
            </w:r>
          </w:p>
        </w:tc>
      </w:tr>
      <w:tr w:rsidR="004F06E9" w:rsidRPr="00B63CD0" w14:paraId="7C513285" w14:textId="77777777" w:rsidTr="003A5E69">
        <w:tc>
          <w:tcPr>
            <w:tcW w:w="933" w:type="pct"/>
            <w:tcBorders>
              <w:top w:val="single" w:sz="4" w:space="0" w:color="auto"/>
              <w:left w:val="single" w:sz="4" w:space="0" w:color="auto"/>
              <w:bottom w:val="single" w:sz="4" w:space="0" w:color="auto"/>
              <w:right w:val="single" w:sz="4" w:space="0" w:color="auto"/>
            </w:tcBorders>
            <w:vAlign w:val="center"/>
            <w:hideMark/>
          </w:tcPr>
          <w:p w14:paraId="0E733632" w14:textId="74B3C4A0" w:rsidR="00AE546C" w:rsidRPr="00B63CD0" w:rsidRDefault="00AE546C" w:rsidP="00AE546C">
            <w:pPr>
              <w:pStyle w:val="TableText0"/>
              <w:keepNext w:val="0"/>
              <w:keepLines w:val="0"/>
              <w:rPr>
                <w:rFonts w:ascii="Times" w:hAnsi="Times"/>
              </w:rPr>
            </w:pPr>
            <w:r w:rsidRPr="00B63CD0">
              <w:t>Costs</w:t>
            </w:r>
            <w:r>
              <w:t xml:space="preserve"> ($)</w:t>
            </w:r>
          </w:p>
        </w:tc>
        <w:tc>
          <w:tcPr>
            <w:tcW w:w="782" w:type="pct"/>
            <w:tcBorders>
              <w:top w:val="single" w:sz="4" w:space="0" w:color="auto"/>
              <w:left w:val="single" w:sz="4" w:space="0" w:color="auto"/>
              <w:bottom w:val="single" w:sz="4" w:space="0" w:color="auto"/>
              <w:right w:val="single" w:sz="4" w:space="0" w:color="auto"/>
            </w:tcBorders>
            <w:shd w:val="clear" w:color="auto" w:fill="auto"/>
            <w:hideMark/>
          </w:tcPr>
          <w:p w14:paraId="74F2D568" w14:textId="3EDE6D34" w:rsidR="00AE546C" w:rsidRPr="00C40759" w:rsidRDefault="00AE546C" w:rsidP="00AE546C">
            <w:pPr>
              <w:pStyle w:val="TableText0"/>
              <w:keepNext w:val="0"/>
              <w:keepLines w:val="0"/>
              <w:jc w:val="center"/>
              <w:rPr>
                <w:rFonts w:ascii="Times" w:hAnsi="Times"/>
                <w:highlight w:val="darkGray"/>
              </w:rPr>
            </w:pPr>
            <w:r w:rsidRPr="00B75665">
              <w:rPr>
                <w:color w:val="000000"/>
                <w:shd w:val="solid" w:color="000000" w:fill="000000"/>
                <w14:textFill>
                  <w14:solidFill>
                    <w14:srgbClr w14:val="000000">
                      <w14:alpha w14:val="100000"/>
                    </w14:srgbClr>
                  </w14:solidFill>
                </w14:textFill>
              </w:rPr>
              <w:t>|</w:t>
            </w:r>
          </w:p>
        </w:tc>
        <w:tc>
          <w:tcPr>
            <w:tcW w:w="782" w:type="pct"/>
            <w:tcBorders>
              <w:top w:val="single" w:sz="4" w:space="0" w:color="auto"/>
              <w:left w:val="single" w:sz="4" w:space="0" w:color="auto"/>
              <w:bottom w:val="single" w:sz="4" w:space="0" w:color="auto"/>
              <w:right w:val="single" w:sz="4" w:space="0" w:color="auto"/>
            </w:tcBorders>
            <w:shd w:val="clear" w:color="auto" w:fill="auto"/>
            <w:hideMark/>
          </w:tcPr>
          <w:p w14:paraId="22F1EE4B" w14:textId="69BDCDDA" w:rsidR="00AE546C" w:rsidRPr="00C40759" w:rsidRDefault="00AE546C" w:rsidP="00AE546C">
            <w:pPr>
              <w:pStyle w:val="TableText0"/>
              <w:keepNext w:val="0"/>
              <w:keepLines w:val="0"/>
              <w:jc w:val="center"/>
              <w:rPr>
                <w:rFonts w:ascii="Times" w:hAnsi="Times"/>
                <w:highlight w:val="darkGray"/>
              </w:rPr>
            </w:pPr>
            <w:r w:rsidRPr="00B75665">
              <w:rPr>
                <w:color w:val="000000"/>
                <w:shd w:val="solid" w:color="000000" w:fill="000000"/>
                <w14:textFill>
                  <w14:solidFill>
                    <w14:srgbClr w14:val="000000">
                      <w14:alpha w14:val="100000"/>
                    </w14:srgbClr>
                  </w14:solidFill>
                </w14:textFill>
              </w:rPr>
              <w:t>|</w:t>
            </w:r>
          </w:p>
        </w:tc>
        <w:tc>
          <w:tcPr>
            <w:tcW w:w="784" w:type="pct"/>
            <w:tcBorders>
              <w:top w:val="single" w:sz="4" w:space="0" w:color="auto"/>
              <w:left w:val="single" w:sz="4" w:space="0" w:color="auto"/>
              <w:bottom w:val="single" w:sz="4" w:space="0" w:color="auto"/>
              <w:right w:val="single" w:sz="4" w:space="0" w:color="auto"/>
            </w:tcBorders>
            <w:shd w:val="clear" w:color="auto" w:fill="auto"/>
            <w:hideMark/>
          </w:tcPr>
          <w:p w14:paraId="364F824C" w14:textId="5815D586" w:rsidR="00AE546C" w:rsidRPr="00C40759" w:rsidRDefault="00AE546C" w:rsidP="00AE546C">
            <w:pPr>
              <w:pStyle w:val="TableText0"/>
              <w:keepNext w:val="0"/>
              <w:keepLines w:val="0"/>
              <w:jc w:val="center"/>
              <w:rPr>
                <w:highlight w:val="darkGray"/>
              </w:rPr>
            </w:pPr>
            <w:r w:rsidRPr="00B75665">
              <w:rPr>
                <w:color w:val="000000"/>
                <w:shd w:val="solid" w:color="000000" w:fill="000000"/>
                <w14:textFill>
                  <w14:solidFill>
                    <w14:srgbClr w14:val="000000">
                      <w14:alpha w14:val="100000"/>
                    </w14:srgbClr>
                  </w14:solidFill>
                </w14:textFill>
              </w:rPr>
              <w:t>|</w:t>
            </w:r>
          </w:p>
        </w:tc>
        <w:tc>
          <w:tcPr>
            <w:tcW w:w="860" w:type="pct"/>
            <w:tcBorders>
              <w:top w:val="single" w:sz="4" w:space="0" w:color="auto"/>
              <w:left w:val="single" w:sz="4" w:space="0" w:color="auto"/>
              <w:bottom w:val="single" w:sz="4" w:space="0" w:color="auto"/>
              <w:right w:val="single" w:sz="4" w:space="0" w:color="auto"/>
            </w:tcBorders>
            <w:shd w:val="clear" w:color="auto" w:fill="auto"/>
            <w:hideMark/>
          </w:tcPr>
          <w:p w14:paraId="2346694A" w14:textId="0D0CA4C4" w:rsidR="00AE546C" w:rsidRPr="00C40759" w:rsidRDefault="00AE546C" w:rsidP="00AE546C">
            <w:pPr>
              <w:pStyle w:val="TableText0"/>
              <w:keepNext w:val="0"/>
              <w:keepLines w:val="0"/>
              <w:jc w:val="center"/>
              <w:rPr>
                <w:rFonts w:ascii="Times" w:hAnsi="Times"/>
                <w:highlight w:val="darkGray"/>
              </w:rPr>
            </w:pPr>
            <w:r w:rsidRPr="00B75665">
              <w:rPr>
                <w:color w:val="000000"/>
                <w:shd w:val="solid" w:color="000000" w:fill="000000"/>
                <w14:textFill>
                  <w14:solidFill>
                    <w14:srgbClr w14:val="000000">
                      <w14:alpha w14:val="100000"/>
                    </w14:srgbClr>
                  </w14:solidFill>
                </w14:textFill>
              </w:rPr>
              <w:t>|</w:t>
            </w:r>
          </w:p>
        </w:tc>
        <w:tc>
          <w:tcPr>
            <w:tcW w:w="859" w:type="pct"/>
            <w:tcBorders>
              <w:top w:val="single" w:sz="4" w:space="0" w:color="auto"/>
              <w:left w:val="single" w:sz="4" w:space="0" w:color="auto"/>
              <w:bottom w:val="single" w:sz="4" w:space="0" w:color="auto"/>
              <w:right w:val="single" w:sz="4" w:space="0" w:color="auto"/>
            </w:tcBorders>
            <w:shd w:val="clear" w:color="auto" w:fill="auto"/>
            <w:hideMark/>
          </w:tcPr>
          <w:p w14:paraId="02290FD6" w14:textId="29192781" w:rsidR="00AE546C" w:rsidRPr="00C40759" w:rsidRDefault="00AE546C" w:rsidP="00AE546C">
            <w:pPr>
              <w:pStyle w:val="TableText0"/>
              <w:keepNext w:val="0"/>
              <w:keepLines w:val="0"/>
              <w:jc w:val="center"/>
              <w:rPr>
                <w:highlight w:val="darkGray"/>
              </w:rPr>
            </w:pPr>
            <w:r w:rsidRPr="00B75665">
              <w:rPr>
                <w:color w:val="000000"/>
                <w:shd w:val="solid" w:color="000000" w:fill="000000"/>
                <w14:textFill>
                  <w14:solidFill>
                    <w14:srgbClr w14:val="000000">
                      <w14:alpha w14:val="100000"/>
                    </w14:srgbClr>
                  </w14:solidFill>
                </w14:textFill>
              </w:rPr>
              <w:t>|</w:t>
            </w:r>
          </w:p>
        </w:tc>
      </w:tr>
      <w:tr w:rsidR="008476AA" w:rsidRPr="00B63CD0" w14:paraId="51696215" w14:textId="77777777" w:rsidTr="003A5E69">
        <w:tc>
          <w:tcPr>
            <w:tcW w:w="933" w:type="pct"/>
            <w:tcBorders>
              <w:top w:val="single" w:sz="4" w:space="0" w:color="auto"/>
              <w:left w:val="single" w:sz="4" w:space="0" w:color="auto"/>
              <w:bottom w:val="single" w:sz="4" w:space="0" w:color="auto"/>
              <w:right w:val="single" w:sz="4" w:space="0" w:color="auto"/>
            </w:tcBorders>
            <w:vAlign w:val="center"/>
            <w:hideMark/>
          </w:tcPr>
          <w:p w14:paraId="520C17D9" w14:textId="77777777" w:rsidR="008476AA" w:rsidRPr="00B63CD0" w:rsidRDefault="008476AA" w:rsidP="003712B8">
            <w:pPr>
              <w:pStyle w:val="TableText0"/>
              <w:keepNext w:val="0"/>
              <w:keepLines w:val="0"/>
            </w:pPr>
            <w:r w:rsidRPr="00B63CD0">
              <w:t>m0HSPC QALYs</w:t>
            </w:r>
          </w:p>
        </w:tc>
        <w:tc>
          <w:tcPr>
            <w:tcW w:w="782" w:type="pct"/>
            <w:tcBorders>
              <w:top w:val="single" w:sz="4" w:space="0" w:color="auto"/>
              <w:left w:val="single" w:sz="4" w:space="0" w:color="auto"/>
              <w:bottom w:val="single" w:sz="4" w:space="0" w:color="auto"/>
              <w:right w:val="single" w:sz="4" w:space="0" w:color="auto"/>
            </w:tcBorders>
            <w:vAlign w:val="center"/>
            <w:hideMark/>
          </w:tcPr>
          <w:p w14:paraId="34FBB03B" w14:textId="77777777" w:rsidR="008476AA" w:rsidRPr="00B63CD0" w:rsidRDefault="008476AA" w:rsidP="003712B8">
            <w:pPr>
              <w:pStyle w:val="TableText0"/>
              <w:keepNext w:val="0"/>
              <w:keepLines w:val="0"/>
              <w:jc w:val="center"/>
            </w:pPr>
            <w:r w:rsidRPr="00B63CD0">
              <w:t>4.91</w:t>
            </w:r>
          </w:p>
        </w:tc>
        <w:tc>
          <w:tcPr>
            <w:tcW w:w="782" w:type="pct"/>
            <w:tcBorders>
              <w:top w:val="single" w:sz="4" w:space="0" w:color="auto"/>
              <w:left w:val="single" w:sz="4" w:space="0" w:color="auto"/>
              <w:bottom w:val="single" w:sz="4" w:space="0" w:color="auto"/>
              <w:right w:val="single" w:sz="4" w:space="0" w:color="auto"/>
            </w:tcBorders>
            <w:vAlign w:val="center"/>
            <w:hideMark/>
          </w:tcPr>
          <w:p w14:paraId="36A49D74" w14:textId="77777777" w:rsidR="008476AA" w:rsidRPr="00B63CD0" w:rsidRDefault="008476AA" w:rsidP="003712B8">
            <w:pPr>
              <w:pStyle w:val="TableText0"/>
              <w:keepNext w:val="0"/>
              <w:keepLines w:val="0"/>
              <w:jc w:val="center"/>
            </w:pPr>
            <w:r w:rsidRPr="00B63CD0">
              <w:t>4.66</w:t>
            </w:r>
          </w:p>
        </w:tc>
        <w:tc>
          <w:tcPr>
            <w:tcW w:w="784" w:type="pct"/>
            <w:tcBorders>
              <w:top w:val="single" w:sz="4" w:space="0" w:color="auto"/>
              <w:left w:val="single" w:sz="4" w:space="0" w:color="auto"/>
              <w:bottom w:val="single" w:sz="4" w:space="0" w:color="auto"/>
              <w:right w:val="single" w:sz="4" w:space="0" w:color="auto"/>
            </w:tcBorders>
            <w:hideMark/>
          </w:tcPr>
          <w:p w14:paraId="643932B2" w14:textId="77777777" w:rsidR="008476AA" w:rsidRPr="00B63CD0" w:rsidRDefault="008476AA" w:rsidP="003712B8">
            <w:pPr>
              <w:pStyle w:val="TableText0"/>
              <w:keepNext w:val="0"/>
              <w:keepLines w:val="0"/>
              <w:jc w:val="center"/>
            </w:pPr>
            <w:r w:rsidRPr="00B63CD0">
              <w:t>4.05</w:t>
            </w:r>
          </w:p>
        </w:tc>
        <w:tc>
          <w:tcPr>
            <w:tcW w:w="860" w:type="pct"/>
            <w:tcBorders>
              <w:top w:val="single" w:sz="4" w:space="0" w:color="auto"/>
              <w:left w:val="single" w:sz="4" w:space="0" w:color="auto"/>
              <w:bottom w:val="single" w:sz="4" w:space="0" w:color="auto"/>
              <w:right w:val="single" w:sz="4" w:space="0" w:color="auto"/>
            </w:tcBorders>
            <w:vAlign w:val="center"/>
            <w:hideMark/>
          </w:tcPr>
          <w:p w14:paraId="015AC26A" w14:textId="77777777" w:rsidR="008476AA" w:rsidRPr="00B63CD0" w:rsidRDefault="008476AA" w:rsidP="003712B8">
            <w:pPr>
              <w:pStyle w:val="TableText0"/>
              <w:keepNext w:val="0"/>
              <w:keepLines w:val="0"/>
              <w:jc w:val="center"/>
            </w:pPr>
            <w:r w:rsidRPr="00B63CD0">
              <w:t>0.86</w:t>
            </w:r>
          </w:p>
        </w:tc>
        <w:tc>
          <w:tcPr>
            <w:tcW w:w="859" w:type="pct"/>
            <w:tcBorders>
              <w:top w:val="single" w:sz="4" w:space="0" w:color="auto"/>
              <w:left w:val="single" w:sz="4" w:space="0" w:color="auto"/>
              <w:bottom w:val="single" w:sz="4" w:space="0" w:color="auto"/>
              <w:right w:val="single" w:sz="4" w:space="0" w:color="auto"/>
            </w:tcBorders>
            <w:hideMark/>
          </w:tcPr>
          <w:p w14:paraId="03543B08" w14:textId="0C94DD19" w:rsidR="008476AA" w:rsidRPr="00B63CD0" w:rsidRDefault="008476AA" w:rsidP="003712B8">
            <w:pPr>
              <w:pStyle w:val="TableText0"/>
              <w:keepNext w:val="0"/>
              <w:keepLines w:val="0"/>
              <w:jc w:val="center"/>
            </w:pPr>
            <w:r w:rsidRPr="00B63CD0">
              <w:t>0.61</w:t>
            </w:r>
          </w:p>
        </w:tc>
      </w:tr>
      <w:tr w:rsidR="008476AA" w:rsidRPr="00B63CD0" w14:paraId="68CD30E9" w14:textId="77777777" w:rsidTr="003A5E69">
        <w:tc>
          <w:tcPr>
            <w:tcW w:w="933" w:type="pct"/>
            <w:tcBorders>
              <w:top w:val="single" w:sz="4" w:space="0" w:color="auto"/>
              <w:left w:val="single" w:sz="4" w:space="0" w:color="auto"/>
              <w:bottom w:val="single" w:sz="4" w:space="0" w:color="auto"/>
              <w:right w:val="single" w:sz="4" w:space="0" w:color="auto"/>
            </w:tcBorders>
            <w:vAlign w:val="center"/>
            <w:hideMark/>
          </w:tcPr>
          <w:p w14:paraId="52E49C5B" w14:textId="77777777" w:rsidR="008476AA" w:rsidRPr="00B63CD0" w:rsidRDefault="008476AA" w:rsidP="003712B8">
            <w:pPr>
              <w:pStyle w:val="TableText0"/>
              <w:keepNext w:val="0"/>
              <w:keepLines w:val="0"/>
              <w:rPr>
                <w:rFonts w:ascii="Times" w:hAnsi="Times"/>
              </w:rPr>
            </w:pPr>
            <w:r w:rsidRPr="00B63CD0">
              <w:t>QALYs</w:t>
            </w:r>
          </w:p>
        </w:tc>
        <w:tc>
          <w:tcPr>
            <w:tcW w:w="782" w:type="pct"/>
            <w:tcBorders>
              <w:top w:val="single" w:sz="4" w:space="0" w:color="auto"/>
              <w:left w:val="single" w:sz="4" w:space="0" w:color="auto"/>
              <w:bottom w:val="single" w:sz="4" w:space="0" w:color="auto"/>
              <w:right w:val="single" w:sz="4" w:space="0" w:color="auto"/>
            </w:tcBorders>
            <w:vAlign w:val="center"/>
            <w:hideMark/>
          </w:tcPr>
          <w:p w14:paraId="274F2441" w14:textId="77777777" w:rsidR="008476AA" w:rsidRPr="00B63CD0" w:rsidRDefault="008476AA" w:rsidP="003712B8">
            <w:pPr>
              <w:pStyle w:val="TableText0"/>
              <w:keepNext w:val="0"/>
              <w:keepLines w:val="0"/>
              <w:jc w:val="center"/>
              <w:rPr>
                <w:rFonts w:ascii="Times" w:hAnsi="Times"/>
              </w:rPr>
            </w:pPr>
            <w:r w:rsidRPr="00B63CD0">
              <w:t>5.21</w:t>
            </w:r>
          </w:p>
        </w:tc>
        <w:tc>
          <w:tcPr>
            <w:tcW w:w="782" w:type="pct"/>
            <w:tcBorders>
              <w:top w:val="single" w:sz="4" w:space="0" w:color="auto"/>
              <w:left w:val="single" w:sz="4" w:space="0" w:color="auto"/>
              <w:bottom w:val="single" w:sz="4" w:space="0" w:color="auto"/>
              <w:right w:val="single" w:sz="4" w:space="0" w:color="auto"/>
            </w:tcBorders>
            <w:vAlign w:val="center"/>
            <w:hideMark/>
          </w:tcPr>
          <w:p w14:paraId="222E993F" w14:textId="77777777" w:rsidR="008476AA" w:rsidRPr="00B63CD0" w:rsidRDefault="008476AA" w:rsidP="003712B8">
            <w:pPr>
              <w:pStyle w:val="TableText0"/>
              <w:keepNext w:val="0"/>
              <w:keepLines w:val="0"/>
              <w:jc w:val="center"/>
              <w:rPr>
                <w:rFonts w:ascii="Times" w:hAnsi="Times"/>
              </w:rPr>
            </w:pPr>
            <w:r w:rsidRPr="00B63CD0">
              <w:t>5.07</w:t>
            </w:r>
          </w:p>
        </w:tc>
        <w:tc>
          <w:tcPr>
            <w:tcW w:w="784" w:type="pct"/>
            <w:tcBorders>
              <w:top w:val="single" w:sz="4" w:space="0" w:color="auto"/>
              <w:left w:val="single" w:sz="4" w:space="0" w:color="auto"/>
              <w:bottom w:val="single" w:sz="4" w:space="0" w:color="auto"/>
              <w:right w:val="single" w:sz="4" w:space="0" w:color="auto"/>
            </w:tcBorders>
            <w:hideMark/>
          </w:tcPr>
          <w:p w14:paraId="70B9D23C" w14:textId="77777777" w:rsidR="008476AA" w:rsidRPr="00B63CD0" w:rsidRDefault="008476AA" w:rsidP="003712B8">
            <w:pPr>
              <w:pStyle w:val="TableText0"/>
              <w:keepNext w:val="0"/>
              <w:keepLines w:val="0"/>
              <w:jc w:val="center"/>
            </w:pPr>
            <w:r w:rsidRPr="00B63CD0">
              <w:t>4.84</w:t>
            </w:r>
          </w:p>
        </w:tc>
        <w:tc>
          <w:tcPr>
            <w:tcW w:w="860" w:type="pct"/>
            <w:tcBorders>
              <w:top w:val="single" w:sz="4" w:space="0" w:color="auto"/>
              <w:left w:val="single" w:sz="4" w:space="0" w:color="auto"/>
              <w:bottom w:val="single" w:sz="4" w:space="0" w:color="auto"/>
              <w:right w:val="single" w:sz="4" w:space="0" w:color="auto"/>
            </w:tcBorders>
            <w:vAlign w:val="center"/>
            <w:hideMark/>
          </w:tcPr>
          <w:p w14:paraId="23C34B86" w14:textId="77777777" w:rsidR="008476AA" w:rsidRPr="00B63CD0" w:rsidRDefault="008476AA" w:rsidP="003712B8">
            <w:pPr>
              <w:pStyle w:val="TableText0"/>
              <w:keepNext w:val="0"/>
              <w:keepLines w:val="0"/>
              <w:jc w:val="center"/>
            </w:pPr>
            <w:r w:rsidRPr="00B63CD0">
              <w:t>0.37</w:t>
            </w:r>
          </w:p>
        </w:tc>
        <w:tc>
          <w:tcPr>
            <w:tcW w:w="859" w:type="pct"/>
            <w:tcBorders>
              <w:top w:val="single" w:sz="4" w:space="0" w:color="auto"/>
              <w:left w:val="single" w:sz="4" w:space="0" w:color="auto"/>
              <w:bottom w:val="single" w:sz="4" w:space="0" w:color="auto"/>
              <w:right w:val="single" w:sz="4" w:space="0" w:color="auto"/>
            </w:tcBorders>
            <w:hideMark/>
          </w:tcPr>
          <w:p w14:paraId="0D43457B" w14:textId="3D46E760" w:rsidR="008476AA" w:rsidRPr="00B63CD0" w:rsidRDefault="008476AA" w:rsidP="003712B8">
            <w:pPr>
              <w:pStyle w:val="TableText0"/>
              <w:keepNext w:val="0"/>
              <w:keepLines w:val="0"/>
              <w:jc w:val="center"/>
            </w:pPr>
            <w:r w:rsidRPr="00B63CD0">
              <w:t>0.23</w:t>
            </w:r>
          </w:p>
        </w:tc>
      </w:tr>
      <w:tr w:rsidR="008476AA" w:rsidRPr="00B63CD0" w14:paraId="47C896C5" w14:textId="77777777" w:rsidTr="003A5E69">
        <w:tc>
          <w:tcPr>
            <w:tcW w:w="3281" w:type="pct"/>
            <w:gridSpan w:val="4"/>
            <w:tcBorders>
              <w:top w:val="single" w:sz="4" w:space="0" w:color="auto"/>
              <w:left w:val="single" w:sz="4" w:space="0" w:color="auto"/>
              <w:bottom w:val="single" w:sz="4" w:space="0" w:color="auto"/>
              <w:right w:val="single" w:sz="4" w:space="0" w:color="auto"/>
            </w:tcBorders>
            <w:vAlign w:val="center"/>
            <w:hideMark/>
          </w:tcPr>
          <w:p w14:paraId="22DA4173" w14:textId="77777777" w:rsidR="008476AA" w:rsidRPr="00B63CD0" w:rsidRDefault="008476AA" w:rsidP="003712B8">
            <w:pPr>
              <w:pStyle w:val="TableText0"/>
              <w:keepNext w:val="0"/>
              <w:keepLines w:val="0"/>
              <w:jc w:val="right"/>
              <w:rPr>
                <w:b/>
                <w:bCs w:val="0"/>
              </w:rPr>
            </w:pPr>
            <w:r w:rsidRPr="00B63CD0">
              <w:t>Incremental cost/extra m0HSPC QALY gained</w:t>
            </w:r>
          </w:p>
        </w:tc>
        <w:tc>
          <w:tcPr>
            <w:tcW w:w="860" w:type="pct"/>
            <w:tcBorders>
              <w:top w:val="single" w:sz="4" w:space="0" w:color="auto"/>
              <w:left w:val="single" w:sz="4" w:space="0" w:color="auto"/>
              <w:bottom w:val="single" w:sz="4" w:space="0" w:color="auto"/>
              <w:right w:val="single" w:sz="4" w:space="0" w:color="auto"/>
            </w:tcBorders>
            <w:vAlign w:val="center"/>
            <w:hideMark/>
          </w:tcPr>
          <w:p w14:paraId="2A0D9459" w14:textId="06BB225E" w:rsidR="008476AA" w:rsidRPr="00C40759" w:rsidRDefault="00E639BD" w:rsidP="003712B8">
            <w:pPr>
              <w:pStyle w:val="TableText0"/>
              <w:keepNext w:val="0"/>
              <w:keepLines w:val="0"/>
              <w:jc w:val="center"/>
              <w:rPr>
                <w:rFonts w:ascii="Times" w:hAnsi="Times"/>
                <w:highlight w:val="darkGray"/>
              </w:rPr>
            </w:pPr>
            <w:r w:rsidRPr="00E639BD">
              <w:rPr>
                <w:color w:val="000000"/>
                <w:shd w:val="solid" w:color="000000" w:fill="000000"/>
                <w14:textFill>
                  <w14:solidFill>
                    <w14:srgbClr w14:val="000000">
                      <w14:alpha w14:val="100000"/>
                    </w14:srgbClr>
                  </w14:solidFill>
                </w14:textFill>
              </w:rPr>
              <w:t>|</w:t>
            </w:r>
            <w:r w:rsidR="00FC62FB" w:rsidRPr="005F3447">
              <w:rPr>
                <w:vertAlign w:val="superscript"/>
              </w:rPr>
              <w:t>1</w:t>
            </w:r>
          </w:p>
        </w:tc>
        <w:tc>
          <w:tcPr>
            <w:tcW w:w="859" w:type="pct"/>
            <w:tcBorders>
              <w:top w:val="single" w:sz="4" w:space="0" w:color="auto"/>
              <w:left w:val="single" w:sz="4" w:space="0" w:color="auto"/>
              <w:bottom w:val="single" w:sz="4" w:space="0" w:color="auto"/>
              <w:right w:val="single" w:sz="4" w:space="0" w:color="auto"/>
            </w:tcBorders>
            <w:hideMark/>
          </w:tcPr>
          <w:p w14:paraId="4A37551A" w14:textId="3B0E9BD0" w:rsidR="008476AA" w:rsidRPr="00C40759" w:rsidRDefault="00E639BD" w:rsidP="003712B8">
            <w:pPr>
              <w:pStyle w:val="TableText0"/>
              <w:keepNext w:val="0"/>
              <w:keepLines w:val="0"/>
              <w:jc w:val="center"/>
              <w:rPr>
                <w:b/>
                <w:bCs w:val="0"/>
                <w:highlight w:val="darkGray"/>
              </w:rPr>
            </w:pPr>
            <w:r w:rsidRPr="00E639BD">
              <w:rPr>
                <w:color w:val="000000"/>
                <w:shd w:val="solid" w:color="000000" w:fill="000000"/>
                <w14:textFill>
                  <w14:solidFill>
                    <w14:srgbClr w14:val="000000">
                      <w14:alpha w14:val="100000"/>
                    </w14:srgbClr>
                  </w14:solidFill>
                </w14:textFill>
              </w:rPr>
              <w:t>|</w:t>
            </w:r>
            <w:r w:rsidR="00D71352" w:rsidRPr="00A57484">
              <w:rPr>
                <w:vertAlign w:val="superscript"/>
              </w:rPr>
              <w:t>2</w:t>
            </w:r>
          </w:p>
        </w:tc>
      </w:tr>
      <w:tr w:rsidR="008476AA" w:rsidRPr="00B63CD0" w14:paraId="143D9741" w14:textId="77777777" w:rsidTr="003A5E69">
        <w:tc>
          <w:tcPr>
            <w:tcW w:w="3281" w:type="pct"/>
            <w:gridSpan w:val="4"/>
            <w:tcBorders>
              <w:top w:val="single" w:sz="4" w:space="0" w:color="auto"/>
              <w:left w:val="single" w:sz="4" w:space="0" w:color="auto"/>
              <w:bottom w:val="single" w:sz="4" w:space="0" w:color="auto"/>
              <w:right w:val="single" w:sz="4" w:space="0" w:color="auto"/>
            </w:tcBorders>
            <w:vAlign w:val="center"/>
            <w:hideMark/>
          </w:tcPr>
          <w:p w14:paraId="754CD29D" w14:textId="77777777" w:rsidR="008476AA" w:rsidRPr="00B63CD0" w:rsidRDefault="008476AA" w:rsidP="003712B8">
            <w:pPr>
              <w:pStyle w:val="TableText0"/>
              <w:keepNext w:val="0"/>
              <w:keepLines w:val="0"/>
              <w:jc w:val="right"/>
              <w:rPr>
                <w:b/>
                <w:bCs w:val="0"/>
              </w:rPr>
            </w:pPr>
            <w:r w:rsidRPr="00B63CD0">
              <w:t>Incremental cost/extra QALY gained</w:t>
            </w:r>
          </w:p>
        </w:tc>
        <w:tc>
          <w:tcPr>
            <w:tcW w:w="860" w:type="pct"/>
            <w:tcBorders>
              <w:top w:val="single" w:sz="4" w:space="0" w:color="auto"/>
              <w:left w:val="single" w:sz="4" w:space="0" w:color="auto"/>
              <w:bottom w:val="single" w:sz="4" w:space="0" w:color="auto"/>
              <w:right w:val="single" w:sz="4" w:space="0" w:color="auto"/>
            </w:tcBorders>
            <w:vAlign w:val="center"/>
            <w:hideMark/>
          </w:tcPr>
          <w:p w14:paraId="1F38C314" w14:textId="5F203115" w:rsidR="008476AA" w:rsidRPr="00C40759" w:rsidRDefault="00E639BD" w:rsidP="003712B8">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8963BA" w:rsidRPr="00D71352">
              <w:rPr>
                <w:vertAlign w:val="superscript"/>
              </w:rPr>
              <w:t>3</w:t>
            </w:r>
          </w:p>
        </w:tc>
        <w:tc>
          <w:tcPr>
            <w:tcW w:w="859" w:type="pct"/>
            <w:tcBorders>
              <w:top w:val="single" w:sz="4" w:space="0" w:color="auto"/>
              <w:left w:val="single" w:sz="4" w:space="0" w:color="auto"/>
              <w:bottom w:val="single" w:sz="4" w:space="0" w:color="auto"/>
              <w:right w:val="single" w:sz="4" w:space="0" w:color="auto"/>
            </w:tcBorders>
            <w:hideMark/>
          </w:tcPr>
          <w:p w14:paraId="2F77712D" w14:textId="4C5EC7D4" w:rsidR="008476AA" w:rsidRPr="00C40759" w:rsidRDefault="00E639BD" w:rsidP="003712B8">
            <w:pPr>
              <w:pStyle w:val="TableText0"/>
              <w:keepNext w:val="0"/>
              <w:keepLines w:val="0"/>
              <w:jc w:val="center"/>
              <w:rPr>
                <w:b/>
                <w:bCs w:val="0"/>
                <w:highlight w:val="darkGray"/>
              </w:rPr>
            </w:pPr>
            <w:r w:rsidRPr="00E639BD">
              <w:rPr>
                <w:color w:val="000000"/>
                <w:shd w:val="solid" w:color="000000" w:fill="000000"/>
                <w14:textFill>
                  <w14:solidFill>
                    <w14:srgbClr w14:val="000000">
                      <w14:alpha w14:val="100000"/>
                    </w14:srgbClr>
                  </w14:solidFill>
                </w14:textFill>
              </w:rPr>
              <w:t>|</w:t>
            </w:r>
            <w:r w:rsidR="005F1A3F" w:rsidRPr="008963BA">
              <w:rPr>
                <w:vertAlign w:val="superscript"/>
              </w:rPr>
              <w:t>4</w:t>
            </w:r>
          </w:p>
        </w:tc>
      </w:tr>
      <w:tr w:rsidR="00ED509D" w:rsidRPr="00B63CD0" w14:paraId="4CD6BFE6" w14:textId="77777777" w:rsidTr="003A5E69">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9E04C2B" w14:textId="77777777" w:rsidR="00ED509D" w:rsidRPr="00B63CD0" w:rsidRDefault="00ED509D" w:rsidP="003712B8">
            <w:pPr>
              <w:pStyle w:val="TableText0"/>
              <w:keepNext w:val="0"/>
              <w:keepLines w:val="0"/>
              <w:rPr>
                <w:b/>
                <w:bCs w:val="0"/>
              </w:rPr>
            </w:pPr>
            <w:r w:rsidRPr="00B63CD0">
              <w:rPr>
                <w:b/>
                <w:bCs w:val="0"/>
              </w:rPr>
              <w:t>Step 4: Modelled economic evaluation: time horizon 30 years, KM data and parametric functions utilised in transition prob abilities, adverse event disutilities, all costs (i.e., addition of terminal care cost), 5% annual discounting of costs and benefits. (submitted base case)</w:t>
            </w:r>
          </w:p>
        </w:tc>
      </w:tr>
      <w:tr w:rsidR="004F06E9" w:rsidRPr="00B63CD0" w14:paraId="16E9F062" w14:textId="77777777" w:rsidTr="003A5E69">
        <w:tc>
          <w:tcPr>
            <w:tcW w:w="933" w:type="pct"/>
            <w:tcBorders>
              <w:top w:val="single" w:sz="4" w:space="0" w:color="auto"/>
              <w:left w:val="single" w:sz="4" w:space="0" w:color="auto"/>
              <w:bottom w:val="single" w:sz="4" w:space="0" w:color="auto"/>
              <w:right w:val="single" w:sz="4" w:space="0" w:color="auto"/>
            </w:tcBorders>
            <w:vAlign w:val="center"/>
            <w:hideMark/>
          </w:tcPr>
          <w:p w14:paraId="658CAFD2" w14:textId="0C1CD367" w:rsidR="00AE546C" w:rsidRPr="00B63CD0" w:rsidRDefault="00AE546C" w:rsidP="00AE546C">
            <w:pPr>
              <w:pStyle w:val="TableText0"/>
              <w:keepNext w:val="0"/>
              <w:keepLines w:val="0"/>
              <w:rPr>
                <w:rFonts w:ascii="Times" w:hAnsi="Times"/>
              </w:rPr>
            </w:pPr>
            <w:r w:rsidRPr="00B63CD0">
              <w:t>Costs</w:t>
            </w:r>
            <w:r>
              <w:t xml:space="preserve"> ($)</w:t>
            </w:r>
          </w:p>
        </w:tc>
        <w:tc>
          <w:tcPr>
            <w:tcW w:w="782" w:type="pct"/>
            <w:tcBorders>
              <w:top w:val="single" w:sz="4" w:space="0" w:color="auto"/>
              <w:left w:val="single" w:sz="4" w:space="0" w:color="auto"/>
              <w:bottom w:val="single" w:sz="4" w:space="0" w:color="auto"/>
              <w:right w:val="single" w:sz="4" w:space="0" w:color="auto"/>
            </w:tcBorders>
            <w:shd w:val="clear" w:color="auto" w:fill="auto"/>
            <w:hideMark/>
          </w:tcPr>
          <w:p w14:paraId="61420040" w14:textId="16E77A85" w:rsidR="00AE546C" w:rsidRPr="006451D5" w:rsidRDefault="00AE546C" w:rsidP="00AE546C">
            <w:pPr>
              <w:pStyle w:val="TableText0"/>
              <w:keepNext w:val="0"/>
              <w:keepLines w:val="0"/>
              <w:jc w:val="center"/>
              <w:rPr>
                <w:rFonts w:ascii="Times" w:hAnsi="Times"/>
                <w:highlight w:val="darkGray"/>
              </w:rPr>
            </w:pPr>
            <w:r w:rsidRPr="00B75665">
              <w:rPr>
                <w:color w:val="000000"/>
                <w:shd w:val="solid" w:color="000000" w:fill="000000"/>
                <w14:textFill>
                  <w14:solidFill>
                    <w14:srgbClr w14:val="000000">
                      <w14:alpha w14:val="100000"/>
                    </w14:srgbClr>
                  </w14:solidFill>
                </w14:textFill>
              </w:rPr>
              <w:t>|</w:t>
            </w:r>
          </w:p>
        </w:tc>
        <w:tc>
          <w:tcPr>
            <w:tcW w:w="782" w:type="pct"/>
            <w:tcBorders>
              <w:top w:val="single" w:sz="4" w:space="0" w:color="auto"/>
              <w:left w:val="single" w:sz="4" w:space="0" w:color="auto"/>
              <w:bottom w:val="single" w:sz="4" w:space="0" w:color="auto"/>
              <w:right w:val="single" w:sz="4" w:space="0" w:color="auto"/>
            </w:tcBorders>
            <w:shd w:val="clear" w:color="auto" w:fill="auto"/>
            <w:hideMark/>
          </w:tcPr>
          <w:p w14:paraId="3C1085D8" w14:textId="38DE54D4" w:rsidR="00AE546C" w:rsidRPr="006451D5" w:rsidRDefault="00AE546C" w:rsidP="00AE546C">
            <w:pPr>
              <w:pStyle w:val="TableText0"/>
              <w:keepNext w:val="0"/>
              <w:keepLines w:val="0"/>
              <w:jc w:val="center"/>
              <w:rPr>
                <w:rFonts w:ascii="Times" w:hAnsi="Times"/>
                <w:highlight w:val="darkGray"/>
              </w:rPr>
            </w:pPr>
            <w:r w:rsidRPr="00B75665">
              <w:rPr>
                <w:color w:val="000000"/>
                <w:shd w:val="solid" w:color="000000" w:fill="000000"/>
                <w14:textFill>
                  <w14:solidFill>
                    <w14:srgbClr w14:val="000000">
                      <w14:alpha w14:val="100000"/>
                    </w14:srgbClr>
                  </w14:solidFill>
                </w14:textFill>
              </w:rPr>
              <w:t>|</w:t>
            </w:r>
          </w:p>
        </w:tc>
        <w:tc>
          <w:tcPr>
            <w:tcW w:w="784" w:type="pct"/>
            <w:tcBorders>
              <w:top w:val="single" w:sz="4" w:space="0" w:color="auto"/>
              <w:left w:val="single" w:sz="4" w:space="0" w:color="auto"/>
              <w:bottom w:val="single" w:sz="4" w:space="0" w:color="auto"/>
              <w:right w:val="single" w:sz="4" w:space="0" w:color="auto"/>
            </w:tcBorders>
            <w:shd w:val="clear" w:color="auto" w:fill="auto"/>
            <w:hideMark/>
          </w:tcPr>
          <w:p w14:paraId="60EB8D34" w14:textId="0D4BE130" w:rsidR="00AE546C" w:rsidRPr="006451D5" w:rsidRDefault="00AE546C" w:rsidP="00AE546C">
            <w:pPr>
              <w:pStyle w:val="TableText0"/>
              <w:keepNext w:val="0"/>
              <w:keepLines w:val="0"/>
              <w:jc w:val="center"/>
              <w:rPr>
                <w:highlight w:val="darkGray"/>
              </w:rPr>
            </w:pPr>
            <w:r w:rsidRPr="00B75665">
              <w:rPr>
                <w:color w:val="000000"/>
                <w:shd w:val="solid" w:color="000000" w:fill="000000"/>
                <w14:textFill>
                  <w14:solidFill>
                    <w14:srgbClr w14:val="000000">
                      <w14:alpha w14:val="100000"/>
                    </w14:srgbClr>
                  </w14:solidFill>
                </w14:textFill>
              </w:rPr>
              <w:t>|</w:t>
            </w:r>
          </w:p>
        </w:tc>
        <w:tc>
          <w:tcPr>
            <w:tcW w:w="860" w:type="pct"/>
            <w:tcBorders>
              <w:top w:val="single" w:sz="4" w:space="0" w:color="auto"/>
              <w:left w:val="single" w:sz="4" w:space="0" w:color="auto"/>
              <w:bottom w:val="single" w:sz="4" w:space="0" w:color="auto"/>
              <w:right w:val="single" w:sz="4" w:space="0" w:color="auto"/>
            </w:tcBorders>
            <w:shd w:val="clear" w:color="auto" w:fill="auto"/>
            <w:hideMark/>
          </w:tcPr>
          <w:p w14:paraId="4794E6A5" w14:textId="3917E982" w:rsidR="00AE546C" w:rsidRPr="006451D5" w:rsidRDefault="00AE546C" w:rsidP="00AE546C">
            <w:pPr>
              <w:pStyle w:val="TableText0"/>
              <w:keepNext w:val="0"/>
              <w:keepLines w:val="0"/>
              <w:jc w:val="center"/>
              <w:rPr>
                <w:rFonts w:ascii="Times" w:hAnsi="Times"/>
                <w:highlight w:val="darkGray"/>
              </w:rPr>
            </w:pPr>
            <w:r w:rsidRPr="00B75665">
              <w:rPr>
                <w:color w:val="000000"/>
                <w:shd w:val="solid" w:color="000000" w:fill="000000"/>
                <w14:textFill>
                  <w14:solidFill>
                    <w14:srgbClr w14:val="000000">
                      <w14:alpha w14:val="100000"/>
                    </w14:srgbClr>
                  </w14:solidFill>
                </w14:textFill>
              </w:rPr>
              <w:t>|</w:t>
            </w:r>
          </w:p>
        </w:tc>
        <w:tc>
          <w:tcPr>
            <w:tcW w:w="859" w:type="pct"/>
            <w:tcBorders>
              <w:top w:val="single" w:sz="4" w:space="0" w:color="auto"/>
              <w:left w:val="single" w:sz="4" w:space="0" w:color="auto"/>
              <w:bottom w:val="single" w:sz="4" w:space="0" w:color="auto"/>
              <w:right w:val="single" w:sz="4" w:space="0" w:color="auto"/>
            </w:tcBorders>
            <w:shd w:val="clear" w:color="auto" w:fill="auto"/>
            <w:hideMark/>
          </w:tcPr>
          <w:p w14:paraId="49A9ECB0" w14:textId="151765C3" w:rsidR="00AE546C" w:rsidRPr="006451D5" w:rsidRDefault="00AE546C" w:rsidP="00AE546C">
            <w:pPr>
              <w:pStyle w:val="TableText0"/>
              <w:keepNext w:val="0"/>
              <w:keepLines w:val="0"/>
              <w:jc w:val="center"/>
              <w:rPr>
                <w:highlight w:val="darkGray"/>
              </w:rPr>
            </w:pPr>
            <w:r w:rsidRPr="00B75665">
              <w:rPr>
                <w:color w:val="000000"/>
                <w:shd w:val="solid" w:color="000000" w:fill="000000"/>
                <w14:textFill>
                  <w14:solidFill>
                    <w14:srgbClr w14:val="000000">
                      <w14:alpha w14:val="100000"/>
                    </w14:srgbClr>
                  </w14:solidFill>
                </w14:textFill>
              </w:rPr>
              <w:t>|</w:t>
            </w:r>
          </w:p>
        </w:tc>
      </w:tr>
      <w:tr w:rsidR="008476AA" w:rsidRPr="00B63CD0" w14:paraId="6F9C9D21" w14:textId="77777777" w:rsidTr="003A5E69">
        <w:tc>
          <w:tcPr>
            <w:tcW w:w="933" w:type="pct"/>
            <w:tcBorders>
              <w:top w:val="single" w:sz="4" w:space="0" w:color="auto"/>
              <w:left w:val="single" w:sz="4" w:space="0" w:color="auto"/>
              <w:bottom w:val="single" w:sz="4" w:space="0" w:color="auto"/>
              <w:right w:val="single" w:sz="4" w:space="0" w:color="auto"/>
            </w:tcBorders>
            <w:vAlign w:val="center"/>
            <w:hideMark/>
          </w:tcPr>
          <w:p w14:paraId="27B7AE47" w14:textId="77777777" w:rsidR="008476AA" w:rsidRPr="00B63CD0" w:rsidRDefault="008476AA" w:rsidP="003712B8">
            <w:pPr>
              <w:pStyle w:val="TableText0"/>
              <w:keepNext w:val="0"/>
              <w:keepLines w:val="0"/>
            </w:pPr>
            <w:r w:rsidRPr="00B63CD0">
              <w:t>LYs</w:t>
            </w:r>
          </w:p>
        </w:tc>
        <w:tc>
          <w:tcPr>
            <w:tcW w:w="782" w:type="pct"/>
            <w:tcBorders>
              <w:top w:val="single" w:sz="4" w:space="0" w:color="auto"/>
              <w:left w:val="single" w:sz="4" w:space="0" w:color="auto"/>
              <w:bottom w:val="single" w:sz="4" w:space="0" w:color="auto"/>
              <w:right w:val="single" w:sz="4" w:space="0" w:color="auto"/>
            </w:tcBorders>
            <w:vAlign w:val="center"/>
            <w:hideMark/>
          </w:tcPr>
          <w:p w14:paraId="4CA5A8FE" w14:textId="77777777" w:rsidR="008476AA" w:rsidRPr="00B63CD0" w:rsidRDefault="008476AA" w:rsidP="003712B8">
            <w:pPr>
              <w:pStyle w:val="TableText0"/>
              <w:keepNext w:val="0"/>
              <w:keepLines w:val="0"/>
              <w:jc w:val="center"/>
            </w:pPr>
            <w:r w:rsidRPr="00B63CD0">
              <w:t>9.52</w:t>
            </w:r>
          </w:p>
        </w:tc>
        <w:tc>
          <w:tcPr>
            <w:tcW w:w="782" w:type="pct"/>
            <w:tcBorders>
              <w:top w:val="single" w:sz="4" w:space="0" w:color="auto"/>
              <w:left w:val="single" w:sz="4" w:space="0" w:color="auto"/>
              <w:bottom w:val="single" w:sz="4" w:space="0" w:color="auto"/>
              <w:right w:val="single" w:sz="4" w:space="0" w:color="auto"/>
            </w:tcBorders>
            <w:vAlign w:val="center"/>
            <w:hideMark/>
          </w:tcPr>
          <w:p w14:paraId="0A50F1E4" w14:textId="77777777" w:rsidR="008476AA" w:rsidRPr="00B63CD0" w:rsidRDefault="008476AA" w:rsidP="003712B8">
            <w:pPr>
              <w:pStyle w:val="TableText0"/>
              <w:keepNext w:val="0"/>
              <w:keepLines w:val="0"/>
              <w:jc w:val="center"/>
            </w:pPr>
            <w:r w:rsidRPr="00B63CD0">
              <w:t>8.72</w:t>
            </w:r>
          </w:p>
        </w:tc>
        <w:tc>
          <w:tcPr>
            <w:tcW w:w="784" w:type="pct"/>
            <w:tcBorders>
              <w:top w:val="single" w:sz="4" w:space="0" w:color="auto"/>
              <w:left w:val="single" w:sz="4" w:space="0" w:color="auto"/>
              <w:bottom w:val="single" w:sz="4" w:space="0" w:color="auto"/>
              <w:right w:val="single" w:sz="4" w:space="0" w:color="auto"/>
            </w:tcBorders>
            <w:hideMark/>
          </w:tcPr>
          <w:p w14:paraId="5E5C7498" w14:textId="77777777" w:rsidR="008476AA" w:rsidRPr="00B63CD0" w:rsidRDefault="008476AA" w:rsidP="003712B8">
            <w:pPr>
              <w:pStyle w:val="TableText0"/>
              <w:keepNext w:val="0"/>
              <w:keepLines w:val="0"/>
              <w:jc w:val="center"/>
            </w:pPr>
            <w:r w:rsidRPr="00B63CD0">
              <w:t>7.49</w:t>
            </w:r>
          </w:p>
        </w:tc>
        <w:tc>
          <w:tcPr>
            <w:tcW w:w="860" w:type="pct"/>
            <w:tcBorders>
              <w:top w:val="single" w:sz="4" w:space="0" w:color="auto"/>
              <w:left w:val="single" w:sz="4" w:space="0" w:color="auto"/>
              <w:bottom w:val="single" w:sz="4" w:space="0" w:color="auto"/>
              <w:right w:val="single" w:sz="4" w:space="0" w:color="auto"/>
            </w:tcBorders>
            <w:vAlign w:val="center"/>
            <w:hideMark/>
          </w:tcPr>
          <w:p w14:paraId="1BF1D0F9" w14:textId="77777777" w:rsidR="008476AA" w:rsidRPr="00B63CD0" w:rsidRDefault="008476AA" w:rsidP="003712B8">
            <w:pPr>
              <w:pStyle w:val="TableText0"/>
              <w:keepNext w:val="0"/>
              <w:keepLines w:val="0"/>
              <w:jc w:val="center"/>
            </w:pPr>
            <w:r w:rsidRPr="00B63CD0">
              <w:t>2.03</w:t>
            </w:r>
          </w:p>
        </w:tc>
        <w:tc>
          <w:tcPr>
            <w:tcW w:w="859" w:type="pct"/>
            <w:tcBorders>
              <w:top w:val="single" w:sz="4" w:space="0" w:color="auto"/>
              <w:left w:val="single" w:sz="4" w:space="0" w:color="auto"/>
              <w:bottom w:val="single" w:sz="4" w:space="0" w:color="auto"/>
              <w:right w:val="single" w:sz="4" w:space="0" w:color="auto"/>
            </w:tcBorders>
            <w:hideMark/>
          </w:tcPr>
          <w:p w14:paraId="14111D45" w14:textId="43CBB474" w:rsidR="008476AA" w:rsidRPr="00B63CD0" w:rsidRDefault="008476AA" w:rsidP="003712B8">
            <w:pPr>
              <w:pStyle w:val="TableText0"/>
              <w:keepNext w:val="0"/>
              <w:keepLines w:val="0"/>
              <w:jc w:val="center"/>
            </w:pPr>
            <w:r w:rsidRPr="00B63CD0">
              <w:t>1.22</w:t>
            </w:r>
          </w:p>
        </w:tc>
      </w:tr>
      <w:tr w:rsidR="008476AA" w:rsidRPr="00B63CD0" w14:paraId="0E34CBE3" w14:textId="77777777" w:rsidTr="003A5E69">
        <w:tc>
          <w:tcPr>
            <w:tcW w:w="933" w:type="pct"/>
            <w:tcBorders>
              <w:top w:val="single" w:sz="4" w:space="0" w:color="auto"/>
              <w:left w:val="single" w:sz="4" w:space="0" w:color="auto"/>
              <w:bottom w:val="single" w:sz="4" w:space="0" w:color="auto"/>
              <w:right w:val="single" w:sz="4" w:space="0" w:color="auto"/>
            </w:tcBorders>
            <w:vAlign w:val="center"/>
            <w:hideMark/>
          </w:tcPr>
          <w:p w14:paraId="6644FC9D" w14:textId="77777777" w:rsidR="008476AA" w:rsidRPr="00B63CD0" w:rsidRDefault="008476AA" w:rsidP="003712B8">
            <w:pPr>
              <w:pStyle w:val="TableText0"/>
              <w:keepNext w:val="0"/>
              <w:keepLines w:val="0"/>
              <w:rPr>
                <w:rFonts w:ascii="Times" w:hAnsi="Times"/>
              </w:rPr>
            </w:pPr>
            <w:r w:rsidRPr="00B63CD0">
              <w:t>QALYs</w:t>
            </w:r>
          </w:p>
        </w:tc>
        <w:tc>
          <w:tcPr>
            <w:tcW w:w="782" w:type="pct"/>
            <w:tcBorders>
              <w:top w:val="single" w:sz="4" w:space="0" w:color="auto"/>
              <w:left w:val="single" w:sz="4" w:space="0" w:color="auto"/>
              <w:bottom w:val="single" w:sz="4" w:space="0" w:color="auto"/>
              <w:right w:val="single" w:sz="4" w:space="0" w:color="auto"/>
            </w:tcBorders>
            <w:vAlign w:val="center"/>
            <w:hideMark/>
          </w:tcPr>
          <w:p w14:paraId="7F9BF629" w14:textId="77777777" w:rsidR="008476AA" w:rsidRPr="00B63CD0" w:rsidRDefault="008476AA" w:rsidP="003712B8">
            <w:pPr>
              <w:pStyle w:val="TableText0"/>
              <w:keepNext w:val="0"/>
              <w:keepLines w:val="0"/>
              <w:jc w:val="center"/>
              <w:rPr>
                <w:rFonts w:ascii="Times" w:hAnsi="Times"/>
              </w:rPr>
            </w:pPr>
            <w:r w:rsidRPr="00B63CD0">
              <w:t>8.01</w:t>
            </w:r>
          </w:p>
        </w:tc>
        <w:tc>
          <w:tcPr>
            <w:tcW w:w="782" w:type="pct"/>
            <w:tcBorders>
              <w:top w:val="single" w:sz="4" w:space="0" w:color="auto"/>
              <w:left w:val="single" w:sz="4" w:space="0" w:color="auto"/>
              <w:bottom w:val="single" w:sz="4" w:space="0" w:color="auto"/>
              <w:right w:val="single" w:sz="4" w:space="0" w:color="auto"/>
            </w:tcBorders>
            <w:vAlign w:val="center"/>
            <w:hideMark/>
          </w:tcPr>
          <w:p w14:paraId="1D3F8F03" w14:textId="77777777" w:rsidR="008476AA" w:rsidRPr="00B63CD0" w:rsidRDefault="008476AA" w:rsidP="003712B8">
            <w:pPr>
              <w:pStyle w:val="TableText0"/>
              <w:keepNext w:val="0"/>
              <w:keepLines w:val="0"/>
              <w:jc w:val="center"/>
              <w:rPr>
                <w:rFonts w:ascii="Times" w:hAnsi="Times"/>
              </w:rPr>
            </w:pPr>
            <w:r w:rsidRPr="00B63CD0">
              <w:t>7.15</w:t>
            </w:r>
          </w:p>
        </w:tc>
        <w:tc>
          <w:tcPr>
            <w:tcW w:w="784" w:type="pct"/>
            <w:tcBorders>
              <w:top w:val="single" w:sz="4" w:space="0" w:color="auto"/>
              <w:left w:val="single" w:sz="4" w:space="0" w:color="auto"/>
              <w:bottom w:val="single" w:sz="4" w:space="0" w:color="auto"/>
              <w:right w:val="single" w:sz="4" w:space="0" w:color="auto"/>
            </w:tcBorders>
            <w:hideMark/>
          </w:tcPr>
          <w:p w14:paraId="2A5E3358" w14:textId="77777777" w:rsidR="008476AA" w:rsidRPr="00B63CD0" w:rsidRDefault="008476AA" w:rsidP="003712B8">
            <w:pPr>
              <w:pStyle w:val="TableText0"/>
              <w:keepNext w:val="0"/>
              <w:keepLines w:val="0"/>
              <w:jc w:val="center"/>
            </w:pPr>
            <w:r w:rsidRPr="00B63CD0">
              <w:t>5.76</w:t>
            </w:r>
          </w:p>
        </w:tc>
        <w:tc>
          <w:tcPr>
            <w:tcW w:w="860" w:type="pct"/>
            <w:tcBorders>
              <w:top w:val="single" w:sz="4" w:space="0" w:color="auto"/>
              <w:left w:val="single" w:sz="4" w:space="0" w:color="auto"/>
              <w:bottom w:val="single" w:sz="4" w:space="0" w:color="auto"/>
              <w:right w:val="single" w:sz="4" w:space="0" w:color="auto"/>
            </w:tcBorders>
            <w:vAlign w:val="center"/>
            <w:hideMark/>
          </w:tcPr>
          <w:p w14:paraId="7AE474DB" w14:textId="77777777" w:rsidR="008476AA" w:rsidRPr="00B63CD0" w:rsidRDefault="008476AA" w:rsidP="003712B8">
            <w:pPr>
              <w:pStyle w:val="TableText0"/>
              <w:keepNext w:val="0"/>
              <w:keepLines w:val="0"/>
              <w:jc w:val="center"/>
            </w:pPr>
            <w:r w:rsidRPr="00B63CD0">
              <w:t>2.26</w:t>
            </w:r>
          </w:p>
        </w:tc>
        <w:tc>
          <w:tcPr>
            <w:tcW w:w="859" w:type="pct"/>
            <w:tcBorders>
              <w:top w:val="single" w:sz="4" w:space="0" w:color="auto"/>
              <w:left w:val="single" w:sz="4" w:space="0" w:color="auto"/>
              <w:bottom w:val="single" w:sz="4" w:space="0" w:color="auto"/>
              <w:right w:val="single" w:sz="4" w:space="0" w:color="auto"/>
            </w:tcBorders>
            <w:hideMark/>
          </w:tcPr>
          <w:p w14:paraId="7B0BC941" w14:textId="69B58375" w:rsidR="008476AA" w:rsidRPr="00B63CD0" w:rsidRDefault="008476AA" w:rsidP="003712B8">
            <w:pPr>
              <w:pStyle w:val="TableText0"/>
              <w:keepNext w:val="0"/>
              <w:keepLines w:val="0"/>
              <w:jc w:val="center"/>
            </w:pPr>
            <w:r w:rsidRPr="00B63CD0">
              <w:t>1.40</w:t>
            </w:r>
          </w:p>
        </w:tc>
      </w:tr>
      <w:tr w:rsidR="008476AA" w:rsidRPr="00B63CD0" w14:paraId="76AC4C0A" w14:textId="77777777" w:rsidTr="003A5E69">
        <w:tc>
          <w:tcPr>
            <w:tcW w:w="3281" w:type="pct"/>
            <w:gridSpan w:val="4"/>
            <w:tcBorders>
              <w:top w:val="single" w:sz="4" w:space="0" w:color="auto"/>
              <w:left w:val="single" w:sz="4" w:space="0" w:color="auto"/>
              <w:bottom w:val="single" w:sz="4" w:space="0" w:color="auto"/>
              <w:right w:val="single" w:sz="4" w:space="0" w:color="auto"/>
            </w:tcBorders>
            <w:vAlign w:val="center"/>
            <w:hideMark/>
          </w:tcPr>
          <w:p w14:paraId="1A7E6DF4" w14:textId="77777777" w:rsidR="008476AA" w:rsidRPr="00B63CD0" w:rsidRDefault="008476AA" w:rsidP="003712B8">
            <w:pPr>
              <w:pStyle w:val="TableText0"/>
              <w:keepNext w:val="0"/>
              <w:keepLines w:val="0"/>
              <w:jc w:val="right"/>
              <w:rPr>
                <w:b/>
                <w:bCs w:val="0"/>
              </w:rPr>
            </w:pPr>
            <w:r w:rsidRPr="00B63CD0">
              <w:rPr>
                <w:b/>
                <w:bCs w:val="0"/>
              </w:rPr>
              <w:t>Incremental cost/extra LY gained</w:t>
            </w:r>
          </w:p>
        </w:tc>
        <w:tc>
          <w:tcPr>
            <w:tcW w:w="860" w:type="pct"/>
            <w:tcBorders>
              <w:top w:val="single" w:sz="4" w:space="0" w:color="auto"/>
              <w:left w:val="single" w:sz="4" w:space="0" w:color="auto"/>
              <w:bottom w:val="single" w:sz="4" w:space="0" w:color="auto"/>
              <w:right w:val="single" w:sz="4" w:space="0" w:color="auto"/>
            </w:tcBorders>
            <w:vAlign w:val="center"/>
            <w:hideMark/>
          </w:tcPr>
          <w:p w14:paraId="7F4CDCBD" w14:textId="7C1C3CEF" w:rsidR="008476AA" w:rsidRPr="006451D5" w:rsidRDefault="00E639BD" w:rsidP="003712B8">
            <w:pPr>
              <w:pStyle w:val="TableText0"/>
              <w:keepNext w:val="0"/>
              <w:keepLines w:val="0"/>
              <w:jc w:val="center"/>
              <w:rPr>
                <w:rFonts w:ascii="Times" w:hAnsi="Times"/>
                <w:b/>
                <w:bCs w:val="0"/>
                <w:highlight w:val="darkGray"/>
              </w:rPr>
            </w:pPr>
            <w:r w:rsidRPr="00E639BD">
              <w:rPr>
                <w:b/>
                <w:bCs w:val="0"/>
                <w:color w:val="000000"/>
                <w:shd w:val="solid" w:color="000000" w:fill="000000"/>
                <w14:textFill>
                  <w14:solidFill>
                    <w14:srgbClr w14:val="000000">
                      <w14:alpha w14:val="100000"/>
                    </w14:srgbClr>
                  </w14:solidFill>
                </w14:textFill>
              </w:rPr>
              <w:t>|</w:t>
            </w:r>
            <w:r w:rsidR="00C65B75" w:rsidRPr="00C65B75">
              <w:rPr>
                <w:b/>
                <w:bCs w:val="0"/>
                <w:vertAlign w:val="superscript"/>
              </w:rPr>
              <w:t>5</w:t>
            </w:r>
          </w:p>
        </w:tc>
        <w:tc>
          <w:tcPr>
            <w:tcW w:w="859" w:type="pct"/>
            <w:tcBorders>
              <w:top w:val="single" w:sz="4" w:space="0" w:color="auto"/>
              <w:left w:val="single" w:sz="4" w:space="0" w:color="auto"/>
              <w:bottom w:val="single" w:sz="4" w:space="0" w:color="auto"/>
              <w:right w:val="single" w:sz="4" w:space="0" w:color="auto"/>
            </w:tcBorders>
            <w:hideMark/>
          </w:tcPr>
          <w:p w14:paraId="706F3E0C" w14:textId="6CAF04DE" w:rsidR="008476AA" w:rsidRPr="006451D5" w:rsidRDefault="00E639BD" w:rsidP="003712B8">
            <w:pPr>
              <w:pStyle w:val="TableText0"/>
              <w:keepNext w:val="0"/>
              <w:keepLines w:val="0"/>
              <w:jc w:val="center"/>
              <w:rPr>
                <w:b/>
                <w:bCs w:val="0"/>
                <w:highlight w:val="darkGray"/>
              </w:rPr>
            </w:pPr>
            <w:r w:rsidRPr="00E639BD">
              <w:rPr>
                <w:b/>
                <w:bCs w:val="0"/>
                <w:color w:val="000000"/>
                <w:shd w:val="solid" w:color="000000" w:fill="000000"/>
                <w14:textFill>
                  <w14:solidFill>
                    <w14:srgbClr w14:val="000000">
                      <w14:alpha w14:val="100000"/>
                    </w14:srgbClr>
                  </w14:solidFill>
                </w14:textFill>
              </w:rPr>
              <w:t>|</w:t>
            </w:r>
            <w:r w:rsidR="00A57484" w:rsidRPr="005F3447">
              <w:rPr>
                <w:vertAlign w:val="superscript"/>
              </w:rPr>
              <w:t>1</w:t>
            </w:r>
          </w:p>
        </w:tc>
      </w:tr>
      <w:tr w:rsidR="008476AA" w:rsidRPr="00B63CD0" w14:paraId="5DF1B7BC" w14:textId="77777777" w:rsidTr="003A5E69">
        <w:tc>
          <w:tcPr>
            <w:tcW w:w="3281" w:type="pct"/>
            <w:gridSpan w:val="4"/>
            <w:tcBorders>
              <w:top w:val="single" w:sz="4" w:space="0" w:color="auto"/>
              <w:left w:val="single" w:sz="4" w:space="0" w:color="auto"/>
              <w:bottom w:val="single" w:sz="4" w:space="0" w:color="auto"/>
              <w:right w:val="single" w:sz="4" w:space="0" w:color="auto"/>
            </w:tcBorders>
            <w:vAlign w:val="center"/>
            <w:hideMark/>
          </w:tcPr>
          <w:p w14:paraId="4AEE1B3C" w14:textId="77777777" w:rsidR="008476AA" w:rsidRPr="00B63CD0" w:rsidRDefault="008476AA" w:rsidP="003712B8">
            <w:pPr>
              <w:pStyle w:val="TableText0"/>
              <w:keepNext w:val="0"/>
              <w:keepLines w:val="0"/>
              <w:jc w:val="right"/>
              <w:rPr>
                <w:b/>
                <w:bCs w:val="0"/>
              </w:rPr>
            </w:pPr>
            <w:r w:rsidRPr="00B63CD0">
              <w:rPr>
                <w:b/>
                <w:bCs w:val="0"/>
              </w:rPr>
              <w:t>Incremental cost/extra QALY gained</w:t>
            </w:r>
          </w:p>
        </w:tc>
        <w:tc>
          <w:tcPr>
            <w:tcW w:w="860" w:type="pct"/>
            <w:tcBorders>
              <w:top w:val="single" w:sz="4" w:space="0" w:color="auto"/>
              <w:left w:val="single" w:sz="4" w:space="0" w:color="auto"/>
              <w:bottom w:val="single" w:sz="4" w:space="0" w:color="auto"/>
              <w:right w:val="single" w:sz="4" w:space="0" w:color="auto"/>
            </w:tcBorders>
            <w:vAlign w:val="center"/>
            <w:hideMark/>
          </w:tcPr>
          <w:p w14:paraId="2B97B386" w14:textId="29924F52" w:rsidR="008476AA" w:rsidRPr="006451D5" w:rsidRDefault="00E639BD" w:rsidP="003712B8">
            <w:pPr>
              <w:pStyle w:val="TableText0"/>
              <w:keepNext w:val="0"/>
              <w:keepLines w:val="0"/>
              <w:jc w:val="center"/>
              <w:rPr>
                <w:b/>
                <w:bCs w:val="0"/>
                <w:highlight w:val="darkGray"/>
              </w:rPr>
            </w:pPr>
            <w:r w:rsidRPr="00E639BD">
              <w:rPr>
                <w:b/>
                <w:bCs w:val="0"/>
                <w:color w:val="000000"/>
                <w:shd w:val="solid" w:color="000000" w:fill="000000"/>
                <w14:textFill>
                  <w14:solidFill>
                    <w14:srgbClr w14:val="000000">
                      <w14:alpha w14:val="100000"/>
                    </w14:srgbClr>
                  </w14:solidFill>
                </w14:textFill>
              </w:rPr>
              <w:t>|</w:t>
            </w:r>
            <w:r w:rsidR="009E7FF4" w:rsidRPr="009E7FF4">
              <w:rPr>
                <w:b/>
                <w:bCs w:val="0"/>
                <w:vertAlign w:val="superscript"/>
              </w:rPr>
              <w:t>6</w:t>
            </w:r>
          </w:p>
        </w:tc>
        <w:tc>
          <w:tcPr>
            <w:tcW w:w="859" w:type="pct"/>
            <w:tcBorders>
              <w:top w:val="single" w:sz="4" w:space="0" w:color="auto"/>
              <w:left w:val="single" w:sz="4" w:space="0" w:color="auto"/>
              <w:bottom w:val="single" w:sz="4" w:space="0" w:color="auto"/>
              <w:right w:val="single" w:sz="4" w:space="0" w:color="auto"/>
            </w:tcBorders>
            <w:hideMark/>
          </w:tcPr>
          <w:p w14:paraId="1FD8DF0D" w14:textId="6E7BD5EA" w:rsidR="008476AA" w:rsidRPr="006451D5" w:rsidRDefault="00E639BD" w:rsidP="003712B8">
            <w:pPr>
              <w:pStyle w:val="TableText0"/>
              <w:keepNext w:val="0"/>
              <w:keepLines w:val="0"/>
              <w:jc w:val="center"/>
              <w:rPr>
                <w:b/>
                <w:bCs w:val="0"/>
                <w:highlight w:val="darkGray"/>
              </w:rPr>
            </w:pPr>
            <w:r w:rsidRPr="00E639BD">
              <w:rPr>
                <w:b/>
                <w:bCs w:val="0"/>
                <w:color w:val="000000"/>
                <w:shd w:val="solid" w:color="000000" w:fill="000000"/>
                <w14:textFill>
                  <w14:solidFill>
                    <w14:srgbClr w14:val="000000">
                      <w14:alpha w14:val="100000"/>
                    </w14:srgbClr>
                  </w14:solidFill>
                </w14:textFill>
              </w:rPr>
              <w:t>|</w:t>
            </w:r>
            <w:r w:rsidR="00A57484" w:rsidRPr="005F3447">
              <w:rPr>
                <w:vertAlign w:val="superscript"/>
              </w:rPr>
              <w:t>1</w:t>
            </w:r>
          </w:p>
        </w:tc>
      </w:tr>
    </w:tbl>
    <w:p w14:paraId="1D22821D" w14:textId="77777777" w:rsidR="00ED509D" w:rsidRPr="001C474A" w:rsidRDefault="00ED509D" w:rsidP="009F195B">
      <w:pPr>
        <w:pStyle w:val="TableFigureFooter"/>
      </w:pPr>
      <w:r w:rsidRPr="001C474A">
        <w:t>Source: Tables 3-70, 3-71 and compiled during the evaluation</w:t>
      </w:r>
    </w:p>
    <w:p w14:paraId="14B6DD08" w14:textId="77777777" w:rsidR="008D053B" w:rsidRPr="001C474A" w:rsidRDefault="00ED509D" w:rsidP="009F195B">
      <w:pPr>
        <w:pStyle w:val="TableFigureFooter"/>
      </w:pPr>
      <w:r w:rsidRPr="001C474A">
        <w:t xml:space="preserve">ADT=androgen deprivation therapy, </w:t>
      </w:r>
      <w:r w:rsidR="00C02E47" w:rsidRPr="001C474A">
        <w:t xml:space="preserve">AE=adverse event, </w:t>
      </w:r>
      <w:r w:rsidRPr="001C474A">
        <w:t xml:space="preserve">ENZA=enzalutamide, EoL=end of life, KM=Kaplan-Meier, LY=life year, mono=monotherapy, QALY=quality adjusted life year, m0HSPC=non-metastatic hormone sensitive prostate cancer, Dominates=intervention more effective and less costly than comparator. </w:t>
      </w:r>
    </w:p>
    <w:p w14:paraId="43FE18D0" w14:textId="79B0F513" w:rsidR="008D053B" w:rsidRPr="001C474A" w:rsidRDefault="008D053B" w:rsidP="009F195B">
      <w:pPr>
        <w:pStyle w:val="TableFigureFooter"/>
        <w:rPr>
          <w:i/>
          <w:iCs w:val="0"/>
        </w:rPr>
      </w:pPr>
      <w:r w:rsidRPr="001C474A">
        <w:rPr>
          <w:i/>
          <w:iCs w:val="0"/>
        </w:rPr>
        <w:t xml:space="preserve">The redacted values correspond to the following ranges: </w:t>
      </w:r>
    </w:p>
    <w:p w14:paraId="7E459687" w14:textId="77777777" w:rsidR="009E792B" w:rsidRPr="001C474A" w:rsidRDefault="008D053B" w:rsidP="009F195B">
      <w:pPr>
        <w:pStyle w:val="TableFigureFooter"/>
        <w:rPr>
          <w:i/>
          <w:iCs w:val="0"/>
        </w:rPr>
      </w:pPr>
      <w:r w:rsidRPr="001C474A">
        <w:rPr>
          <w:i/>
          <w:iCs w:val="0"/>
        </w:rPr>
        <w:t xml:space="preserve">1 </w:t>
      </w:r>
      <w:r w:rsidR="005F3447" w:rsidRPr="001C474A">
        <w:rPr>
          <w:i/>
          <w:iCs w:val="0"/>
        </w:rPr>
        <w:t>$35,000 to &lt; $45,000</w:t>
      </w:r>
      <w:r w:rsidR="009E792B" w:rsidRPr="001C474A">
        <w:rPr>
          <w:i/>
          <w:iCs w:val="0"/>
        </w:rPr>
        <w:t xml:space="preserve"> </w:t>
      </w:r>
    </w:p>
    <w:p w14:paraId="7DB9830A" w14:textId="4E7F58C8" w:rsidR="008963BA" w:rsidRPr="001C474A" w:rsidRDefault="009E792B" w:rsidP="009F195B">
      <w:pPr>
        <w:pStyle w:val="TableFigureFooter"/>
        <w:numPr>
          <w:ilvl w:val="0"/>
          <w:numId w:val="7"/>
        </w:numPr>
        <w:rPr>
          <w:i/>
          <w:iCs w:val="0"/>
        </w:rPr>
      </w:pPr>
      <w:r w:rsidRPr="001C474A">
        <w:rPr>
          <w:i/>
          <w:iCs w:val="0"/>
        </w:rPr>
        <w:t>$55,000 to &lt; $75,000</w:t>
      </w:r>
      <w:r w:rsidR="008963BA" w:rsidRPr="001C474A">
        <w:rPr>
          <w:i/>
          <w:iCs w:val="0"/>
        </w:rPr>
        <w:t xml:space="preserve"> </w:t>
      </w:r>
    </w:p>
    <w:p w14:paraId="20B9FF05" w14:textId="4EA488FC" w:rsidR="00C627EB" w:rsidRPr="001C474A" w:rsidRDefault="008963BA" w:rsidP="009F195B">
      <w:pPr>
        <w:pStyle w:val="TableFigureFooter"/>
        <w:numPr>
          <w:ilvl w:val="0"/>
          <w:numId w:val="7"/>
        </w:numPr>
        <w:rPr>
          <w:i/>
          <w:iCs w:val="0"/>
        </w:rPr>
      </w:pPr>
      <w:r w:rsidRPr="001C474A">
        <w:rPr>
          <w:i/>
          <w:iCs w:val="0"/>
        </w:rPr>
        <w:t xml:space="preserve"> $95,000 to &lt; $115,000</w:t>
      </w:r>
      <w:r w:rsidR="00C627EB" w:rsidRPr="001C474A">
        <w:rPr>
          <w:i/>
          <w:iCs w:val="0"/>
        </w:rPr>
        <w:t xml:space="preserve"> </w:t>
      </w:r>
    </w:p>
    <w:p w14:paraId="21EAA0C1" w14:textId="5845228A" w:rsidR="005F3447" w:rsidRPr="001C474A" w:rsidRDefault="00C627EB" w:rsidP="009F195B">
      <w:pPr>
        <w:pStyle w:val="TableFigureFooter"/>
        <w:numPr>
          <w:ilvl w:val="0"/>
          <w:numId w:val="7"/>
        </w:numPr>
        <w:rPr>
          <w:i/>
          <w:iCs w:val="0"/>
        </w:rPr>
      </w:pPr>
      <w:r w:rsidRPr="001C474A">
        <w:rPr>
          <w:i/>
          <w:iCs w:val="0"/>
        </w:rPr>
        <w:t xml:space="preserve"> $155,000 to &lt; $255,000</w:t>
      </w:r>
    </w:p>
    <w:p w14:paraId="51644E69" w14:textId="77777777" w:rsidR="008D053B" w:rsidRPr="001C474A" w:rsidRDefault="008D053B" w:rsidP="009F195B">
      <w:pPr>
        <w:pStyle w:val="TableFigureFooter"/>
        <w:rPr>
          <w:i/>
          <w:iCs w:val="0"/>
        </w:rPr>
      </w:pPr>
      <w:r w:rsidRPr="001C474A">
        <w:rPr>
          <w:i/>
          <w:iCs w:val="0"/>
        </w:rPr>
        <w:t>4 $155,000 to &lt; $255,000</w:t>
      </w:r>
    </w:p>
    <w:p w14:paraId="72C4BE9A" w14:textId="77777777" w:rsidR="00930260" w:rsidRPr="001C474A" w:rsidRDefault="00C65B75" w:rsidP="009F195B">
      <w:pPr>
        <w:pStyle w:val="TableFigureFooter"/>
        <w:rPr>
          <w:i/>
          <w:iCs w:val="0"/>
        </w:rPr>
      </w:pPr>
      <w:r w:rsidRPr="001C474A">
        <w:rPr>
          <w:i/>
          <w:iCs w:val="0"/>
        </w:rPr>
        <w:t>5</w:t>
      </w:r>
      <w:r w:rsidR="008D053B" w:rsidRPr="001C474A">
        <w:rPr>
          <w:i/>
          <w:iCs w:val="0"/>
        </w:rPr>
        <w:t xml:space="preserve"> $25,000 to &lt; $35,000</w:t>
      </w:r>
      <w:r w:rsidR="00930260" w:rsidRPr="001C474A">
        <w:rPr>
          <w:i/>
          <w:iCs w:val="0"/>
        </w:rPr>
        <w:t xml:space="preserve"> </w:t>
      </w:r>
    </w:p>
    <w:p w14:paraId="40320027" w14:textId="124AFBA7" w:rsidR="00BF585F" w:rsidRPr="00BF585F" w:rsidRDefault="00930260" w:rsidP="009F195B">
      <w:pPr>
        <w:pStyle w:val="TableFigureFooter"/>
      </w:pPr>
      <w:r w:rsidRPr="001C474A">
        <w:rPr>
          <w:i/>
          <w:iCs w:val="0"/>
        </w:rPr>
        <w:t>6 $15,000 to &lt; $25,000</w:t>
      </w:r>
    </w:p>
    <w:p w14:paraId="50F328EF" w14:textId="01375569" w:rsidR="00ED509D" w:rsidRDefault="00ED509D" w:rsidP="00ED509D">
      <w:pPr>
        <w:pStyle w:val="TableFigureHeading"/>
      </w:pPr>
      <w:bookmarkStart w:id="51" w:name="_Ref176370103"/>
      <w:r w:rsidRPr="001209DB">
        <w:lastRenderedPageBreak/>
        <w:t xml:space="preserve">Figure </w:t>
      </w:r>
      <w:r w:rsidRPr="001209DB">
        <w:fldChar w:fldCharType="begin" w:fldLock="1"/>
      </w:r>
      <w:r w:rsidRPr="001209DB">
        <w:instrText xml:space="preserve"> SEQ Figure \* ARABIC </w:instrText>
      </w:r>
      <w:r w:rsidRPr="001209DB">
        <w:fldChar w:fldCharType="separate"/>
      </w:r>
      <w:r w:rsidR="006619E7" w:rsidRPr="001209DB">
        <w:rPr>
          <w:noProof/>
        </w:rPr>
        <w:t>7</w:t>
      </w:r>
      <w:r w:rsidRPr="001209DB">
        <w:rPr>
          <w:noProof/>
        </w:rPr>
        <w:fldChar w:fldCharType="end"/>
      </w:r>
      <w:bookmarkEnd w:id="51"/>
      <w:r w:rsidRPr="001209DB">
        <w:t>: Cost-effectiveness plane versus ADT alone</w:t>
      </w:r>
    </w:p>
    <w:p w14:paraId="326F02EA" w14:textId="32AA8C49" w:rsidR="00100211" w:rsidRDefault="00100211" w:rsidP="00ED509D">
      <w:pPr>
        <w:pStyle w:val="TableFigureHeading"/>
      </w:pPr>
      <w:r>
        <w:rPr>
          <w:noProof/>
        </w:rPr>
        <mc:AlternateContent>
          <mc:Choice Requires="wps">
            <w:drawing>
              <wp:inline distT="0" distB="0" distL="0" distR="0" wp14:anchorId="53D49B31" wp14:editId="45FA8571">
                <wp:extent cx="5405755" cy="3543300"/>
                <wp:effectExtent l="0" t="0" r="23495" b="19050"/>
                <wp:docPr id="1581388775" name="Rectangle 1" descr="Figure 7: Cost-effectiveness plane versus ADT alone (Redacted)."/>
                <wp:cNvGraphicFramePr/>
                <a:graphic xmlns:a="http://schemas.openxmlformats.org/drawingml/2006/main">
                  <a:graphicData uri="http://schemas.microsoft.com/office/word/2010/wordprocessingShape">
                    <wps:wsp>
                      <wps:cNvSpPr/>
                      <wps:spPr>
                        <a:xfrm>
                          <a:off x="0" y="0"/>
                          <a:ext cx="5405755" cy="354330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931AAEF" id="Rectangle 1" o:spid="_x0000_s1026" alt="Figure 7: Cost-effectiveness plane versus ADT alone (Redacted)." style="width:425.65pt;height:2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" fillcolor="black [3200]" strokecolor="black [480]" strokeweight="2pt">
                <w10:anchorlock/>
              </v:rect>
            </w:pict>
          </mc:Fallback>
        </mc:AlternateContent>
      </w:r>
    </w:p>
    <w:p w14:paraId="1F7FC112" w14:textId="77777777" w:rsidR="00ED509D" w:rsidRDefault="00ED509D" w:rsidP="00332B9E">
      <w:pPr>
        <w:pStyle w:val="FooterTableFigure"/>
        <w:spacing w:after="0"/>
      </w:pPr>
      <w:r>
        <w:t>Source: compiled during the evaluation</w:t>
      </w:r>
    </w:p>
    <w:p w14:paraId="031E9C32" w14:textId="5A884B89" w:rsidR="00ED509D" w:rsidRDefault="00ED509D" w:rsidP="009F195B">
      <w:pPr>
        <w:pStyle w:val="TableFigureFooter"/>
        <w:rPr>
          <w:rStyle w:val="CommentReference"/>
          <w:b w:val="0"/>
        </w:rPr>
      </w:pPr>
      <w:r>
        <w:t>ADT=androgen deprivation therapy, ENZA=enzalutamide, QALY=quality adjusted life year</w:t>
      </w:r>
      <w:r w:rsidR="00286BD4">
        <w:t>, ICER=incremental cost-effectiveness ratio</w:t>
      </w:r>
    </w:p>
    <w:p w14:paraId="485AD6AC" w14:textId="7BED43A0" w:rsidR="00ED509D" w:rsidRPr="00E16BBF" w:rsidRDefault="00ED509D" w:rsidP="00ED509D">
      <w:pPr>
        <w:pStyle w:val="3-BodyText"/>
        <w:numPr>
          <w:ilvl w:val="1"/>
          <w:numId w:val="1"/>
        </w:numPr>
      </w:pPr>
      <w:r w:rsidRPr="00E16BBF">
        <w:t xml:space="preserve">The majority of the benefits of enzalutamide (with or without ADT) versus ADT alone were accrued in the extrapolation from 75 months to 30 years, compared to the majority of the incremental costs which occurred during the first 75 months. The submitted ICERs versus ADT alone were </w:t>
      </w:r>
      <w:r w:rsidR="00012C0E" w:rsidRPr="00012C0E">
        <w:t>$15,000 to &lt; $25,000</w:t>
      </w:r>
      <w:r w:rsidR="009F195B">
        <w:t xml:space="preserve"> </w:t>
      </w:r>
      <w:r w:rsidRPr="00E16BBF">
        <w:t xml:space="preserve">per QALY gained for enzalutamide plus ADT and </w:t>
      </w:r>
      <w:r w:rsidR="00F85D6D" w:rsidRPr="00F85D6D">
        <w:t>$35,000 to &lt; $45,000</w:t>
      </w:r>
      <w:r w:rsidR="009F195B">
        <w:t xml:space="preserve"> </w:t>
      </w:r>
      <w:r w:rsidRPr="00E16BBF">
        <w:t>per QALY gained for enzalutamide monotherapy. Further, at 75 months, enzalutamide plus ADT consistently dominated (it had more benefits and was less costly than) enzalutamide monotherapy.</w:t>
      </w:r>
    </w:p>
    <w:p w14:paraId="5FEA5A47" w14:textId="392EE8A9" w:rsidR="00ED509D" w:rsidRPr="00E16BBF" w:rsidRDefault="00ED509D" w:rsidP="00ED509D">
      <w:pPr>
        <w:pStyle w:val="3-BodyText"/>
        <w:numPr>
          <w:ilvl w:val="1"/>
          <w:numId w:val="1"/>
        </w:numPr>
      </w:pPr>
      <w:r w:rsidRPr="00E16BBF">
        <w:t>The submission did not present individual treatment costs, so the costs for the enzalutamide and ADT components in m0HSPC of the enzalutamide plus ADT arm were estimated during the evaluation. When comparing undiscounted costs, enzalutamide in m0HSPC was the largest contributor to the incremental costs (119% enzalutamide plus ADT arm, an incremental cost of $</w:t>
      </w:r>
      <w:r w:rsidR="00E639BD" w:rsidRPr="00B0524F">
        <w:rPr>
          <w:color w:val="000000"/>
          <w:w w:val="15"/>
          <w:shd w:val="solid" w:color="000000" w:fill="000000"/>
          <w:fitText w:val="-20" w:id="-761099264"/>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264"/>
          <w14:textFill>
            <w14:solidFill>
              <w14:srgbClr w14:val="000000">
                <w14:alpha w14:val="100000"/>
              </w14:srgbClr>
            </w14:solidFill>
          </w14:textFill>
        </w:rPr>
        <w:t>|</w:t>
      </w:r>
      <w:r w:rsidRPr="00E16BBF">
        <w:t>; and 120% in the enzalutamide monotherapy arm, and incremental cost of $</w:t>
      </w:r>
      <w:r w:rsidR="00E639BD" w:rsidRPr="00B0524F">
        <w:rPr>
          <w:color w:val="000000"/>
          <w:w w:val="15"/>
          <w:shd w:val="solid" w:color="000000" w:fill="000000"/>
          <w:fitText w:val="-20" w:id="-761099263"/>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263"/>
          <w14:textFill>
            <w14:solidFill>
              <w14:srgbClr w14:val="000000">
                <w14:alpha w14:val="100000"/>
              </w14:srgbClr>
            </w14:solidFill>
          </w14:textFill>
        </w:rPr>
        <w:t>|</w:t>
      </w:r>
      <w:r w:rsidRPr="00E16BBF">
        <w:t>) versus ADT alone, with ADT in the enzalutamide plus ADT arm the second largest contributor (6%, incremental cost $</w:t>
      </w:r>
      <w:r w:rsidR="00E639BD" w:rsidRPr="00B0524F">
        <w:rPr>
          <w:color w:val="000000"/>
          <w:w w:val="15"/>
          <w:shd w:val="solid" w:color="000000" w:fill="000000"/>
          <w:fitText w:val="-20" w:id="-761099262"/>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262"/>
          <w14:textFill>
            <w14:solidFill>
              <w14:srgbClr w14:val="000000">
                <w14:alpha w14:val="100000"/>
              </w14:srgbClr>
            </w14:solidFill>
          </w14:textFill>
        </w:rPr>
        <w:t>|</w:t>
      </w:r>
      <w:r w:rsidRPr="00E16BBF">
        <w:t>) due to the longer time on treatment modelled for the enzalutamide plus ADT arm compared to the ADT arm. The largest cost offsets versus ADT alone (after ADT costs in m0HSPC for the comparison of enzalutamide monotherapy versus ADT alone, which were -24% of the incremental costs, -$</w:t>
      </w:r>
      <w:r w:rsidR="00E639BD" w:rsidRPr="00B0524F">
        <w:rPr>
          <w:color w:val="000000"/>
          <w:w w:val="15"/>
          <w:shd w:val="solid" w:color="000000" w:fill="000000"/>
          <w:fitText w:val="-20" w:id="-761099261"/>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261"/>
          <w14:textFill>
            <w14:solidFill>
              <w14:srgbClr w14:val="000000">
                <w14:alpha w14:val="100000"/>
              </w14:srgbClr>
            </w14:solidFill>
          </w14:textFill>
        </w:rPr>
        <w:t>|</w:t>
      </w:r>
      <w:r w:rsidRPr="00E16BBF">
        <w:t>) were the subsequent treatment costs in mCRPC (-14% of incremental costs for enzalutamide plus ADT, -$</w:t>
      </w:r>
      <w:r w:rsidR="00E639BD" w:rsidRPr="00B0524F">
        <w:rPr>
          <w:color w:val="000000"/>
          <w:w w:val="15"/>
          <w:shd w:val="solid" w:color="000000" w:fill="000000"/>
          <w:fitText w:val="-20" w:id="-761099260"/>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260"/>
          <w14:textFill>
            <w14:solidFill>
              <w14:srgbClr w14:val="000000">
                <w14:alpha w14:val="100000"/>
              </w14:srgbClr>
            </w14:solidFill>
          </w14:textFill>
        </w:rPr>
        <w:t>|</w:t>
      </w:r>
      <w:r w:rsidRPr="00E16BBF">
        <w:t>; -16% for enzalutamide monotherapy, -$</w:t>
      </w:r>
      <w:r w:rsidR="00E639BD" w:rsidRPr="00B0524F">
        <w:rPr>
          <w:color w:val="000000"/>
          <w:w w:val="15"/>
          <w:shd w:val="solid" w:color="000000" w:fill="000000"/>
          <w:fitText w:val="-20" w:id="-761099259"/>
          <w14:textFill>
            <w14:solidFill>
              <w14:srgbClr w14:val="000000">
                <w14:alpha w14:val="100000"/>
              </w14:srgbClr>
            </w14:solidFill>
          </w14:textFill>
        </w:rPr>
        <w:t xml:space="preserve">|  </w:t>
      </w:r>
      <w:r w:rsidR="00E639BD" w:rsidRPr="00B0524F">
        <w:rPr>
          <w:color w:val="000000"/>
          <w:spacing w:val="-69"/>
          <w:w w:val="15"/>
          <w:shd w:val="solid" w:color="000000" w:fill="000000"/>
          <w:fitText w:val="-20" w:id="-761099259"/>
          <w14:textFill>
            <w14:solidFill>
              <w14:srgbClr w14:val="000000">
                <w14:alpha w14:val="100000"/>
              </w14:srgbClr>
            </w14:solidFill>
          </w14:textFill>
        </w:rPr>
        <w:t>|</w:t>
      </w:r>
      <w:r w:rsidRPr="00E16BBF">
        <w:t>), resulting from the higher costs of subsequent treatment in the ADT arm.</w:t>
      </w:r>
    </w:p>
    <w:p w14:paraId="3C9645D0" w14:textId="63CDA368" w:rsidR="00ED509D" w:rsidRPr="00E16BBF" w:rsidRDefault="00ED509D" w:rsidP="00ED509D">
      <w:pPr>
        <w:pStyle w:val="3-BodyText"/>
        <w:numPr>
          <w:ilvl w:val="1"/>
          <w:numId w:val="1"/>
        </w:numPr>
      </w:pPr>
      <w:r w:rsidRPr="00E16BBF">
        <w:lastRenderedPageBreak/>
        <w:t xml:space="preserve">The results of key sensitivity analyses are summarised in </w:t>
      </w:r>
      <w:r w:rsidRPr="00E16BBF">
        <w:fldChar w:fldCharType="begin" w:fldLock="1"/>
      </w:r>
      <w:r w:rsidRPr="00E16BBF">
        <w:instrText xml:space="preserve"> REF _Ref104804865 \h </w:instrText>
      </w:r>
      <w:r w:rsidR="00B63CD0" w:rsidRPr="00E16BBF">
        <w:instrText xml:space="preserve"> \* MERGEFORMAT </w:instrText>
      </w:r>
      <w:r w:rsidRPr="00E16BBF">
        <w:fldChar w:fldCharType="separate"/>
      </w:r>
      <w:r w:rsidR="006619E7" w:rsidRPr="00E16BBF">
        <w:t xml:space="preserve">Table </w:t>
      </w:r>
      <w:r w:rsidR="006619E7" w:rsidRPr="00E16BBF">
        <w:rPr>
          <w:noProof/>
        </w:rPr>
        <w:t>13</w:t>
      </w:r>
      <w:r w:rsidRPr="00E16BBF">
        <w:fldChar w:fldCharType="end"/>
      </w:r>
      <w:r w:rsidRPr="00E16BBF">
        <w:t xml:space="preserve">. The ICERs were most sensitive to time horizon less </w:t>
      </w:r>
      <w:r w:rsidR="00021F5B" w:rsidRPr="00E16BBF">
        <w:t xml:space="preserve">than </w:t>
      </w:r>
      <w:r w:rsidRPr="00E16BBF">
        <w:t xml:space="preserve">15 years, OS extrapolation, time on treatment, MFS extrapolation, subsequent treatment choice, and utilities in m0HSPC. However, sensitivity analyses presented by the submission and conducted during the evaluation were unable to capture all uncertainty in the model. Many of the structural assumptions could not be tested. In particular, the double counting of mortality led to a substantial survival benefit for the enzalutamide arms over ADT alone in the model, despite no difference observed in EMBARK, but it was not possible to set OS equal across the arms to test the effect of this assumption. Further, given the complexity of the model, the one-way sensitivity analyses presented in the submission do not adequately capture the uncertainty in the parameters. A probabilistic sensitivity analysis should be conducted to explore parameter uncertainty further. </w:t>
      </w:r>
    </w:p>
    <w:p w14:paraId="6B48ECBB" w14:textId="50095003" w:rsidR="00FF1F6D" w:rsidRPr="00E16BBF" w:rsidRDefault="00FF1F6D" w:rsidP="00ED509D">
      <w:pPr>
        <w:pStyle w:val="3-BodyText"/>
        <w:numPr>
          <w:ilvl w:val="1"/>
          <w:numId w:val="1"/>
        </w:numPr>
      </w:pPr>
      <w:r w:rsidRPr="00E16BBF">
        <w:t xml:space="preserve">Overall, the ESC considered that the model was not suitable for decision making given the structural uncertainties associated with the modelling approach which manufactured a large treatment benefit </w:t>
      </w:r>
      <w:r w:rsidR="00E23A2A" w:rsidRPr="00E16BBF">
        <w:t xml:space="preserve">for </w:t>
      </w:r>
      <w:r w:rsidRPr="00E16BBF">
        <w:t>enzalutamide + ADT over ADT alone</w:t>
      </w:r>
      <w:r w:rsidR="00E23A2A" w:rsidRPr="00E16BBF">
        <w:t xml:space="preserve"> (2.26 QALYs)</w:t>
      </w:r>
      <w:r w:rsidRPr="00E16BBF">
        <w:t xml:space="preserve">. </w:t>
      </w:r>
      <w:r w:rsidR="00E23A2A" w:rsidRPr="00E16BBF">
        <w:t>The ESC noted that the majority of this benefit (1.89 QALYs) was accrued in the extrapolation form 75 months to 30 years (i.e. Step 3 to Step 4 of the economic analysis – from 0.37 to 2.26)</w:t>
      </w:r>
      <w:r w:rsidR="00CA5C7E" w:rsidRPr="00E16BBF">
        <w:t xml:space="preserve"> and was due to the sustained OS benefit, despite there being no confirmatory OS data from EMBARK, and the double counting of mortality in progressed disease which inflated the MFS benefit compared to EMBARK.</w:t>
      </w:r>
      <w:r w:rsidR="00E23A2A" w:rsidRPr="00E16BBF">
        <w:t xml:space="preserve"> Further, the ESC noted that the QALY gain for enzalutamide plus ADT over ADT in this setting was significantly larger than that accepted for apalutamide plus ADT in the mHSPC setting (0.56 QALYs, noting that the time horizon in that model was 10 years).</w:t>
      </w:r>
    </w:p>
    <w:p w14:paraId="6C01053E" w14:textId="5AEEA125" w:rsidR="00ED509D" w:rsidRPr="0098262F" w:rsidRDefault="00ED509D" w:rsidP="007441A9">
      <w:pPr>
        <w:pStyle w:val="Caption"/>
        <w:keepNext w:val="0"/>
        <w:keepLines w:val="0"/>
        <w:rPr>
          <w:rStyle w:val="CommentReference"/>
          <w:b/>
          <w:szCs w:val="24"/>
        </w:rPr>
      </w:pPr>
      <w:bookmarkStart w:id="52" w:name="_Ref104804865"/>
      <w:r w:rsidRPr="0098262F">
        <w:t xml:space="preserve">Table </w:t>
      </w:r>
      <w:r>
        <w:fldChar w:fldCharType="begin" w:fldLock="1"/>
      </w:r>
      <w:r>
        <w:instrText xml:space="preserve"> SEQ Table \* ARABIC </w:instrText>
      </w:r>
      <w:r>
        <w:fldChar w:fldCharType="separate"/>
      </w:r>
      <w:r w:rsidR="00DF24EF">
        <w:rPr>
          <w:noProof/>
        </w:rPr>
        <w:t>13</w:t>
      </w:r>
      <w:r>
        <w:rPr>
          <w:noProof/>
        </w:rPr>
        <w:fldChar w:fldCharType="end"/>
      </w:r>
      <w:bookmarkEnd w:id="52"/>
      <w:r w:rsidRPr="0098262F">
        <w:t>:</w:t>
      </w:r>
      <w:r w:rsidRPr="0098262F">
        <w:rPr>
          <w:rStyle w:val="CommentReference"/>
          <w:b/>
          <w:szCs w:val="24"/>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Sensitivity analyses"/>
      </w:tblPr>
      <w:tblGrid>
        <w:gridCol w:w="3115"/>
        <w:gridCol w:w="1558"/>
        <w:gridCol w:w="1419"/>
        <w:gridCol w:w="1558"/>
        <w:gridCol w:w="1367"/>
      </w:tblGrid>
      <w:tr w:rsidR="008476AA" w:rsidRPr="00B63CD0" w14:paraId="35EC36E1" w14:textId="77777777" w:rsidTr="00E25F99">
        <w:trPr>
          <w:tblHeader/>
        </w:trPr>
        <w:tc>
          <w:tcPr>
            <w:tcW w:w="1727" w:type="pct"/>
            <w:vMerge w:val="restart"/>
            <w:tcBorders>
              <w:top w:val="single" w:sz="4" w:space="0" w:color="auto"/>
              <w:left w:val="single" w:sz="4" w:space="0" w:color="auto"/>
              <w:right w:val="single" w:sz="4" w:space="0" w:color="auto"/>
            </w:tcBorders>
            <w:vAlign w:val="center"/>
            <w:hideMark/>
          </w:tcPr>
          <w:p w14:paraId="7E32FCB4" w14:textId="77777777" w:rsidR="008476AA" w:rsidRPr="00B63CD0" w:rsidRDefault="008476AA" w:rsidP="007441A9">
            <w:pPr>
              <w:pStyle w:val="In-tableHeading"/>
            </w:pPr>
            <w:r w:rsidRPr="00B63CD0">
              <w:t>Analyses</w:t>
            </w:r>
          </w:p>
        </w:tc>
        <w:tc>
          <w:tcPr>
            <w:tcW w:w="1651" w:type="pct"/>
            <w:gridSpan w:val="2"/>
            <w:tcBorders>
              <w:top w:val="single" w:sz="4" w:space="0" w:color="auto"/>
              <w:left w:val="single" w:sz="4" w:space="0" w:color="auto"/>
              <w:bottom w:val="single" w:sz="4" w:space="0" w:color="auto"/>
              <w:right w:val="single" w:sz="4" w:space="0" w:color="auto"/>
            </w:tcBorders>
            <w:vAlign w:val="center"/>
            <w:hideMark/>
          </w:tcPr>
          <w:p w14:paraId="051575DD" w14:textId="77777777" w:rsidR="008476AA" w:rsidRPr="00B63CD0" w:rsidRDefault="008476AA" w:rsidP="007441A9">
            <w:pPr>
              <w:pStyle w:val="In-tableHeading"/>
              <w:jc w:val="center"/>
            </w:pPr>
            <w:r w:rsidRPr="00B63CD0">
              <w:t>ENZA+ADT vs ADT alone</w:t>
            </w:r>
          </w:p>
        </w:tc>
        <w:tc>
          <w:tcPr>
            <w:tcW w:w="1622" w:type="pct"/>
            <w:gridSpan w:val="2"/>
            <w:tcBorders>
              <w:top w:val="single" w:sz="4" w:space="0" w:color="auto"/>
              <w:left w:val="single" w:sz="4" w:space="0" w:color="auto"/>
              <w:bottom w:val="single" w:sz="4" w:space="0" w:color="auto"/>
              <w:right w:val="single" w:sz="4" w:space="0" w:color="auto"/>
            </w:tcBorders>
            <w:vAlign w:val="center"/>
            <w:hideMark/>
          </w:tcPr>
          <w:p w14:paraId="6603AC0C" w14:textId="3AF0F71F" w:rsidR="008476AA" w:rsidRPr="00B63CD0" w:rsidRDefault="008476AA" w:rsidP="007441A9">
            <w:pPr>
              <w:pStyle w:val="In-tableHeading"/>
              <w:jc w:val="center"/>
            </w:pPr>
            <w:r w:rsidRPr="00B63CD0">
              <w:t>ENZA mono vs ADT alone</w:t>
            </w:r>
          </w:p>
        </w:tc>
      </w:tr>
      <w:tr w:rsidR="008476AA" w:rsidRPr="00B63CD0" w14:paraId="3FA8A1BB" w14:textId="77777777" w:rsidTr="00E25F99">
        <w:trPr>
          <w:tblHeader/>
        </w:trPr>
        <w:tc>
          <w:tcPr>
            <w:tcW w:w="1727" w:type="pct"/>
            <w:vMerge/>
            <w:tcBorders>
              <w:left w:val="single" w:sz="4" w:space="0" w:color="auto"/>
              <w:bottom w:val="single" w:sz="4" w:space="0" w:color="auto"/>
              <w:right w:val="single" w:sz="4" w:space="0" w:color="auto"/>
            </w:tcBorders>
            <w:vAlign w:val="center"/>
          </w:tcPr>
          <w:p w14:paraId="42022C81" w14:textId="77777777" w:rsidR="008476AA" w:rsidRPr="00B63CD0" w:rsidRDefault="008476AA" w:rsidP="007441A9">
            <w:pPr>
              <w:pStyle w:val="In-tableHeading"/>
            </w:pPr>
          </w:p>
        </w:tc>
        <w:tc>
          <w:tcPr>
            <w:tcW w:w="864" w:type="pct"/>
            <w:tcBorders>
              <w:top w:val="single" w:sz="4" w:space="0" w:color="auto"/>
              <w:left w:val="single" w:sz="4" w:space="0" w:color="auto"/>
              <w:bottom w:val="single" w:sz="4" w:space="0" w:color="auto"/>
              <w:right w:val="single" w:sz="4" w:space="0" w:color="auto"/>
            </w:tcBorders>
            <w:vAlign w:val="center"/>
            <w:hideMark/>
          </w:tcPr>
          <w:p w14:paraId="687237BD" w14:textId="77777777" w:rsidR="008476AA" w:rsidRPr="00B63CD0" w:rsidRDefault="008476AA" w:rsidP="007441A9">
            <w:pPr>
              <w:pStyle w:val="In-tableHeading"/>
              <w:jc w:val="center"/>
            </w:pPr>
            <w:r w:rsidRPr="00B63CD0">
              <w:t>ICER $/QALY</w:t>
            </w:r>
          </w:p>
        </w:tc>
        <w:tc>
          <w:tcPr>
            <w:tcW w:w="787" w:type="pct"/>
            <w:tcBorders>
              <w:top w:val="single" w:sz="4" w:space="0" w:color="auto"/>
              <w:left w:val="single" w:sz="4" w:space="0" w:color="auto"/>
              <w:bottom w:val="single" w:sz="4" w:space="0" w:color="auto"/>
              <w:right w:val="single" w:sz="4" w:space="0" w:color="auto"/>
            </w:tcBorders>
            <w:vAlign w:val="center"/>
            <w:hideMark/>
          </w:tcPr>
          <w:p w14:paraId="00D13690" w14:textId="5D77E42B" w:rsidR="008476AA" w:rsidRPr="00B63CD0" w:rsidRDefault="008476AA" w:rsidP="007441A9">
            <w:pPr>
              <w:pStyle w:val="In-tableHeading"/>
              <w:jc w:val="center"/>
            </w:pPr>
            <w:r w:rsidRPr="00B63CD0">
              <w:t>% change</w:t>
            </w:r>
          </w:p>
        </w:tc>
        <w:tc>
          <w:tcPr>
            <w:tcW w:w="864" w:type="pct"/>
            <w:tcBorders>
              <w:top w:val="single" w:sz="4" w:space="0" w:color="auto"/>
              <w:left w:val="single" w:sz="4" w:space="0" w:color="auto"/>
              <w:bottom w:val="single" w:sz="4" w:space="0" w:color="auto"/>
              <w:right w:val="single" w:sz="4" w:space="0" w:color="auto"/>
            </w:tcBorders>
            <w:vAlign w:val="center"/>
            <w:hideMark/>
          </w:tcPr>
          <w:p w14:paraId="7526F12D" w14:textId="77777777" w:rsidR="008476AA" w:rsidRPr="00B63CD0" w:rsidRDefault="008476AA" w:rsidP="007441A9">
            <w:pPr>
              <w:pStyle w:val="In-tableHeading"/>
              <w:jc w:val="center"/>
            </w:pPr>
            <w:r w:rsidRPr="00B63CD0">
              <w:t>ICER $/QALY</w:t>
            </w:r>
          </w:p>
        </w:tc>
        <w:tc>
          <w:tcPr>
            <w:tcW w:w="758" w:type="pct"/>
            <w:tcBorders>
              <w:top w:val="single" w:sz="4" w:space="0" w:color="auto"/>
              <w:left w:val="single" w:sz="4" w:space="0" w:color="auto"/>
              <w:bottom w:val="single" w:sz="4" w:space="0" w:color="auto"/>
              <w:right w:val="single" w:sz="4" w:space="0" w:color="auto"/>
            </w:tcBorders>
            <w:vAlign w:val="center"/>
            <w:hideMark/>
          </w:tcPr>
          <w:p w14:paraId="57FDD386" w14:textId="168BB1D8" w:rsidR="008476AA" w:rsidRPr="00B63CD0" w:rsidRDefault="008476AA" w:rsidP="007441A9">
            <w:pPr>
              <w:pStyle w:val="In-tableHeading"/>
              <w:jc w:val="center"/>
            </w:pPr>
            <w:r w:rsidRPr="00B63CD0">
              <w:t>% change</w:t>
            </w:r>
          </w:p>
        </w:tc>
      </w:tr>
      <w:tr w:rsidR="008476AA" w:rsidRPr="00B63CD0" w14:paraId="4E9C561D" w14:textId="77777777" w:rsidTr="00E25F99">
        <w:tc>
          <w:tcPr>
            <w:tcW w:w="1727" w:type="pct"/>
            <w:tcBorders>
              <w:top w:val="single" w:sz="4" w:space="0" w:color="auto"/>
              <w:left w:val="single" w:sz="4" w:space="0" w:color="auto"/>
              <w:bottom w:val="single" w:sz="4" w:space="0" w:color="auto"/>
              <w:right w:val="single" w:sz="4" w:space="0" w:color="auto"/>
            </w:tcBorders>
            <w:vAlign w:val="center"/>
            <w:hideMark/>
          </w:tcPr>
          <w:p w14:paraId="43516BE9" w14:textId="77777777" w:rsidR="008476AA" w:rsidRPr="00B63CD0" w:rsidRDefault="008476AA" w:rsidP="007441A9">
            <w:pPr>
              <w:pStyle w:val="TableText0"/>
              <w:keepNext w:val="0"/>
              <w:keepLines w:val="0"/>
            </w:pPr>
            <w:r w:rsidRPr="00B63CD0">
              <w:t>Base case</w:t>
            </w:r>
          </w:p>
        </w:tc>
        <w:tc>
          <w:tcPr>
            <w:tcW w:w="864" w:type="pct"/>
            <w:tcBorders>
              <w:top w:val="single" w:sz="4" w:space="0" w:color="auto"/>
              <w:left w:val="single" w:sz="4" w:space="0" w:color="auto"/>
              <w:bottom w:val="single" w:sz="4" w:space="0" w:color="auto"/>
              <w:right w:val="single" w:sz="4" w:space="0" w:color="auto"/>
            </w:tcBorders>
            <w:vAlign w:val="center"/>
            <w:hideMark/>
          </w:tcPr>
          <w:p w14:paraId="25A58F7B" w14:textId="51693953"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0F2F3A" w:rsidRPr="00121B43">
              <w:rPr>
                <w:vertAlign w:val="superscript"/>
              </w:rPr>
              <w:t>1</w:t>
            </w:r>
          </w:p>
        </w:tc>
        <w:tc>
          <w:tcPr>
            <w:tcW w:w="787" w:type="pct"/>
            <w:tcBorders>
              <w:top w:val="single" w:sz="4" w:space="0" w:color="auto"/>
              <w:left w:val="single" w:sz="4" w:space="0" w:color="auto"/>
              <w:bottom w:val="single" w:sz="4" w:space="0" w:color="auto"/>
              <w:right w:val="single" w:sz="4" w:space="0" w:color="auto"/>
            </w:tcBorders>
            <w:vAlign w:val="center"/>
            <w:hideMark/>
          </w:tcPr>
          <w:p w14:paraId="5B7E203F" w14:textId="77777777" w:rsidR="008476AA" w:rsidRPr="00B63CD0" w:rsidRDefault="008476AA" w:rsidP="007441A9">
            <w:pPr>
              <w:pStyle w:val="TableText0"/>
              <w:keepNext w:val="0"/>
              <w:keepLines w:val="0"/>
              <w:jc w:val="center"/>
            </w:pPr>
            <w:r w:rsidRPr="00B63CD0">
              <w:t>-</w:t>
            </w:r>
          </w:p>
        </w:tc>
        <w:tc>
          <w:tcPr>
            <w:tcW w:w="864" w:type="pct"/>
            <w:tcBorders>
              <w:top w:val="single" w:sz="4" w:space="0" w:color="auto"/>
              <w:left w:val="single" w:sz="4" w:space="0" w:color="auto"/>
              <w:bottom w:val="single" w:sz="4" w:space="0" w:color="auto"/>
              <w:right w:val="single" w:sz="4" w:space="0" w:color="auto"/>
            </w:tcBorders>
            <w:vAlign w:val="center"/>
            <w:hideMark/>
          </w:tcPr>
          <w:p w14:paraId="10A8046E" w14:textId="769F85FD"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CC1BA9" w:rsidRPr="00126FCB">
              <w:rPr>
                <w:vertAlign w:val="superscript"/>
              </w:rPr>
              <w:t>2</w:t>
            </w:r>
          </w:p>
        </w:tc>
        <w:tc>
          <w:tcPr>
            <w:tcW w:w="758" w:type="pct"/>
            <w:tcBorders>
              <w:top w:val="single" w:sz="4" w:space="0" w:color="auto"/>
              <w:left w:val="single" w:sz="4" w:space="0" w:color="auto"/>
              <w:bottom w:val="single" w:sz="4" w:space="0" w:color="auto"/>
              <w:right w:val="single" w:sz="4" w:space="0" w:color="auto"/>
            </w:tcBorders>
            <w:vAlign w:val="center"/>
            <w:hideMark/>
          </w:tcPr>
          <w:p w14:paraId="736396C7" w14:textId="63B72151" w:rsidR="008476AA" w:rsidRPr="00B63CD0" w:rsidRDefault="008476AA" w:rsidP="007441A9">
            <w:pPr>
              <w:pStyle w:val="TableText0"/>
              <w:keepNext w:val="0"/>
              <w:keepLines w:val="0"/>
              <w:jc w:val="center"/>
            </w:pPr>
            <w:r w:rsidRPr="00B63CD0">
              <w:t>-</w:t>
            </w:r>
          </w:p>
        </w:tc>
      </w:tr>
      <w:tr w:rsidR="00ED509D" w:rsidRPr="00B63CD0" w14:paraId="4E654921" w14:textId="77777777" w:rsidTr="00142C15">
        <w:tc>
          <w:tcPr>
            <w:tcW w:w="5000" w:type="pct"/>
            <w:gridSpan w:val="5"/>
            <w:tcBorders>
              <w:top w:val="single" w:sz="4" w:space="0" w:color="auto"/>
              <w:left w:val="single" w:sz="4" w:space="0" w:color="auto"/>
              <w:bottom w:val="nil"/>
              <w:right w:val="single" w:sz="4" w:space="0" w:color="auto"/>
            </w:tcBorders>
            <w:vAlign w:val="center"/>
            <w:hideMark/>
          </w:tcPr>
          <w:p w14:paraId="5EA08042" w14:textId="77777777" w:rsidR="00ED509D" w:rsidRPr="00B63CD0" w:rsidRDefault="00ED509D" w:rsidP="007441A9">
            <w:pPr>
              <w:pStyle w:val="TableText0"/>
              <w:keepNext w:val="0"/>
              <w:keepLines w:val="0"/>
            </w:pPr>
            <w:r w:rsidRPr="00B63CD0">
              <w:t>Discount rate (base case 5% costs and outcomes)</w:t>
            </w:r>
          </w:p>
        </w:tc>
      </w:tr>
      <w:tr w:rsidR="008476AA" w:rsidRPr="00B63CD0" w14:paraId="557AB78F" w14:textId="77777777" w:rsidTr="00E25F99">
        <w:tc>
          <w:tcPr>
            <w:tcW w:w="1727" w:type="pct"/>
            <w:tcBorders>
              <w:top w:val="nil"/>
              <w:left w:val="single" w:sz="4" w:space="0" w:color="auto"/>
              <w:bottom w:val="nil"/>
              <w:right w:val="single" w:sz="4" w:space="0" w:color="auto"/>
            </w:tcBorders>
            <w:vAlign w:val="center"/>
            <w:hideMark/>
          </w:tcPr>
          <w:p w14:paraId="1EB35912" w14:textId="77777777" w:rsidR="008476AA" w:rsidRPr="00B63CD0" w:rsidRDefault="008476AA" w:rsidP="007441A9">
            <w:pPr>
              <w:pStyle w:val="TableText0"/>
              <w:keepNext w:val="0"/>
              <w:keepLines w:val="0"/>
              <w:ind w:left="166"/>
            </w:pPr>
            <w:r w:rsidRPr="00B63CD0">
              <w:t>0%</w:t>
            </w:r>
          </w:p>
        </w:tc>
        <w:tc>
          <w:tcPr>
            <w:tcW w:w="864" w:type="pct"/>
            <w:tcBorders>
              <w:top w:val="nil"/>
              <w:left w:val="single" w:sz="4" w:space="0" w:color="auto"/>
              <w:bottom w:val="nil"/>
              <w:right w:val="single" w:sz="4" w:space="0" w:color="auto"/>
            </w:tcBorders>
            <w:vAlign w:val="center"/>
            <w:hideMark/>
          </w:tcPr>
          <w:p w14:paraId="616CD876" w14:textId="03A9B84D" w:rsidR="008476AA" w:rsidRPr="00820039"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nil"/>
              <w:left w:val="single" w:sz="4" w:space="0" w:color="auto"/>
              <w:bottom w:val="nil"/>
              <w:right w:val="single" w:sz="4" w:space="0" w:color="auto"/>
            </w:tcBorders>
            <w:vAlign w:val="center"/>
            <w:hideMark/>
          </w:tcPr>
          <w:p w14:paraId="27B9074D" w14:textId="06603F94" w:rsidR="008476AA" w:rsidRPr="00B63CD0" w:rsidRDefault="008476AA" w:rsidP="007441A9">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E25F99">
              <w:t>%</w:t>
            </w:r>
          </w:p>
        </w:tc>
        <w:tc>
          <w:tcPr>
            <w:tcW w:w="864" w:type="pct"/>
            <w:tcBorders>
              <w:top w:val="nil"/>
              <w:left w:val="single" w:sz="4" w:space="0" w:color="auto"/>
              <w:bottom w:val="nil"/>
              <w:right w:val="single" w:sz="4" w:space="0" w:color="auto"/>
            </w:tcBorders>
            <w:vAlign w:val="center"/>
            <w:hideMark/>
          </w:tcPr>
          <w:p w14:paraId="0059E60D" w14:textId="20B3FB10"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5E67EC" w:rsidRPr="005E67EC">
              <w:rPr>
                <w:vertAlign w:val="superscript"/>
              </w:rPr>
              <w:t>3</w:t>
            </w:r>
          </w:p>
        </w:tc>
        <w:tc>
          <w:tcPr>
            <w:tcW w:w="758" w:type="pct"/>
            <w:tcBorders>
              <w:top w:val="nil"/>
              <w:left w:val="single" w:sz="4" w:space="0" w:color="auto"/>
              <w:bottom w:val="nil"/>
              <w:right w:val="single" w:sz="4" w:space="0" w:color="auto"/>
            </w:tcBorders>
            <w:vAlign w:val="center"/>
            <w:hideMark/>
          </w:tcPr>
          <w:p w14:paraId="2E10CC4F" w14:textId="43D5F12B" w:rsidR="008476AA" w:rsidRPr="00B63CD0" w:rsidRDefault="008476AA" w:rsidP="007441A9">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B63CD0">
              <w:t>%</w:t>
            </w:r>
          </w:p>
        </w:tc>
      </w:tr>
      <w:tr w:rsidR="008476AA" w:rsidRPr="00B63CD0" w14:paraId="79387FD1" w14:textId="77777777" w:rsidTr="00E25F99">
        <w:tc>
          <w:tcPr>
            <w:tcW w:w="1727" w:type="pct"/>
            <w:tcBorders>
              <w:top w:val="nil"/>
              <w:left w:val="single" w:sz="4" w:space="0" w:color="auto"/>
              <w:bottom w:val="single" w:sz="4" w:space="0" w:color="auto"/>
              <w:right w:val="single" w:sz="4" w:space="0" w:color="auto"/>
            </w:tcBorders>
            <w:vAlign w:val="center"/>
            <w:hideMark/>
          </w:tcPr>
          <w:p w14:paraId="5FE0C004" w14:textId="77777777" w:rsidR="008476AA" w:rsidRPr="00B63CD0" w:rsidRDefault="008476AA" w:rsidP="007441A9">
            <w:pPr>
              <w:pStyle w:val="TableText0"/>
              <w:keepNext w:val="0"/>
              <w:keepLines w:val="0"/>
              <w:ind w:left="166"/>
            </w:pPr>
            <w:r w:rsidRPr="00B63CD0">
              <w:t>3.5%</w:t>
            </w:r>
          </w:p>
        </w:tc>
        <w:tc>
          <w:tcPr>
            <w:tcW w:w="864" w:type="pct"/>
            <w:tcBorders>
              <w:top w:val="nil"/>
              <w:left w:val="single" w:sz="4" w:space="0" w:color="auto"/>
              <w:bottom w:val="single" w:sz="4" w:space="0" w:color="auto"/>
              <w:right w:val="single" w:sz="4" w:space="0" w:color="auto"/>
            </w:tcBorders>
            <w:vAlign w:val="center"/>
            <w:hideMark/>
          </w:tcPr>
          <w:p w14:paraId="4C3335D7" w14:textId="07062B7E" w:rsidR="008476AA" w:rsidRPr="00820039"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nil"/>
              <w:left w:val="single" w:sz="4" w:space="0" w:color="auto"/>
              <w:bottom w:val="single" w:sz="4" w:space="0" w:color="auto"/>
              <w:right w:val="single" w:sz="4" w:space="0" w:color="auto"/>
            </w:tcBorders>
            <w:vAlign w:val="center"/>
            <w:hideMark/>
          </w:tcPr>
          <w:p w14:paraId="63A55185" w14:textId="022F13F8" w:rsidR="008476AA" w:rsidRPr="00B63CD0" w:rsidRDefault="008476AA" w:rsidP="007441A9">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B63CD0">
              <w:t>%</w:t>
            </w:r>
          </w:p>
        </w:tc>
        <w:tc>
          <w:tcPr>
            <w:tcW w:w="864" w:type="pct"/>
            <w:tcBorders>
              <w:top w:val="nil"/>
              <w:left w:val="single" w:sz="4" w:space="0" w:color="auto"/>
              <w:bottom w:val="single" w:sz="4" w:space="0" w:color="auto"/>
              <w:right w:val="single" w:sz="4" w:space="0" w:color="auto"/>
            </w:tcBorders>
            <w:vAlign w:val="center"/>
            <w:hideMark/>
          </w:tcPr>
          <w:p w14:paraId="5835420B" w14:textId="22F59FB2"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5E67EC" w:rsidRPr="005E67EC">
              <w:rPr>
                <w:vertAlign w:val="superscript"/>
              </w:rPr>
              <w:t>3</w:t>
            </w:r>
          </w:p>
        </w:tc>
        <w:tc>
          <w:tcPr>
            <w:tcW w:w="758" w:type="pct"/>
            <w:tcBorders>
              <w:top w:val="nil"/>
              <w:left w:val="single" w:sz="4" w:space="0" w:color="auto"/>
              <w:bottom w:val="single" w:sz="4" w:space="0" w:color="auto"/>
              <w:right w:val="single" w:sz="4" w:space="0" w:color="auto"/>
            </w:tcBorders>
            <w:vAlign w:val="center"/>
            <w:hideMark/>
          </w:tcPr>
          <w:p w14:paraId="07FC6843" w14:textId="16FF2925" w:rsidR="008476AA" w:rsidRPr="00B63CD0" w:rsidRDefault="008476AA" w:rsidP="007441A9">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B63CD0">
              <w:t>%</w:t>
            </w:r>
          </w:p>
        </w:tc>
      </w:tr>
      <w:tr w:rsidR="00ED509D" w:rsidRPr="00B63CD0" w14:paraId="33EED3DF" w14:textId="77777777" w:rsidTr="00142C15">
        <w:tc>
          <w:tcPr>
            <w:tcW w:w="5000" w:type="pct"/>
            <w:gridSpan w:val="5"/>
            <w:tcBorders>
              <w:top w:val="single" w:sz="4" w:space="0" w:color="auto"/>
              <w:left w:val="single" w:sz="4" w:space="0" w:color="auto"/>
              <w:bottom w:val="nil"/>
              <w:right w:val="single" w:sz="4" w:space="0" w:color="auto"/>
            </w:tcBorders>
            <w:vAlign w:val="center"/>
            <w:hideMark/>
          </w:tcPr>
          <w:p w14:paraId="078C7EF3" w14:textId="77777777" w:rsidR="00ED509D" w:rsidRPr="00B63CD0" w:rsidRDefault="00ED509D" w:rsidP="007441A9">
            <w:pPr>
              <w:pStyle w:val="TableText0"/>
              <w:keepNext w:val="0"/>
              <w:keepLines w:val="0"/>
            </w:pPr>
            <w:r w:rsidRPr="00B63CD0">
              <w:t>Time horizon (base case 30 years)</w:t>
            </w:r>
          </w:p>
        </w:tc>
      </w:tr>
      <w:tr w:rsidR="008476AA" w:rsidRPr="00B63CD0" w14:paraId="5003CE92" w14:textId="77777777" w:rsidTr="00E25F99">
        <w:tc>
          <w:tcPr>
            <w:tcW w:w="1727" w:type="pct"/>
            <w:tcBorders>
              <w:top w:val="nil"/>
              <w:left w:val="single" w:sz="4" w:space="0" w:color="auto"/>
              <w:bottom w:val="nil"/>
              <w:right w:val="single" w:sz="4" w:space="0" w:color="auto"/>
            </w:tcBorders>
            <w:vAlign w:val="center"/>
            <w:hideMark/>
          </w:tcPr>
          <w:p w14:paraId="6C42D033" w14:textId="77777777" w:rsidR="008476AA" w:rsidRPr="00B63CD0" w:rsidRDefault="008476AA" w:rsidP="007441A9">
            <w:pPr>
              <w:pStyle w:val="TableText0"/>
              <w:keepNext w:val="0"/>
              <w:keepLines w:val="0"/>
              <w:ind w:firstLine="166"/>
            </w:pPr>
            <w:r w:rsidRPr="00B63CD0">
              <w:t>10</w:t>
            </w:r>
          </w:p>
        </w:tc>
        <w:tc>
          <w:tcPr>
            <w:tcW w:w="864" w:type="pct"/>
            <w:tcBorders>
              <w:top w:val="nil"/>
              <w:left w:val="single" w:sz="4" w:space="0" w:color="auto"/>
              <w:bottom w:val="nil"/>
              <w:right w:val="single" w:sz="4" w:space="0" w:color="auto"/>
            </w:tcBorders>
            <w:vAlign w:val="center"/>
            <w:hideMark/>
          </w:tcPr>
          <w:p w14:paraId="5A3A2B96" w14:textId="0CCCC2B4"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7710CB" w:rsidRPr="005E67EC">
              <w:rPr>
                <w:vertAlign w:val="superscript"/>
              </w:rPr>
              <w:t>3</w:t>
            </w:r>
          </w:p>
        </w:tc>
        <w:tc>
          <w:tcPr>
            <w:tcW w:w="787" w:type="pct"/>
            <w:tcBorders>
              <w:top w:val="nil"/>
              <w:left w:val="single" w:sz="4" w:space="0" w:color="auto"/>
              <w:bottom w:val="nil"/>
              <w:right w:val="single" w:sz="4" w:space="0" w:color="auto"/>
            </w:tcBorders>
            <w:vAlign w:val="center"/>
            <w:hideMark/>
          </w:tcPr>
          <w:p w14:paraId="04A70B76" w14:textId="7ED56C51"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c>
          <w:tcPr>
            <w:tcW w:w="864" w:type="pct"/>
            <w:tcBorders>
              <w:top w:val="nil"/>
              <w:left w:val="single" w:sz="4" w:space="0" w:color="auto"/>
              <w:bottom w:val="nil"/>
              <w:right w:val="single" w:sz="4" w:space="0" w:color="auto"/>
            </w:tcBorders>
            <w:vAlign w:val="center"/>
            <w:hideMark/>
          </w:tcPr>
          <w:p w14:paraId="176F6BE9" w14:textId="68527F7C"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722A7D" w:rsidRPr="00722A7D">
              <w:rPr>
                <w:vertAlign w:val="superscript"/>
              </w:rPr>
              <w:t>4</w:t>
            </w:r>
          </w:p>
        </w:tc>
        <w:tc>
          <w:tcPr>
            <w:tcW w:w="758" w:type="pct"/>
            <w:tcBorders>
              <w:top w:val="nil"/>
              <w:left w:val="single" w:sz="4" w:space="0" w:color="auto"/>
              <w:bottom w:val="nil"/>
              <w:right w:val="single" w:sz="4" w:space="0" w:color="auto"/>
            </w:tcBorders>
            <w:vAlign w:val="center"/>
            <w:hideMark/>
          </w:tcPr>
          <w:p w14:paraId="7BF70EE8" w14:textId="11F30C4E"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8476AA" w:rsidRPr="00B63CD0" w14:paraId="5ED9EA12" w14:textId="77777777" w:rsidTr="00E25F99">
        <w:tc>
          <w:tcPr>
            <w:tcW w:w="1727" w:type="pct"/>
            <w:tcBorders>
              <w:top w:val="nil"/>
              <w:left w:val="single" w:sz="4" w:space="0" w:color="auto"/>
              <w:bottom w:val="nil"/>
              <w:right w:val="single" w:sz="4" w:space="0" w:color="auto"/>
            </w:tcBorders>
            <w:vAlign w:val="center"/>
            <w:hideMark/>
          </w:tcPr>
          <w:p w14:paraId="3D188D48" w14:textId="77777777" w:rsidR="008476AA" w:rsidRPr="00B63CD0" w:rsidRDefault="008476AA" w:rsidP="007441A9">
            <w:pPr>
              <w:pStyle w:val="TableText0"/>
              <w:keepNext w:val="0"/>
              <w:keepLines w:val="0"/>
              <w:ind w:firstLine="166"/>
            </w:pPr>
            <w:r w:rsidRPr="00B63CD0">
              <w:t>15</w:t>
            </w:r>
          </w:p>
        </w:tc>
        <w:tc>
          <w:tcPr>
            <w:tcW w:w="864" w:type="pct"/>
            <w:tcBorders>
              <w:top w:val="nil"/>
              <w:left w:val="single" w:sz="4" w:space="0" w:color="auto"/>
              <w:bottom w:val="nil"/>
              <w:right w:val="single" w:sz="4" w:space="0" w:color="auto"/>
            </w:tcBorders>
            <w:vAlign w:val="center"/>
            <w:hideMark/>
          </w:tcPr>
          <w:p w14:paraId="71F0DF9D" w14:textId="566AD970"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nil"/>
              <w:left w:val="single" w:sz="4" w:space="0" w:color="auto"/>
              <w:bottom w:val="nil"/>
              <w:right w:val="single" w:sz="4" w:space="0" w:color="auto"/>
            </w:tcBorders>
            <w:vAlign w:val="center"/>
            <w:hideMark/>
          </w:tcPr>
          <w:p w14:paraId="40BF8FC8" w14:textId="207486CE"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c>
          <w:tcPr>
            <w:tcW w:w="864" w:type="pct"/>
            <w:tcBorders>
              <w:top w:val="nil"/>
              <w:left w:val="single" w:sz="4" w:space="0" w:color="auto"/>
              <w:bottom w:val="nil"/>
              <w:right w:val="single" w:sz="4" w:space="0" w:color="auto"/>
            </w:tcBorders>
            <w:vAlign w:val="center"/>
            <w:hideMark/>
          </w:tcPr>
          <w:p w14:paraId="0FFBCE57" w14:textId="719D9B31"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005186" w:rsidRPr="00722A7D">
              <w:rPr>
                <w:vertAlign w:val="superscript"/>
              </w:rPr>
              <w:t>2</w:t>
            </w:r>
          </w:p>
        </w:tc>
        <w:tc>
          <w:tcPr>
            <w:tcW w:w="758" w:type="pct"/>
            <w:tcBorders>
              <w:top w:val="nil"/>
              <w:left w:val="single" w:sz="4" w:space="0" w:color="auto"/>
              <w:bottom w:val="nil"/>
              <w:right w:val="single" w:sz="4" w:space="0" w:color="auto"/>
            </w:tcBorders>
            <w:vAlign w:val="center"/>
            <w:hideMark/>
          </w:tcPr>
          <w:p w14:paraId="193D4702" w14:textId="05752255"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7441A9">
              <w:t>%</w:t>
            </w:r>
          </w:p>
        </w:tc>
      </w:tr>
      <w:tr w:rsidR="008476AA" w:rsidRPr="00B63CD0" w14:paraId="7F1024C6" w14:textId="77777777" w:rsidTr="00E25F99">
        <w:tc>
          <w:tcPr>
            <w:tcW w:w="1727" w:type="pct"/>
            <w:tcBorders>
              <w:top w:val="nil"/>
              <w:left w:val="single" w:sz="4" w:space="0" w:color="auto"/>
              <w:bottom w:val="single" w:sz="4" w:space="0" w:color="auto"/>
              <w:right w:val="single" w:sz="4" w:space="0" w:color="auto"/>
            </w:tcBorders>
            <w:vAlign w:val="center"/>
            <w:hideMark/>
          </w:tcPr>
          <w:p w14:paraId="68F5A647" w14:textId="77777777" w:rsidR="008476AA" w:rsidRPr="00B63CD0" w:rsidRDefault="008476AA" w:rsidP="007441A9">
            <w:pPr>
              <w:pStyle w:val="TableText0"/>
              <w:keepNext w:val="0"/>
              <w:keepLines w:val="0"/>
              <w:ind w:firstLine="166"/>
            </w:pPr>
            <w:r w:rsidRPr="00B63CD0">
              <w:t>20</w:t>
            </w:r>
          </w:p>
        </w:tc>
        <w:tc>
          <w:tcPr>
            <w:tcW w:w="864" w:type="pct"/>
            <w:tcBorders>
              <w:top w:val="nil"/>
              <w:left w:val="single" w:sz="4" w:space="0" w:color="auto"/>
              <w:bottom w:val="single" w:sz="4" w:space="0" w:color="auto"/>
              <w:right w:val="single" w:sz="4" w:space="0" w:color="auto"/>
            </w:tcBorders>
            <w:vAlign w:val="center"/>
            <w:hideMark/>
          </w:tcPr>
          <w:p w14:paraId="32F8E7A8" w14:textId="09230A24"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nil"/>
              <w:left w:val="single" w:sz="4" w:space="0" w:color="auto"/>
              <w:bottom w:val="single" w:sz="4" w:space="0" w:color="auto"/>
              <w:right w:val="single" w:sz="4" w:space="0" w:color="auto"/>
            </w:tcBorders>
            <w:vAlign w:val="center"/>
            <w:hideMark/>
          </w:tcPr>
          <w:p w14:paraId="11DBE729" w14:textId="53472633" w:rsidR="008476AA" w:rsidRPr="00B63CD0" w:rsidRDefault="008476AA" w:rsidP="007441A9">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B63CD0">
              <w:t>%</w:t>
            </w:r>
          </w:p>
        </w:tc>
        <w:tc>
          <w:tcPr>
            <w:tcW w:w="864" w:type="pct"/>
            <w:tcBorders>
              <w:top w:val="nil"/>
              <w:left w:val="single" w:sz="4" w:space="0" w:color="auto"/>
              <w:bottom w:val="single" w:sz="4" w:space="0" w:color="auto"/>
              <w:right w:val="single" w:sz="4" w:space="0" w:color="auto"/>
            </w:tcBorders>
            <w:vAlign w:val="center"/>
            <w:hideMark/>
          </w:tcPr>
          <w:p w14:paraId="3C3FBC2D" w14:textId="2B7F2DCB"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F012EC" w:rsidRPr="00126FCB">
              <w:rPr>
                <w:vertAlign w:val="superscript"/>
              </w:rPr>
              <w:t>2</w:t>
            </w:r>
          </w:p>
        </w:tc>
        <w:tc>
          <w:tcPr>
            <w:tcW w:w="758" w:type="pct"/>
            <w:tcBorders>
              <w:top w:val="nil"/>
              <w:left w:val="single" w:sz="4" w:space="0" w:color="auto"/>
              <w:bottom w:val="single" w:sz="4" w:space="0" w:color="auto"/>
              <w:right w:val="single" w:sz="4" w:space="0" w:color="auto"/>
            </w:tcBorders>
            <w:vAlign w:val="center"/>
            <w:hideMark/>
          </w:tcPr>
          <w:p w14:paraId="12BD3111" w14:textId="3C2D360D"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8476AA" w:rsidRPr="00B63CD0" w14:paraId="59A4777C" w14:textId="77777777" w:rsidTr="008476AA">
        <w:tc>
          <w:tcPr>
            <w:tcW w:w="5000" w:type="pct"/>
            <w:gridSpan w:val="5"/>
            <w:tcBorders>
              <w:top w:val="single" w:sz="4" w:space="0" w:color="auto"/>
              <w:left w:val="single" w:sz="4" w:space="0" w:color="auto"/>
              <w:bottom w:val="nil"/>
              <w:right w:val="single" w:sz="4" w:space="0" w:color="auto"/>
            </w:tcBorders>
            <w:vAlign w:val="center"/>
            <w:hideMark/>
          </w:tcPr>
          <w:p w14:paraId="3834B8DB" w14:textId="1C2E9BCE" w:rsidR="008476AA" w:rsidRPr="00B63CD0" w:rsidRDefault="008476AA" w:rsidP="007441A9">
            <w:pPr>
              <w:pStyle w:val="TableText0"/>
              <w:keepNext w:val="0"/>
              <w:keepLines w:val="0"/>
            </w:pPr>
            <w:r w:rsidRPr="00B63CD0">
              <w:t>OS extrapolation approach (base KM + independent parametric)</w:t>
            </w:r>
          </w:p>
        </w:tc>
      </w:tr>
      <w:tr w:rsidR="008476AA" w:rsidRPr="00B63CD0" w14:paraId="0422BDB9" w14:textId="77777777" w:rsidTr="00E25F99">
        <w:tc>
          <w:tcPr>
            <w:tcW w:w="1727" w:type="pct"/>
            <w:tcBorders>
              <w:top w:val="nil"/>
              <w:left w:val="single" w:sz="4" w:space="0" w:color="auto"/>
              <w:bottom w:val="nil"/>
              <w:right w:val="single" w:sz="4" w:space="0" w:color="auto"/>
            </w:tcBorders>
            <w:vAlign w:val="center"/>
            <w:hideMark/>
          </w:tcPr>
          <w:p w14:paraId="1588A64B" w14:textId="3ECF1E9E" w:rsidR="008476AA" w:rsidRPr="00B63CD0" w:rsidRDefault="008476AA" w:rsidP="007441A9">
            <w:pPr>
              <w:pStyle w:val="TableText0"/>
              <w:keepNext w:val="0"/>
              <w:keepLines w:val="0"/>
            </w:pPr>
            <w:r>
              <w:t xml:space="preserve">    </w:t>
            </w:r>
            <w:r w:rsidRPr="00B63CD0">
              <w:t>KM + prop</w:t>
            </w:r>
            <w:r w:rsidR="00C02E47">
              <w:t>ortional</w:t>
            </w:r>
            <w:r w:rsidRPr="00B63CD0">
              <w:t xml:space="preserve"> hazards </w:t>
            </w:r>
          </w:p>
        </w:tc>
        <w:tc>
          <w:tcPr>
            <w:tcW w:w="864" w:type="pct"/>
            <w:tcBorders>
              <w:top w:val="nil"/>
              <w:left w:val="single" w:sz="4" w:space="0" w:color="auto"/>
              <w:bottom w:val="nil"/>
              <w:right w:val="single" w:sz="4" w:space="0" w:color="auto"/>
            </w:tcBorders>
            <w:vAlign w:val="center"/>
            <w:hideMark/>
          </w:tcPr>
          <w:p w14:paraId="36604158" w14:textId="5D9DD36C"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nil"/>
              <w:left w:val="single" w:sz="4" w:space="0" w:color="auto"/>
              <w:bottom w:val="nil"/>
              <w:right w:val="single" w:sz="4" w:space="0" w:color="auto"/>
            </w:tcBorders>
            <w:vAlign w:val="center"/>
            <w:hideMark/>
          </w:tcPr>
          <w:p w14:paraId="25B7AC5B" w14:textId="63CBAD26"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c>
          <w:tcPr>
            <w:tcW w:w="864" w:type="pct"/>
            <w:tcBorders>
              <w:top w:val="nil"/>
              <w:left w:val="single" w:sz="4" w:space="0" w:color="auto"/>
              <w:bottom w:val="nil"/>
              <w:right w:val="single" w:sz="4" w:space="0" w:color="auto"/>
            </w:tcBorders>
            <w:vAlign w:val="center"/>
            <w:hideMark/>
          </w:tcPr>
          <w:p w14:paraId="125BDB4E" w14:textId="1DBD7698"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F012EC" w:rsidRPr="00126FCB">
              <w:rPr>
                <w:vertAlign w:val="superscript"/>
              </w:rPr>
              <w:t>2</w:t>
            </w:r>
          </w:p>
        </w:tc>
        <w:tc>
          <w:tcPr>
            <w:tcW w:w="758" w:type="pct"/>
            <w:tcBorders>
              <w:top w:val="nil"/>
              <w:left w:val="single" w:sz="4" w:space="0" w:color="auto"/>
              <w:bottom w:val="nil"/>
              <w:right w:val="single" w:sz="4" w:space="0" w:color="auto"/>
            </w:tcBorders>
            <w:vAlign w:val="center"/>
            <w:hideMark/>
          </w:tcPr>
          <w:p w14:paraId="633F07FF" w14:textId="3450F072"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8476AA" w:rsidRPr="00B63CD0" w14:paraId="0C3DC13A" w14:textId="77777777" w:rsidTr="00E25F99">
        <w:tc>
          <w:tcPr>
            <w:tcW w:w="1727" w:type="pct"/>
            <w:tcBorders>
              <w:top w:val="nil"/>
              <w:left w:val="single" w:sz="4" w:space="0" w:color="auto"/>
              <w:bottom w:val="nil"/>
              <w:right w:val="single" w:sz="4" w:space="0" w:color="auto"/>
            </w:tcBorders>
            <w:vAlign w:val="center"/>
            <w:hideMark/>
          </w:tcPr>
          <w:p w14:paraId="43D50DE4" w14:textId="77777777" w:rsidR="008476AA" w:rsidRPr="00B63CD0" w:rsidRDefault="008476AA" w:rsidP="007441A9">
            <w:pPr>
              <w:pStyle w:val="TableText0"/>
              <w:keepNext w:val="0"/>
              <w:keepLines w:val="0"/>
              <w:ind w:left="166"/>
            </w:pPr>
            <w:r w:rsidRPr="00B63CD0">
              <w:t>Parametric Time 0</w:t>
            </w:r>
          </w:p>
        </w:tc>
        <w:tc>
          <w:tcPr>
            <w:tcW w:w="864" w:type="pct"/>
            <w:tcBorders>
              <w:top w:val="nil"/>
              <w:left w:val="single" w:sz="4" w:space="0" w:color="auto"/>
              <w:bottom w:val="nil"/>
              <w:right w:val="single" w:sz="4" w:space="0" w:color="auto"/>
            </w:tcBorders>
            <w:vAlign w:val="center"/>
            <w:hideMark/>
          </w:tcPr>
          <w:p w14:paraId="5F82B9B2" w14:textId="385071FC"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nil"/>
              <w:left w:val="single" w:sz="4" w:space="0" w:color="auto"/>
              <w:bottom w:val="nil"/>
              <w:right w:val="single" w:sz="4" w:space="0" w:color="auto"/>
            </w:tcBorders>
            <w:vAlign w:val="center"/>
            <w:hideMark/>
          </w:tcPr>
          <w:p w14:paraId="351AC1A6" w14:textId="4CD58511"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t>%</w:t>
            </w:r>
          </w:p>
        </w:tc>
        <w:tc>
          <w:tcPr>
            <w:tcW w:w="864" w:type="pct"/>
            <w:tcBorders>
              <w:top w:val="nil"/>
              <w:left w:val="single" w:sz="4" w:space="0" w:color="auto"/>
              <w:bottom w:val="nil"/>
              <w:right w:val="single" w:sz="4" w:space="0" w:color="auto"/>
            </w:tcBorders>
            <w:vAlign w:val="center"/>
            <w:hideMark/>
          </w:tcPr>
          <w:p w14:paraId="5E83CAEE" w14:textId="269A4B2A"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2D62F1" w:rsidRPr="00126FCB">
              <w:rPr>
                <w:vertAlign w:val="superscript"/>
              </w:rPr>
              <w:t>2</w:t>
            </w:r>
          </w:p>
        </w:tc>
        <w:tc>
          <w:tcPr>
            <w:tcW w:w="758" w:type="pct"/>
            <w:tcBorders>
              <w:top w:val="nil"/>
              <w:left w:val="single" w:sz="4" w:space="0" w:color="auto"/>
              <w:bottom w:val="nil"/>
              <w:right w:val="single" w:sz="4" w:space="0" w:color="auto"/>
            </w:tcBorders>
            <w:vAlign w:val="center"/>
            <w:hideMark/>
          </w:tcPr>
          <w:p w14:paraId="24BD4646" w14:textId="24ECFBD2"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8476AA" w:rsidRPr="00B63CD0" w14:paraId="0F06E3F1" w14:textId="77777777" w:rsidTr="00E25F99">
        <w:tc>
          <w:tcPr>
            <w:tcW w:w="1727" w:type="pct"/>
            <w:tcBorders>
              <w:top w:val="nil"/>
              <w:left w:val="single" w:sz="4" w:space="0" w:color="auto"/>
              <w:bottom w:val="single" w:sz="4" w:space="0" w:color="auto"/>
              <w:right w:val="single" w:sz="4" w:space="0" w:color="auto"/>
            </w:tcBorders>
            <w:vAlign w:val="center"/>
            <w:hideMark/>
          </w:tcPr>
          <w:p w14:paraId="382A80B9" w14:textId="77777777" w:rsidR="008476AA" w:rsidRPr="00B63CD0" w:rsidRDefault="008476AA" w:rsidP="007441A9">
            <w:pPr>
              <w:pStyle w:val="TableText0"/>
              <w:keepNext w:val="0"/>
              <w:keepLines w:val="0"/>
              <w:ind w:left="166"/>
            </w:pPr>
            <w:r w:rsidRPr="00B63CD0">
              <w:t xml:space="preserve">Constant probability </w:t>
            </w:r>
          </w:p>
        </w:tc>
        <w:tc>
          <w:tcPr>
            <w:tcW w:w="864" w:type="pct"/>
            <w:tcBorders>
              <w:top w:val="nil"/>
              <w:left w:val="single" w:sz="4" w:space="0" w:color="auto"/>
              <w:bottom w:val="single" w:sz="4" w:space="0" w:color="auto"/>
              <w:right w:val="single" w:sz="4" w:space="0" w:color="auto"/>
            </w:tcBorders>
            <w:vAlign w:val="center"/>
            <w:hideMark/>
          </w:tcPr>
          <w:p w14:paraId="51990AF4" w14:textId="4225544A"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nil"/>
              <w:left w:val="single" w:sz="4" w:space="0" w:color="auto"/>
              <w:bottom w:val="single" w:sz="4" w:space="0" w:color="auto"/>
              <w:right w:val="single" w:sz="4" w:space="0" w:color="auto"/>
            </w:tcBorders>
            <w:vAlign w:val="center"/>
            <w:hideMark/>
          </w:tcPr>
          <w:p w14:paraId="774612FF" w14:textId="3249F74B" w:rsidR="008476AA" w:rsidRPr="00B63CD0" w:rsidRDefault="008476AA" w:rsidP="007441A9">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E25F99">
              <w:t>%</w:t>
            </w:r>
          </w:p>
        </w:tc>
        <w:tc>
          <w:tcPr>
            <w:tcW w:w="864" w:type="pct"/>
            <w:tcBorders>
              <w:top w:val="nil"/>
              <w:left w:val="single" w:sz="4" w:space="0" w:color="auto"/>
              <w:bottom w:val="single" w:sz="4" w:space="0" w:color="auto"/>
              <w:right w:val="single" w:sz="4" w:space="0" w:color="auto"/>
            </w:tcBorders>
            <w:vAlign w:val="center"/>
            <w:hideMark/>
          </w:tcPr>
          <w:p w14:paraId="5653B11A" w14:textId="15231B4B"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7710CB" w:rsidRPr="005E67EC">
              <w:rPr>
                <w:vertAlign w:val="superscript"/>
              </w:rPr>
              <w:t>3</w:t>
            </w:r>
          </w:p>
        </w:tc>
        <w:tc>
          <w:tcPr>
            <w:tcW w:w="758" w:type="pct"/>
            <w:tcBorders>
              <w:top w:val="nil"/>
              <w:left w:val="single" w:sz="4" w:space="0" w:color="auto"/>
              <w:bottom w:val="single" w:sz="4" w:space="0" w:color="auto"/>
              <w:right w:val="single" w:sz="4" w:space="0" w:color="auto"/>
            </w:tcBorders>
            <w:vAlign w:val="center"/>
            <w:hideMark/>
          </w:tcPr>
          <w:p w14:paraId="3359971C" w14:textId="0EE63B66" w:rsidR="008476AA" w:rsidRPr="00B63CD0" w:rsidRDefault="008476AA" w:rsidP="007441A9">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B63CD0">
              <w:t>%</w:t>
            </w:r>
          </w:p>
        </w:tc>
      </w:tr>
      <w:tr w:rsidR="00ED509D" w:rsidRPr="00B63CD0" w14:paraId="7BC32FB5" w14:textId="77777777" w:rsidTr="00142C15">
        <w:tc>
          <w:tcPr>
            <w:tcW w:w="5000" w:type="pct"/>
            <w:gridSpan w:val="5"/>
            <w:tcBorders>
              <w:top w:val="single" w:sz="4" w:space="0" w:color="auto"/>
              <w:left w:val="single" w:sz="4" w:space="0" w:color="auto"/>
              <w:bottom w:val="nil"/>
              <w:right w:val="single" w:sz="4" w:space="0" w:color="auto"/>
            </w:tcBorders>
            <w:vAlign w:val="center"/>
            <w:hideMark/>
          </w:tcPr>
          <w:p w14:paraId="16635511" w14:textId="77777777" w:rsidR="00ED509D" w:rsidRPr="00B63CD0" w:rsidRDefault="00ED509D" w:rsidP="007441A9">
            <w:pPr>
              <w:pStyle w:val="TableText0"/>
              <w:keepNext w:val="0"/>
              <w:keepLines w:val="0"/>
            </w:pPr>
            <w:r w:rsidRPr="00B63CD0">
              <w:t>OS hazard rates in each health state equal to ADT arm from Year (base treatment dependent)</w:t>
            </w:r>
          </w:p>
        </w:tc>
      </w:tr>
      <w:tr w:rsidR="008476AA" w:rsidRPr="00B63CD0" w14:paraId="166362F9" w14:textId="77777777" w:rsidTr="00E25F99">
        <w:tc>
          <w:tcPr>
            <w:tcW w:w="1727" w:type="pct"/>
            <w:tcBorders>
              <w:top w:val="nil"/>
              <w:left w:val="single" w:sz="4" w:space="0" w:color="auto"/>
              <w:bottom w:val="nil"/>
              <w:right w:val="single" w:sz="4" w:space="0" w:color="auto"/>
            </w:tcBorders>
            <w:vAlign w:val="center"/>
            <w:hideMark/>
          </w:tcPr>
          <w:p w14:paraId="0A0A3E59" w14:textId="77777777" w:rsidR="008476AA" w:rsidRPr="00B63CD0" w:rsidRDefault="008476AA" w:rsidP="007441A9">
            <w:pPr>
              <w:pStyle w:val="TableText0"/>
              <w:keepNext w:val="0"/>
              <w:keepLines w:val="0"/>
              <w:ind w:firstLine="166"/>
            </w:pPr>
            <w:r w:rsidRPr="00B63CD0">
              <w:t>0</w:t>
            </w:r>
          </w:p>
        </w:tc>
        <w:tc>
          <w:tcPr>
            <w:tcW w:w="864" w:type="pct"/>
            <w:tcBorders>
              <w:top w:val="nil"/>
              <w:left w:val="single" w:sz="4" w:space="0" w:color="auto"/>
              <w:bottom w:val="nil"/>
              <w:right w:val="single" w:sz="4" w:space="0" w:color="auto"/>
            </w:tcBorders>
            <w:vAlign w:val="center"/>
            <w:hideMark/>
          </w:tcPr>
          <w:p w14:paraId="46069F18" w14:textId="69D48429"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A71D79" w:rsidRPr="00126FCB">
              <w:rPr>
                <w:vertAlign w:val="superscript"/>
              </w:rPr>
              <w:t>2</w:t>
            </w:r>
          </w:p>
        </w:tc>
        <w:tc>
          <w:tcPr>
            <w:tcW w:w="787" w:type="pct"/>
            <w:tcBorders>
              <w:top w:val="nil"/>
              <w:left w:val="single" w:sz="4" w:space="0" w:color="auto"/>
              <w:bottom w:val="nil"/>
              <w:right w:val="single" w:sz="4" w:space="0" w:color="auto"/>
            </w:tcBorders>
            <w:vAlign w:val="center"/>
            <w:hideMark/>
          </w:tcPr>
          <w:p w14:paraId="07122F7E" w14:textId="39F761E1"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c>
          <w:tcPr>
            <w:tcW w:w="864" w:type="pct"/>
            <w:tcBorders>
              <w:top w:val="nil"/>
              <w:left w:val="single" w:sz="4" w:space="0" w:color="auto"/>
              <w:bottom w:val="nil"/>
              <w:right w:val="single" w:sz="4" w:space="0" w:color="auto"/>
            </w:tcBorders>
            <w:vAlign w:val="center"/>
            <w:hideMark/>
          </w:tcPr>
          <w:p w14:paraId="5FB4AB18" w14:textId="327544BA"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F42D27" w:rsidRPr="00B117FE">
              <w:rPr>
                <w:vertAlign w:val="superscript"/>
              </w:rPr>
              <w:t>4</w:t>
            </w:r>
          </w:p>
        </w:tc>
        <w:tc>
          <w:tcPr>
            <w:tcW w:w="758" w:type="pct"/>
            <w:tcBorders>
              <w:top w:val="nil"/>
              <w:left w:val="single" w:sz="4" w:space="0" w:color="auto"/>
              <w:bottom w:val="nil"/>
              <w:right w:val="single" w:sz="4" w:space="0" w:color="auto"/>
            </w:tcBorders>
            <w:vAlign w:val="center"/>
            <w:hideMark/>
          </w:tcPr>
          <w:p w14:paraId="023A6C8F" w14:textId="52AC47E4"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t>%</w:t>
            </w:r>
          </w:p>
        </w:tc>
      </w:tr>
      <w:tr w:rsidR="008476AA" w:rsidRPr="00B63CD0" w14:paraId="64F3A41D" w14:textId="77777777" w:rsidTr="00E25F99">
        <w:tc>
          <w:tcPr>
            <w:tcW w:w="1727" w:type="pct"/>
            <w:tcBorders>
              <w:top w:val="nil"/>
              <w:left w:val="single" w:sz="4" w:space="0" w:color="auto"/>
              <w:bottom w:val="nil"/>
              <w:right w:val="single" w:sz="4" w:space="0" w:color="auto"/>
            </w:tcBorders>
            <w:vAlign w:val="center"/>
            <w:hideMark/>
          </w:tcPr>
          <w:p w14:paraId="7DD8B232" w14:textId="77777777" w:rsidR="008476AA" w:rsidRPr="00B63CD0" w:rsidRDefault="008476AA" w:rsidP="007441A9">
            <w:pPr>
              <w:pStyle w:val="TableText0"/>
              <w:keepNext w:val="0"/>
              <w:keepLines w:val="0"/>
              <w:ind w:firstLine="166"/>
            </w:pPr>
            <w:r w:rsidRPr="00B63CD0">
              <w:t>10</w:t>
            </w:r>
          </w:p>
        </w:tc>
        <w:tc>
          <w:tcPr>
            <w:tcW w:w="864" w:type="pct"/>
            <w:tcBorders>
              <w:top w:val="nil"/>
              <w:left w:val="single" w:sz="4" w:space="0" w:color="auto"/>
              <w:bottom w:val="nil"/>
              <w:right w:val="single" w:sz="4" w:space="0" w:color="auto"/>
            </w:tcBorders>
            <w:vAlign w:val="center"/>
            <w:hideMark/>
          </w:tcPr>
          <w:p w14:paraId="7D392182" w14:textId="60D412EA"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7710CB" w:rsidRPr="005E67EC">
              <w:rPr>
                <w:vertAlign w:val="superscript"/>
              </w:rPr>
              <w:t>3</w:t>
            </w:r>
          </w:p>
        </w:tc>
        <w:tc>
          <w:tcPr>
            <w:tcW w:w="787" w:type="pct"/>
            <w:tcBorders>
              <w:top w:val="nil"/>
              <w:left w:val="single" w:sz="4" w:space="0" w:color="auto"/>
              <w:bottom w:val="nil"/>
              <w:right w:val="single" w:sz="4" w:space="0" w:color="auto"/>
            </w:tcBorders>
            <w:vAlign w:val="center"/>
            <w:hideMark/>
          </w:tcPr>
          <w:p w14:paraId="13C76BB2" w14:textId="58E465D9"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c>
          <w:tcPr>
            <w:tcW w:w="864" w:type="pct"/>
            <w:tcBorders>
              <w:top w:val="nil"/>
              <w:left w:val="single" w:sz="4" w:space="0" w:color="auto"/>
              <w:bottom w:val="nil"/>
              <w:right w:val="single" w:sz="4" w:space="0" w:color="auto"/>
            </w:tcBorders>
            <w:vAlign w:val="center"/>
            <w:hideMark/>
          </w:tcPr>
          <w:p w14:paraId="647B3BB1" w14:textId="2C6C6B43"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550B10" w:rsidRPr="00126FCB">
              <w:rPr>
                <w:vertAlign w:val="superscript"/>
              </w:rPr>
              <w:t>2</w:t>
            </w:r>
          </w:p>
        </w:tc>
        <w:tc>
          <w:tcPr>
            <w:tcW w:w="758" w:type="pct"/>
            <w:tcBorders>
              <w:top w:val="nil"/>
              <w:left w:val="single" w:sz="4" w:space="0" w:color="auto"/>
              <w:bottom w:val="nil"/>
              <w:right w:val="single" w:sz="4" w:space="0" w:color="auto"/>
            </w:tcBorders>
            <w:vAlign w:val="center"/>
            <w:hideMark/>
          </w:tcPr>
          <w:p w14:paraId="38DF2DFA" w14:textId="59245B5A"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ED509D" w:rsidRPr="00B63CD0" w14:paraId="7F22EBA7" w14:textId="77777777" w:rsidTr="00142C15">
        <w:tc>
          <w:tcPr>
            <w:tcW w:w="5000" w:type="pct"/>
            <w:gridSpan w:val="5"/>
            <w:tcBorders>
              <w:top w:val="single" w:sz="4" w:space="0" w:color="auto"/>
              <w:left w:val="single" w:sz="4" w:space="0" w:color="auto"/>
              <w:bottom w:val="nil"/>
              <w:right w:val="single" w:sz="4" w:space="0" w:color="auto"/>
            </w:tcBorders>
            <w:vAlign w:val="center"/>
            <w:hideMark/>
          </w:tcPr>
          <w:p w14:paraId="71EBD3A2" w14:textId="77777777" w:rsidR="00ED509D" w:rsidRPr="00B63CD0" w:rsidRDefault="00ED509D" w:rsidP="007441A9">
            <w:pPr>
              <w:pStyle w:val="TableText0"/>
              <w:keepNext w:val="0"/>
              <w:keepLines w:val="0"/>
            </w:pPr>
            <w:r w:rsidRPr="00B63CD0">
              <w:t>OS extrapolation (base ENZA+ADT Weibull, ENZA mono Gamma, ADT alone Weibull)</w:t>
            </w:r>
          </w:p>
        </w:tc>
      </w:tr>
      <w:tr w:rsidR="008476AA" w:rsidRPr="00B63CD0" w14:paraId="5A48A1D4" w14:textId="77777777" w:rsidTr="00E25F99">
        <w:tc>
          <w:tcPr>
            <w:tcW w:w="1727" w:type="pct"/>
            <w:tcBorders>
              <w:top w:val="nil"/>
              <w:left w:val="single" w:sz="4" w:space="0" w:color="auto"/>
              <w:bottom w:val="nil"/>
              <w:right w:val="single" w:sz="4" w:space="0" w:color="auto"/>
            </w:tcBorders>
            <w:vAlign w:val="center"/>
            <w:hideMark/>
          </w:tcPr>
          <w:p w14:paraId="79B764F8" w14:textId="77777777" w:rsidR="008476AA" w:rsidRPr="00B63CD0" w:rsidRDefault="008476AA" w:rsidP="007441A9">
            <w:pPr>
              <w:pStyle w:val="TableText0"/>
              <w:keepNext w:val="0"/>
              <w:keepLines w:val="0"/>
              <w:ind w:left="166"/>
            </w:pPr>
            <w:r w:rsidRPr="00B63CD0">
              <w:t>Best fit</w:t>
            </w:r>
            <w:r w:rsidRPr="00B63CD0">
              <w:rPr>
                <w:vertAlign w:val="superscript"/>
              </w:rPr>
              <w:t>a</w:t>
            </w:r>
            <w:r w:rsidRPr="00B63CD0">
              <w:t xml:space="preserve"> </w:t>
            </w:r>
          </w:p>
        </w:tc>
        <w:tc>
          <w:tcPr>
            <w:tcW w:w="864" w:type="pct"/>
            <w:tcBorders>
              <w:top w:val="nil"/>
              <w:left w:val="single" w:sz="4" w:space="0" w:color="auto"/>
              <w:bottom w:val="nil"/>
              <w:right w:val="single" w:sz="4" w:space="0" w:color="auto"/>
            </w:tcBorders>
            <w:vAlign w:val="center"/>
            <w:hideMark/>
          </w:tcPr>
          <w:p w14:paraId="0BA96F50" w14:textId="6C2D5328"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nil"/>
              <w:left w:val="single" w:sz="4" w:space="0" w:color="auto"/>
              <w:bottom w:val="nil"/>
              <w:right w:val="single" w:sz="4" w:space="0" w:color="auto"/>
            </w:tcBorders>
            <w:vAlign w:val="center"/>
            <w:hideMark/>
          </w:tcPr>
          <w:p w14:paraId="7E201538" w14:textId="23B93D02" w:rsidR="008476AA" w:rsidRPr="00B63CD0" w:rsidRDefault="008476AA" w:rsidP="007441A9">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B63CD0">
              <w:t>%</w:t>
            </w:r>
          </w:p>
        </w:tc>
        <w:tc>
          <w:tcPr>
            <w:tcW w:w="864" w:type="pct"/>
            <w:tcBorders>
              <w:top w:val="nil"/>
              <w:left w:val="single" w:sz="4" w:space="0" w:color="auto"/>
              <w:bottom w:val="nil"/>
              <w:right w:val="single" w:sz="4" w:space="0" w:color="auto"/>
            </w:tcBorders>
            <w:vAlign w:val="center"/>
            <w:hideMark/>
          </w:tcPr>
          <w:p w14:paraId="2FDAF849" w14:textId="349BCC69"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7710CB" w:rsidRPr="005E67EC">
              <w:rPr>
                <w:vertAlign w:val="superscript"/>
              </w:rPr>
              <w:t>3</w:t>
            </w:r>
          </w:p>
        </w:tc>
        <w:tc>
          <w:tcPr>
            <w:tcW w:w="758" w:type="pct"/>
            <w:tcBorders>
              <w:top w:val="nil"/>
              <w:left w:val="single" w:sz="4" w:space="0" w:color="auto"/>
              <w:bottom w:val="nil"/>
              <w:right w:val="single" w:sz="4" w:space="0" w:color="auto"/>
            </w:tcBorders>
            <w:vAlign w:val="center"/>
            <w:hideMark/>
          </w:tcPr>
          <w:p w14:paraId="18F71761" w14:textId="293353F7" w:rsidR="008476AA" w:rsidRPr="00B63CD0" w:rsidRDefault="008476AA" w:rsidP="007441A9">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B63CD0">
              <w:t>%</w:t>
            </w:r>
          </w:p>
        </w:tc>
      </w:tr>
      <w:tr w:rsidR="008476AA" w:rsidRPr="00B63CD0" w14:paraId="3650C539" w14:textId="77777777" w:rsidTr="00E25F99">
        <w:tc>
          <w:tcPr>
            <w:tcW w:w="1727" w:type="pct"/>
            <w:tcBorders>
              <w:top w:val="nil"/>
              <w:left w:val="single" w:sz="4" w:space="0" w:color="auto"/>
              <w:bottom w:val="single" w:sz="4" w:space="0" w:color="auto"/>
              <w:right w:val="single" w:sz="4" w:space="0" w:color="auto"/>
            </w:tcBorders>
            <w:vAlign w:val="center"/>
            <w:hideMark/>
          </w:tcPr>
          <w:p w14:paraId="2F7527B2" w14:textId="77777777" w:rsidR="008476AA" w:rsidRPr="00B63CD0" w:rsidRDefault="008476AA" w:rsidP="007441A9">
            <w:pPr>
              <w:pStyle w:val="TableText0"/>
              <w:keepNext w:val="0"/>
              <w:keepLines w:val="0"/>
              <w:ind w:left="166"/>
              <w:rPr>
                <w:vertAlign w:val="superscript"/>
              </w:rPr>
            </w:pPr>
            <w:r w:rsidRPr="00B63CD0">
              <w:t xml:space="preserve">Second best </w:t>
            </w:r>
            <w:proofErr w:type="spellStart"/>
            <w:r w:rsidRPr="00B63CD0">
              <w:t>fit</w:t>
            </w:r>
            <w:r w:rsidRPr="00B63CD0">
              <w:rPr>
                <w:vertAlign w:val="superscript"/>
              </w:rPr>
              <w:t>b</w:t>
            </w:r>
            <w:proofErr w:type="spellEnd"/>
          </w:p>
        </w:tc>
        <w:tc>
          <w:tcPr>
            <w:tcW w:w="864" w:type="pct"/>
            <w:tcBorders>
              <w:top w:val="nil"/>
              <w:left w:val="single" w:sz="4" w:space="0" w:color="auto"/>
              <w:bottom w:val="single" w:sz="4" w:space="0" w:color="auto"/>
              <w:right w:val="single" w:sz="4" w:space="0" w:color="auto"/>
            </w:tcBorders>
            <w:vAlign w:val="center"/>
            <w:hideMark/>
          </w:tcPr>
          <w:p w14:paraId="3C809DCC" w14:textId="6B16B1B4"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nil"/>
              <w:left w:val="single" w:sz="4" w:space="0" w:color="auto"/>
              <w:bottom w:val="single" w:sz="4" w:space="0" w:color="auto"/>
              <w:right w:val="single" w:sz="4" w:space="0" w:color="auto"/>
            </w:tcBorders>
            <w:vAlign w:val="center"/>
            <w:hideMark/>
          </w:tcPr>
          <w:p w14:paraId="2D32758D" w14:textId="4B0010AF" w:rsidR="008476AA" w:rsidRPr="00B63CD0" w:rsidRDefault="008476AA" w:rsidP="007441A9">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B63CD0">
              <w:t>%</w:t>
            </w:r>
          </w:p>
        </w:tc>
        <w:tc>
          <w:tcPr>
            <w:tcW w:w="864" w:type="pct"/>
            <w:tcBorders>
              <w:top w:val="nil"/>
              <w:left w:val="single" w:sz="4" w:space="0" w:color="auto"/>
              <w:bottom w:val="single" w:sz="4" w:space="0" w:color="auto"/>
              <w:right w:val="single" w:sz="4" w:space="0" w:color="auto"/>
            </w:tcBorders>
            <w:vAlign w:val="center"/>
            <w:hideMark/>
          </w:tcPr>
          <w:p w14:paraId="03D45EEB" w14:textId="74BAA105"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B117FE" w:rsidRPr="00B117FE">
              <w:rPr>
                <w:vertAlign w:val="superscript"/>
              </w:rPr>
              <w:t>4</w:t>
            </w:r>
          </w:p>
        </w:tc>
        <w:tc>
          <w:tcPr>
            <w:tcW w:w="758" w:type="pct"/>
            <w:tcBorders>
              <w:top w:val="nil"/>
              <w:left w:val="single" w:sz="4" w:space="0" w:color="auto"/>
              <w:bottom w:val="single" w:sz="4" w:space="0" w:color="auto"/>
              <w:right w:val="single" w:sz="4" w:space="0" w:color="auto"/>
            </w:tcBorders>
            <w:vAlign w:val="center"/>
            <w:hideMark/>
          </w:tcPr>
          <w:p w14:paraId="687A4909" w14:textId="734AD985"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ED509D" w:rsidRPr="00B63CD0" w14:paraId="5E2829B9" w14:textId="77777777" w:rsidTr="00142C15">
        <w:tc>
          <w:tcPr>
            <w:tcW w:w="5000" w:type="pct"/>
            <w:gridSpan w:val="5"/>
            <w:tcBorders>
              <w:top w:val="single" w:sz="4" w:space="0" w:color="auto"/>
              <w:left w:val="single" w:sz="4" w:space="0" w:color="auto"/>
              <w:bottom w:val="nil"/>
              <w:right w:val="single" w:sz="4" w:space="0" w:color="auto"/>
            </w:tcBorders>
            <w:vAlign w:val="center"/>
            <w:hideMark/>
          </w:tcPr>
          <w:p w14:paraId="53AAE536" w14:textId="77777777" w:rsidR="00ED509D" w:rsidRPr="00B63CD0" w:rsidRDefault="00ED509D" w:rsidP="007441A9">
            <w:pPr>
              <w:pStyle w:val="TableText0"/>
              <w:keepNext w:val="0"/>
              <w:keepLines w:val="0"/>
            </w:pPr>
            <w:r w:rsidRPr="00B63CD0">
              <w:t>TTD extrapolation approach (base KM + independent parametric)</w:t>
            </w:r>
          </w:p>
        </w:tc>
      </w:tr>
      <w:tr w:rsidR="008476AA" w:rsidRPr="00B63CD0" w14:paraId="633B3A65" w14:textId="77777777" w:rsidTr="00E25F99">
        <w:tc>
          <w:tcPr>
            <w:tcW w:w="1727" w:type="pct"/>
            <w:tcBorders>
              <w:top w:val="nil"/>
              <w:left w:val="single" w:sz="4" w:space="0" w:color="auto"/>
              <w:bottom w:val="nil"/>
              <w:right w:val="single" w:sz="4" w:space="0" w:color="auto"/>
            </w:tcBorders>
            <w:vAlign w:val="center"/>
            <w:hideMark/>
          </w:tcPr>
          <w:p w14:paraId="45D587A2" w14:textId="77777777" w:rsidR="008476AA" w:rsidRPr="00B63CD0" w:rsidRDefault="008476AA" w:rsidP="007441A9">
            <w:pPr>
              <w:pStyle w:val="TableText0"/>
              <w:keepNext w:val="0"/>
              <w:keepLines w:val="0"/>
              <w:ind w:firstLine="166"/>
            </w:pPr>
            <w:r w:rsidRPr="00B63CD0">
              <w:t>Median TTD</w:t>
            </w:r>
          </w:p>
        </w:tc>
        <w:tc>
          <w:tcPr>
            <w:tcW w:w="864" w:type="pct"/>
            <w:tcBorders>
              <w:top w:val="nil"/>
              <w:left w:val="single" w:sz="4" w:space="0" w:color="auto"/>
              <w:bottom w:val="nil"/>
              <w:right w:val="single" w:sz="4" w:space="0" w:color="auto"/>
            </w:tcBorders>
            <w:vAlign w:val="center"/>
            <w:hideMark/>
          </w:tcPr>
          <w:p w14:paraId="2BC11B22" w14:textId="4D977E1B" w:rsidR="008476AA" w:rsidRPr="00B44B99" w:rsidRDefault="00E639BD" w:rsidP="007441A9">
            <w:pPr>
              <w:pStyle w:val="TableText0"/>
              <w:keepNext w:val="0"/>
              <w:keepLines w:val="0"/>
              <w:jc w:val="center"/>
              <w:rPr>
                <w:highlight w:val="darkGray"/>
                <w:vertAlign w:val="superscript"/>
              </w:rPr>
            </w:pPr>
            <w:r w:rsidRPr="00E639BD">
              <w:rPr>
                <w:color w:val="000000"/>
                <w:shd w:val="solid" w:color="000000" w:fill="000000"/>
                <w14:textFill>
                  <w14:solidFill>
                    <w14:srgbClr w14:val="000000">
                      <w14:alpha w14:val="100000"/>
                    </w14:srgbClr>
                  </w14:solidFill>
                </w14:textFill>
              </w:rPr>
              <w:t>|</w:t>
            </w:r>
            <w:r w:rsidR="00B44B99" w:rsidRPr="00B44B99">
              <w:rPr>
                <w:vertAlign w:val="superscript"/>
              </w:rPr>
              <w:t>5</w:t>
            </w:r>
          </w:p>
        </w:tc>
        <w:tc>
          <w:tcPr>
            <w:tcW w:w="787" w:type="pct"/>
            <w:tcBorders>
              <w:top w:val="nil"/>
              <w:left w:val="single" w:sz="4" w:space="0" w:color="auto"/>
              <w:bottom w:val="nil"/>
              <w:right w:val="single" w:sz="4" w:space="0" w:color="auto"/>
            </w:tcBorders>
            <w:vAlign w:val="center"/>
            <w:hideMark/>
          </w:tcPr>
          <w:p w14:paraId="2A3AB38E" w14:textId="4115EAB6" w:rsidR="008476AA" w:rsidRPr="00B63CD0" w:rsidRDefault="008476AA" w:rsidP="007441A9">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B63CD0">
              <w:t>%</w:t>
            </w:r>
          </w:p>
        </w:tc>
        <w:tc>
          <w:tcPr>
            <w:tcW w:w="864" w:type="pct"/>
            <w:tcBorders>
              <w:top w:val="nil"/>
              <w:left w:val="single" w:sz="4" w:space="0" w:color="auto"/>
              <w:bottom w:val="nil"/>
              <w:right w:val="single" w:sz="4" w:space="0" w:color="auto"/>
            </w:tcBorders>
            <w:vAlign w:val="center"/>
            <w:hideMark/>
          </w:tcPr>
          <w:p w14:paraId="29071E03" w14:textId="2581977B"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C67692" w:rsidRPr="00121B43">
              <w:rPr>
                <w:vertAlign w:val="superscript"/>
              </w:rPr>
              <w:t>1</w:t>
            </w:r>
          </w:p>
        </w:tc>
        <w:tc>
          <w:tcPr>
            <w:tcW w:w="758" w:type="pct"/>
            <w:tcBorders>
              <w:top w:val="nil"/>
              <w:left w:val="single" w:sz="4" w:space="0" w:color="auto"/>
              <w:bottom w:val="nil"/>
              <w:right w:val="single" w:sz="4" w:space="0" w:color="auto"/>
            </w:tcBorders>
            <w:vAlign w:val="center"/>
            <w:hideMark/>
          </w:tcPr>
          <w:p w14:paraId="5E4DA18B" w14:textId="39CD9005" w:rsidR="008476AA" w:rsidRPr="00B63CD0" w:rsidRDefault="008476AA" w:rsidP="007441A9">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B63CD0">
              <w:t>%</w:t>
            </w:r>
          </w:p>
        </w:tc>
      </w:tr>
      <w:tr w:rsidR="008476AA" w:rsidRPr="00B63CD0" w14:paraId="6F7488AF" w14:textId="77777777" w:rsidTr="00E25F99">
        <w:tc>
          <w:tcPr>
            <w:tcW w:w="1727" w:type="pct"/>
            <w:tcBorders>
              <w:top w:val="nil"/>
              <w:left w:val="single" w:sz="4" w:space="0" w:color="auto"/>
              <w:bottom w:val="single" w:sz="4" w:space="0" w:color="auto"/>
              <w:right w:val="single" w:sz="4" w:space="0" w:color="auto"/>
            </w:tcBorders>
            <w:vAlign w:val="center"/>
            <w:hideMark/>
          </w:tcPr>
          <w:p w14:paraId="723C19EB" w14:textId="77777777" w:rsidR="008476AA" w:rsidRPr="00B63CD0" w:rsidRDefault="008476AA" w:rsidP="007441A9">
            <w:pPr>
              <w:pStyle w:val="TableText0"/>
              <w:keepNext w:val="0"/>
              <w:keepLines w:val="0"/>
              <w:ind w:left="166"/>
            </w:pPr>
            <w:r w:rsidRPr="00B63CD0">
              <w:t>Equal to time in m0HSPC</w:t>
            </w:r>
          </w:p>
        </w:tc>
        <w:tc>
          <w:tcPr>
            <w:tcW w:w="864" w:type="pct"/>
            <w:tcBorders>
              <w:top w:val="nil"/>
              <w:left w:val="single" w:sz="4" w:space="0" w:color="auto"/>
              <w:bottom w:val="single" w:sz="4" w:space="0" w:color="auto"/>
              <w:right w:val="single" w:sz="4" w:space="0" w:color="auto"/>
            </w:tcBorders>
            <w:vAlign w:val="center"/>
            <w:hideMark/>
          </w:tcPr>
          <w:p w14:paraId="06BB356D" w14:textId="269B6C1C"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B2324E" w:rsidRPr="00C61B6F">
              <w:rPr>
                <w:vertAlign w:val="superscript"/>
              </w:rPr>
              <w:t>6</w:t>
            </w:r>
          </w:p>
        </w:tc>
        <w:tc>
          <w:tcPr>
            <w:tcW w:w="787" w:type="pct"/>
            <w:tcBorders>
              <w:top w:val="nil"/>
              <w:left w:val="single" w:sz="4" w:space="0" w:color="auto"/>
              <w:bottom w:val="single" w:sz="4" w:space="0" w:color="auto"/>
              <w:right w:val="single" w:sz="4" w:space="0" w:color="auto"/>
            </w:tcBorders>
            <w:vAlign w:val="center"/>
            <w:hideMark/>
          </w:tcPr>
          <w:p w14:paraId="56FD3D2F" w14:textId="1BEAE058"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c>
          <w:tcPr>
            <w:tcW w:w="864" w:type="pct"/>
            <w:tcBorders>
              <w:top w:val="nil"/>
              <w:left w:val="single" w:sz="4" w:space="0" w:color="auto"/>
              <w:bottom w:val="single" w:sz="4" w:space="0" w:color="auto"/>
              <w:right w:val="single" w:sz="4" w:space="0" w:color="auto"/>
            </w:tcBorders>
            <w:vAlign w:val="center"/>
            <w:hideMark/>
          </w:tcPr>
          <w:p w14:paraId="4C2122D1" w14:textId="27ECBA74"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D20815" w:rsidRPr="00C61B6F">
              <w:rPr>
                <w:vertAlign w:val="superscript"/>
              </w:rPr>
              <w:t>6</w:t>
            </w:r>
          </w:p>
        </w:tc>
        <w:tc>
          <w:tcPr>
            <w:tcW w:w="758" w:type="pct"/>
            <w:tcBorders>
              <w:top w:val="nil"/>
              <w:left w:val="single" w:sz="4" w:space="0" w:color="auto"/>
              <w:bottom w:val="single" w:sz="4" w:space="0" w:color="auto"/>
              <w:right w:val="single" w:sz="4" w:space="0" w:color="auto"/>
            </w:tcBorders>
            <w:vAlign w:val="center"/>
            <w:hideMark/>
          </w:tcPr>
          <w:p w14:paraId="2DBAB9BE" w14:textId="057A4A14" w:rsidR="008476AA" w:rsidRPr="00B63CD0" w:rsidRDefault="00E639BD" w:rsidP="007441A9">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8476AA" w:rsidRPr="00B63CD0" w14:paraId="5EDE4E57" w14:textId="77777777" w:rsidTr="00E25F99">
        <w:tc>
          <w:tcPr>
            <w:tcW w:w="1727" w:type="pct"/>
            <w:tcBorders>
              <w:top w:val="single" w:sz="4" w:space="0" w:color="auto"/>
              <w:left w:val="single" w:sz="4" w:space="0" w:color="auto"/>
              <w:bottom w:val="single" w:sz="4" w:space="0" w:color="auto"/>
              <w:right w:val="single" w:sz="4" w:space="0" w:color="auto"/>
            </w:tcBorders>
            <w:vAlign w:val="center"/>
            <w:hideMark/>
          </w:tcPr>
          <w:p w14:paraId="64AC9988" w14:textId="77777777" w:rsidR="008476AA" w:rsidRPr="00B63CD0" w:rsidRDefault="008476AA" w:rsidP="007441A9">
            <w:pPr>
              <w:pStyle w:val="TableText0"/>
              <w:keepNext w:val="0"/>
              <w:keepLines w:val="0"/>
            </w:pPr>
            <w:r w:rsidRPr="00B63CD0">
              <w:lastRenderedPageBreak/>
              <w:t>No m0CRPC state (base included)</w:t>
            </w:r>
          </w:p>
        </w:tc>
        <w:tc>
          <w:tcPr>
            <w:tcW w:w="864" w:type="pct"/>
            <w:tcBorders>
              <w:top w:val="single" w:sz="4" w:space="0" w:color="auto"/>
              <w:left w:val="single" w:sz="4" w:space="0" w:color="auto"/>
              <w:bottom w:val="single" w:sz="4" w:space="0" w:color="auto"/>
              <w:right w:val="single" w:sz="4" w:space="0" w:color="auto"/>
            </w:tcBorders>
            <w:vAlign w:val="center"/>
            <w:hideMark/>
          </w:tcPr>
          <w:p w14:paraId="4C8AEF44" w14:textId="50C79C9E"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single" w:sz="4" w:space="0" w:color="auto"/>
              <w:left w:val="single" w:sz="4" w:space="0" w:color="auto"/>
              <w:bottom w:val="single" w:sz="4" w:space="0" w:color="auto"/>
              <w:right w:val="single" w:sz="4" w:space="0" w:color="auto"/>
            </w:tcBorders>
            <w:vAlign w:val="center"/>
            <w:hideMark/>
          </w:tcPr>
          <w:p w14:paraId="0909DD05" w14:textId="79151955" w:rsidR="008476AA" w:rsidRPr="00B63CD0" w:rsidRDefault="008476AA" w:rsidP="007441A9">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B63CD0">
              <w:t>%</w:t>
            </w:r>
          </w:p>
        </w:tc>
        <w:tc>
          <w:tcPr>
            <w:tcW w:w="864" w:type="pct"/>
            <w:tcBorders>
              <w:top w:val="single" w:sz="4" w:space="0" w:color="auto"/>
              <w:left w:val="single" w:sz="4" w:space="0" w:color="auto"/>
              <w:bottom w:val="single" w:sz="4" w:space="0" w:color="auto"/>
              <w:right w:val="single" w:sz="4" w:space="0" w:color="auto"/>
            </w:tcBorders>
            <w:vAlign w:val="center"/>
            <w:hideMark/>
          </w:tcPr>
          <w:p w14:paraId="5A70D012" w14:textId="30EABF78" w:rsidR="008476AA" w:rsidRPr="00A078F8" w:rsidRDefault="00E639BD" w:rsidP="007441A9">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55158D" w:rsidRPr="00E80349">
              <w:rPr>
                <w:vertAlign w:val="superscript"/>
              </w:rPr>
              <w:t>3</w:t>
            </w:r>
          </w:p>
        </w:tc>
        <w:tc>
          <w:tcPr>
            <w:tcW w:w="758" w:type="pct"/>
            <w:tcBorders>
              <w:top w:val="single" w:sz="4" w:space="0" w:color="auto"/>
              <w:left w:val="single" w:sz="4" w:space="0" w:color="auto"/>
              <w:bottom w:val="single" w:sz="4" w:space="0" w:color="auto"/>
              <w:right w:val="single" w:sz="4" w:space="0" w:color="auto"/>
            </w:tcBorders>
            <w:vAlign w:val="center"/>
            <w:hideMark/>
          </w:tcPr>
          <w:p w14:paraId="49FF3698" w14:textId="6FA67517" w:rsidR="008476AA" w:rsidRPr="00B63CD0" w:rsidRDefault="008476AA" w:rsidP="007441A9">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B63CD0">
              <w:t>%</w:t>
            </w:r>
          </w:p>
        </w:tc>
      </w:tr>
      <w:tr w:rsidR="00ED509D" w:rsidRPr="00B63CD0" w14:paraId="1E2F8459" w14:textId="77777777" w:rsidTr="008476AA">
        <w:trPr>
          <w:trHeight w:val="60"/>
        </w:trPr>
        <w:tc>
          <w:tcPr>
            <w:tcW w:w="5000" w:type="pct"/>
            <w:gridSpan w:val="5"/>
            <w:tcBorders>
              <w:top w:val="single" w:sz="4" w:space="0" w:color="auto"/>
              <w:left w:val="single" w:sz="4" w:space="0" w:color="auto"/>
              <w:bottom w:val="nil"/>
              <w:right w:val="single" w:sz="4" w:space="0" w:color="auto"/>
            </w:tcBorders>
            <w:vAlign w:val="center"/>
            <w:hideMark/>
          </w:tcPr>
          <w:p w14:paraId="117059BE" w14:textId="2AD66E37" w:rsidR="00ED509D" w:rsidRPr="00B63CD0" w:rsidRDefault="00ED509D" w:rsidP="006A4FCD">
            <w:pPr>
              <w:pStyle w:val="TableText0"/>
              <w:keepLines w:val="0"/>
            </w:pPr>
            <w:r w:rsidRPr="00B63CD0">
              <w:t>m0HSPC to mHSPC (base MFS KM +</w:t>
            </w:r>
            <w:r w:rsidR="00C02E47">
              <w:t xml:space="preserve"> </w:t>
            </w:r>
            <w:r w:rsidRPr="00B63CD0">
              <w:t>independent parametric)</w:t>
            </w:r>
          </w:p>
        </w:tc>
      </w:tr>
      <w:tr w:rsidR="008476AA" w:rsidRPr="00B63CD0" w14:paraId="227C321D" w14:textId="77777777" w:rsidTr="00E25F99">
        <w:tc>
          <w:tcPr>
            <w:tcW w:w="1727" w:type="pct"/>
            <w:tcBorders>
              <w:top w:val="nil"/>
              <w:left w:val="single" w:sz="4" w:space="0" w:color="auto"/>
              <w:bottom w:val="single" w:sz="4" w:space="0" w:color="auto"/>
              <w:right w:val="single" w:sz="4" w:space="0" w:color="auto"/>
            </w:tcBorders>
            <w:vAlign w:val="center"/>
            <w:hideMark/>
          </w:tcPr>
          <w:p w14:paraId="1FF51842" w14:textId="77777777" w:rsidR="008476AA" w:rsidRPr="00B63CD0" w:rsidRDefault="008476AA" w:rsidP="006A4FCD">
            <w:pPr>
              <w:pStyle w:val="TableText0"/>
              <w:keepLines w:val="0"/>
              <w:ind w:left="166"/>
            </w:pPr>
            <w:r w:rsidRPr="00B63CD0">
              <w:t xml:space="preserve">Constant probability </w:t>
            </w:r>
          </w:p>
        </w:tc>
        <w:tc>
          <w:tcPr>
            <w:tcW w:w="864" w:type="pct"/>
            <w:tcBorders>
              <w:top w:val="nil"/>
              <w:left w:val="single" w:sz="4" w:space="0" w:color="auto"/>
              <w:bottom w:val="single" w:sz="4" w:space="0" w:color="auto"/>
              <w:right w:val="single" w:sz="4" w:space="0" w:color="auto"/>
            </w:tcBorders>
            <w:vAlign w:val="center"/>
            <w:hideMark/>
          </w:tcPr>
          <w:p w14:paraId="18B07239" w14:textId="2212C329" w:rsidR="008476AA" w:rsidRPr="00B63CD0" w:rsidRDefault="00E639BD" w:rsidP="006A4FCD">
            <w:pPr>
              <w:pStyle w:val="TableText0"/>
              <w:keepLines w:val="0"/>
              <w:jc w:val="cente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nil"/>
              <w:left w:val="single" w:sz="4" w:space="0" w:color="auto"/>
              <w:bottom w:val="single" w:sz="4" w:space="0" w:color="auto"/>
              <w:right w:val="single" w:sz="4" w:space="0" w:color="auto"/>
            </w:tcBorders>
            <w:vAlign w:val="center"/>
            <w:hideMark/>
          </w:tcPr>
          <w:p w14:paraId="441AAACE" w14:textId="484E96D6" w:rsidR="008476AA" w:rsidRPr="00B63CD0" w:rsidRDefault="00E639BD" w:rsidP="006A4FCD">
            <w:pPr>
              <w:pStyle w:val="TableText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c>
          <w:tcPr>
            <w:tcW w:w="864" w:type="pct"/>
            <w:tcBorders>
              <w:top w:val="nil"/>
              <w:left w:val="single" w:sz="4" w:space="0" w:color="auto"/>
              <w:bottom w:val="single" w:sz="4" w:space="0" w:color="auto"/>
              <w:right w:val="single" w:sz="4" w:space="0" w:color="auto"/>
            </w:tcBorders>
            <w:vAlign w:val="center"/>
            <w:hideMark/>
          </w:tcPr>
          <w:p w14:paraId="4E178038" w14:textId="019FD1A7" w:rsidR="008476AA" w:rsidRPr="00A078F8" w:rsidRDefault="00E639BD" w:rsidP="006A4FCD">
            <w:pPr>
              <w:pStyle w:val="TableText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B117FE" w:rsidRPr="00B117FE">
              <w:rPr>
                <w:vertAlign w:val="superscript"/>
              </w:rPr>
              <w:t>4</w:t>
            </w:r>
          </w:p>
        </w:tc>
        <w:tc>
          <w:tcPr>
            <w:tcW w:w="758" w:type="pct"/>
            <w:tcBorders>
              <w:top w:val="nil"/>
              <w:left w:val="single" w:sz="4" w:space="0" w:color="auto"/>
              <w:bottom w:val="single" w:sz="4" w:space="0" w:color="auto"/>
              <w:right w:val="single" w:sz="4" w:space="0" w:color="auto"/>
            </w:tcBorders>
            <w:vAlign w:val="center"/>
            <w:hideMark/>
          </w:tcPr>
          <w:p w14:paraId="611FF80F" w14:textId="73A899CE" w:rsidR="008476AA" w:rsidRPr="00B63CD0" w:rsidRDefault="00E639BD" w:rsidP="006A4FCD">
            <w:pPr>
              <w:pStyle w:val="TableText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ED509D" w:rsidRPr="00B63CD0" w14:paraId="0EF76EC7" w14:textId="77777777" w:rsidTr="00142C15">
        <w:tc>
          <w:tcPr>
            <w:tcW w:w="5000" w:type="pct"/>
            <w:gridSpan w:val="5"/>
            <w:tcBorders>
              <w:top w:val="single" w:sz="4" w:space="0" w:color="auto"/>
              <w:left w:val="single" w:sz="4" w:space="0" w:color="auto"/>
              <w:bottom w:val="nil"/>
              <w:right w:val="single" w:sz="4" w:space="0" w:color="auto"/>
            </w:tcBorders>
            <w:vAlign w:val="center"/>
            <w:hideMark/>
          </w:tcPr>
          <w:p w14:paraId="119B5423" w14:textId="77777777" w:rsidR="00ED509D" w:rsidRPr="00B63CD0" w:rsidRDefault="00ED509D" w:rsidP="006A4FCD">
            <w:pPr>
              <w:pStyle w:val="TableText0"/>
              <w:keepLines w:val="0"/>
            </w:pPr>
            <w:r w:rsidRPr="00B63CD0">
              <w:t>MFS hazard rate equal to ADT arm from Year (base treatment dependent)</w:t>
            </w:r>
          </w:p>
        </w:tc>
      </w:tr>
      <w:tr w:rsidR="008476AA" w:rsidRPr="00B63CD0" w14:paraId="3D819342" w14:textId="77777777" w:rsidTr="00E25F99">
        <w:tc>
          <w:tcPr>
            <w:tcW w:w="1727" w:type="pct"/>
            <w:tcBorders>
              <w:top w:val="nil"/>
              <w:left w:val="single" w:sz="4" w:space="0" w:color="auto"/>
              <w:bottom w:val="nil"/>
              <w:right w:val="single" w:sz="4" w:space="0" w:color="auto"/>
            </w:tcBorders>
            <w:vAlign w:val="center"/>
            <w:hideMark/>
          </w:tcPr>
          <w:p w14:paraId="45617447" w14:textId="77777777" w:rsidR="008476AA" w:rsidRPr="00B63CD0" w:rsidRDefault="008476AA" w:rsidP="006A4FCD">
            <w:pPr>
              <w:pStyle w:val="TableText0"/>
              <w:keepLines w:val="0"/>
              <w:ind w:left="166"/>
            </w:pPr>
            <w:r w:rsidRPr="00B63CD0">
              <w:t>0</w:t>
            </w:r>
          </w:p>
        </w:tc>
        <w:tc>
          <w:tcPr>
            <w:tcW w:w="864" w:type="pct"/>
            <w:tcBorders>
              <w:top w:val="nil"/>
              <w:left w:val="single" w:sz="4" w:space="0" w:color="auto"/>
              <w:bottom w:val="nil"/>
              <w:right w:val="single" w:sz="4" w:space="0" w:color="auto"/>
            </w:tcBorders>
            <w:vAlign w:val="center"/>
            <w:hideMark/>
          </w:tcPr>
          <w:p w14:paraId="46B6932C" w14:textId="7EF72EB1" w:rsidR="008476AA" w:rsidRPr="00A078F8" w:rsidRDefault="00E639BD" w:rsidP="006A4FCD">
            <w:pPr>
              <w:pStyle w:val="TableText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877163" w:rsidRPr="00877163">
              <w:rPr>
                <w:vertAlign w:val="superscript"/>
              </w:rPr>
              <w:t>7</w:t>
            </w:r>
          </w:p>
        </w:tc>
        <w:tc>
          <w:tcPr>
            <w:tcW w:w="787" w:type="pct"/>
            <w:tcBorders>
              <w:top w:val="nil"/>
              <w:left w:val="single" w:sz="4" w:space="0" w:color="auto"/>
              <w:bottom w:val="nil"/>
              <w:right w:val="single" w:sz="4" w:space="0" w:color="auto"/>
            </w:tcBorders>
            <w:vAlign w:val="center"/>
            <w:hideMark/>
          </w:tcPr>
          <w:p w14:paraId="6538CE7B" w14:textId="2BCF2774" w:rsidR="008476AA" w:rsidRPr="00B63CD0" w:rsidRDefault="00E639BD" w:rsidP="006A4FCD">
            <w:pPr>
              <w:pStyle w:val="TableText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c>
          <w:tcPr>
            <w:tcW w:w="864" w:type="pct"/>
            <w:tcBorders>
              <w:top w:val="nil"/>
              <w:left w:val="single" w:sz="4" w:space="0" w:color="auto"/>
              <w:bottom w:val="nil"/>
              <w:right w:val="single" w:sz="4" w:space="0" w:color="auto"/>
            </w:tcBorders>
            <w:vAlign w:val="center"/>
            <w:hideMark/>
          </w:tcPr>
          <w:p w14:paraId="4F563A2C" w14:textId="211F7C80" w:rsidR="008476AA" w:rsidRPr="00A078F8" w:rsidRDefault="00E639BD" w:rsidP="006A4FCD">
            <w:pPr>
              <w:pStyle w:val="TableText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AA4838" w:rsidRPr="005E6C37">
              <w:rPr>
                <w:vertAlign w:val="superscript"/>
              </w:rPr>
              <w:t>8</w:t>
            </w:r>
          </w:p>
        </w:tc>
        <w:tc>
          <w:tcPr>
            <w:tcW w:w="758" w:type="pct"/>
            <w:tcBorders>
              <w:top w:val="nil"/>
              <w:left w:val="single" w:sz="4" w:space="0" w:color="auto"/>
              <w:bottom w:val="nil"/>
              <w:right w:val="single" w:sz="4" w:space="0" w:color="auto"/>
            </w:tcBorders>
            <w:vAlign w:val="center"/>
            <w:hideMark/>
          </w:tcPr>
          <w:p w14:paraId="5C261F09" w14:textId="2B1540B7" w:rsidR="008476AA" w:rsidRPr="00B63CD0" w:rsidRDefault="00E639BD" w:rsidP="006A4FCD">
            <w:pPr>
              <w:pStyle w:val="TableText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8476AA" w:rsidRPr="00B63CD0" w14:paraId="57A3B2E8" w14:textId="77777777" w:rsidTr="00E25F99">
        <w:tc>
          <w:tcPr>
            <w:tcW w:w="1727" w:type="pct"/>
            <w:tcBorders>
              <w:top w:val="nil"/>
              <w:left w:val="single" w:sz="4" w:space="0" w:color="auto"/>
              <w:bottom w:val="nil"/>
              <w:right w:val="single" w:sz="4" w:space="0" w:color="auto"/>
            </w:tcBorders>
            <w:vAlign w:val="center"/>
            <w:hideMark/>
          </w:tcPr>
          <w:p w14:paraId="2EFB0F8A" w14:textId="77777777" w:rsidR="008476AA" w:rsidRPr="00B63CD0" w:rsidRDefault="008476AA" w:rsidP="006A4FCD">
            <w:pPr>
              <w:pStyle w:val="TableText0"/>
              <w:keepLines w:val="0"/>
              <w:ind w:left="166"/>
            </w:pPr>
            <w:r w:rsidRPr="00B63CD0">
              <w:t>10</w:t>
            </w:r>
          </w:p>
        </w:tc>
        <w:tc>
          <w:tcPr>
            <w:tcW w:w="864" w:type="pct"/>
            <w:tcBorders>
              <w:top w:val="nil"/>
              <w:left w:val="single" w:sz="4" w:space="0" w:color="auto"/>
              <w:bottom w:val="nil"/>
              <w:right w:val="single" w:sz="4" w:space="0" w:color="auto"/>
            </w:tcBorders>
            <w:vAlign w:val="center"/>
            <w:hideMark/>
          </w:tcPr>
          <w:p w14:paraId="708FDC53" w14:textId="2322BF5E" w:rsidR="008476AA" w:rsidRPr="00A078F8" w:rsidRDefault="00E639BD" w:rsidP="006A4FCD">
            <w:pPr>
              <w:pStyle w:val="TableText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55158D" w:rsidRPr="00873CE0">
              <w:rPr>
                <w:vertAlign w:val="superscript"/>
              </w:rPr>
              <w:t>3</w:t>
            </w:r>
          </w:p>
        </w:tc>
        <w:tc>
          <w:tcPr>
            <w:tcW w:w="787" w:type="pct"/>
            <w:tcBorders>
              <w:top w:val="nil"/>
              <w:left w:val="single" w:sz="4" w:space="0" w:color="auto"/>
              <w:bottom w:val="nil"/>
              <w:right w:val="single" w:sz="4" w:space="0" w:color="auto"/>
            </w:tcBorders>
            <w:vAlign w:val="center"/>
            <w:hideMark/>
          </w:tcPr>
          <w:p w14:paraId="5A044906" w14:textId="399ABBA7" w:rsidR="008476AA" w:rsidRPr="00B63CD0" w:rsidRDefault="00E639BD" w:rsidP="006A4FCD">
            <w:pPr>
              <w:pStyle w:val="TableText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c>
          <w:tcPr>
            <w:tcW w:w="864" w:type="pct"/>
            <w:tcBorders>
              <w:top w:val="nil"/>
              <w:left w:val="single" w:sz="4" w:space="0" w:color="auto"/>
              <w:bottom w:val="nil"/>
              <w:right w:val="single" w:sz="4" w:space="0" w:color="auto"/>
            </w:tcBorders>
            <w:vAlign w:val="center"/>
            <w:hideMark/>
          </w:tcPr>
          <w:p w14:paraId="7172422B" w14:textId="4B5953C4" w:rsidR="008476AA" w:rsidRPr="00A078F8" w:rsidRDefault="00E639BD" w:rsidP="006A4FCD">
            <w:pPr>
              <w:pStyle w:val="TableText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550B10" w:rsidRPr="00126FCB">
              <w:rPr>
                <w:vertAlign w:val="superscript"/>
              </w:rPr>
              <w:t>2</w:t>
            </w:r>
          </w:p>
        </w:tc>
        <w:tc>
          <w:tcPr>
            <w:tcW w:w="758" w:type="pct"/>
            <w:tcBorders>
              <w:top w:val="nil"/>
              <w:left w:val="single" w:sz="4" w:space="0" w:color="auto"/>
              <w:bottom w:val="nil"/>
              <w:right w:val="single" w:sz="4" w:space="0" w:color="auto"/>
            </w:tcBorders>
            <w:vAlign w:val="center"/>
            <w:hideMark/>
          </w:tcPr>
          <w:p w14:paraId="751F94FD" w14:textId="40D2F36C" w:rsidR="008476AA" w:rsidRPr="00B63CD0" w:rsidRDefault="00E639BD" w:rsidP="006A4FCD">
            <w:pPr>
              <w:pStyle w:val="TableText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ED509D" w:rsidRPr="00B63CD0" w14:paraId="07240385" w14:textId="77777777" w:rsidTr="00142C15">
        <w:tc>
          <w:tcPr>
            <w:tcW w:w="5000" w:type="pct"/>
            <w:gridSpan w:val="5"/>
            <w:tcBorders>
              <w:top w:val="single" w:sz="4" w:space="0" w:color="auto"/>
              <w:left w:val="single" w:sz="4" w:space="0" w:color="auto"/>
              <w:bottom w:val="nil"/>
              <w:right w:val="single" w:sz="4" w:space="0" w:color="auto"/>
            </w:tcBorders>
            <w:vAlign w:val="center"/>
            <w:hideMark/>
          </w:tcPr>
          <w:p w14:paraId="3E135801" w14:textId="77777777" w:rsidR="00ED509D" w:rsidRPr="00B63CD0" w:rsidRDefault="00ED509D" w:rsidP="006A4FCD">
            <w:pPr>
              <w:pStyle w:val="TableText0"/>
              <w:keepLines w:val="0"/>
            </w:pPr>
            <w:r w:rsidRPr="00B63CD0">
              <w:t>MFS extrapolation (base ENZA+ADT gamma, ENZA mono gamma, ADT alone gamma)</w:t>
            </w:r>
          </w:p>
        </w:tc>
      </w:tr>
      <w:tr w:rsidR="008476AA" w:rsidRPr="00B63CD0" w14:paraId="39F5489A" w14:textId="77777777" w:rsidTr="00E25F99">
        <w:tc>
          <w:tcPr>
            <w:tcW w:w="1727" w:type="pct"/>
            <w:tcBorders>
              <w:top w:val="nil"/>
              <w:left w:val="single" w:sz="4" w:space="0" w:color="auto"/>
              <w:bottom w:val="nil"/>
              <w:right w:val="single" w:sz="4" w:space="0" w:color="auto"/>
            </w:tcBorders>
            <w:vAlign w:val="center"/>
            <w:hideMark/>
          </w:tcPr>
          <w:p w14:paraId="0BA7C10A" w14:textId="22D3FDBC" w:rsidR="008476AA" w:rsidRPr="00B63CD0" w:rsidRDefault="008476AA" w:rsidP="006A4FCD">
            <w:pPr>
              <w:pStyle w:val="TableText0"/>
              <w:keepLines w:val="0"/>
              <w:ind w:left="166"/>
            </w:pPr>
            <w:r w:rsidRPr="00B63CD0">
              <w:t xml:space="preserve">Best </w:t>
            </w:r>
            <w:proofErr w:type="spellStart"/>
            <w:r w:rsidRPr="00B63CD0">
              <w:t>fit</w:t>
            </w:r>
            <w:r w:rsidRPr="008476AA">
              <w:rPr>
                <w:vertAlign w:val="superscript"/>
              </w:rPr>
              <w:t>c</w:t>
            </w:r>
            <w:proofErr w:type="spellEnd"/>
            <w:r w:rsidRPr="00B63CD0">
              <w:t xml:space="preserve"> </w:t>
            </w:r>
          </w:p>
        </w:tc>
        <w:tc>
          <w:tcPr>
            <w:tcW w:w="864" w:type="pct"/>
            <w:tcBorders>
              <w:top w:val="nil"/>
              <w:left w:val="single" w:sz="4" w:space="0" w:color="auto"/>
              <w:bottom w:val="nil"/>
              <w:right w:val="single" w:sz="4" w:space="0" w:color="auto"/>
            </w:tcBorders>
            <w:vAlign w:val="center"/>
            <w:hideMark/>
          </w:tcPr>
          <w:p w14:paraId="3DA54731" w14:textId="711AC7FA" w:rsidR="008476AA" w:rsidRPr="00A078F8" w:rsidRDefault="00E639BD" w:rsidP="006A4FCD">
            <w:pPr>
              <w:pStyle w:val="TableText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nil"/>
              <w:left w:val="single" w:sz="4" w:space="0" w:color="auto"/>
              <w:bottom w:val="nil"/>
              <w:right w:val="single" w:sz="4" w:space="0" w:color="auto"/>
            </w:tcBorders>
            <w:vAlign w:val="center"/>
            <w:hideMark/>
          </w:tcPr>
          <w:p w14:paraId="08A9033D" w14:textId="17E19FA6" w:rsidR="008476AA" w:rsidRPr="00B63CD0" w:rsidRDefault="00E639BD" w:rsidP="006A4FCD">
            <w:pPr>
              <w:pStyle w:val="TableText0"/>
              <w:keepLines w:val="0"/>
              <w:jc w:val="center"/>
            </w:pPr>
            <w:r w:rsidRPr="00E639BD">
              <w:rPr>
                <w:color w:val="000000"/>
                <w:shd w:val="solid" w:color="000000" w:fill="000000"/>
                <w14:textFill>
                  <w14:solidFill>
                    <w14:srgbClr w14:val="000000">
                      <w14:alpha w14:val="100000"/>
                    </w14:srgbClr>
                  </w14:solidFill>
                </w14:textFill>
              </w:rPr>
              <w:t>|</w:t>
            </w:r>
            <w:r w:rsidR="008476AA" w:rsidRPr="00E25F99">
              <w:t>%</w:t>
            </w:r>
          </w:p>
        </w:tc>
        <w:tc>
          <w:tcPr>
            <w:tcW w:w="864" w:type="pct"/>
            <w:tcBorders>
              <w:top w:val="nil"/>
              <w:left w:val="single" w:sz="4" w:space="0" w:color="auto"/>
              <w:bottom w:val="nil"/>
              <w:right w:val="single" w:sz="4" w:space="0" w:color="auto"/>
            </w:tcBorders>
            <w:vAlign w:val="center"/>
            <w:hideMark/>
          </w:tcPr>
          <w:p w14:paraId="56EDE5DE" w14:textId="05B217BE" w:rsidR="008476AA" w:rsidRPr="00A078F8" w:rsidRDefault="00E639BD" w:rsidP="006A4FCD">
            <w:pPr>
              <w:pStyle w:val="TableText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550B10" w:rsidRPr="00126FCB">
              <w:rPr>
                <w:vertAlign w:val="superscript"/>
              </w:rPr>
              <w:t>2</w:t>
            </w:r>
          </w:p>
        </w:tc>
        <w:tc>
          <w:tcPr>
            <w:tcW w:w="758" w:type="pct"/>
            <w:tcBorders>
              <w:top w:val="nil"/>
              <w:left w:val="single" w:sz="4" w:space="0" w:color="auto"/>
              <w:bottom w:val="nil"/>
              <w:right w:val="single" w:sz="4" w:space="0" w:color="auto"/>
            </w:tcBorders>
            <w:vAlign w:val="center"/>
            <w:hideMark/>
          </w:tcPr>
          <w:p w14:paraId="3DBA950F" w14:textId="0F2B95B6" w:rsidR="008476AA" w:rsidRPr="00B63CD0" w:rsidRDefault="00E639BD" w:rsidP="006A4FCD">
            <w:pPr>
              <w:pStyle w:val="TableText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8476AA" w:rsidRPr="00B63CD0" w14:paraId="1FC2BA3E" w14:textId="77777777" w:rsidTr="00E25F99">
        <w:tc>
          <w:tcPr>
            <w:tcW w:w="1727" w:type="pct"/>
            <w:tcBorders>
              <w:top w:val="nil"/>
              <w:left w:val="single" w:sz="4" w:space="0" w:color="auto"/>
              <w:bottom w:val="single" w:sz="4" w:space="0" w:color="auto"/>
              <w:right w:val="single" w:sz="4" w:space="0" w:color="auto"/>
            </w:tcBorders>
            <w:vAlign w:val="center"/>
            <w:hideMark/>
          </w:tcPr>
          <w:p w14:paraId="11EF01DB" w14:textId="0CA645CE" w:rsidR="008476AA" w:rsidRPr="00B63CD0" w:rsidRDefault="008476AA" w:rsidP="006A4FCD">
            <w:pPr>
              <w:pStyle w:val="TableText0"/>
              <w:keepLines w:val="0"/>
              <w:ind w:left="166"/>
            </w:pPr>
            <w:r w:rsidRPr="00B63CD0">
              <w:t xml:space="preserve">Second best </w:t>
            </w:r>
            <w:proofErr w:type="spellStart"/>
            <w:r w:rsidRPr="00B63CD0">
              <w:t>fit</w:t>
            </w:r>
            <w:r>
              <w:rPr>
                <w:vertAlign w:val="superscript"/>
              </w:rPr>
              <w:t>d</w:t>
            </w:r>
            <w:proofErr w:type="spellEnd"/>
          </w:p>
        </w:tc>
        <w:tc>
          <w:tcPr>
            <w:tcW w:w="864" w:type="pct"/>
            <w:tcBorders>
              <w:top w:val="nil"/>
              <w:left w:val="single" w:sz="4" w:space="0" w:color="auto"/>
              <w:bottom w:val="single" w:sz="4" w:space="0" w:color="auto"/>
              <w:right w:val="single" w:sz="4" w:space="0" w:color="auto"/>
            </w:tcBorders>
            <w:vAlign w:val="center"/>
            <w:hideMark/>
          </w:tcPr>
          <w:p w14:paraId="1926F418" w14:textId="3745A7FC" w:rsidR="008476AA" w:rsidRPr="00A078F8" w:rsidRDefault="00E639BD" w:rsidP="006A4FCD">
            <w:pPr>
              <w:pStyle w:val="TableText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nil"/>
              <w:left w:val="single" w:sz="4" w:space="0" w:color="auto"/>
              <w:bottom w:val="single" w:sz="4" w:space="0" w:color="auto"/>
              <w:right w:val="single" w:sz="4" w:space="0" w:color="auto"/>
            </w:tcBorders>
            <w:vAlign w:val="center"/>
            <w:hideMark/>
          </w:tcPr>
          <w:p w14:paraId="066F05C7" w14:textId="2088679B" w:rsidR="008476AA" w:rsidRPr="00E25F99" w:rsidRDefault="00E639BD" w:rsidP="006A4FCD">
            <w:pPr>
              <w:pStyle w:val="TableText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8476AA" w:rsidRPr="00E25F99">
              <w:t>%</w:t>
            </w:r>
          </w:p>
        </w:tc>
        <w:tc>
          <w:tcPr>
            <w:tcW w:w="864" w:type="pct"/>
            <w:tcBorders>
              <w:top w:val="nil"/>
              <w:left w:val="single" w:sz="4" w:space="0" w:color="auto"/>
              <w:bottom w:val="single" w:sz="4" w:space="0" w:color="auto"/>
              <w:right w:val="single" w:sz="4" w:space="0" w:color="auto"/>
            </w:tcBorders>
            <w:vAlign w:val="center"/>
            <w:hideMark/>
          </w:tcPr>
          <w:p w14:paraId="6C3D5A96" w14:textId="14A2F75D" w:rsidR="008476AA" w:rsidRPr="00A078F8" w:rsidRDefault="00E639BD" w:rsidP="006A4FCD">
            <w:pPr>
              <w:pStyle w:val="TableText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550B10" w:rsidRPr="00126FCB">
              <w:rPr>
                <w:vertAlign w:val="superscript"/>
              </w:rPr>
              <w:t>2</w:t>
            </w:r>
          </w:p>
        </w:tc>
        <w:tc>
          <w:tcPr>
            <w:tcW w:w="758" w:type="pct"/>
            <w:tcBorders>
              <w:top w:val="nil"/>
              <w:left w:val="single" w:sz="4" w:space="0" w:color="auto"/>
              <w:bottom w:val="single" w:sz="4" w:space="0" w:color="auto"/>
              <w:right w:val="single" w:sz="4" w:space="0" w:color="auto"/>
            </w:tcBorders>
            <w:vAlign w:val="center"/>
            <w:hideMark/>
          </w:tcPr>
          <w:p w14:paraId="47BFAFA9" w14:textId="1758F53B" w:rsidR="008476AA" w:rsidRPr="00B63CD0" w:rsidRDefault="00E639BD" w:rsidP="006A4FCD">
            <w:pPr>
              <w:pStyle w:val="TableText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8476AA" w:rsidRPr="00B63CD0" w14:paraId="358C7A55" w14:textId="77777777" w:rsidTr="00E25F99">
        <w:tc>
          <w:tcPr>
            <w:tcW w:w="1727" w:type="pct"/>
            <w:tcBorders>
              <w:top w:val="single" w:sz="4" w:space="0" w:color="auto"/>
              <w:left w:val="single" w:sz="4" w:space="0" w:color="auto"/>
              <w:bottom w:val="single" w:sz="4" w:space="0" w:color="auto"/>
              <w:right w:val="single" w:sz="4" w:space="0" w:color="auto"/>
            </w:tcBorders>
            <w:vAlign w:val="center"/>
            <w:hideMark/>
          </w:tcPr>
          <w:p w14:paraId="0C6F99D1" w14:textId="77777777" w:rsidR="008476AA" w:rsidRPr="00B63CD0" w:rsidRDefault="008476AA" w:rsidP="008F7A8E">
            <w:pPr>
              <w:pStyle w:val="TableText0"/>
              <w:keepNext w:val="0"/>
              <w:keepLines w:val="0"/>
            </w:pPr>
            <w:r w:rsidRPr="00B63CD0">
              <w:t>Age related utility adjustment excluded (base included)</w:t>
            </w:r>
          </w:p>
        </w:tc>
        <w:tc>
          <w:tcPr>
            <w:tcW w:w="864" w:type="pct"/>
            <w:tcBorders>
              <w:top w:val="single" w:sz="4" w:space="0" w:color="auto"/>
              <w:left w:val="single" w:sz="4" w:space="0" w:color="auto"/>
              <w:bottom w:val="single" w:sz="4" w:space="0" w:color="auto"/>
              <w:right w:val="single" w:sz="4" w:space="0" w:color="auto"/>
            </w:tcBorders>
            <w:vAlign w:val="center"/>
            <w:hideMark/>
          </w:tcPr>
          <w:p w14:paraId="306CB0BB" w14:textId="650854CE" w:rsidR="008476AA" w:rsidRPr="00B63CD0"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single" w:sz="4" w:space="0" w:color="auto"/>
              <w:left w:val="single" w:sz="4" w:space="0" w:color="auto"/>
              <w:bottom w:val="single" w:sz="4" w:space="0" w:color="auto"/>
              <w:right w:val="single" w:sz="4" w:space="0" w:color="auto"/>
            </w:tcBorders>
            <w:vAlign w:val="center"/>
            <w:hideMark/>
          </w:tcPr>
          <w:p w14:paraId="54C4CC8D" w14:textId="4F8D7BFE" w:rsidR="008476AA" w:rsidRPr="00B63CD0"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c>
          <w:tcPr>
            <w:tcW w:w="864" w:type="pct"/>
            <w:tcBorders>
              <w:top w:val="single" w:sz="4" w:space="0" w:color="auto"/>
              <w:left w:val="single" w:sz="4" w:space="0" w:color="auto"/>
              <w:bottom w:val="single" w:sz="4" w:space="0" w:color="auto"/>
              <w:right w:val="single" w:sz="4" w:space="0" w:color="auto"/>
            </w:tcBorders>
            <w:vAlign w:val="center"/>
            <w:hideMark/>
          </w:tcPr>
          <w:p w14:paraId="1CE8162A" w14:textId="14D28391" w:rsidR="008476AA" w:rsidRPr="00A078F8" w:rsidRDefault="00E639BD" w:rsidP="008F7A8E">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550B10" w:rsidRPr="00126FCB">
              <w:rPr>
                <w:vertAlign w:val="superscript"/>
              </w:rPr>
              <w:t>2</w:t>
            </w:r>
          </w:p>
        </w:tc>
        <w:tc>
          <w:tcPr>
            <w:tcW w:w="758" w:type="pct"/>
            <w:tcBorders>
              <w:top w:val="single" w:sz="4" w:space="0" w:color="auto"/>
              <w:left w:val="single" w:sz="4" w:space="0" w:color="auto"/>
              <w:bottom w:val="single" w:sz="4" w:space="0" w:color="auto"/>
              <w:right w:val="single" w:sz="4" w:space="0" w:color="auto"/>
            </w:tcBorders>
            <w:vAlign w:val="center"/>
            <w:hideMark/>
          </w:tcPr>
          <w:p w14:paraId="53566C7B" w14:textId="74236A8C" w:rsidR="008476AA" w:rsidRPr="00B63CD0"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ED509D" w:rsidRPr="00B63CD0" w14:paraId="079146F5" w14:textId="77777777" w:rsidTr="00142C15">
        <w:tc>
          <w:tcPr>
            <w:tcW w:w="5000" w:type="pct"/>
            <w:gridSpan w:val="5"/>
            <w:tcBorders>
              <w:top w:val="single" w:sz="4" w:space="0" w:color="auto"/>
              <w:left w:val="single" w:sz="4" w:space="0" w:color="auto"/>
              <w:bottom w:val="nil"/>
              <w:right w:val="single" w:sz="4" w:space="0" w:color="auto"/>
            </w:tcBorders>
            <w:vAlign w:val="center"/>
            <w:hideMark/>
          </w:tcPr>
          <w:p w14:paraId="693DEBF0" w14:textId="77777777" w:rsidR="00ED509D" w:rsidRPr="00B63CD0" w:rsidRDefault="00ED509D" w:rsidP="008F7A8E">
            <w:pPr>
              <w:pStyle w:val="TableText0"/>
              <w:keepNext w:val="0"/>
              <w:keepLines w:val="0"/>
            </w:pPr>
            <w:r w:rsidRPr="00B63CD0">
              <w:t>Subsequent ADT monotherapy in ADT arm (base 55.7% in each state)</w:t>
            </w:r>
          </w:p>
        </w:tc>
      </w:tr>
      <w:tr w:rsidR="008476AA" w:rsidRPr="00B63CD0" w14:paraId="23BFD1DF" w14:textId="77777777" w:rsidTr="00E25F99">
        <w:tc>
          <w:tcPr>
            <w:tcW w:w="1727" w:type="pct"/>
            <w:tcBorders>
              <w:top w:val="nil"/>
              <w:left w:val="single" w:sz="4" w:space="0" w:color="auto"/>
              <w:bottom w:val="single" w:sz="4" w:space="0" w:color="auto"/>
              <w:right w:val="single" w:sz="4" w:space="0" w:color="auto"/>
            </w:tcBorders>
            <w:vAlign w:val="center"/>
            <w:hideMark/>
          </w:tcPr>
          <w:p w14:paraId="6B5BE6A4" w14:textId="77777777" w:rsidR="008476AA" w:rsidRPr="00B63CD0" w:rsidRDefault="008476AA" w:rsidP="008F7A8E">
            <w:pPr>
              <w:pStyle w:val="TableText0"/>
              <w:keepNext w:val="0"/>
              <w:keepLines w:val="0"/>
            </w:pPr>
            <w:r w:rsidRPr="00B63CD0">
              <w:t xml:space="preserve">No ADT monotherapy in m0CRPC and mHSPC </w:t>
            </w:r>
          </w:p>
        </w:tc>
        <w:tc>
          <w:tcPr>
            <w:tcW w:w="864" w:type="pct"/>
            <w:tcBorders>
              <w:top w:val="nil"/>
              <w:left w:val="single" w:sz="4" w:space="0" w:color="auto"/>
              <w:bottom w:val="single" w:sz="4" w:space="0" w:color="auto"/>
              <w:right w:val="single" w:sz="4" w:space="0" w:color="auto"/>
            </w:tcBorders>
            <w:vAlign w:val="center"/>
            <w:hideMark/>
          </w:tcPr>
          <w:p w14:paraId="3FABFFEA" w14:textId="41AE6096" w:rsidR="008476AA" w:rsidRPr="00A078F8" w:rsidRDefault="00E639BD" w:rsidP="008F7A8E">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nil"/>
              <w:left w:val="single" w:sz="4" w:space="0" w:color="auto"/>
              <w:bottom w:val="single" w:sz="4" w:space="0" w:color="auto"/>
              <w:right w:val="single" w:sz="4" w:space="0" w:color="auto"/>
            </w:tcBorders>
            <w:vAlign w:val="center"/>
            <w:hideMark/>
          </w:tcPr>
          <w:p w14:paraId="448581DC" w14:textId="6C1D9919" w:rsidR="008476AA" w:rsidRPr="00B63CD0" w:rsidRDefault="008476AA" w:rsidP="008F7A8E">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B63CD0">
              <w:t>%</w:t>
            </w:r>
          </w:p>
        </w:tc>
        <w:tc>
          <w:tcPr>
            <w:tcW w:w="864" w:type="pct"/>
            <w:tcBorders>
              <w:top w:val="nil"/>
              <w:left w:val="single" w:sz="4" w:space="0" w:color="auto"/>
              <w:bottom w:val="single" w:sz="4" w:space="0" w:color="auto"/>
              <w:right w:val="single" w:sz="4" w:space="0" w:color="auto"/>
            </w:tcBorders>
            <w:vAlign w:val="center"/>
            <w:hideMark/>
          </w:tcPr>
          <w:p w14:paraId="50D3A432" w14:textId="0B0DA773" w:rsidR="008476AA" w:rsidRPr="00A078F8" w:rsidRDefault="00E639BD" w:rsidP="008F7A8E">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55158D" w:rsidRPr="005E67EC">
              <w:rPr>
                <w:vertAlign w:val="superscript"/>
              </w:rPr>
              <w:t>3</w:t>
            </w:r>
          </w:p>
        </w:tc>
        <w:tc>
          <w:tcPr>
            <w:tcW w:w="758" w:type="pct"/>
            <w:tcBorders>
              <w:top w:val="nil"/>
              <w:left w:val="single" w:sz="4" w:space="0" w:color="auto"/>
              <w:bottom w:val="single" w:sz="4" w:space="0" w:color="auto"/>
              <w:right w:val="single" w:sz="4" w:space="0" w:color="auto"/>
            </w:tcBorders>
            <w:vAlign w:val="center"/>
            <w:hideMark/>
          </w:tcPr>
          <w:p w14:paraId="2888D0D2" w14:textId="64D8BC9F" w:rsidR="008476AA" w:rsidRPr="00B63CD0" w:rsidRDefault="008476AA" w:rsidP="008F7A8E">
            <w:pPr>
              <w:pStyle w:val="TableText0"/>
              <w:keepNext w:val="0"/>
              <w:keepLines w:val="0"/>
              <w:jc w:val="center"/>
            </w:pPr>
            <w:r w:rsidRPr="00B63CD0">
              <w:t>-</w:t>
            </w:r>
            <w:r w:rsidR="00E639BD" w:rsidRPr="00E639BD">
              <w:rPr>
                <w:color w:val="000000"/>
                <w:shd w:val="solid" w:color="000000" w:fill="000000"/>
                <w14:textFill>
                  <w14:solidFill>
                    <w14:srgbClr w14:val="000000">
                      <w14:alpha w14:val="100000"/>
                    </w14:srgbClr>
                  </w14:solidFill>
                </w14:textFill>
              </w:rPr>
              <w:t>|</w:t>
            </w:r>
            <w:r w:rsidRPr="00B63CD0">
              <w:t>%</w:t>
            </w:r>
          </w:p>
        </w:tc>
      </w:tr>
      <w:tr w:rsidR="008476AA" w:rsidRPr="00B63CD0" w14:paraId="04A13AD3" w14:textId="77777777" w:rsidTr="00E25F99">
        <w:tc>
          <w:tcPr>
            <w:tcW w:w="1727" w:type="pct"/>
            <w:tcBorders>
              <w:top w:val="nil"/>
              <w:left w:val="single" w:sz="4" w:space="0" w:color="auto"/>
              <w:bottom w:val="single" w:sz="4" w:space="0" w:color="auto"/>
              <w:right w:val="single" w:sz="4" w:space="0" w:color="auto"/>
            </w:tcBorders>
            <w:vAlign w:val="center"/>
          </w:tcPr>
          <w:p w14:paraId="0BDE2AE0" w14:textId="53D23D05" w:rsidR="008476AA" w:rsidRPr="00B63CD0" w:rsidRDefault="008476AA" w:rsidP="00CB4A7E">
            <w:pPr>
              <w:pStyle w:val="TableText0"/>
              <w:keepNext w:val="0"/>
              <w:keepLines w:val="0"/>
            </w:pPr>
            <w:r w:rsidRPr="00B63CD0">
              <w:t>100% ADT in all arms and all progressed states</w:t>
            </w:r>
          </w:p>
        </w:tc>
        <w:tc>
          <w:tcPr>
            <w:tcW w:w="864" w:type="pct"/>
            <w:tcBorders>
              <w:top w:val="nil"/>
              <w:left w:val="single" w:sz="4" w:space="0" w:color="auto"/>
              <w:bottom w:val="single" w:sz="4" w:space="0" w:color="auto"/>
              <w:right w:val="single" w:sz="4" w:space="0" w:color="auto"/>
            </w:tcBorders>
            <w:vAlign w:val="center"/>
          </w:tcPr>
          <w:p w14:paraId="651F8A72" w14:textId="7966628C" w:rsidR="008476AA" w:rsidRPr="00A078F8" w:rsidRDefault="00E639BD" w:rsidP="00CB4A7E">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55158D" w:rsidRPr="00C0137F">
              <w:rPr>
                <w:vertAlign w:val="superscript"/>
              </w:rPr>
              <w:t>3</w:t>
            </w:r>
          </w:p>
        </w:tc>
        <w:tc>
          <w:tcPr>
            <w:tcW w:w="787" w:type="pct"/>
            <w:tcBorders>
              <w:top w:val="nil"/>
              <w:left w:val="single" w:sz="4" w:space="0" w:color="auto"/>
              <w:bottom w:val="single" w:sz="4" w:space="0" w:color="auto"/>
              <w:right w:val="single" w:sz="4" w:space="0" w:color="auto"/>
            </w:tcBorders>
            <w:vAlign w:val="center"/>
          </w:tcPr>
          <w:p w14:paraId="060F24AA" w14:textId="6A170FC0" w:rsidR="008476AA" w:rsidRPr="00B63CD0" w:rsidRDefault="00E639BD" w:rsidP="00CB4A7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c>
          <w:tcPr>
            <w:tcW w:w="864" w:type="pct"/>
            <w:tcBorders>
              <w:top w:val="nil"/>
              <w:left w:val="single" w:sz="4" w:space="0" w:color="auto"/>
              <w:bottom w:val="single" w:sz="4" w:space="0" w:color="auto"/>
              <w:right w:val="single" w:sz="4" w:space="0" w:color="auto"/>
            </w:tcBorders>
            <w:vAlign w:val="center"/>
          </w:tcPr>
          <w:p w14:paraId="0DFE3ACB" w14:textId="38BD8EAF" w:rsidR="008476AA" w:rsidRPr="00A078F8" w:rsidRDefault="00E639BD" w:rsidP="00CB4A7E">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550B10" w:rsidRPr="00126FCB">
              <w:rPr>
                <w:vertAlign w:val="superscript"/>
              </w:rPr>
              <w:t>2</w:t>
            </w:r>
          </w:p>
        </w:tc>
        <w:tc>
          <w:tcPr>
            <w:tcW w:w="758" w:type="pct"/>
            <w:tcBorders>
              <w:top w:val="nil"/>
              <w:left w:val="single" w:sz="4" w:space="0" w:color="auto"/>
              <w:bottom w:val="single" w:sz="4" w:space="0" w:color="auto"/>
              <w:right w:val="single" w:sz="4" w:space="0" w:color="auto"/>
            </w:tcBorders>
            <w:vAlign w:val="center"/>
          </w:tcPr>
          <w:p w14:paraId="37EC7069" w14:textId="7AE8C7F2" w:rsidR="008476AA" w:rsidRPr="00B63CD0" w:rsidRDefault="00E639BD" w:rsidP="00CB4A7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ED509D" w:rsidRPr="00B63CD0" w14:paraId="735EB382" w14:textId="77777777" w:rsidTr="00142C15">
        <w:tc>
          <w:tcPr>
            <w:tcW w:w="5000" w:type="pct"/>
            <w:gridSpan w:val="5"/>
            <w:tcBorders>
              <w:top w:val="single" w:sz="4" w:space="0" w:color="auto"/>
              <w:left w:val="single" w:sz="4" w:space="0" w:color="auto"/>
              <w:bottom w:val="nil"/>
              <w:right w:val="single" w:sz="4" w:space="0" w:color="auto"/>
            </w:tcBorders>
            <w:vAlign w:val="center"/>
            <w:hideMark/>
          </w:tcPr>
          <w:p w14:paraId="10E319BA" w14:textId="77777777" w:rsidR="00ED509D" w:rsidRPr="00B63CD0" w:rsidRDefault="00ED509D" w:rsidP="008F7A8E">
            <w:pPr>
              <w:pStyle w:val="TableText0"/>
              <w:keepNext w:val="0"/>
              <w:keepLines w:val="0"/>
            </w:pPr>
            <w:r w:rsidRPr="00B63CD0">
              <w:t>End of life QALY loss (base -1.37 QALYs per death)</w:t>
            </w:r>
          </w:p>
        </w:tc>
      </w:tr>
      <w:tr w:rsidR="008476AA" w:rsidRPr="00B63CD0" w14:paraId="4522AB32" w14:textId="77777777" w:rsidTr="00E25F99">
        <w:tc>
          <w:tcPr>
            <w:tcW w:w="1727" w:type="pct"/>
            <w:tcBorders>
              <w:top w:val="nil"/>
              <w:left w:val="single" w:sz="4" w:space="0" w:color="auto"/>
              <w:bottom w:val="single" w:sz="4" w:space="0" w:color="auto"/>
              <w:right w:val="single" w:sz="4" w:space="0" w:color="auto"/>
            </w:tcBorders>
            <w:vAlign w:val="center"/>
            <w:hideMark/>
          </w:tcPr>
          <w:p w14:paraId="1319723F" w14:textId="77777777" w:rsidR="008476AA" w:rsidRPr="00B63CD0" w:rsidRDefault="008476AA" w:rsidP="008F7A8E">
            <w:pPr>
              <w:pStyle w:val="TableText0"/>
              <w:keepNext w:val="0"/>
              <w:keepLines w:val="0"/>
              <w:ind w:left="166"/>
            </w:pPr>
            <w:r w:rsidRPr="00B63CD0">
              <w:t>None</w:t>
            </w:r>
          </w:p>
        </w:tc>
        <w:tc>
          <w:tcPr>
            <w:tcW w:w="864" w:type="pct"/>
            <w:tcBorders>
              <w:top w:val="nil"/>
              <w:left w:val="single" w:sz="4" w:space="0" w:color="auto"/>
              <w:bottom w:val="single" w:sz="4" w:space="0" w:color="auto"/>
              <w:right w:val="single" w:sz="4" w:space="0" w:color="auto"/>
            </w:tcBorders>
            <w:vAlign w:val="center"/>
            <w:hideMark/>
          </w:tcPr>
          <w:p w14:paraId="5240A3A4" w14:textId="28F26552" w:rsidR="008476AA" w:rsidRPr="00B63CD0"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nil"/>
              <w:left w:val="single" w:sz="4" w:space="0" w:color="auto"/>
              <w:bottom w:val="single" w:sz="4" w:space="0" w:color="auto"/>
              <w:right w:val="single" w:sz="4" w:space="0" w:color="auto"/>
            </w:tcBorders>
            <w:vAlign w:val="center"/>
            <w:hideMark/>
          </w:tcPr>
          <w:p w14:paraId="14D2B2BB" w14:textId="1A141F6C" w:rsidR="008476AA" w:rsidRPr="00B63CD0"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c>
          <w:tcPr>
            <w:tcW w:w="864" w:type="pct"/>
            <w:tcBorders>
              <w:top w:val="nil"/>
              <w:left w:val="single" w:sz="4" w:space="0" w:color="auto"/>
              <w:bottom w:val="single" w:sz="4" w:space="0" w:color="auto"/>
              <w:right w:val="single" w:sz="4" w:space="0" w:color="auto"/>
            </w:tcBorders>
            <w:vAlign w:val="center"/>
            <w:hideMark/>
          </w:tcPr>
          <w:p w14:paraId="721F75D7" w14:textId="083AE395" w:rsidR="008476AA" w:rsidRPr="00B63CD0"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550B10" w:rsidRPr="00126FCB">
              <w:rPr>
                <w:vertAlign w:val="superscript"/>
              </w:rPr>
              <w:t>2</w:t>
            </w:r>
          </w:p>
        </w:tc>
        <w:tc>
          <w:tcPr>
            <w:tcW w:w="758" w:type="pct"/>
            <w:tcBorders>
              <w:top w:val="nil"/>
              <w:left w:val="single" w:sz="4" w:space="0" w:color="auto"/>
              <w:bottom w:val="single" w:sz="4" w:space="0" w:color="auto"/>
              <w:right w:val="single" w:sz="4" w:space="0" w:color="auto"/>
            </w:tcBorders>
            <w:vAlign w:val="center"/>
            <w:hideMark/>
          </w:tcPr>
          <w:p w14:paraId="1D544689" w14:textId="11D1DFA2" w:rsidR="008476AA" w:rsidRPr="00B63CD0"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ED509D" w:rsidRPr="00B63CD0" w14:paraId="6926B37E" w14:textId="77777777" w:rsidTr="00FF1F6D">
        <w:tc>
          <w:tcPr>
            <w:tcW w:w="5000" w:type="pct"/>
            <w:gridSpan w:val="5"/>
            <w:tcBorders>
              <w:top w:val="single" w:sz="4" w:space="0" w:color="auto"/>
              <w:left w:val="single" w:sz="4" w:space="0" w:color="auto"/>
              <w:bottom w:val="nil"/>
              <w:right w:val="single" w:sz="4" w:space="0" w:color="auto"/>
            </w:tcBorders>
            <w:vAlign w:val="center"/>
            <w:hideMark/>
          </w:tcPr>
          <w:p w14:paraId="5E0E6432" w14:textId="77777777" w:rsidR="00ED509D" w:rsidRPr="00B63CD0" w:rsidRDefault="00ED509D" w:rsidP="008F7A8E">
            <w:pPr>
              <w:pStyle w:val="TableText0"/>
              <w:keepNext w:val="0"/>
              <w:keepLines w:val="0"/>
            </w:pPr>
            <w:r w:rsidRPr="00B63CD0">
              <w:t>Alternative utilities (base m0HSPC 0.934/ tx susp=0.950, mHSPC=0.816, m0CRPC=0.852, mCRPC=0.706)</w:t>
            </w:r>
          </w:p>
        </w:tc>
      </w:tr>
      <w:tr w:rsidR="008476AA" w:rsidRPr="00B63CD0" w14:paraId="20208CD7" w14:textId="77777777" w:rsidTr="00E25F99">
        <w:tc>
          <w:tcPr>
            <w:tcW w:w="1727" w:type="pct"/>
            <w:tcBorders>
              <w:top w:val="nil"/>
              <w:left w:val="single" w:sz="4" w:space="0" w:color="auto"/>
              <w:bottom w:val="single" w:sz="4" w:space="0" w:color="auto"/>
              <w:right w:val="single" w:sz="4" w:space="0" w:color="auto"/>
            </w:tcBorders>
            <w:hideMark/>
          </w:tcPr>
          <w:p w14:paraId="0CC0E71B" w14:textId="77777777" w:rsidR="008476AA" w:rsidRPr="00B63CD0" w:rsidRDefault="008476AA" w:rsidP="008F7A8E">
            <w:pPr>
              <w:pStyle w:val="TableText0"/>
              <w:keepNext w:val="0"/>
              <w:keepLines w:val="0"/>
              <w:ind w:left="166"/>
            </w:pPr>
            <w:r w:rsidRPr="00B63CD0">
              <w:t>m0HSPC 0.875/ tx susp=0.89</w:t>
            </w:r>
            <w:r w:rsidRPr="00B63CD0">
              <w:rPr>
                <w:vertAlign w:val="superscript"/>
              </w:rPr>
              <w:t>i</w:t>
            </w:r>
            <w:r w:rsidRPr="00B63CD0">
              <w:t xml:space="preserve"> </w:t>
            </w:r>
          </w:p>
        </w:tc>
        <w:tc>
          <w:tcPr>
            <w:tcW w:w="864" w:type="pct"/>
            <w:tcBorders>
              <w:top w:val="nil"/>
              <w:left w:val="single" w:sz="4" w:space="0" w:color="auto"/>
              <w:bottom w:val="single" w:sz="4" w:space="0" w:color="auto"/>
              <w:right w:val="single" w:sz="4" w:space="0" w:color="auto"/>
            </w:tcBorders>
            <w:vAlign w:val="center"/>
            <w:hideMark/>
          </w:tcPr>
          <w:p w14:paraId="5F6EB3B9" w14:textId="4050140D" w:rsidR="008476AA" w:rsidRPr="00B63CD0"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nil"/>
              <w:left w:val="single" w:sz="4" w:space="0" w:color="auto"/>
              <w:bottom w:val="single" w:sz="4" w:space="0" w:color="auto"/>
              <w:right w:val="single" w:sz="4" w:space="0" w:color="auto"/>
            </w:tcBorders>
            <w:vAlign w:val="center"/>
            <w:hideMark/>
          </w:tcPr>
          <w:p w14:paraId="34F1B3E6" w14:textId="1D52C9CB" w:rsidR="008476AA" w:rsidRPr="00B63CD0"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c>
          <w:tcPr>
            <w:tcW w:w="864" w:type="pct"/>
            <w:tcBorders>
              <w:top w:val="nil"/>
              <w:left w:val="single" w:sz="4" w:space="0" w:color="auto"/>
              <w:bottom w:val="single" w:sz="4" w:space="0" w:color="auto"/>
              <w:right w:val="single" w:sz="4" w:space="0" w:color="auto"/>
            </w:tcBorders>
            <w:vAlign w:val="center"/>
            <w:hideMark/>
          </w:tcPr>
          <w:p w14:paraId="378F436A" w14:textId="3E3C893E" w:rsidR="008476AA" w:rsidRPr="00B63CD0"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550B10" w:rsidRPr="00126FCB">
              <w:rPr>
                <w:vertAlign w:val="superscript"/>
              </w:rPr>
              <w:t>2</w:t>
            </w:r>
          </w:p>
        </w:tc>
        <w:tc>
          <w:tcPr>
            <w:tcW w:w="758" w:type="pct"/>
            <w:tcBorders>
              <w:top w:val="nil"/>
              <w:left w:val="single" w:sz="4" w:space="0" w:color="auto"/>
              <w:bottom w:val="single" w:sz="4" w:space="0" w:color="auto"/>
              <w:right w:val="single" w:sz="4" w:space="0" w:color="auto"/>
            </w:tcBorders>
            <w:vAlign w:val="center"/>
            <w:hideMark/>
          </w:tcPr>
          <w:p w14:paraId="64D024CC" w14:textId="07C60139" w:rsidR="008476AA" w:rsidRPr="00B63CD0"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B63CD0">
              <w:t>%</w:t>
            </w:r>
          </w:p>
        </w:tc>
      </w:tr>
      <w:tr w:rsidR="00FF1F6D" w:rsidRPr="00FF1F6D" w14:paraId="308179CF" w14:textId="77777777" w:rsidTr="00FF1F6D">
        <w:tc>
          <w:tcPr>
            <w:tcW w:w="5000" w:type="pct"/>
            <w:gridSpan w:val="5"/>
            <w:tcBorders>
              <w:top w:val="single" w:sz="4" w:space="0" w:color="auto"/>
              <w:left w:val="single" w:sz="4" w:space="0" w:color="auto"/>
              <w:bottom w:val="single" w:sz="4" w:space="0" w:color="auto"/>
              <w:right w:val="single" w:sz="4" w:space="0" w:color="auto"/>
            </w:tcBorders>
          </w:tcPr>
          <w:p w14:paraId="3357205E" w14:textId="133A1683" w:rsidR="00FF1F6D" w:rsidRPr="00DF24EF" w:rsidRDefault="00FF1F6D" w:rsidP="00FF1F6D">
            <w:pPr>
              <w:pStyle w:val="TableText0"/>
              <w:keepNext w:val="0"/>
              <w:keepLines w:val="0"/>
              <w:rPr>
                <w:b/>
                <w:bCs w:val="0"/>
              </w:rPr>
            </w:pPr>
            <w:r w:rsidRPr="00DF24EF">
              <w:rPr>
                <w:b/>
                <w:bCs w:val="0"/>
              </w:rPr>
              <w:t>Sensitivity analyses presented in the PSCR</w:t>
            </w:r>
          </w:p>
        </w:tc>
      </w:tr>
      <w:tr w:rsidR="008476AA" w:rsidRPr="00FF1F6D" w14:paraId="0D91316F" w14:textId="77777777" w:rsidTr="00E25F99">
        <w:tc>
          <w:tcPr>
            <w:tcW w:w="1727" w:type="pct"/>
            <w:tcBorders>
              <w:top w:val="single" w:sz="4" w:space="0" w:color="auto"/>
              <w:left w:val="single" w:sz="4" w:space="0" w:color="auto"/>
              <w:bottom w:val="single" w:sz="4" w:space="0" w:color="auto"/>
              <w:right w:val="single" w:sz="4" w:space="0" w:color="auto"/>
            </w:tcBorders>
          </w:tcPr>
          <w:p w14:paraId="2AB448B7" w14:textId="0413961E" w:rsidR="008476AA" w:rsidRPr="00DF24EF" w:rsidRDefault="008476AA" w:rsidP="00FF1F6D">
            <w:pPr>
              <w:pStyle w:val="TableText0"/>
              <w:keepNext w:val="0"/>
              <w:keepLines w:val="0"/>
            </w:pPr>
            <w:r w:rsidRPr="00DF24EF">
              <w:t>OS extrapolated from EMBARK KM data, i.e. no mortality adjustment in progressed disease states</w:t>
            </w:r>
          </w:p>
        </w:tc>
        <w:tc>
          <w:tcPr>
            <w:tcW w:w="864" w:type="pct"/>
            <w:tcBorders>
              <w:top w:val="single" w:sz="4" w:space="0" w:color="auto"/>
              <w:left w:val="single" w:sz="4" w:space="0" w:color="auto"/>
              <w:bottom w:val="single" w:sz="4" w:space="0" w:color="auto"/>
              <w:right w:val="single" w:sz="4" w:space="0" w:color="auto"/>
            </w:tcBorders>
            <w:vAlign w:val="center"/>
          </w:tcPr>
          <w:p w14:paraId="61564B40" w14:textId="007500C7" w:rsidR="008476AA" w:rsidRPr="00A078F8" w:rsidRDefault="00E639BD" w:rsidP="008F7A8E">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single" w:sz="4" w:space="0" w:color="auto"/>
              <w:left w:val="single" w:sz="4" w:space="0" w:color="auto"/>
              <w:bottom w:val="single" w:sz="4" w:space="0" w:color="auto"/>
              <w:right w:val="single" w:sz="4" w:space="0" w:color="auto"/>
            </w:tcBorders>
            <w:vAlign w:val="center"/>
          </w:tcPr>
          <w:p w14:paraId="4691CDFC" w14:textId="3E3C200A" w:rsidR="008476AA" w:rsidRPr="00DF24EF" w:rsidRDefault="008476AA" w:rsidP="008F7A8E">
            <w:pPr>
              <w:pStyle w:val="TableText0"/>
              <w:keepNext w:val="0"/>
              <w:keepLines w:val="0"/>
              <w:jc w:val="center"/>
            </w:pPr>
            <w:r w:rsidRPr="00DF24EF">
              <w:t>-</w:t>
            </w:r>
            <w:r w:rsidR="00E639BD" w:rsidRPr="00E639BD">
              <w:rPr>
                <w:color w:val="000000"/>
                <w:shd w:val="solid" w:color="000000" w:fill="000000"/>
                <w14:textFill>
                  <w14:solidFill>
                    <w14:srgbClr w14:val="000000">
                      <w14:alpha w14:val="100000"/>
                    </w14:srgbClr>
                  </w14:solidFill>
                </w14:textFill>
              </w:rPr>
              <w:t>|</w:t>
            </w:r>
            <w:r w:rsidRPr="00DF24EF">
              <w:t>%</w:t>
            </w:r>
          </w:p>
        </w:tc>
        <w:tc>
          <w:tcPr>
            <w:tcW w:w="864" w:type="pct"/>
            <w:tcBorders>
              <w:top w:val="single" w:sz="4" w:space="0" w:color="auto"/>
              <w:left w:val="single" w:sz="4" w:space="0" w:color="auto"/>
              <w:bottom w:val="single" w:sz="4" w:space="0" w:color="auto"/>
              <w:right w:val="single" w:sz="4" w:space="0" w:color="auto"/>
            </w:tcBorders>
            <w:vAlign w:val="center"/>
          </w:tcPr>
          <w:p w14:paraId="6298206D" w14:textId="2D42B45F" w:rsidR="008476AA" w:rsidRPr="00A078F8" w:rsidRDefault="00E639BD" w:rsidP="008F7A8E">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550B10" w:rsidRPr="00126FCB">
              <w:rPr>
                <w:vertAlign w:val="superscript"/>
              </w:rPr>
              <w:t>2</w:t>
            </w:r>
          </w:p>
        </w:tc>
        <w:tc>
          <w:tcPr>
            <w:tcW w:w="758" w:type="pct"/>
            <w:tcBorders>
              <w:top w:val="single" w:sz="4" w:space="0" w:color="auto"/>
              <w:left w:val="single" w:sz="4" w:space="0" w:color="auto"/>
              <w:bottom w:val="single" w:sz="4" w:space="0" w:color="auto"/>
              <w:right w:val="single" w:sz="4" w:space="0" w:color="auto"/>
            </w:tcBorders>
            <w:vAlign w:val="center"/>
          </w:tcPr>
          <w:p w14:paraId="662DFEB4" w14:textId="7259739E" w:rsidR="008476AA" w:rsidRPr="00DF24EF"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DF24EF">
              <w:t>%</w:t>
            </w:r>
          </w:p>
        </w:tc>
      </w:tr>
      <w:tr w:rsidR="008476AA" w:rsidRPr="00FF1F6D" w14:paraId="39C4EAA4" w14:textId="77777777" w:rsidTr="00E25F99">
        <w:tc>
          <w:tcPr>
            <w:tcW w:w="1727" w:type="pct"/>
            <w:tcBorders>
              <w:top w:val="single" w:sz="4" w:space="0" w:color="auto"/>
              <w:left w:val="single" w:sz="4" w:space="0" w:color="auto"/>
              <w:bottom w:val="single" w:sz="4" w:space="0" w:color="auto"/>
              <w:right w:val="single" w:sz="4" w:space="0" w:color="auto"/>
            </w:tcBorders>
          </w:tcPr>
          <w:p w14:paraId="7DE75305" w14:textId="426F7EA8" w:rsidR="008476AA" w:rsidRPr="00DF24EF" w:rsidRDefault="008476AA" w:rsidP="00FF1F6D">
            <w:pPr>
              <w:pStyle w:val="TableText0"/>
              <w:keepNext w:val="0"/>
              <w:keepLines w:val="0"/>
            </w:pPr>
            <w:r w:rsidRPr="00DF24EF">
              <w:t>MFS, OS and TTD extrapolated from Time 0</w:t>
            </w:r>
          </w:p>
        </w:tc>
        <w:tc>
          <w:tcPr>
            <w:tcW w:w="864" w:type="pct"/>
            <w:tcBorders>
              <w:top w:val="single" w:sz="4" w:space="0" w:color="auto"/>
              <w:left w:val="single" w:sz="4" w:space="0" w:color="auto"/>
              <w:bottom w:val="single" w:sz="4" w:space="0" w:color="auto"/>
              <w:right w:val="single" w:sz="4" w:space="0" w:color="auto"/>
            </w:tcBorders>
            <w:vAlign w:val="center"/>
          </w:tcPr>
          <w:p w14:paraId="2E68E705" w14:textId="461B6406" w:rsidR="008476AA" w:rsidRPr="00A078F8" w:rsidRDefault="00E639BD" w:rsidP="008F7A8E">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single" w:sz="4" w:space="0" w:color="auto"/>
              <w:left w:val="single" w:sz="4" w:space="0" w:color="auto"/>
              <w:bottom w:val="single" w:sz="4" w:space="0" w:color="auto"/>
              <w:right w:val="single" w:sz="4" w:space="0" w:color="auto"/>
            </w:tcBorders>
            <w:vAlign w:val="center"/>
          </w:tcPr>
          <w:p w14:paraId="09737C91" w14:textId="5F457866" w:rsidR="008476AA" w:rsidRPr="00DF24EF"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DF24EF">
              <w:t>%</w:t>
            </w:r>
          </w:p>
        </w:tc>
        <w:tc>
          <w:tcPr>
            <w:tcW w:w="864" w:type="pct"/>
            <w:tcBorders>
              <w:top w:val="single" w:sz="4" w:space="0" w:color="auto"/>
              <w:left w:val="single" w:sz="4" w:space="0" w:color="auto"/>
              <w:bottom w:val="single" w:sz="4" w:space="0" w:color="auto"/>
              <w:right w:val="single" w:sz="4" w:space="0" w:color="auto"/>
            </w:tcBorders>
            <w:vAlign w:val="center"/>
          </w:tcPr>
          <w:p w14:paraId="2E7E80AC" w14:textId="06BAA9E5" w:rsidR="008476AA" w:rsidRPr="00A078F8" w:rsidRDefault="00E639BD" w:rsidP="008F7A8E">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550B10" w:rsidRPr="00126FCB">
              <w:rPr>
                <w:vertAlign w:val="superscript"/>
              </w:rPr>
              <w:t>2</w:t>
            </w:r>
          </w:p>
        </w:tc>
        <w:tc>
          <w:tcPr>
            <w:tcW w:w="758" w:type="pct"/>
            <w:tcBorders>
              <w:top w:val="single" w:sz="4" w:space="0" w:color="auto"/>
              <w:left w:val="single" w:sz="4" w:space="0" w:color="auto"/>
              <w:bottom w:val="single" w:sz="4" w:space="0" w:color="auto"/>
              <w:right w:val="single" w:sz="4" w:space="0" w:color="auto"/>
            </w:tcBorders>
            <w:vAlign w:val="center"/>
          </w:tcPr>
          <w:p w14:paraId="2F285801" w14:textId="77EF0E29" w:rsidR="008476AA" w:rsidRPr="00DF24EF"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DF24EF">
              <w:t>%</w:t>
            </w:r>
          </w:p>
        </w:tc>
      </w:tr>
      <w:tr w:rsidR="008476AA" w:rsidRPr="00FF1F6D" w14:paraId="26735F0A" w14:textId="77777777" w:rsidTr="00E25F99">
        <w:tc>
          <w:tcPr>
            <w:tcW w:w="1727" w:type="pct"/>
            <w:tcBorders>
              <w:top w:val="single" w:sz="4" w:space="0" w:color="auto"/>
              <w:left w:val="single" w:sz="4" w:space="0" w:color="auto"/>
              <w:bottom w:val="single" w:sz="4" w:space="0" w:color="auto"/>
              <w:right w:val="single" w:sz="4" w:space="0" w:color="auto"/>
            </w:tcBorders>
          </w:tcPr>
          <w:p w14:paraId="261A6781" w14:textId="77777777" w:rsidR="008476AA" w:rsidRPr="00DF24EF" w:rsidRDefault="008476AA" w:rsidP="00FF1F6D">
            <w:pPr>
              <w:pStyle w:val="TableText0"/>
              <w:keepNext w:val="0"/>
              <w:keepLines w:val="0"/>
            </w:pPr>
            <w:r w:rsidRPr="00DF24EF">
              <w:t xml:space="preserve">US utility values </w:t>
            </w:r>
          </w:p>
          <w:p w14:paraId="28AEE814" w14:textId="6311CF5B" w:rsidR="008476AA" w:rsidRPr="00DF24EF" w:rsidRDefault="008476AA" w:rsidP="00FF1F6D">
            <w:pPr>
              <w:pStyle w:val="TableText0"/>
              <w:keepNext w:val="0"/>
              <w:keepLines w:val="0"/>
            </w:pPr>
            <w:r w:rsidRPr="00DF24EF">
              <w:t>m0HSPC: 0.882 (base case: 0.934)</w:t>
            </w:r>
          </w:p>
          <w:p w14:paraId="198D11AF" w14:textId="648E3FDA" w:rsidR="008476AA" w:rsidRPr="00DF24EF" w:rsidRDefault="008476AA" w:rsidP="00FF1F6D">
            <w:pPr>
              <w:pStyle w:val="TableText0"/>
              <w:keepNext w:val="0"/>
              <w:keepLines w:val="0"/>
            </w:pPr>
            <w:r w:rsidRPr="00DF24EF">
              <w:t>Treatment suspension: 0.908 (base case: 0.95)</w:t>
            </w:r>
          </w:p>
        </w:tc>
        <w:tc>
          <w:tcPr>
            <w:tcW w:w="864" w:type="pct"/>
            <w:tcBorders>
              <w:top w:val="single" w:sz="4" w:space="0" w:color="auto"/>
              <w:left w:val="single" w:sz="4" w:space="0" w:color="auto"/>
              <w:bottom w:val="single" w:sz="4" w:space="0" w:color="auto"/>
              <w:right w:val="single" w:sz="4" w:space="0" w:color="auto"/>
            </w:tcBorders>
            <w:vAlign w:val="center"/>
          </w:tcPr>
          <w:p w14:paraId="53EC17E0" w14:textId="6D43EA24" w:rsidR="008476AA" w:rsidRPr="00A078F8" w:rsidRDefault="00E639BD" w:rsidP="008F7A8E">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121B43" w:rsidRPr="00121B43">
              <w:rPr>
                <w:vertAlign w:val="superscript"/>
              </w:rPr>
              <w:t>1</w:t>
            </w:r>
          </w:p>
        </w:tc>
        <w:tc>
          <w:tcPr>
            <w:tcW w:w="787" w:type="pct"/>
            <w:tcBorders>
              <w:top w:val="single" w:sz="4" w:space="0" w:color="auto"/>
              <w:left w:val="single" w:sz="4" w:space="0" w:color="auto"/>
              <w:bottom w:val="single" w:sz="4" w:space="0" w:color="auto"/>
              <w:right w:val="single" w:sz="4" w:space="0" w:color="auto"/>
            </w:tcBorders>
            <w:vAlign w:val="center"/>
          </w:tcPr>
          <w:p w14:paraId="235CDA26" w14:textId="1F5CF5FB" w:rsidR="008476AA" w:rsidRPr="00DF24EF"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DF24EF">
              <w:t>%</w:t>
            </w:r>
          </w:p>
        </w:tc>
        <w:tc>
          <w:tcPr>
            <w:tcW w:w="864" w:type="pct"/>
            <w:tcBorders>
              <w:top w:val="single" w:sz="4" w:space="0" w:color="auto"/>
              <w:left w:val="single" w:sz="4" w:space="0" w:color="auto"/>
              <w:bottom w:val="single" w:sz="4" w:space="0" w:color="auto"/>
              <w:right w:val="single" w:sz="4" w:space="0" w:color="auto"/>
            </w:tcBorders>
            <w:vAlign w:val="center"/>
          </w:tcPr>
          <w:p w14:paraId="3C299B41" w14:textId="73765E3F" w:rsidR="008476AA" w:rsidRPr="00A078F8" w:rsidRDefault="00E639BD" w:rsidP="008F7A8E">
            <w:pPr>
              <w:pStyle w:val="TableText0"/>
              <w:keepNext w:val="0"/>
              <w:keepLines w:val="0"/>
              <w:jc w:val="center"/>
              <w:rPr>
                <w:highlight w:val="darkGray"/>
              </w:rPr>
            </w:pPr>
            <w:r w:rsidRPr="00E639BD">
              <w:rPr>
                <w:color w:val="000000"/>
                <w:shd w:val="solid" w:color="000000" w:fill="000000"/>
                <w14:textFill>
                  <w14:solidFill>
                    <w14:srgbClr w14:val="000000">
                      <w14:alpha w14:val="100000"/>
                    </w14:srgbClr>
                  </w14:solidFill>
                </w14:textFill>
              </w:rPr>
              <w:t>|</w:t>
            </w:r>
            <w:r w:rsidR="00550B10" w:rsidRPr="00126FCB">
              <w:rPr>
                <w:vertAlign w:val="superscript"/>
              </w:rPr>
              <w:t>2</w:t>
            </w:r>
          </w:p>
        </w:tc>
        <w:tc>
          <w:tcPr>
            <w:tcW w:w="758" w:type="pct"/>
            <w:tcBorders>
              <w:top w:val="single" w:sz="4" w:space="0" w:color="auto"/>
              <w:left w:val="single" w:sz="4" w:space="0" w:color="auto"/>
              <w:bottom w:val="single" w:sz="4" w:space="0" w:color="auto"/>
              <w:right w:val="single" w:sz="4" w:space="0" w:color="auto"/>
            </w:tcBorders>
            <w:vAlign w:val="center"/>
          </w:tcPr>
          <w:p w14:paraId="40520AC1" w14:textId="0320A773" w:rsidR="008476AA" w:rsidRPr="00DF24EF"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rsidRPr="00DF24EF">
              <w:t>%</w:t>
            </w:r>
          </w:p>
        </w:tc>
      </w:tr>
      <w:tr w:rsidR="008476AA" w:rsidRPr="00FF1F6D" w14:paraId="5C8759FD" w14:textId="77777777" w:rsidTr="008476AA">
        <w:tc>
          <w:tcPr>
            <w:tcW w:w="5000" w:type="pct"/>
            <w:gridSpan w:val="5"/>
            <w:tcBorders>
              <w:top w:val="single" w:sz="4" w:space="0" w:color="auto"/>
              <w:left w:val="single" w:sz="4" w:space="0" w:color="auto"/>
              <w:bottom w:val="single" w:sz="4" w:space="0" w:color="auto"/>
              <w:right w:val="single" w:sz="4" w:space="0" w:color="auto"/>
            </w:tcBorders>
          </w:tcPr>
          <w:p w14:paraId="3F2A8043" w14:textId="04BE304E" w:rsidR="008476AA" w:rsidRPr="00DF24EF" w:rsidDel="00DF24EF" w:rsidRDefault="008476AA" w:rsidP="008476AA">
            <w:pPr>
              <w:pStyle w:val="TableText0"/>
              <w:keepNext w:val="0"/>
              <w:keepLines w:val="0"/>
            </w:pPr>
            <w:r w:rsidRPr="00DF24EF">
              <w:rPr>
                <w:b/>
                <w:bCs w:val="0"/>
              </w:rPr>
              <w:t>Sensitivity analysis presented in the pre-PBAC response</w:t>
            </w:r>
          </w:p>
        </w:tc>
      </w:tr>
      <w:tr w:rsidR="008476AA" w:rsidRPr="00FF1F6D" w14:paraId="73D6592F" w14:textId="77777777" w:rsidTr="00E25F99">
        <w:tc>
          <w:tcPr>
            <w:tcW w:w="1727" w:type="pct"/>
            <w:tcBorders>
              <w:top w:val="single" w:sz="4" w:space="0" w:color="auto"/>
              <w:left w:val="single" w:sz="4" w:space="0" w:color="auto"/>
              <w:bottom w:val="single" w:sz="4" w:space="0" w:color="auto"/>
              <w:right w:val="single" w:sz="4" w:space="0" w:color="auto"/>
            </w:tcBorders>
          </w:tcPr>
          <w:p w14:paraId="7E0F93D0" w14:textId="2EF5F9DE" w:rsidR="008476AA" w:rsidRPr="00DF24EF" w:rsidRDefault="008476AA" w:rsidP="00FF1F6D">
            <w:pPr>
              <w:pStyle w:val="TableText0"/>
              <w:keepNext w:val="0"/>
              <w:keepLines w:val="0"/>
            </w:pPr>
            <w:r w:rsidRPr="00DF24EF">
              <w:t xml:space="preserve">OS extrapolated from EMBARK KM data, </w:t>
            </w:r>
            <w:r>
              <w:t>+ additional mortality for progressed health states applied to ENZA + ADT arm</w:t>
            </w:r>
          </w:p>
        </w:tc>
        <w:tc>
          <w:tcPr>
            <w:tcW w:w="864" w:type="pct"/>
            <w:tcBorders>
              <w:top w:val="single" w:sz="4" w:space="0" w:color="auto"/>
              <w:left w:val="single" w:sz="4" w:space="0" w:color="auto"/>
              <w:bottom w:val="single" w:sz="4" w:space="0" w:color="auto"/>
              <w:right w:val="single" w:sz="4" w:space="0" w:color="auto"/>
            </w:tcBorders>
            <w:vAlign w:val="center"/>
          </w:tcPr>
          <w:p w14:paraId="36A68F52" w14:textId="24AA584E" w:rsidR="008476AA" w:rsidRPr="00DF24EF"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F012EC" w:rsidRPr="00126FCB">
              <w:rPr>
                <w:vertAlign w:val="superscript"/>
              </w:rPr>
              <w:t>2</w:t>
            </w:r>
          </w:p>
        </w:tc>
        <w:tc>
          <w:tcPr>
            <w:tcW w:w="787" w:type="pct"/>
            <w:tcBorders>
              <w:top w:val="single" w:sz="4" w:space="0" w:color="auto"/>
              <w:left w:val="single" w:sz="4" w:space="0" w:color="auto"/>
              <w:bottom w:val="single" w:sz="4" w:space="0" w:color="auto"/>
              <w:right w:val="single" w:sz="4" w:space="0" w:color="auto"/>
            </w:tcBorders>
            <w:vAlign w:val="center"/>
          </w:tcPr>
          <w:p w14:paraId="2ED500E6" w14:textId="11D0034C" w:rsidR="008476AA" w:rsidRPr="00DF24EF" w:rsidRDefault="00E639BD" w:rsidP="008F7A8E">
            <w:pPr>
              <w:pStyle w:val="TableText0"/>
              <w:keepNext w:val="0"/>
              <w:keepLines w:val="0"/>
              <w:jc w:val="center"/>
            </w:pPr>
            <w:r w:rsidRPr="00E639BD">
              <w:rPr>
                <w:color w:val="000000"/>
                <w:shd w:val="solid" w:color="000000" w:fill="000000"/>
                <w14:textFill>
                  <w14:solidFill>
                    <w14:srgbClr w14:val="000000">
                      <w14:alpha w14:val="100000"/>
                    </w14:srgbClr>
                  </w14:solidFill>
                </w14:textFill>
              </w:rPr>
              <w:t>|</w:t>
            </w:r>
            <w:r w:rsidR="008476AA">
              <w:t>%</w:t>
            </w:r>
          </w:p>
        </w:tc>
        <w:tc>
          <w:tcPr>
            <w:tcW w:w="864" w:type="pct"/>
            <w:tcBorders>
              <w:top w:val="single" w:sz="4" w:space="0" w:color="auto"/>
              <w:left w:val="single" w:sz="4" w:space="0" w:color="auto"/>
              <w:bottom w:val="single" w:sz="4" w:space="0" w:color="auto"/>
              <w:right w:val="single" w:sz="4" w:space="0" w:color="auto"/>
            </w:tcBorders>
            <w:vAlign w:val="center"/>
          </w:tcPr>
          <w:p w14:paraId="3C9055AA" w14:textId="223F303F" w:rsidR="008476AA" w:rsidRPr="00DF24EF" w:rsidRDefault="008476AA" w:rsidP="008F7A8E">
            <w:pPr>
              <w:pStyle w:val="TableText0"/>
              <w:keepNext w:val="0"/>
              <w:keepLines w:val="0"/>
              <w:jc w:val="center"/>
            </w:pPr>
            <w:r>
              <w:t>-</w:t>
            </w:r>
          </w:p>
        </w:tc>
        <w:tc>
          <w:tcPr>
            <w:tcW w:w="758" w:type="pct"/>
            <w:tcBorders>
              <w:top w:val="single" w:sz="4" w:space="0" w:color="auto"/>
              <w:left w:val="single" w:sz="4" w:space="0" w:color="auto"/>
              <w:bottom w:val="single" w:sz="4" w:space="0" w:color="auto"/>
              <w:right w:val="single" w:sz="4" w:space="0" w:color="auto"/>
            </w:tcBorders>
            <w:vAlign w:val="center"/>
          </w:tcPr>
          <w:p w14:paraId="52D29621" w14:textId="4466F5E9" w:rsidR="008476AA" w:rsidRPr="00DF24EF" w:rsidDel="00DF24EF" w:rsidRDefault="008476AA" w:rsidP="008F7A8E">
            <w:pPr>
              <w:pStyle w:val="TableText0"/>
              <w:keepNext w:val="0"/>
              <w:keepLines w:val="0"/>
              <w:jc w:val="center"/>
            </w:pPr>
            <w:r>
              <w:t>-</w:t>
            </w:r>
          </w:p>
        </w:tc>
      </w:tr>
    </w:tbl>
    <w:p w14:paraId="230BC776" w14:textId="77777777" w:rsidR="00ED509D" w:rsidRPr="00DF24EF" w:rsidRDefault="00ED509D" w:rsidP="009F195B">
      <w:pPr>
        <w:pStyle w:val="TableFigureFooter"/>
      </w:pPr>
      <w:r>
        <w:t xml:space="preserve">Source: Tables 3-81, 3-82 and </w:t>
      </w:r>
      <w:r w:rsidRPr="00DF24EF">
        <w:t>compiled during the evaluation</w:t>
      </w:r>
    </w:p>
    <w:p w14:paraId="15EFB7C3" w14:textId="0947D183" w:rsidR="00ED509D" w:rsidRDefault="00ED509D" w:rsidP="009F195B">
      <w:pPr>
        <w:pStyle w:val="TableFigureFooter"/>
      </w:pPr>
      <w:r>
        <w:t xml:space="preserve">ADT=androgen deprivation therapy, ENZA=enzalutamide, </w:t>
      </w:r>
      <w:r w:rsidR="00C02E47">
        <w:t xml:space="preserve">ICER=incremental cost effectiveness ratio, KM=Kaplan Meier, </w:t>
      </w:r>
      <w:r>
        <w:t>m0HSPC=non-metastatic hormone sensitive prostate cancer, mHSPC=metastatic hormone sensitive prostate cancer, m0CRPC=non metastatic castrate resistant prostate cancer, mCRPC=metastatic castrate resistant prostate cancer,</w:t>
      </w:r>
      <w:r w:rsidR="00C02E47">
        <w:t xml:space="preserve"> MFS=metastases free survival, OS=overall survival,</w:t>
      </w:r>
      <w:r>
        <w:t xml:space="preserve"> </w:t>
      </w:r>
      <w:r w:rsidR="00C02E47">
        <w:t xml:space="preserve">QALY=quality adjusted life year, </w:t>
      </w:r>
      <w:r>
        <w:t xml:space="preserve">TTD=time to treatment discontinuation, ToT=time on treatment, </w:t>
      </w:r>
      <w:r w:rsidR="00C02E47">
        <w:t>tx=treatment</w:t>
      </w:r>
    </w:p>
    <w:p w14:paraId="79A78206" w14:textId="77777777" w:rsidR="00ED509D" w:rsidRDefault="00ED509D" w:rsidP="009F195B">
      <w:pPr>
        <w:pStyle w:val="TableFigureFooter"/>
      </w:pPr>
      <w:r>
        <w:t>a</w:t>
      </w:r>
      <w:r>
        <w:tab/>
        <w:t>ENZA+ADT log-logistic, ENZA monotherapy log-logistic, ADT alone Gompertz</w:t>
      </w:r>
    </w:p>
    <w:p w14:paraId="2A34064F" w14:textId="77777777" w:rsidR="00ED509D" w:rsidRDefault="00ED509D" w:rsidP="009F195B">
      <w:pPr>
        <w:pStyle w:val="TableFigureFooter"/>
      </w:pPr>
      <w:r>
        <w:t>b</w:t>
      </w:r>
      <w:r>
        <w:tab/>
        <w:t>ENZA+ADT gamma, ENZA monotherapy Weibull, ADT alone log-logistic</w:t>
      </w:r>
    </w:p>
    <w:p w14:paraId="379FCBA9" w14:textId="77B8DEAF" w:rsidR="00ED509D" w:rsidRDefault="008476AA" w:rsidP="009F195B">
      <w:pPr>
        <w:pStyle w:val="TableFigureFooter"/>
      </w:pPr>
      <w:r>
        <w:t>c</w:t>
      </w:r>
      <w:r w:rsidR="00ED509D">
        <w:tab/>
        <w:t>ENZA+ADT exponential, ENZA monotherapy log-normal, ADT alone generalised gamma</w:t>
      </w:r>
    </w:p>
    <w:p w14:paraId="6A686C32" w14:textId="77777777" w:rsidR="004B7F48" w:rsidRDefault="008476AA" w:rsidP="009F195B">
      <w:pPr>
        <w:pStyle w:val="TableFigureFooter"/>
      </w:pPr>
      <w:r>
        <w:t>d</w:t>
      </w:r>
      <w:r w:rsidR="00ED509D">
        <w:tab/>
        <w:t>ENZA+ADT Weibull, ENZA monotherapy generalised gamma, ADT alone log-normal</w:t>
      </w:r>
      <w:r w:rsidR="004B7F48">
        <w:t xml:space="preserve"> </w:t>
      </w:r>
    </w:p>
    <w:p w14:paraId="30954D2F" w14:textId="745134ED" w:rsidR="004B7F48" w:rsidRPr="007441A9" w:rsidRDefault="004B7F48" w:rsidP="009F195B">
      <w:pPr>
        <w:pStyle w:val="TableFigureFooter"/>
        <w:rPr>
          <w:i/>
          <w:iCs w:val="0"/>
        </w:rPr>
      </w:pPr>
      <w:r w:rsidRPr="007441A9">
        <w:rPr>
          <w:i/>
          <w:iCs w:val="0"/>
        </w:rPr>
        <w:t xml:space="preserve">The redacted values correspond to the following ranges: </w:t>
      </w:r>
    </w:p>
    <w:p w14:paraId="309F9DE3" w14:textId="77777777" w:rsidR="001D6B7F" w:rsidRPr="007441A9" w:rsidRDefault="004B7F48" w:rsidP="009F195B">
      <w:pPr>
        <w:pStyle w:val="TableFigureFooter"/>
        <w:rPr>
          <w:i/>
          <w:iCs w:val="0"/>
        </w:rPr>
      </w:pPr>
      <w:r w:rsidRPr="007441A9">
        <w:rPr>
          <w:i/>
          <w:iCs w:val="0"/>
        </w:rPr>
        <w:t>1</w:t>
      </w:r>
      <w:r w:rsidR="00121B43" w:rsidRPr="007441A9">
        <w:rPr>
          <w:i/>
          <w:iCs w:val="0"/>
        </w:rPr>
        <w:t xml:space="preserve"> $15,000 to &lt; $25,000</w:t>
      </w:r>
      <w:r w:rsidR="001D6B7F" w:rsidRPr="007441A9">
        <w:rPr>
          <w:i/>
          <w:iCs w:val="0"/>
        </w:rPr>
        <w:t xml:space="preserve"> </w:t>
      </w:r>
    </w:p>
    <w:p w14:paraId="360CFABB" w14:textId="77777777" w:rsidR="006543EF" w:rsidRPr="007441A9" w:rsidRDefault="001D6B7F" w:rsidP="009F195B">
      <w:pPr>
        <w:pStyle w:val="TableFigureFooter"/>
        <w:rPr>
          <w:i/>
          <w:iCs w:val="0"/>
        </w:rPr>
      </w:pPr>
      <w:r w:rsidRPr="007441A9">
        <w:rPr>
          <w:i/>
          <w:iCs w:val="0"/>
        </w:rPr>
        <w:t>2 $35,000 to &lt; $45,000</w:t>
      </w:r>
      <w:r w:rsidR="006543EF" w:rsidRPr="007441A9">
        <w:rPr>
          <w:i/>
          <w:iCs w:val="0"/>
        </w:rPr>
        <w:t xml:space="preserve"> </w:t>
      </w:r>
    </w:p>
    <w:p w14:paraId="1EC485F5" w14:textId="77777777" w:rsidR="00E30CC0" w:rsidRPr="007441A9" w:rsidRDefault="006543EF" w:rsidP="009F195B">
      <w:pPr>
        <w:pStyle w:val="TableFigureFooter"/>
        <w:rPr>
          <w:i/>
          <w:iCs w:val="0"/>
        </w:rPr>
      </w:pPr>
      <w:r w:rsidRPr="007441A9">
        <w:rPr>
          <w:i/>
          <w:iCs w:val="0"/>
        </w:rPr>
        <w:t>3 $25,000 to &lt; $35,000</w:t>
      </w:r>
      <w:r w:rsidR="00E30CC0" w:rsidRPr="007441A9">
        <w:rPr>
          <w:i/>
          <w:iCs w:val="0"/>
        </w:rPr>
        <w:t xml:space="preserve"> </w:t>
      </w:r>
    </w:p>
    <w:p w14:paraId="0F3E93B0" w14:textId="77777777" w:rsidR="00D86B14" w:rsidRPr="007441A9" w:rsidRDefault="00E30CC0" w:rsidP="009F195B">
      <w:pPr>
        <w:pStyle w:val="TableFigureFooter"/>
        <w:rPr>
          <w:i/>
          <w:iCs w:val="0"/>
        </w:rPr>
      </w:pPr>
      <w:r w:rsidRPr="007441A9">
        <w:rPr>
          <w:i/>
          <w:iCs w:val="0"/>
        </w:rPr>
        <w:t>4 $45,000 to &lt; $55,000</w:t>
      </w:r>
      <w:r w:rsidR="00D86B14" w:rsidRPr="007441A9">
        <w:rPr>
          <w:i/>
          <w:iCs w:val="0"/>
        </w:rPr>
        <w:t xml:space="preserve"> </w:t>
      </w:r>
    </w:p>
    <w:p w14:paraId="4CB259D5" w14:textId="5C6E51A2" w:rsidR="00121B43" w:rsidRPr="007441A9" w:rsidRDefault="00D86B14" w:rsidP="009F195B">
      <w:pPr>
        <w:pStyle w:val="TableFigureFooter"/>
        <w:rPr>
          <w:i/>
          <w:iCs w:val="0"/>
        </w:rPr>
      </w:pPr>
      <w:r w:rsidRPr="007441A9">
        <w:rPr>
          <w:i/>
          <w:iCs w:val="0"/>
        </w:rPr>
        <w:t>5 $5,000 to &lt; $15,000</w:t>
      </w:r>
    </w:p>
    <w:p w14:paraId="6ABEC988" w14:textId="58484424" w:rsidR="004B7F48" w:rsidRPr="007441A9" w:rsidRDefault="00C61B6F" w:rsidP="009F195B">
      <w:pPr>
        <w:pStyle w:val="TableFigureFooter"/>
        <w:rPr>
          <w:i/>
          <w:iCs w:val="0"/>
        </w:rPr>
      </w:pPr>
      <w:r w:rsidRPr="007441A9">
        <w:rPr>
          <w:i/>
          <w:iCs w:val="0"/>
        </w:rPr>
        <w:t xml:space="preserve">6 </w:t>
      </w:r>
      <w:r w:rsidR="004B7F48" w:rsidRPr="007441A9">
        <w:rPr>
          <w:i/>
          <w:iCs w:val="0"/>
        </w:rPr>
        <w:t>$55,000 to &lt; $75,000</w:t>
      </w:r>
    </w:p>
    <w:p w14:paraId="476F86F2" w14:textId="77777777" w:rsidR="002E5EEE" w:rsidRPr="007441A9" w:rsidRDefault="009C56D5" w:rsidP="009F195B">
      <w:pPr>
        <w:pStyle w:val="TableFigureFooter"/>
        <w:rPr>
          <w:i/>
          <w:iCs w:val="0"/>
        </w:rPr>
      </w:pPr>
      <w:r w:rsidRPr="007441A9">
        <w:rPr>
          <w:i/>
          <w:iCs w:val="0"/>
        </w:rPr>
        <w:t>7</w:t>
      </w:r>
      <w:r w:rsidR="004B7F48" w:rsidRPr="007441A9">
        <w:rPr>
          <w:i/>
          <w:iCs w:val="0"/>
        </w:rPr>
        <w:t xml:space="preserve"> $75,000 to &lt; $95,000</w:t>
      </w:r>
      <w:r w:rsidR="002E5EEE" w:rsidRPr="007441A9">
        <w:rPr>
          <w:i/>
          <w:iCs w:val="0"/>
        </w:rPr>
        <w:t xml:space="preserve"> </w:t>
      </w:r>
    </w:p>
    <w:p w14:paraId="084C0958" w14:textId="6974F889" w:rsidR="004B7F48" w:rsidRPr="007441A9" w:rsidRDefault="002E5EEE" w:rsidP="009F195B">
      <w:pPr>
        <w:pStyle w:val="TableFigureFooter"/>
        <w:rPr>
          <w:i/>
          <w:iCs w:val="0"/>
        </w:rPr>
      </w:pPr>
      <w:r w:rsidRPr="007441A9">
        <w:rPr>
          <w:i/>
          <w:iCs w:val="0"/>
        </w:rPr>
        <w:t>8 $255,000 to &lt; $355,000</w:t>
      </w:r>
    </w:p>
    <w:p w14:paraId="41D78160" w14:textId="77777777" w:rsidR="00ED509D" w:rsidRPr="0098262F" w:rsidRDefault="00ED509D" w:rsidP="006619E7">
      <w:pPr>
        <w:pStyle w:val="4-SubsectionHeading"/>
      </w:pPr>
      <w:bookmarkStart w:id="53" w:name="_Toc176779514"/>
      <w:bookmarkStart w:id="54" w:name="_Toc177371550"/>
      <w:bookmarkStart w:id="55" w:name="_Toc22897647"/>
      <w:bookmarkEnd w:id="40"/>
      <w:r>
        <w:lastRenderedPageBreak/>
        <w:t>Enzalutamide</w:t>
      </w:r>
      <w:r w:rsidRPr="0098262F">
        <w:t xml:space="preserve"> cost/patient/</w:t>
      </w:r>
      <w:r>
        <w:t>year</w:t>
      </w:r>
      <w:bookmarkEnd w:id="53"/>
      <w:bookmarkEnd w:id="54"/>
    </w:p>
    <w:p w14:paraId="038B08DC" w14:textId="6BFE2806" w:rsidR="00ED509D" w:rsidRPr="0098262F" w:rsidRDefault="00ED509D" w:rsidP="00BC7B4A">
      <w:pPr>
        <w:pStyle w:val="3-BodyText"/>
        <w:numPr>
          <w:ilvl w:val="1"/>
          <w:numId w:val="1"/>
        </w:numPr>
      </w:pPr>
      <w:bookmarkStart w:id="56" w:name="_Ref104805102"/>
      <w:r>
        <w:t xml:space="preserve">A summary of the drug cost is presented in </w:t>
      </w:r>
      <w:r>
        <w:fldChar w:fldCharType="begin" w:fldLock="1"/>
      </w:r>
      <w:r>
        <w:instrText xml:space="preserve"> REF _Ref176518484 \h </w:instrText>
      </w:r>
      <w:r>
        <w:fldChar w:fldCharType="separate"/>
      </w:r>
      <w:r w:rsidR="006619E7" w:rsidRPr="0098262F">
        <w:t xml:space="preserve">Table </w:t>
      </w:r>
      <w:r w:rsidR="006619E7">
        <w:rPr>
          <w:noProof/>
        </w:rPr>
        <w:t>14</w:t>
      </w:r>
      <w:r>
        <w:fldChar w:fldCharType="end"/>
      </w:r>
      <w:r>
        <w:t>.</w:t>
      </w:r>
    </w:p>
    <w:p w14:paraId="07DF9041" w14:textId="42EA1AEA" w:rsidR="00ED509D" w:rsidRPr="0098262F" w:rsidRDefault="00ED509D" w:rsidP="00BC7B4A">
      <w:pPr>
        <w:pStyle w:val="Caption"/>
        <w:rPr>
          <w:rStyle w:val="CommentReference"/>
          <w:b/>
          <w:szCs w:val="24"/>
        </w:rPr>
      </w:pPr>
      <w:bookmarkStart w:id="57" w:name="_Ref176518484"/>
      <w:r w:rsidRPr="0098262F">
        <w:t xml:space="preserve">Table </w:t>
      </w:r>
      <w:r>
        <w:fldChar w:fldCharType="begin" w:fldLock="1"/>
      </w:r>
      <w:r>
        <w:instrText xml:space="preserve"> SEQ Table \* ARABIC </w:instrText>
      </w:r>
      <w:r>
        <w:fldChar w:fldCharType="separate"/>
      </w:r>
      <w:r w:rsidR="00DF24EF">
        <w:rPr>
          <w:noProof/>
        </w:rPr>
        <w:t>14</w:t>
      </w:r>
      <w:r>
        <w:rPr>
          <w:noProof/>
        </w:rPr>
        <w:fldChar w:fldCharType="end"/>
      </w:r>
      <w:bookmarkEnd w:id="56"/>
      <w:bookmarkEnd w:id="57"/>
      <w:r w:rsidRPr="0098262F">
        <w:t>:</w:t>
      </w:r>
      <w:r w:rsidRPr="0098262F">
        <w:rPr>
          <w:rStyle w:val="CommentReference"/>
          <w:b/>
          <w:szCs w:val="24"/>
        </w:rPr>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Drug cost per patient for proposed and comparator drugs"/>
      </w:tblPr>
      <w:tblGrid>
        <w:gridCol w:w="1435"/>
        <w:gridCol w:w="838"/>
        <w:gridCol w:w="838"/>
        <w:gridCol w:w="851"/>
        <w:gridCol w:w="833"/>
        <w:gridCol w:w="839"/>
        <w:gridCol w:w="839"/>
        <w:gridCol w:w="839"/>
        <w:gridCol w:w="902"/>
        <w:gridCol w:w="803"/>
      </w:tblGrid>
      <w:tr w:rsidR="00ED509D" w:rsidRPr="00B63CD0" w14:paraId="0C29181C" w14:textId="77777777" w:rsidTr="00D34504">
        <w:trPr>
          <w:cantSplit/>
          <w:tblHeader/>
          <w:jc w:val="center"/>
        </w:trPr>
        <w:tc>
          <w:tcPr>
            <w:tcW w:w="796" w:type="pct"/>
            <w:vMerge w:val="restart"/>
            <w:shd w:val="clear" w:color="auto" w:fill="auto"/>
            <w:vAlign w:val="center"/>
          </w:tcPr>
          <w:p w14:paraId="26ADC729" w14:textId="77777777" w:rsidR="00ED509D" w:rsidRPr="00B63CD0" w:rsidRDefault="00ED509D" w:rsidP="00BC7B4A">
            <w:pPr>
              <w:pStyle w:val="In-tableHeading"/>
              <w:keepNext/>
              <w:keepLines/>
            </w:pPr>
          </w:p>
        </w:tc>
        <w:tc>
          <w:tcPr>
            <w:tcW w:w="1401" w:type="pct"/>
            <w:gridSpan w:val="3"/>
            <w:shd w:val="clear" w:color="auto" w:fill="auto"/>
            <w:vAlign w:val="center"/>
          </w:tcPr>
          <w:p w14:paraId="73BE368D" w14:textId="77777777" w:rsidR="00ED509D" w:rsidRPr="00B63CD0" w:rsidRDefault="00ED509D" w:rsidP="00BC7B4A">
            <w:pPr>
              <w:pStyle w:val="In-tableHeading"/>
              <w:keepNext/>
              <w:keepLines/>
              <w:jc w:val="center"/>
            </w:pPr>
            <w:r w:rsidRPr="00B63CD0">
              <w:t>Enzalutamide plus ADT</w:t>
            </w:r>
          </w:p>
        </w:tc>
        <w:tc>
          <w:tcPr>
            <w:tcW w:w="1392" w:type="pct"/>
            <w:gridSpan w:val="3"/>
            <w:vAlign w:val="center"/>
          </w:tcPr>
          <w:p w14:paraId="633FA413" w14:textId="77777777" w:rsidR="00ED509D" w:rsidRPr="00B63CD0" w:rsidRDefault="00ED509D" w:rsidP="00BC7B4A">
            <w:pPr>
              <w:pStyle w:val="In-tableHeading"/>
              <w:keepNext/>
              <w:keepLines/>
              <w:jc w:val="center"/>
            </w:pPr>
            <w:r w:rsidRPr="00B63CD0">
              <w:t>Enzalutamide monotherapy</w:t>
            </w:r>
          </w:p>
        </w:tc>
        <w:tc>
          <w:tcPr>
            <w:tcW w:w="1411" w:type="pct"/>
            <w:gridSpan w:val="3"/>
            <w:shd w:val="clear" w:color="auto" w:fill="auto"/>
            <w:vAlign w:val="center"/>
          </w:tcPr>
          <w:p w14:paraId="1B8659A0" w14:textId="77777777" w:rsidR="00ED509D" w:rsidRPr="00B63CD0" w:rsidRDefault="00ED509D" w:rsidP="00BC7B4A">
            <w:pPr>
              <w:pStyle w:val="In-tableHeading"/>
              <w:keepNext/>
              <w:keepLines/>
              <w:jc w:val="center"/>
            </w:pPr>
            <w:r w:rsidRPr="00B63CD0">
              <w:t>ADT alone</w:t>
            </w:r>
          </w:p>
        </w:tc>
      </w:tr>
      <w:tr w:rsidR="00ED509D" w:rsidRPr="00B63CD0" w14:paraId="03E9EBAB" w14:textId="77777777" w:rsidTr="00D34504">
        <w:trPr>
          <w:cantSplit/>
          <w:tblHeader/>
          <w:jc w:val="center"/>
        </w:trPr>
        <w:tc>
          <w:tcPr>
            <w:tcW w:w="796" w:type="pct"/>
            <w:vMerge/>
            <w:tcBorders>
              <w:bottom w:val="single" w:sz="4" w:space="0" w:color="auto"/>
            </w:tcBorders>
            <w:shd w:val="clear" w:color="auto" w:fill="auto"/>
            <w:vAlign w:val="center"/>
          </w:tcPr>
          <w:p w14:paraId="1F8E9A81" w14:textId="77777777" w:rsidR="00ED509D" w:rsidRPr="00B63CD0" w:rsidRDefault="00ED509D" w:rsidP="00BC7B4A">
            <w:pPr>
              <w:pStyle w:val="In-tableHeading"/>
              <w:keepNext/>
              <w:keepLines/>
            </w:pPr>
          </w:p>
        </w:tc>
        <w:tc>
          <w:tcPr>
            <w:tcW w:w="465" w:type="pct"/>
            <w:tcBorders>
              <w:bottom w:val="single" w:sz="4" w:space="0" w:color="auto"/>
            </w:tcBorders>
            <w:shd w:val="clear" w:color="auto" w:fill="auto"/>
            <w:vAlign w:val="center"/>
          </w:tcPr>
          <w:p w14:paraId="3CCA0069" w14:textId="77777777" w:rsidR="00ED509D" w:rsidRPr="00B63CD0" w:rsidRDefault="00ED509D" w:rsidP="00BC7B4A">
            <w:pPr>
              <w:pStyle w:val="In-tableHeading"/>
              <w:keepNext/>
              <w:keepLines/>
              <w:jc w:val="center"/>
            </w:pPr>
            <w:r w:rsidRPr="00B63CD0">
              <w:t>Trial</w:t>
            </w:r>
          </w:p>
        </w:tc>
        <w:tc>
          <w:tcPr>
            <w:tcW w:w="465" w:type="pct"/>
            <w:tcBorders>
              <w:bottom w:val="single" w:sz="4" w:space="0" w:color="auto"/>
            </w:tcBorders>
            <w:shd w:val="clear" w:color="auto" w:fill="auto"/>
            <w:vAlign w:val="center"/>
          </w:tcPr>
          <w:p w14:paraId="2C7E82CE" w14:textId="77777777" w:rsidR="00ED509D" w:rsidRPr="00B63CD0" w:rsidRDefault="00ED509D" w:rsidP="00BC7B4A">
            <w:pPr>
              <w:pStyle w:val="In-tableHeading"/>
              <w:keepNext/>
              <w:keepLines/>
              <w:jc w:val="center"/>
            </w:pPr>
            <w:r w:rsidRPr="00B63CD0">
              <w:t>Model</w:t>
            </w:r>
          </w:p>
        </w:tc>
        <w:tc>
          <w:tcPr>
            <w:tcW w:w="472" w:type="pct"/>
            <w:tcBorders>
              <w:bottom w:val="single" w:sz="4" w:space="0" w:color="auto"/>
            </w:tcBorders>
            <w:shd w:val="clear" w:color="auto" w:fill="auto"/>
            <w:vAlign w:val="center"/>
          </w:tcPr>
          <w:p w14:paraId="0C6CD754" w14:textId="77777777" w:rsidR="00ED509D" w:rsidRPr="00B63CD0" w:rsidRDefault="00ED509D" w:rsidP="00BC7B4A">
            <w:pPr>
              <w:pStyle w:val="In-tableHeading"/>
              <w:keepNext/>
              <w:keepLines/>
              <w:jc w:val="center"/>
            </w:pPr>
            <w:r w:rsidRPr="00B63CD0">
              <w:t>Financial</w:t>
            </w:r>
          </w:p>
        </w:tc>
        <w:tc>
          <w:tcPr>
            <w:tcW w:w="462" w:type="pct"/>
            <w:tcBorders>
              <w:bottom w:val="single" w:sz="4" w:space="0" w:color="auto"/>
            </w:tcBorders>
            <w:vAlign w:val="center"/>
          </w:tcPr>
          <w:p w14:paraId="468D77B9" w14:textId="77777777" w:rsidR="00ED509D" w:rsidRPr="00B63CD0" w:rsidRDefault="00ED509D" w:rsidP="00BC7B4A">
            <w:pPr>
              <w:pStyle w:val="In-tableHeading"/>
              <w:keepNext/>
              <w:keepLines/>
              <w:jc w:val="center"/>
            </w:pPr>
            <w:r w:rsidRPr="00B63CD0">
              <w:t>Trial</w:t>
            </w:r>
          </w:p>
        </w:tc>
        <w:tc>
          <w:tcPr>
            <w:tcW w:w="465" w:type="pct"/>
            <w:tcBorders>
              <w:bottom w:val="single" w:sz="4" w:space="0" w:color="auto"/>
            </w:tcBorders>
            <w:vAlign w:val="center"/>
          </w:tcPr>
          <w:p w14:paraId="3C36D59D" w14:textId="77777777" w:rsidR="00ED509D" w:rsidRPr="00B63CD0" w:rsidRDefault="00ED509D" w:rsidP="00BC7B4A">
            <w:pPr>
              <w:pStyle w:val="In-tableHeading"/>
              <w:keepNext/>
              <w:keepLines/>
              <w:jc w:val="center"/>
            </w:pPr>
            <w:r w:rsidRPr="00B63CD0">
              <w:t>Model</w:t>
            </w:r>
          </w:p>
        </w:tc>
        <w:tc>
          <w:tcPr>
            <w:tcW w:w="465" w:type="pct"/>
            <w:tcBorders>
              <w:bottom w:val="single" w:sz="4" w:space="0" w:color="auto"/>
            </w:tcBorders>
            <w:vAlign w:val="center"/>
          </w:tcPr>
          <w:p w14:paraId="1EADC6F9" w14:textId="77777777" w:rsidR="00ED509D" w:rsidRPr="00B63CD0" w:rsidRDefault="00ED509D" w:rsidP="00BC7B4A">
            <w:pPr>
              <w:pStyle w:val="In-tableHeading"/>
              <w:keepNext/>
              <w:keepLines/>
              <w:jc w:val="center"/>
            </w:pPr>
            <w:r w:rsidRPr="00B63CD0">
              <w:t>Financial</w:t>
            </w:r>
          </w:p>
        </w:tc>
        <w:tc>
          <w:tcPr>
            <w:tcW w:w="465" w:type="pct"/>
            <w:tcBorders>
              <w:bottom w:val="single" w:sz="4" w:space="0" w:color="auto"/>
            </w:tcBorders>
            <w:shd w:val="clear" w:color="auto" w:fill="auto"/>
            <w:vAlign w:val="center"/>
          </w:tcPr>
          <w:p w14:paraId="0BB6F742" w14:textId="77777777" w:rsidR="00ED509D" w:rsidRPr="00B63CD0" w:rsidRDefault="00ED509D" w:rsidP="00BC7B4A">
            <w:pPr>
              <w:pStyle w:val="In-tableHeading"/>
              <w:keepNext/>
              <w:keepLines/>
              <w:jc w:val="center"/>
            </w:pPr>
            <w:r w:rsidRPr="00B63CD0">
              <w:t>Trial</w:t>
            </w:r>
          </w:p>
        </w:tc>
        <w:tc>
          <w:tcPr>
            <w:tcW w:w="500" w:type="pct"/>
            <w:tcBorders>
              <w:bottom w:val="single" w:sz="4" w:space="0" w:color="auto"/>
            </w:tcBorders>
            <w:shd w:val="clear" w:color="auto" w:fill="auto"/>
            <w:vAlign w:val="center"/>
          </w:tcPr>
          <w:p w14:paraId="05384651" w14:textId="77777777" w:rsidR="00ED509D" w:rsidRPr="00B63CD0" w:rsidRDefault="00ED509D" w:rsidP="00BC7B4A">
            <w:pPr>
              <w:pStyle w:val="In-tableHeading"/>
              <w:keepNext/>
              <w:keepLines/>
              <w:jc w:val="center"/>
            </w:pPr>
            <w:r w:rsidRPr="00B63CD0">
              <w:t>Model</w:t>
            </w:r>
          </w:p>
        </w:tc>
        <w:tc>
          <w:tcPr>
            <w:tcW w:w="445" w:type="pct"/>
            <w:tcBorders>
              <w:bottom w:val="single" w:sz="4" w:space="0" w:color="auto"/>
            </w:tcBorders>
            <w:vAlign w:val="center"/>
          </w:tcPr>
          <w:p w14:paraId="5AEE52C3" w14:textId="77777777" w:rsidR="00ED509D" w:rsidRPr="00B63CD0" w:rsidRDefault="00ED509D" w:rsidP="00BC7B4A">
            <w:pPr>
              <w:pStyle w:val="In-tableHeading"/>
              <w:keepNext/>
              <w:keepLines/>
              <w:jc w:val="center"/>
            </w:pPr>
            <w:r w:rsidRPr="00B63CD0">
              <w:t>Financial</w:t>
            </w:r>
          </w:p>
        </w:tc>
      </w:tr>
      <w:tr w:rsidR="00ED509D" w:rsidRPr="00B63CD0" w14:paraId="433401A0" w14:textId="77777777" w:rsidTr="008F7A8E">
        <w:trPr>
          <w:cantSplit/>
          <w:tblHeader/>
          <w:jc w:val="center"/>
        </w:trPr>
        <w:tc>
          <w:tcPr>
            <w:tcW w:w="5000" w:type="pct"/>
            <w:gridSpan w:val="10"/>
            <w:tcBorders>
              <w:bottom w:val="nil"/>
            </w:tcBorders>
            <w:shd w:val="clear" w:color="auto" w:fill="auto"/>
            <w:vAlign w:val="center"/>
          </w:tcPr>
          <w:p w14:paraId="4002B705" w14:textId="77777777" w:rsidR="00ED509D" w:rsidRPr="00B63CD0" w:rsidRDefault="00ED509D" w:rsidP="008F7A8E">
            <w:pPr>
              <w:pStyle w:val="In-tableHeading"/>
            </w:pPr>
            <w:r w:rsidRPr="00B63CD0">
              <w:t xml:space="preserve">Regimen </w:t>
            </w:r>
          </w:p>
        </w:tc>
      </w:tr>
      <w:tr w:rsidR="00ED509D" w:rsidRPr="00B63CD0" w14:paraId="764E64B3" w14:textId="77777777" w:rsidTr="00D34504">
        <w:trPr>
          <w:cantSplit/>
          <w:tblHeader/>
          <w:jc w:val="center"/>
        </w:trPr>
        <w:tc>
          <w:tcPr>
            <w:tcW w:w="796" w:type="pct"/>
            <w:tcBorders>
              <w:top w:val="nil"/>
              <w:bottom w:val="nil"/>
            </w:tcBorders>
            <w:shd w:val="clear" w:color="auto" w:fill="auto"/>
            <w:vAlign w:val="center"/>
          </w:tcPr>
          <w:p w14:paraId="3D2F238D" w14:textId="5DF70044" w:rsidR="00ED509D" w:rsidRPr="00B63CD0" w:rsidRDefault="00142C15" w:rsidP="008F7A8E">
            <w:pPr>
              <w:pStyle w:val="TableText0"/>
            </w:pPr>
            <w:r w:rsidRPr="00B63CD0">
              <w:t>E</w:t>
            </w:r>
            <w:r w:rsidR="00ED509D" w:rsidRPr="00B63CD0">
              <w:t>nzalutamide</w:t>
            </w:r>
          </w:p>
        </w:tc>
        <w:tc>
          <w:tcPr>
            <w:tcW w:w="465" w:type="pct"/>
            <w:tcBorders>
              <w:top w:val="nil"/>
              <w:bottom w:val="nil"/>
            </w:tcBorders>
            <w:shd w:val="clear" w:color="auto" w:fill="auto"/>
            <w:vAlign w:val="center"/>
          </w:tcPr>
          <w:p w14:paraId="5473BC8D" w14:textId="77777777" w:rsidR="00ED509D" w:rsidRPr="00B63CD0" w:rsidRDefault="00ED509D" w:rsidP="00142C15">
            <w:pPr>
              <w:pStyle w:val="TableText0"/>
              <w:jc w:val="center"/>
            </w:pPr>
            <w:r w:rsidRPr="00B63CD0">
              <w:t>160mg/ day</w:t>
            </w:r>
          </w:p>
        </w:tc>
        <w:tc>
          <w:tcPr>
            <w:tcW w:w="465" w:type="pct"/>
            <w:tcBorders>
              <w:top w:val="nil"/>
              <w:bottom w:val="nil"/>
            </w:tcBorders>
            <w:shd w:val="clear" w:color="auto" w:fill="auto"/>
            <w:vAlign w:val="center"/>
          </w:tcPr>
          <w:p w14:paraId="77154F60" w14:textId="77777777" w:rsidR="00ED509D" w:rsidRPr="00B63CD0" w:rsidRDefault="00ED509D" w:rsidP="00142C15">
            <w:pPr>
              <w:pStyle w:val="TableText0"/>
              <w:jc w:val="center"/>
            </w:pPr>
            <w:r w:rsidRPr="00B63CD0">
              <w:t>160mg/ day</w:t>
            </w:r>
          </w:p>
        </w:tc>
        <w:tc>
          <w:tcPr>
            <w:tcW w:w="472" w:type="pct"/>
            <w:tcBorders>
              <w:top w:val="nil"/>
              <w:bottom w:val="nil"/>
            </w:tcBorders>
            <w:shd w:val="clear" w:color="auto" w:fill="auto"/>
            <w:vAlign w:val="center"/>
          </w:tcPr>
          <w:p w14:paraId="07931422" w14:textId="77777777" w:rsidR="00ED509D" w:rsidRPr="00B63CD0" w:rsidRDefault="00ED509D" w:rsidP="00142C15">
            <w:pPr>
              <w:pStyle w:val="TableText0"/>
              <w:jc w:val="center"/>
            </w:pPr>
            <w:r w:rsidRPr="00B63CD0">
              <w:t>160mg/ day</w:t>
            </w:r>
          </w:p>
        </w:tc>
        <w:tc>
          <w:tcPr>
            <w:tcW w:w="462" w:type="pct"/>
            <w:tcBorders>
              <w:top w:val="nil"/>
              <w:bottom w:val="nil"/>
            </w:tcBorders>
            <w:vAlign w:val="center"/>
          </w:tcPr>
          <w:p w14:paraId="30781260" w14:textId="77777777" w:rsidR="00ED509D" w:rsidRPr="00B63CD0" w:rsidRDefault="00ED509D" w:rsidP="00142C15">
            <w:pPr>
              <w:pStyle w:val="TableText0"/>
              <w:jc w:val="center"/>
            </w:pPr>
            <w:r w:rsidRPr="00B63CD0">
              <w:t>160mg/ day</w:t>
            </w:r>
          </w:p>
        </w:tc>
        <w:tc>
          <w:tcPr>
            <w:tcW w:w="465" w:type="pct"/>
            <w:tcBorders>
              <w:top w:val="nil"/>
              <w:bottom w:val="nil"/>
            </w:tcBorders>
            <w:vAlign w:val="center"/>
          </w:tcPr>
          <w:p w14:paraId="0965C54B" w14:textId="77777777" w:rsidR="00ED509D" w:rsidRPr="00B63CD0" w:rsidRDefault="00ED509D" w:rsidP="00142C15">
            <w:pPr>
              <w:pStyle w:val="TableText0"/>
              <w:jc w:val="center"/>
            </w:pPr>
            <w:r w:rsidRPr="00B63CD0">
              <w:t>160mg/ day</w:t>
            </w:r>
          </w:p>
        </w:tc>
        <w:tc>
          <w:tcPr>
            <w:tcW w:w="465" w:type="pct"/>
            <w:tcBorders>
              <w:top w:val="nil"/>
              <w:bottom w:val="nil"/>
            </w:tcBorders>
            <w:vAlign w:val="center"/>
          </w:tcPr>
          <w:p w14:paraId="204E8E9D" w14:textId="77777777" w:rsidR="00ED509D" w:rsidRPr="00B63CD0" w:rsidRDefault="00ED509D" w:rsidP="00142C15">
            <w:pPr>
              <w:pStyle w:val="TableText0"/>
              <w:jc w:val="center"/>
            </w:pPr>
            <w:r w:rsidRPr="00B63CD0">
              <w:t>160mg/ day</w:t>
            </w:r>
          </w:p>
        </w:tc>
        <w:tc>
          <w:tcPr>
            <w:tcW w:w="465" w:type="pct"/>
            <w:tcBorders>
              <w:top w:val="nil"/>
              <w:bottom w:val="nil"/>
            </w:tcBorders>
            <w:shd w:val="clear" w:color="auto" w:fill="auto"/>
            <w:vAlign w:val="center"/>
          </w:tcPr>
          <w:p w14:paraId="00C1D1A4" w14:textId="77777777" w:rsidR="00ED509D" w:rsidRPr="00B63CD0" w:rsidRDefault="00ED509D" w:rsidP="00142C15">
            <w:pPr>
              <w:pStyle w:val="TableText0"/>
              <w:jc w:val="center"/>
            </w:pPr>
            <w:r w:rsidRPr="00B63CD0">
              <w:t>-</w:t>
            </w:r>
          </w:p>
        </w:tc>
        <w:tc>
          <w:tcPr>
            <w:tcW w:w="500" w:type="pct"/>
            <w:tcBorders>
              <w:top w:val="nil"/>
              <w:bottom w:val="nil"/>
            </w:tcBorders>
            <w:shd w:val="clear" w:color="auto" w:fill="auto"/>
            <w:vAlign w:val="center"/>
          </w:tcPr>
          <w:p w14:paraId="26942153" w14:textId="77777777" w:rsidR="00ED509D" w:rsidRPr="00B63CD0" w:rsidRDefault="00ED509D" w:rsidP="00142C15">
            <w:pPr>
              <w:pStyle w:val="TableText0"/>
              <w:jc w:val="center"/>
            </w:pPr>
            <w:r w:rsidRPr="00B63CD0">
              <w:t>-</w:t>
            </w:r>
          </w:p>
        </w:tc>
        <w:tc>
          <w:tcPr>
            <w:tcW w:w="445" w:type="pct"/>
            <w:tcBorders>
              <w:top w:val="nil"/>
              <w:bottom w:val="nil"/>
            </w:tcBorders>
            <w:vAlign w:val="center"/>
          </w:tcPr>
          <w:p w14:paraId="1BCF2F18" w14:textId="77777777" w:rsidR="00ED509D" w:rsidRPr="00B63CD0" w:rsidRDefault="00ED509D" w:rsidP="00142C15">
            <w:pPr>
              <w:pStyle w:val="TableText0"/>
              <w:jc w:val="center"/>
            </w:pPr>
            <w:r w:rsidRPr="00B63CD0">
              <w:t>-</w:t>
            </w:r>
          </w:p>
        </w:tc>
      </w:tr>
      <w:tr w:rsidR="00ED509D" w:rsidRPr="00B63CD0" w14:paraId="5C3B4AA2" w14:textId="77777777" w:rsidTr="00D34504">
        <w:trPr>
          <w:cantSplit/>
          <w:tblHeader/>
          <w:jc w:val="center"/>
        </w:trPr>
        <w:tc>
          <w:tcPr>
            <w:tcW w:w="796" w:type="pct"/>
            <w:tcBorders>
              <w:top w:val="nil"/>
              <w:bottom w:val="nil"/>
            </w:tcBorders>
            <w:shd w:val="clear" w:color="auto" w:fill="auto"/>
            <w:vAlign w:val="center"/>
          </w:tcPr>
          <w:p w14:paraId="387A1955" w14:textId="024F8CA0" w:rsidR="00ED509D" w:rsidRPr="00B63CD0" w:rsidRDefault="00142C15" w:rsidP="008F7A8E">
            <w:pPr>
              <w:pStyle w:val="TableText0"/>
            </w:pPr>
            <w:r w:rsidRPr="00B63CD0">
              <w:t>L</w:t>
            </w:r>
            <w:r w:rsidR="00ED509D" w:rsidRPr="00B63CD0">
              <w:t>euprorelin</w:t>
            </w:r>
          </w:p>
        </w:tc>
        <w:tc>
          <w:tcPr>
            <w:tcW w:w="465" w:type="pct"/>
            <w:tcBorders>
              <w:top w:val="nil"/>
              <w:bottom w:val="nil"/>
            </w:tcBorders>
            <w:shd w:val="clear" w:color="auto" w:fill="auto"/>
            <w:vAlign w:val="center"/>
          </w:tcPr>
          <w:p w14:paraId="3F2A9C22" w14:textId="77777777" w:rsidR="00ED509D" w:rsidRPr="00B63CD0" w:rsidRDefault="00ED509D" w:rsidP="00142C15">
            <w:pPr>
              <w:pStyle w:val="TableText0"/>
              <w:jc w:val="center"/>
            </w:pPr>
            <w:r w:rsidRPr="00B63CD0">
              <w:t>22.5mg/ 12 wks</w:t>
            </w:r>
          </w:p>
        </w:tc>
        <w:tc>
          <w:tcPr>
            <w:tcW w:w="465" w:type="pct"/>
            <w:tcBorders>
              <w:top w:val="nil"/>
              <w:bottom w:val="nil"/>
            </w:tcBorders>
            <w:shd w:val="clear" w:color="auto" w:fill="auto"/>
            <w:vAlign w:val="center"/>
          </w:tcPr>
          <w:p w14:paraId="60B49E6A" w14:textId="77777777" w:rsidR="00ED509D" w:rsidRPr="00B63CD0" w:rsidRDefault="00ED509D" w:rsidP="00142C15">
            <w:pPr>
              <w:pStyle w:val="TableText0"/>
              <w:jc w:val="center"/>
            </w:pPr>
            <w:r w:rsidRPr="00B63CD0">
              <w:t>22.5mg/ 3 mths</w:t>
            </w:r>
          </w:p>
        </w:tc>
        <w:tc>
          <w:tcPr>
            <w:tcW w:w="472" w:type="pct"/>
            <w:tcBorders>
              <w:top w:val="nil"/>
              <w:bottom w:val="nil"/>
            </w:tcBorders>
            <w:shd w:val="clear" w:color="auto" w:fill="auto"/>
            <w:vAlign w:val="center"/>
          </w:tcPr>
          <w:p w14:paraId="0C2E2F17" w14:textId="77777777" w:rsidR="00ED509D" w:rsidRPr="00B63CD0" w:rsidRDefault="00ED509D" w:rsidP="00142C15">
            <w:pPr>
              <w:pStyle w:val="TableText0"/>
              <w:jc w:val="center"/>
            </w:pPr>
            <w:r w:rsidRPr="00B63CD0">
              <w:t>-</w:t>
            </w:r>
          </w:p>
        </w:tc>
        <w:tc>
          <w:tcPr>
            <w:tcW w:w="462" w:type="pct"/>
            <w:tcBorders>
              <w:top w:val="nil"/>
              <w:bottom w:val="nil"/>
            </w:tcBorders>
            <w:vAlign w:val="center"/>
          </w:tcPr>
          <w:p w14:paraId="62D12C04" w14:textId="77777777" w:rsidR="00ED509D" w:rsidRPr="00B63CD0" w:rsidRDefault="00ED509D" w:rsidP="00142C15">
            <w:pPr>
              <w:pStyle w:val="TableText0"/>
              <w:jc w:val="center"/>
            </w:pPr>
            <w:r w:rsidRPr="00B63CD0">
              <w:t>-</w:t>
            </w:r>
          </w:p>
        </w:tc>
        <w:tc>
          <w:tcPr>
            <w:tcW w:w="465" w:type="pct"/>
            <w:tcBorders>
              <w:top w:val="nil"/>
              <w:bottom w:val="nil"/>
            </w:tcBorders>
            <w:vAlign w:val="center"/>
          </w:tcPr>
          <w:p w14:paraId="0D928B2B" w14:textId="77777777" w:rsidR="00ED509D" w:rsidRPr="00B63CD0" w:rsidRDefault="00ED509D" w:rsidP="00142C15">
            <w:pPr>
              <w:pStyle w:val="TableText0"/>
              <w:jc w:val="center"/>
            </w:pPr>
            <w:r w:rsidRPr="00B63CD0">
              <w:t>-</w:t>
            </w:r>
          </w:p>
        </w:tc>
        <w:tc>
          <w:tcPr>
            <w:tcW w:w="465" w:type="pct"/>
            <w:tcBorders>
              <w:top w:val="nil"/>
              <w:bottom w:val="nil"/>
            </w:tcBorders>
            <w:vAlign w:val="center"/>
          </w:tcPr>
          <w:p w14:paraId="49F1B1CF" w14:textId="77777777" w:rsidR="00ED509D" w:rsidRPr="00B63CD0" w:rsidRDefault="00ED509D" w:rsidP="00142C15">
            <w:pPr>
              <w:pStyle w:val="TableText0"/>
              <w:jc w:val="center"/>
            </w:pPr>
            <w:r w:rsidRPr="00B63CD0">
              <w:t>-</w:t>
            </w:r>
          </w:p>
        </w:tc>
        <w:tc>
          <w:tcPr>
            <w:tcW w:w="465" w:type="pct"/>
            <w:tcBorders>
              <w:top w:val="nil"/>
              <w:bottom w:val="nil"/>
            </w:tcBorders>
            <w:shd w:val="clear" w:color="auto" w:fill="auto"/>
            <w:vAlign w:val="center"/>
          </w:tcPr>
          <w:p w14:paraId="583F2D16" w14:textId="77777777" w:rsidR="00ED509D" w:rsidRPr="00B63CD0" w:rsidRDefault="00ED509D" w:rsidP="00142C15">
            <w:pPr>
              <w:pStyle w:val="TableText0"/>
              <w:jc w:val="center"/>
            </w:pPr>
            <w:r w:rsidRPr="00B63CD0">
              <w:t>22.5mg/ 12 wks</w:t>
            </w:r>
          </w:p>
        </w:tc>
        <w:tc>
          <w:tcPr>
            <w:tcW w:w="500" w:type="pct"/>
            <w:tcBorders>
              <w:top w:val="nil"/>
              <w:bottom w:val="nil"/>
            </w:tcBorders>
            <w:shd w:val="clear" w:color="auto" w:fill="auto"/>
            <w:vAlign w:val="center"/>
          </w:tcPr>
          <w:p w14:paraId="0AB18B7F" w14:textId="77777777" w:rsidR="00ED509D" w:rsidRPr="00B63CD0" w:rsidRDefault="00ED509D" w:rsidP="00142C15">
            <w:pPr>
              <w:pStyle w:val="TableText0"/>
              <w:jc w:val="center"/>
            </w:pPr>
            <w:r w:rsidRPr="00B63CD0">
              <w:t>22.5mg/ 3 mths</w:t>
            </w:r>
          </w:p>
        </w:tc>
        <w:tc>
          <w:tcPr>
            <w:tcW w:w="445" w:type="pct"/>
            <w:tcBorders>
              <w:top w:val="nil"/>
              <w:bottom w:val="nil"/>
            </w:tcBorders>
            <w:vAlign w:val="center"/>
          </w:tcPr>
          <w:p w14:paraId="58414D32" w14:textId="77777777" w:rsidR="00ED509D" w:rsidRPr="00B63CD0" w:rsidRDefault="00ED509D" w:rsidP="00142C15">
            <w:pPr>
              <w:pStyle w:val="TableText0"/>
              <w:jc w:val="center"/>
            </w:pPr>
            <w:r w:rsidRPr="00B63CD0">
              <w:t>-</w:t>
            </w:r>
          </w:p>
        </w:tc>
      </w:tr>
      <w:tr w:rsidR="00ED509D" w:rsidRPr="00B63CD0" w14:paraId="45AE1F75" w14:textId="77777777" w:rsidTr="00D34504">
        <w:trPr>
          <w:cantSplit/>
          <w:tblHeader/>
          <w:jc w:val="center"/>
        </w:trPr>
        <w:tc>
          <w:tcPr>
            <w:tcW w:w="796" w:type="pct"/>
            <w:tcBorders>
              <w:top w:val="nil"/>
              <w:bottom w:val="single" w:sz="4" w:space="0" w:color="auto"/>
            </w:tcBorders>
            <w:shd w:val="clear" w:color="auto" w:fill="auto"/>
            <w:vAlign w:val="center"/>
          </w:tcPr>
          <w:p w14:paraId="69AB1007" w14:textId="6893C381" w:rsidR="00ED509D" w:rsidRPr="00B63CD0" w:rsidRDefault="00142C15" w:rsidP="008F7A8E">
            <w:pPr>
              <w:pStyle w:val="TableText0"/>
            </w:pPr>
            <w:r w:rsidRPr="00B63CD0">
              <w:t>D</w:t>
            </w:r>
            <w:r w:rsidR="00ED509D" w:rsidRPr="00B63CD0">
              <w:t>egarelix</w:t>
            </w:r>
          </w:p>
        </w:tc>
        <w:tc>
          <w:tcPr>
            <w:tcW w:w="465" w:type="pct"/>
            <w:tcBorders>
              <w:top w:val="nil"/>
              <w:bottom w:val="single" w:sz="4" w:space="0" w:color="auto"/>
            </w:tcBorders>
            <w:shd w:val="clear" w:color="auto" w:fill="auto"/>
            <w:vAlign w:val="center"/>
          </w:tcPr>
          <w:p w14:paraId="6292BAF3" w14:textId="77777777" w:rsidR="00ED509D" w:rsidRPr="00B63CD0" w:rsidRDefault="00ED509D" w:rsidP="00142C15">
            <w:pPr>
              <w:pStyle w:val="TableText0"/>
              <w:jc w:val="center"/>
            </w:pPr>
            <w:r w:rsidRPr="00B63CD0">
              <w:t>-</w:t>
            </w:r>
          </w:p>
        </w:tc>
        <w:tc>
          <w:tcPr>
            <w:tcW w:w="465" w:type="pct"/>
            <w:tcBorders>
              <w:top w:val="nil"/>
              <w:bottom w:val="single" w:sz="4" w:space="0" w:color="auto"/>
            </w:tcBorders>
            <w:shd w:val="clear" w:color="auto" w:fill="auto"/>
            <w:vAlign w:val="center"/>
          </w:tcPr>
          <w:p w14:paraId="321AF763" w14:textId="77777777" w:rsidR="00ED509D" w:rsidRPr="00B63CD0" w:rsidRDefault="00ED509D" w:rsidP="00142C15">
            <w:pPr>
              <w:pStyle w:val="TableText0"/>
              <w:jc w:val="center"/>
            </w:pPr>
            <w:r w:rsidRPr="00B63CD0">
              <w:t>(240mg) + 80mg/mth</w:t>
            </w:r>
          </w:p>
        </w:tc>
        <w:tc>
          <w:tcPr>
            <w:tcW w:w="472" w:type="pct"/>
            <w:tcBorders>
              <w:top w:val="nil"/>
              <w:bottom w:val="single" w:sz="4" w:space="0" w:color="auto"/>
            </w:tcBorders>
            <w:shd w:val="clear" w:color="auto" w:fill="auto"/>
            <w:vAlign w:val="center"/>
          </w:tcPr>
          <w:p w14:paraId="4F915526" w14:textId="77777777" w:rsidR="00ED509D" w:rsidRPr="00B63CD0" w:rsidRDefault="00ED509D" w:rsidP="00142C15">
            <w:pPr>
              <w:pStyle w:val="TableText0"/>
              <w:jc w:val="center"/>
            </w:pPr>
            <w:r w:rsidRPr="00B63CD0">
              <w:t>-</w:t>
            </w:r>
          </w:p>
        </w:tc>
        <w:tc>
          <w:tcPr>
            <w:tcW w:w="462" w:type="pct"/>
            <w:tcBorders>
              <w:top w:val="nil"/>
              <w:bottom w:val="single" w:sz="4" w:space="0" w:color="auto"/>
            </w:tcBorders>
            <w:vAlign w:val="center"/>
          </w:tcPr>
          <w:p w14:paraId="157C77E3" w14:textId="77777777" w:rsidR="00ED509D" w:rsidRPr="00B63CD0" w:rsidRDefault="00ED509D" w:rsidP="00142C15">
            <w:pPr>
              <w:pStyle w:val="TableText0"/>
              <w:jc w:val="center"/>
            </w:pPr>
            <w:r w:rsidRPr="00B63CD0">
              <w:t>-</w:t>
            </w:r>
          </w:p>
        </w:tc>
        <w:tc>
          <w:tcPr>
            <w:tcW w:w="465" w:type="pct"/>
            <w:tcBorders>
              <w:top w:val="nil"/>
              <w:bottom w:val="single" w:sz="4" w:space="0" w:color="auto"/>
            </w:tcBorders>
            <w:vAlign w:val="center"/>
          </w:tcPr>
          <w:p w14:paraId="630FF436" w14:textId="77777777" w:rsidR="00ED509D" w:rsidRPr="00B63CD0" w:rsidRDefault="00ED509D" w:rsidP="00142C15">
            <w:pPr>
              <w:pStyle w:val="TableText0"/>
              <w:jc w:val="center"/>
            </w:pPr>
            <w:r w:rsidRPr="00B63CD0">
              <w:t>-</w:t>
            </w:r>
          </w:p>
        </w:tc>
        <w:tc>
          <w:tcPr>
            <w:tcW w:w="465" w:type="pct"/>
            <w:tcBorders>
              <w:top w:val="nil"/>
              <w:bottom w:val="single" w:sz="4" w:space="0" w:color="auto"/>
            </w:tcBorders>
            <w:vAlign w:val="center"/>
          </w:tcPr>
          <w:p w14:paraId="7618B705" w14:textId="77777777" w:rsidR="00ED509D" w:rsidRPr="00B63CD0" w:rsidRDefault="00ED509D" w:rsidP="00142C15">
            <w:pPr>
              <w:pStyle w:val="TableText0"/>
              <w:jc w:val="center"/>
            </w:pPr>
            <w:r w:rsidRPr="00B63CD0">
              <w:t>-</w:t>
            </w:r>
          </w:p>
        </w:tc>
        <w:tc>
          <w:tcPr>
            <w:tcW w:w="465" w:type="pct"/>
            <w:tcBorders>
              <w:top w:val="nil"/>
              <w:bottom w:val="single" w:sz="4" w:space="0" w:color="auto"/>
            </w:tcBorders>
            <w:shd w:val="clear" w:color="auto" w:fill="auto"/>
            <w:vAlign w:val="center"/>
          </w:tcPr>
          <w:p w14:paraId="2D32413D" w14:textId="77777777" w:rsidR="00ED509D" w:rsidRPr="00B63CD0" w:rsidRDefault="00ED509D" w:rsidP="00142C15">
            <w:pPr>
              <w:pStyle w:val="TableText0"/>
              <w:jc w:val="center"/>
            </w:pPr>
            <w:r w:rsidRPr="00B63CD0">
              <w:t>-</w:t>
            </w:r>
          </w:p>
        </w:tc>
        <w:tc>
          <w:tcPr>
            <w:tcW w:w="500" w:type="pct"/>
            <w:tcBorders>
              <w:top w:val="nil"/>
              <w:bottom w:val="single" w:sz="4" w:space="0" w:color="auto"/>
            </w:tcBorders>
            <w:shd w:val="clear" w:color="auto" w:fill="auto"/>
            <w:vAlign w:val="center"/>
          </w:tcPr>
          <w:p w14:paraId="7BFD95E7" w14:textId="77777777" w:rsidR="00ED509D" w:rsidRPr="00B63CD0" w:rsidRDefault="00ED509D" w:rsidP="00142C15">
            <w:pPr>
              <w:pStyle w:val="TableText0"/>
              <w:jc w:val="center"/>
            </w:pPr>
            <w:r w:rsidRPr="00B63CD0">
              <w:t>(240mg) + 80mg/mth</w:t>
            </w:r>
          </w:p>
        </w:tc>
        <w:tc>
          <w:tcPr>
            <w:tcW w:w="445" w:type="pct"/>
            <w:tcBorders>
              <w:top w:val="nil"/>
              <w:bottom w:val="single" w:sz="4" w:space="0" w:color="auto"/>
            </w:tcBorders>
            <w:vAlign w:val="center"/>
          </w:tcPr>
          <w:p w14:paraId="4A6CA977" w14:textId="77777777" w:rsidR="00ED509D" w:rsidRPr="00B63CD0" w:rsidRDefault="00ED509D" w:rsidP="00142C15">
            <w:pPr>
              <w:pStyle w:val="TableText0"/>
              <w:jc w:val="center"/>
            </w:pPr>
            <w:r w:rsidRPr="00B63CD0">
              <w:t>-</w:t>
            </w:r>
          </w:p>
        </w:tc>
      </w:tr>
      <w:tr w:rsidR="00ED509D" w:rsidRPr="00B63CD0" w14:paraId="5D907863" w14:textId="77777777" w:rsidTr="008F7A8E">
        <w:trPr>
          <w:cantSplit/>
          <w:tblHeader/>
          <w:jc w:val="center"/>
        </w:trPr>
        <w:tc>
          <w:tcPr>
            <w:tcW w:w="5000" w:type="pct"/>
            <w:gridSpan w:val="10"/>
            <w:tcBorders>
              <w:bottom w:val="nil"/>
            </w:tcBorders>
            <w:shd w:val="clear" w:color="auto" w:fill="auto"/>
            <w:vAlign w:val="center"/>
          </w:tcPr>
          <w:p w14:paraId="43F9B48E" w14:textId="77777777" w:rsidR="00ED509D" w:rsidRPr="00B63CD0" w:rsidRDefault="00ED509D" w:rsidP="008F7A8E">
            <w:pPr>
              <w:pStyle w:val="In-tableHeading"/>
            </w:pPr>
            <w:r w:rsidRPr="00B63CD0">
              <w:t xml:space="preserve">Mean dose (mg/day) </w:t>
            </w:r>
          </w:p>
        </w:tc>
      </w:tr>
      <w:tr w:rsidR="00ED509D" w:rsidRPr="00B63CD0" w14:paraId="4C1F9DE6" w14:textId="77777777" w:rsidTr="00D34504">
        <w:trPr>
          <w:cantSplit/>
          <w:tblHeader/>
          <w:jc w:val="center"/>
        </w:trPr>
        <w:tc>
          <w:tcPr>
            <w:tcW w:w="796" w:type="pct"/>
            <w:tcBorders>
              <w:top w:val="nil"/>
              <w:bottom w:val="nil"/>
            </w:tcBorders>
            <w:shd w:val="clear" w:color="auto" w:fill="auto"/>
            <w:vAlign w:val="center"/>
          </w:tcPr>
          <w:p w14:paraId="0A674EC7" w14:textId="665FC5F3" w:rsidR="00ED509D" w:rsidRPr="00B63CD0" w:rsidRDefault="00C02E47" w:rsidP="008F7A8E">
            <w:pPr>
              <w:pStyle w:val="TableText0"/>
            </w:pPr>
            <w:r>
              <w:t>E</w:t>
            </w:r>
            <w:r w:rsidR="00ED509D" w:rsidRPr="00B63CD0">
              <w:t>nzalutamide</w:t>
            </w:r>
          </w:p>
        </w:tc>
        <w:tc>
          <w:tcPr>
            <w:tcW w:w="465" w:type="pct"/>
            <w:tcBorders>
              <w:top w:val="nil"/>
              <w:bottom w:val="nil"/>
            </w:tcBorders>
            <w:shd w:val="clear" w:color="auto" w:fill="auto"/>
            <w:vAlign w:val="center"/>
          </w:tcPr>
          <w:p w14:paraId="3845CF7B" w14:textId="77777777" w:rsidR="00ED509D" w:rsidRPr="00B63CD0" w:rsidRDefault="00ED509D" w:rsidP="008F7A8E">
            <w:pPr>
              <w:pStyle w:val="TableText0"/>
              <w:jc w:val="center"/>
            </w:pPr>
            <w:r w:rsidRPr="00B63CD0">
              <w:t>147.4</w:t>
            </w:r>
          </w:p>
        </w:tc>
        <w:tc>
          <w:tcPr>
            <w:tcW w:w="465" w:type="pct"/>
            <w:tcBorders>
              <w:top w:val="nil"/>
              <w:bottom w:val="nil"/>
            </w:tcBorders>
            <w:shd w:val="clear" w:color="auto" w:fill="auto"/>
            <w:vAlign w:val="center"/>
          </w:tcPr>
          <w:p w14:paraId="69357B72" w14:textId="77777777" w:rsidR="00ED509D" w:rsidRPr="00B63CD0" w:rsidRDefault="00ED509D" w:rsidP="008F7A8E">
            <w:pPr>
              <w:pStyle w:val="TableText0"/>
              <w:jc w:val="center"/>
            </w:pPr>
            <w:r w:rsidRPr="00B63CD0">
              <w:t>160</w:t>
            </w:r>
          </w:p>
        </w:tc>
        <w:tc>
          <w:tcPr>
            <w:tcW w:w="472" w:type="pct"/>
            <w:tcBorders>
              <w:top w:val="nil"/>
              <w:bottom w:val="nil"/>
            </w:tcBorders>
            <w:shd w:val="clear" w:color="auto" w:fill="auto"/>
            <w:vAlign w:val="center"/>
          </w:tcPr>
          <w:p w14:paraId="43CDB57B" w14:textId="77777777" w:rsidR="00ED509D" w:rsidRPr="00B63CD0" w:rsidRDefault="00ED509D" w:rsidP="008F7A8E">
            <w:pPr>
              <w:pStyle w:val="TableText0"/>
              <w:jc w:val="center"/>
            </w:pPr>
            <w:r w:rsidRPr="00B63CD0">
              <w:t>160</w:t>
            </w:r>
          </w:p>
        </w:tc>
        <w:tc>
          <w:tcPr>
            <w:tcW w:w="462" w:type="pct"/>
            <w:tcBorders>
              <w:top w:val="nil"/>
              <w:bottom w:val="nil"/>
            </w:tcBorders>
            <w:vAlign w:val="center"/>
          </w:tcPr>
          <w:p w14:paraId="45B80D32" w14:textId="77777777" w:rsidR="00ED509D" w:rsidRPr="00B63CD0" w:rsidRDefault="00ED509D" w:rsidP="008F7A8E">
            <w:pPr>
              <w:pStyle w:val="TableText0"/>
              <w:jc w:val="center"/>
            </w:pPr>
            <w:r w:rsidRPr="00B63CD0">
              <w:t>145.6</w:t>
            </w:r>
          </w:p>
        </w:tc>
        <w:tc>
          <w:tcPr>
            <w:tcW w:w="465" w:type="pct"/>
            <w:tcBorders>
              <w:top w:val="nil"/>
              <w:bottom w:val="nil"/>
            </w:tcBorders>
            <w:vAlign w:val="center"/>
          </w:tcPr>
          <w:p w14:paraId="40DF0504" w14:textId="77777777" w:rsidR="00ED509D" w:rsidRPr="00B63CD0" w:rsidRDefault="00ED509D" w:rsidP="008F7A8E">
            <w:pPr>
              <w:pStyle w:val="TableText0"/>
              <w:jc w:val="center"/>
            </w:pPr>
            <w:r w:rsidRPr="00B63CD0">
              <w:t>160</w:t>
            </w:r>
          </w:p>
        </w:tc>
        <w:tc>
          <w:tcPr>
            <w:tcW w:w="465" w:type="pct"/>
            <w:tcBorders>
              <w:top w:val="nil"/>
              <w:bottom w:val="nil"/>
            </w:tcBorders>
            <w:vAlign w:val="center"/>
          </w:tcPr>
          <w:p w14:paraId="46D039BA" w14:textId="77777777" w:rsidR="00ED509D" w:rsidRPr="00B63CD0" w:rsidRDefault="00ED509D" w:rsidP="008F7A8E">
            <w:pPr>
              <w:pStyle w:val="TableText0"/>
              <w:jc w:val="center"/>
            </w:pPr>
            <w:r w:rsidRPr="00B63CD0">
              <w:t>160</w:t>
            </w:r>
          </w:p>
        </w:tc>
        <w:tc>
          <w:tcPr>
            <w:tcW w:w="465" w:type="pct"/>
            <w:tcBorders>
              <w:top w:val="nil"/>
              <w:bottom w:val="nil"/>
            </w:tcBorders>
            <w:shd w:val="clear" w:color="auto" w:fill="auto"/>
            <w:vAlign w:val="center"/>
          </w:tcPr>
          <w:p w14:paraId="3D437527" w14:textId="77777777" w:rsidR="00ED509D" w:rsidRPr="00B63CD0" w:rsidRDefault="00ED509D" w:rsidP="008F7A8E">
            <w:pPr>
              <w:pStyle w:val="TableText0"/>
              <w:jc w:val="center"/>
            </w:pPr>
            <w:r w:rsidRPr="00B63CD0">
              <w:t>-</w:t>
            </w:r>
          </w:p>
        </w:tc>
        <w:tc>
          <w:tcPr>
            <w:tcW w:w="500" w:type="pct"/>
            <w:tcBorders>
              <w:top w:val="nil"/>
              <w:bottom w:val="nil"/>
            </w:tcBorders>
            <w:shd w:val="clear" w:color="auto" w:fill="auto"/>
            <w:vAlign w:val="center"/>
          </w:tcPr>
          <w:p w14:paraId="5FF2382D" w14:textId="77777777" w:rsidR="00ED509D" w:rsidRPr="00B63CD0" w:rsidRDefault="00ED509D" w:rsidP="008F7A8E">
            <w:pPr>
              <w:pStyle w:val="TableText0"/>
              <w:jc w:val="center"/>
            </w:pPr>
            <w:r w:rsidRPr="00B63CD0">
              <w:t>-</w:t>
            </w:r>
          </w:p>
        </w:tc>
        <w:tc>
          <w:tcPr>
            <w:tcW w:w="445" w:type="pct"/>
            <w:tcBorders>
              <w:top w:val="nil"/>
              <w:bottom w:val="nil"/>
            </w:tcBorders>
            <w:vAlign w:val="center"/>
          </w:tcPr>
          <w:p w14:paraId="6A61FC79" w14:textId="77777777" w:rsidR="00ED509D" w:rsidRPr="00B63CD0" w:rsidRDefault="00ED509D" w:rsidP="008F7A8E">
            <w:pPr>
              <w:pStyle w:val="TableText0"/>
              <w:jc w:val="center"/>
            </w:pPr>
            <w:r w:rsidRPr="00B63CD0">
              <w:t>-</w:t>
            </w:r>
          </w:p>
        </w:tc>
      </w:tr>
      <w:tr w:rsidR="00ED509D" w:rsidRPr="00B63CD0" w14:paraId="15CB4C6F" w14:textId="77777777" w:rsidTr="00D34504">
        <w:trPr>
          <w:cantSplit/>
          <w:tblHeader/>
          <w:jc w:val="center"/>
        </w:trPr>
        <w:tc>
          <w:tcPr>
            <w:tcW w:w="796" w:type="pct"/>
            <w:tcBorders>
              <w:top w:val="nil"/>
              <w:bottom w:val="nil"/>
            </w:tcBorders>
            <w:shd w:val="clear" w:color="auto" w:fill="auto"/>
            <w:vAlign w:val="center"/>
          </w:tcPr>
          <w:p w14:paraId="73F968A1" w14:textId="5E2760C2" w:rsidR="00ED509D" w:rsidRPr="00B63CD0" w:rsidRDefault="00C02E47" w:rsidP="008F7A8E">
            <w:pPr>
              <w:pStyle w:val="TableText0"/>
            </w:pPr>
            <w:r>
              <w:t>L</w:t>
            </w:r>
            <w:r w:rsidR="00ED509D" w:rsidRPr="00B63CD0">
              <w:t>euprorelin</w:t>
            </w:r>
          </w:p>
        </w:tc>
        <w:tc>
          <w:tcPr>
            <w:tcW w:w="465" w:type="pct"/>
            <w:tcBorders>
              <w:top w:val="nil"/>
              <w:bottom w:val="nil"/>
            </w:tcBorders>
            <w:shd w:val="clear" w:color="auto" w:fill="auto"/>
            <w:vAlign w:val="center"/>
          </w:tcPr>
          <w:p w14:paraId="422FCDCB" w14:textId="77777777" w:rsidR="00ED509D" w:rsidRPr="00B63CD0" w:rsidRDefault="00ED509D" w:rsidP="008F7A8E">
            <w:pPr>
              <w:pStyle w:val="TableText0"/>
              <w:jc w:val="center"/>
            </w:pPr>
            <w:r w:rsidRPr="00B63CD0">
              <w:t>NR</w:t>
            </w:r>
          </w:p>
        </w:tc>
        <w:tc>
          <w:tcPr>
            <w:tcW w:w="465" w:type="pct"/>
            <w:tcBorders>
              <w:top w:val="nil"/>
              <w:bottom w:val="nil"/>
            </w:tcBorders>
            <w:shd w:val="clear" w:color="auto" w:fill="auto"/>
            <w:vAlign w:val="center"/>
          </w:tcPr>
          <w:p w14:paraId="3EF6AE67" w14:textId="77777777" w:rsidR="00ED509D" w:rsidRPr="00B63CD0" w:rsidRDefault="00ED509D" w:rsidP="008F7A8E">
            <w:pPr>
              <w:pStyle w:val="TableText0"/>
              <w:jc w:val="center"/>
            </w:pPr>
            <w:r w:rsidRPr="00B63CD0">
              <w:t>0.2</w:t>
            </w:r>
          </w:p>
        </w:tc>
        <w:tc>
          <w:tcPr>
            <w:tcW w:w="472" w:type="pct"/>
            <w:tcBorders>
              <w:top w:val="nil"/>
              <w:bottom w:val="nil"/>
            </w:tcBorders>
            <w:shd w:val="clear" w:color="auto" w:fill="auto"/>
            <w:vAlign w:val="center"/>
          </w:tcPr>
          <w:p w14:paraId="188D6E1A" w14:textId="77777777" w:rsidR="00ED509D" w:rsidRPr="00B63CD0" w:rsidRDefault="00ED509D" w:rsidP="008F7A8E">
            <w:pPr>
              <w:pStyle w:val="TableText0"/>
              <w:jc w:val="center"/>
            </w:pPr>
            <w:r w:rsidRPr="00B63CD0">
              <w:t>-</w:t>
            </w:r>
          </w:p>
        </w:tc>
        <w:tc>
          <w:tcPr>
            <w:tcW w:w="462" w:type="pct"/>
            <w:tcBorders>
              <w:top w:val="nil"/>
              <w:bottom w:val="nil"/>
            </w:tcBorders>
            <w:vAlign w:val="center"/>
          </w:tcPr>
          <w:p w14:paraId="04C59645" w14:textId="77777777" w:rsidR="00ED509D" w:rsidRPr="00B63CD0" w:rsidRDefault="00ED509D" w:rsidP="008F7A8E">
            <w:pPr>
              <w:pStyle w:val="TableText0"/>
              <w:jc w:val="center"/>
            </w:pPr>
            <w:r w:rsidRPr="00B63CD0">
              <w:t>-</w:t>
            </w:r>
          </w:p>
        </w:tc>
        <w:tc>
          <w:tcPr>
            <w:tcW w:w="465" w:type="pct"/>
            <w:tcBorders>
              <w:top w:val="nil"/>
              <w:bottom w:val="nil"/>
            </w:tcBorders>
            <w:vAlign w:val="center"/>
          </w:tcPr>
          <w:p w14:paraId="2B2278BC" w14:textId="77777777" w:rsidR="00ED509D" w:rsidRPr="00B63CD0" w:rsidRDefault="00ED509D" w:rsidP="008F7A8E">
            <w:pPr>
              <w:pStyle w:val="TableText0"/>
              <w:jc w:val="center"/>
            </w:pPr>
            <w:r w:rsidRPr="00B63CD0">
              <w:t>-</w:t>
            </w:r>
          </w:p>
        </w:tc>
        <w:tc>
          <w:tcPr>
            <w:tcW w:w="465" w:type="pct"/>
            <w:tcBorders>
              <w:top w:val="nil"/>
              <w:bottom w:val="nil"/>
            </w:tcBorders>
            <w:vAlign w:val="center"/>
          </w:tcPr>
          <w:p w14:paraId="647E8974" w14:textId="77777777" w:rsidR="00ED509D" w:rsidRPr="00B63CD0" w:rsidRDefault="00ED509D" w:rsidP="008F7A8E">
            <w:pPr>
              <w:pStyle w:val="TableText0"/>
              <w:jc w:val="center"/>
            </w:pPr>
            <w:r w:rsidRPr="00B63CD0">
              <w:t>-</w:t>
            </w:r>
          </w:p>
        </w:tc>
        <w:tc>
          <w:tcPr>
            <w:tcW w:w="465" w:type="pct"/>
            <w:tcBorders>
              <w:top w:val="nil"/>
              <w:bottom w:val="nil"/>
            </w:tcBorders>
            <w:shd w:val="clear" w:color="auto" w:fill="auto"/>
            <w:vAlign w:val="center"/>
          </w:tcPr>
          <w:p w14:paraId="656C1A14" w14:textId="77777777" w:rsidR="00ED509D" w:rsidRPr="00B63CD0" w:rsidRDefault="00ED509D" w:rsidP="008F7A8E">
            <w:pPr>
              <w:pStyle w:val="TableText0"/>
              <w:jc w:val="center"/>
            </w:pPr>
            <w:r w:rsidRPr="00B63CD0">
              <w:t>NR</w:t>
            </w:r>
          </w:p>
        </w:tc>
        <w:tc>
          <w:tcPr>
            <w:tcW w:w="500" w:type="pct"/>
            <w:tcBorders>
              <w:top w:val="nil"/>
              <w:bottom w:val="nil"/>
            </w:tcBorders>
            <w:shd w:val="clear" w:color="auto" w:fill="auto"/>
            <w:vAlign w:val="center"/>
          </w:tcPr>
          <w:p w14:paraId="7F316387" w14:textId="77777777" w:rsidR="00ED509D" w:rsidRPr="00B63CD0" w:rsidRDefault="00ED509D" w:rsidP="008F7A8E">
            <w:pPr>
              <w:pStyle w:val="TableText0"/>
              <w:jc w:val="center"/>
            </w:pPr>
            <w:r w:rsidRPr="00B63CD0">
              <w:t>0.2</w:t>
            </w:r>
          </w:p>
        </w:tc>
        <w:tc>
          <w:tcPr>
            <w:tcW w:w="445" w:type="pct"/>
            <w:tcBorders>
              <w:top w:val="nil"/>
              <w:bottom w:val="nil"/>
            </w:tcBorders>
            <w:vAlign w:val="center"/>
          </w:tcPr>
          <w:p w14:paraId="24C43252" w14:textId="77777777" w:rsidR="00ED509D" w:rsidRPr="00B63CD0" w:rsidRDefault="00ED509D" w:rsidP="008F7A8E">
            <w:pPr>
              <w:pStyle w:val="TableText0"/>
              <w:jc w:val="center"/>
            </w:pPr>
            <w:r w:rsidRPr="00B63CD0">
              <w:t>-</w:t>
            </w:r>
          </w:p>
        </w:tc>
      </w:tr>
      <w:tr w:rsidR="00ED509D" w:rsidRPr="00B63CD0" w14:paraId="63CC011D" w14:textId="77777777" w:rsidTr="00D34504">
        <w:trPr>
          <w:cantSplit/>
          <w:tblHeader/>
          <w:jc w:val="center"/>
        </w:trPr>
        <w:tc>
          <w:tcPr>
            <w:tcW w:w="796" w:type="pct"/>
            <w:tcBorders>
              <w:top w:val="nil"/>
            </w:tcBorders>
            <w:shd w:val="clear" w:color="auto" w:fill="auto"/>
            <w:vAlign w:val="center"/>
          </w:tcPr>
          <w:p w14:paraId="333FED3B" w14:textId="5148A68C" w:rsidR="00ED509D" w:rsidRPr="00B63CD0" w:rsidRDefault="00C02E47" w:rsidP="008F7A8E">
            <w:pPr>
              <w:pStyle w:val="TableText0"/>
            </w:pPr>
            <w:r>
              <w:t>D</w:t>
            </w:r>
            <w:r w:rsidR="00ED509D" w:rsidRPr="00B63CD0">
              <w:t>egarelix</w:t>
            </w:r>
          </w:p>
        </w:tc>
        <w:tc>
          <w:tcPr>
            <w:tcW w:w="465" w:type="pct"/>
            <w:tcBorders>
              <w:top w:val="nil"/>
            </w:tcBorders>
            <w:shd w:val="clear" w:color="auto" w:fill="auto"/>
            <w:vAlign w:val="center"/>
          </w:tcPr>
          <w:p w14:paraId="367CBF09" w14:textId="77777777" w:rsidR="00ED509D" w:rsidRPr="00B63CD0" w:rsidRDefault="00ED509D" w:rsidP="008F7A8E">
            <w:pPr>
              <w:pStyle w:val="TableText0"/>
              <w:jc w:val="center"/>
            </w:pPr>
            <w:r w:rsidRPr="00B63CD0">
              <w:t>-</w:t>
            </w:r>
          </w:p>
        </w:tc>
        <w:tc>
          <w:tcPr>
            <w:tcW w:w="465" w:type="pct"/>
            <w:tcBorders>
              <w:top w:val="nil"/>
            </w:tcBorders>
            <w:shd w:val="clear" w:color="auto" w:fill="auto"/>
            <w:vAlign w:val="center"/>
          </w:tcPr>
          <w:p w14:paraId="6AB98480" w14:textId="77777777" w:rsidR="00ED509D" w:rsidRPr="00B63CD0" w:rsidRDefault="00ED509D" w:rsidP="008F7A8E">
            <w:pPr>
              <w:pStyle w:val="TableText0"/>
              <w:jc w:val="center"/>
            </w:pPr>
            <w:r w:rsidRPr="00B63CD0">
              <w:t>(0.9)+0.3</w:t>
            </w:r>
          </w:p>
        </w:tc>
        <w:tc>
          <w:tcPr>
            <w:tcW w:w="472" w:type="pct"/>
            <w:tcBorders>
              <w:top w:val="nil"/>
            </w:tcBorders>
            <w:shd w:val="clear" w:color="auto" w:fill="auto"/>
            <w:vAlign w:val="center"/>
          </w:tcPr>
          <w:p w14:paraId="6A1D003C" w14:textId="77777777" w:rsidR="00ED509D" w:rsidRPr="00B63CD0" w:rsidRDefault="00ED509D" w:rsidP="008F7A8E">
            <w:pPr>
              <w:pStyle w:val="TableText0"/>
              <w:jc w:val="center"/>
            </w:pPr>
            <w:r w:rsidRPr="00B63CD0">
              <w:t>-</w:t>
            </w:r>
          </w:p>
        </w:tc>
        <w:tc>
          <w:tcPr>
            <w:tcW w:w="462" w:type="pct"/>
            <w:tcBorders>
              <w:top w:val="nil"/>
            </w:tcBorders>
            <w:vAlign w:val="center"/>
          </w:tcPr>
          <w:p w14:paraId="759EE08D" w14:textId="77777777" w:rsidR="00ED509D" w:rsidRPr="00B63CD0" w:rsidRDefault="00ED509D" w:rsidP="008F7A8E">
            <w:pPr>
              <w:pStyle w:val="TableText0"/>
              <w:jc w:val="center"/>
            </w:pPr>
            <w:r w:rsidRPr="00B63CD0">
              <w:t>-</w:t>
            </w:r>
          </w:p>
        </w:tc>
        <w:tc>
          <w:tcPr>
            <w:tcW w:w="465" w:type="pct"/>
            <w:tcBorders>
              <w:top w:val="nil"/>
            </w:tcBorders>
            <w:vAlign w:val="center"/>
          </w:tcPr>
          <w:p w14:paraId="6B196A7F" w14:textId="77777777" w:rsidR="00ED509D" w:rsidRPr="00B63CD0" w:rsidRDefault="00ED509D" w:rsidP="008F7A8E">
            <w:pPr>
              <w:pStyle w:val="TableText0"/>
              <w:jc w:val="center"/>
            </w:pPr>
            <w:r w:rsidRPr="00B63CD0">
              <w:t>-</w:t>
            </w:r>
          </w:p>
        </w:tc>
        <w:tc>
          <w:tcPr>
            <w:tcW w:w="465" w:type="pct"/>
            <w:tcBorders>
              <w:top w:val="nil"/>
            </w:tcBorders>
            <w:vAlign w:val="center"/>
          </w:tcPr>
          <w:p w14:paraId="49176BEB" w14:textId="77777777" w:rsidR="00ED509D" w:rsidRPr="00B63CD0" w:rsidRDefault="00ED509D" w:rsidP="008F7A8E">
            <w:pPr>
              <w:pStyle w:val="TableText0"/>
              <w:jc w:val="center"/>
            </w:pPr>
            <w:r w:rsidRPr="00B63CD0">
              <w:t>-</w:t>
            </w:r>
          </w:p>
        </w:tc>
        <w:tc>
          <w:tcPr>
            <w:tcW w:w="465" w:type="pct"/>
            <w:tcBorders>
              <w:top w:val="nil"/>
            </w:tcBorders>
            <w:shd w:val="clear" w:color="auto" w:fill="auto"/>
            <w:vAlign w:val="center"/>
          </w:tcPr>
          <w:p w14:paraId="2293F1DC" w14:textId="77777777" w:rsidR="00ED509D" w:rsidRPr="00B63CD0" w:rsidRDefault="00ED509D" w:rsidP="008F7A8E">
            <w:pPr>
              <w:pStyle w:val="TableText0"/>
              <w:jc w:val="center"/>
            </w:pPr>
            <w:r w:rsidRPr="00B63CD0">
              <w:t>-</w:t>
            </w:r>
          </w:p>
        </w:tc>
        <w:tc>
          <w:tcPr>
            <w:tcW w:w="500" w:type="pct"/>
            <w:tcBorders>
              <w:top w:val="nil"/>
            </w:tcBorders>
            <w:shd w:val="clear" w:color="auto" w:fill="auto"/>
            <w:vAlign w:val="center"/>
          </w:tcPr>
          <w:p w14:paraId="20B25672" w14:textId="77777777" w:rsidR="00ED509D" w:rsidRPr="00B63CD0" w:rsidRDefault="00ED509D" w:rsidP="008F7A8E">
            <w:pPr>
              <w:pStyle w:val="TableText0"/>
              <w:jc w:val="center"/>
            </w:pPr>
            <w:r w:rsidRPr="00B63CD0">
              <w:t>(0.9)+0.3</w:t>
            </w:r>
          </w:p>
        </w:tc>
        <w:tc>
          <w:tcPr>
            <w:tcW w:w="445" w:type="pct"/>
            <w:tcBorders>
              <w:top w:val="nil"/>
            </w:tcBorders>
            <w:vAlign w:val="center"/>
          </w:tcPr>
          <w:p w14:paraId="74AB1EDD" w14:textId="77777777" w:rsidR="00ED509D" w:rsidRPr="00B63CD0" w:rsidRDefault="00ED509D" w:rsidP="008F7A8E">
            <w:pPr>
              <w:pStyle w:val="TableText0"/>
              <w:jc w:val="center"/>
            </w:pPr>
            <w:r w:rsidRPr="00B63CD0">
              <w:t>-</w:t>
            </w:r>
          </w:p>
        </w:tc>
      </w:tr>
      <w:tr w:rsidR="00ED509D" w:rsidRPr="00B63CD0" w14:paraId="38631727" w14:textId="77777777" w:rsidTr="00D34504">
        <w:trPr>
          <w:cantSplit/>
          <w:jc w:val="center"/>
        </w:trPr>
        <w:tc>
          <w:tcPr>
            <w:tcW w:w="796" w:type="pct"/>
            <w:tcBorders>
              <w:bottom w:val="single" w:sz="4" w:space="0" w:color="auto"/>
            </w:tcBorders>
            <w:shd w:val="clear" w:color="auto" w:fill="auto"/>
            <w:vAlign w:val="center"/>
          </w:tcPr>
          <w:p w14:paraId="2453A70E" w14:textId="77777777" w:rsidR="00ED509D" w:rsidRPr="00B63CD0" w:rsidRDefault="00ED509D" w:rsidP="008F7A8E">
            <w:pPr>
              <w:pStyle w:val="In-tableHeading"/>
            </w:pPr>
            <w:r w:rsidRPr="00B63CD0">
              <w:t>Mean duration (mths)</w:t>
            </w:r>
          </w:p>
        </w:tc>
        <w:tc>
          <w:tcPr>
            <w:tcW w:w="465" w:type="pct"/>
            <w:tcBorders>
              <w:bottom w:val="single" w:sz="4" w:space="0" w:color="auto"/>
            </w:tcBorders>
            <w:shd w:val="clear" w:color="auto" w:fill="auto"/>
            <w:vAlign w:val="center"/>
          </w:tcPr>
          <w:p w14:paraId="383C7EAE" w14:textId="77777777" w:rsidR="00ED509D" w:rsidRPr="00B63CD0" w:rsidRDefault="00ED509D" w:rsidP="008F7A8E">
            <w:pPr>
              <w:pStyle w:val="TableText0"/>
              <w:jc w:val="center"/>
            </w:pPr>
            <w:r w:rsidRPr="00B63CD0">
              <w:t>32.5</w:t>
            </w:r>
          </w:p>
        </w:tc>
        <w:tc>
          <w:tcPr>
            <w:tcW w:w="465" w:type="pct"/>
            <w:tcBorders>
              <w:bottom w:val="single" w:sz="4" w:space="0" w:color="auto"/>
            </w:tcBorders>
            <w:shd w:val="clear" w:color="auto" w:fill="auto"/>
            <w:vAlign w:val="center"/>
          </w:tcPr>
          <w:p w14:paraId="03D4B4B4" w14:textId="77777777" w:rsidR="00ED509D" w:rsidRPr="00B63CD0" w:rsidRDefault="00ED509D" w:rsidP="008F7A8E">
            <w:pPr>
              <w:pStyle w:val="TableText0"/>
              <w:jc w:val="center"/>
            </w:pPr>
            <w:r w:rsidRPr="00B63CD0">
              <w:t>74.1</w:t>
            </w:r>
          </w:p>
        </w:tc>
        <w:tc>
          <w:tcPr>
            <w:tcW w:w="472" w:type="pct"/>
            <w:tcBorders>
              <w:bottom w:val="single" w:sz="4" w:space="0" w:color="auto"/>
            </w:tcBorders>
            <w:shd w:val="clear" w:color="auto" w:fill="auto"/>
            <w:vAlign w:val="center"/>
          </w:tcPr>
          <w:p w14:paraId="1225088D" w14:textId="77777777" w:rsidR="00ED509D" w:rsidRPr="00B63CD0" w:rsidRDefault="00ED509D" w:rsidP="008F7A8E">
            <w:pPr>
              <w:pStyle w:val="TableText0"/>
              <w:jc w:val="center"/>
            </w:pPr>
            <w:r w:rsidRPr="00B63CD0">
              <w:t>23.2</w:t>
            </w:r>
            <w:r w:rsidRPr="00B63CD0">
              <w:rPr>
                <w:vertAlign w:val="superscript"/>
              </w:rPr>
              <w:t>h</w:t>
            </w:r>
          </w:p>
        </w:tc>
        <w:tc>
          <w:tcPr>
            <w:tcW w:w="462" w:type="pct"/>
            <w:tcBorders>
              <w:bottom w:val="single" w:sz="4" w:space="0" w:color="auto"/>
            </w:tcBorders>
            <w:vAlign w:val="center"/>
          </w:tcPr>
          <w:p w14:paraId="31C5D4AD" w14:textId="77777777" w:rsidR="00ED509D" w:rsidRPr="00B63CD0" w:rsidRDefault="00ED509D" w:rsidP="008F7A8E">
            <w:pPr>
              <w:pStyle w:val="TableText0"/>
              <w:jc w:val="center"/>
            </w:pPr>
            <w:r w:rsidRPr="00B63CD0">
              <w:t>41.2</w:t>
            </w:r>
          </w:p>
        </w:tc>
        <w:tc>
          <w:tcPr>
            <w:tcW w:w="465" w:type="pct"/>
            <w:tcBorders>
              <w:bottom w:val="single" w:sz="4" w:space="0" w:color="auto"/>
            </w:tcBorders>
            <w:vAlign w:val="center"/>
          </w:tcPr>
          <w:p w14:paraId="0D7CC751" w14:textId="77777777" w:rsidR="00ED509D" w:rsidRPr="00B63CD0" w:rsidRDefault="00ED509D" w:rsidP="008F7A8E">
            <w:pPr>
              <w:pStyle w:val="TableText0"/>
              <w:jc w:val="center"/>
            </w:pPr>
            <w:r w:rsidRPr="00B63CD0">
              <w:t>83.8</w:t>
            </w:r>
          </w:p>
        </w:tc>
        <w:tc>
          <w:tcPr>
            <w:tcW w:w="465" w:type="pct"/>
            <w:tcBorders>
              <w:bottom w:val="single" w:sz="4" w:space="0" w:color="auto"/>
            </w:tcBorders>
            <w:vAlign w:val="center"/>
          </w:tcPr>
          <w:p w14:paraId="06F7396F" w14:textId="77777777" w:rsidR="00ED509D" w:rsidRPr="00B63CD0" w:rsidRDefault="00ED509D" w:rsidP="008F7A8E">
            <w:pPr>
              <w:pStyle w:val="TableText0"/>
              <w:jc w:val="center"/>
            </w:pPr>
            <w:r w:rsidRPr="00B63CD0">
              <w:t>23.2</w:t>
            </w:r>
            <w:r w:rsidRPr="00B63CD0">
              <w:rPr>
                <w:vertAlign w:val="superscript"/>
              </w:rPr>
              <w:t>h</w:t>
            </w:r>
          </w:p>
        </w:tc>
        <w:tc>
          <w:tcPr>
            <w:tcW w:w="465" w:type="pct"/>
            <w:tcBorders>
              <w:bottom w:val="single" w:sz="4" w:space="0" w:color="auto"/>
            </w:tcBorders>
            <w:shd w:val="clear" w:color="auto" w:fill="auto"/>
            <w:vAlign w:val="center"/>
          </w:tcPr>
          <w:p w14:paraId="556303FB" w14:textId="77777777" w:rsidR="00ED509D" w:rsidRPr="00B63CD0" w:rsidRDefault="00ED509D" w:rsidP="008F7A8E">
            <w:pPr>
              <w:pStyle w:val="TableText0"/>
              <w:jc w:val="center"/>
            </w:pPr>
            <w:r w:rsidRPr="00B63CD0">
              <w:t>35.2</w:t>
            </w:r>
          </w:p>
        </w:tc>
        <w:tc>
          <w:tcPr>
            <w:tcW w:w="500" w:type="pct"/>
            <w:tcBorders>
              <w:bottom w:val="single" w:sz="4" w:space="0" w:color="auto"/>
            </w:tcBorders>
            <w:shd w:val="clear" w:color="auto" w:fill="auto"/>
            <w:vAlign w:val="center"/>
          </w:tcPr>
          <w:p w14:paraId="529C97EA" w14:textId="77777777" w:rsidR="00ED509D" w:rsidRPr="00B63CD0" w:rsidRDefault="00ED509D" w:rsidP="008F7A8E">
            <w:pPr>
              <w:pStyle w:val="TableText0"/>
              <w:jc w:val="center"/>
            </w:pPr>
            <w:r w:rsidRPr="00B63CD0">
              <w:t>58.4</w:t>
            </w:r>
          </w:p>
        </w:tc>
        <w:tc>
          <w:tcPr>
            <w:tcW w:w="445" w:type="pct"/>
            <w:tcBorders>
              <w:bottom w:val="single" w:sz="4" w:space="0" w:color="auto"/>
            </w:tcBorders>
            <w:vAlign w:val="center"/>
          </w:tcPr>
          <w:p w14:paraId="5C7CBCC7" w14:textId="77777777" w:rsidR="00ED509D" w:rsidRPr="00B63CD0" w:rsidRDefault="00ED509D" w:rsidP="008F7A8E">
            <w:pPr>
              <w:pStyle w:val="TableText0"/>
              <w:jc w:val="center"/>
            </w:pPr>
            <w:r w:rsidRPr="00B63CD0">
              <w:t>-</w:t>
            </w:r>
          </w:p>
        </w:tc>
      </w:tr>
      <w:tr w:rsidR="00ED509D" w:rsidRPr="00B63CD0" w14:paraId="4DF7B84E" w14:textId="77777777" w:rsidTr="008F7A8E">
        <w:trPr>
          <w:cantSplit/>
          <w:jc w:val="center"/>
        </w:trPr>
        <w:tc>
          <w:tcPr>
            <w:tcW w:w="5000" w:type="pct"/>
            <w:gridSpan w:val="10"/>
            <w:tcBorders>
              <w:bottom w:val="nil"/>
            </w:tcBorders>
            <w:shd w:val="clear" w:color="auto" w:fill="auto"/>
            <w:vAlign w:val="center"/>
          </w:tcPr>
          <w:p w14:paraId="4C7C0C7B" w14:textId="77777777" w:rsidR="00ED509D" w:rsidRPr="00B63CD0" w:rsidRDefault="00ED509D" w:rsidP="008F7A8E">
            <w:pPr>
              <w:pStyle w:val="In-tableHeading"/>
            </w:pPr>
            <w:r w:rsidRPr="00B63CD0">
              <w:t xml:space="preserve">Cost per </w:t>
            </w:r>
            <w:proofErr w:type="spellStart"/>
            <w:r w:rsidRPr="00B63CD0">
              <w:t>patient</w:t>
            </w:r>
            <w:r w:rsidRPr="00B63CD0">
              <w:rPr>
                <w:vertAlign w:val="superscript"/>
              </w:rPr>
              <w:t>c</w:t>
            </w:r>
            <w:proofErr w:type="spellEnd"/>
          </w:p>
        </w:tc>
      </w:tr>
      <w:tr w:rsidR="002C7E76" w:rsidRPr="00B63CD0" w14:paraId="3F80BFCB" w14:textId="77777777" w:rsidTr="002C7E76">
        <w:trPr>
          <w:cantSplit/>
          <w:jc w:val="center"/>
        </w:trPr>
        <w:tc>
          <w:tcPr>
            <w:tcW w:w="796" w:type="pct"/>
            <w:tcBorders>
              <w:top w:val="nil"/>
              <w:bottom w:val="nil"/>
            </w:tcBorders>
            <w:shd w:val="clear" w:color="auto" w:fill="auto"/>
            <w:vAlign w:val="center"/>
          </w:tcPr>
          <w:p w14:paraId="33665836" w14:textId="15234395" w:rsidR="002C7E76" w:rsidRPr="00B63CD0" w:rsidRDefault="002C7E76" w:rsidP="002C7E76">
            <w:pPr>
              <w:pStyle w:val="TableText0"/>
            </w:pPr>
            <w:r w:rsidRPr="00B63CD0">
              <w:t>per month</w:t>
            </w:r>
            <w:r>
              <w:t xml:space="preserve"> ($)</w:t>
            </w:r>
          </w:p>
        </w:tc>
        <w:tc>
          <w:tcPr>
            <w:tcW w:w="465" w:type="pct"/>
            <w:tcBorders>
              <w:top w:val="nil"/>
              <w:bottom w:val="nil"/>
            </w:tcBorders>
            <w:shd w:val="clear" w:color="auto" w:fill="auto"/>
            <w:vAlign w:val="center"/>
          </w:tcPr>
          <w:p w14:paraId="7852DB37" w14:textId="77777777" w:rsidR="002C7E76" w:rsidRPr="00B63CD0" w:rsidRDefault="002C7E76" w:rsidP="002C7E76">
            <w:pPr>
              <w:pStyle w:val="TableText0"/>
              <w:jc w:val="center"/>
            </w:pPr>
            <w:r w:rsidRPr="00B63CD0">
              <w:t>-</w:t>
            </w:r>
          </w:p>
        </w:tc>
        <w:tc>
          <w:tcPr>
            <w:tcW w:w="465" w:type="pct"/>
            <w:tcBorders>
              <w:top w:val="nil"/>
              <w:bottom w:val="nil"/>
            </w:tcBorders>
            <w:shd w:val="clear" w:color="auto" w:fill="auto"/>
            <w:vAlign w:val="center"/>
          </w:tcPr>
          <w:p w14:paraId="1DB0D7C0" w14:textId="2E7E57F7" w:rsidR="002C7E76" w:rsidRPr="004B780F" w:rsidRDefault="002C7E76" w:rsidP="002C7E76">
            <w:pPr>
              <w:pStyle w:val="TableText0"/>
              <w:jc w:val="center"/>
              <w:rPr>
                <w:highlight w:val="darkGray"/>
              </w:rPr>
            </w:pPr>
            <w:r w:rsidRPr="00E639BD">
              <w:rPr>
                <w:color w:val="000000"/>
                <w:shd w:val="solid" w:color="000000" w:fill="000000"/>
                <w14:textFill>
                  <w14:solidFill>
                    <w14:srgbClr w14:val="000000">
                      <w14:alpha w14:val="100000"/>
                    </w14:srgbClr>
                  </w14:solidFill>
                </w14:textFill>
              </w:rPr>
              <w:t>|</w:t>
            </w:r>
          </w:p>
        </w:tc>
        <w:tc>
          <w:tcPr>
            <w:tcW w:w="472" w:type="pct"/>
            <w:tcBorders>
              <w:top w:val="nil"/>
              <w:bottom w:val="nil"/>
            </w:tcBorders>
            <w:shd w:val="clear" w:color="auto" w:fill="auto"/>
          </w:tcPr>
          <w:p w14:paraId="2451A383" w14:textId="25C7ABEC" w:rsidR="002C7E76" w:rsidRPr="004B780F" w:rsidRDefault="002C7E76" w:rsidP="002C7E76">
            <w:pPr>
              <w:pStyle w:val="TableText0"/>
              <w:jc w:val="center"/>
              <w:rPr>
                <w:highlight w:val="darkGray"/>
              </w:rPr>
            </w:pPr>
            <w:r w:rsidRPr="00B61E97">
              <w:rPr>
                <w:color w:val="000000"/>
                <w:shd w:val="solid" w:color="000000" w:fill="000000"/>
                <w14:textFill>
                  <w14:solidFill>
                    <w14:srgbClr w14:val="000000">
                      <w14:alpha w14:val="100000"/>
                    </w14:srgbClr>
                  </w14:solidFill>
                </w14:textFill>
              </w:rPr>
              <w:t>|</w:t>
            </w:r>
          </w:p>
        </w:tc>
        <w:tc>
          <w:tcPr>
            <w:tcW w:w="462" w:type="pct"/>
            <w:tcBorders>
              <w:top w:val="nil"/>
              <w:bottom w:val="nil"/>
            </w:tcBorders>
            <w:vAlign w:val="center"/>
          </w:tcPr>
          <w:p w14:paraId="6AFAAC5B" w14:textId="77777777" w:rsidR="002C7E76" w:rsidRPr="00B63CD0" w:rsidRDefault="002C7E76" w:rsidP="002C7E76">
            <w:pPr>
              <w:pStyle w:val="TableText0"/>
              <w:jc w:val="center"/>
            </w:pPr>
            <w:r w:rsidRPr="00B63CD0">
              <w:t>-</w:t>
            </w:r>
          </w:p>
        </w:tc>
        <w:tc>
          <w:tcPr>
            <w:tcW w:w="465" w:type="pct"/>
            <w:tcBorders>
              <w:top w:val="nil"/>
              <w:bottom w:val="nil"/>
            </w:tcBorders>
            <w:shd w:val="clear" w:color="auto" w:fill="auto"/>
          </w:tcPr>
          <w:p w14:paraId="2DB3221C" w14:textId="44D383BC" w:rsidR="002C7E76" w:rsidRPr="004B780F" w:rsidRDefault="002C7E76" w:rsidP="002C7E76">
            <w:pPr>
              <w:pStyle w:val="TableText0"/>
              <w:jc w:val="center"/>
              <w:rPr>
                <w:highlight w:val="darkGray"/>
              </w:rPr>
            </w:pPr>
            <w:r w:rsidRPr="00D10CF2">
              <w:rPr>
                <w:color w:val="000000"/>
                <w:shd w:val="solid" w:color="000000" w:fill="000000"/>
                <w14:textFill>
                  <w14:solidFill>
                    <w14:srgbClr w14:val="000000">
                      <w14:alpha w14:val="100000"/>
                    </w14:srgbClr>
                  </w14:solidFill>
                </w14:textFill>
              </w:rPr>
              <w:t>|</w:t>
            </w:r>
          </w:p>
        </w:tc>
        <w:tc>
          <w:tcPr>
            <w:tcW w:w="465" w:type="pct"/>
            <w:tcBorders>
              <w:top w:val="nil"/>
              <w:bottom w:val="nil"/>
            </w:tcBorders>
            <w:shd w:val="clear" w:color="auto" w:fill="auto"/>
          </w:tcPr>
          <w:p w14:paraId="4C305A2C" w14:textId="542B5E89" w:rsidR="002C7E76" w:rsidRPr="004B780F" w:rsidRDefault="002C7E76" w:rsidP="002C7E76">
            <w:pPr>
              <w:pStyle w:val="TableText0"/>
              <w:jc w:val="center"/>
              <w:rPr>
                <w:highlight w:val="darkGray"/>
              </w:rPr>
            </w:pPr>
            <w:r w:rsidRPr="00D10CF2">
              <w:rPr>
                <w:color w:val="000000"/>
                <w:shd w:val="solid" w:color="000000" w:fill="000000"/>
                <w14:textFill>
                  <w14:solidFill>
                    <w14:srgbClr w14:val="000000">
                      <w14:alpha w14:val="100000"/>
                    </w14:srgbClr>
                  </w14:solidFill>
                </w14:textFill>
              </w:rPr>
              <w:t>|</w:t>
            </w:r>
          </w:p>
        </w:tc>
        <w:tc>
          <w:tcPr>
            <w:tcW w:w="465" w:type="pct"/>
            <w:tcBorders>
              <w:top w:val="nil"/>
              <w:bottom w:val="nil"/>
            </w:tcBorders>
            <w:shd w:val="clear" w:color="auto" w:fill="auto"/>
            <w:vAlign w:val="center"/>
          </w:tcPr>
          <w:p w14:paraId="76002731" w14:textId="77777777" w:rsidR="002C7E76" w:rsidRPr="00B63CD0" w:rsidRDefault="002C7E76" w:rsidP="002C7E76">
            <w:pPr>
              <w:pStyle w:val="TableText0"/>
              <w:jc w:val="center"/>
            </w:pPr>
            <w:r w:rsidRPr="00B63CD0">
              <w:t>-</w:t>
            </w:r>
          </w:p>
        </w:tc>
        <w:tc>
          <w:tcPr>
            <w:tcW w:w="500" w:type="pct"/>
            <w:tcBorders>
              <w:top w:val="nil"/>
              <w:bottom w:val="nil"/>
            </w:tcBorders>
            <w:shd w:val="clear" w:color="auto" w:fill="auto"/>
          </w:tcPr>
          <w:p w14:paraId="7EEC8180" w14:textId="57972C6A" w:rsidR="002C7E76" w:rsidRPr="004B780F" w:rsidRDefault="002C7E76" w:rsidP="002C7E76">
            <w:pPr>
              <w:pStyle w:val="TableText0"/>
              <w:jc w:val="center"/>
              <w:rPr>
                <w:highlight w:val="darkGray"/>
              </w:rPr>
            </w:pPr>
            <w:r w:rsidRPr="002874A7">
              <w:rPr>
                <w:color w:val="000000"/>
                <w:shd w:val="solid" w:color="000000" w:fill="000000"/>
                <w14:textFill>
                  <w14:solidFill>
                    <w14:srgbClr w14:val="000000">
                      <w14:alpha w14:val="100000"/>
                    </w14:srgbClr>
                  </w14:solidFill>
                </w14:textFill>
              </w:rPr>
              <w:t>|</w:t>
            </w:r>
          </w:p>
        </w:tc>
        <w:tc>
          <w:tcPr>
            <w:tcW w:w="445" w:type="pct"/>
            <w:tcBorders>
              <w:top w:val="nil"/>
              <w:bottom w:val="nil"/>
            </w:tcBorders>
            <w:vAlign w:val="center"/>
          </w:tcPr>
          <w:p w14:paraId="523111B2" w14:textId="77777777" w:rsidR="002C7E76" w:rsidRPr="00B63CD0" w:rsidRDefault="002C7E76" w:rsidP="002C7E76">
            <w:pPr>
              <w:pStyle w:val="TableText0"/>
              <w:jc w:val="center"/>
            </w:pPr>
            <w:r w:rsidRPr="00B63CD0">
              <w:t>-</w:t>
            </w:r>
          </w:p>
        </w:tc>
      </w:tr>
      <w:tr w:rsidR="002C7E76" w:rsidRPr="00B63CD0" w14:paraId="62D26007" w14:textId="77777777" w:rsidTr="002C7E76">
        <w:trPr>
          <w:cantSplit/>
          <w:jc w:val="center"/>
        </w:trPr>
        <w:tc>
          <w:tcPr>
            <w:tcW w:w="796" w:type="pct"/>
            <w:tcBorders>
              <w:top w:val="nil"/>
              <w:bottom w:val="nil"/>
            </w:tcBorders>
            <w:shd w:val="clear" w:color="auto" w:fill="auto"/>
            <w:vAlign w:val="center"/>
          </w:tcPr>
          <w:p w14:paraId="494A9853" w14:textId="1D08726E" w:rsidR="002C7E76" w:rsidRPr="00B63CD0" w:rsidRDefault="002C7E76" w:rsidP="002C7E76">
            <w:pPr>
              <w:pStyle w:val="TableText0"/>
            </w:pPr>
            <w:r w:rsidRPr="00B63CD0">
              <w:t xml:space="preserve">per year </w:t>
            </w:r>
            <w:r>
              <w:t>($)</w:t>
            </w:r>
          </w:p>
        </w:tc>
        <w:tc>
          <w:tcPr>
            <w:tcW w:w="465" w:type="pct"/>
            <w:tcBorders>
              <w:top w:val="nil"/>
              <w:bottom w:val="nil"/>
            </w:tcBorders>
            <w:shd w:val="clear" w:color="auto" w:fill="auto"/>
            <w:vAlign w:val="center"/>
          </w:tcPr>
          <w:p w14:paraId="4DC2903A" w14:textId="77777777" w:rsidR="002C7E76" w:rsidRPr="00B63CD0" w:rsidRDefault="002C7E76" w:rsidP="002C7E76">
            <w:pPr>
              <w:pStyle w:val="TableText0"/>
              <w:jc w:val="center"/>
            </w:pPr>
            <w:r w:rsidRPr="00B63CD0">
              <w:t>-</w:t>
            </w:r>
          </w:p>
        </w:tc>
        <w:tc>
          <w:tcPr>
            <w:tcW w:w="465" w:type="pct"/>
            <w:tcBorders>
              <w:top w:val="nil"/>
              <w:bottom w:val="nil"/>
            </w:tcBorders>
            <w:shd w:val="clear" w:color="auto" w:fill="auto"/>
          </w:tcPr>
          <w:p w14:paraId="3C23E660" w14:textId="357CB004" w:rsidR="002C7E76" w:rsidRPr="004B780F" w:rsidRDefault="002C7E76" w:rsidP="002C7E76">
            <w:pPr>
              <w:pStyle w:val="TableText0"/>
              <w:jc w:val="center"/>
              <w:rPr>
                <w:highlight w:val="darkGray"/>
              </w:rPr>
            </w:pPr>
            <w:r w:rsidRPr="0070602C">
              <w:rPr>
                <w:color w:val="000000"/>
                <w:shd w:val="solid" w:color="000000" w:fill="000000"/>
                <w14:textFill>
                  <w14:solidFill>
                    <w14:srgbClr w14:val="000000">
                      <w14:alpha w14:val="100000"/>
                    </w14:srgbClr>
                  </w14:solidFill>
                </w14:textFill>
              </w:rPr>
              <w:t>|</w:t>
            </w:r>
          </w:p>
        </w:tc>
        <w:tc>
          <w:tcPr>
            <w:tcW w:w="472" w:type="pct"/>
            <w:tcBorders>
              <w:top w:val="nil"/>
              <w:bottom w:val="nil"/>
            </w:tcBorders>
            <w:shd w:val="clear" w:color="auto" w:fill="auto"/>
          </w:tcPr>
          <w:p w14:paraId="4849BA88" w14:textId="4AD54295" w:rsidR="002C7E76" w:rsidRPr="004B780F" w:rsidRDefault="002C7E76" w:rsidP="002C7E76">
            <w:pPr>
              <w:pStyle w:val="TableText0"/>
              <w:jc w:val="center"/>
              <w:rPr>
                <w:highlight w:val="darkGray"/>
              </w:rPr>
            </w:pPr>
            <w:r w:rsidRPr="00B61E97">
              <w:rPr>
                <w:color w:val="000000"/>
                <w:shd w:val="solid" w:color="000000" w:fill="000000"/>
                <w14:textFill>
                  <w14:solidFill>
                    <w14:srgbClr w14:val="000000">
                      <w14:alpha w14:val="100000"/>
                    </w14:srgbClr>
                  </w14:solidFill>
                </w14:textFill>
              </w:rPr>
              <w:t>|</w:t>
            </w:r>
          </w:p>
        </w:tc>
        <w:tc>
          <w:tcPr>
            <w:tcW w:w="462" w:type="pct"/>
            <w:tcBorders>
              <w:top w:val="nil"/>
              <w:bottom w:val="nil"/>
            </w:tcBorders>
            <w:vAlign w:val="center"/>
          </w:tcPr>
          <w:p w14:paraId="4F85BC16" w14:textId="77777777" w:rsidR="002C7E76" w:rsidRPr="00B63CD0" w:rsidRDefault="002C7E76" w:rsidP="002C7E76">
            <w:pPr>
              <w:pStyle w:val="TableText0"/>
              <w:jc w:val="center"/>
            </w:pPr>
            <w:r w:rsidRPr="00B63CD0">
              <w:t>-</w:t>
            </w:r>
          </w:p>
        </w:tc>
        <w:tc>
          <w:tcPr>
            <w:tcW w:w="465" w:type="pct"/>
            <w:tcBorders>
              <w:top w:val="nil"/>
              <w:bottom w:val="nil"/>
            </w:tcBorders>
            <w:shd w:val="clear" w:color="auto" w:fill="auto"/>
          </w:tcPr>
          <w:p w14:paraId="588D792C" w14:textId="7CE88D6E" w:rsidR="002C7E76" w:rsidRPr="004B780F" w:rsidRDefault="002C7E76" w:rsidP="002C7E76">
            <w:pPr>
              <w:pStyle w:val="TableText0"/>
              <w:jc w:val="center"/>
              <w:rPr>
                <w:highlight w:val="darkGray"/>
              </w:rPr>
            </w:pPr>
            <w:r w:rsidRPr="00D10CF2">
              <w:rPr>
                <w:color w:val="000000"/>
                <w:shd w:val="solid" w:color="000000" w:fill="000000"/>
                <w14:textFill>
                  <w14:solidFill>
                    <w14:srgbClr w14:val="000000">
                      <w14:alpha w14:val="100000"/>
                    </w14:srgbClr>
                  </w14:solidFill>
                </w14:textFill>
              </w:rPr>
              <w:t>|</w:t>
            </w:r>
          </w:p>
        </w:tc>
        <w:tc>
          <w:tcPr>
            <w:tcW w:w="465" w:type="pct"/>
            <w:tcBorders>
              <w:top w:val="nil"/>
              <w:bottom w:val="nil"/>
            </w:tcBorders>
            <w:shd w:val="clear" w:color="auto" w:fill="auto"/>
          </w:tcPr>
          <w:p w14:paraId="466E7D60" w14:textId="26990EC2" w:rsidR="002C7E76" w:rsidRPr="004B780F" w:rsidRDefault="002C7E76" w:rsidP="002C7E76">
            <w:pPr>
              <w:pStyle w:val="TableText0"/>
              <w:jc w:val="center"/>
              <w:rPr>
                <w:highlight w:val="darkGray"/>
              </w:rPr>
            </w:pPr>
            <w:r w:rsidRPr="00D10CF2">
              <w:rPr>
                <w:color w:val="000000"/>
                <w:shd w:val="solid" w:color="000000" w:fill="000000"/>
                <w14:textFill>
                  <w14:solidFill>
                    <w14:srgbClr w14:val="000000">
                      <w14:alpha w14:val="100000"/>
                    </w14:srgbClr>
                  </w14:solidFill>
                </w14:textFill>
              </w:rPr>
              <w:t>|</w:t>
            </w:r>
          </w:p>
        </w:tc>
        <w:tc>
          <w:tcPr>
            <w:tcW w:w="465" w:type="pct"/>
            <w:tcBorders>
              <w:top w:val="nil"/>
              <w:bottom w:val="nil"/>
            </w:tcBorders>
            <w:shd w:val="clear" w:color="auto" w:fill="auto"/>
            <w:vAlign w:val="center"/>
          </w:tcPr>
          <w:p w14:paraId="17CCB766" w14:textId="77777777" w:rsidR="002C7E76" w:rsidRPr="00B63CD0" w:rsidRDefault="002C7E76" w:rsidP="002C7E76">
            <w:pPr>
              <w:pStyle w:val="TableText0"/>
              <w:jc w:val="center"/>
            </w:pPr>
            <w:r w:rsidRPr="00B63CD0">
              <w:t>-</w:t>
            </w:r>
          </w:p>
        </w:tc>
        <w:tc>
          <w:tcPr>
            <w:tcW w:w="500" w:type="pct"/>
            <w:tcBorders>
              <w:top w:val="nil"/>
              <w:bottom w:val="nil"/>
            </w:tcBorders>
            <w:shd w:val="clear" w:color="auto" w:fill="auto"/>
          </w:tcPr>
          <w:p w14:paraId="23A490A2" w14:textId="6EE4D163" w:rsidR="002C7E76" w:rsidRPr="004B780F" w:rsidRDefault="002C7E76" w:rsidP="002C7E76">
            <w:pPr>
              <w:pStyle w:val="TableText0"/>
              <w:jc w:val="center"/>
              <w:rPr>
                <w:highlight w:val="darkGray"/>
              </w:rPr>
            </w:pPr>
            <w:r w:rsidRPr="002874A7">
              <w:rPr>
                <w:color w:val="000000"/>
                <w:shd w:val="solid" w:color="000000" w:fill="000000"/>
                <w14:textFill>
                  <w14:solidFill>
                    <w14:srgbClr w14:val="000000">
                      <w14:alpha w14:val="100000"/>
                    </w14:srgbClr>
                  </w14:solidFill>
                </w14:textFill>
              </w:rPr>
              <w:t>|</w:t>
            </w:r>
          </w:p>
        </w:tc>
        <w:tc>
          <w:tcPr>
            <w:tcW w:w="445" w:type="pct"/>
            <w:tcBorders>
              <w:top w:val="nil"/>
              <w:bottom w:val="nil"/>
            </w:tcBorders>
            <w:vAlign w:val="center"/>
          </w:tcPr>
          <w:p w14:paraId="7B4D62C0" w14:textId="77777777" w:rsidR="002C7E76" w:rsidRPr="00B63CD0" w:rsidRDefault="002C7E76" w:rsidP="002C7E76">
            <w:pPr>
              <w:pStyle w:val="TableText0"/>
              <w:jc w:val="center"/>
            </w:pPr>
            <w:r w:rsidRPr="00B63CD0">
              <w:t>-</w:t>
            </w:r>
          </w:p>
        </w:tc>
      </w:tr>
      <w:tr w:rsidR="002C7E76" w:rsidRPr="00B63CD0" w14:paraId="0B881EF0" w14:textId="77777777" w:rsidTr="002C7E76">
        <w:trPr>
          <w:cantSplit/>
          <w:jc w:val="center"/>
        </w:trPr>
        <w:tc>
          <w:tcPr>
            <w:tcW w:w="796" w:type="pct"/>
            <w:tcBorders>
              <w:top w:val="nil"/>
            </w:tcBorders>
            <w:shd w:val="clear" w:color="auto" w:fill="auto"/>
            <w:vAlign w:val="center"/>
          </w:tcPr>
          <w:p w14:paraId="3BBAC52F" w14:textId="1BBDC67B" w:rsidR="002C7E76" w:rsidRPr="00B63CD0" w:rsidRDefault="002C7E76" w:rsidP="002C7E76">
            <w:pPr>
              <w:pStyle w:val="TableText0"/>
            </w:pPr>
            <w:r w:rsidRPr="00B63CD0">
              <w:t xml:space="preserve">Total cost </w:t>
            </w:r>
            <w:r>
              <w:t>($)</w:t>
            </w:r>
          </w:p>
        </w:tc>
        <w:tc>
          <w:tcPr>
            <w:tcW w:w="465" w:type="pct"/>
            <w:tcBorders>
              <w:top w:val="nil"/>
            </w:tcBorders>
            <w:shd w:val="clear" w:color="auto" w:fill="auto"/>
            <w:vAlign w:val="center"/>
          </w:tcPr>
          <w:p w14:paraId="072B7159" w14:textId="77777777" w:rsidR="002C7E76" w:rsidRPr="00B63CD0" w:rsidRDefault="002C7E76" w:rsidP="002C7E76">
            <w:pPr>
              <w:pStyle w:val="TableText0"/>
              <w:jc w:val="center"/>
            </w:pPr>
          </w:p>
        </w:tc>
        <w:tc>
          <w:tcPr>
            <w:tcW w:w="465" w:type="pct"/>
            <w:tcBorders>
              <w:top w:val="nil"/>
            </w:tcBorders>
            <w:shd w:val="clear" w:color="auto" w:fill="auto"/>
          </w:tcPr>
          <w:p w14:paraId="28A80B92" w14:textId="4B8C9E4A" w:rsidR="002C7E76" w:rsidRPr="004B780F" w:rsidRDefault="002C7E76" w:rsidP="002C7E76">
            <w:pPr>
              <w:pStyle w:val="TableText0"/>
              <w:jc w:val="center"/>
              <w:rPr>
                <w:highlight w:val="darkGray"/>
              </w:rPr>
            </w:pPr>
            <w:r w:rsidRPr="0070602C">
              <w:rPr>
                <w:color w:val="000000"/>
                <w:shd w:val="solid" w:color="000000" w:fill="000000"/>
                <w14:textFill>
                  <w14:solidFill>
                    <w14:srgbClr w14:val="000000">
                      <w14:alpha w14:val="100000"/>
                    </w14:srgbClr>
                  </w14:solidFill>
                </w14:textFill>
              </w:rPr>
              <w:t>|</w:t>
            </w:r>
          </w:p>
        </w:tc>
        <w:tc>
          <w:tcPr>
            <w:tcW w:w="472" w:type="pct"/>
            <w:tcBorders>
              <w:top w:val="nil"/>
            </w:tcBorders>
            <w:shd w:val="clear" w:color="auto" w:fill="auto"/>
          </w:tcPr>
          <w:p w14:paraId="51D0A845" w14:textId="23FCC24C" w:rsidR="002C7E76" w:rsidRPr="004B780F" w:rsidRDefault="002C7E76" w:rsidP="002C7E76">
            <w:pPr>
              <w:pStyle w:val="TableText0"/>
              <w:jc w:val="center"/>
              <w:rPr>
                <w:highlight w:val="darkGray"/>
              </w:rPr>
            </w:pPr>
            <w:r w:rsidRPr="00B61E97">
              <w:rPr>
                <w:color w:val="000000"/>
                <w:shd w:val="solid" w:color="000000" w:fill="000000"/>
                <w14:textFill>
                  <w14:solidFill>
                    <w14:srgbClr w14:val="000000">
                      <w14:alpha w14:val="100000"/>
                    </w14:srgbClr>
                  </w14:solidFill>
                </w14:textFill>
              </w:rPr>
              <w:t>|</w:t>
            </w:r>
          </w:p>
        </w:tc>
        <w:tc>
          <w:tcPr>
            <w:tcW w:w="462" w:type="pct"/>
            <w:tcBorders>
              <w:top w:val="nil"/>
            </w:tcBorders>
            <w:vAlign w:val="center"/>
          </w:tcPr>
          <w:p w14:paraId="4CD43CCD" w14:textId="77777777" w:rsidR="002C7E76" w:rsidRPr="00B63CD0" w:rsidRDefault="002C7E76" w:rsidP="002C7E76">
            <w:pPr>
              <w:pStyle w:val="TableText0"/>
              <w:jc w:val="center"/>
            </w:pPr>
          </w:p>
        </w:tc>
        <w:tc>
          <w:tcPr>
            <w:tcW w:w="465" w:type="pct"/>
            <w:tcBorders>
              <w:top w:val="nil"/>
            </w:tcBorders>
            <w:shd w:val="clear" w:color="auto" w:fill="auto"/>
          </w:tcPr>
          <w:p w14:paraId="052D673B" w14:textId="48CD2165" w:rsidR="002C7E76" w:rsidRPr="004B780F" w:rsidRDefault="002C7E76" w:rsidP="002C7E76">
            <w:pPr>
              <w:pStyle w:val="TableText0"/>
              <w:jc w:val="center"/>
              <w:rPr>
                <w:highlight w:val="darkGray"/>
              </w:rPr>
            </w:pPr>
            <w:r w:rsidRPr="00D10CF2">
              <w:rPr>
                <w:color w:val="000000"/>
                <w:shd w:val="solid" w:color="000000" w:fill="000000"/>
                <w14:textFill>
                  <w14:solidFill>
                    <w14:srgbClr w14:val="000000">
                      <w14:alpha w14:val="100000"/>
                    </w14:srgbClr>
                  </w14:solidFill>
                </w14:textFill>
              </w:rPr>
              <w:t>|</w:t>
            </w:r>
          </w:p>
        </w:tc>
        <w:tc>
          <w:tcPr>
            <w:tcW w:w="465" w:type="pct"/>
            <w:tcBorders>
              <w:top w:val="nil"/>
            </w:tcBorders>
            <w:shd w:val="clear" w:color="auto" w:fill="auto"/>
          </w:tcPr>
          <w:p w14:paraId="39DE0558" w14:textId="7042A197" w:rsidR="002C7E76" w:rsidRPr="004B780F" w:rsidRDefault="002C7E76" w:rsidP="002C7E76">
            <w:pPr>
              <w:pStyle w:val="TableText0"/>
              <w:jc w:val="center"/>
              <w:rPr>
                <w:highlight w:val="darkGray"/>
              </w:rPr>
            </w:pPr>
            <w:r w:rsidRPr="00D10CF2">
              <w:rPr>
                <w:color w:val="000000"/>
                <w:shd w:val="solid" w:color="000000" w:fill="000000"/>
                <w14:textFill>
                  <w14:solidFill>
                    <w14:srgbClr w14:val="000000">
                      <w14:alpha w14:val="100000"/>
                    </w14:srgbClr>
                  </w14:solidFill>
                </w14:textFill>
              </w:rPr>
              <w:t>|</w:t>
            </w:r>
          </w:p>
        </w:tc>
        <w:tc>
          <w:tcPr>
            <w:tcW w:w="465" w:type="pct"/>
            <w:tcBorders>
              <w:top w:val="nil"/>
            </w:tcBorders>
            <w:shd w:val="clear" w:color="auto" w:fill="auto"/>
            <w:vAlign w:val="center"/>
          </w:tcPr>
          <w:p w14:paraId="157FE2AE" w14:textId="77777777" w:rsidR="002C7E76" w:rsidRPr="00B63CD0" w:rsidRDefault="002C7E76" w:rsidP="002C7E76">
            <w:pPr>
              <w:pStyle w:val="TableText0"/>
              <w:jc w:val="center"/>
            </w:pPr>
          </w:p>
        </w:tc>
        <w:tc>
          <w:tcPr>
            <w:tcW w:w="500" w:type="pct"/>
            <w:tcBorders>
              <w:top w:val="nil"/>
            </w:tcBorders>
            <w:shd w:val="clear" w:color="auto" w:fill="auto"/>
          </w:tcPr>
          <w:p w14:paraId="6627DB4A" w14:textId="040BC468" w:rsidR="002C7E76" w:rsidRPr="004B780F" w:rsidRDefault="002C7E76" w:rsidP="002C7E76">
            <w:pPr>
              <w:pStyle w:val="TableText0"/>
              <w:jc w:val="center"/>
              <w:rPr>
                <w:highlight w:val="darkGray"/>
              </w:rPr>
            </w:pPr>
            <w:r w:rsidRPr="002874A7">
              <w:rPr>
                <w:color w:val="000000"/>
                <w:shd w:val="solid" w:color="000000" w:fill="000000"/>
                <w14:textFill>
                  <w14:solidFill>
                    <w14:srgbClr w14:val="000000">
                      <w14:alpha w14:val="100000"/>
                    </w14:srgbClr>
                  </w14:solidFill>
                </w14:textFill>
              </w:rPr>
              <w:t>|</w:t>
            </w:r>
          </w:p>
        </w:tc>
        <w:tc>
          <w:tcPr>
            <w:tcW w:w="445" w:type="pct"/>
            <w:tcBorders>
              <w:top w:val="nil"/>
            </w:tcBorders>
            <w:vAlign w:val="center"/>
          </w:tcPr>
          <w:p w14:paraId="22149AEC" w14:textId="77777777" w:rsidR="002C7E76" w:rsidRPr="00B63CD0" w:rsidRDefault="002C7E76" w:rsidP="002C7E76">
            <w:pPr>
              <w:pStyle w:val="TableText0"/>
              <w:jc w:val="center"/>
            </w:pPr>
          </w:p>
        </w:tc>
      </w:tr>
    </w:tbl>
    <w:p w14:paraId="00179071" w14:textId="77777777" w:rsidR="00ED509D" w:rsidRDefault="00ED509D" w:rsidP="00ED509D">
      <w:pPr>
        <w:pStyle w:val="FooterTableFigure"/>
      </w:pPr>
      <w:r w:rsidRPr="0098262F">
        <w:t xml:space="preserve">Source: </w:t>
      </w:r>
      <w:r>
        <w:t xml:space="preserve">Table 10 of ‘Attachment 06 XTANDI EMBARK CSR 23May2023.pdf’ and </w:t>
      </w:r>
      <w:r w:rsidRPr="008301A1">
        <w:rPr>
          <w:i/>
          <w:iCs/>
        </w:rPr>
        <w:t>compiled during the evaluation</w:t>
      </w:r>
      <w:r>
        <w:t>.</w:t>
      </w:r>
    </w:p>
    <w:p w14:paraId="230CFBD2" w14:textId="68FA22D9" w:rsidR="00ED509D" w:rsidRDefault="00C02E47" w:rsidP="00ED509D">
      <w:pPr>
        <w:pStyle w:val="FooterTableFigure"/>
      </w:pPr>
      <w:r>
        <w:t xml:space="preserve">ADT=androgen deprivation therapy, ENZA=enzalutamide, </w:t>
      </w:r>
      <w:r w:rsidR="00ED509D">
        <w:t>mth=month,</w:t>
      </w:r>
      <w:r>
        <w:t xml:space="preserve"> NR=not reported,</w:t>
      </w:r>
      <w:r w:rsidR="00ED509D">
        <w:t xml:space="preserve"> wk=week, </w:t>
      </w:r>
    </w:p>
    <w:p w14:paraId="442566AE" w14:textId="77777777" w:rsidR="00ED509D" w:rsidRDefault="00ED509D" w:rsidP="00ED509D">
      <w:pPr>
        <w:pStyle w:val="FooterTableFigure"/>
        <w:ind w:left="142" w:hanging="142"/>
      </w:pPr>
      <w:r>
        <w:t>a</w:t>
      </w:r>
      <w:r>
        <w:tab/>
        <w:t xml:space="preserve">22.5mg x 91.3 days x 88.02% patients received leuprorelin, </w:t>
      </w:r>
    </w:p>
    <w:p w14:paraId="69E0FBF2" w14:textId="77777777" w:rsidR="00ED509D" w:rsidRDefault="00ED509D" w:rsidP="00ED509D">
      <w:pPr>
        <w:pStyle w:val="FooterTableFigure"/>
        <w:ind w:left="142" w:hanging="142"/>
      </w:pPr>
      <w:r>
        <w:t>b</w:t>
      </w:r>
      <w:r>
        <w:tab/>
        <w:t xml:space="preserve">((240mg loading dose)+80mg maintenance dose) x 30.4 days x 11.65% patients received degarelix) </w:t>
      </w:r>
    </w:p>
    <w:p w14:paraId="772E71D7" w14:textId="77777777" w:rsidR="00ED509D" w:rsidRDefault="00ED509D" w:rsidP="00ED509D">
      <w:pPr>
        <w:pStyle w:val="FooterTableFigure"/>
        <w:ind w:left="142" w:hanging="142"/>
      </w:pPr>
      <w:r>
        <w:t>c</w:t>
      </w:r>
      <w:r>
        <w:tab/>
        <w:t xml:space="preserve">ADT model cost includes administration cost and cost of orchiectomy for 0.34% patients. </w:t>
      </w:r>
    </w:p>
    <w:p w14:paraId="4BD239C5" w14:textId="29A2406F" w:rsidR="00ED509D" w:rsidRDefault="00ED509D" w:rsidP="00ED509D">
      <w:pPr>
        <w:pStyle w:val="FooterTableFigure"/>
        <w:ind w:left="142" w:hanging="142"/>
      </w:pPr>
      <w:r>
        <w:t>d</w:t>
      </w:r>
      <w:r>
        <w:tab/>
        <w:t>Month 2 onwards. Month 1 ADT cost $</w:t>
      </w:r>
      <w:r w:rsidR="00E639BD" w:rsidRPr="00E639BD">
        <w:rPr>
          <w:color w:val="000000"/>
          <w:spacing w:val="40"/>
          <w:shd w:val="solid" w:color="000000" w:fill="000000"/>
          <w:fitText w:val="280" w:id="-761098993"/>
          <w14:textFill>
            <w14:solidFill>
              <w14:srgbClr w14:val="000000">
                <w14:alpha w14:val="100000"/>
              </w14:srgbClr>
            </w14:solidFill>
          </w14:textFill>
        </w:rPr>
        <w:t xml:space="preserve">|  </w:t>
      </w:r>
      <w:r w:rsidR="00E639BD" w:rsidRPr="00E639BD">
        <w:rPr>
          <w:color w:val="000000"/>
          <w:spacing w:val="2"/>
          <w:shd w:val="solid" w:color="000000" w:fill="000000"/>
          <w:fitText w:val="280" w:id="-761098993"/>
          <w14:textFill>
            <w14:solidFill>
              <w14:srgbClr w14:val="000000">
                <w14:alpha w14:val="100000"/>
              </w14:srgbClr>
            </w14:solidFill>
          </w14:textFill>
        </w:rPr>
        <w:t>|</w:t>
      </w:r>
    </w:p>
    <w:p w14:paraId="5AFF0D5C" w14:textId="10359D7E" w:rsidR="00ED509D" w:rsidRDefault="00ED509D" w:rsidP="00ED509D">
      <w:pPr>
        <w:pStyle w:val="FooterTableFigure"/>
        <w:ind w:left="142" w:hanging="142"/>
      </w:pPr>
      <w:r>
        <w:t>e</w:t>
      </w:r>
      <w:r>
        <w:tab/>
        <w:t>ENZA: $</w:t>
      </w:r>
      <w:r w:rsidR="00E639BD" w:rsidRPr="00E639BD">
        <w:rPr>
          <w:color w:val="000000"/>
          <w:spacing w:val="40"/>
          <w:shd w:val="solid" w:color="000000" w:fill="000000"/>
          <w:fitText w:val="280" w:id="-761098992"/>
          <w14:textFill>
            <w14:solidFill>
              <w14:srgbClr w14:val="000000">
                <w14:alpha w14:val="100000"/>
              </w14:srgbClr>
            </w14:solidFill>
          </w14:textFill>
        </w:rPr>
        <w:t xml:space="preserve">|  </w:t>
      </w:r>
      <w:r w:rsidR="00E639BD" w:rsidRPr="00E639BD">
        <w:rPr>
          <w:color w:val="000000"/>
          <w:spacing w:val="2"/>
          <w:shd w:val="solid" w:color="000000" w:fill="000000"/>
          <w:fitText w:val="280" w:id="-761098992"/>
          <w14:textFill>
            <w14:solidFill>
              <w14:srgbClr w14:val="000000">
                <w14:alpha w14:val="100000"/>
              </w14:srgbClr>
            </w14:solidFill>
          </w14:textFill>
        </w:rPr>
        <w:t>|</w:t>
      </w:r>
      <w:r>
        <w:t xml:space="preserve"> + ADT: $</w:t>
      </w:r>
      <w:r w:rsidR="00E639BD" w:rsidRPr="00E639BD">
        <w:rPr>
          <w:color w:val="000000"/>
          <w:spacing w:val="40"/>
          <w:shd w:val="solid" w:color="000000" w:fill="000000"/>
          <w:fitText w:val="280" w:id="-761099008"/>
          <w14:textFill>
            <w14:solidFill>
              <w14:srgbClr w14:val="000000">
                <w14:alpha w14:val="100000"/>
              </w14:srgbClr>
            </w14:solidFill>
          </w14:textFill>
        </w:rPr>
        <w:t xml:space="preserve">|  </w:t>
      </w:r>
      <w:r w:rsidR="00E639BD" w:rsidRPr="00E639BD">
        <w:rPr>
          <w:color w:val="000000"/>
          <w:spacing w:val="2"/>
          <w:shd w:val="solid" w:color="000000" w:fill="000000"/>
          <w:fitText w:val="280" w:id="-761099008"/>
          <w14:textFill>
            <w14:solidFill>
              <w14:srgbClr w14:val="000000">
                <w14:alpha w14:val="100000"/>
              </w14:srgbClr>
            </w14:solidFill>
          </w14:textFill>
        </w:rPr>
        <w:t>|</w:t>
      </w:r>
      <w:r>
        <w:t xml:space="preserve"> (month1), $</w:t>
      </w:r>
      <w:r w:rsidR="00E639BD" w:rsidRPr="00E639BD">
        <w:rPr>
          <w:color w:val="000000"/>
          <w:spacing w:val="40"/>
          <w:shd w:val="solid" w:color="000000" w:fill="000000"/>
          <w:fitText w:val="280" w:id="-761099007"/>
          <w14:textFill>
            <w14:solidFill>
              <w14:srgbClr w14:val="000000">
                <w14:alpha w14:val="100000"/>
              </w14:srgbClr>
            </w14:solidFill>
          </w14:textFill>
        </w:rPr>
        <w:t xml:space="preserve">|  </w:t>
      </w:r>
      <w:r w:rsidR="00E639BD" w:rsidRPr="00E639BD">
        <w:rPr>
          <w:color w:val="000000"/>
          <w:spacing w:val="2"/>
          <w:shd w:val="solid" w:color="000000" w:fill="000000"/>
          <w:fitText w:val="280" w:id="-761099007"/>
          <w14:textFill>
            <w14:solidFill>
              <w14:srgbClr w14:val="000000">
                <w14:alpha w14:val="100000"/>
              </w14:srgbClr>
            </w14:solidFill>
          </w14:textFill>
        </w:rPr>
        <w:t>|</w:t>
      </w:r>
      <w:r>
        <w:t xml:space="preserve"> (month 2+)</w:t>
      </w:r>
    </w:p>
    <w:p w14:paraId="05B0779D" w14:textId="25EDE6F3" w:rsidR="00ED509D" w:rsidRPr="008301A1" w:rsidRDefault="00ED509D" w:rsidP="00ED509D">
      <w:pPr>
        <w:pStyle w:val="FooterTableFigure"/>
        <w:ind w:left="142" w:hanging="142"/>
      </w:pPr>
      <w:r w:rsidRPr="008301A1">
        <w:t>f</w:t>
      </w:r>
      <w:r w:rsidRPr="008301A1">
        <w:tab/>
        <w:t>ENZA $</w:t>
      </w:r>
      <w:r w:rsidR="00E639BD" w:rsidRPr="00E639BD">
        <w:rPr>
          <w:color w:val="000000"/>
          <w:spacing w:val="40"/>
          <w:shd w:val="solid" w:color="000000" w:fill="000000"/>
          <w:fitText w:val="280" w:id="-761099006"/>
          <w14:textFill>
            <w14:solidFill>
              <w14:srgbClr w14:val="000000">
                <w14:alpha w14:val="100000"/>
              </w14:srgbClr>
            </w14:solidFill>
          </w14:textFill>
        </w:rPr>
        <w:t xml:space="preserve">|  </w:t>
      </w:r>
      <w:r w:rsidR="00E639BD" w:rsidRPr="00E639BD">
        <w:rPr>
          <w:color w:val="000000"/>
          <w:spacing w:val="2"/>
          <w:shd w:val="solid" w:color="000000" w:fill="000000"/>
          <w:fitText w:val="280" w:id="-761099006"/>
          <w14:textFill>
            <w14:solidFill>
              <w14:srgbClr w14:val="000000">
                <w14:alpha w14:val="100000"/>
              </w14:srgbClr>
            </w14:solidFill>
          </w14:textFill>
        </w:rPr>
        <w:t>|</w:t>
      </w:r>
      <w:r w:rsidRPr="008301A1">
        <w:t>2 + ADT: $</w:t>
      </w:r>
      <w:r w:rsidR="00E639BD" w:rsidRPr="00E639BD">
        <w:rPr>
          <w:color w:val="000000"/>
          <w:spacing w:val="40"/>
          <w:shd w:val="solid" w:color="000000" w:fill="000000"/>
          <w:fitText w:val="280" w:id="-761099005"/>
          <w14:textFill>
            <w14:solidFill>
              <w14:srgbClr w14:val="000000">
                <w14:alpha w14:val="100000"/>
              </w14:srgbClr>
            </w14:solidFill>
          </w14:textFill>
        </w:rPr>
        <w:t xml:space="preserve">|  </w:t>
      </w:r>
      <w:r w:rsidR="00E639BD" w:rsidRPr="00E639BD">
        <w:rPr>
          <w:color w:val="000000"/>
          <w:spacing w:val="2"/>
          <w:shd w:val="solid" w:color="000000" w:fill="000000"/>
          <w:fitText w:val="280" w:id="-761099005"/>
          <w14:textFill>
            <w14:solidFill>
              <w14:srgbClr w14:val="000000">
                <w14:alpha w14:val="100000"/>
              </w14:srgbClr>
            </w14:solidFill>
          </w14:textFill>
        </w:rPr>
        <w:t>|</w:t>
      </w:r>
    </w:p>
    <w:p w14:paraId="5DE978CE" w14:textId="5298DEDE" w:rsidR="00ED509D" w:rsidRPr="008301A1" w:rsidRDefault="00ED509D" w:rsidP="00ED509D">
      <w:pPr>
        <w:pStyle w:val="FooterTableFigure"/>
        <w:ind w:left="142" w:hanging="142"/>
      </w:pPr>
      <w:r w:rsidRPr="008301A1">
        <w:t>g</w:t>
      </w:r>
      <w:r w:rsidRPr="008301A1">
        <w:tab/>
        <w:t>ENZA: $</w:t>
      </w:r>
      <w:r w:rsidR="00E639BD" w:rsidRPr="00E639BD">
        <w:rPr>
          <w:color w:val="000000"/>
          <w:spacing w:val="40"/>
          <w:shd w:val="solid" w:color="000000" w:fill="000000"/>
          <w:fitText w:val="280" w:id="-761099004"/>
          <w14:textFill>
            <w14:solidFill>
              <w14:srgbClr w14:val="000000">
                <w14:alpha w14:val="100000"/>
              </w14:srgbClr>
            </w14:solidFill>
          </w14:textFill>
        </w:rPr>
        <w:t xml:space="preserve">|  </w:t>
      </w:r>
      <w:r w:rsidR="00E639BD" w:rsidRPr="00E639BD">
        <w:rPr>
          <w:color w:val="000000"/>
          <w:spacing w:val="2"/>
          <w:shd w:val="solid" w:color="000000" w:fill="000000"/>
          <w:fitText w:val="280" w:id="-761099004"/>
          <w14:textFill>
            <w14:solidFill>
              <w14:srgbClr w14:val="000000">
                <w14:alpha w14:val="100000"/>
              </w14:srgbClr>
            </w14:solidFill>
          </w14:textFill>
        </w:rPr>
        <w:t>|</w:t>
      </w:r>
      <w:r w:rsidRPr="008301A1">
        <w:t>, ADT: $</w:t>
      </w:r>
      <w:r w:rsidR="00E639BD" w:rsidRPr="00B9485F">
        <w:rPr>
          <w:color w:val="000000"/>
          <w:spacing w:val="40"/>
          <w:shd w:val="solid" w:color="000000" w:fill="000000"/>
          <w:fitText w:val="280" w:id="-761099003"/>
          <w14:textFill>
            <w14:solidFill>
              <w14:srgbClr w14:val="000000">
                <w14:alpha w14:val="100000"/>
              </w14:srgbClr>
            </w14:solidFill>
          </w14:textFill>
        </w:rPr>
        <w:t xml:space="preserve">|  </w:t>
      </w:r>
      <w:r w:rsidR="00E639BD" w:rsidRPr="00B9485F">
        <w:rPr>
          <w:color w:val="000000"/>
          <w:spacing w:val="2"/>
          <w:shd w:val="solid" w:color="000000" w:fill="000000"/>
          <w:fitText w:val="280" w:id="-761099003"/>
          <w14:textFill>
            <w14:solidFill>
              <w14:srgbClr w14:val="000000">
                <w14:alpha w14:val="100000"/>
              </w14:srgbClr>
            </w14:solidFill>
          </w14:textFill>
        </w:rPr>
        <w:t>|</w:t>
      </w:r>
    </w:p>
    <w:p w14:paraId="60CC6E92" w14:textId="77777777" w:rsidR="00ED509D" w:rsidRPr="0098262F" w:rsidRDefault="00ED509D" w:rsidP="00ED509D">
      <w:pPr>
        <w:pStyle w:val="FooterTableFigure"/>
        <w:ind w:left="142" w:hanging="142"/>
      </w:pPr>
      <w:r>
        <w:t>h</w:t>
      </w:r>
      <w:r>
        <w:tab/>
        <w:t xml:space="preserve">Mean duration from financial estimates as implemented. Mean duration in submission (excluding treatment suspension) was 28.5 months (average 52.5 months with treatment suspension minus average 23.9 months of treatment suspension weighted according to patient numbers in EMBARK). </w:t>
      </w:r>
    </w:p>
    <w:p w14:paraId="1DBABAEC" w14:textId="61921D05" w:rsidR="00ED509D" w:rsidRPr="00B63CD0" w:rsidRDefault="00ED509D" w:rsidP="00ED509D">
      <w:pPr>
        <w:pStyle w:val="3-BodyText"/>
        <w:numPr>
          <w:ilvl w:val="1"/>
          <w:numId w:val="1"/>
        </w:numPr>
      </w:pPr>
      <w:bookmarkStart w:id="58" w:name="_Hlk107307804"/>
      <w:r w:rsidRPr="00B63CD0">
        <w:t xml:space="preserve">The estimated treatment costs in the submission differed between the </w:t>
      </w:r>
      <w:r w:rsidR="000552E4" w:rsidRPr="00B63CD0">
        <w:t xml:space="preserve">economic evaluation </w:t>
      </w:r>
      <w:r w:rsidRPr="00B63CD0">
        <w:t>and financial estimates in two ways. First, the economic analysis and financial estimates assumed 100% compliance for enzalutamide (i.e., mean dose 160</w:t>
      </w:r>
      <w:r w:rsidR="00D20B2D" w:rsidRPr="00B63CD0">
        <w:t> </w:t>
      </w:r>
      <w:r w:rsidRPr="00B63CD0">
        <w:t>mg per day), whereas the trial observed a mean dose of 147</w:t>
      </w:r>
      <w:r w:rsidR="00D20B2D" w:rsidRPr="00B63CD0">
        <w:t> </w:t>
      </w:r>
      <w:r w:rsidRPr="00B63CD0">
        <w:t>mg per day in the enzalutamide plus ADT arm and 146</w:t>
      </w:r>
      <w:r w:rsidR="00D20B2D" w:rsidRPr="00B63CD0">
        <w:t> </w:t>
      </w:r>
      <w:r w:rsidRPr="00B63CD0">
        <w:t>mg per day in the enzalutamide monotherapy arm. Second, the treatment duration in the financial estimates was significantly less than treatment durations observed in EMBARK, which was not justified by the submission. In comparison, the treatment durations in the economic analysis were significantly longer than the treatment durations in EMBARK, which was reasonable as the economic analysis estimated</w:t>
      </w:r>
      <w:r w:rsidR="00D20B2D" w:rsidRPr="00B63CD0">
        <w:t xml:space="preserve"> the</w:t>
      </w:r>
      <w:r w:rsidRPr="00B63CD0">
        <w:t xml:space="preserve"> total time on treatment for the proportion of patients yet to discontinue treatment. As a result of the different treatment durations, the estimated total costs per patient differed greatly between the economic analysis and the financial estimates, though costs of enzalutamide per month and per year were the same.</w:t>
      </w:r>
    </w:p>
    <w:p w14:paraId="5B5CC941" w14:textId="77777777" w:rsidR="00ED509D" w:rsidRPr="0098262F" w:rsidRDefault="00ED509D" w:rsidP="00ED509D">
      <w:pPr>
        <w:pStyle w:val="4-SubsectionHeading"/>
      </w:pPr>
      <w:bookmarkStart w:id="59" w:name="_Toc176779515"/>
      <w:bookmarkStart w:id="60" w:name="_Toc177371551"/>
      <w:bookmarkStart w:id="61" w:name="_Toc22897648"/>
      <w:bookmarkEnd w:id="55"/>
      <w:bookmarkEnd w:id="58"/>
      <w:r w:rsidRPr="0098262F">
        <w:lastRenderedPageBreak/>
        <w:t>Estimated PBS usage &amp; financial implications</w:t>
      </w:r>
      <w:bookmarkEnd w:id="59"/>
      <w:bookmarkEnd w:id="60"/>
    </w:p>
    <w:p w14:paraId="0EB70A7E" w14:textId="61D0B657" w:rsidR="00E16BBF" w:rsidRPr="00E16BBF" w:rsidRDefault="00E16BBF" w:rsidP="00E16BBF">
      <w:pPr>
        <w:pStyle w:val="3-BodyText"/>
        <w:numPr>
          <w:ilvl w:val="1"/>
          <w:numId w:val="1"/>
        </w:numPr>
      </w:pPr>
      <w:bookmarkStart w:id="62" w:name="_Toc177371552"/>
      <w:r w:rsidRPr="00E16BBF">
        <w:t xml:space="preserve">This submission was considered by DUSC. The submission adopted an epidemiological approach to estimate the financial implications of the requested enzalutamide listing (see </w:t>
      </w:r>
      <w:r w:rsidRPr="00E16BBF">
        <w:fldChar w:fldCharType="begin" w:fldLock="1"/>
      </w:r>
      <w:r w:rsidRPr="00E16BBF">
        <w:instrText xml:space="preserve"> REF _Ref104805262 \h  \* MERGEFORMAT </w:instrText>
      </w:r>
      <w:r w:rsidRPr="00E16BBF">
        <w:fldChar w:fldCharType="separate"/>
      </w:r>
      <w:r w:rsidRPr="00E16BBF">
        <w:t>Table 15</w:t>
      </w:r>
      <w:r w:rsidRPr="00E16BBF">
        <w:fldChar w:fldCharType="end"/>
      </w:r>
      <w:r w:rsidRPr="00E16BBF">
        <w:t>). The financial estimates differed from the economic analysis in the following ways:</w:t>
      </w:r>
    </w:p>
    <w:p w14:paraId="1F1A450A" w14:textId="676AEC06" w:rsidR="00E16BBF" w:rsidRPr="00E16BBF" w:rsidRDefault="00E16BBF" w:rsidP="00E16BBF">
      <w:pPr>
        <w:pStyle w:val="3-BodyText"/>
        <w:numPr>
          <w:ilvl w:val="0"/>
          <w:numId w:val="8"/>
        </w:numPr>
        <w:ind w:left="993" w:hanging="284"/>
      </w:pPr>
      <w:r w:rsidRPr="00E16BBF">
        <w:t>No separate analyses for enzalutamide plus ADT and enzalutamide monotherapy, including no ADT cost offsets for enzalutamide monotherapy. This resulted in the financial estimates assuming 100% patients received enzalutamide plus ADT, although time on enzalutamide was estimated using both enzalutamide plus ADT and enzalutamide monotherapy data from EMABRK (described further below).</w:t>
      </w:r>
      <w:r w:rsidR="00DF24EF">
        <w:t xml:space="preserve"> The PSCR states that no ADT cost offsets would be expected for patients receiving enzalutamide monotherapy.</w:t>
      </w:r>
    </w:p>
    <w:p w14:paraId="4DD74C20" w14:textId="77777777" w:rsidR="00E16BBF" w:rsidRPr="00E16BBF" w:rsidRDefault="00E16BBF" w:rsidP="00E16BBF">
      <w:pPr>
        <w:pStyle w:val="3-BodyText"/>
        <w:numPr>
          <w:ilvl w:val="0"/>
          <w:numId w:val="8"/>
        </w:numPr>
        <w:ind w:left="993" w:hanging="284"/>
      </w:pPr>
      <w:r w:rsidRPr="00E16BBF">
        <w:t>Use of weighted mean treatment duration including time in treatment suspension from EMBARK (4.3 years for enzalutamide plus ADT, 4.4 years for enzalutamide monotherapy) rather than modelled mean treatment duration excluding time in treatment suspension (6.1 years for enzalutamide plus ADT, 6.99 years for enzalutamide monotherapy) which accounted for the fact that not all patients had yet concluded treatment in EMBARK. The financial estimates also weighted treatment duration by the proportion of patients in each arm of EMBARK (49.9% enzalutamide monotherapy, 50.1% enzalutamide plus ADT), which is unlikely to be representative of patients in practice.</w:t>
      </w:r>
    </w:p>
    <w:p w14:paraId="21D41B75" w14:textId="6ECC40D8" w:rsidR="00740830" w:rsidRDefault="00E16BBF" w:rsidP="00740830">
      <w:pPr>
        <w:pStyle w:val="3-BodyText"/>
        <w:numPr>
          <w:ilvl w:val="0"/>
          <w:numId w:val="8"/>
        </w:numPr>
        <w:ind w:left="993" w:hanging="284"/>
      </w:pPr>
      <w:r w:rsidRPr="00E16BBF">
        <w:t>Approach to modelling treatment suspension. The economic model assumed a proportion of patients (90.9% enzalutamide plus ADT arm, 85.9% enzalutamide monotherapy arm) suspended treatment from Month 9 (0.75 years), with 68.3% patients resuming treatment at Month 39 (3.25 years) in the enzalutamide plus ADT arm, 76.3% patients resuming treatment at Month 27 (2.25 years) in the enzalutamide monotherapy arm. Patients who did not suspend treatment could discontinue treatment in line with patients in EMBARK. The financial analysis assumed that all patients discontinued treatment at Week 37 (0.71 years) and then 29% of those who initiated received treatment in Year 4 and 37% received treatment in Year 5.</w:t>
      </w:r>
      <w:r w:rsidR="00DF24EF">
        <w:t xml:space="preserve"> The PSCR stated that the differences in approach to costing the subsequent treatments between the economic model and the financial estimates would have minimal impact on the financial estimates.</w:t>
      </w:r>
    </w:p>
    <w:p w14:paraId="5CD1DAB0" w14:textId="666D8EDC" w:rsidR="00740830" w:rsidRPr="00740830" w:rsidRDefault="00E16BBF" w:rsidP="00740830">
      <w:pPr>
        <w:pStyle w:val="3-BodyText"/>
        <w:numPr>
          <w:ilvl w:val="0"/>
          <w:numId w:val="8"/>
        </w:numPr>
        <w:ind w:left="993" w:hanging="284"/>
      </w:pPr>
      <w:r w:rsidRPr="00E16BBF">
        <w:t xml:space="preserve">The cost-offsets in the financial estimates included downstream treatment in mHSPC and m0CRPC with apalutamide, darolutamide, enzalutamide, docetaxel, and prednisone, whereas the economic analysis also included abiraterone. </w:t>
      </w:r>
      <w:r w:rsidR="00740830" w:rsidRPr="00740830">
        <w:t>The PSCR stated that ab</w:t>
      </w:r>
      <w:r w:rsidR="00740830" w:rsidRPr="00740830">
        <w:rPr>
          <w:rFonts w:cstheme="minorHAnsi"/>
        </w:rPr>
        <w:t xml:space="preserve">iraterone is only PBS listed for mCRPC. The economic model estimates that 3.5% of patients would have progressed to mCRPC by 6 years. As such, the PSCR states that the inclusion of abiraterone has a marginal impact on the analysis. </w:t>
      </w:r>
      <w:r w:rsidRPr="00740830">
        <w:t>Further</w:t>
      </w:r>
      <w:r w:rsidRPr="00E16BBF">
        <w:t xml:space="preserve">, financial estimates assumed all patients (100%) who discontinued enzalutamide would be avoiding treatment with NHA. Instead, they would receive </w:t>
      </w:r>
      <w:r w:rsidRPr="00E16BBF">
        <w:lastRenderedPageBreak/>
        <w:t xml:space="preserve">docetaxel plus prednisone, whereas only 33.5% of patients in mHSPC and m0CRPC in the ADT alone arm of economic analysis received treatment with NHA and 6.4% more patients in the enzalutamide arms of the model received docetaxel than the ADT alone arm (patients in the ADT arm could receive docetaxel in combination with ADT with or without darolutamide) in mHSPC and m0CRPC health states. The cost of subsequent NHA use was assumed to be equal to the AEMP of enzalutamide, whereas the cost-effectiveness analysis assumed a </w:t>
      </w:r>
      <w:r w:rsidR="008F5BC3" w:rsidRPr="00B0524F">
        <w:rPr>
          <w:color w:val="000000"/>
          <w:w w:val="15"/>
          <w:shd w:val="solid" w:color="000000" w:fill="000000"/>
          <w:fitText w:val="-20" w:id="-756765950"/>
          <w14:textFill>
            <w14:solidFill>
              <w14:srgbClr w14:val="000000">
                <w14:alpha w14:val="100000"/>
              </w14:srgbClr>
            </w14:solidFill>
          </w14:textFill>
        </w:rPr>
        <w:t xml:space="preserve">|  </w:t>
      </w:r>
      <w:r w:rsidR="008F5BC3" w:rsidRPr="00B0524F">
        <w:rPr>
          <w:color w:val="000000"/>
          <w:spacing w:val="-69"/>
          <w:w w:val="15"/>
          <w:shd w:val="solid" w:color="000000" w:fill="000000"/>
          <w:fitText w:val="-20" w:id="-756765950"/>
          <w14:textFill>
            <w14:solidFill>
              <w14:srgbClr w14:val="000000">
                <w14:alpha w14:val="100000"/>
              </w14:srgbClr>
            </w14:solidFill>
          </w14:textFill>
        </w:rPr>
        <w:t>|</w:t>
      </w:r>
      <w:r w:rsidRPr="00E16BBF">
        <w:t>% discount to published rates. As such, both unit costs and the percentage of NHA use were higher in the financial estimates than in the economic analysis, and therefore, a larger cost-offset was assumed.</w:t>
      </w:r>
      <w:r w:rsidR="00740830">
        <w:t xml:space="preserve"> </w:t>
      </w:r>
      <w:r w:rsidR="00740830" w:rsidRPr="00740830">
        <w:rPr>
          <w:rFonts w:cstheme="minorHAnsi"/>
        </w:rPr>
        <w:t xml:space="preserve">The PSCR acknowledged that the financial impact should be consistent with the economic model and that a </w:t>
      </w:r>
      <w:r w:rsidR="008F5BC3" w:rsidRPr="00B0524F">
        <w:rPr>
          <w:rFonts w:cstheme="minorHAnsi"/>
          <w:color w:val="000000"/>
          <w:w w:val="15"/>
          <w:shd w:val="solid" w:color="000000" w:fill="000000"/>
          <w:fitText w:val="-20" w:id="-756765949"/>
          <w14:textFill>
            <w14:solidFill>
              <w14:srgbClr w14:val="000000">
                <w14:alpha w14:val="100000"/>
              </w14:srgbClr>
            </w14:solidFill>
          </w14:textFill>
        </w:rPr>
        <w:t xml:space="preserve">|  </w:t>
      </w:r>
      <w:r w:rsidR="008F5BC3" w:rsidRPr="00B0524F">
        <w:rPr>
          <w:rFonts w:cstheme="minorHAnsi"/>
          <w:color w:val="000000"/>
          <w:spacing w:val="-69"/>
          <w:w w:val="15"/>
          <w:shd w:val="solid" w:color="000000" w:fill="000000"/>
          <w:fitText w:val="-20" w:id="-756765949"/>
          <w14:textFill>
            <w14:solidFill>
              <w14:srgbClr w14:val="000000">
                <w14:alpha w14:val="100000"/>
              </w14:srgbClr>
            </w14:solidFill>
          </w14:textFill>
        </w:rPr>
        <w:t>|</w:t>
      </w:r>
      <w:r w:rsidR="00740830" w:rsidRPr="00740830">
        <w:rPr>
          <w:rFonts w:cstheme="minorHAnsi"/>
        </w:rPr>
        <w:t>% discount rate should be applied.</w:t>
      </w:r>
      <w:r w:rsidR="00740830">
        <w:rPr>
          <w:rFonts w:cstheme="minorHAnsi"/>
        </w:rPr>
        <w:t xml:space="preserve"> Overall, the DUSC considered that there would be limited cost-offsets as the average treatment duration of enzalutamide in m0HSPC was 4.3 years and as enzalutamide would be replaced with docetaxel or cabazitaxel.</w:t>
      </w:r>
      <w:r w:rsidR="00DF24EF">
        <w:rPr>
          <w:rFonts w:cstheme="minorHAnsi"/>
        </w:rPr>
        <w:t xml:space="preserve"> The pre-PBAC response noted that if the mean treatment is applied as per the economic model, then offsets would be observed earlier compared with Year 4 in the base case, and may be underestimated.</w:t>
      </w:r>
    </w:p>
    <w:p w14:paraId="5C90F5D7" w14:textId="740552A8" w:rsidR="00E16BBF" w:rsidRPr="00E16BBF" w:rsidRDefault="00E16BBF" w:rsidP="00E16BBF">
      <w:pPr>
        <w:pStyle w:val="3-BodyText"/>
        <w:numPr>
          <w:ilvl w:val="0"/>
          <w:numId w:val="8"/>
        </w:numPr>
        <w:ind w:left="993" w:hanging="284"/>
      </w:pPr>
      <w:r w:rsidRPr="00E16BBF">
        <w:t>No adverse events or treatment administration or monitoring costs were included in the financial analysis.</w:t>
      </w:r>
      <w:r w:rsidR="00DF24EF">
        <w:t xml:space="preserve"> </w:t>
      </w:r>
    </w:p>
    <w:p w14:paraId="4034320A" w14:textId="7C4BE1A0" w:rsidR="00E16BBF" w:rsidRPr="0098262F" w:rsidRDefault="00E16BBF" w:rsidP="007017BA">
      <w:pPr>
        <w:pStyle w:val="Caption"/>
        <w:keepNext w:val="0"/>
        <w:rPr>
          <w:rStyle w:val="CommentReference"/>
          <w:b/>
          <w:szCs w:val="24"/>
        </w:rPr>
      </w:pPr>
      <w:bookmarkStart w:id="63" w:name="_Ref104805262"/>
      <w:r w:rsidRPr="0098262F">
        <w:t xml:space="preserve">Table </w:t>
      </w:r>
      <w:r>
        <w:fldChar w:fldCharType="begin" w:fldLock="1"/>
      </w:r>
      <w:r>
        <w:instrText xml:space="preserve"> SEQ Table \* ARABIC </w:instrText>
      </w:r>
      <w:r>
        <w:fldChar w:fldCharType="separate"/>
      </w:r>
      <w:r w:rsidR="00DF24EF">
        <w:rPr>
          <w:noProof/>
        </w:rPr>
        <w:t>15</w:t>
      </w:r>
      <w:r>
        <w:rPr>
          <w:noProof/>
        </w:rPr>
        <w:fldChar w:fldCharType="end"/>
      </w:r>
      <w:bookmarkEnd w:id="63"/>
      <w:r w:rsidRPr="0098262F">
        <w:t>:</w:t>
      </w:r>
      <w:r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inputs for financial estimates"/>
      </w:tblPr>
      <w:tblGrid>
        <w:gridCol w:w="1272"/>
        <w:gridCol w:w="3401"/>
        <w:gridCol w:w="4344"/>
      </w:tblGrid>
      <w:tr w:rsidR="00E16BBF" w:rsidRPr="00E16BBF" w14:paraId="44744667" w14:textId="77777777">
        <w:trPr>
          <w:tblHeader/>
        </w:trPr>
        <w:tc>
          <w:tcPr>
            <w:tcW w:w="705" w:type="pct"/>
            <w:shd w:val="clear" w:color="auto" w:fill="auto"/>
            <w:vAlign w:val="center"/>
          </w:tcPr>
          <w:p w14:paraId="2D7089EB" w14:textId="77777777" w:rsidR="00E16BBF" w:rsidRPr="00E16BBF" w:rsidRDefault="00E16BBF" w:rsidP="007017BA">
            <w:pPr>
              <w:pStyle w:val="In-tableHeading"/>
            </w:pPr>
            <w:r w:rsidRPr="00E16BBF">
              <w:t>Parameter</w:t>
            </w:r>
          </w:p>
        </w:tc>
        <w:tc>
          <w:tcPr>
            <w:tcW w:w="1886" w:type="pct"/>
            <w:shd w:val="clear" w:color="auto" w:fill="auto"/>
            <w:vAlign w:val="center"/>
          </w:tcPr>
          <w:p w14:paraId="5167BF82" w14:textId="77777777" w:rsidR="00E16BBF" w:rsidRPr="00E16BBF" w:rsidRDefault="00E16BBF" w:rsidP="007017BA">
            <w:pPr>
              <w:pStyle w:val="In-tableHeading"/>
            </w:pPr>
            <w:r w:rsidRPr="00E16BBF">
              <w:t>Value applied and source</w:t>
            </w:r>
          </w:p>
        </w:tc>
        <w:tc>
          <w:tcPr>
            <w:tcW w:w="2409" w:type="pct"/>
            <w:shd w:val="clear" w:color="auto" w:fill="auto"/>
            <w:vAlign w:val="center"/>
          </w:tcPr>
          <w:p w14:paraId="142AAE7A" w14:textId="1EF024E3" w:rsidR="00E16BBF" w:rsidRPr="00E16BBF" w:rsidRDefault="00740830" w:rsidP="007017BA">
            <w:pPr>
              <w:pStyle w:val="In-tableHeading"/>
            </w:pPr>
            <w:r>
              <w:t>Evaluator and DUSC c</w:t>
            </w:r>
            <w:r w:rsidR="00E16BBF" w:rsidRPr="00E16BBF">
              <w:t>omment</w:t>
            </w:r>
          </w:p>
        </w:tc>
      </w:tr>
      <w:tr w:rsidR="00E16BBF" w:rsidRPr="00E16BBF" w14:paraId="76AB01FA" w14:textId="77777777">
        <w:tc>
          <w:tcPr>
            <w:tcW w:w="5000" w:type="pct"/>
            <w:gridSpan w:val="3"/>
            <w:shd w:val="clear" w:color="auto" w:fill="auto"/>
            <w:vAlign w:val="center"/>
          </w:tcPr>
          <w:p w14:paraId="3BBDAD38" w14:textId="77777777" w:rsidR="00E16BBF" w:rsidRPr="00E16BBF" w:rsidRDefault="00E16BBF" w:rsidP="007017BA">
            <w:pPr>
              <w:pStyle w:val="In-tableHeading"/>
            </w:pPr>
            <w:r w:rsidRPr="00E16BBF">
              <w:t>Eligible population</w:t>
            </w:r>
          </w:p>
        </w:tc>
      </w:tr>
      <w:tr w:rsidR="00E16BBF" w:rsidRPr="00E16BBF" w14:paraId="09F94946" w14:textId="77777777">
        <w:tc>
          <w:tcPr>
            <w:tcW w:w="705" w:type="pct"/>
            <w:shd w:val="clear" w:color="auto" w:fill="auto"/>
            <w:vAlign w:val="center"/>
          </w:tcPr>
          <w:p w14:paraId="1977BC59" w14:textId="77777777" w:rsidR="00E16BBF" w:rsidRPr="00E16BBF" w:rsidRDefault="00E16BBF" w:rsidP="007017BA">
            <w:pPr>
              <w:pStyle w:val="TableText0"/>
              <w:keepNext w:val="0"/>
              <w:keepLines w:val="0"/>
            </w:pPr>
            <w:r w:rsidRPr="00E16BBF">
              <w:t>Australian population, males 18+</w:t>
            </w:r>
          </w:p>
        </w:tc>
        <w:tc>
          <w:tcPr>
            <w:tcW w:w="1886" w:type="pct"/>
            <w:shd w:val="clear" w:color="auto" w:fill="auto"/>
            <w:vAlign w:val="center"/>
          </w:tcPr>
          <w:p w14:paraId="218164CC" w14:textId="77777777" w:rsidR="00E16BBF" w:rsidRPr="00E16BBF" w:rsidRDefault="00E16BBF" w:rsidP="007017BA">
            <w:pPr>
              <w:pStyle w:val="TableText0"/>
              <w:keepNext w:val="0"/>
              <w:keepLines w:val="0"/>
            </w:pPr>
            <w:r w:rsidRPr="00E16BBF">
              <w:t>Yr 1: 9,865,989</w:t>
            </w:r>
          </w:p>
          <w:p w14:paraId="7C049E01" w14:textId="77777777" w:rsidR="00E16BBF" w:rsidRPr="00E16BBF" w:rsidRDefault="00E16BBF" w:rsidP="007017BA">
            <w:pPr>
              <w:pStyle w:val="TableText0"/>
              <w:keepNext w:val="0"/>
              <w:keepLines w:val="0"/>
            </w:pPr>
            <w:r w:rsidRPr="00E16BBF">
              <w:t>ABS population statistics for 2020-2025</w:t>
            </w:r>
          </w:p>
        </w:tc>
        <w:tc>
          <w:tcPr>
            <w:tcW w:w="2409" w:type="pct"/>
            <w:shd w:val="clear" w:color="auto" w:fill="auto"/>
            <w:vAlign w:val="center"/>
          </w:tcPr>
          <w:p w14:paraId="582E7988" w14:textId="7B8EA97D" w:rsidR="00E16BBF" w:rsidRPr="00E16BBF" w:rsidRDefault="008476AA" w:rsidP="007017BA">
            <w:pPr>
              <w:pStyle w:val="TableText0"/>
              <w:keepNext w:val="0"/>
              <w:keepLines w:val="0"/>
            </w:pPr>
            <w:r>
              <w:t>-</w:t>
            </w:r>
          </w:p>
        </w:tc>
      </w:tr>
      <w:tr w:rsidR="00E16BBF" w:rsidRPr="00E16BBF" w14:paraId="57B92E14" w14:textId="77777777">
        <w:tc>
          <w:tcPr>
            <w:tcW w:w="705" w:type="pct"/>
            <w:shd w:val="clear" w:color="auto" w:fill="auto"/>
            <w:vAlign w:val="center"/>
          </w:tcPr>
          <w:p w14:paraId="3B7CC75D" w14:textId="77777777" w:rsidR="00E16BBF" w:rsidRPr="00E16BBF" w:rsidRDefault="00E16BBF" w:rsidP="007017BA">
            <w:pPr>
              <w:pStyle w:val="TableText0"/>
              <w:keepNext w:val="0"/>
              <w:keepLines w:val="0"/>
            </w:pPr>
            <w:r w:rsidRPr="00E16BBF">
              <w:t>Prostate cancer incidence rate</w:t>
            </w:r>
          </w:p>
        </w:tc>
        <w:tc>
          <w:tcPr>
            <w:tcW w:w="1886" w:type="pct"/>
            <w:shd w:val="clear" w:color="auto" w:fill="auto"/>
            <w:vAlign w:val="center"/>
          </w:tcPr>
          <w:p w14:paraId="3CF918D2" w14:textId="77777777" w:rsidR="00E16BBF" w:rsidRPr="00E16BBF" w:rsidRDefault="00E16BBF" w:rsidP="007017BA">
            <w:pPr>
              <w:pStyle w:val="TableText0"/>
              <w:keepNext w:val="0"/>
              <w:keepLines w:val="0"/>
            </w:pPr>
            <w:r w:rsidRPr="00E16BBF">
              <w:t>Yrs 1-6: 0.24%</w:t>
            </w:r>
          </w:p>
          <w:p w14:paraId="3B3A088E" w14:textId="77777777" w:rsidR="00E16BBF" w:rsidRPr="00E16BBF" w:rsidRDefault="00E16BBF" w:rsidP="007017BA">
            <w:pPr>
              <w:pStyle w:val="TableText0"/>
              <w:keepNext w:val="0"/>
              <w:keepLines w:val="0"/>
            </w:pPr>
            <w:r w:rsidRPr="00E16BBF">
              <w:t>Cancer Australia incidence 2022/number of 18+ males in population in 2022: 24,217/10,185,789</w:t>
            </w:r>
          </w:p>
        </w:tc>
        <w:tc>
          <w:tcPr>
            <w:tcW w:w="2409" w:type="pct"/>
            <w:shd w:val="clear" w:color="auto" w:fill="auto"/>
            <w:vAlign w:val="center"/>
          </w:tcPr>
          <w:p w14:paraId="3C670860" w14:textId="16382FC0" w:rsidR="00E16BBF" w:rsidRPr="00E16BBF" w:rsidRDefault="008476AA" w:rsidP="007017BA">
            <w:pPr>
              <w:pStyle w:val="TableText0"/>
              <w:keepNext w:val="0"/>
              <w:keepLines w:val="0"/>
            </w:pPr>
            <w:r>
              <w:t>T</w:t>
            </w:r>
            <w:r w:rsidR="00740830">
              <w:t xml:space="preserve">he </w:t>
            </w:r>
            <w:r w:rsidR="00740830" w:rsidRPr="00740830">
              <w:t>DUSC noted the prevalent population was not considered</w:t>
            </w:r>
            <w:r w:rsidR="00740830">
              <w:rPr>
                <w:i/>
                <w:iCs/>
              </w:rPr>
              <w:t>.</w:t>
            </w:r>
            <w:r w:rsidR="00DF24EF">
              <w:t xml:space="preserve"> The pre-PBAC response states that a prevalence-based approach would substantially overestimate the patient population and over complicate the utilisation estimates.</w:t>
            </w:r>
          </w:p>
        </w:tc>
      </w:tr>
      <w:tr w:rsidR="00E16BBF" w:rsidRPr="00E16BBF" w14:paraId="2C96D583" w14:textId="77777777">
        <w:tc>
          <w:tcPr>
            <w:tcW w:w="705" w:type="pct"/>
            <w:shd w:val="clear" w:color="auto" w:fill="auto"/>
            <w:vAlign w:val="center"/>
          </w:tcPr>
          <w:p w14:paraId="7629A1FC" w14:textId="77777777" w:rsidR="00E16BBF" w:rsidRPr="00E16BBF" w:rsidRDefault="00E16BBF" w:rsidP="007017BA">
            <w:pPr>
              <w:pStyle w:val="TableText0"/>
              <w:keepNext w:val="0"/>
              <w:keepLines w:val="0"/>
            </w:pPr>
            <w:r w:rsidRPr="00E16BBF">
              <w:t>Proportion m0HSPC</w:t>
            </w:r>
          </w:p>
        </w:tc>
        <w:tc>
          <w:tcPr>
            <w:tcW w:w="1886" w:type="pct"/>
            <w:shd w:val="clear" w:color="auto" w:fill="auto"/>
            <w:vAlign w:val="center"/>
          </w:tcPr>
          <w:p w14:paraId="36382FE4" w14:textId="77777777" w:rsidR="00E16BBF" w:rsidRPr="00E16BBF" w:rsidRDefault="00E16BBF" w:rsidP="007017BA">
            <w:pPr>
              <w:pStyle w:val="TableText0"/>
              <w:keepNext w:val="0"/>
              <w:keepLines w:val="0"/>
            </w:pPr>
            <w:r w:rsidRPr="00E16BBF">
              <w:t>Yrs 1-6: 95.72%</w:t>
            </w:r>
          </w:p>
          <w:p w14:paraId="249214AC" w14:textId="77777777" w:rsidR="00E16BBF" w:rsidRPr="00E16BBF" w:rsidRDefault="00E16BBF" w:rsidP="007017BA">
            <w:pPr>
              <w:pStyle w:val="TableText0"/>
              <w:keepNext w:val="0"/>
              <w:keepLines w:val="0"/>
            </w:pPr>
            <w:r w:rsidRPr="00E16BBF">
              <w:t>AIHW cancer incidence by stage at diagnosis (stage I-III) 2011: 18,677/19,513</w:t>
            </w:r>
          </w:p>
        </w:tc>
        <w:tc>
          <w:tcPr>
            <w:tcW w:w="2409" w:type="pct"/>
            <w:shd w:val="clear" w:color="auto" w:fill="auto"/>
            <w:vAlign w:val="center"/>
          </w:tcPr>
          <w:p w14:paraId="17CEF114" w14:textId="6E263246" w:rsidR="00E16BBF" w:rsidRDefault="00E16BBF" w:rsidP="007017BA">
            <w:pPr>
              <w:pStyle w:val="TableText0"/>
              <w:keepNext w:val="0"/>
              <w:keepLines w:val="0"/>
            </w:pPr>
            <w:r w:rsidRPr="00E16BBF">
              <w:t>Arithmetically correct. However, the analysis assumed 100% diagnosed m0HSPC underwent R</w:t>
            </w:r>
            <w:r w:rsidR="00C02E47">
              <w:t>P</w:t>
            </w:r>
            <w:r w:rsidRPr="00E16BBF">
              <w:t>/R</w:t>
            </w:r>
            <w:r w:rsidR="00C02E47">
              <w:t>T</w:t>
            </w:r>
            <w:r w:rsidRPr="00E16BBF">
              <w:t>. Up to 24% men who receive monitoring may never receive treatment</w:t>
            </w:r>
            <w:r w:rsidRPr="00E16BBF">
              <w:rPr>
                <w:vertAlign w:val="superscript"/>
              </w:rPr>
              <w:t>a</w:t>
            </w:r>
            <w:r w:rsidRPr="00E16BBF">
              <w:t>.</w:t>
            </w:r>
          </w:p>
          <w:p w14:paraId="132FD1F8" w14:textId="1791EB14" w:rsidR="00740830" w:rsidRPr="00740830" w:rsidRDefault="00740830" w:rsidP="007017BA">
            <w:pPr>
              <w:pStyle w:val="TableText0"/>
              <w:keepNext w:val="0"/>
            </w:pPr>
            <w:r>
              <w:t xml:space="preserve">The </w:t>
            </w:r>
            <w:r w:rsidRPr="00740830">
              <w:t xml:space="preserve">DUSC </w:t>
            </w:r>
            <w:r>
              <w:t>noted t</w:t>
            </w:r>
            <w:r w:rsidRPr="00740830">
              <w:t xml:space="preserve">hat this population </w:t>
            </w:r>
            <w:r>
              <w:t>was</w:t>
            </w:r>
            <w:r w:rsidRPr="00740830">
              <w:t xml:space="preserve"> broader than the trial population.</w:t>
            </w:r>
          </w:p>
        </w:tc>
      </w:tr>
      <w:tr w:rsidR="00E16BBF" w:rsidRPr="00E16BBF" w14:paraId="338B4899" w14:textId="77777777">
        <w:tc>
          <w:tcPr>
            <w:tcW w:w="705" w:type="pct"/>
            <w:shd w:val="clear" w:color="auto" w:fill="auto"/>
            <w:vAlign w:val="center"/>
          </w:tcPr>
          <w:p w14:paraId="3189C1D5" w14:textId="77777777" w:rsidR="00E16BBF" w:rsidRPr="00E16BBF" w:rsidRDefault="00E16BBF" w:rsidP="007017BA">
            <w:pPr>
              <w:pStyle w:val="TableText0"/>
              <w:keepNext w:val="0"/>
              <w:keepLines w:val="0"/>
            </w:pPr>
            <w:r w:rsidRPr="00E16BBF">
              <w:t>Proportion with BCR following RP/RT</w:t>
            </w:r>
          </w:p>
        </w:tc>
        <w:tc>
          <w:tcPr>
            <w:tcW w:w="1886" w:type="pct"/>
            <w:shd w:val="clear" w:color="auto" w:fill="auto"/>
            <w:vAlign w:val="center"/>
          </w:tcPr>
          <w:p w14:paraId="0CDDC78C" w14:textId="77777777" w:rsidR="00E16BBF" w:rsidRPr="00E16BBF" w:rsidRDefault="00E16BBF" w:rsidP="007017BA">
            <w:pPr>
              <w:pStyle w:val="TableText0"/>
              <w:keepNext w:val="0"/>
              <w:keepLines w:val="0"/>
            </w:pPr>
            <w:r w:rsidRPr="00E16BBF">
              <w:t>Yrs 1-6: 33.33%</w:t>
            </w:r>
          </w:p>
          <w:p w14:paraId="333CFE0F" w14:textId="77777777" w:rsidR="00E16BBF" w:rsidRPr="00E16BBF" w:rsidRDefault="00E16BBF" w:rsidP="007017BA">
            <w:pPr>
              <w:pStyle w:val="TableText0"/>
              <w:keepNext w:val="0"/>
              <w:keepLines w:val="0"/>
            </w:pPr>
            <w:r w:rsidRPr="00E16BBF">
              <w:t>Freedland 2021 referenced papers on BCR after RP</w:t>
            </w:r>
            <w:r w:rsidRPr="00E16BBF">
              <w:rPr>
                <w:vertAlign w:val="superscript"/>
              </w:rPr>
              <w:t>b</w:t>
            </w:r>
            <w:r w:rsidRPr="00E16BBF">
              <w:t xml:space="preserve"> </w:t>
            </w:r>
          </w:p>
          <w:p w14:paraId="45EB41C4" w14:textId="77777777" w:rsidR="00E16BBF" w:rsidRPr="00E16BBF" w:rsidRDefault="00E16BBF" w:rsidP="007017BA">
            <w:pPr>
              <w:pStyle w:val="TableText0"/>
              <w:keepNext w:val="0"/>
              <w:keepLines w:val="0"/>
            </w:pPr>
            <w:r w:rsidRPr="00E16BBF">
              <w:t>Average follow up of the studies ranged from 2-13 years.</w:t>
            </w:r>
          </w:p>
          <w:p w14:paraId="6D46DE82" w14:textId="77777777" w:rsidR="00E16BBF" w:rsidRPr="00E16BBF" w:rsidRDefault="00E16BBF" w:rsidP="007017BA">
            <w:pPr>
              <w:pStyle w:val="TableText0"/>
              <w:keepNext w:val="0"/>
              <w:keepLines w:val="0"/>
            </w:pPr>
            <w:r w:rsidRPr="00E16BBF">
              <w:t>5 yr BCR ranged from 16%-30%</w:t>
            </w:r>
          </w:p>
          <w:p w14:paraId="52D3070E" w14:textId="77777777" w:rsidR="00E16BBF" w:rsidRPr="00E16BBF" w:rsidRDefault="00E16BBF" w:rsidP="007017BA">
            <w:pPr>
              <w:pStyle w:val="TableText0"/>
              <w:keepNext w:val="0"/>
              <w:keepLines w:val="0"/>
            </w:pPr>
            <w:r w:rsidRPr="00E16BBF">
              <w:t>10yr BCR ranged from 23%-41%</w:t>
            </w:r>
          </w:p>
        </w:tc>
        <w:tc>
          <w:tcPr>
            <w:tcW w:w="2409" w:type="pct"/>
            <w:shd w:val="clear" w:color="auto" w:fill="auto"/>
            <w:vAlign w:val="center"/>
          </w:tcPr>
          <w:p w14:paraId="0707F64F" w14:textId="77777777" w:rsidR="00E16BBF" w:rsidRDefault="00E16BBF" w:rsidP="007017BA">
            <w:pPr>
              <w:pStyle w:val="TableText0"/>
              <w:keepNext w:val="0"/>
              <w:keepLines w:val="0"/>
            </w:pPr>
            <w:r w:rsidRPr="00E16BBF">
              <w:t>33.33% appeared to be an overestimate for 5yr BCR based on the studies Freedland 2021 referenced. Further, 21% Australian patients in Beckmann 2017</w:t>
            </w:r>
            <w:r w:rsidRPr="00E16BBF">
              <w:rPr>
                <w:vertAlign w:val="superscript"/>
              </w:rPr>
              <w:t>c</w:t>
            </w:r>
            <w:r w:rsidRPr="00E16BBF">
              <w:t xml:space="preserve"> experienced BCR following RP (median follow up&gt;6 years). No sources of BCR rates post radiotherapy was identified.</w:t>
            </w:r>
          </w:p>
          <w:p w14:paraId="4D1661B1" w14:textId="3644AF6C" w:rsidR="00740830" w:rsidRPr="00740830" w:rsidRDefault="00740830" w:rsidP="007017BA">
            <w:pPr>
              <w:pStyle w:val="TableText0"/>
              <w:keepNext w:val="0"/>
              <w:rPr>
                <w:lang w:val="en-US"/>
              </w:rPr>
            </w:pPr>
            <w:r w:rsidRPr="00740830">
              <w:rPr>
                <w:lang w:val="en-US"/>
              </w:rPr>
              <w:t>The DUSC noted that:</w:t>
            </w:r>
          </w:p>
          <w:p w14:paraId="6EAEA887" w14:textId="581857B5" w:rsidR="00740830" w:rsidRPr="00740830" w:rsidRDefault="00740830" w:rsidP="007017BA">
            <w:pPr>
              <w:pStyle w:val="TableText0"/>
              <w:keepNext w:val="0"/>
              <w:keepLines w:val="0"/>
              <w:numPr>
                <w:ilvl w:val="0"/>
                <w:numId w:val="21"/>
              </w:numPr>
              <w:ind w:left="142" w:hanging="142"/>
              <w:rPr>
                <w:lang w:val="en-US"/>
              </w:rPr>
            </w:pPr>
            <w:r w:rsidRPr="00740830">
              <w:rPr>
                <w:lang w:val="en-US"/>
              </w:rPr>
              <w:t>the 33.33% did not include a reduction for prior prostatectomy or radiotherapy.</w:t>
            </w:r>
          </w:p>
          <w:p w14:paraId="3D842C18" w14:textId="4AF52754" w:rsidR="00740830" w:rsidRPr="00740830" w:rsidRDefault="00740830" w:rsidP="007017BA">
            <w:pPr>
              <w:pStyle w:val="TableText0"/>
              <w:keepNext w:val="0"/>
              <w:keepLines w:val="0"/>
              <w:numPr>
                <w:ilvl w:val="0"/>
                <w:numId w:val="21"/>
              </w:numPr>
              <w:ind w:left="142" w:hanging="142"/>
            </w:pPr>
            <w:r w:rsidRPr="00740830">
              <w:t>the values from the source reference papers are uncertain. Further, the data is from 1990s populations.</w:t>
            </w:r>
          </w:p>
          <w:p w14:paraId="129C61AC" w14:textId="28DBBED0" w:rsidR="00740830" w:rsidRPr="00740830" w:rsidRDefault="00740830" w:rsidP="007017BA">
            <w:pPr>
              <w:pStyle w:val="TableText0"/>
              <w:keepNext w:val="0"/>
              <w:keepLines w:val="0"/>
              <w:numPr>
                <w:ilvl w:val="0"/>
                <w:numId w:val="21"/>
              </w:numPr>
              <w:ind w:left="142" w:hanging="142"/>
            </w:pPr>
            <w:r w:rsidRPr="00740830">
              <w:rPr>
                <w:lang w:val="en-US"/>
              </w:rPr>
              <w:t>the largest study, (10,000 men diagnosed between 1979-2015) suggests a 34% biochemical recurrence at 10 years.</w:t>
            </w:r>
          </w:p>
          <w:p w14:paraId="04C2783C" w14:textId="25DDE24E" w:rsidR="00740830" w:rsidRPr="00740830" w:rsidRDefault="00740830" w:rsidP="007017BA">
            <w:pPr>
              <w:pStyle w:val="TableText0"/>
              <w:keepNext w:val="0"/>
              <w:rPr>
                <w:i/>
                <w:iCs/>
                <w:lang w:val="en-US"/>
              </w:rPr>
            </w:pPr>
            <w:r w:rsidRPr="00740830">
              <w:lastRenderedPageBreak/>
              <w:t xml:space="preserve">Overall, the DUSC considered that these values were </w:t>
            </w:r>
            <w:r w:rsidR="00C02E47">
              <w:t>likely</w:t>
            </w:r>
            <w:r w:rsidRPr="00740830">
              <w:rPr>
                <w:lang w:val="en-US"/>
              </w:rPr>
              <w:t xml:space="preserve"> overestimated at 5 years but may be reasonable at 10 years.</w:t>
            </w:r>
            <w:r w:rsidRPr="002D54A4">
              <w:rPr>
                <w:i/>
                <w:iCs/>
                <w:lang w:val="en-US"/>
              </w:rPr>
              <w:t xml:space="preserve"> </w:t>
            </w:r>
          </w:p>
        </w:tc>
      </w:tr>
      <w:tr w:rsidR="00E16BBF" w:rsidRPr="00E16BBF" w14:paraId="68D1A4DD" w14:textId="77777777">
        <w:tc>
          <w:tcPr>
            <w:tcW w:w="705" w:type="pct"/>
            <w:shd w:val="clear" w:color="auto" w:fill="auto"/>
            <w:vAlign w:val="center"/>
          </w:tcPr>
          <w:p w14:paraId="016CF545" w14:textId="77777777" w:rsidR="00E16BBF" w:rsidRPr="00E16BBF" w:rsidRDefault="00E16BBF">
            <w:pPr>
              <w:pStyle w:val="TableText0"/>
              <w:keepNext w:val="0"/>
              <w:keepLines w:val="0"/>
            </w:pPr>
            <w:r w:rsidRPr="00E16BBF">
              <w:lastRenderedPageBreak/>
              <w:t>Proportion high risk BCR</w:t>
            </w:r>
          </w:p>
        </w:tc>
        <w:tc>
          <w:tcPr>
            <w:tcW w:w="1886" w:type="pct"/>
            <w:shd w:val="clear" w:color="auto" w:fill="auto"/>
            <w:vAlign w:val="center"/>
          </w:tcPr>
          <w:p w14:paraId="4C0A09D2" w14:textId="77777777" w:rsidR="00E16BBF" w:rsidRPr="00E16BBF" w:rsidRDefault="00E16BBF">
            <w:pPr>
              <w:pStyle w:val="TableText0"/>
              <w:keepNext w:val="0"/>
              <w:keepLines w:val="0"/>
            </w:pPr>
            <w:r w:rsidRPr="00E16BBF">
              <w:t>Yrs 1-6: 37.5%</w:t>
            </w:r>
          </w:p>
          <w:p w14:paraId="38278825" w14:textId="77777777" w:rsidR="00E16BBF" w:rsidRPr="00E16BBF" w:rsidRDefault="00E16BBF">
            <w:pPr>
              <w:pStyle w:val="TableText0"/>
              <w:keepNext w:val="0"/>
              <w:keepLines w:val="0"/>
            </w:pPr>
            <w:r w:rsidRPr="00E16BBF">
              <w:t>Freedland 2005 PSA doubling time &lt;9months</w:t>
            </w:r>
          </w:p>
        </w:tc>
        <w:tc>
          <w:tcPr>
            <w:tcW w:w="2409" w:type="pct"/>
            <w:shd w:val="clear" w:color="auto" w:fill="auto"/>
            <w:vAlign w:val="center"/>
          </w:tcPr>
          <w:p w14:paraId="0220D22D" w14:textId="77777777" w:rsidR="00E16BBF" w:rsidRDefault="00E16BBF">
            <w:pPr>
              <w:pStyle w:val="TableText0"/>
              <w:keepNext w:val="0"/>
              <w:keepLines w:val="0"/>
            </w:pPr>
            <w:r w:rsidRPr="00E16BBF">
              <w:t>Data from 379 patients who underwent RP at Johns Hopkins Hospital April 1982 and October 2000 so data may not be relevant.</w:t>
            </w:r>
          </w:p>
          <w:p w14:paraId="5F9EC3FD" w14:textId="32126C61" w:rsidR="00740830" w:rsidRPr="00740830" w:rsidRDefault="00740830" w:rsidP="00740830">
            <w:pPr>
              <w:pStyle w:val="TableText0"/>
            </w:pPr>
            <w:r w:rsidRPr="00740830">
              <w:t>The DUSC noted that the PSA doubling time was dependent on baseline measures and that higher baseline levels have less chance of doubling.</w:t>
            </w:r>
          </w:p>
        </w:tc>
      </w:tr>
      <w:tr w:rsidR="00E16BBF" w:rsidRPr="00E16BBF" w14:paraId="3F887843" w14:textId="77777777">
        <w:tc>
          <w:tcPr>
            <w:tcW w:w="705" w:type="pct"/>
            <w:shd w:val="clear" w:color="auto" w:fill="auto"/>
            <w:vAlign w:val="center"/>
          </w:tcPr>
          <w:p w14:paraId="4DAE97F6" w14:textId="77777777" w:rsidR="00E16BBF" w:rsidRPr="00E16BBF" w:rsidRDefault="00E16BBF">
            <w:pPr>
              <w:pStyle w:val="TableText0"/>
              <w:keepNext w:val="0"/>
              <w:keepLines w:val="0"/>
            </w:pPr>
            <w:r w:rsidRPr="00E16BBF">
              <w:t>Incident patients</w:t>
            </w:r>
          </w:p>
        </w:tc>
        <w:tc>
          <w:tcPr>
            <w:tcW w:w="1886" w:type="pct"/>
            <w:shd w:val="clear" w:color="auto" w:fill="auto"/>
            <w:vAlign w:val="center"/>
          </w:tcPr>
          <w:p w14:paraId="3E08A4DD" w14:textId="3C388C7C" w:rsidR="00E16BBF" w:rsidRPr="00E16BBF" w:rsidRDefault="00E16BBF">
            <w:pPr>
              <w:pStyle w:val="TableText0"/>
              <w:keepNext w:val="0"/>
              <w:keepLines w:val="0"/>
            </w:pPr>
            <w:r w:rsidRPr="00E16BBF">
              <w:t xml:space="preserve">Yr 1: </w:t>
            </w:r>
            <w:r w:rsidR="00E639BD" w:rsidRPr="00E639BD">
              <w:rPr>
                <w:color w:val="000000"/>
                <w:spacing w:val="49"/>
                <w:shd w:val="solid" w:color="000000" w:fill="000000"/>
                <w:fitText w:val="320" w:id="-761099002"/>
                <w14:textFill>
                  <w14:solidFill>
                    <w14:srgbClr w14:val="000000">
                      <w14:alpha w14:val="100000"/>
                    </w14:srgbClr>
                  </w14:solidFill>
                </w14:textFill>
              </w:rPr>
              <w:t>|||</w:t>
            </w:r>
            <w:r w:rsidR="00E639BD" w:rsidRPr="00E639BD">
              <w:rPr>
                <w:color w:val="000000"/>
                <w:spacing w:val="3"/>
                <w:shd w:val="solid" w:color="000000" w:fill="000000"/>
                <w:fitText w:val="320" w:id="-761099002"/>
                <w14:textFill>
                  <w14:solidFill>
                    <w14:srgbClr w14:val="000000">
                      <w14:alpha w14:val="100000"/>
                    </w14:srgbClr>
                  </w14:solidFill>
                </w14:textFill>
              </w:rPr>
              <w:t>|</w:t>
            </w:r>
            <w:r w:rsidR="00305C78" w:rsidRPr="00990398">
              <w:rPr>
                <w:vertAlign w:val="superscript"/>
              </w:rPr>
              <w:t>1</w:t>
            </w:r>
            <w:r w:rsidRPr="00E16BBF">
              <w:t xml:space="preserve"> (+</w:t>
            </w:r>
            <w:r w:rsidR="00E639BD" w:rsidRPr="00E639BD">
              <w:rPr>
                <w:color w:val="000000"/>
                <w:spacing w:val="49"/>
                <w:shd w:val="solid" w:color="000000" w:fill="000000"/>
                <w:fitText w:val="320" w:id="-761099001"/>
                <w14:textFill>
                  <w14:solidFill>
                    <w14:srgbClr w14:val="000000">
                      <w14:alpha w14:val="100000"/>
                    </w14:srgbClr>
                  </w14:solidFill>
                </w14:textFill>
              </w:rPr>
              <w:t>|||</w:t>
            </w:r>
            <w:r w:rsidR="00E639BD" w:rsidRPr="00E639BD">
              <w:rPr>
                <w:color w:val="000000"/>
                <w:spacing w:val="3"/>
                <w:shd w:val="solid" w:color="000000" w:fill="000000"/>
                <w:fitText w:val="320" w:id="-761099001"/>
                <w14:textFill>
                  <w14:solidFill>
                    <w14:srgbClr w14:val="000000">
                      <w14:alpha w14:val="100000"/>
                    </w14:srgbClr>
                  </w14:solidFill>
                </w14:textFill>
              </w:rPr>
              <w:t>|</w:t>
            </w:r>
            <w:r w:rsidR="00990398" w:rsidRPr="00990398">
              <w:rPr>
                <w:vertAlign w:val="superscript"/>
              </w:rPr>
              <w:t>1</w:t>
            </w:r>
            <w:r w:rsidRPr="00E16BBF">
              <w:t xml:space="preserve"> grandfathered), Yr 2: </w:t>
            </w:r>
            <w:r w:rsidR="00E639BD" w:rsidRPr="00E639BD">
              <w:rPr>
                <w:color w:val="000000"/>
                <w:spacing w:val="56"/>
                <w:shd w:val="solid" w:color="000000" w:fill="000000"/>
                <w:fitText w:val="340" w:id="-761099000"/>
                <w14:textFill>
                  <w14:solidFill>
                    <w14:srgbClr w14:val="000000">
                      <w14:alpha w14:val="100000"/>
                    </w14:srgbClr>
                  </w14:solidFill>
                </w14:textFill>
              </w:rPr>
              <w:t>|||</w:t>
            </w:r>
            <w:r w:rsidR="00E639BD" w:rsidRPr="00E639BD">
              <w:rPr>
                <w:color w:val="000000"/>
                <w:spacing w:val="2"/>
                <w:shd w:val="solid" w:color="000000" w:fill="000000"/>
                <w:fitText w:val="340" w:id="-761099000"/>
                <w14:textFill>
                  <w14:solidFill>
                    <w14:srgbClr w14:val="000000">
                      <w14:alpha w14:val="100000"/>
                    </w14:srgbClr>
                  </w14:solidFill>
                </w14:textFill>
              </w:rPr>
              <w:t>|</w:t>
            </w:r>
            <w:r w:rsidRPr="00E16BBF">
              <w:t>,</w:t>
            </w:r>
            <w:r w:rsidR="00990398" w:rsidRPr="00990398">
              <w:rPr>
                <w:vertAlign w:val="superscript"/>
              </w:rPr>
              <w:t xml:space="preserve"> 1</w:t>
            </w:r>
            <w:r w:rsidRPr="00E16BBF">
              <w:t xml:space="preserve"> Yr 3: </w:t>
            </w:r>
            <w:r w:rsidR="00E639BD" w:rsidRPr="00E639BD">
              <w:rPr>
                <w:color w:val="000000"/>
                <w:spacing w:val="56"/>
                <w:shd w:val="solid" w:color="000000" w:fill="000000"/>
                <w:fitText w:val="340" w:id="-761098999"/>
                <w14:textFill>
                  <w14:solidFill>
                    <w14:srgbClr w14:val="000000">
                      <w14:alpha w14:val="100000"/>
                    </w14:srgbClr>
                  </w14:solidFill>
                </w14:textFill>
              </w:rPr>
              <w:t>|||</w:t>
            </w:r>
            <w:r w:rsidR="00E639BD" w:rsidRPr="00E639BD">
              <w:rPr>
                <w:color w:val="000000"/>
                <w:spacing w:val="2"/>
                <w:shd w:val="solid" w:color="000000" w:fill="000000"/>
                <w:fitText w:val="340" w:id="-761098999"/>
                <w14:textFill>
                  <w14:solidFill>
                    <w14:srgbClr w14:val="000000">
                      <w14:alpha w14:val="100000"/>
                    </w14:srgbClr>
                  </w14:solidFill>
                </w14:textFill>
              </w:rPr>
              <w:t>|</w:t>
            </w:r>
            <w:r w:rsidR="00990398" w:rsidRPr="00990398">
              <w:rPr>
                <w:vertAlign w:val="superscript"/>
              </w:rPr>
              <w:t>1</w:t>
            </w:r>
            <w:r w:rsidRPr="00E16BBF">
              <w:t xml:space="preserve">, Yr 4: </w:t>
            </w:r>
            <w:r w:rsidR="00E639BD" w:rsidRPr="00E639BD">
              <w:rPr>
                <w:color w:val="000000"/>
                <w:spacing w:val="56"/>
                <w:shd w:val="solid" w:color="000000" w:fill="000000"/>
                <w:fitText w:val="340" w:id="-761098998"/>
                <w14:textFill>
                  <w14:solidFill>
                    <w14:srgbClr w14:val="000000">
                      <w14:alpha w14:val="100000"/>
                    </w14:srgbClr>
                  </w14:solidFill>
                </w14:textFill>
              </w:rPr>
              <w:t>|||</w:t>
            </w:r>
            <w:r w:rsidR="00E639BD" w:rsidRPr="00E639BD">
              <w:rPr>
                <w:color w:val="000000"/>
                <w:spacing w:val="2"/>
                <w:shd w:val="solid" w:color="000000" w:fill="000000"/>
                <w:fitText w:val="340" w:id="-761098998"/>
                <w14:textFill>
                  <w14:solidFill>
                    <w14:srgbClr w14:val="000000">
                      <w14:alpha w14:val="100000"/>
                    </w14:srgbClr>
                  </w14:solidFill>
                </w14:textFill>
              </w:rPr>
              <w:t>|</w:t>
            </w:r>
            <w:r w:rsidR="00990398" w:rsidRPr="00990398">
              <w:rPr>
                <w:vertAlign w:val="superscript"/>
              </w:rPr>
              <w:t>1</w:t>
            </w:r>
            <w:r w:rsidRPr="00E16BBF">
              <w:t xml:space="preserve">, Yr 5: </w:t>
            </w:r>
            <w:r w:rsidR="00E639BD" w:rsidRPr="00E639BD">
              <w:rPr>
                <w:color w:val="000000"/>
                <w:spacing w:val="49"/>
                <w:shd w:val="solid" w:color="000000" w:fill="000000"/>
                <w:fitText w:val="320" w:id="-761098997"/>
                <w14:textFill>
                  <w14:solidFill>
                    <w14:srgbClr w14:val="000000">
                      <w14:alpha w14:val="100000"/>
                    </w14:srgbClr>
                  </w14:solidFill>
                </w14:textFill>
              </w:rPr>
              <w:t>|||</w:t>
            </w:r>
            <w:r w:rsidR="00E639BD" w:rsidRPr="00E639BD">
              <w:rPr>
                <w:color w:val="000000"/>
                <w:spacing w:val="3"/>
                <w:shd w:val="solid" w:color="000000" w:fill="000000"/>
                <w:fitText w:val="320" w:id="-761098997"/>
                <w14:textFill>
                  <w14:solidFill>
                    <w14:srgbClr w14:val="000000">
                      <w14:alpha w14:val="100000"/>
                    </w14:srgbClr>
                  </w14:solidFill>
                </w14:textFill>
              </w:rPr>
              <w:t>|</w:t>
            </w:r>
            <w:r w:rsidR="00990398" w:rsidRPr="00990398">
              <w:rPr>
                <w:vertAlign w:val="superscript"/>
              </w:rPr>
              <w:t>1</w:t>
            </w:r>
            <w:r w:rsidRPr="00E16BBF">
              <w:t xml:space="preserve">, Yr 6: </w:t>
            </w:r>
            <w:r w:rsidR="00E639BD" w:rsidRPr="00E639BD">
              <w:rPr>
                <w:color w:val="000000"/>
                <w:spacing w:val="56"/>
                <w:shd w:val="solid" w:color="000000" w:fill="000000"/>
                <w:fitText w:val="340" w:id="-761098996"/>
                <w14:textFill>
                  <w14:solidFill>
                    <w14:srgbClr w14:val="000000">
                      <w14:alpha w14:val="100000"/>
                    </w14:srgbClr>
                  </w14:solidFill>
                </w14:textFill>
              </w:rPr>
              <w:t>|||</w:t>
            </w:r>
            <w:r w:rsidR="00E639BD" w:rsidRPr="00E639BD">
              <w:rPr>
                <w:color w:val="000000"/>
                <w:spacing w:val="2"/>
                <w:shd w:val="solid" w:color="000000" w:fill="000000"/>
                <w:fitText w:val="340" w:id="-761098996"/>
                <w14:textFill>
                  <w14:solidFill>
                    <w14:srgbClr w14:val="000000">
                      <w14:alpha w14:val="100000"/>
                    </w14:srgbClr>
                  </w14:solidFill>
                </w14:textFill>
              </w:rPr>
              <w:t>|</w:t>
            </w:r>
            <w:r w:rsidR="008F68D0" w:rsidRPr="00990398">
              <w:rPr>
                <w:vertAlign w:val="superscript"/>
              </w:rPr>
              <w:t>1</w:t>
            </w:r>
          </w:p>
        </w:tc>
        <w:tc>
          <w:tcPr>
            <w:tcW w:w="2409" w:type="pct"/>
            <w:shd w:val="clear" w:color="auto" w:fill="auto"/>
            <w:vAlign w:val="center"/>
          </w:tcPr>
          <w:p w14:paraId="6CA98CB9" w14:textId="5F7E7FAA" w:rsidR="00E16BBF" w:rsidRPr="00E16BBF" w:rsidRDefault="00740830" w:rsidP="008476AA">
            <w:pPr>
              <w:pStyle w:val="TableText0"/>
            </w:pPr>
            <w:r w:rsidRPr="00740830">
              <w:t xml:space="preserve">The DUSC noted that an incidence approach does not account for all people who would be eligible now due to </w:t>
            </w:r>
            <w:r>
              <w:t xml:space="preserve">the </w:t>
            </w:r>
            <w:r w:rsidRPr="00740830">
              <w:t>5</w:t>
            </w:r>
            <w:r>
              <w:t>-</w:t>
            </w:r>
            <w:r w:rsidRPr="00740830">
              <w:t>year estimate to recurrence</w:t>
            </w:r>
            <w:r w:rsidR="00DF24EF">
              <w:t xml:space="preserve">. As noted above, the DUSC considered that </w:t>
            </w:r>
            <w:r w:rsidRPr="00740830">
              <w:t>a prevalent approach should have been used, which increased the number of eligible patients by a factor of at least 5.</w:t>
            </w:r>
          </w:p>
        </w:tc>
      </w:tr>
      <w:tr w:rsidR="00E16BBF" w:rsidRPr="00E16BBF" w14:paraId="20CAA608" w14:textId="77777777">
        <w:tc>
          <w:tcPr>
            <w:tcW w:w="705" w:type="pct"/>
            <w:shd w:val="clear" w:color="auto" w:fill="auto"/>
            <w:vAlign w:val="center"/>
          </w:tcPr>
          <w:p w14:paraId="717A8145" w14:textId="77777777" w:rsidR="00E16BBF" w:rsidRPr="00E16BBF" w:rsidRDefault="00E16BBF">
            <w:pPr>
              <w:pStyle w:val="TableText0"/>
              <w:keepNext w:val="0"/>
              <w:keepLines w:val="0"/>
            </w:pPr>
            <w:r w:rsidRPr="00E16BBF">
              <w:t>Prevalent patients</w:t>
            </w:r>
          </w:p>
        </w:tc>
        <w:tc>
          <w:tcPr>
            <w:tcW w:w="1886" w:type="pct"/>
            <w:shd w:val="clear" w:color="auto" w:fill="auto"/>
            <w:vAlign w:val="center"/>
          </w:tcPr>
          <w:p w14:paraId="03BE3998" w14:textId="77777777" w:rsidR="00E16BBF" w:rsidRPr="00E16BBF" w:rsidRDefault="00E16BBF">
            <w:pPr>
              <w:pStyle w:val="TableText0"/>
              <w:keepNext w:val="0"/>
              <w:keepLines w:val="0"/>
            </w:pPr>
            <w:r w:rsidRPr="00E16BBF">
              <w:t>Yrs 1-6: 0</w:t>
            </w:r>
          </w:p>
        </w:tc>
        <w:tc>
          <w:tcPr>
            <w:tcW w:w="2409" w:type="pct"/>
            <w:shd w:val="clear" w:color="auto" w:fill="auto"/>
            <w:vAlign w:val="center"/>
          </w:tcPr>
          <w:p w14:paraId="5A976A25" w14:textId="77777777" w:rsidR="00E16BBF" w:rsidRDefault="00E16BBF">
            <w:pPr>
              <w:pStyle w:val="TableText0"/>
              <w:keepNext w:val="0"/>
              <w:keepLines w:val="0"/>
            </w:pPr>
            <w:r w:rsidRPr="00E16BBF">
              <w:t>This may not be reasonable: in Year 1 there may be a bigger prevalent pool of BCR without progression in 2025 (from people newly diagnosed prior to 2020)</w:t>
            </w:r>
            <w:r w:rsidR="00740830">
              <w:t>.</w:t>
            </w:r>
          </w:p>
          <w:p w14:paraId="33B423B5" w14:textId="5CADD2D9" w:rsidR="00740830" w:rsidRPr="00740830" w:rsidRDefault="00740830" w:rsidP="00740830">
            <w:pPr>
              <w:pStyle w:val="TableText0"/>
            </w:pPr>
            <w:r w:rsidRPr="00740830">
              <w:t xml:space="preserve">The DUSC noted that the prevalent patients were significantly underestimated as there </w:t>
            </w:r>
            <w:r>
              <w:t>wa</w:t>
            </w:r>
            <w:r w:rsidRPr="00740830">
              <w:t xml:space="preserve">s a large prevalent population that would be eligible. </w:t>
            </w:r>
          </w:p>
        </w:tc>
      </w:tr>
      <w:tr w:rsidR="00E16BBF" w:rsidRPr="00E16BBF" w14:paraId="6B4503C3" w14:textId="77777777">
        <w:tc>
          <w:tcPr>
            <w:tcW w:w="705" w:type="pct"/>
            <w:shd w:val="clear" w:color="auto" w:fill="auto"/>
            <w:vAlign w:val="center"/>
          </w:tcPr>
          <w:p w14:paraId="19503B21" w14:textId="77777777" w:rsidR="00E16BBF" w:rsidRPr="00E16BBF" w:rsidRDefault="00E16BBF">
            <w:pPr>
              <w:pStyle w:val="TableText0"/>
              <w:keepNext w:val="0"/>
              <w:keepLines w:val="0"/>
            </w:pPr>
            <w:r w:rsidRPr="00E16BBF">
              <w:t>Uptake rate</w:t>
            </w:r>
          </w:p>
        </w:tc>
        <w:tc>
          <w:tcPr>
            <w:tcW w:w="1886" w:type="pct"/>
            <w:shd w:val="clear" w:color="auto" w:fill="auto"/>
            <w:vAlign w:val="center"/>
          </w:tcPr>
          <w:p w14:paraId="35F919A3" w14:textId="77777777" w:rsidR="00E16BBF" w:rsidRPr="00E16BBF" w:rsidRDefault="00E16BBF">
            <w:pPr>
              <w:pStyle w:val="TableText0"/>
              <w:keepNext w:val="0"/>
              <w:keepLines w:val="0"/>
            </w:pPr>
            <w:r w:rsidRPr="00E16BBF">
              <w:t>Yrs 1-6: 100%</w:t>
            </w:r>
          </w:p>
        </w:tc>
        <w:tc>
          <w:tcPr>
            <w:tcW w:w="2409" w:type="pct"/>
            <w:shd w:val="clear" w:color="auto" w:fill="auto"/>
            <w:vAlign w:val="center"/>
          </w:tcPr>
          <w:p w14:paraId="305941FB" w14:textId="08D70686" w:rsidR="00E16BBF" w:rsidRPr="00E16BBF" w:rsidRDefault="00740830" w:rsidP="00740830">
            <w:pPr>
              <w:pStyle w:val="TableText0"/>
            </w:pPr>
            <w:r w:rsidRPr="00740830">
              <w:t>The DUSC considered a 100% uptake rate was overestimated, noting that the real world population was older, more frail, and would have more comorbidities. The DUSC considered that a rate of approximately 90% would be more likely</w:t>
            </w:r>
            <w:r>
              <w:rPr>
                <w:i/>
                <w:iCs/>
              </w:rPr>
              <w:t xml:space="preserve">. </w:t>
            </w:r>
          </w:p>
        </w:tc>
      </w:tr>
      <w:tr w:rsidR="00E16BBF" w:rsidRPr="00E16BBF" w14:paraId="26FED2AF" w14:textId="77777777">
        <w:tc>
          <w:tcPr>
            <w:tcW w:w="705" w:type="pct"/>
            <w:shd w:val="clear" w:color="auto" w:fill="auto"/>
            <w:vAlign w:val="center"/>
          </w:tcPr>
          <w:p w14:paraId="51AE37EA" w14:textId="77777777" w:rsidR="00E16BBF" w:rsidRPr="00E16BBF" w:rsidRDefault="00E16BBF">
            <w:pPr>
              <w:pStyle w:val="TableText0"/>
              <w:keepNext w:val="0"/>
              <w:keepLines w:val="0"/>
            </w:pPr>
            <w:r w:rsidRPr="00E16BBF">
              <w:t>Proportion of annual cohort on treatment (if starting Yr 1)</w:t>
            </w:r>
          </w:p>
        </w:tc>
        <w:tc>
          <w:tcPr>
            <w:tcW w:w="1886" w:type="pct"/>
            <w:shd w:val="clear" w:color="auto" w:fill="auto"/>
            <w:vAlign w:val="center"/>
          </w:tcPr>
          <w:p w14:paraId="23A3F163" w14:textId="77777777" w:rsidR="00E16BBF" w:rsidRPr="00E16BBF" w:rsidRDefault="00E16BBF">
            <w:pPr>
              <w:pStyle w:val="TableText0"/>
              <w:keepNext w:val="0"/>
              <w:keepLines w:val="0"/>
            </w:pPr>
            <w:r w:rsidRPr="00E16BBF">
              <w:t xml:space="preserve">Yr 1: 71%, Yr 2: 0%, Yr 3: 0%, Yr 4: 29%, Yr 5: 37%, Yr 6: 0%. </w:t>
            </w:r>
          </w:p>
          <w:p w14:paraId="63703396" w14:textId="77777777" w:rsidR="00E16BBF" w:rsidRPr="00E16BBF" w:rsidRDefault="00E16BBF">
            <w:pPr>
              <w:pStyle w:val="TableText0"/>
            </w:pPr>
            <w:r w:rsidRPr="00E16BBF">
              <w:t>Weighted mean treatment duration from EMBARK 49.9% x 4.4 years + 50.1% x 4.3 years= 4.4 years</w:t>
            </w:r>
          </w:p>
          <w:p w14:paraId="6277EC6A" w14:textId="77777777" w:rsidR="00E16BBF" w:rsidRPr="00E16BBF" w:rsidRDefault="00E16BBF">
            <w:pPr>
              <w:pStyle w:val="TableText0"/>
              <w:keepNext w:val="0"/>
              <w:keepLines w:val="0"/>
            </w:pPr>
            <w:r w:rsidRPr="00E16BBF">
              <w:t>Adjusted for treatment suspensions from 0.71 years to 2.71 years</w:t>
            </w:r>
          </w:p>
        </w:tc>
        <w:tc>
          <w:tcPr>
            <w:tcW w:w="2409" w:type="pct"/>
            <w:vMerge w:val="restart"/>
            <w:shd w:val="clear" w:color="auto" w:fill="auto"/>
            <w:vAlign w:val="center"/>
          </w:tcPr>
          <w:p w14:paraId="4204D31E" w14:textId="77777777" w:rsidR="00740830" w:rsidRDefault="00E16BBF">
            <w:pPr>
              <w:pStyle w:val="TableText0"/>
              <w:keepNext w:val="0"/>
              <w:keepLines w:val="0"/>
            </w:pPr>
            <w:r w:rsidRPr="00E16BBF">
              <w:t>The calculation appeared to be incorrect (treatment suspension lasted 3 years total: 29% first year, 100% years 2 and 3, 71% year 4). Further, mean treatment duration in the economic analysis was &gt;6 years.</w:t>
            </w:r>
          </w:p>
          <w:p w14:paraId="69DD218D" w14:textId="3AEE65A7" w:rsidR="00740830" w:rsidRPr="00740830" w:rsidRDefault="00740830" w:rsidP="00740830">
            <w:pPr>
              <w:jc w:val="left"/>
              <w:rPr>
                <w:rFonts w:ascii="Arial Narrow" w:hAnsi="Arial Narrow"/>
                <w:sz w:val="20"/>
                <w:szCs w:val="20"/>
                <w:lang w:val="en-US"/>
              </w:rPr>
            </w:pPr>
            <w:r w:rsidRPr="00DF24EF">
              <w:rPr>
                <w:rFonts w:ascii="Arial Narrow" w:hAnsi="Arial Narrow"/>
                <w:sz w:val="20"/>
                <w:szCs w:val="20"/>
                <w:lang w:val="en-US"/>
              </w:rPr>
              <w:t>The PSCR (p6) stated that by applying the mean treatment duration from the economic model, treatment suspension is incorporated into the estimated financial impact analysis</w:t>
            </w:r>
            <w:r w:rsidR="00DF24EF" w:rsidRPr="00DF24EF">
              <w:rPr>
                <w:rFonts w:ascii="Arial Narrow" w:hAnsi="Arial Narrow"/>
                <w:sz w:val="20"/>
                <w:szCs w:val="20"/>
                <w:lang w:val="en-US"/>
              </w:rPr>
              <w:t>.</w:t>
            </w:r>
          </w:p>
          <w:p w14:paraId="5DBA0AF2" w14:textId="6F294096" w:rsidR="00740830" w:rsidRPr="00740830" w:rsidRDefault="00740830" w:rsidP="00740830">
            <w:pPr>
              <w:pStyle w:val="TableText0"/>
            </w:pPr>
            <w:r w:rsidRPr="00740830">
              <w:rPr>
                <w:lang w:val="en-US"/>
              </w:rPr>
              <w:t xml:space="preserve">The DUSC noted that </w:t>
            </w:r>
            <w:r w:rsidRPr="00740830">
              <w:rPr>
                <w:szCs w:val="20"/>
                <w:lang w:val="en-US"/>
              </w:rPr>
              <w:t xml:space="preserve">a treatment duration of 4.3 years (51.9 months) was applied in the financials, but that the modelled economic evaluation assumed 6 years. </w:t>
            </w:r>
          </w:p>
          <w:p w14:paraId="4542E0F2" w14:textId="13BC5098" w:rsidR="00740830" w:rsidRPr="00740830" w:rsidRDefault="00740830" w:rsidP="00740830">
            <w:pPr>
              <w:ind w:left="5"/>
              <w:jc w:val="left"/>
              <w:rPr>
                <w:rFonts w:ascii="Arial Narrow" w:hAnsi="Arial Narrow"/>
                <w:sz w:val="20"/>
                <w:szCs w:val="20"/>
                <w:lang w:val="en-US"/>
              </w:rPr>
            </w:pPr>
            <w:r w:rsidRPr="00740830">
              <w:rPr>
                <w:rFonts w:ascii="Arial Narrow" w:hAnsi="Arial Narrow"/>
                <w:sz w:val="20"/>
                <w:szCs w:val="20"/>
                <w:lang w:val="en-US"/>
              </w:rPr>
              <w:t xml:space="preserve">The DUSC considered that the treatment duration was underestimated </w:t>
            </w:r>
            <w:r w:rsidRPr="00740830">
              <w:rPr>
                <w:rFonts w:ascii="Arial Narrow" w:hAnsi="Arial Narrow"/>
                <w:sz w:val="20"/>
                <w:szCs w:val="20"/>
              </w:rPr>
              <w:t>noting that:</w:t>
            </w:r>
          </w:p>
          <w:p w14:paraId="28A6D5F9" w14:textId="3CD428A4" w:rsidR="00740830" w:rsidRPr="00740830" w:rsidRDefault="00740830" w:rsidP="00740830">
            <w:pPr>
              <w:pStyle w:val="ListParagraph"/>
              <w:numPr>
                <w:ilvl w:val="0"/>
                <w:numId w:val="21"/>
              </w:numPr>
              <w:spacing w:after="0"/>
              <w:ind w:left="142" w:hanging="142"/>
              <w:contextualSpacing/>
              <w:rPr>
                <w:rFonts w:ascii="Arial Narrow" w:hAnsi="Arial Narrow"/>
                <w:sz w:val="20"/>
                <w:szCs w:val="20"/>
                <w:lang w:val="en-US"/>
              </w:rPr>
            </w:pPr>
            <w:r w:rsidRPr="00740830">
              <w:rPr>
                <w:rFonts w:ascii="Arial Narrow" w:hAnsi="Arial Narrow"/>
                <w:sz w:val="20"/>
                <w:szCs w:val="20"/>
                <w:lang w:val="en-US"/>
              </w:rPr>
              <w:t>the median time MFS has not been reached after 96 months in the EMBARK trial, and the restriction is to treat patients until progression</w:t>
            </w:r>
            <w:r w:rsidRPr="00740830">
              <w:rPr>
                <w:rFonts w:ascii="Arial Narrow" w:hAnsi="Arial Narrow"/>
                <w:sz w:val="20"/>
                <w:szCs w:val="20"/>
              </w:rPr>
              <w:t xml:space="preserve">. </w:t>
            </w:r>
          </w:p>
          <w:p w14:paraId="236B8C32" w14:textId="77777777" w:rsidR="00740830" w:rsidRPr="00740830" w:rsidRDefault="00740830" w:rsidP="00740830">
            <w:pPr>
              <w:pStyle w:val="ListParagraph"/>
              <w:numPr>
                <w:ilvl w:val="0"/>
                <w:numId w:val="21"/>
              </w:numPr>
              <w:spacing w:after="0"/>
              <w:ind w:left="142" w:hanging="142"/>
              <w:contextualSpacing/>
              <w:rPr>
                <w:rFonts w:ascii="Arial Narrow" w:hAnsi="Arial Narrow"/>
                <w:sz w:val="20"/>
                <w:szCs w:val="20"/>
                <w:lang w:val="en-US"/>
              </w:rPr>
            </w:pPr>
            <w:r w:rsidRPr="00740830">
              <w:rPr>
                <w:rFonts w:ascii="Arial Narrow" w:hAnsi="Arial Narrow"/>
                <w:sz w:val="20"/>
                <w:szCs w:val="20"/>
                <w:lang w:val="en-US"/>
              </w:rPr>
              <w:t xml:space="preserve">persons in treatment suspension may not have been considered (as over 30% do not restart treatment). </w:t>
            </w:r>
          </w:p>
          <w:p w14:paraId="2DB58011" w14:textId="56083084" w:rsidR="00740830" w:rsidRPr="00740830" w:rsidRDefault="00740830" w:rsidP="00740830">
            <w:pPr>
              <w:pStyle w:val="ListParagraph"/>
              <w:spacing w:after="0"/>
              <w:rPr>
                <w:rFonts w:ascii="Arial Narrow" w:hAnsi="Arial Narrow"/>
                <w:i/>
                <w:iCs/>
                <w:sz w:val="20"/>
                <w:szCs w:val="20"/>
                <w:lang w:val="en-US"/>
              </w:rPr>
            </w:pPr>
            <w:r w:rsidRPr="00740830">
              <w:rPr>
                <w:rFonts w:ascii="Arial Narrow" w:hAnsi="Arial Narrow"/>
                <w:sz w:val="20"/>
                <w:szCs w:val="20"/>
                <w:lang w:val="en-US"/>
              </w:rPr>
              <w:t xml:space="preserve">The DUSC noted that the </w:t>
            </w:r>
            <w:r w:rsidRPr="00740830">
              <w:rPr>
                <w:rFonts w:ascii="Arial Narrow" w:hAnsi="Arial Narrow"/>
                <w:sz w:val="20"/>
                <w:szCs w:val="20"/>
              </w:rPr>
              <w:t xml:space="preserve">treatment </w:t>
            </w:r>
            <w:r w:rsidRPr="00740830">
              <w:rPr>
                <w:rFonts w:ascii="Arial Narrow" w:hAnsi="Arial Narrow"/>
                <w:sz w:val="20"/>
                <w:szCs w:val="20"/>
                <w:lang w:val="en-US"/>
              </w:rPr>
              <w:t>suspension ranged from 2-85 months within the EMBARK trial.</w:t>
            </w:r>
            <w:r w:rsidRPr="002D54A4">
              <w:rPr>
                <w:rFonts w:ascii="Arial Narrow" w:hAnsi="Arial Narrow"/>
                <w:i/>
                <w:iCs/>
                <w:sz w:val="20"/>
                <w:szCs w:val="20"/>
                <w:lang w:val="en-US"/>
              </w:rPr>
              <w:t xml:space="preserve"> </w:t>
            </w:r>
          </w:p>
        </w:tc>
      </w:tr>
      <w:tr w:rsidR="00E16BBF" w:rsidRPr="00E16BBF" w14:paraId="7960A6C2" w14:textId="77777777">
        <w:tc>
          <w:tcPr>
            <w:tcW w:w="705" w:type="pct"/>
            <w:shd w:val="clear" w:color="auto" w:fill="auto"/>
            <w:vAlign w:val="center"/>
          </w:tcPr>
          <w:p w14:paraId="18E55A7E" w14:textId="77777777" w:rsidR="00E16BBF" w:rsidRPr="00E16BBF" w:rsidRDefault="00E16BBF">
            <w:pPr>
              <w:pStyle w:val="TableText0"/>
              <w:keepNext w:val="0"/>
              <w:keepLines w:val="0"/>
            </w:pPr>
            <w:r w:rsidRPr="00E16BBF">
              <w:t>Number treated (patient years)</w:t>
            </w:r>
          </w:p>
        </w:tc>
        <w:tc>
          <w:tcPr>
            <w:tcW w:w="1886" w:type="pct"/>
            <w:shd w:val="clear" w:color="auto" w:fill="auto"/>
            <w:vAlign w:val="center"/>
          </w:tcPr>
          <w:p w14:paraId="31CD6239" w14:textId="00FFE388" w:rsidR="00E16BBF" w:rsidRPr="00E16BBF" w:rsidRDefault="00E16BBF">
            <w:pPr>
              <w:pStyle w:val="TableText0"/>
            </w:pPr>
            <w:r w:rsidRPr="00E16BBF">
              <w:t xml:space="preserve">Yr 1: </w:t>
            </w:r>
            <w:r w:rsidR="00E639BD" w:rsidRPr="00E639BD">
              <w:rPr>
                <w:color w:val="000000"/>
                <w:spacing w:val="49"/>
                <w:shd w:val="solid" w:color="000000" w:fill="000000"/>
                <w:fitText w:val="320" w:id="-761098995"/>
                <w14:textFill>
                  <w14:solidFill>
                    <w14:srgbClr w14:val="000000">
                      <w14:alpha w14:val="100000"/>
                    </w14:srgbClr>
                  </w14:solidFill>
                </w14:textFill>
              </w:rPr>
              <w:t>|||</w:t>
            </w:r>
            <w:r w:rsidR="00E639BD" w:rsidRPr="00E639BD">
              <w:rPr>
                <w:color w:val="000000"/>
                <w:spacing w:val="3"/>
                <w:shd w:val="solid" w:color="000000" w:fill="000000"/>
                <w:fitText w:val="320" w:id="-761098995"/>
                <w14:textFill>
                  <w14:solidFill>
                    <w14:srgbClr w14:val="000000">
                      <w14:alpha w14:val="100000"/>
                    </w14:srgbClr>
                  </w14:solidFill>
                </w14:textFill>
              </w:rPr>
              <w:t>|</w:t>
            </w:r>
            <w:r w:rsidR="00770854" w:rsidRPr="00990398">
              <w:rPr>
                <w:vertAlign w:val="superscript"/>
              </w:rPr>
              <w:t>1</w:t>
            </w:r>
            <w:r w:rsidRPr="00E16BBF">
              <w:t xml:space="preserve">, Yr 2: </w:t>
            </w:r>
            <w:r w:rsidR="00E639BD" w:rsidRPr="00E639BD">
              <w:rPr>
                <w:color w:val="000000"/>
                <w:spacing w:val="56"/>
                <w:shd w:val="solid" w:color="000000" w:fill="000000"/>
                <w:fitText w:val="340" w:id="-761098994"/>
                <w14:textFill>
                  <w14:solidFill>
                    <w14:srgbClr w14:val="000000">
                      <w14:alpha w14:val="100000"/>
                    </w14:srgbClr>
                  </w14:solidFill>
                </w14:textFill>
              </w:rPr>
              <w:t>|||</w:t>
            </w:r>
            <w:r w:rsidR="00E639BD" w:rsidRPr="00E639BD">
              <w:rPr>
                <w:color w:val="000000"/>
                <w:spacing w:val="2"/>
                <w:shd w:val="solid" w:color="000000" w:fill="000000"/>
                <w:fitText w:val="340" w:id="-761098994"/>
                <w14:textFill>
                  <w14:solidFill>
                    <w14:srgbClr w14:val="000000">
                      <w14:alpha w14:val="100000"/>
                    </w14:srgbClr>
                  </w14:solidFill>
                </w14:textFill>
              </w:rPr>
              <w:t>|</w:t>
            </w:r>
            <w:r w:rsidR="00770854" w:rsidRPr="00990398">
              <w:rPr>
                <w:vertAlign w:val="superscript"/>
              </w:rPr>
              <w:t>1</w:t>
            </w:r>
            <w:r w:rsidRPr="00E16BBF">
              <w:t xml:space="preserve">, Yr 3: </w:t>
            </w:r>
            <w:r w:rsidR="00E639BD" w:rsidRPr="00E639BD">
              <w:rPr>
                <w:color w:val="000000"/>
                <w:spacing w:val="56"/>
                <w:shd w:val="solid" w:color="000000" w:fill="000000"/>
                <w:fitText w:val="340" w:id="-761098993"/>
                <w14:textFill>
                  <w14:solidFill>
                    <w14:srgbClr w14:val="000000">
                      <w14:alpha w14:val="100000"/>
                    </w14:srgbClr>
                  </w14:solidFill>
                </w14:textFill>
              </w:rPr>
              <w:t>|||</w:t>
            </w:r>
            <w:r w:rsidR="00E639BD" w:rsidRPr="00E639BD">
              <w:rPr>
                <w:color w:val="000000"/>
                <w:spacing w:val="2"/>
                <w:shd w:val="solid" w:color="000000" w:fill="000000"/>
                <w:fitText w:val="340" w:id="-761098993"/>
                <w14:textFill>
                  <w14:solidFill>
                    <w14:srgbClr w14:val="000000">
                      <w14:alpha w14:val="100000"/>
                    </w14:srgbClr>
                  </w14:solidFill>
                </w14:textFill>
              </w:rPr>
              <w:t>|</w:t>
            </w:r>
            <w:r w:rsidR="00770854" w:rsidRPr="00990398">
              <w:rPr>
                <w:vertAlign w:val="superscript"/>
              </w:rPr>
              <w:t>1</w:t>
            </w:r>
            <w:r w:rsidRPr="00E16BBF">
              <w:t xml:space="preserve">, Yr 4: </w:t>
            </w:r>
            <w:r w:rsidR="00E639BD" w:rsidRPr="00E639BD">
              <w:rPr>
                <w:color w:val="000000"/>
                <w:spacing w:val="56"/>
                <w:shd w:val="solid" w:color="000000" w:fill="000000"/>
                <w:fitText w:val="340" w:id="-761098992"/>
                <w14:textFill>
                  <w14:solidFill>
                    <w14:srgbClr w14:val="000000">
                      <w14:alpha w14:val="100000"/>
                    </w14:srgbClr>
                  </w14:solidFill>
                </w14:textFill>
              </w:rPr>
              <w:t>|||</w:t>
            </w:r>
            <w:r w:rsidR="00E639BD" w:rsidRPr="00E639BD">
              <w:rPr>
                <w:color w:val="000000"/>
                <w:spacing w:val="2"/>
                <w:shd w:val="solid" w:color="000000" w:fill="000000"/>
                <w:fitText w:val="340" w:id="-761098992"/>
                <w14:textFill>
                  <w14:solidFill>
                    <w14:srgbClr w14:val="000000">
                      <w14:alpha w14:val="100000"/>
                    </w14:srgbClr>
                  </w14:solidFill>
                </w14:textFill>
              </w:rPr>
              <w:t>|</w:t>
            </w:r>
            <w:r w:rsidR="00770854" w:rsidRPr="00990398">
              <w:rPr>
                <w:vertAlign w:val="superscript"/>
              </w:rPr>
              <w:t>1</w:t>
            </w:r>
            <w:r w:rsidRPr="00E16BBF">
              <w:t>, Yr 5: </w:t>
            </w:r>
            <w:r w:rsidR="00E639BD" w:rsidRPr="00E639BD">
              <w:rPr>
                <w:color w:val="000000"/>
                <w:spacing w:val="49"/>
                <w:shd w:val="solid" w:color="000000" w:fill="000000"/>
                <w:fitText w:val="320" w:id="-761099008"/>
                <w14:textFill>
                  <w14:solidFill>
                    <w14:srgbClr w14:val="000000">
                      <w14:alpha w14:val="100000"/>
                    </w14:srgbClr>
                  </w14:solidFill>
                </w14:textFill>
              </w:rPr>
              <w:t>|||</w:t>
            </w:r>
            <w:r w:rsidR="00E639BD" w:rsidRPr="00E639BD">
              <w:rPr>
                <w:color w:val="000000"/>
                <w:spacing w:val="3"/>
                <w:shd w:val="solid" w:color="000000" w:fill="000000"/>
                <w:fitText w:val="320" w:id="-761099008"/>
                <w14:textFill>
                  <w14:solidFill>
                    <w14:srgbClr w14:val="000000">
                      <w14:alpha w14:val="100000"/>
                    </w14:srgbClr>
                  </w14:solidFill>
                </w14:textFill>
              </w:rPr>
              <w:t>|</w:t>
            </w:r>
            <w:r w:rsidR="00770854" w:rsidRPr="00990398">
              <w:rPr>
                <w:vertAlign w:val="superscript"/>
              </w:rPr>
              <w:t>1</w:t>
            </w:r>
            <w:r w:rsidRPr="00E16BBF">
              <w:t xml:space="preserve">, Yr 6: </w:t>
            </w:r>
            <w:r w:rsidR="00E639BD" w:rsidRPr="00E639BD">
              <w:rPr>
                <w:color w:val="000000"/>
                <w:spacing w:val="49"/>
                <w:shd w:val="solid" w:color="000000" w:fill="000000"/>
                <w:fitText w:val="320" w:id="-761099007"/>
                <w14:textFill>
                  <w14:solidFill>
                    <w14:srgbClr w14:val="000000">
                      <w14:alpha w14:val="100000"/>
                    </w14:srgbClr>
                  </w14:solidFill>
                </w14:textFill>
              </w:rPr>
              <w:t>|||</w:t>
            </w:r>
            <w:r w:rsidR="00E639BD" w:rsidRPr="00E639BD">
              <w:rPr>
                <w:color w:val="000000"/>
                <w:spacing w:val="3"/>
                <w:shd w:val="solid" w:color="000000" w:fill="000000"/>
                <w:fitText w:val="320" w:id="-761099007"/>
                <w14:textFill>
                  <w14:solidFill>
                    <w14:srgbClr w14:val="000000">
                      <w14:alpha w14:val="100000"/>
                    </w14:srgbClr>
                  </w14:solidFill>
                </w14:textFill>
              </w:rPr>
              <w:t>|</w:t>
            </w:r>
            <w:r w:rsidR="00770854" w:rsidRPr="00990398">
              <w:rPr>
                <w:vertAlign w:val="superscript"/>
              </w:rPr>
              <w:t>1</w:t>
            </w:r>
            <w:r w:rsidRPr="00E16BBF">
              <w:t xml:space="preserve">. </w:t>
            </w:r>
          </w:p>
        </w:tc>
        <w:tc>
          <w:tcPr>
            <w:tcW w:w="2409" w:type="pct"/>
            <w:vMerge/>
            <w:shd w:val="clear" w:color="auto" w:fill="auto"/>
            <w:vAlign w:val="center"/>
          </w:tcPr>
          <w:p w14:paraId="2F3E055E" w14:textId="77777777" w:rsidR="00E16BBF" w:rsidRPr="00E16BBF" w:rsidRDefault="00E16BBF">
            <w:pPr>
              <w:pStyle w:val="TableText0"/>
              <w:keepNext w:val="0"/>
              <w:keepLines w:val="0"/>
            </w:pPr>
          </w:p>
        </w:tc>
      </w:tr>
      <w:tr w:rsidR="00E16BBF" w:rsidRPr="00E16BBF" w14:paraId="3AC516C9" w14:textId="77777777">
        <w:tc>
          <w:tcPr>
            <w:tcW w:w="5000" w:type="pct"/>
            <w:gridSpan w:val="3"/>
            <w:shd w:val="clear" w:color="auto" w:fill="auto"/>
            <w:vAlign w:val="center"/>
          </w:tcPr>
          <w:p w14:paraId="0BEA68D9" w14:textId="77777777" w:rsidR="00E16BBF" w:rsidRPr="00E16BBF" w:rsidRDefault="00E16BBF">
            <w:pPr>
              <w:pStyle w:val="TableText0"/>
              <w:keepLines w:val="0"/>
              <w:rPr>
                <w:b/>
                <w:bCs w:val="0"/>
              </w:rPr>
            </w:pPr>
            <w:r w:rsidRPr="00E16BBF">
              <w:rPr>
                <w:b/>
                <w:bCs w:val="0"/>
              </w:rPr>
              <w:t>Subsequent treatment use following enzalutamide discontinuation (mHSPC, m0CRPC)</w:t>
            </w:r>
          </w:p>
        </w:tc>
      </w:tr>
      <w:tr w:rsidR="00E16BBF" w:rsidRPr="00E16BBF" w14:paraId="3C25BAE5" w14:textId="77777777">
        <w:tc>
          <w:tcPr>
            <w:tcW w:w="705" w:type="pct"/>
            <w:shd w:val="clear" w:color="auto" w:fill="auto"/>
            <w:vAlign w:val="center"/>
          </w:tcPr>
          <w:p w14:paraId="36080193" w14:textId="77777777" w:rsidR="00E16BBF" w:rsidRPr="00E16BBF" w:rsidRDefault="00E16BBF">
            <w:pPr>
              <w:pStyle w:val="TableText0"/>
              <w:keepNext w:val="0"/>
              <w:keepLines w:val="0"/>
            </w:pPr>
            <w:r w:rsidRPr="00E16BBF">
              <w:t>NHA use avoided</w:t>
            </w:r>
          </w:p>
        </w:tc>
        <w:tc>
          <w:tcPr>
            <w:tcW w:w="1886" w:type="pct"/>
            <w:shd w:val="clear" w:color="auto" w:fill="auto"/>
            <w:vAlign w:val="center"/>
          </w:tcPr>
          <w:p w14:paraId="6C313519" w14:textId="77777777" w:rsidR="00E16BBF" w:rsidRPr="00E16BBF" w:rsidRDefault="00E16BBF">
            <w:pPr>
              <w:pStyle w:val="TableText0"/>
              <w:keepNext w:val="0"/>
              <w:keepLines w:val="0"/>
            </w:pPr>
            <w:r w:rsidRPr="00E16BBF">
              <w:t>Assumed 100% (apalutamide=33.3%, darolutamide=33.3%, enzalutamide=33.3%)</w:t>
            </w:r>
          </w:p>
        </w:tc>
        <w:tc>
          <w:tcPr>
            <w:tcW w:w="2409" w:type="pct"/>
            <w:shd w:val="clear" w:color="auto" w:fill="auto"/>
            <w:vAlign w:val="center"/>
          </w:tcPr>
          <w:p w14:paraId="4B0196C9" w14:textId="77777777" w:rsidR="00E16BBF" w:rsidRDefault="00E16BBF">
            <w:pPr>
              <w:pStyle w:val="TableText0"/>
              <w:keepNext w:val="0"/>
              <w:keepLines w:val="0"/>
            </w:pPr>
            <w:r w:rsidRPr="00E16BBF">
              <w:t>The economic analysis estimated that 33.5% patients in mHSPC and m0CRPC currently receive NHA.</w:t>
            </w:r>
          </w:p>
          <w:p w14:paraId="36CEF1F9" w14:textId="158434AC" w:rsidR="00740830" w:rsidRPr="00740830" w:rsidRDefault="00740830">
            <w:pPr>
              <w:pStyle w:val="TableText0"/>
              <w:keepNext w:val="0"/>
              <w:keepLines w:val="0"/>
            </w:pPr>
            <w:r w:rsidRPr="00740830">
              <w:t>The DUSC considered that cost offsets would be unlikely to be realised in the six year forward estimates as median treatment duration has not yet been realised.</w:t>
            </w:r>
          </w:p>
        </w:tc>
      </w:tr>
      <w:tr w:rsidR="00E16BBF" w:rsidRPr="00E16BBF" w14:paraId="5586E975" w14:textId="77777777">
        <w:tc>
          <w:tcPr>
            <w:tcW w:w="705" w:type="pct"/>
            <w:shd w:val="clear" w:color="auto" w:fill="auto"/>
            <w:vAlign w:val="center"/>
          </w:tcPr>
          <w:p w14:paraId="0E7FAA14" w14:textId="77777777" w:rsidR="00E16BBF" w:rsidRPr="00E16BBF" w:rsidRDefault="00E16BBF">
            <w:pPr>
              <w:pStyle w:val="TableText0"/>
              <w:keepNext w:val="0"/>
              <w:keepLines w:val="0"/>
            </w:pPr>
            <w:r w:rsidRPr="00E16BBF">
              <w:t>Increased docetaxel plus prednisone</w:t>
            </w:r>
          </w:p>
        </w:tc>
        <w:tc>
          <w:tcPr>
            <w:tcW w:w="1886" w:type="pct"/>
            <w:shd w:val="clear" w:color="auto" w:fill="auto"/>
            <w:vAlign w:val="center"/>
          </w:tcPr>
          <w:p w14:paraId="52AC6E4C" w14:textId="77777777" w:rsidR="00E16BBF" w:rsidRPr="00E16BBF" w:rsidRDefault="00E16BBF">
            <w:pPr>
              <w:pStyle w:val="TableText0"/>
              <w:keepNext w:val="0"/>
              <w:keepLines w:val="0"/>
            </w:pPr>
            <w:r w:rsidRPr="00E16BBF">
              <w:t>Assumed 100% following enzalutamide discontinuation</w:t>
            </w:r>
          </w:p>
        </w:tc>
        <w:tc>
          <w:tcPr>
            <w:tcW w:w="2409" w:type="pct"/>
            <w:shd w:val="clear" w:color="auto" w:fill="auto"/>
            <w:vAlign w:val="center"/>
          </w:tcPr>
          <w:p w14:paraId="3C1039D1" w14:textId="77777777" w:rsidR="00E16BBF" w:rsidRPr="00E16BBF" w:rsidRDefault="00E16BBF">
            <w:pPr>
              <w:pStyle w:val="TableText0"/>
              <w:keepNext w:val="0"/>
              <w:keepLines w:val="0"/>
            </w:pPr>
            <w:r w:rsidRPr="00E16BBF">
              <w:t>The economic analysis estimated that enzalutamide in m0HSPC would result in 6.4% more patients using docetaxel</w:t>
            </w:r>
          </w:p>
        </w:tc>
      </w:tr>
      <w:tr w:rsidR="00E16BBF" w:rsidRPr="00E16BBF" w14:paraId="0ECFB616" w14:textId="77777777">
        <w:tc>
          <w:tcPr>
            <w:tcW w:w="5000" w:type="pct"/>
            <w:gridSpan w:val="3"/>
            <w:shd w:val="clear" w:color="auto" w:fill="auto"/>
            <w:vAlign w:val="center"/>
          </w:tcPr>
          <w:p w14:paraId="33B701E0" w14:textId="77777777" w:rsidR="00E16BBF" w:rsidRPr="00E16BBF" w:rsidRDefault="00E16BBF">
            <w:pPr>
              <w:pStyle w:val="TableText0"/>
              <w:keepNext w:val="0"/>
              <w:keepLines w:val="0"/>
              <w:rPr>
                <w:b/>
                <w:bCs w:val="0"/>
              </w:rPr>
            </w:pPr>
            <w:r w:rsidRPr="00E16BBF">
              <w:rPr>
                <w:b/>
                <w:bCs w:val="0"/>
              </w:rPr>
              <w:lastRenderedPageBreak/>
              <w:t>Costs</w:t>
            </w:r>
          </w:p>
        </w:tc>
      </w:tr>
      <w:tr w:rsidR="00E16BBF" w:rsidRPr="00E16BBF" w14:paraId="57D94D4D" w14:textId="77777777">
        <w:tc>
          <w:tcPr>
            <w:tcW w:w="705" w:type="pct"/>
            <w:shd w:val="clear" w:color="auto" w:fill="auto"/>
            <w:vAlign w:val="center"/>
          </w:tcPr>
          <w:p w14:paraId="518916F3" w14:textId="77777777" w:rsidR="00E16BBF" w:rsidRPr="00E16BBF" w:rsidRDefault="00E16BBF">
            <w:pPr>
              <w:pStyle w:val="TableText0"/>
              <w:keepNext w:val="0"/>
              <w:keepLines w:val="0"/>
            </w:pPr>
            <w:r w:rsidRPr="00E16BBF">
              <w:t>Enzalutamide</w:t>
            </w:r>
          </w:p>
        </w:tc>
        <w:tc>
          <w:tcPr>
            <w:tcW w:w="1886" w:type="pct"/>
            <w:shd w:val="clear" w:color="auto" w:fill="auto"/>
            <w:vAlign w:val="center"/>
          </w:tcPr>
          <w:p w14:paraId="13424185" w14:textId="052912CB" w:rsidR="00E16BBF" w:rsidRPr="00E16BBF" w:rsidRDefault="00E16BBF">
            <w:pPr>
              <w:pStyle w:val="TableText0"/>
              <w:keepNext w:val="0"/>
              <w:keepLines w:val="0"/>
            </w:pPr>
            <w:r w:rsidRPr="00E16BBF">
              <w:t>$</w:t>
            </w:r>
            <w:r w:rsidR="00E639BD" w:rsidRPr="00E639BD">
              <w:rPr>
                <w:color w:val="000000"/>
                <w:spacing w:val="49"/>
                <w:shd w:val="solid" w:color="000000" w:fill="000000"/>
                <w:fitText w:val="320" w:id="-761099006"/>
                <w14:textFill>
                  <w14:solidFill>
                    <w14:srgbClr w14:val="000000">
                      <w14:alpha w14:val="100000"/>
                    </w14:srgbClr>
                  </w14:solidFill>
                </w14:textFill>
              </w:rPr>
              <w:t>|||</w:t>
            </w:r>
            <w:r w:rsidR="00E639BD" w:rsidRPr="00E639BD">
              <w:rPr>
                <w:color w:val="000000"/>
                <w:spacing w:val="3"/>
                <w:shd w:val="solid" w:color="000000" w:fill="000000"/>
                <w:fitText w:val="320" w:id="-761099006"/>
                <w14:textFill>
                  <w14:solidFill>
                    <w14:srgbClr w14:val="000000">
                      <w14:alpha w14:val="100000"/>
                    </w14:srgbClr>
                  </w14:solidFill>
                </w14:textFill>
              </w:rPr>
              <w:t>|</w:t>
            </w:r>
            <w:r w:rsidRPr="00E16BBF">
              <w:t xml:space="preserve"> Requested price</w:t>
            </w:r>
          </w:p>
        </w:tc>
        <w:tc>
          <w:tcPr>
            <w:tcW w:w="2409" w:type="pct"/>
            <w:shd w:val="clear" w:color="auto" w:fill="auto"/>
            <w:vAlign w:val="center"/>
          </w:tcPr>
          <w:p w14:paraId="6FD84B9A" w14:textId="77777777" w:rsidR="00E16BBF" w:rsidRPr="00E16BBF" w:rsidRDefault="00E16BBF">
            <w:pPr>
              <w:pStyle w:val="TableText0"/>
              <w:keepNext w:val="0"/>
              <w:keepLines w:val="0"/>
            </w:pPr>
            <w:r w:rsidRPr="00E16BBF">
              <w:t>Appropriate. Same as economic analysis</w:t>
            </w:r>
          </w:p>
        </w:tc>
      </w:tr>
      <w:tr w:rsidR="00E16BBF" w:rsidRPr="00E16BBF" w14:paraId="4F402C37" w14:textId="77777777">
        <w:tc>
          <w:tcPr>
            <w:tcW w:w="705" w:type="pct"/>
            <w:shd w:val="clear" w:color="auto" w:fill="auto"/>
            <w:vAlign w:val="center"/>
          </w:tcPr>
          <w:p w14:paraId="467774A4" w14:textId="77777777" w:rsidR="00E16BBF" w:rsidRPr="00E16BBF" w:rsidRDefault="00E16BBF">
            <w:pPr>
              <w:pStyle w:val="TableText0"/>
              <w:keepNext w:val="0"/>
              <w:keepLines w:val="0"/>
            </w:pPr>
            <w:r w:rsidRPr="00E16BBF">
              <w:t>NHAs</w:t>
            </w:r>
          </w:p>
        </w:tc>
        <w:tc>
          <w:tcPr>
            <w:tcW w:w="1886" w:type="pct"/>
            <w:shd w:val="clear" w:color="auto" w:fill="auto"/>
            <w:vAlign w:val="center"/>
          </w:tcPr>
          <w:p w14:paraId="6FC2801B" w14:textId="5A38897B" w:rsidR="00E16BBF" w:rsidRPr="00E16BBF" w:rsidRDefault="00E16BBF">
            <w:pPr>
              <w:pStyle w:val="TableText0"/>
              <w:keepNext w:val="0"/>
              <w:keepLines w:val="0"/>
            </w:pPr>
            <w:r w:rsidRPr="00E16BBF">
              <w:t>$</w:t>
            </w:r>
            <w:r w:rsidR="00E639BD" w:rsidRPr="00E639BD">
              <w:rPr>
                <w:color w:val="000000"/>
                <w:spacing w:val="49"/>
                <w:shd w:val="solid" w:color="000000" w:fill="000000"/>
                <w:fitText w:val="320" w:id="-761099005"/>
                <w14:textFill>
                  <w14:solidFill>
                    <w14:srgbClr w14:val="000000">
                      <w14:alpha w14:val="100000"/>
                    </w14:srgbClr>
                  </w14:solidFill>
                </w14:textFill>
              </w:rPr>
              <w:t>|||</w:t>
            </w:r>
            <w:r w:rsidR="00E639BD" w:rsidRPr="00E639BD">
              <w:rPr>
                <w:color w:val="000000"/>
                <w:spacing w:val="3"/>
                <w:shd w:val="solid" w:color="000000" w:fill="000000"/>
                <w:fitText w:val="320" w:id="-761099005"/>
                <w14:textFill>
                  <w14:solidFill>
                    <w14:srgbClr w14:val="000000">
                      <w14:alpha w14:val="100000"/>
                    </w14:srgbClr>
                  </w14:solidFill>
                </w14:textFill>
              </w:rPr>
              <w:t>|</w:t>
            </w:r>
            <w:r w:rsidRPr="00E16BBF">
              <w:t>. Equal to enzalutamide</w:t>
            </w:r>
          </w:p>
        </w:tc>
        <w:tc>
          <w:tcPr>
            <w:tcW w:w="2409" w:type="pct"/>
            <w:shd w:val="clear" w:color="auto" w:fill="auto"/>
            <w:vAlign w:val="center"/>
          </w:tcPr>
          <w:p w14:paraId="13B9856C" w14:textId="524917CD" w:rsidR="00E16BBF" w:rsidRPr="00E16BBF" w:rsidRDefault="00E16BBF">
            <w:pPr>
              <w:pStyle w:val="TableText0"/>
              <w:keepNext w:val="0"/>
              <w:keepLines w:val="0"/>
            </w:pPr>
            <w:r w:rsidRPr="00E16BBF">
              <w:t xml:space="preserve">Reasonable, though different to the economic analysis which applied </w:t>
            </w:r>
            <w:r w:rsidR="008F5BC3">
              <w:rPr>
                <w:color w:val="000000"/>
                <w:spacing w:val="52"/>
                <w:shd w:val="solid" w:color="000000" w:fill="000000"/>
                <w:fitText w:val="330" w:id="-756765948"/>
                <w14:textFill>
                  <w14:solidFill>
                    <w14:srgbClr w14:val="000000">
                      <w14:alpha w14:val="100000"/>
                    </w14:srgbClr>
                  </w14:solidFill>
                </w14:textFill>
              </w:rPr>
              <w:t>|||</w:t>
            </w:r>
            <w:r w:rsidR="008F5BC3">
              <w:rPr>
                <w:color w:val="000000"/>
                <w:spacing w:val="2"/>
                <w:shd w:val="solid" w:color="000000" w:fill="000000"/>
                <w:fitText w:val="330" w:id="-756765948"/>
                <w14:textFill>
                  <w14:solidFill>
                    <w14:srgbClr w14:val="000000">
                      <w14:alpha w14:val="100000"/>
                    </w14:srgbClr>
                  </w14:solidFill>
                </w14:textFill>
              </w:rPr>
              <w:t>|</w:t>
            </w:r>
            <w:r w:rsidRPr="00E16BBF">
              <w:t>% discount to published AEMPs</w:t>
            </w:r>
          </w:p>
        </w:tc>
      </w:tr>
      <w:tr w:rsidR="00E16BBF" w:rsidRPr="00E16BBF" w14:paraId="63CDC3BE" w14:textId="77777777">
        <w:tc>
          <w:tcPr>
            <w:tcW w:w="705" w:type="pct"/>
            <w:shd w:val="clear" w:color="auto" w:fill="auto"/>
            <w:vAlign w:val="center"/>
          </w:tcPr>
          <w:p w14:paraId="6BED2BB8" w14:textId="77777777" w:rsidR="00E16BBF" w:rsidRPr="00E16BBF" w:rsidRDefault="00E16BBF">
            <w:pPr>
              <w:pStyle w:val="TableText0"/>
              <w:keepNext w:val="0"/>
              <w:keepLines w:val="0"/>
            </w:pPr>
            <w:r w:rsidRPr="00E16BBF">
              <w:t>Docetaxel</w:t>
            </w:r>
          </w:p>
        </w:tc>
        <w:tc>
          <w:tcPr>
            <w:tcW w:w="1886" w:type="pct"/>
            <w:shd w:val="clear" w:color="auto" w:fill="auto"/>
            <w:vAlign w:val="center"/>
          </w:tcPr>
          <w:p w14:paraId="04B327B6" w14:textId="77777777" w:rsidR="00E16BBF" w:rsidRPr="00E16BBF" w:rsidRDefault="00E16BBF">
            <w:pPr>
              <w:pStyle w:val="TableText0"/>
            </w:pPr>
            <w:r w:rsidRPr="00E16BBF">
              <w:t>Public $156.83, Private $202.44.</w:t>
            </w:r>
          </w:p>
          <w:p w14:paraId="680719F3" w14:textId="77777777" w:rsidR="00E16BBF" w:rsidRPr="00E16BBF" w:rsidRDefault="00E16BBF">
            <w:pPr>
              <w:pStyle w:val="TableText0"/>
            </w:pPr>
            <w:r w:rsidRPr="00E16BBF">
              <w:t>PBS items 10148D, 10158P</w:t>
            </w:r>
          </w:p>
        </w:tc>
        <w:tc>
          <w:tcPr>
            <w:tcW w:w="2409" w:type="pct"/>
            <w:shd w:val="clear" w:color="auto" w:fill="auto"/>
            <w:vAlign w:val="center"/>
          </w:tcPr>
          <w:p w14:paraId="737B7F41" w14:textId="77777777" w:rsidR="00E16BBF" w:rsidRPr="00E16BBF" w:rsidRDefault="00E16BBF">
            <w:pPr>
              <w:pStyle w:val="TableText0"/>
              <w:keepNext w:val="0"/>
              <w:keepLines w:val="0"/>
            </w:pPr>
            <w:r w:rsidRPr="00E16BBF">
              <w:t>PBS items as economic analysis.</w:t>
            </w:r>
          </w:p>
        </w:tc>
      </w:tr>
      <w:tr w:rsidR="00E16BBF" w:rsidRPr="00E16BBF" w14:paraId="0302D55D" w14:textId="77777777">
        <w:tc>
          <w:tcPr>
            <w:tcW w:w="705" w:type="pct"/>
            <w:shd w:val="clear" w:color="auto" w:fill="auto"/>
            <w:vAlign w:val="center"/>
          </w:tcPr>
          <w:p w14:paraId="67DB35D9" w14:textId="77777777" w:rsidR="00E16BBF" w:rsidRPr="00E16BBF" w:rsidRDefault="00E16BBF">
            <w:pPr>
              <w:pStyle w:val="TableText0"/>
              <w:keepNext w:val="0"/>
              <w:keepLines w:val="0"/>
            </w:pPr>
            <w:r w:rsidRPr="00E16BBF">
              <w:t>Prednisone</w:t>
            </w:r>
          </w:p>
        </w:tc>
        <w:tc>
          <w:tcPr>
            <w:tcW w:w="1886" w:type="pct"/>
            <w:shd w:val="clear" w:color="auto" w:fill="auto"/>
            <w:vAlign w:val="center"/>
          </w:tcPr>
          <w:p w14:paraId="5FADC043" w14:textId="77777777" w:rsidR="00E16BBF" w:rsidRPr="00E16BBF" w:rsidRDefault="00E16BBF">
            <w:pPr>
              <w:pStyle w:val="TableText0"/>
              <w:keepNext w:val="0"/>
              <w:keepLines w:val="0"/>
            </w:pPr>
            <w:r w:rsidRPr="00E16BBF">
              <w:t>$16.91 PBS item 1935W</w:t>
            </w:r>
          </w:p>
        </w:tc>
        <w:tc>
          <w:tcPr>
            <w:tcW w:w="2409" w:type="pct"/>
            <w:shd w:val="clear" w:color="auto" w:fill="auto"/>
            <w:vAlign w:val="center"/>
          </w:tcPr>
          <w:p w14:paraId="27B5C2E7" w14:textId="77777777" w:rsidR="00E16BBF" w:rsidRPr="00E16BBF" w:rsidRDefault="00E16BBF">
            <w:pPr>
              <w:pStyle w:val="TableText0"/>
              <w:keepNext w:val="0"/>
              <w:keepLines w:val="0"/>
            </w:pPr>
            <w:r w:rsidRPr="00E16BBF">
              <w:t>Economic analysis assumed $17.61 (PBS item 1917X)</w:t>
            </w:r>
          </w:p>
        </w:tc>
      </w:tr>
      <w:tr w:rsidR="00E16BBF" w:rsidRPr="00E16BBF" w14:paraId="73882C7F" w14:textId="77777777">
        <w:tc>
          <w:tcPr>
            <w:tcW w:w="705" w:type="pct"/>
            <w:shd w:val="clear" w:color="auto" w:fill="auto"/>
            <w:vAlign w:val="center"/>
          </w:tcPr>
          <w:p w14:paraId="1EC0022A" w14:textId="77777777" w:rsidR="00E16BBF" w:rsidRPr="00E16BBF" w:rsidRDefault="00E16BBF">
            <w:pPr>
              <w:pStyle w:val="TableText0"/>
              <w:keepNext w:val="0"/>
              <w:keepLines w:val="0"/>
            </w:pPr>
            <w:r w:rsidRPr="00E16BBF">
              <w:t>Patient copayment</w:t>
            </w:r>
          </w:p>
        </w:tc>
        <w:tc>
          <w:tcPr>
            <w:tcW w:w="1886" w:type="pct"/>
            <w:shd w:val="clear" w:color="auto" w:fill="auto"/>
            <w:vAlign w:val="center"/>
          </w:tcPr>
          <w:p w14:paraId="471FD3A3" w14:textId="77777777" w:rsidR="00E16BBF" w:rsidRPr="00E16BBF" w:rsidRDefault="00E16BBF">
            <w:pPr>
              <w:pStyle w:val="TableText0"/>
            </w:pPr>
            <w:r w:rsidRPr="00E16BBF">
              <w:t xml:space="preserve">PBS: $16.64 RPBS: $5.09 </w:t>
            </w:r>
          </w:p>
          <w:p w14:paraId="2B06DE8C" w14:textId="77777777" w:rsidR="00E16BBF" w:rsidRPr="00E16BBF" w:rsidRDefault="00E16BBF">
            <w:pPr>
              <w:pStyle w:val="TableText0"/>
            </w:pPr>
            <w:r w:rsidRPr="00E16BBF">
              <w:t>PBS/RPBS split 97.8%/2.2%, based on ADT items 1454M, 8093Y, 11943N, 8707G, 8708H, 8709J, 8859G, 8875D, 8876E, 8877F, 5297T, 9378N, 9379P, 2784M, 2785N</w:t>
            </w:r>
          </w:p>
        </w:tc>
        <w:tc>
          <w:tcPr>
            <w:tcW w:w="2409" w:type="pct"/>
            <w:shd w:val="clear" w:color="auto" w:fill="auto"/>
            <w:vAlign w:val="center"/>
          </w:tcPr>
          <w:p w14:paraId="318A7377" w14:textId="77777777" w:rsidR="00E16BBF" w:rsidRDefault="00E16BBF">
            <w:pPr>
              <w:pStyle w:val="TableText0"/>
              <w:keepNext w:val="0"/>
              <w:keepLines w:val="0"/>
            </w:pPr>
            <w:r w:rsidRPr="00E16BBF">
              <w:t>Reasonable although list of ADT items was greater than leuprorelin (PBS item 8876E) and degarelix (PBS items 2785N, 2784M) utilised in the economic model.</w:t>
            </w:r>
          </w:p>
          <w:p w14:paraId="41945B87" w14:textId="513155E9" w:rsidR="00740830" w:rsidRPr="00740830" w:rsidRDefault="00740830">
            <w:pPr>
              <w:pStyle w:val="TableText0"/>
              <w:keepNext w:val="0"/>
              <w:keepLines w:val="0"/>
            </w:pPr>
            <w:r w:rsidRPr="00740830">
              <w:t>The DUSC noted that the patient copayment was based on any ADT use, i.e. not ADT used in combination.</w:t>
            </w:r>
          </w:p>
        </w:tc>
      </w:tr>
      <w:tr w:rsidR="00E16BBF" w:rsidRPr="00E16BBF" w14:paraId="3EB0B188" w14:textId="77777777">
        <w:tc>
          <w:tcPr>
            <w:tcW w:w="705" w:type="pct"/>
            <w:shd w:val="clear" w:color="auto" w:fill="auto"/>
            <w:vAlign w:val="center"/>
          </w:tcPr>
          <w:p w14:paraId="4A1FF7E7" w14:textId="77777777" w:rsidR="00E16BBF" w:rsidRPr="00E16BBF" w:rsidRDefault="00E16BBF">
            <w:pPr>
              <w:pStyle w:val="TableText0"/>
              <w:keepNext w:val="0"/>
              <w:keepLines w:val="0"/>
            </w:pPr>
            <w:r w:rsidRPr="00E16BBF">
              <w:t>MBS costs</w:t>
            </w:r>
          </w:p>
        </w:tc>
        <w:tc>
          <w:tcPr>
            <w:tcW w:w="1886" w:type="pct"/>
            <w:shd w:val="clear" w:color="auto" w:fill="auto"/>
            <w:vAlign w:val="center"/>
          </w:tcPr>
          <w:p w14:paraId="477624D2" w14:textId="77777777" w:rsidR="00E16BBF" w:rsidRPr="00E16BBF" w:rsidRDefault="00E16BBF">
            <w:pPr>
              <w:pStyle w:val="TableText0"/>
              <w:keepNext w:val="0"/>
              <w:keepLines w:val="0"/>
            </w:pPr>
            <w:r w:rsidRPr="00E16BBF">
              <w:t>$0 No MBS items costed</w:t>
            </w:r>
          </w:p>
        </w:tc>
        <w:tc>
          <w:tcPr>
            <w:tcW w:w="2409" w:type="pct"/>
            <w:shd w:val="clear" w:color="auto" w:fill="auto"/>
            <w:vAlign w:val="center"/>
          </w:tcPr>
          <w:p w14:paraId="1A6F6635" w14:textId="77777777" w:rsidR="00E16BBF" w:rsidRPr="00E16BBF" w:rsidRDefault="00E16BBF">
            <w:pPr>
              <w:pStyle w:val="TableText0"/>
              <w:keepNext w:val="0"/>
              <w:keepLines w:val="0"/>
            </w:pPr>
            <w:r w:rsidRPr="00E16BBF">
              <w:t>No changes to adverse events, treatment administration or treatment monitoring were included, which may not be reasonable.</w:t>
            </w:r>
          </w:p>
        </w:tc>
      </w:tr>
    </w:tbl>
    <w:p w14:paraId="2D704082" w14:textId="466794B1" w:rsidR="00C02E47" w:rsidRDefault="00E16BBF" w:rsidP="007017BA">
      <w:pPr>
        <w:pStyle w:val="TableFigureFooter"/>
        <w:spacing w:after="0"/>
      </w:pPr>
      <w:r w:rsidRPr="0098262F">
        <w:t>Source:</w:t>
      </w:r>
      <w:r>
        <w:t xml:space="preserve"> Tables 4-2, 4-3, 4-4, 4-6, 4-7, 4-8, 4-13, 4-30 and </w:t>
      </w:r>
      <w:r w:rsidRPr="00E16BBF">
        <w:t>compiled during the evaluation</w:t>
      </w:r>
    </w:p>
    <w:p w14:paraId="7B8512C4" w14:textId="6B1FC493" w:rsidR="00C02E47" w:rsidRPr="00C02E47" w:rsidRDefault="00C02E47" w:rsidP="00C02E47">
      <w:pPr>
        <w:pStyle w:val="3-BodyText"/>
        <w:numPr>
          <w:ilvl w:val="0"/>
          <w:numId w:val="0"/>
        </w:numPr>
        <w:spacing w:before="0" w:after="0"/>
        <w:rPr>
          <w:rFonts w:ascii="Arial Narrow" w:hAnsi="Arial Narrow"/>
          <w:sz w:val="18"/>
          <w:szCs w:val="18"/>
        </w:rPr>
      </w:pPr>
      <w:r>
        <w:rPr>
          <w:rFonts w:ascii="Arial Narrow" w:hAnsi="Arial Narrow"/>
          <w:sz w:val="18"/>
          <w:szCs w:val="18"/>
        </w:rPr>
        <w:t>ABS=Australian Bureau of Statistics, ADT=androgen deprivation therapy, AEMP=approved ex-manufacturer price, AIHW=Australian Institute of Health and Welfare, BCR=biochemical recurrence, m0HSPC=non-metastatic hormone sensitive prostate cancer, m0CRPC=non-metastatic castration-resistant prostate cancer, mHSPC =metastatic hormone sensitive prostate cancer, MFS=metastases free survival, NHA=novel hormonal agent, PSA=prostate-specific antigen, RP=radical prostatectomy, RT=radiotherapy, Yr=year</w:t>
      </w:r>
    </w:p>
    <w:p w14:paraId="1EA35273" w14:textId="77777777" w:rsidR="00E16BBF" w:rsidRDefault="00E16BBF" w:rsidP="00E16BBF">
      <w:pPr>
        <w:pStyle w:val="FooterTableFigure"/>
        <w:ind w:left="142" w:hanging="142"/>
      </w:pPr>
      <w:r>
        <w:t>a</w:t>
      </w:r>
      <w:r>
        <w:tab/>
      </w:r>
      <w:r w:rsidRPr="002D3E12">
        <w:t>Hamdy FC, Donovan JL, Lane JA, et al.: Fifteen-year outcomes after monitoring, surgery, or radiotherapy for prostate cancer. N Engl J Med. 2023, 388:1547-58. 10.1056/NEJMoa2214122</w:t>
      </w:r>
      <w:r w:rsidRPr="0003253C">
        <w:t xml:space="preserve"> </w:t>
      </w:r>
    </w:p>
    <w:p w14:paraId="7A9ECE01" w14:textId="77777777" w:rsidR="00E16BBF" w:rsidRDefault="00E16BBF" w:rsidP="00E16BBF">
      <w:pPr>
        <w:pStyle w:val="FooterTableFigure"/>
        <w:ind w:left="142" w:hanging="142"/>
      </w:pPr>
      <w:r>
        <w:t>b</w:t>
      </w:r>
      <w:r>
        <w:tab/>
      </w:r>
      <w:r w:rsidRPr="008622E5">
        <w:t xml:space="preserve">Amling CL, Blute ML, </w:t>
      </w:r>
      <w:proofErr w:type="spellStart"/>
      <w:r w:rsidRPr="008622E5">
        <w:t>Bergstralh</w:t>
      </w:r>
      <w:proofErr w:type="spellEnd"/>
      <w:r w:rsidRPr="008622E5">
        <w:t xml:space="preserve"> EJ, Seay TM, Slezak J, Zincke H. Long-term hazard of progression after radical prostatectomy for clinically localized prostate cancer: continued risk of biochemical failure after 5 years. J Urol. 2000 Jul;164(1):101-5. PMID: 10840432.</w:t>
      </w:r>
      <w:r>
        <w:t xml:space="preserve">; </w:t>
      </w:r>
      <w:r w:rsidRPr="008622E5">
        <w:t>Bianco FJ Jr, Scardino PT, Eastham JA. Radical prostatectomy: long-term cancer control and recovery of sexual and urinary function ("trifecta"). Urology. 2005 Nov;66(5 Suppl):83-94. doi: 10.1016/j.urology.2005.06.116. PMID: 16194712.</w:t>
      </w:r>
      <w:r>
        <w:t xml:space="preserve">; </w:t>
      </w:r>
      <w:r w:rsidRPr="008622E5">
        <w:t xml:space="preserve">Chun FK, Graefen M, Zacharias M, Haese A, Steuber T, </w:t>
      </w:r>
      <w:proofErr w:type="spellStart"/>
      <w:r w:rsidRPr="008622E5">
        <w:t>Schlomm</w:t>
      </w:r>
      <w:proofErr w:type="spellEnd"/>
      <w:r w:rsidRPr="008622E5">
        <w:t xml:space="preserve"> T, Walz J, </w:t>
      </w:r>
      <w:proofErr w:type="spellStart"/>
      <w:r w:rsidRPr="008622E5">
        <w:t>Karakiewicz</w:t>
      </w:r>
      <w:proofErr w:type="spellEnd"/>
      <w:r w:rsidRPr="008622E5">
        <w:t xml:space="preserve"> PI, Huland H. Anatomic radical retropubic prostatectomy-long-term recurrence-free survival rates for localized prostate cancer. World J Urol. 2006 Aug;24(3):273-80. doi: 10.1007/s00345-006-0058-2. Epub 2006 Feb 28. PMID: 16506049.</w:t>
      </w:r>
      <w:r>
        <w:t xml:space="preserve">; </w:t>
      </w:r>
      <w:r w:rsidRPr="008622E5">
        <w:t>Han M, Partin AW, Pound CR, Epstein JI, Walsh PC. Long-term biochemical disease-free and cancer-specific survival following anatomic radical retropubic prostatectomy. The 15-year Johns Hopkins experience. Urol Clin North Am. 2001 Aug;28(3):555-65. doi: 10.1016/s0094-0143(05)70163-4. PMID: 11590814.</w:t>
      </w:r>
      <w:r>
        <w:t xml:space="preserve">; </w:t>
      </w:r>
      <w:r w:rsidRPr="008622E5">
        <w:t>Liesenfeld L, Kron M, Gschwend JE, Herkommer K. Prognostic Factors for Biochemical Recurrence More than 10 Years after Radical Prostatectomy. J Urol. 2017 Jan;197(1):143-148. doi: 10.1016/j.juro.2016.07.004. Epub 2016 Jul 11. PMID: 27418452.</w:t>
      </w:r>
    </w:p>
    <w:p w14:paraId="0259FDC2" w14:textId="77777777" w:rsidR="00305C78" w:rsidRDefault="00E16BBF" w:rsidP="00305C78">
      <w:pPr>
        <w:pStyle w:val="FooterTableFigure"/>
        <w:ind w:left="142" w:hanging="142"/>
      </w:pPr>
      <w:r>
        <w:t>c</w:t>
      </w:r>
      <w:r>
        <w:tab/>
      </w:r>
      <w:r w:rsidRPr="0014174D">
        <w:t xml:space="preserve">Beckmann K, O'Callaghan M, Vincent A, </w:t>
      </w:r>
      <w:proofErr w:type="spellStart"/>
      <w:r w:rsidRPr="0014174D">
        <w:t>Roder</w:t>
      </w:r>
      <w:proofErr w:type="spellEnd"/>
      <w:r w:rsidRPr="0014174D">
        <w:t xml:space="preserve"> D, Millar J, Evans S, McNeil J, Moretti K. Australian validation of the Cancer of the Prostate Risk Assessment Post-Surgical score to predict biochemical recurrence</w:t>
      </w:r>
      <w:r w:rsidR="00305C78" w:rsidRPr="00305C78">
        <w:t xml:space="preserve"> </w:t>
      </w:r>
    </w:p>
    <w:p w14:paraId="76213FEB" w14:textId="71F80077" w:rsidR="00EF762B" w:rsidRDefault="00E16BBF" w:rsidP="00EF762B">
      <w:pPr>
        <w:pStyle w:val="FooterTableFigure"/>
        <w:ind w:left="142" w:hanging="142"/>
      </w:pPr>
      <w:r w:rsidRPr="0014174D">
        <w:t>after radical prostatectomy. ANZ J Surg. 2018 Mar;88(3):E183-E188. doi: 10.1111/ans.13954. Epub 2017 May 4. PMID: 28471003.</w:t>
      </w:r>
      <w:r w:rsidR="00EF762B" w:rsidRPr="00EF762B">
        <w:t xml:space="preserve"> </w:t>
      </w:r>
    </w:p>
    <w:p w14:paraId="7DC935BD" w14:textId="1E1A6855" w:rsidR="00EF762B" w:rsidRPr="007017BA" w:rsidRDefault="00EF762B" w:rsidP="00EF762B">
      <w:pPr>
        <w:pStyle w:val="FooterTableFigure"/>
        <w:ind w:left="142" w:hanging="142"/>
        <w:rPr>
          <w:i/>
          <w:iCs/>
        </w:rPr>
      </w:pPr>
      <w:r w:rsidRPr="007017BA">
        <w:rPr>
          <w:i/>
          <w:iCs/>
        </w:rPr>
        <w:t xml:space="preserve">The redacted values correspond to the following ranges: </w:t>
      </w:r>
    </w:p>
    <w:p w14:paraId="2B1F967D" w14:textId="77777777" w:rsidR="00EF762B" w:rsidRPr="007017BA" w:rsidRDefault="00EF762B" w:rsidP="00EF762B">
      <w:pPr>
        <w:pStyle w:val="FooterTableFigure"/>
        <w:ind w:left="142" w:hanging="142"/>
        <w:rPr>
          <w:i/>
          <w:iCs/>
        </w:rPr>
      </w:pPr>
      <w:r w:rsidRPr="007017BA">
        <w:rPr>
          <w:i/>
          <w:iCs/>
        </w:rPr>
        <w:t>1 500 to &lt; 5,000</w:t>
      </w:r>
    </w:p>
    <w:p w14:paraId="19E891B3" w14:textId="2105E68F" w:rsidR="00E16BBF" w:rsidRPr="00E16BBF" w:rsidRDefault="00E16BBF" w:rsidP="00E16BBF">
      <w:pPr>
        <w:pStyle w:val="3-BodyText"/>
        <w:numPr>
          <w:ilvl w:val="1"/>
          <w:numId w:val="1"/>
        </w:numPr>
      </w:pPr>
      <w:r w:rsidRPr="00E16BBF">
        <w:fldChar w:fldCharType="begin" w:fldLock="1"/>
      </w:r>
      <w:r w:rsidRPr="00E16BBF">
        <w:instrText xml:space="preserve"> REF _Ref104805295 \h  \* MERGEFORMAT </w:instrText>
      </w:r>
      <w:r w:rsidRPr="00E16BBF">
        <w:fldChar w:fldCharType="separate"/>
      </w:r>
      <w:r w:rsidRPr="00E16BBF">
        <w:t>Table 16</w:t>
      </w:r>
      <w:r w:rsidRPr="00E16BBF">
        <w:fldChar w:fldCharType="end"/>
      </w:r>
      <w:r w:rsidRPr="00E16BBF">
        <w:t xml:space="preserve"> summarises the estimated net financial implications to the PBS/RPBS for the requested listing of enzalutamide. </w:t>
      </w:r>
    </w:p>
    <w:p w14:paraId="0A2A49E9" w14:textId="0F721B05" w:rsidR="00E16BBF" w:rsidRPr="0098262F" w:rsidRDefault="00E16BBF" w:rsidP="007017BA">
      <w:pPr>
        <w:pStyle w:val="Caption"/>
      </w:pPr>
      <w:bookmarkStart w:id="64" w:name="_Ref104805295"/>
      <w:r w:rsidRPr="0098262F">
        <w:lastRenderedPageBreak/>
        <w:t xml:space="preserve">Table </w:t>
      </w:r>
      <w:r>
        <w:fldChar w:fldCharType="begin" w:fldLock="1"/>
      </w:r>
      <w:r>
        <w:instrText xml:space="preserve"> SEQ Table \* ARABIC </w:instrText>
      </w:r>
      <w:r>
        <w:fldChar w:fldCharType="separate"/>
      </w:r>
      <w:r w:rsidR="00DF24EF">
        <w:rPr>
          <w:noProof/>
        </w:rPr>
        <w:t>16</w:t>
      </w:r>
      <w:r>
        <w:rPr>
          <w:noProof/>
        </w:rPr>
        <w:fldChar w:fldCharType="end"/>
      </w:r>
      <w:bookmarkEnd w:id="64"/>
      <w:r w:rsidRPr="0098262F">
        <w:t>:</w:t>
      </w:r>
      <w:r w:rsidRPr="0098262F">
        <w:rPr>
          <w:rStyle w:val="CommentReference"/>
          <w:b/>
          <w:szCs w:val="24"/>
        </w:rPr>
        <w:t xml:space="preserve"> Estimated use and financial implications</w:t>
      </w:r>
    </w:p>
    <w:tbl>
      <w:tblPr>
        <w:tblStyle w:val="TableGrid"/>
        <w:tblW w:w="5001" w:type="pct"/>
        <w:tblCellMar>
          <w:left w:w="28" w:type="dxa"/>
          <w:right w:w="28" w:type="dxa"/>
        </w:tblCellMar>
        <w:tblLook w:val="04A0" w:firstRow="1" w:lastRow="0" w:firstColumn="1" w:lastColumn="0" w:noHBand="0" w:noVBand="1"/>
        <w:tblCaption w:val="Table 16: Estimated use and financial implications"/>
      </w:tblPr>
      <w:tblGrid>
        <w:gridCol w:w="1740"/>
        <w:gridCol w:w="17"/>
        <w:gridCol w:w="969"/>
        <w:gridCol w:w="63"/>
        <w:gridCol w:w="906"/>
        <w:gridCol w:w="63"/>
        <w:gridCol w:w="906"/>
        <w:gridCol w:w="63"/>
        <w:gridCol w:w="1032"/>
        <w:gridCol w:w="47"/>
        <w:gridCol w:w="1043"/>
        <w:gridCol w:w="27"/>
        <w:gridCol w:w="1068"/>
        <w:gridCol w:w="11"/>
        <w:gridCol w:w="1064"/>
      </w:tblGrid>
      <w:tr w:rsidR="00E16BBF" w:rsidRPr="00E16BBF" w14:paraId="289D3504" w14:textId="77777777" w:rsidTr="007A6C0C">
        <w:trPr>
          <w:trHeight w:val="57"/>
          <w:tblHeader/>
        </w:trPr>
        <w:tc>
          <w:tcPr>
            <w:tcW w:w="965" w:type="pct"/>
          </w:tcPr>
          <w:p w14:paraId="136226DF" w14:textId="77777777" w:rsidR="00E16BBF" w:rsidRPr="00E16BBF" w:rsidRDefault="00E16BBF" w:rsidP="007017BA">
            <w:pPr>
              <w:pStyle w:val="Tabletext"/>
              <w:keepNext/>
              <w:keepLines/>
              <w:rPr>
                <w:b/>
                <w:bCs/>
                <w:szCs w:val="20"/>
              </w:rPr>
            </w:pPr>
          </w:p>
        </w:tc>
        <w:tc>
          <w:tcPr>
            <w:tcW w:w="582" w:type="pct"/>
            <w:gridSpan w:val="3"/>
            <w:shd w:val="clear" w:color="auto" w:fill="auto"/>
            <w:vAlign w:val="center"/>
          </w:tcPr>
          <w:p w14:paraId="3779E778" w14:textId="77777777" w:rsidR="00E16BBF" w:rsidRPr="00E16BBF" w:rsidRDefault="00E16BBF" w:rsidP="007017BA">
            <w:pPr>
              <w:pStyle w:val="Tabletext"/>
              <w:keepNext/>
              <w:keepLines/>
              <w:jc w:val="center"/>
              <w:rPr>
                <w:b/>
                <w:bCs/>
                <w:szCs w:val="20"/>
              </w:rPr>
            </w:pPr>
            <w:r w:rsidRPr="00E16BBF">
              <w:rPr>
                <w:b/>
                <w:bCs/>
                <w:szCs w:val="20"/>
              </w:rPr>
              <w:t>Year 1</w:t>
            </w:r>
          </w:p>
        </w:tc>
        <w:tc>
          <w:tcPr>
            <w:tcW w:w="537" w:type="pct"/>
            <w:gridSpan w:val="2"/>
            <w:shd w:val="clear" w:color="auto" w:fill="auto"/>
            <w:vAlign w:val="center"/>
          </w:tcPr>
          <w:p w14:paraId="5AB1B1BF" w14:textId="77777777" w:rsidR="00E16BBF" w:rsidRPr="00E16BBF" w:rsidRDefault="00E16BBF" w:rsidP="007017BA">
            <w:pPr>
              <w:pStyle w:val="Tabletext"/>
              <w:keepNext/>
              <w:keepLines/>
              <w:jc w:val="center"/>
              <w:rPr>
                <w:b/>
                <w:bCs/>
                <w:szCs w:val="20"/>
              </w:rPr>
            </w:pPr>
            <w:r w:rsidRPr="00E16BBF">
              <w:rPr>
                <w:b/>
                <w:bCs/>
                <w:szCs w:val="20"/>
              </w:rPr>
              <w:t>Year 2</w:t>
            </w:r>
          </w:p>
        </w:tc>
        <w:tc>
          <w:tcPr>
            <w:tcW w:w="537" w:type="pct"/>
            <w:gridSpan w:val="2"/>
            <w:shd w:val="clear" w:color="auto" w:fill="auto"/>
            <w:vAlign w:val="center"/>
          </w:tcPr>
          <w:p w14:paraId="6DFCCD57" w14:textId="77777777" w:rsidR="00E16BBF" w:rsidRPr="00E16BBF" w:rsidRDefault="00E16BBF" w:rsidP="007017BA">
            <w:pPr>
              <w:pStyle w:val="Tabletext"/>
              <w:keepNext/>
              <w:keepLines/>
              <w:jc w:val="center"/>
              <w:rPr>
                <w:b/>
                <w:bCs/>
                <w:szCs w:val="20"/>
              </w:rPr>
            </w:pPr>
            <w:r w:rsidRPr="00E16BBF">
              <w:rPr>
                <w:b/>
                <w:bCs/>
                <w:szCs w:val="20"/>
              </w:rPr>
              <w:t>Year 3</w:t>
            </w:r>
          </w:p>
        </w:tc>
        <w:tc>
          <w:tcPr>
            <w:tcW w:w="598" w:type="pct"/>
            <w:gridSpan w:val="2"/>
            <w:shd w:val="clear" w:color="auto" w:fill="auto"/>
            <w:vAlign w:val="center"/>
          </w:tcPr>
          <w:p w14:paraId="165E8476" w14:textId="77777777" w:rsidR="00E16BBF" w:rsidRPr="00E16BBF" w:rsidRDefault="00E16BBF" w:rsidP="007017BA">
            <w:pPr>
              <w:pStyle w:val="Tabletext"/>
              <w:keepNext/>
              <w:keepLines/>
              <w:jc w:val="center"/>
              <w:rPr>
                <w:b/>
                <w:bCs/>
                <w:szCs w:val="20"/>
              </w:rPr>
            </w:pPr>
            <w:r w:rsidRPr="00E16BBF">
              <w:rPr>
                <w:b/>
                <w:bCs/>
                <w:szCs w:val="20"/>
              </w:rPr>
              <w:t>Year 4</w:t>
            </w:r>
          </w:p>
        </w:tc>
        <w:tc>
          <w:tcPr>
            <w:tcW w:w="593" w:type="pct"/>
            <w:gridSpan w:val="2"/>
            <w:shd w:val="clear" w:color="auto" w:fill="auto"/>
            <w:vAlign w:val="center"/>
          </w:tcPr>
          <w:p w14:paraId="430C4E1A" w14:textId="77777777" w:rsidR="00E16BBF" w:rsidRPr="00E16BBF" w:rsidRDefault="00E16BBF" w:rsidP="007017BA">
            <w:pPr>
              <w:pStyle w:val="Tabletext"/>
              <w:keepNext/>
              <w:keepLines/>
              <w:jc w:val="center"/>
              <w:rPr>
                <w:b/>
                <w:bCs/>
                <w:szCs w:val="20"/>
              </w:rPr>
            </w:pPr>
            <w:r w:rsidRPr="00E16BBF">
              <w:rPr>
                <w:b/>
                <w:bCs/>
                <w:szCs w:val="20"/>
              </w:rPr>
              <w:t>Year 5</w:t>
            </w:r>
          </w:p>
        </w:tc>
        <w:tc>
          <w:tcPr>
            <w:tcW w:w="598" w:type="pct"/>
            <w:gridSpan w:val="2"/>
            <w:shd w:val="clear" w:color="auto" w:fill="auto"/>
            <w:vAlign w:val="center"/>
          </w:tcPr>
          <w:p w14:paraId="4A1D0DDE" w14:textId="77777777" w:rsidR="00E16BBF" w:rsidRPr="00E16BBF" w:rsidRDefault="00E16BBF" w:rsidP="007017BA">
            <w:pPr>
              <w:pStyle w:val="Tabletext"/>
              <w:keepNext/>
              <w:keepLines/>
              <w:jc w:val="center"/>
              <w:rPr>
                <w:b/>
                <w:bCs/>
                <w:szCs w:val="20"/>
              </w:rPr>
            </w:pPr>
            <w:r w:rsidRPr="00E16BBF">
              <w:rPr>
                <w:b/>
                <w:bCs/>
                <w:szCs w:val="20"/>
              </w:rPr>
              <w:t>Year 6</w:t>
            </w:r>
          </w:p>
        </w:tc>
        <w:tc>
          <w:tcPr>
            <w:tcW w:w="590" w:type="pct"/>
            <w:vAlign w:val="center"/>
          </w:tcPr>
          <w:p w14:paraId="57A9CFFE" w14:textId="77777777" w:rsidR="00E16BBF" w:rsidRPr="00E16BBF" w:rsidRDefault="00E16BBF" w:rsidP="007017BA">
            <w:pPr>
              <w:pStyle w:val="Tabletext"/>
              <w:keepNext/>
              <w:keepLines/>
              <w:jc w:val="center"/>
              <w:rPr>
                <w:b/>
                <w:bCs/>
                <w:szCs w:val="20"/>
              </w:rPr>
            </w:pPr>
            <w:r w:rsidRPr="00E16BBF">
              <w:rPr>
                <w:b/>
                <w:bCs/>
                <w:szCs w:val="20"/>
              </w:rPr>
              <w:t>Total</w:t>
            </w:r>
          </w:p>
        </w:tc>
      </w:tr>
      <w:tr w:rsidR="00E16BBF" w:rsidRPr="00E16BBF" w14:paraId="6B0FC4C3" w14:textId="77777777" w:rsidTr="007A6C0C">
        <w:trPr>
          <w:trHeight w:val="57"/>
        </w:trPr>
        <w:tc>
          <w:tcPr>
            <w:tcW w:w="4999" w:type="pct"/>
            <w:gridSpan w:val="15"/>
          </w:tcPr>
          <w:p w14:paraId="3207A9F4" w14:textId="77777777" w:rsidR="00E16BBF" w:rsidRPr="00E16BBF" w:rsidRDefault="00E16BBF" w:rsidP="007017BA">
            <w:pPr>
              <w:pStyle w:val="Tabletext"/>
              <w:keepNext/>
              <w:keepLines/>
              <w:rPr>
                <w:b/>
                <w:bCs/>
                <w:szCs w:val="20"/>
              </w:rPr>
            </w:pPr>
            <w:r w:rsidRPr="00E16BBF">
              <w:rPr>
                <w:b/>
                <w:bCs/>
                <w:szCs w:val="20"/>
              </w:rPr>
              <w:t>Number of eligible patients with mHSPC</w:t>
            </w:r>
          </w:p>
        </w:tc>
      </w:tr>
      <w:tr w:rsidR="00E16BBF" w:rsidRPr="00E16BBF" w14:paraId="04D920AE" w14:textId="77777777" w:rsidTr="007A6C0C">
        <w:trPr>
          <w:trHeight w:val="57"/>
        </w:trPr>
        <w:tc>
          <w:tcPr>
            <w:tcW w:w="965" w:type="pct"/>
          </w:tcPr>
          <w:p w14:paraId="56FC65D9" w14:textId="77777777" w:rsidR="00E16BBF" w:rsidRPr="00E16BBF" w:rsidRDefault="00E16BBF" w:rsidP="007017BA">
            <w:pPr>
              <w:pStyle w:val="Tabletext"/>
              <w:keepNext/>
              <w:keepLines/>
              <w:rPr>
                <w:szCs w:val="20"/>
              </w:rPr>
            </w:pPr>
            <w:r w:rsidRPr="00E16BBF">
              <w:rPr>
                <w:szCs w:val="20"/>
              </w:rPr>
              <w:t>Total patients HR-BCR m0HSPC</w:t>
            </w:r>
          </w:p>
        </w:tc>
        <w:tc>
          <w:tcPr>
            <w:tcW w:w="582" w:type="pct"/>
            <w:gridSpan w:val="3"/>
            <w:shd w:val="clear" w:color="auto" w:fill="auto"/>
            <w:vAlign w:val="center"/>
          </w:tcPr>
          <w:p w14:paraId="2BDC1D29" w14:textId="4F769053" w:rsidR="00E16BBF" w:rsidRPr="00E16BBF" w:rsidRDefault="00E639BD" w:rsidP="007017BA">
            <w:pPr>
              <w:pStyle w:val="Tabletext"/>
              <w:keepNext/>
              <w:keepLines/>
              <w:jc w:val="center"/>
              <w:rPr>
                <w:rFonts w:cstheme="minorHAnsi"/>
                <w:color w:val="000000"/>
                <w:szCs w:val="20"/>
              </w:rPr>
            </w:pPr>
            <w:r w:rsidRPr="00E639BD">
              <w:rPr>
                <w:rFonts w:hint="eastAsia"/>
                <w:color w:val="000000"/>
                <w:w w:val="22"/>
                <w:shd w:val="solid" w:color="000000" w:fill="000000"/>
                <w:fitText w:val="100" w:id="-761099004"/>
                <w14:textFill>
                  <w14:solidFill>
                    <w14:srgbClr w14:val="000000">
                      <w14:alpha w14:val="100000"/>
                    </w14:srgbClr>
                  </w14:solidFill>
                </w14:textFill>
              </w:rPr>
              <w:t xml:space="preserve">　</w:t>
            </w:r>
            <w:r w:rsidRPr="00E639BD">
              <w:rPr>
                <w:color w:val="000000"/>
                <w:w w:val="22"/>
                <w:shd w:val="solid" w:color="000000" w:fill="000000"/>
                <w:fitText w:val="100" w:id="-761099004"/>
                <w14:textFill>
                  <w14:solidFill>
                    <w14:srgbClr w14:val="000000">
                      <w14:alpha w14:val="100000"/>
                    </w14:srgbClr>
                  </w14:solidFill>
                </w14:textFill>
              </w:rPr>
              <w:t>|</w:t>
            </w:r>
            <w:r w:rsidRPr="00E639BD">
              <w:rPr>
                <w:rFonts w:hint="eastAsia"/>
                <w:color w:val="000000"/>
                <w:spacing w:val="3"/>
                <w:w w:val="22"/>
                <w:shd w:val="solid" w:color="000000" w:fill="000000"/>
                <w:fitText w:val="100" w:id="-761099004"/>
                <w14:textFill>
                  <w14:solidFill>
                    <w14:srgbClr w14:val="000000">
                      <w14:alpha w14:val="100000"/>
                    </w14:srgbClr>
                  </w14:solidFill>
                </w14:textFill>
              </w:rPr>
              <w:t xml:space="preserve">　</w:t>
            </w:r>
            <w:r w:rsidR="003C4E76" w:rsidRPr="003C4E76">
              <w:rPr>
                <w:vertAlign w:val="superscript"/>
              </w:rPr>
              <w:t>1</w:t>
            </w:r>
            <w:r w:rsidR="00E16BBF" w:rsidRPr="00E16BBF">
              <w:t>*</w:t>
            </w:r>
          </w:p>
        </w:tc>
        <w:tc>
          <w:tcPr>
            <w:tcW w:w="537" w:type="pct"/>
            <w:gridSpan w:val="2"/>
            <w:shd w:val="clear" w:color="auto" w:fill="auto"/>
            <w:vAlign w:val="center"/>
          </w:tcPr>
          <w:p w14:paraId="365773E1" w14:textId="59087201" w:rsidR="00E16BBF" w:rsidRPr="006D41F3" w:rsidRDefault="00E639BD" w:rsidP="007017BA">
            <w:pPr>
              <w:pStyle w:val="Tabletext"/>
              <w:keepNext/>
              <w:keepLines/>
              <w:jc w:val="center"/>
              <w:rPr>
                <w:rFonts w:cstheme="minorHAnsi"/>
                <w:color w:val="000000"/>
                <w:szCs w:val="20"/>
                <w:highlight w:val="darkGray"/>
              </w:rPr>
            </w:pPr>
            <w:r w:rsidRPr="00E639BD">
              <w:rPr>
                <w:rFonts w:hint="eastAsia"/>
                <w:color w:val="000000"/>
                <w:w w:val="27"/>
                <w:shd w:val="solid" w:color="000000" w:fill="000000"/>
                <w:fitText w:val="120" w:id="-761099003"/>
                <w14:textFill>
                  <w14:solidFill>
                    <w14:srgbClr w14:val="000000">
                      <w14:alpha w14:val="100000"/>
                    </w14:srgbClr>
                  </w14:solidFill>
                </w14:textFill>
              </w:rPr>
              <w:t xml:space="preserve">　</w:t>
            </w:r>
            <w:r w:rsidRPr="00E639BD">
              <w:rPr>
                <w:color w:val="000000"/>
                <w:w w:val="27"/>
                <w:shd w:val="solid" w:color="000000" w:fill="000000"/>
                <w:fitText w:val="120" w:id="-761099003"/>
                <w14:textFill>
                  <w14:solidFill>
                    <w14:srgbClr w14:val="000000">
                      <w14:alpha w14:val="100000"/>
                    </w14:srgbClr>
                  </w14:solidFill>
                </w14:textFill>
              </w:rPr>
              <w:t>|</w:t>
            </w:r>
            <w:r w:rsidRPr="00E639BD">
              <w:rPr>
                <w:rFonts w:hint="eastAsia"/>
                <w:color w:val="000000"/>
                <w:spacing w:val="2"/>
                <w:w w:val="27"/>
                <w:shd w:val="solid" w:color="000000" w:fill="000000"/>
                <w:fitText w:val="120" w:id="-761099003"/>
                <w14:textFill>
                  <w14:solidFill>
                    <w14:srgbClr w14:val="000000">
                      <w14:alpha w14:val="100000"/>
                    </w14:srgbClr>
                  </w14:solidFill>
                </w14:textFill>
              </w:rPr>
              <w:t xml:space="preserve">　</w:t>
            </w:r>
            <w:r w:rsidR="003C4E76" w:rsidRPr="003C4E76">
              <w:rPr>
                <w:vertAlign w:val="superscript"/>
              </w:rPr>
              <w:t>1</w:t>
            </w:r>
          </w:p>
        </w:tc>
        <w:tc>
          <w:tcPr>
            <w:tcW w:w="537" w:type="pct"/>
            <w:gridSpan w:val="2"/>
            <w:shd w:val="clear" w:color="auto" w:fill="auto"/>
            <w:vAlign w:val="center"/>
          </w:tcPr>
          <w:p w14:paraId="54054B3D" w14:textId="037213FD" w:rsidR="00E16BBF" w:rsidRPr="006D41F3" w:rsidRDefault="00E639BD" w:rsidP="007017BA">
            <w:pPr>
              <w:pStyle w:val="Tabletext"/>
              <w:keepNext/>
              <w:keepLines/>
              <w:jc w:val="center"/>
              <w:rPr>
                <w:rFonts w:cstheme="minorHAnsi"/>
                <w:color w:val="000000"/>
                <w:szCs w:val="20"/>
                <w:highlight w:val="darkGray"/>
              </w:rPr>
            </w:pPr>
            <w:r w:rsidRPr="00E639BD">
              <w:rPr>
                <w:rFonts w:hint="eastAsia"/>
                <w:color w:val="000000"/>
                <w:w w:val="27"/>
                <w:shd w:val="solid" w:color="000000" w:fill="000000"/>
                <w:fitText w:val="120" w:id="-761099002"/>
                <w14:textFill>
                  <w14:solidFill>
                    <w14:srgbClr w14:val="000000">
                      <w14:alpha w14:val="100000"/>
                    </w14:srgbClr>
                  </w14:solidFill>
                </w14:textFill>
              </w:rPr>
              <w:t xml:space="preserve">　</w:t>
            </w:r>
            <w:r w:rsidRPr="00E639BD">
              <w:rPr>
                <w:color w:val="000000"/>
                <w:w w:val="27"/>
                <w:shd w:val="solid" w:color="000000" w:fill="000000"/>
                <w:fitText w:val="120" w:id="-761099002"/>
                <w14:textFill>
                  <w14:solidFill>
                    <w14:srgbClr w14:val="000000">
                      <w14:alpha w14:val="100000"/>
                    </w14:srgbClr>
                  </w14:solidFill>
                </w14:textFill>
              </w:rPr>
              <w:t>|</w:t>
            </w:r>
            <w:r w:rsidRPr="00E639BD">
              <w:rPr>
                <w:rFonts w:hint="eastAsia"/>
                <w:color w:val="000000"/>
                <w:spacing w:val="2"/>
                <w:w w:val="27"/>
                <w:shd w:val="solid" w:color="000000" w:fill="000000"/>
                <w:fitText w:val="120" w:id="-761099002"/>
                <w14:textFill>
                  <w14:solidFill>
                    <w14:srgbClr w14:val="000000">
                      <w14:alpha w14:val="100000"/>
                    </w14:srgbClr>
                  </w14:solidFill>
                </w14:textFill>
              </w:rPr>
              <w:t xml:space="preserve">　</w:t>
            </w:r>
            <w:r w:rsidR="003C4E76" w:rsidRPr="003C4E76">
              <w:rPr>
                <w:vertAlign w:val="superscript"/>
              </w:rPr>
              <w:t>1</w:t>
            </w:r>
          </w:p>
        </w:tc>
        <w:tc>
          <w:tcPr>
            <w:tcW w:w="598" w:type="pct"/>
            <w:gridSpan w:val="2"/>
            <w:shd w:val="clear" w:color="auto" w:fill="auto"/>
            <w:vAlign w:val="center"/>
          </w:tcPr>
          <w:p w14:paraId="6A244E75" w14:textId="386C499C" w:rsidR="00E16BBF" w:rsidRPr="006D41F3" w:rsidRDefault="00E639BD" w:rsidP="007017BA">
            <w:pPr>
              <w:pStyle w:val="Tabletext"/>
              <w:keepNext/>
              <w:keepLines/>
              <w:jc w:val="center"/>
              <w:rPr>
                <w:rFonts w:cstheme="minorHAnsi"/>
                <w:color w:val="000000"/>
                <w:szCs w:val="20"/>
                <w:highlight w:val="darkGray"/>
              </w:rPr>
            </w:pPr>
            <w:r w:rsidRPr="00E639BD">
              <w:rPr>
                <w:rFonts w:hint="eastAsia"/>
                <w:color w:val="000000"/>
                <w:w w:val="15"/>
                <w:shd w:val="solid" w:color="000000" w:fill="000000"/>
                <w:fitText w:val="60" w:id="-761099001"/>
                <w14:textFill>
                  <w14:solidFill>
                    <w14:srgbClr w14:val="000000">
                      <w14:alpha w14:val="100000"/>
                    </w14:srgbClr>
                  </w14:solidFill>
                </w14:textFill>
              </w:rPr>
              <w:t xml:space="preserve">　</w:t>
            </w:r>
            <w:r w:rsidRPr="00E639BD">
              <w:rPr>
                <w:color w:val="000000"/>
                <w:w w:val="15"/>
                <w:shd w:val="solid" w:color="000000" w:fill="000000"/>
                <w:fitText w:val="60" w:id="-761099001"/>
                <w14:textFill>
                  <w14:solidFill>
                    <w14:srgbClr w14:val="000000">
                      <w14:alpha w14:val="100000"/>
                    </w14:srgbClr>
                  </w14:solidFill>
                </w14:textFill>
              </w:rPr>
              <w:t>|</w:t>
            </w:r>
            <w:r w:rsidRPr="00E639BD">
              <w:rPr>
                <w:rFonts w:hint="eastAsia"/>
                <w:color w:val="000000"/>
                <w:spacing w:val="-5"/>
                <w:w w:val="15"/>
                <w:shd w:val="solid" w:color="000000" w:fill="000000"/>
                <w:fitText w:val="60" w:id="-761099001"/>
                <w14:textFill>
                  <w14:solidFill>
                    <w14:srgbClr w14:val="000000">
                      <w14:alpha w14:val="100000"/>
                    </w14:srgbClr>
                  </w14:solidFill>
                </w14:textFill>
              </w:rPr>
              <w:t xml:space="preserve">　</w:t>
            </w:r>
            <w:r w:rsidR="00170B23" w:rsidRPr="003C4E76">
              <w:rPr>
                <w:vertAlign w:val="superscript"/>
              </w:rPr>
              <w:t>1</w:t>
            </w:r>
          </w:p>
        </w:tc>
        <w:tc>
          <w:tcPr>
            <w:tcW w:w="593" w:type="pct"/>
            <w:gridSpan w:val="2"/>
            <w:shd w:val="clear" w:color="auto" w:fill="auto"/>
            <w:vAlign w:val="center"/>
          </w:tcPr>
          <w:p w14:paraId="0DE2BC8B" w14:textId="4E96A5AF" w:rsidR="00E16BBF" w:rsidRPr="006D41F3" w:rsidRDefault="00E639BD" w:rsidP="007017BA">
            <w:pPr>
              <w:pStyle w:val="Tabletext"/>
              <w:keepNext/>
              <w:keepLines/>
              <w:jc w:val="center"/>
              <w:rPr>
                <w:rFonts w:cstheme="minorHAnsi"/>
                <w:color w:val="000000"/>
                <w:szCs w:val="20"/>
                <w:highlight w:val="darkGray"/>
              </w:rPr>
            </w:pPr>
            <w:r w:rsidRPr="00E639BD">
              <w:rPr>
                <w:rFonts w:hint="eastAsia"/>
                <w:color w:val="000000"/>
                <w:w w:val="18"/>
                <w:shd w:val="solid" w:color="000000" w:fill="000000"/>
                <w:fitText w:val="80" w:id="-761099000"/>
                <w14:textFill>
                  <w14:solidFill>
                    <w14:srgbClr w14:val="000000">
                      <w14:alpha w14:val="100000"/>
                    </w14:srgbClr>
                  </w14:solidFill>
                </w14:textFill>
              </w:rPr>
              <w:t xml:space="preserve">　</w:t>
            </w:r>
            <w:r w:rsidRPr="00E639BD">
              <w:rPr>
                <w:color w:val="000000"/>
                <w:w w:val="18"/>
                <w:shd w:val="solid" w:color="000000" w:fill="000000"/>
                <w:fitText w:val="80" w:id="-761099000"/>
                <w14:textFill>
                  <w14:solidFill>
                    <w14:srgbClr w14:val="000000">
                      <w14:alpha w14:val="100000"/>
                    </w14:srgbClr>
                  </w14:solidFill>
                </w14:textFill>
              </w:rPr>
              <w:t>|</w:t>
            </w:r>
            <w:r w:rsidRPr="00E639BD">
              <w:rPr>
                <w:rFonts w:hint="eastAsia"/>
                <w:color w:val="000000"/>
                <w:w w:val="18"/>
                <w:shd w:val="solid" w:color="000000" w:fill="000000"/>
                <w:fitText w:val="80" w:id="-761099000"/>
                <w14:textFill>
                  <w14:solidFill>
                    <w14:srgbClr w14:val="000000">
                      <w14:alpha w14:val="100000"/>
                    </w14:srgbClr>
                  </w14:solidFill>
                </w14:textFill>
              </w:rPr>
              <w:t xml:space="preserve">　</w:t>
            </w:r>
            <w:r w:rsidR="00170B23" w:rsidRPr="003C4E76">
              <w:rPr>
                <w:vertAlign w:val="superscript"/>
              </w:rPr>
              <w:t>1</w:t>
            </w:r>
          </w:p>
        </w:tc>
        <w:tc>
          <w:tcPr>
            <w:tcW w:w="598" w:type="pct"/>
            <w:gridSpan w:val="2"/>
            <w:shd w:val="clear" w:color="auto" w:fill="auto"/>
            <w:vAlign w:val="center"/>
          </w:tcPr>
          <w:p w14:paraId="4E67D266" w14:textId="5CECF976" w:rsidR="00E16BBF" w:rsidRPr="006D41F3" w:rsidRDefault="00E639BD" w:rsidP="007017BA">
            <w:pPr>
              <w:pStyle w:val="Tabletext"/>
              <w:keepNext/>
              <w:keepLines/>
              <w:jc w:val="center"/>
              <w:rPr>
                <w:rFonts w:cstheme="minorHAnsi"/>
                <w:color w:val="000000"/>
                <w:szCs w:val="20"/>
                <w:highlight w:val="darkGray"/>
              </w:rPr>
            </w:pPr>
            <w:r w:rsidRPr="00E639BD">
              <w:rPr>
                <w:rFonts w:hint="eastAsia"/>
                <w:color w:val="000000"/>
                <w:w w:val="15"/>
                <w:shd w:val="solid" w:color="000000" w:fill="000000"/>
                <w:fitText w:val="60" w:id="-761098999"/>
                <w14:textFill>
                  <w14:solidFill>
                    <w14:srgbClr w14:val="000000">
                      <w14:alpha w14:val="100000"/>
                    </w14:srgbClr>
                  </w14:solidFill>
                </w14:textFill>
              </w:rPr>
              <w:t xml:space="preserve">　</w:t>
            </w:r>
            <w:r w:rsidRPr="00E639BD">
              <w:rPr>
                <w:color w:val="000000"/>
                <w:w w:val="15"/>
                <w:shd w:val="solid" w:color="000000" w:fill="000000"/>
                <w:fitText w:val="60" w:id="-761098999"/>
                <w14:textFill>
                  <w14:solidFill>
                    <w14:srgbClr w14:val="000000">
                      <w14:alpha w14:val="100000"/>
                    </w14:srgbClr>
                  </w14:solidFill>
                </w14:textFill>
              </w:rPr>
              <w:t>|</w:t>
            </w:r>
            <w:r w:rsidRPr="00E639BD">
              <w:rPr>
                <w:rFonts w:hint="eastAsia"/>
                <w:color w:val="000000"/>
                <w:spacing w:val="-5"/>
                <w:w w:val="15"/>
                <w:shd w:val="solid" w:color="000000" w:fill="000000"/>
                <w:fitText w:val="60" w:id="-761098999"/>
                <w14:textFill>
                  <w14:solidFill>
                    <w14:srgbClr w14:val="000000">
                      <w14:alpha w14:val="100000"/>
                    </w14:srgbClr>
                  </w14:solidFill>
                </w14:textFill>
              </w:rPr>
              <w:t xml:space="preserve">　</w:t>
            </w:r>
            <w:r w:rsidR="00442ADB" w:rsidRPr="003C4E76">
              <w:rPr>
                <w:vertAlign w:val="superscript"/>
              </w:rPr>
              <w:t>1</w:t>
            </w:r>
          </w:p>
        </w:tc>
        <w:tc>
          <w:tcPr>
            <w:tcW w:w="590" w:type="pct"/>
            <w:vAlign w:val="center"/>
          </w:tcPr>
          <w:p w14:paraId="7FFF6BD7" w14:textId="29DF636B" w:rsidR="00E16BBF" w:rsidRPr="006D41F3" w:rsidRDefault="00E639BD" w:rsidP="007017BA">
            <w:pPr>
              <w:pStyle w:val="Tabletext"/>
              <w:keepNext/>
              <w:keepLines/>
              <w:jc w:val="center"/>
              <w:rPr>
                <w:szCs w:val="20"/>
                <w:highlight w:val="darkGray"/>
              </w:rPr>
            </w:pPr>
            <w:r w:rsidRPr="00E639BD">
              <w:rPr>
                <w:rFonts w:hint="eastAsia"/>
                <w:color w:val="000000"/>
                <w:w w:val="18"/>
                <w:shd w:val="solid" w:color="000000" w:fill="000000"/>
                <w:fitText w:val="80" w:id="-761098998"/>
                <w14:textFill>
                  <w14:solidFill>
                    <w14:srgbClr w14:val="000000">
                      <w14:alpha w14:val="100000"/>
                    </w14:srgbClr>
                  </w14:solidFill>
                </w14:textFill>
              </w:rPr>
              <w:t xml:space="preserve">　</w:t>
            </w:r>
            <w:r w:rsidRPr="00E639BD">
              <w:rPr>
                <w:color w:val="000000"/>
                <w:w w:val="18"/>
                <w:shd w:val="solid" w:color="000000" w:fill="000000"/>
                <w:fitText w:val="80" w:id="-761098998"/>
                <w14:textFill>
                  <w14:solidFill>
                    <w14:srgbClr w14:val="000000">
                      <w14:alpha w14:val="100000"/>
                    </w14:srgbClr>
                  </w14:solidFill>
                </w14:textFill>
              </w:rPr>
              <w:t>|</w:t>
            </w:r>
            <w:r w:rsidRPr="00E639BD">
              <w:rPr>
                <w:rFonts w:hint="eastAsia"/>
                <w:color w:val="000000"/>
                <w:w w:val="18"/>
                <w:shd w:val="solid" w:color="000000" w:fill="000000"/>
                <w:fitText w:val="80" w:id="-761098998"/>
                <w14:textFill>
                  <w14:solidFill>
                    <w14:srgbClr w14:val="000000">
                      <w14:alpha w14:val="100000"/>
                    </w14:srgbClr>
                  </w14:solidFill>
                </w14:textFill>
              </w:rPr>
              <w:t xml:space="preserve">　</w:t>
            </w:r>
            <w:r w:rsidR="007701AC" w:rsidRPr="007701AC">
              <w:rPr>
                <w:vertAlign w:val="superscript"/>
              </w:rPr>
              <w:t>2</w:t>
            </w:r>
          </w:p>
        </w:tc>
      </w:tr>
      <w:tr w:rsidR="00740830" w:rsidRPr="005E1708" w14:paraId="71E131D7" w14:textId="77777777" w:rsidTr="007A6C0C">
        <w:trPr>
          <w:trHeight w:val="57"/>
        </w:trPr>
        <w:tc>
          <w:tcPr>
            <w:tcW w:w="5000" w:type="pct"/>
            <w:gridSpan w:val="15"/>
          </w:tcPr>
          <w:p w14:paraId="073E08B8" w14:textId="77777777" w:rsidR="00740830" w:rsidRPr="00E97B8F" w:rsidRDefault="00740830" w:rsidP="007017BA">
            <w:pPr>
              <w:pStyle w:val="Tabletext"/>
              <w:keepNext/>
              <w:keepLines/>
              <w:rPr>
                <w:b/>
                <w:bCs/>
              </w:rPr>
            </w:pPr>
            <w:r w:rsidRPr="00E97B8F">
              <w:rPr>
                <w:b/>
                <w:bCs/>
              </w:rPr>
              <w:t>Estimated number of patients treated (patient years)</w:t>
            </w:r>
          </w:p>
        </w:tc>
      </w:tr>
      <w:tr w:rsidR="00740830" w:rsidRPr="005E1708" w14:paraId="609B7A63" w14:textId="77777777" w:rsidTr="007A6C0C">
        <w:trPr>
          <w:trHeight w:val="57"/>
        </w:trPr>
        <w:tc>
          <w:tcPr>
            <w:tcW w:w="975" w:type="pct"/>
            <w:gridSpan w:val="2"/>
          </w:tcPr>
          <w:p w14:paraId="6741EB61" w14:textId="77777777" w:rsidR="00740830" w:rsidRPr="00E97B8F" w:rsidRDefault="00740830" w:rsidP="007017BA">
            <w:pPr>
              <w:pStyle w:val="Tabletext"/>
              <w:keepNext/>
              <w:keepLines/>
            </w:pPr>
            <w:r w:rsidRPr="00E97B8F">
              <w:t>Incident patients</w:t>
            </w:r>
          </w:p>
        </w:tc>
        <w:tc>
          <w:tcPr>
            <w:tcW w:w="537" w:type="pct"/>
            <w:vAlign w:val="center"/>
          </w:tcPr>
          <w:p w14:paraId="66EFE631" w14:textId="4F76759E" w:rsidR="00740830" w:rsidRPr="006D41F3" w:rsidRDefault="00E639BD" w:rsidP="007017BA">
            <w:pPr>
              <w:pStyle w:val="Tabletext"/>
              <w:keepNext/>
              <w:keepLines/>
              <w:jc w:val="center"/>
              <w:rPr>
                <w:highlight w:val="darkGray"/>
              </w:rPr>
            </w:pPr>
            <w:r w:rsidRPr="00E639BD">
              <w:rPr>
                <w:rFonts w:hint="eastAsia"/>
                <w:color w:val="000000"/>
                <w:w w:val="27"/>
                <w:shd w:val="solid" w:color="000000" w:fill="000000"/>
                <w:fitText w:val="120" w:id="-761098997"/>
                <w14:textFill>
                  <w14:solidFill>
                    <w14:srgbClr w14:val="000000">
                      <w14:alpha w14:val="100000"/>
                    </w14:srgbClr>
                  </w14:solidFill>
                </w14:textFill>
              </w:rPr>
              <w:t xml:space="preserve">　</w:t>
            </w:r>
            <w:r w:rsidRPr="00E639BD">
              <w:rPr>
                <w:color w:val="000000"/>
                <w:w w:val="27"/>
                <w:shd w:val="solid" w:color="000000" w:fill="000000"/>
                <w:fitText w:val="120" w:id="-761098997"/>
                <w14:textFill>
                  <w14:solidFill>
                    <w14:srgbClr w14:val="000000">
                      <w14:alpha w14:val="100000"/>
                    </w14:srgbClr>
                  </w14:solidFill>
                </w14:textFill>
              </w:rPr>
              <w:t>|</w:t>
            </w:r>
            <w:r w:rsidRPr="00E639BD">
              <w:rPr>
                <w:rFonts w:hint="eastAsia"/>
                <w:color w:val="000000"/>
                <w:spacing w:val="2"/>
                <w:w w:val="27"/>
                <w:shd w:val="solid" w:color="000000" w:fill="000000"/>
                <w:fitText w:val="120" w:id="-761098997"/>
                <w14:textFill>
                  <w14:solidFill>
                    <w14:srgbClr w14:val="000000">
                      <w14:alpha w14:val="100000"/>
                    </w14:srgbClr>
                  </w14:solidFill>
                </w14:textFill>
              </w:rPr>
              <w:t xml:space="preserve">　</w:t>
            </w:r>
            <w:r w:rsidR="00442ADB" w:rsidRPr="003C4E76">
              <w:rPr>
                <w:vertAlign w:val="superscript"/>
              </w:rPr>
              <w:t>1</w:t>
            </w:r>
          </w:p>
        </w:tc>
        <w:tc>
          <w:tcPr>
            <w:tcW w:w="537" w:type="pct"/>
            <w:gridSpan w:val="2"/>
            <w:vAlign w:val="center"/>
          </w:tcPr>
          <w:p w14:paraId="1C5ECC9B" w14:textId="517D6D6B" w:rsidR="00740830" w:rsidRPr="006D41F3" w:rsidRDefault="00E639BD" w:rsidP="007017BA">
            <w:pPr>
              <w:pStyle w:val="Tabletext"/>
              <w:keepNext/>
              <w:keepLines/>
              <w:jc w:val="center"/>
              <w:rPr>
                <w:highlight w:val="darkGray"/>
              </w:rPr>
            </w:pPr>
            <w:r w:rsidRPr="00E639BD">
              <w:rPr>
                <w:rFonts w:hint="eastAsia"/>
                <w:color w:val="000000"/>
                <w:w w:val="27"/>
                <w:shd w:val="solid" w:color="000000" w:fill="000000"/>
                <w:fitText w:val="120" w:id="-761098996"/>
                <w14:textFill>
                  <w14:solidFill>
                    <w14:srgbClr w14:val="000000">
                      <w14:alpha w14:val="100000"/>
                    </w14:srgbClr>
                  </w14:solidFill>
                </w14:textFill>
              </w:rPr>
              <w:t xml:space="preserve">　</w:t>
            </w:r>
            <w:r w:rsidRPr="00E639BD">
              <w:rPr>
                <w:color w:val="000000"/>
                <w:w w:val="27"/>
                <w:shd w:val="solid" w:color="000000" w:fill="000000"/>
                <w:fitText w:val="120" w:id="-761098996"/>
                <w14:textFill>
                  <w14:solidFill>
                    <w14:srgbClr w14:val="000000">
                      <w14:alpha w14:val="100000"/>
                    </w14:srgbClr>
                  </w14:solidFill>
                </w14:textFill>
              </w:rPr>
              <w:t>|</w:t>
            </w:r>
            <w:r w:rsidRPr="00E639BD">
              <w:rPr>
                <w:rFonts w:hint="eastAsia"/>
                <w:color w:val="000000"/>
                <w:spacing w:val="2"/>
                <w:w w:val="27"/>
                <w:shd w:val="solid" w:color="000000" w:fill="000000"/>
                <w:fitText w:val="120" w:id="-761098996"/>
                <w14:textFill>
                  <w14:solidFill>
                    <w14:srgbClr w14:val="000000">
                      <w14:alpha w14:val="100000"/>
                    </w14:srgbClr>
                  </w14:solidFill>
                </w14:textFill>
              </w:rPr>
              <w:t xml:space="preserve">　</w:t>
            </w:r>
            <w:r w:rsidR="00442ADB" w:rsidRPr="003C4E76">
              <w:rPr>
                <w:vertAlign w:val="superscript"/>
              </w:rPr>
              <w:t>1</w:t>
            </w:r>
          </w:p>
        </w:tc>
        <w:tc>
          <w:tcPr>
            <w:tcW w:w="537" w:type="pct"/>
            <w:gridSpan w:val="2"/>
            <w:shd w:val="clear" w:color="auto" w:fill="auto"/>
            <w:vAlign w:val="center"/>
          </w:tcPr>
          <w:p w14:paraId="7BDC11E0" w14:textId="620E9CD8" w:rsidR="00740830" w:rsidRPr="006D41F3" w:rsidRDefault="00B9485F" w:rsidP="007017BA">
            <w:pPr>
              <w:pStyle w:val="Tabletext"/>
              <w:keepNext/>
              <w:keepLines/>
              <w:jc w:val="center"/>
              <w:rPr>
                <w:highlight w:val="darkGray"/>
              </w:rPr>
            </w:pPr>
            <w:r w:rsidRPr="00E639BD">
              <w:rPr>
                <w:rFonts w:hint="eastAsia"/>
                <w:color w:val="000000"/>
                <w:w w:val="15"/>
                <w:shd w:val="solid" w:color="000000" w:fill="000000"/>
                <w:fitText w:val="40" w:id="-761098994"/>
                <w14:textFill>
                  <w14:solidFill>
                    <w14:srgbClr w14:val="000000">
                      <w14:alpha w14:val="100000"/>
                    </w14:srgbClr>
                  </w14:solidFill>
                </w14:textFill>
              </w:rPr>
              <w:t xml:space="preserve">　</w:t>
            </w:r>
            <w:r w:rsidRPr="00E639BD">
              <w:rPr>
                <w:color w:val="000000"/>
                <w:w w:val="15"/>
                <w:shd w:val="solid" w:color="000000" w:fill="000000"/>
                <w:fitText w:val="40" w:id="-761098994"/>
                <w14:textFill>
                  <w14:solidFill>
                    <w14:srgbClr w14:val="000000">
                      <w14:alpha w14:val="100000"/>
                    </w14:srgbClr>
                  </w14:solidFill>
                </w14:textFill>
              </w:rPr>
              <w:t>|</w:t>
            </w:r>
            <w:r w:rsidRPr="00E639BD">
              <w:rPr>
                <w:rFonts w:hint="eastAsia"/>
                <w:color w:val="000000"/>
                <w:spacing w:val="-25"/>
                <w:w w:val="15"/>
                <w:shd w:val="solid" w:color="000000" w:fill="000000"/>
                <w:fitText w:val="40" w:id="-761098994"/>
                <w14:textFill>
                  <w14:solidFill>
                    <w14:srgbClr w14:val="000000">
                      <w14:alpha w14:val="100000"/>
                    </w14:srgbClr>
                  </w14:solidFill>
                </w14:textFill>
              </w:rPr>
              <w:t xml:space="preserve">　</w:t>
            </w:r>
            <w:r w:rsidRPr="003C4E76">
              <w:rPr>
                <w:vertAlign w:val="superscript"/>
              </w:rPr>
              <w:t>1</w:t>
            </w:r>
          </w:p>
        </w:tc>
        <w:tc>
          <w:tcPr>
            <w:tcW w:w="607" w:type="pct"/>
            <w:gridSpan w:val="2"/>
            <w:vAlign w:val="center"/>
          </w:tcPr>
          <w:p w14:paraId="44A6A7B9" w14:textId="53872325" w:rsidR="00740830" w:rsidRPr="006D41F3" w:rsidRDefault="00E639BD" w:rsidP="007017BA">
            <w:pPr>
              <w:pStyle w:val="Tabletext"/>
              <w:keepNext/>
              <w:keepLines/>
              <w:jc w:val="center"/>
              <w:rPr>
                <w:highlight w:val="darkGray"/>
              </w:rPr>
            </w:pPr>
            <w:r w:rsidRPr="00E639BD">
              <w:rPr>
                <w:rFonts w:hint="eastAsia"/>
                <w:color w:val="000000"/>
                <w:w w:val="15"/>
                <w:shd w:val="solid" w:color="000000" w:fill="000000"/>
                <w:fitText w:val="40" w:id="-761098994"/>
                <w14:textFill>
                  <w14:solidFill>
                    <w14:srgbClr w14:val="000000">
                      <w14:alpha w14:val="100000"/>
                    </w14:srgbClr>
                  </w14:solidFill>
                </w14:textFill>
              </w:rPr>
              <w:t xml:space="preserve">　</w:t>
            </w:r>
            <w:r w:rsidRPr="00E639BD">
              <w:rPr>
                <w:color w:val="000000"/>
                <w:w w:val="15"/>
                <w:shd w:val="solid" w:color="000000" w:fill="000000"/>
                <w:fitText w:val="40" w:id="-761098994"/>
                <w14:textFill>
                  <w14:solidFill>
                    <w14:srgbClr w14:val="000000">
                      <w14:alpha w14:val="100000"/>
                    </w14:srgbClr>
                  </w14:solidFill>
                </w14:textFill>
              </w:rPr>
              <w:t>|</w:t>
            </w:r>
            <w:r w:rsidRPr="00E639BD">
              <w:rPr>
                <w:rFonts w:hint="eastAsia"/>
                <w:color w:val="000000"/>
                <w:spacing w:val="-25"/>
                <w:w w:val="15"/>
                <w:shd w:val="solid" w:color="000000" w:fill="000000"/>
                <w:fitText w:val="40" w:id="-761098994"/>
                <w14:textFill>
                  <w14:solidFill>
                    <w14:srgbClr w14:val="000000">
                      <w14:alpha w14:val="100000"/>
                    </w14:srgbClr>
                  </w14:solidFill>
                </w14:textFill>
              </w:rPr>
              <w:t xml:space="preserve">　</w:t>
            </w:r>
            <w:r w:rsidR="00442ADB" w:rsidRPr="003C4E76">
              <w:rPr>
                <w:vertAlign w:val="superscript"/>
              </w:rPr>
              <w:t>1</w:t>
            </w:r>
          </w:p>
        </w:tc>
        <w:tc>
          <w:tcPr>
            <w:tcW w:w="604" w:type="pct"/>
            <w:gridSpan w:val="2"/>
            <w:vAlign w:val="center"/>
          </w:tcPr>
          <w:p w14:paraId="487D4D08" w14:textId="07597ED3" w:rsidR="00740830" w:rsidRPr="006D41F3" w:rsidRDefault="00E639BD" w:rsidP="007017BA">
            <w:pPr>
              <w:pStyle w:val="Tabletext"/>
              <w:keepNext/>
              <w:keepLines/>
              <w:jc w:val="center"/>
              <w:rPr>
                <w:highlight w:val="darkGray"/>
              </w:rPr>
            </w:pPr>
            <w:r w:rsidRPr="00E639BD">
              <w:rPr>
                <w:rFonts w:hint="eastAsia"/>
                <w:color w:val="000000"/>
                <w:w w:val="15"/>
                <w:shd w:val="solid" w:color="000000" w:fill="000000"/>
                <w:fitText w:val="60" w:id="-761098993"/>
                <w14:textFill>
                  <w14:solidFill>
                    <w14:srgbClr w14:val="000000">
                      <w14:alpha w14:val="100000"/>
                    </w14:srgbClr>
                  </w14:solidFill>
                </w14:textFill>
              </w:rPr>
              <w:t xml:space="preserve">　</w:t>
            </w:r>
            <w:r w:rsidRPr="00E639BD">
              <w:rPr>
                <w:color w:val="000000"/>
                <w:w w:val="15"/>
                <w:shd w:val="solid" w:color="000000" w:fill="000000"/>
                <w:fitText w:val="60" w:id="-761098993"/>
                <w14:textFill>
                  <w14:solidFill>
                    <w14:srgbClr w14:val="000000">
                      <w14:alpha w14:val="100000"/>
                    </w14:srgbClr>
                  </w14:solidFill>
                </w14:textFill>
              </w:rPr>
              <w:t>|</w:t>
            </w:r>
            <w:r w:rsidRPr="00E639BD">
              <w:rPr>
                <w:rFonts w:hint="eastAsia"/>
                <w:color w:val="000000"/>
                <w:spacing w:val="-5"/>
                <w:w w:val="15"/>
                <w:shd w:val="solid" w:color="000000" w:fill="000000"/>
                <w:fitText w:val="60" w:id="-761098993"/>
                <w14:textFill>
                  <w14:solidFill>
                    <w14:srgbClr w14:val="000000">
                      <w14:alpha w14:val="100000"/>
                    </w14:srgbClr>
                  </w14:solidFill>
                </w14:textFill>
              </w:rPr>
              <w:t xml:space="preserve">　</w:t>
            </w:r>
            <w:r w:rsidR="00442ADB" w:rsidRPr="003C4E76">
              <w:rPr>
                <w:vertAlign w:val="superscript"/>
              </w:rPr>
              <w:t>1</w:t>
            </w:r>
          </w:p>
        </w:tc>
        <w:tc>
          <w:tcPr>
            <w:tcW w:w="607" w:type="pct"/>
            <w:gridSpan w:val="2"/>
            <w:vAlign w:val="center"/>
          </w:tcPr>
          <w:p w14:paraId="0A010A2B" w14:textId="03CA52D1" w:rsidR="00740830" w:rsidRPr="006D41F3" w:rsidRDefault="00E639BD" w:rsidP="007017BA">
            <w:pPr>
              <w:pStyle w:val="Tabletext"/>
              <w:keepNext/>
              <w:keepLines/>
              <w:jc w:val="center"/>
              <w:rPr>
                <w:highlight w:val="darkGray"/>
              </w:rPr>
            </w:pPr>
            <w:r w:rsidRPr="00E639BD">
              <w:rPr>
                <w:rFonts w:hint="eastAsia"/>
                <w:color w:val="000000"/>
                <w:w w:val="15"/>
                <w:shd w:val="solid" w:color="000000" w:fill="000000"/>
                <w:fitText w:val="40" w:id="-761098992"/>
                <w14:textFill>
                  <w14:solidFill>
                    <w14:srgbClr w14:val="000000">
                      <w14:alpha w14:val="100000"/>
                    </w14:srgbClr>
                  </w14:solidFill>
                </w14:textFill>
              </w:rPr>
              <w:t xml:space="preserve">　</w:t>
            </w:r>
            <w:r w:rsidRPr="00E639BD">
              <w:rPr>
                <w:color w:val="000000"/>
                <w:w w:val="15"/>
                <w:shd w:val="solid" w:color="000000" w:fill="000000"/>
                <w:fitText w:val="40" w:id="-761098992"/>
                <w14:textFill>
                  <w14:solidFill>
                    <w14:srgbClr w14:val="000000">
                      <w14:alpha w14:val="100000"/>
                    </w14:srgbClr>
                  </w14:solidFill>
                </w14:textFill>
              </w:rPr>
              <w:t>|</w:t>
            </w:r>
            <w:r w:rsidRPr="00E639BD">
              <w:rPr>
                <w:rFonts w:hint="eastAsia"/>
                <w:color w:val="000000"/>
                <w:spacing w:val="-25"/>
                <w:w w:val="15"/>
                <w:shd w:val="solid" w:color="000000" w:fill="000000"/>
                <w:fitText w:val="40" w:id="-761098992"/>
                <w14:textFill>
                  <w14:solidFill>
                    <w14:srgbClr w14:val="000000">
                      <w14:alpha w14:val="100000"/>
                    </w14:srgbClr>
                  </w14:solidFill>
                </w14:textFill>
              </w:rPr>
              <w:t xml:space="preserve">　</w:t>
            </w:r>
            <w:r w:rsidR="00442ADB" w:rsidRPr="003C4E76">
              <w:rPr>
                <w:vertAlign w:val="superscript"/>
              </w:rPr>
              <w:t>1</w:t>
            </w:r>
          </w:p>
        </w:tc>
        <w:tc>
          <w:tcPr>
            <w:tcW w:w="594" w:type="pct"/>
            <w:gridSpan w:val="2"/>
            <w:vAlign w:val="center"/>
          </w:tcPr>
          <w:p w14:paraId="64EFDA6D" w14:textId="4DF05CED" w:rsidR="00740830" w:rsidRPr="006D41F3" w:rsidRDefault="00E639BD" w:rsidP="007017BA">
            <w:pPr>
              <w:pStyle w:val="Tabletext"/>
              <w:keepNext/>
              <w:keepLines/>
              <w:jc w:val="center"/>
              <w:rPr>
                <w:highlight w:val="darkGray"/>
              </w:rPr>
            </w:pPr>
            <w:r w:rsidRPr="00E639BD">
              <w:rPr>
                <w:rFonts w:hint="eastAsia"/>
                <w:color w:val="000000"/>
                <w:w w:val="18"/>
                <w:shd w:val="solid" w:color="000000" w:fill="000000"/>
                <w:fitText w:val="80" w:id="-761099008"/>
                <w14:textFill>
                  <w14:solidFill>
                    <w14:srgbClr w14:val="000000">
                      <w14:alpha w14:val="100000"/>
                    </w14:srgbClr>
                  </w14:solidFill>
                </w14:textFill>
              </w:rPr>
              <w:t xml:space="preserve">　</w:t>
            </w:r>
            <w:r w:rsidRPr="00E639BD">
              <w:rPr>
                <w:color w:val="000000"/>
                <w:w w:val="18"/>
                <w:shd w:val="solid" w:color="000000" w:fill="000000"/>
                <w:fitText w:val="80" w:id="-761099008"/>
                <w14:textFill>
                  <w14:solidFill>
                    <w14:srgbClr w14:val="000000">
                      <w14:alpha w14:val="100000"/>
                    </w14:srgbClr>
                  </w14:solidFill>
                </w14:textFill>
              </w:rPr>
              <w:t>|</w:t>
            </w:r>
            <w:r w:rsidRPr="00E639BD">
              <w:rPr>
                <w:rFonts w:hint="eastAsia"/>
                <w:color w:val="000000"/>
                <w:w w:val="18"/>
                <w:shd w:val="solid" w:color="000000" w:fill="000000"/>
                <w:fitText w:val="80" w:id="-761099008"/>
                <w14:textFill>
                  <w14:solidFill>
                    <w14:srgbClr w14:val="000000">
                      <w14:alpha w14:val="100000"/>
                    </w14:srgbClr>
                  </w14:solidFill>
                </w14:textFill>
              </w:rPr>
              <w:t xml:space="preserve">　</w:t>
            </w:r>
            <w:r w:rsidR="007701AC" w:rsidRPr="007701AC">
              <w:rPr>
                <w:vertAlign w:val="superscript"/>
              </w:rPr>
              <w:t>2</w:t>
            </w:r>
          </w:p>
        </w:tc>
      </w:tr>
      <w:tr w:rsidR="00740830" w:rsidRPr="005E1708" w14:paraId="749062AC" w14:textId="77777777" w:rsidTr="007A6C0C">
        <w:trPr>
          <w:trHeight w:val="57"/>
        </w:trPr>
        <w:tc>
          <w:tcPr>
            <w:tcW w:w="975" w:type="pct"/>
            <w:gridSpan w:val="2"/>
          </w:tcPr>
          <w:p w14:paraId="47B30C4B" w14:textId="77777777" w:rsidR="00740830" w:rsidRPr="00E97B8F" w:rsidRDefault="00740830" w:rsidP="007017BA">
            <w:pPr>
              <w:pStyle w:val="Tabletext"/>
              <w:keepNext/>
              <w:keepLines/>
            </w:pPr>
            <w:r w:rsidRPr="00E97B8F">
              <w:t>Grandfathered</w:t>
            </w:r>
          </w:p>
        </w:tc>
        <w:tc>
          <w:tcPr>
            <w:tcW w:w="537" w:type="pct"/>
            <w:vAlign w:val="center"/>
          </w:tcPr>
          <w:p w14:paraId="3AEB7B67" w14:textId="0753E028" w:rsidR="00740830" w:rsidRPr="006D41F3" w:rsidRDefault="00E639BD" w:rsidP="007017BA">
            <w:pPr>
              <w:pStyle w:val="Tabletext"/>
              <w:keepNext/>
              <w:keepLines/>
              <w:jc w:val="center"/>
              <w:rPr>
                <w:highlight w:val="darkGray"/>
              </w:rPr>
            </w:pPr>
            <w:r w:rsidRPr="00E639BD">
              <w:rPr>
                <w:rFonts w:hint="eastAsia"/>
                <w:color w:val="000000"/>
                <w:w w:val="27"/>
                <w:shd w:val="solid" w:color="000000" w:fill="000000"/>
                <w:fitText w:val="120" w:id="-761099007"/>
                <w14:textFill>
                  <w14:solidFill>
                    <w14:srgbClr w14:val="000000">
                      <w14:alpha w14:val="100000"/>
                    </w14:srgbClr>
                  </w14:solidFill>
                </w14:textFill>
              </w:rPr>
              <w:t xml:space="preserve">　</w:t>
            </w:r>
            <w:r w:rsidRPr="00E639BD">
              <w:rPr>
                <w:color w:val="000000"/>
                <w:w w:val="27"/>
                <w:shd w:val="solid" w:color="000000" w:fill="000000"/>
                <w:fitText w:val="120" w:id="-761099007"/>
                <w14:textFill>
                  <w14:solidFill>
                    <w14:srgbClr w14:val="000000">
                      <w14:alpha w14:val="100000"/>
                    </w14:srgbClr>
                  </w14:solidFill>
                </w14:textFill>
              </w:rPr>
              <w:t>|</w:t>
            </w:r>
            <w:r w:rsidRPr="00E639BD">
              <w:rPr>
                <w:rFonts w:hint="eastAsia"/>
                <w:color w:val="000000"/>
                <w:spacing w:val="2"/>
                <w:w w:val="27"/>
                <w:shd w:val="solid" w:color="000000" w:fill="000000"/>
                <w:fitText w:val="120" w:id="-761099007"/>
                <w14:textFill>
                  <w14:solidFill>
                    <w14:srgbClr w14:val="000000">
                      <w14:alpha w14:val="100000"/>
                    </w14:srgbClr>
                  </w14:solidFill>
                </w14:textFill>
              </w:rPr>
              <w:t xml:space="preserve">　</w:t>
            </w:r>
            <w:r w:rsidR="006740C8" w:rsidRPr="006740C8">
              <w:rPr>
                <w:vertAlign w:val="superscript"/>
              </w:rPr>
              <w:t>3</w:t>
            </w:r>
          </w:p>
        </w:tc>
        <w:tc>
          <w:tcPr>
            <w:tcW w:w="537" w:type="pct"/>
            <w:gridSpan w:val="2"/>
            <w:vAlign w:val="center"/>
          </w:tcPr>
          <w:p w14:paraId="76E9F64E" w14:textId="03B1D60F" w:rsidR="00740830" w:rsidRPr="006D41F3" w:rsidRDefault="00E639BD" w:rsidP="007017BA">
            <w:pPr>
              <w:pStyle w:val="Tabletext"/>
              <w:keepNext/>
              <w:keepLines/>
              <w:jc w:val="center"/>
              <w:rPr>
                <w:highlight w:val="darkGray"/>
              </w:rPr>
            </w:pPr>
            <w:r w:rsidRPr="00E639BD">
              <w:rPr>
                <w:rFonts w:hint="eastAsia"/>
                <w:color w:val="000000"/>
                <w:w w:val="27"/>
                <w:shd w:val="solid" w:color="000000" w:fill="000000"/>
                <w:fitText w:val="120" w:id="-761099006"/>
                <w14:textFill>
                  <w14:solidFill>
                    <w14:srgbClr w14:val="000000">
                      <w14:alpha w14:val="100000"/>
                    </w14:srgbClr>
                  </w14:solidFill>
                </w14:textFill>
              </w:rPr>
              <w:t xml:space="preserve">　</w:t>
            </w:r>
            <w:r w:rsidRPr="00E639BD">
              <w:rPr>
                <w:color w:val="000000"/>
                <w:w w:val="27"/>
                <w:shd w:val="solid" w:color="000000" w:fill="000000"/>
                <w:fitText w:val="120" w:id="-761099006"/>
                <w14:textFill>
                  <w14:solidFill>
                    <w14:srgbClr w14:val="000000">
                      <w14:alpha w14:val="100000"/>
                    </w14:srgbClr>
                  </w14:solidFill>
                </w14:textFill>
              </w:rPr>
              <w:t>|</w:t>
            </w:r>
            <w:r w:rsidRPr="00E639BD">
              <w:rPr>
                <w:rFonts w:hint="eastAsia"/>
                <w:color w:val="000000"/>
                <w:spacing w:val="2"/>
                <w:w w:val="27"/>
                <w:shd w:val="solid" w:color="000000" w:fill="000000"/>
                <w:fitText w:val="120" w:id="-761099006"/>
                <w14:textFill>
                  <w14:solidFill>
                    <w14:srgbClr w14:val="000000">
                      <w14:alpha w14:val="100000"/>
                    </w14:srgbClr>
                  </w14:solidFill>
                </w14:textFill>
              </w:rPr>
              <w:t xml:space="preserve">　</w:t>
            </w:r>
            <w:r w:rsidR="006740C8" w:rsidRPr="006740C8">
              <w:rPr>
                <w:vertAlign w:val="superscript"/>
              </w:rPr>
              <w:t>3</w:t>
            </w:r>
          </w:p>
        </w:tc>
        <w:tc>
          <w:tcPr>
            <w:tcW w:w="537" w:type="pct"/>
            <w:gridSpan w:val="2"/>
            <w:vAlign w:val="center"/>
          </w:tcPr>
          <w:p w14:paraId="089B1104" w14:textId="0A7BA0D0" w:rsidR="00740830" w:rsidRPr="006D41F3" w:rsidRDefault="00E639BD" w:rsidP="007017BA">
            <w:pPr>
              <w:pStyle w:val="Tabletext"/>
              <w:keepNext/>
              <w:keepLines/>
              <w:jc w:val="center"/>
              <w:rPr>
                <w:highlight w:val="darkGray"/>
              </w:rPr>
            </w:pPr>
            <w:r w:rsidRPr="00E639BD">
              <w:rPr>
                <w:rFonts w:hint="eastAsia"/>
                <w:color w:val="000000"/>
                <w:w w:val="27"/>
                <w:shd w:val="solid" w:color="000000" w:fill="000000"/>
                <w:fitText w:val="120" w:id="-761099005"/>
                <w14:textFill>
                  <w14:solidFill>
                    <w14:srgbClr w14:val="000000">
                      <w14:alpha w14:val="100000"/>
                    </w14:srgbClr>
                  </w14:solidFill>
                </w14:textFill>
              </w:rPr>
              <w:t xml:space="preserve">　</w:t>
            </w:r>
            <w:r w:rsidRPr="00E639BD">
              <w:rPr>
                <w:color w:val="000000"/>
                <w:w w:val="27"/>
                <w:shd w:val="solid" w:color="000000" w:fill="000000"/>
                <w:fitText w:val="120" w:id="-761099005"/>
                <w14:textFill>
                  <w14:solidFill>
                    <w14:srgbClr w14:val="000000">
                      <w14:alpha w14:val="100000"/>
                    </w14:srgbClr>
                  </w14:solidFill>
                </w14:textFill>
              </w:rPr>
              <w:t>|</w:t>
            </w:r>
            <w:r w:rsidRPr="00E639BD">
              <w:rPr>
                <w:rFonts w:hint="eastAsia"/>
                <w:color w:val="000000"/>
                <w:spacing w:val="2"/>
                <w:w w:val="27"/>
                <w:shd w:val="solid" w:color="000000" w:fill="000000"/>
                <w:fitText w:val="120" w:id="-761099005"/>
                <w14:textFill>
                  <w14:solidFill>
                    <w14:srgbClr w14:val="000000">
                      <w14:alpha w14:val="100000"/>
                    </w14:srgbClr>
                  </w14:solidFill>
                </w14:textFill>
              </w:rPr>
              <w:t xml:space="preserve">　</w:t>
            </w:r>
            <w:r w:rsidR="006740C8" w:rsidRPr="006740C8">
              <w:rPr>
                <w:vertAlign w:val="superscript"/>
              </w:rPr>
              <w:t>3</w:t>
            </w:r>
          </w:p>
        </w:tc>
        <w:tc>
          <w:tcPr>
            <w:tcW w:w="607" w:type="pct"/>
            <w:gridSpan w:val="2"/>
            <w:vAlign w:val="center"/>
          </w:tcPr>
          <w:p w14:paraId="3FE8718A" w14:textId="3BF341AD" w:rsidR="00740830" w:rsidRPr="006D41F3" w:rsidRDefault="00E639BD" w:rsidP="007017BA">
            <w:pPr>
              <w:pStyle w:val="Tabletext"/>
              <w:keepNext/>
              <w:keepLines/>
              <w:jc w:val="center"/>
              <w:rPr>
                <w:highlight w:val="darkGray"/>
              </w:rPr>
            </w:pPr>
            <w:r w:rsidRPr="00E639BD">
              <w:rPr>
                <w:rFonts w:hint="eastAsia"/>
                <w:color w:val="000000"/>
                <w:w w:val="15"/>
                <w:shd w:val="solid" w:color="000000" w:fill="000000"/>
                <w:fitText w:val="40" w:id="-761099004"/>
                <w14:textFill>
                  <w14:solidFill>
                    <w14:srgbClr w14:val="000000">
                      <w14:alpha w14:val="100000"/>
                    </w14:srgbClr>
                  </w14:solidFill>
                </w14:textFill>
              </w:rPr>
              <w:t xml:space="preserve">　</w:t>
            </w:r>
            <w:r w:rsidRPr="00E639BD">
              <w:rPr>
                <w:color w:val="000000"/>
                <w:w w:val="15"/>
                <w:shd w:val="solid" w:color="000000" w:fill="000000"/>
                <w:fitText w:val="40" w:id="-761099004"/>
                <w14:textFill>
                  <w14:solidFill>
                    <w14:srgbClr w14:val="000000">
                      <w14:alpha w14:val="100000"/>
                    </w14:srgbClr>
                  </w14:solidFill>
                </w14:textFill>
              </w:rPr>
              <w:t>|</w:t>
            </w:r>
            <w:r w:rsidRPr="00E639BD">
              <w:rPr>
                <w:rFonts w:hint="eastAsia"/>
                <w:color w:val="000000"/>
                <w:spacing w:val="-25"/>
                <w:w w:val="15"/>
                <w:shd w:val="solid" w:color="000000" w:fill="000000"/>
                <w:fitText w:val="40" w:id="-761099004"/>
                <w14:textFill>
                  <w14:solidFill>
                    <w14:srgbClr w14:val="000000">
                      <w14:alpha w14:val="100000"/>
                    </w14:srgbClr>
                  </w14:solidFill>
                </w14:textFill>
              </w:rPr>
              <w:t xml:space="preserve">　</w:t>
            </w:r>
            <w:r w:rsidR="006740C8" w:rsidRPr="006740C8">
              <w:rPr>
                <w:vertAlign w:val="superscript"/>
              </w:rPr>
              <w:t>3</w:t>
            </w:r>
          </w:p>
        </w:tc>
        <w:tc>
          <w:tcPr>
            <w:tcW w:w="604" w:type="pct"/>
            <w:gridSpan w:val="2"/>
            <w:vAlign w:val="center"/>
          </w:tcPr>
          <w:p w14:paraId="53587F9E" w14:textId="60281D5F" w:rsidR="00740830" w:rsidRPr="006D41F3" w:rsidRDefault="00E639BD" w:rsidP="007017BA">
            <w:pPr>
              <w:pStyle w:val="Tabletext"/>
              <w:keepNext/>
              <w:keepLines/>
              <w:jc w:val="center"/>
              <w:rPr>
                <w:highlight w:val="darkGray"/>
              </w:rPr>
            </w:pPr>
            <w:r w:rsidRPr="00E639BD">
              <w:rPr>
                <w:rFonts w:hint="eastAsia"/>
                <w:color w:val="000000"/>
                <w:w w:val="15"/>
                <w:shd w:val="solid" w:color="000000" w:fill="000000"/>
                <w:fitText w:val="60" w:id="-761099003"/>
                <w14:textFill>
                  <w14:solidFill>
                    <w14:srgbClr w14:val="000000">
                      <w14:alpha w14:val="100000"/>
                    </w14:srgbClr>
                  </w14:solidFill>
                </w14:textFill>
              </w:rPr>
              <w:t xml:space="preserve">　</w:t>
            </w:r>
            <w:r w:rsidRPr="00E639BD">
              <w:rPr>
                <w:color w:val="000000"/>
                <w:w w:val="15"/>
                <w:shd w:val="solid" w:color="000000" w:fill="000000"/>
                <w:fitText w:val="60" w:id="-761099003"/>
                <w14:textFill>
                  <w14:solidFill>
                    <w14:srgbClr w14:val="000000">
                      <w14:alpha w14:val="100000"/>
                    </w14:srgbClr>
                  </w14:solidFill>
                </w14:textFill>
              </w:rPr>
              <w:t>|</w:t>
            </w:r>
            <w:r w:rsidRPr="00E639BD">
              <w:rPr>
                <w:rFonts w:hint="eastAsia"/>
                <w:color w:val="000000"/>
                <w:spacing w:val="-5"/>
                <w:w w:val="15"/>
                <w:shd w:val="solid" w:color="000000" w:fill="000000"/>
                <w:fitText w:val="60" w:id="-761099003"/>
                <w14:textFill>
                  <w14:solidFill>
                    <w14:srgbClr w14:val="000000">
                      <w14:alpha w14:val="100000"/>
                    </w14:srgbClr>
                  </w14:solidFill>
                </w14:textFill>
              </w:rPr>
              <w:t xml:space="preserve">　</w:t>
            </w:r>
            <w:r w:rsidR="006740C8" w:rsidRPr="006740C8">
              <w:rPr>
                <w:vertAlign w:val="superscript"/>
              </w:rPr>
              <w:t>3</w:t>
            </w:r>
          </w:p>
        </w:tc>
        <w:tc>
          <w:tcPr>
            <w:tcW w:w="607" w:type="pct"/>
            <w:gridSpan w:val="2"/>
            <w:vAlign w:val="center"/>
          </w:tcPr>
          <w:p w14:paraId="0524AAFE" w14:textId="3295E404" w:rsidR="00740830" w:rsidRPr="006D41F3" w:rsidRDefault="00E639BD" w:rsidP="007017BA">
            <w:pPr>
              <w:pStyle w:val="Tabletext"/>
              <w:keepNext/>
              <w:keepLines/>
              <w:jc w:val="center"/>
              <w:rPr>
                <w:highlight w:val="darkGray"/>
              </w:rPr>
            </w:pPr>
            <w:r w:rsidRPr="00E639BD">
              <w:rPr>
                <w:rFonts w:hint="eastAsia"/>
                <w:color w:val="000000"/>
                <w:w w:val="15"/>
                <w:shd w:val="solid" w:color="000000" w:fill="000000"/>
                <w:fitText w:val="40" w:id="-761099002"/>
                <w14:textFill>
                  <w14:solidFill>
                    <w14:srgbClr w14:val="000000">
                      <w14:alpha w14:val="100000"/>
                    </w14:srgbClr>
                  </w14:solidFill>
                </w14:textFill>
              </w:rPr>
              <w:t xml:space="preserve">　</w:t>
            </w:r>
            <w:r w:rsidRPr="00E639BD">
              <w:rPr>
                <w:color w:val="000000"/>
                <w:w w:val="15"/>
                <w:shd w:val="solid" w:color="000000" w:fill="000000"/>
                <w:fitText w:val="40" w:id="-761099002"/>
                <w14:textFill>
                  <w14:solidFill>
                    <w14:srgbClr w14:val="000000">
                      <w14:alpha w14:val="100000"/>
                    </w14:srgbClr>
                  </w14:solidFill>
                </w14:textFill>
              </w:rPr>
              <w:t>|</w:t>
            </w:r>
            <w:r w:rsidRPr="00E639BD">
              <w:rPr>
                <w:rFonts w:hint="eastAsia"/>
                <w:color w:val="000000"/>
                <w:spacing w:val="-25"/>
                <w:w w:val="15"/>
                <w:shd w:val="solid" w:color="000000" w:fill="000000"/>
                <w:fitText w:val="40" w:id="-761099002"/>
                <w14:textFill>
                  <w14:solidFill>
                    <w14:srgbClr w14:val="000000">
                      <w14:alpha w14:val="100000"/>
                    </w14:srgbClr>
                  </w14:solidFill>
                </w14:textFill>
              </w:rPr>
              <w:t xml:space="preserve">　</w:t>
            </w:r>
            <w:r w:rsidR="006740C8" w:rsidRPr="006740C8">
              <w:rPr>
                <w:vertAlign w:val="superscript"/>
              </w:rPr>
              <w:t>3</w:t>
            </w:r>
          </w:p>
        </w:tc>
        <w:tc>
          <w:tcPr>
            <w:tcW w:w="594" w:type="pct"/>
            <w:gridSpan w:val="2"/>
            <w:vAlign w:val="center"/>
          </w:tcPr>
          <w:p w14:paraId="6AC07689" w14:textId="73634025" w:rsidR="00740830" w:rsidRPr="006D41F3" w:rsidRDefault="00E639BD" w:rsidP="007017BA">
            <w:pPr>
              <w:pStyle w:val="Tabletext"/>
              <w:keepNext/>
              <w:keepLines/>
              <w:jc w:val="center"/>
              <w:rPr>
                <w:highlight w:val="darkGray"/>
              </w:rPr>
            </w:pPr>
            <w:r w:rsidRPr="00E639BD">
              <w:rPr>
                <w:rFonts w:hint="eastAsia"/>
                <w:color w:val="000000"/>
                <w:w w:val="18"/>
                <w:shd w:val="solid" w:color="000000" w:fill="000000"/>
                <w:fitText w:val="80" w:id="-761099001"/>
                <w14:textFill>
                  <w14:solidFill>
                    <w14:srgbClr w14:val="000000">
                      <w14:alpha w14:val="100000"/>
                    </w14:srgbClr>
                  </w14:solidFill>
                </w14:textFill>
              </w:rPr>
              <w:t xml:space="preserve">　</w:t>
            </w:r>
            <w:r w:rsidRPr="00E639BD">
              <w:rPr>
                <w:color w:val="000000"/>
                <w:w w:val="18"/>
                <w:shd w:val="solid" w:color="000000" w:fill="000000"/>
                <w:fitText w:val="80" w:id="-761099001"/>
                <w14:textFill>
                  <w14:solidFill>
                    <w14:srgbClr w14:val="000000">
                      <w14:alpha w14:val="100000"/>
                    </w14:srgbClr>
                  </w14:solidFill>
                </w14:textFill>
              </w:rPr>
              <w:t>|</w:t>
            </w:r>
            <w:r w:rsidRPr="00E639BD">
              <w:rPr>
                <w:rFonts w:hint="eastAsia"/>
                <w:color w:val="000000"/>
                <w:w w:val="18"/>
                <w:shd w:val="solid" w:color="000000" w:fill="000000"/>
                <w:fitText w:val="80" w:id="-761099001"/>
                <w14:textFill>
                  <w14:solidFill>
                    <w14:srgbClr w14:val="000000">
                      <w14:alpha w14:val="100000"/>
                    </w14:srgbClr>
                  </w14:solidFill>
                </w14:textFill>
              </w:rPr>
              <w:t xml:space="preserve">　</w:t>
            </w:r>
            <w:r w:rsidR="00FD09D1" w:rsidRPr="003C4E76">
              <w:rPr>
                <w:vertAlign w:val="superscript"/>
              </w:rPr>
              <w:t>1</w:t>
            </w:r>
          </w:p>
        </w:tc>
      </w:tr>
      <w:tr w:rsidR="00740830" w:rsidRPr="005E1708" w14:paraId="0E0A1BE5" w14:textId="77777777" w:rsidTr="007A6C0C">
        <w:trPr>
          <w:trHeight w:val="57"/>
        </w:trPr>
        <w:tc>
          <w:tcPr>
            <w:tcW w:w="975" w:type="pct"/>
            <w:gridSpan w:val="2"/>
          </w:tcPr>
          <w:p w14:paraId="622658D1" w14:textId="77777777" w:rsidR="00740830" w:rsidRPr="00E97B8F" w:rsidRDefault="00740830" w:rsidP="007017BA">
            <w:pPr>
              <w:pStyle w:val="Tabletext"/>
              <w:keepNext/>
              <w:keepLines/>
            </w:pPr>
            <w:r w:rsidRPr="00E97B8F">
              <w:t>Total patients initiated on treatment</w:t>
            </w:r>
          </w:p>
        </w:tc>
        <w:tc>
          <w:tcPr>
            <w:tcW w:w="537" w:type="pct"/>
            <w:vAlign w:val="center"/>
          </w:tcPr>
          <w:p w14:paraId="742A3F56" w14:textId="34B6D003" w:rsidR="00740830" w:rsidRPr="006D41F3" w:rsidRDefault="00E639BD" w:rsidP="007017BA">
            <w:pPr>
              <w:pStyle w:val="Tabletext"/>
              <w:keepNext/>
              <w:keepLines/>
              <w:jc w:val="center"/>
              <w:rPr>
                <w:highlight w:val="darkGray"/>
              </w:rPr>
            </w:pPr>
            <w:r w:rsidRPr="00E639BD">
              <w:rPr>
                <w:rFonts w:hint="eastAsia"/>
                <w:color w:val="000000"/>
                <w:w w:val="27"/>
                <w:shd w:val="solid" w:color="000000" w:fill="000000"/>
                <w:fitText w:val="120" w:id="-761099000"/>
                <w14:textFill>
                  <w14:solidFill>
                    <w14:srgbClr w14:val="000000">
                      <w14:alpha w14:val="100000"/>
                    </w14:srgbClr>
                  </w14:solidFill>
                </w14:textFill>
              </w:rPr>
              <w:t xml:space="preserve">　</w:t>
            </w:r>
            <w:r w:rsidRPr="00E639BD">
              <w:rPr>
                <w:color w:val="000000"/>
                <w:w w:val="27"/>
                <w:shd w:val="solid" w:color="000000" w:fill="000000"/>
                <w:fitText w:val="120" w:id="-761099000"/>
                <w14:textFill>
                  <w14:solidFill>
                    <w14:srgbClr w14:val="000000">
                      <w14:alpha w14:val="100000"/>
                    </w14:srgbClr>
                  </w14:solidFill>
                </w14:textFill>
              </w:rPr>
              <w:t>|</w:t>
            </w:r>
            <w:r w:rsidRPr="00E639BD">
              <w:rPr>
                <w:rFonts w:hint="eastAsia"/>
                <w:color w:val="000000"/>
                <w:spacing w:val="2"/>
                <w:w w:val="27"/>
                <w:shd w:val="solid" w:color="000000" w:fill="000000"/>
                <w:fitText w:val="120" w:id="-761099000"/>
                <w14:textFill>
                  <w14:solidFill>
                    <w14:srgbClr w14:val="000000">
                      <w14:alpha w14:val="100000"/>
                    </w14:srgbClr>
                  </w14:solidFill>
                </w14:textFill>
              </w:rPr>
              <w:t xml:space="preserve">　</w:t>
            </w:r>
            <w:r w:rsidR="00442ADB" w:rsidRPr="003C4E76">
              <w:rPr>
                <w:vertAlign w:val="superscript"/>
              </w:rPr>
              <w:t>1</w:t>
            </w:r>
          </w:p>
        </w:tc>
        <w:tc>
          <w:tcPr>
            <w:tcW w:w="537" w:type="pct"/>
            <w:gridSpan w:val="2"/>
            <w:vAlign w:val="center"/>
          </w:tcPr>
          <w:p w14:paraId="13CCB849" w14:textId="16481A74" w:rsidR="00740830" w:rsidRPr="006D41F3" w:rsidRDefault="00E639BD" w:rsidP="007017BA">
            <w:pPr>
              <w:pStyle w:val="Tabletext"/>
              <w:keepNext/>
              <w:keepLines/>
              <w:jc w:val="center"/>
              <w:rPr>
                <w:highlight w:val="darkGray"/>
              </w:rPr>
            </w:pPr>
            <w:r w:rsidRPr="00E639BD">
              <w:rPr>
                <w:rFonts w:hint="eastAsia"/>
                <w:color w:val="000000"/>
                <w:w w:val="27"/>
                <w:shd w:val="solid" w:color="000000" w:fill="000000"/>
                <w:fitText w:val="120" w:id="-761098999"/>
                <w14:textFill>
                  <w14:solidFill>
                    <w14:srgbClr w14:val="000000">
                      <w14:alpha w14:val="100000"/>
                    </w14:srgbClr>
                  </w14:solidFill>
                </w14:textFill>
              </w:rPr>
              <w:t xml:space="preserve">　</w:t>
            </w:r>
            <w:r w:rsidRPr="00E639BD">
              <w:rPr>
                <w:color w:val="000000"/>
                <w:w w:val="27"/>
                <w:shd w:val="solid" w:color="000000" w:fill="000000"/>
                <w:fitText w:val="120" w:id="-761098999"/>
                <w14:textFill>
                  <w14:solidFill>
                    <w14:srgbClr w14:val="000000">
                      <w14:alpha w14:val="100000"/>
                    </w14:srgbClr>
                  </w14:solidFill>
                </w14:textFill>
              </w:rPr>
              <w:t>|</w:t>
            </w:r>
            <w:r w:rsidRPr="00E639BD">
              <w:rPr>
                <w:rFonts w:hint="eastAsia"/>
                <w:color w:val="000000"/>
                <w:spacing w:val="2"/>
                <w:w w:val="27"/>
                <w:shd w:val="solid" w:color="000000" w:fill="000000"/>
                <w:fitText w:val="120" w:id="-761098999"/>
                <w14:textFill>
                  <w14:solidFill>
                    <w14:srgbClr w14:val="000000">
                      <w14:alpha w14:val="100000"/>
                    </w14:srgbClr>
                  </w14:solidFill>
                </w14:textFill>
              </w:rPr>
              <w:t xml:space="preserve">　</w:t>
            </w:r>
            <w:r w:rsidR="00442ADB" w:rsidRPr="003C4E76">
              <w:rPr>
                <w:vertAlign w:val="superscript"/>
              </w:rPr>
              <w:t>1</w:t>
            </w:r>
          </w:p>
        </w:tc>
        <w:tc>
          <w:tcPr>
            <w:tcW w:w="537" w:type="pct"/>
            <w:gridSpan w:val="2"/>
            <w:vAlign w:val="center"/>
          </w:tcPr>
          <w:p w14:paraId="2FC68DAE" w14:textId="4DFE9938" w:rsidR="00740830" w:rsidRPr="006D41F3" w:rsidRDefault="00E639BD" w:rsidP="007017BA">
            <w:pPr>
              <w:pStyle w:val="Tabletext"/>
              <w:keepNext/>
              <w:keepLines/>
              <w:jc w:val="center"/>
              <w:rPr>
                <w:highlight w:val="darkGray"/>
              </w:rPr>
            </w:pPr>
            <w:r w:rsidRPr="00E639BD">
              <w:rPr>
                <w:rFonts w:hint="eastAsia"/>
                <w:color w:val="000000"/>
                <w:w w:val="27"/>
                <w:shd w:val="solid" w:color="000000" w:fill="000000"/>
                <w:fitText w:val="120" w:id="-761098998"/>
                <w14:textFill>
                  <w14:solidFill>
                    <w14:srgbClr w14:val="000000">
                      <w14:alpha w14:val="100000"/>
                    </w14:srgbClr>
                  </w14:solidFill>
                </w14:textFill>
              </w:rPr>
              <w:t xml:space="preserve">　</w:t>
            </w:r>
            <w:r w:rsidRPr="00E639BD">
              <w:rPr>
                <w:color w:val="000000"/>
                <w:w w:val="27"/>
                <w:shd w:val="solid" w:color="000000" w:fill="000000"/>
                <w:fitText w:val="120" w:id="-761098998"/>
                <w14:textFill>
                  <w14:solidFill>
                    <w14:srgbClr w14:val="000000">
                      <w14:alpha w14:val="100000"/>
                    </w14:srgbClr>
                  </w14:solidFill>
                </w14:textFill>
              </w:rPr>
              <w:t>|</w:t>
            </w:r>
            <w:r w:rsidRPr="00E639BD">
              <w:rPr>
                <w:rFonts w:hint="eastAsia"/>
                <w:color w:val="000000"/>
                <w:spacing w:val="2"/>
                <w:w w:val="27"/>
                <w:shd w:val="solid" w:color="000000" w:fill="000000"/>
                <w:fitText w:val="120" w:id="-761098998"/>
                <w14:textFill>
                  <w14:solidFill>
                    <w14:srgbClr w14:val="000000">
                      <w14:alpha w14:val="100000"/>
                    </w14:srgbClr>
                  </w14:solidFill>
                </w14:textFill>
              </w:rPr>
              <w:t xml:space="preserve">　</w:t>
            </w:r>
            <w:r w:rsidR="00442ADB" w:rsidRPr="003C4E76">
              <w:rPr>
                <w:vertAlign w:val="superscript"/>
              </w:rPr>
              <w:t>1</w:t>
            </w:r>
          </w:p>
        </w:tc>
        <w:tc>
          <w:tcPr>
            <w:tcW w:w="607" w:type="pct"/>
            <w:gridSpan w:val="2"/>
            <w:vAlign w:val="center"/>
          </w:tcPr>
          <w:p w14:paraId="6F3618C9" w14:textId="5B6A8ECA" w:rsidR="00740830" w:rsidRPr="006D41F3" w:rsidRDefault="00E639BD" w:rsidP="007017BA">
            <w:pPr>
              <w:pStyle w:val="Tabletext"/>
              <w:keepNext/>
              <w:keepLines/>
              <w:jc w:val="center"/>
              <w:rPr>
                <w:highlight w:val="darkGray"/>
              </w:rPr>
            </w:pPr>
            <w:r w:rsidRPr="00E639BD">
              <w:rPr>
                <w:rFonts w:hint="eastAsia"/>
                <w:color w:val="000000"/>
                <w:w w:val="15"/>
                <w:shd w:val="solid" w:color="000000" w:fill="000000"/>
                <w:fitText w:val="40" w:id="-761098997"/>
                <w14:textFill>
                  <w14:solidFill>
                    <w14:srgbClr w14:val="000000">
                      <w14:alpha w14:val="100000"/>
                    </w14:srgbClr>
                  </w14:solidFill>
                </w14:textFill>
              </w:rPr>
              <w:t xml:space="preserve">　</w:t>
            </w:r>
            <w:r w:rsidRPr="00E639BD">
              <w:rPr>
                <w:color w:val="000000"/>
                <w:w w:val="15"/>
                <w:shd w:val="solid" w:color="000000" w:fill="000000"/>
                <w:fitText w:val="40" w:id="-761098997"/>
                <w14:textFill>
                  <w14:solidFill>
                    <w14:srgbClr w14:val="000000">
                      <w14:alpha w14:val="100000"/>
                    </w14:srgbClr>
                  </w14:solidFill>
                </w14:textFill>
              </w:rPr>
              <w:t>|</w:t>
            </w:r>
            <w:r w:rsidRPr="00E639BD">
              <w:rPr>
                <w:rFonts w:hint="eastAsia"/>
                <w:color w:val="000000"/>
                <w:spacing w:val="-25"/>
                <w:w w:val="15"/>
                <w:shd w:val="solid" w:color="000000" w:fill="000000"/>
                <w:fitText w:val="40" w:id="-761098997"/>
                <w14:textFill>
                  <w14:solidFill>
                    <w14:srgbClr w14:val="000000">
                      <w14:alpha w14:val="100000"/>
                    </w14:srgbClr>
                  </w14:solidFill>
                </w14:textFill>
              </w:rPr>
              <w:t xml:space="preserve">　</w:t>
            </w:r>
            <w:r w:rsidR="00FD09D1" w:rsidRPr="003C4E76">
              <w:rPr>
                <w:vertAlign w:val="superscript"/>
              </w:rPr>
              <w:t>1</w:t>
            </w:r>
          </w:p>
        </w:tc>
        <w:tc>
          <w:tcPr>
            <w:tcW w:w="604" w:type="pct"/>
            <w:gridSpan w:val="2"/>
            <w:vAlign w:val="center"/>
          </w:tcPr>
          <w:p w14:paraId="0961C94A" w14:textId="6D0F8EE1" w:rsidR="00740830" w:rsidRPr="006D41F3" w:rsidRDefault="00E639BD" w:rsidP="007017BA">
            <w:pPr>
              <w:pStyle w:val="Tabletext"/>
              <w:keepNext/>
              <w:keepLines/>
              <w:jc w:val="center"/>
              <w:rPr>
                <w:highlight w:val="darkGray"/>
              </w:rPr>
            </w:pPr>
            <w:r w:rsidRPr="00E639BD">
              <w:rPr>
                <w:rFonts w:hint="eastAsia"/>
                <w:color w:val="000000"/>
                <w:w w:val="15"/>
                <w:shd w:val="solid" w:color="000000" w:fill="000000"/>
                <w:fitText w:val="60" w:id="-761098996"/>
                <w14:textFill>
                  <w14:solidFill>
                    <w14:srgbClr w14:val="000000">
                      <w14:alpha w14:val="100000"/>
                    </w14:srgbClr>
                  </w14:solidFill>
                </w14:textFill>
              </w:rPr>
              <w:t xml:space="preserve">　</w:t>
            </w:r>
            <w:r w:rsidRPr="00E639BD">
              <w:rPr>
                <w:color w:val="000000"/>
                <w:w w:val="15"/>
                <w:shd w:val="solid" w:color="000000" w:fill="000000"/>
                <w:fitText w:val="60" w:id="-761098996"/>
                <w14:textFill>
                  <w14:solidFill>
                    <w14:srgbClr w14:val="000000">
                      <w14:alpha w14:val="100000"/>
                    </w14:srgbClr>
                  </w14:solidFill>
                </w14:textFill>
              </w:rPr>
              <w:t>|</w:t>
            </w:r>
            <w:r w:rsidRPr="00E639BD">
              <w:rPr>
                <w:rFonts w:hint="eastAsia"/>
                <w:color w:val="000000"/>
                <w:spacing w:val="-5"/>
                <w:w w:val="15"/>
                <w:shd w:val="solid" w:color="000000" w:fill="000000"/>
                <w:fitText w:val="60" w:id="-761098996"/>
                <w14:textFill>
                  <w14:solidFill>
                    <w14:srgbClr w14:val="000000">
                      <w14:alpha w14:val="100000"/>
                    </w14:srgbClr>
                  </w14:solidFill>
                </w14:textFill>
              </w:rPr>
              <w:t xml:space="preserve">　</w:t>
            </w:r>
            <w:r w:rsidR="00FD09D1" w:rsidRPr="003C4E76">
              <w:rPr>
                <w:vertAlign w:val="superscript"/>
              </w:rPr>
              <w:t>1</w:t>
            </w:r>
          </w:p>
        </w:tc>
        <w:tc>
          <w:tcPr>
            <w:tcW w:w="607" w:type="pct"/>
            <w:gridSpan w:val="2"/>
            <w:vAlign w:val="center"/>
          </w:tcPr>
          <w:p w14:paraId="0773CF83" w14:textId="636ED8E7" w:rsidR="00740830" w:rsidRPr="006D41F3" w:rsidRDefault="00E639BD" w:rsidP="007017BA">
            <w:pPr>
              <w:pStyle w:val="Tabletext"/>
              <w:keepNext/>
              <w:keepLines/>
              <w:jc w:val="center"/>
              <w:rPr>
                <w:highlight w:val="darkGray"/>
              </w:rPr>
            </w:pPr>
            <w:r w:rsidRPr="00E639BD">
              <w:rPr>
                <w:rFonts w:hint="eastAsia"/>
                <w:color w:val="000000"/>
                <w:w w:val="15"/>
                <w:shd w:val="solid" w:color="000000" w:fill="000000"/>
                <w:fitText w:val="40" w:id="-761098995"/>
                <w14:textFill>
                  <w14:solidFill>
                    <w14:srgbClr w14:val="000000">
                      <w14:alpha w14:val="100000"/>
                    </w14:srgbClr>
                  </w14:solidFill>
                </w14:textFill>
              </w:rPr>
              <w:t xml:space="preserve">　</w:t>
            </w:r>
            <w:r w:rsidRPr="00E639BD">
              <w:rPr>
                <w:color w:val="000000"/>
                <w:w w:val="15"/>
                <w:shd w:val="solid" w:color="000000" w:fill="000000"/>
                <w:fitText w:val="40" w:id="-761098995"/>
                <w14:textFill>
                  <w14:solidFill>
                    <w14:srgbClr w14:val="000000">
                      <w14:alpha w14:val="100000"/>
                    </w14:srgbClr>
                  </w14:solidFill>
                </w14:textFill>
              </w:rPr>
              <w:t>|</w:t>
            </w:r>
            <w:r w:rsidRPr="00E639BD">
              <w:rPr>
                <w:rFonts w:hint="eastAsia"/>
                <w:color w:val="000000"/>
                <w:spacing w:val="-25"/>
                <w:w w:val="15"/>
                <w:shd w:val="solid" w:color="000000" w:fill="000000"/>
                <w:fitText w:val="40" w:id="-761098995"/>
                <w14:textFill>
                  <w14:solidFill>
                    <w14:srgbClr w14:val="000000">
                      <w14:alpha w14:val="100000"/>
                    </w14:srgbClr>
                  </w14:solidFill>
                </w14:textFill>
              </w:rPr>
              <w:t xml:space="preserve">　</w:t>
            </w:r>
            <w:r w:rsidR="00FD09D1" w:rsidRPr="003C4E76">
              <w:rPr>
                <w:vertAlign w:val="superscript"/>
              </w:rPr>
              <w:t>1</w:t>
            </w:r>
          </w:p>
        </w:tc>
        <w:tc>
          <w:tcPr>
            <w:tcW w:w="594" w:type="pct"/>
            <w:gridSpan w:val="2"/>
            <w:vAlign w:val="center"/>
          </w:tcPr>
          <w:p w14:paraId="00EC8DD7" w14:textId="03EFA02F" w:rsidR="00740830" w:rsidRPr="006D41F3" w:rsidRDefault="00E639BD" w:rsidP="007017BA">
            <w:pPr>
              <w:pStyle w:val="Tabletext"/>
              <w:keepNext/>
              <w:keepLines/>
              <w:jc w:val="center"/>
              <w:rPr>
                <w:b/>
                <w:bCs/>
                <w:highlight w:val="darkGray"/>
              </w:rPr>
            </w:pPr>
            <w:r w:rsidRPr="00E639BD">
              <w:rPr>
                <w:rFonts w:hint="eastAsia"/>
                <w:color w:val="000000"/>
                <w:w w:val="18"/>
                <w:shd w:val="solid" w:color="000000" w:fill="000000"/>
                <w:fitText w:val="80" w:id="-761098994"/>
                <w14:textFill>
                  <w14:solidFill>
                    <w14:srgbClr w14:val="000000">
                      <w14:alpha w14:val="100000"/>
                    </w14:srgbClr>
                  </w14:solidFill>
                </w14:textFill>
              </w:rPr>
              <w:t xml:space="preserve">　</w:t>
            </w:r>
            <w:r w:rsidRPr="00E639BD">
              <w:rPr>
                <w:color w:val="000000"/>
                <w:w w:val="18"/>
                <w:shd w:val="solid" w:color="000000" w:fill="000000"/>
                <w:fitText w:val="80" w:id="-761098994"/>
                <w14:textFill>
                  <w14:solidFill>
                    <w14:srgbClr w14:val="000000">
                      <w14:alpha w14:val="100000"/>
                    </w14:srgbClr>
                  </w14:solidFill>
                </w14:textFill>
              </w:rPr>
              <w:t>|</w:t>
            </w:r>
            <w:r w:rsidRPr="00E639BD">
              <w:rPr>
                <w:rFonts w:hint="eastAsia"/>
                <w:color w:val="000000"/>
                <w:w w:val="18"/>
                <w:shd w:val="solid" w:color="000000" w:fill="000000"/>
                <w:fitText w:val="80" w:id="-761098994"/>
                <w14:textFill>
                  <w14:solidFill>
                    <w14:srgbClr w14:val="000000">
                      <w14:alpha w14:val="100000"/>
                    </w14:srgbClr>
                  </w14:solidFill>
                </w14:textFill>
              </w:rPr>
              <w:t xml:space="preserve">　</w:t>
            </w:r>
            <w:r w:rsidR="007701AC" w:rsidRPr="007701AC">
              <w:rPr>
                <w:vertAlign w:val="superscript"/>
              </w:rPr>
              <w:t>2</w:t>
            </w:r>
          </w:p>
        </w:tc>
      </w:tr>
      <w:tr w:rsidR="00740830" w:rsidRPr="005E1708" w14:paraId="65A8D0D0" w14:textId="77777777" w:rsidTr="007A6C0C">
        <w:trPr>
          <w:trHeight w:val="57"/>
        </w:trPr>
        <w:tc>
          <w:tcPr>
            <w:tcW w:w="975" w:type="pct"/>
            <w:gridSpan w:val="2"/>
          </w:tcPr>
          <w:p w14:paraId="34DCC8CE" w14:textId="77777777" w:rsidR="00740830" w:rsidRPr="00E97B8F" w:rsidRDefault="00740830" w:rsidP="007017BA">
            <w:pPr>
              <w:pStyle w:val="Tabletext"/>
              <w:keepNext/>
              <w:keepLines/>
            </w:pPr>
            <w:r w:rsidRPr="00E97B8F">
              <w:t>Total patients treated each year</w:t>
            </w:r>
            <w:r w:rsidRPr="00E97B8F">
              <w:rPr>
                <w:vertAlign w:val="superscript"/>
              </w:rPr>
              <w:t>a</w:t>
            </w:r>
          </w:p>
        </w:tc>
        <w:tc>
          <w:tcPr>
            <w:tcW w:w="537" w:type="pct"/>
            <w:vAlign w:val="center"/>
          </w:tcPr>
          <w:p w14:paraId="1510570D" w14:textId="6B21B959" w:rsidR="00740830" w:rsidRPr="006D41F3" w:rsidRDefault="00E639BD" w:rsidP="007017BA">
            <w:pPr>
              <w:pStyle w:val="Tabletext"/>
              <w:keepNext/>
              <w:keepLines/>
              <w:jc w:val="center"/>
              <w:rPr>
                <w:highlight w:val="darkGray"/>
              </w:rPr>
            </w:pPr>
            <w:r w:rsidRPr="00E639BD">
              <w:rPr>
                <w:rFonts w:hint="eastAsia"/>
                <w:color w:val="000000"/>
                <w:w w:val="27"/>
                <w:shd w:val="solid" w:color="000000" w:fill="000000"/>
                <w:fitText w:val="120" w:id="-761098993"/>
                <w14:textFill>
                  <w14:solidFill>
                    <w14:srgbClr w14:val="000000">
                      <w14:alpha w14:val="100000"/>
                    </w14:srgbClr>
                  </w14:solidFill>
                </w14:textFill>
              </w:rPr>
              <w:t xml:space="preserve">　</w:t>
            </w:r>
            <w:r w:rsidRPr="00E639BD">
              <w:rPr>
                <w:color w:val="000000"/>
                <w:w w:val="27"/>
                <w:shd w:val="solid" w:color="000000" w:fill="000000"/>
                <w:fitText w:val="120" w:id="-761098993"/>
                <w14:textFill>
                  <w14:solidFill>
                    <w14:srgbClr w14:val="000000">
                      <w14:alpha w14:val="100000"/>
                    </w14:srgbClr>
                  </w14:solidFill>
                </w14:textFill>
              </w:rPr>
              <w:t>|</w:t>
            </w:r>
            <w:r w:rsidRPr="00E639BD">
              <w:rPr>
                <w:rFonts w:hint="eastAsia"/>
                <w:color w:val="000000"/>
                <w:spacing w:val="2"/>
                <w:w w:val="27"/>
                <w:shd w:val="solid" w:color="000000" w:fill="000000"/>
                <w:fitText w:val="120" w:id="-761098993"/>
                <w14:textFill>
                  <w14:solidFill>
                    <w14:srgbClr w14:val="000000">
                      <w14:alpha w14:val="100000"/>
                    </w14:srgbClr>
                  </w14:solidFill>
                </w14:textFill>
              </w:rPr>
              <w:t xml:space="preserve">　</w:t>
            </w:r>
            <w:r w:rsidR="00FD09D1" w:rsidRPr="003C4E76">
              <w:rPr>
                <w:vertAlign w:val="superscript"/>
              </w:rPr>
              <w:t>1</w:t>
            </w:r>
          </w:p>
        </w:tc>
        <w:tc>
          <w:tcPr>
            <w:tcW w:w="537" w:type="pct"/>
            <w:gridSpan w:val="2"/>
            <w:vAlign w:val="center"/>
          </w:tcPr>
          <w:p w14:paraId="2EE83F24" w14:textId="42AA10CA" w:rsidR="00740830" w:rsidRPr="006D41F3" w:rsidRDefault="00E639BD" w:rsidP="007017BA">
            <w:pPr>
              <w:pStyle w:val="Tabletext"/>
              <w:keepNext/>
              <w:keepLines/>
              <w:jc w:val="center"/>
              <w:rPr>
                <w:highlight w:val="darkGray"/>
              </w:rPr>
            </w:pPr>
            <w:r w:rsidRPr="00E639BD">
              <w:rPr>
                <w:rFonts w:hint="eastAsia"/>
                <w:color w:val="000000"/>
                <w:w w:val="27"/>
                <w:shd w:val="solid" w:color="000000" w:fill="000000"/>
                <w:fitText w:val="120" w:id="-761098992"/>
                <w14:textFill>
                  <w14:solidFill>
                    <w14:srgbClr w14:val="000000">
                      <w14:alpha w14:val="100000"/>
                    </w14:srgbClr>
                  </w14:solidFill>
                </w14:textFill>
              </w:rPr>
              <w:t xml:space="preserve">　</w:t>
            </w:r>
            <w:r w:rsidRPr="00E639BD">
              <w:rPr>
                <w:color w:val="000000"/>
                <w:w w:val="27"/>
                <w:shd w:val="solid" w:color="000000" w:fill="000000"/>
                <w:fitText w:val="120" w:id="-761098992"/>
                <w14:textFill>
                  <w14:solidFill>
                    <w14:srgbClr w14:val="000000">
                      <w14:alpha w14:val="100000"/>
                    </w14:srgbClr>
                  </w14:solidFill>
                </w14:textFill>
              </w:rPr>
              <w:t>|</w:t>
            </w:r>
            <w:r w:rsidRPr="00E639BD">
              <w:rPr>
                <w:rFonts w:hint="eastAsia"/>
                <w:color w:val="000000"/>
                <w:spacing w:val="2"/>
                <w:w w:val="27"/>
                <w:shd w:val="solid" w:color="000000" w:fill="000000"/>
                <w:fitText w:val="120" w:id="-761098992"/>
                <w14:textFill>
                  <w14:solidFill>
                    <w14:srgbClr w14:val="000000">
                      <w14:alpha w14:val="100000"/>
                    </w14:srgbClr>
                  </w14:solidFill>
                </w14:textFill>
              </w:rPr>
              <w:t xml:space="preserve">　</w:t>
            </w:r>
            <w:r w:rsidR="00FD09D1" w:rsidRPr="003C4E76">
              <w:rPr>
                <w:vertAlign w:val="superscript"/>
              </w:rPr>
              <w:t>1</w:t>
            </w:r>
          </w:p>
        </w:tc>
        <w:tc>
          <w:tcPr>
            <w:tcW w:w="537" w:type="pct"/>
            <w:gridSpan w:val="2"/>
            <w:vAlign w:val="center"/>
          </w:tcPr>
          <w:p w14:paraId="1ECB06C2" w14:textId="22204379" w:rsidR="00740830" w:rsidRPr="006D41F3" w:rsidRDefault="00E639BD" w:rsidP="007017BA">
            <w:pPr>
              <w:pStyle w:val="Tabletext"/>
              <w:keepNext/>
              <w:keepLines/>
              <w:jc w:val="center"/>
              <w:rPr>
                <w:highlight w:val="darkGray"/>
              </w:rPr>
            </w:pPr>
            <w:r w:rsidRPr="00E639BD">
              <w:rPr>
                <w:rFonts w:hint="eastAsia"/>
                <w:color w:val="000000"/>
                <w:w w:val="27"/>
                <w:shd w:val="solid" w:color="000000" w:fill="000000"/>
                <w:fitText w:val="120" w:id="-761099008"/>
                <w14:textFill>
                  <w14:solidFill>
                    <w14:srgbClr w14:val="000000">
                      <w14:alpha w14:val="100000"/>
                    </w14:srgbClr>
                  </w14:solidFill>
                </w14:textFill>
              </w:rPr>
              <w:t xml:space="preserve">　</w:t>
            </w:r>
            <w:r w:rsidRPr="00E639BD">
              <w:rPr>
                <w:color w:val="000000"/>
                <w:w w:val="27"/>
                <w:shd w:val="solid" w:color="000000" w:fill="000000"/>
                <w:fitText w:val="120" w:id="-761099008"/>
                <w14:textFill>
                  <w14:solidFill>
                    <w14:srgbClr w14:val="000000">
                      <w14:alpha w14:val="100000"/>
                    </w14:srgbClr>
                  </w14:solidFill>
                </w14:textFill>
              </w:rPr>
              <w:t>|</w:t>
            </w:r>
            <w:r w:rsidRPr="00E639BD">
              <w:rPr>
                <w:rFonts w:hint="eastAsia"/>
                <w:color w:val="000000"/>
                <w:spacing w:val="2"/>
                <w:w w:val="27"/>
                <w:shd w:val="solid" w:color="000000" w:fill="000000"/>
                <w:fitText w:val="120" w:id="-761099008"/>
                <w14:textFill>
                  <w14:solidFill>
                    <w14:srgbClr w14:val="000000">
                      <w14:alpha w14:val="100000"/>
                    </w14:srgbClr>
                  </w14:solidFill>
                </w14:textFill>
              </w:rPr>
              <w:t xml:space="preserve">　</w:t>
            </w:r>
            <w:r w:rsidR="00FD09D1" w:rsidRPr="003C4E76">
              <w:rPr>
                <w:vertAlign w:val="superscript"/>
              </w:rPr>
              <w:t>1</w:t>
            </w:r>
          </w:p>
        </w:tc>
        <w:tc>
          <w:tcPr>
            <w:tcW w:w="607" w:type="pct"/>
            <w:gridSpan w:val="2"/>
            <w:vAlign w:val="center"/>
          </w:tcPr>
          <w:p w14:paraId="6DCF04EC" w14:textId="25E05573" w:rsidR="00740830" w:rsidRPr="006D41F3" w:rsidRDefault="00E639BD" w:rsidP="007017BA">
            <w:pPr>
              <w:pStyle w:val="Tabletext"/>
              <w:keepNext/>
              <w:keepLines/>
              <w:jc w:val="center"/>
              <w:rPr>
                <w:highlight w:val="darkGray"/>
              </w:rPr>
            </w:pPr>
            <w:r w:rsidRPr="00E639BD">
              <w:rPr>
                <w:rFonts w:hint="eastAsia"/>
                <w:color w:val="000000"/>
                <w:w w:val="15"/>
                <w:shd w:val="solid" w:color="000000" w:fill="000000"/>
                <w:fitText w:val="40" w:id="-761099007"/>
                <w14:textFill>
                  <w14:solidFill>
                    <w14:srgbClr w14:val="000000">
                      <w14:alpha w14:val="100000"/>
                    </w14:srgbClr>
                  </w14:solidFill>
                </w14:textFill>
              </w:rPr>
              <w:t xml:space="preserve">　</w:t>
            </w:r>
            <w:r w:rsidRPr="00E639BD">
              <w:rPr>
                <w:color w:val="000000"/>
                <w:w w:val="15"/>
                <w:shd w:val="solid" w:color="000000" w:fill="000000"/>
                <w:fitText w:val="40" w:id="-761099007"/>
                <w14:textFill>
                  <w14:solidFill>
                    <w14:srgbClr w14:val="000000">
                      <w14:alpha w14:val="100000"/>
                    </w14:srgbClr>
                  </w14:solidFill>
                </w14:textFill>
              </w:rPr>
              <w:t>|</w:t>
            </w:r>
            <w:r w:rsidRPr="00E639BD">
              <w:rPr>
                <w:rFonts w:hint="eastAsia"/>
                <w:color w:val="000000"/>
                <w:spacing w:val="-25"/>
                <w:w w:val="15"/>
                <w:shd w:val="solid" w:color="000000" w:fill="000000"/>
                <w:fitText w:val="40" w:id="-761099007"/>
                <w14:textFill>
                  <w14:solidFill>
                    <w14:srgbClr w14:val="000000">
                      <w14:alpha w14:val="100000"/>
                    </w14:srgbClr>
                  </w14:solidFill>
                </w14:textFill>
              </w:rPr>
              <w:t xml:space="preserve">　</w:t>
            </w:r>
            <w:r w:rsidR="00FD09D1" w:rsidRPr="003C4E76">
              <w:rPr>
                <w:vertAlign w:val="superscript"/>
              </w:rPr>
              <w:t>1</w:t>
            </w:r>
          </w:p>
        </w:tc>
        <w:tc>
          <w:tcPr>
            <w:tcW w:w="604" w:type="pct"/>
            <w:gridSpan w:val="2"/>
            <w:vAlign w:val="center"/>
          </w:tcPr>
          <w:p w14:paraId="39FCBC05" w14:textId="6E664C68" w:rsidR="00740830" w:rsidRPr="006D41F3" w:rsidRDefault="00E639BD" w:rsidP="007017BA">
            <w:pPr>
              <w:pStyle w:val="Tabletext"/>
              <w:keepNext/>
              <w:keepLines/>
              <w:jc w:val="center"/>
              <w:rPr>
                <w:highlight w:val="darkGray"/>
              </w:rPr>
            </w:pPr>
            <w:r w:rsidRPr="00E639BD">
              <w:rPr>
                <w:rFonts w:hint="eastAsia"/>
                <w:color w:val="000000"/>
                <w:w w:val="15"/>
                <w:shd w:val="solid" w:color="000000" w:fill="000000"/>
                <w:fitText w:val="60" w:id="-761099006"/>
                <w14:textFill>
                  <w14:solidFill>
                    <w14:srgbClr w14:val="000000">
                      <w14:alpha w14:val="100000"/>
                    </w14:srgbClr>
                  </w14:solidFill>
                </w14:textFill>
              </w:rPr>
              <w:t xml:space="preserve">　</w:t>
            </w:r>
            <w:r w:rsidRPr="00E639BD">
              <w:rPr>
                <w:color w:val="000000"/>
                <w:w w:val="15"/>
                <w:shd w:val="solid" w:color="000000" w:fill="000000"/>
                <w:fitText w:val="60" w:id="-761099006"/>
                <w14:textFill>
                  <w14:solidFill>
                    <w14:srgbClr w14:val="000000">
                      <w14:alpha w14:val="100000"/>
                    </w14:srgbClr>
                  </w14:solidFill>
                </w14:textFill>
              </w:rPr>
              <w:t>|</w:t>
            </w:r>
            <w:r w:rsidRPr="00E639BD">
              <w:rPr>
                <w:rFonts w:hint="eastAsia"/>
                <w:color w:val="000000"/>
                <w:spacing w:val="-5"/>
                <w:w w:val="15"/>
                <w:shd w:val="solid" w:color="000000" w:fill="000000"/>
                <w:fitText w:val="60" w:id="-761099006"/>
                <w14:textFill>
                  <w14:solidFill>
                    <w14:srgbClr w14:val="000000">
                      <w14:alpha w14:val="100000"/>
                    </w14:srgbClr>
                  </w14:solidFill>
                </w14:textFill>
              </w:rPr>
              <w:t xml:space="preserve">　</w:t>
            </w:r>
            <w:r w:rsidR="00FD09D1" w:rsidRPr="003C4E76">
              <w:rPr>
                <w:vertAlign w:val="superscript"/>
              </w:rPr>
              <w:t>1</w:t>
            </w:r>
          </w:p>
        </w:tc>
        <w:tc>
          <w:tcPr>
            <w:tcW w:w="607" w:type="pct"/>
            <w:gridSpan w:val="2"/>
            <w:vAlign w:val="center"/>
          </w:tcPr>
          <w:p w14:paraId="2FC5EBCD" w14:textId="5EFE8766" w:rsidR="00740830" w:rsidRPr="006D41F3" w:rsidRDefault="00E639BD" w:rsidP="007017BA">
            <w:pPr>
              <w:pStyle w:val="Tabletext"/>
              <w:keepNext/>
              <w:keepLines/>
              <w:jc w:val="center"/>
              <w:rPr>
                <w:highlight w:val="darkGray"/>
              </w:rPr>
            </w:pPr>
            <w:r w:rsidRPr="00E639BD">
              <w:rPr>
                <w:rFonts w:hint="eastAsia"/>
                <w:color w:val="000000"/>
                <w:w w:val="15"/>
                <w:shd w:val="solid" w:color="000000" w:fill="000000"/>
                <w:fitText w:val="40" w:id="-761099005"/>
                <w14:textFill>
                  <w14:solidFill>
                    <w14:srgbClr w14:val="000000">
                      <w14:alpha w14:val="100000"/>
                    </w14:srgbClr>
                  </w14:solidFill>
                </w14:textFill>
              </w:rPr>
              <w:t xml:space="preserve">　</w:t>
            </w:r>
            <w:r w:rsidRPr="00E639BD">
              <w:rPr>
                <w:color w:val="000000"/>
                <w:w w:val="15"/>
                <w:shd w:val="solid" w:color="000000" w:fill="000000"/>
                <w:fitText w:val="40" w:id="-761099005"/>
                <w14:textFill>
                  <w14:solidFill>
                    <w14:srgbClr w14:val="000000">
                      <w14:alpha w14:val="100000"/>
                    </w14:srgbClr>
                  </w14:solidFill>
                </w14:textFill>
              </w:rPr>
              <w:t>|</w:t>
            </w:r>
            <w:r w:rsidRPr="00E639BD">
              <w:rPr>
                <w:rFonts w:hint="eastAsia"/>
                <w:color w:val="000000"/>
                <w:spacing w:val="-25"/>
                <w:w w:val="15"/>
                <w:shd w:val="solid" w:color="000000" w:fill="000000"/>
                <w:fitText w:val="40" w:id="-761099005"/>
                <w14:textFill>
                  <w14:solidFill>
                    <w14:srgbClr w14:val="000000">
                      <w14:alpha w14:val="100000"/>
                    </w14:srgbClr>
                  </w14:solidFill>
                </w14:textFill>
              </w:rPr>
              <w:t xml:space="preserve">　</w:t>
            </w:r>
            <w:r w:rsidR="00FD09D1" w:rsidRPr="003C4E76">
              <w:rPr>
                <w:vertAlign w:val="superscript"/>
              </w:rPr>
              <w:t>1</w:t>
            </w:r>
          </w:p>
        </w:tc>
        <w:tc>
          <w:tcPr>
            <w:tcW w:w="594" w:type="pct"/>
            <w:gridSpan w:val="2"/>
            <w:vAlign w:val="center"/>
          </w:tcPr>
          <w:p w14:paraId="56F3E519" w14:textId="51F73759" w:rsidR="00740830" w:rsidRPr="006D41F3" w:rsidRDefault="00E639BD" w:rsidP="007017BA">
            <w:pPr>
              <w:pStyle w:val="Tabletext"/>
              <w:keepNext/>
              <w:keepLines/>
              <w:jc w:val="center"/>
              <w:rPr>
                <w:b/>
                <w:bCs/>
                <w:highlight w:val="darkGray"/>
              </w:rPr>
            </w:pPr>
            <w:r w:rsidRPr="00E639BD">
              <w:rPr>
                <w:rFonts w:hint="eastAsia"/>
                <w:color w:val="000000"/>
                <w:w w:val="18"/>
                <w:shd w:val="solid" w:color="000000" w:fill="000000"/>
                <w:fitText w:val="80" w:id="-761099004"/>
                <w14:textFill>
                  <w14:solidFill>
                    <w14:srgbClr w14:val="000000">
                      <w14:alpha w14:val="100000"/>
                    </w14:srgbClr>
                  </w14:solidFill>
                </w14:textFill>
              </w:rPr>
              <w:t xml:space="preserve">　</w:t>
            </w:r>
            <w:r w:rsidRPr="00E639BD">
              <w:rPr>
                <w:color w:val="000000"/>
                <w:w w:val="18"/>
                <w:shd w:val="solid" w:color="000000" w:fill="000000"/>
                <w:fitText w:val="80" w:id="-761099004"/>
                <w14:textFill>
                  <w14:solidFill>
                    <w14:srgbClr w14:val="000000">
                      <w14:alpha w14:val="100000"/>
                    </w14:srgbClr>
                  </w14:solidFill>
                </w14:textFill>
              </w:rPr>
              <w:t>|</w:t>
            </w:r>
            <w:r w:rsidRPr="00E639BD">
              <w:rPr>
                <w:rFonts w:hint="eastAsia"/>
                <w:color w:val="000000"/>
                <w:w w:val="18"/>
                <w:shd w:val="solid" w:color="000000" w:fill="000000"/>
                <w:fitText w:val="80" w:id="-761099004"/>
                <w14:textFill>
                  <w14:solidFill>
                    <w14:srgbClr w14:val="000000">
                      <w14:alpha w14:val="100000"/>
                    </w14:srgbClr>
                  </w14:solidFill>
                </w14:textFill>
              </w:rPr>
              <w:t xml:space="preserve">　</w:t>
            </w:r>
            <w:r w:rsidR="007701AC" w:rsidRPr="007701AC">
              <w:rPr>
                <w:vertAlign w:val="superscript"/>
              </w:rPr>
              <w:t>2</w:t>
            </w:r>
          </w:p>
        </w:tc>
      </w:tr>
      <w:tr w:rsidR="00E16BBF" w:rsidRPr="00E16BBF" w14:paraId="31CFE13C" w14:textId="77777777" w:rsidTr="007A6C0C">
        <w:trPr>
          <w:trHeight w:val="57"/>
        </w:trPr>
        <w:tc>
          <w:tcPr>
            <w:tcW w:w="4999" w:type="pct"/>
            <w:gridSpan w:val="15"/>
          </w:tcPr>
          <w:p w14:paraId="18C75335" w14:textId="77777777" w:rsidR="00E16BBF" w:rsidRPr="00E16BBF" w:rsidRDefault="00E16BBF" w:rsidP="007017BA">
            <w:pPr>
              <w:pStyle w:val="Tabletext"/>
              <w:keepNext/>
              <w:keepLines/>
              <w:rPr>
                <w:b/>
                <w:bCs/>
                <w:szCs w:val="20"/>
              </w:rPr>
            </w:pPr>
            <w:r w:rsidRPr="00E16BBF">
              <w:rPr>
                <w:b/>
                <w:bCs/>
                <w:szCs w:val="20"/>
              </w:rPr>
              <w:t>Estimated use and net cost of enzalutamide to PBS/RPBS</w:t>
            </w:r>
          </w:p>
        </w:tc>
      </w:tr>
      <w:tr w:rsidR="00E16BBF" w:rsidRPr="00E16BBF" w14:paraId="453F136D" w14:textId="77777777" w:rsidTr="007A6C0C">
        <w:trPr>
          <w:trHeight w:val="57"/>
        </w:trPr>
        <w:tc>
          <w:tcPr>
            <w:tcW w:w="965" w:type="pct"/>
          </w:tcPr>
          <w:p w14:paraId="0F00917E" w14:textId="77777777" w:rsidR="00E16BBF" w:rsidRPr="00E16BBF" w:rsidRDefault="00E16BBF" w:rsidP="007017BA">
            <w:pPr>
              <w:pStyle w:val="Tabletext"/>
              <w:keepNext/>
              <w:keepLines/>
              <w:rPr>
                <w:szCs w:val="20"/>
              </w:rPr>
            </w:pPr>
            <w:r w:rsidRPr="00E16BBF">
              <w:rPr>
                <w:szCs w:val="20"/>
              </w:rPr>
              <w:t>Number of scripts</w:t>
            </w:r>
          </w:p>
        </w:tc>
        <w:tc>
          <w:tcPr>
            <w:tcW w:w="582" w:type="pct"/>
            <w:gridSpan w:val="3"/>
          </w:tcPr>
          <w:p w14:paraId="23DA4852" w14:textId="5E127E7F" w:rsidR="00E16BBF" w:rsidRPr="00881696" w:rsidRDefault="00E639BD" w:rsidP="007017BA">
            <w:pPr>
              <w:pStyle w:val="Tabletext"/>
              <w:keepNext/>
              <w:keepLines/>
              <w:jc w:val="center"/>
              <w:rPr>
                <w:szCs w:val="20"/>
                <w:highlight w:val="darkGray"/>
              </w:rPr>
            </w:pPr>
            <w:r w:rsidRPr="00E639BD">
              <w:rPr>
                <w:color w:val="000000"/>
                <w:spacing w:val="214"/>
                <w:shd w:val="solid" w:color="000000" w:fill="000000"/>
                <w:fitText w:val="300" w:id="-761099003"/>
                <w14:textFill>
                  <w14:solidFill>
                    <w14:srgbClr w14:val="000000">
                      <w14:alpha w14:val="100000"/>
                    </w14:srgbClr>
                  </w14:solidFill>
                </w14:textFill>
              </w:rPr>
              <w:t>|</w:t>
            </w:r>
            <w:r w:rsidRPr="00E639BD">
              <w:rPr>
                <w:color w:val="000000"/>
                <w:spacing w:val="1"/>
                <w:shd w:val="solid" w:color="000000" w:fill="000000"/>
                <w:fitText w:val="300" w:id="-761099003"/>
                <w14:textFill>
                  <w14:solidFill>
                    <w14:srgbClr w14:val="000000">
                      <w14:alpha w14:val="100000"/>
                    </w14:srgbClr>
                  </w14:solidFill>
                </w14:textFill>
              </w:rPr>
              <w:t>|</w:t>
            </w:r>
            <w:r w:rsidR="005742AC" w:rsidRPr="005742AC">
              <w:rPr>
                <w:vertAlign w:val="superscript"/>
              </w:rPr>
              <w:t>4</w:t>
            </w:r>
          </w:p>
        </w:tc>
        <w:tc>
          <w:tcPr>
            <w:tcW w:w="537" w:type="pct"/>
            <w:gridSpan w:val="2"/>
          </w:tcPr>
          <w:p w14:paraId="08153873" w14:textId="229D189A" w:rsidR="00E16BBF" w:rsidRPr="00881696" w:rsidRDefault="00E639BD" w:rsidP="007017BA">
            <w:pPr>
              <w:pStyle w:val="Tabletext"/>
              <w:keepNext/>
              <w:keepLines/>
              <w:jc w:val="center"/>
              <w:rPr>
                <w:szCs w:val="20"/>
                <w:highlight w:val="darkGray"/>
              </w:rPr>
            </w:pPr>
            <w:r w:rsidRPr="00E639BD">
              <w:rPr>
                <w:rFonts w:hint="eastAsia"/>
                <w:color w:val="000000"/>
                <w:w w:val="27"/>
                <w:shd w:val="solid" w:color="000000" w:fill="000000"/>
                <w:fitText w:val="120" w:id="-761099001"/>
                <w14:textFill>
                  <w14:solidFill>
                    <w14:srgbClr w14:val="000000">
                      <w14:alpha w14:val="100000"/>
                    </w14:srgbClr>
                  </w14:solidFill>
                </w14:textFill>
              </w:rPr>
              <w:t xml:space="preserve">　</w:t>
            </w:r>
            <w:r w:rsidRPr="00E639BD">
              <w:rPr>
                <w:color w:val="000000"/>
                <w:w w:val="27"/>
                <w:shd w:val="solid" w:color="000000" w:fill="000000"/>
                <w:fitText w:val="120" w:id="-761099001"/>
                <w14:textFill>
                  <w14:solidFill>
                    <w14:srgbClr w14:val="000000">
                      <w14:alpha w14:val="100000"/>
                    </w14:srgbClr>
                  </w14:solidFill>
                </w14:textFill>
              </w:rPr>
              <w:t>|</w:t>
            </w:r>
            <w:r w:rsidRPr="00E639BD">
              <w:rPr>
                <w:rFonts w:hint="eastAsia"/>
                <w:color w:val="000000"/>
                <w:spacing w:val="2"/>
                <w:w w:val="27"/>
                <w:shd w:val="solid" w:color="000000" w:fill="000000"/>
                <w:fitText w:val="120" w:id="-761099001"/>
                <w14:textFill>
                  <w14:solidFill>
                    <w14:srgbClr w14:val="000000">
                      <w14:alpha w14:val="100000"/>
                    </w14:srgbClr>
                  </w14:solidFill>
                </w14:textFill>
              </w:rPr>
              <w:t xml:space="preserve">　</w:t>
            </w:r>
            <w:r w:rsidR="005742AC" w:rsidRPr="005742AC">
              <w:rPr>
                <w:vertAlign w:val="superscript"/>
              </w:rPr>
              <w:t>4</w:t>
            </w:r>
          </w:p>
        </w:tc>
        <w:tc>
          <w:tcPr>
            <w:tcW w:w="537" w:type="pct"/>
            <w:gridSpan w:val="2"/>
          </w:tcPr>
          <w:p w14:paraId="31235245" w14:textId="64284546" w:rsidR="00E16BBF" w:rsidRPr="00881696" w:rsidRDefault="00E639BD" w:rsidP="007017BA">
            <w:pPr>
              <w:pStyle w:val="Tabletext"/>
              <w:keepNext/>
              <w:keepLines/>
              <w:jc w:val="center"/>
              <w:rPr>
                <w:szCs w:val="20"/>
                <w:highlight w:val="darkGray"/>
              </w:rPr>
            </w:pPr>
            <w:r w:rsidRPr="00E639BD">
              <w:rPr>
                <w:rFonts w:hint="eastAsia"/>
                <w:color w:val="000000"/>
                <w:w w:val="27"/>
                <w:shd w:val="solid" w:color="000000" w:fill="000000"/>
                <w:fitText w:val="120" w:id="-761099000"/>
                <w14:textFill>
                  <w14:solidFill>
                    <w14:srgbClr w14:val="000000">
                      <w14:alpha w14:val="100000"/>
                    </w14:srgbClr>
                  </w14:solidFill>
                </w14:textFill>
              </w:rPr>
              <w:t xml:space="preserve">　</w:t>
            </w:r>
            <w:r w:rsidRPr="00E639BD">
              <w:rPr>
                <w:color w:val="000000"/>
                <w:w w:val="27"/>
                <w:shd w:val="solid" w:color="000000" w:fill="000000"/>
                <w:fitText w:val="120" w:id="-761099000"/>
                <w14:textFill>
                  <w14:solidFill>
                    <w14:srgbClr w14:val="000000">
                      <w14:alpha w14:val="100000"/>
                    </w14:srgbClr>
                  </w14:solidFill>
                </w14:textFill>
              </w:rPr>
              <w:t>|</w:t>
            </w:r>
            <w:r w:rsidRPr="00E639BD">
              <w:rPr>
                <w:rFonts w:hint="eastAsia"/>
                <w:color w:val="000000"/>
                <w:spacing w:val="2"/>
                <w:w w:val="27"/>
                <w:shd w:val="solid" w:color="000000" w:fill="000000"/>
                <w:fitText w:val="120" w:id="-761099000"/>
                <w14:textFill>
                  <w14:solidFill>
                    <w14:srgbClr w14:val="000000">
                      <w14:alpha w14:val="100000"/>
                    </w14:srgbClr>
                  </w14:solidFill>
                </w14:textFill>
              </w:rPr>
              <w:t xml:space="preserve">　</w:t>
            </w:r>
            <w:r w:rsidR="005742AC" w:rsidRPr="005742AC">
              <w:rPr>
                <w:vertAlign w:val="superscript"/>
              </w:rPr>
              <w:t>4</w:t>
            </w:r>
          </w:p>
        </w:tc>
        <w:tc>
          <w:tcPr>
            <w:tcW w:w="598" w:type="pct"/>
            <w:gridSpan w:val="2"/>
          </w:tcPr>
          <w:p w14:paraId="3317E746" w14:textId="65A3F59D" w:rsidR="00E16BBF" w:rsidRPr="00881696" w:rsidRDefault="00E639BD" w:rsidP="007017BA">
            <w:pPr>
              <w:pStyle w:val="Tabletext"/>
              <w:keepNext/>
              <w:keepLines/>
              <w:jc w:val="center"/>
              <w:rPr>
                <w:szCs w:val="20"/>
                <w:highlight w:val="darkGray"/>
              </w:rPr>
            </w:pPr>
            <w:r w:rsidRPr="00E639BD">
              <w:rPr>
                <w:color w:val="000000"/>
                <w:spacing w:val="194"/>
                <w:shd w:val="solid" w:color="000000" w:fill="000000"/>
                <w:fitText w:val="280" w:id="-761098999"/>
                <w14:textFill>
                  <w14:solidFill>
                    <w14:srgbClr w14:val="000000">
                      <w14:alpha w14:val="100000"/>
                    </w14:srgbClr>
                  </w14:solidFill>
                </w14:textFill>
              </w:rPr>
              <w:t>|</w:t>
            </w:r>
            <w:r w:rsidRPr="00E639BD">
              <w:rPr>
                <w:color w:val="000000"/>
                <w:spacing w:val="1"/>
                <w:shd w:val="solid" w:color="000000" w:fill="000000"/>
                <w:fitText w:val="280" w:id="-761098999"/>
                <w14:textFill>
                  <w14:solidFill>
                    <w14:srgbClr w14:val="000000">
                      <w14:alpha w14:val="100000"/>
                    </w14:srgbClr>
                  </w14:solidFill>
                </w14:textFill>
              </w:rPr>
              <w:t>|</w:t>
            </w:r>
            <w:r w:rsidR="00CD009B" w:rsidRPr="00CD009B">
              <w:rPr>
                <w:vertAlign w:val="superscript"/>
              </w:rPr>
              <w:t>5</w:t>
            </w:r>
          </w:p>
        </w:tc>
        <w:tc>
          <w:tcPr>
            <w:tcW w:w="593" w:type="pct"/>
            <w:gridSpan w:val="2"/>
          </w:tcPr>
          <w:p w14:paraId="371049D6" w14:textId="25E88AB3" w:rsidR="00E16BBF" w:rsidRPr="00881696" w:rsidRDefault="00E639BD" w:rsidP="007017BA">
            <w:pPr>
              <w:pStyle w:val="Tabletext"/>
              <w:keepNext/>
              <w:keepLines/>
              <w:jc w:val="center"/>
              <w:rPr>
                <w:szCs w:val="20"/>
                <w:highlight w:val="darkGray"/>
              </w:rPr>
            </w:pPr>
            <w:r w:rsidRPr="00E639BD">
              <w:rPr>
                <w:rFonts w:hint="eastAsia"/>
                <w:color w:val="000000"/>
                <w:w w:val="18"/>
                <w:shd w:val="solid" w:color="000000" w:fill="000000"/>
                <w:fitText w:val="80" w:id="-761098997"/>
                <w14:textFill>
                  <w14:solidFill>
                    <w14:srgbClr w14:val="000000">
                      <w14:alpha w14:val="100000"/>
                    </w14:srgbClr>
                  </w14:solidFill>
                </w14:textFill>
              </w:rPr>
              <w:t xml:space="preserve">　</w:t>
            </w:r>
            <w:r w:rsidRPr="00E639BD">
              <w:rPr>
                <w:color w:val="000000"/>
                <w:w w:val="18"/>
                <w:shd w:val="solid" w:color="000000" w:fill="000000"/>
                <w:fitText w:val="80" w:id="-761098997"/>
                <w14:textFill>
                  <w14:solidFill>
                    <w14:srgbClr w14:val="000000">
                      <w14:alpha w14:val="100000"/>
                    </w14:srgbClr>
                  </w14:solidFill>
                </w14:textFill>
              </w:rPr>
              <w:t>|</w:t>
            </w:r>
            <w:r w:rsidRPr="00E639BD">
              <w:rPr>
                <w:rFonts w:hint="eastAsia"/>
                <w:color w:val="000000"/>
                <w:w w:val="18"/>
                <w:shd w:val="solid" w:color="000000" w:fill="000000"/>
                <w:fitText w:val="80" w:id="-761098997"/>
                <w14:textFill>
                  <w14:solidFill>
                    <w14:srgbClr w14:val="000000">
                      <w14:alpha w14:val="100000"/>
                    </w14:srgbClr>
                  </w14:solidFill>
                </w14:textFill>
              </w:rPr>
              <w:t xml:space="preserve">　</w:t>
            </w:r>
            <w:r w:rsidR="006477DD" w:rsidRPr="006477DD">
              <w:rPr>
                <w:vertAlign w:val="superscript"/>
              </w:rPr>
              <w:t>6</w:t>
            </w:r>
          </w:p>
        </w:tc>
        <w:tc>
          <w:tcPr>
            <w:tcW w:w="598" w:type="pct"/>
            <w:gridSpan w:val="2"/>
          </w:tcPr>
          <w:p w14:paraId="06ED75AE" w14:textId="66DF5D7F" w:rsidR="00E16BBF" w:rsidRPr="00881696" w:rsidRDefault="00E639BD" w:rsidP="007017BA">
            <w:pPr>
              <w:pStyle w:val="Tabletext"/>
              <w:keepNext/>
              <w:keepLines/>
              <w:jc w:val="center"/>
              <w:rPr>
                <w:szCs w:val="20"/>
                <w:highlight w:val="darkGray"/>
              </w:rPr>
            </w:pPr>
            <w:r w:rsidRPr="00E639BD">
              <w:rPr>
                <w:rFonts w:hint="eastAsia"/>
                <w:color w:val="000000"/>
                <w:w w:val="15"/>
                <w:shd w:val="solid" w:color="000000" w:fill="000000"/>
                <w:fitText w:val="60" w:id="-761098996"/>
                <w14:textFill>
                  <w14:solidFill>
                    <w14:srgbClr w14:val="000000">
                      <w14:alpha w14:val="100000"/>
                    </w14:srgbClr>
                  </w14:solidFill>
                </w14:textFill>
              </w:rPr>
              <w:t xml:space="preserve">　</w:t>
            </w:r>
            <w:r w:rsidRPr="00E639BD">
              <w:rPr>
                <w:color w:val="000000"/>
                <w:w w:val="15"/>
                <w:shd w:val="solid" w:color="000000" w:fill="000000"/>
                <w:fitText w:val="60" w:id="-761098996"/>
                <w14:textFill>
                  <w14:solidFill>
                    <w14:srgbClr w14:val="000000">
                      <w14:alpha w14:val="100000"/>
                    </w14:srgbClr>
                  </w14:solidFill>
                </w14:textFill>
              </w:rPr>
              <w:t>|</w:t>
            </w:r>
            <w:r w:rsidRPr="00E639BD">
              <w:rPr>
                <w:rFonts w:hint="eastAsia"/>
                <w:color w:val="000000"/>
                <w:spacing w:val="-5"/>
                <w:w w:val="15"/>
                <w:shd w:val="solid" w:color="000000" w:fill="000000"/>
                <w:fitText w:val="60" w:id="-761098996"/>
                <w14:textFill>
                  <w14:solidFill>
                    <w14:srgbClr w14:val="000000">
                      <w14:alpha w14:val="100000"/>
                    </w14:srgbClr>
                  </w14:solidFill>
                </w14:textFill>
              </w:rPr>
              <w:t xml:space="preserve">　</w:t>
            </w:r>
            <w:r w:rsidR="006477DD" w:rsidRPr="006477DD">
              <w:rPr>
                <w:vertAlign w:val="superscript"/>
              </w:rPr>
              <w:t>6</w:t>
            </w:r>
          </w:p>
        </w:tc>
        <w:tc>
          <w:tcPr>
            <w:tcW w:w="590" w:type="pct"/>
          </w:tcPr>
          <w:p w14:paraId="5EC84D01" w14:textId="1365E015" w:rsidR="00E16BBF" w:rsidRPr="00881696" w:rsidRDefault="00E639BD" w:rsidP="007017BA">
            <w:pPr>
              <w:pStyle w:val="Tabletext"/>
              <w:keepNext/>
              <w:keepLines/>
              <w:jc w:val="center"/>
              <w:rPr>
                <w:b/>
                <w:bCs/>
                <w:szCs w:val="20"/>
                <w:highlight w:val="darkGray"/>
              </w:rPr>
            </w:pPr>
            <w:r w:rsidRPr="00E639BD">
              <w:rPr>
                <w:rFonts w:hint="eastAsia"/>
                <w:color w:val="000000"/>
                <w:w w:val="18"/>
                <w:shd w:val="solid" w:color="000000" w:fill="000000"/>
                <w:fitText w:val="80" w:id="-761098995"/>
                <w14:textFill>
                  <w14:solidFill>
                    <w14:srgbClr w14:val="000000">
                      <w14:alpha w14:val="100000"/>
                    </w14:srgbClr>
                  </w14:solidFill>
                </w14:textFill>
              </w:rPr>
              <w:t xml:space="preserve">　</w:t>
            </w:r>
            <w:r w:rsidRPr="00E639BD">
              <w:rPr>
                <w:color w:val="000000"/>
                <w:w w:val="18"/>
                <w:shd w:val="solid" w:color="000000" w:fill="000000"/>
                <w:fitText w:val="80" w:id="-761098995"/>
                <w14:textFill>
                  <w14:solidFill>
                    <w14:srgbClr w14:val="000000">
                      <w14:alpha w14:val="100000"/>
                    </w14:srgbClr>
                  </w14:solidFill>
                </w14:textFill>
              </w:rPr>
              <w:t>|</w:t>
            </w:r>
            <w:r w:rsidRPr="00E639BD">
              <w:rPr>
                <w:rFonts w:hint="eastAsia"/>
                <w:color w:val="000000"/>
                <w:w w:val="18"/>
                <w:shd w:val="solid" w:color="000000" w:fill="000000"/>
                <w:fitText w:val="80" w:id="-761098995"/>
                <w14:textFill>
                  <w14:solidFill>
                    <w14:srgbClr w14:val="000000">
                      <w14:alpha w14:val="100000"/>
                    </w14:srgbClr>
                  </w14:solidFill>
                </w14:textFill>
              </w:rPr>
              <w:t xml:space="preserve">　</w:t>
            </w:r>
            <w:r w:rsidR="00660AA3" w:rsidRPr="00660AA3">
              <w:rPr>
                <w:vertAlign w:val="superscript"/>
              </w:rPr>
              <w:t>7</w:t>
            </w:r>
          </w:p>
        </w:tc>
      </w:tr>
      <w:tr w:rsidR="00E16BBF" w:rsidRPr="00E16BBF" w14:paraId="18927176" w14:textId="77777777" w:rsidTr="007A6C0C">
        <w:trPr>
          <w:trHeight w:val="57"/>
        </w:trPr>
        <w:tc>
          <w:tcPr>
            <w:tcW w:w="965" w:type="pct"/>
          </w:tcPr>
          <w:p w14:paraId="1FD9244D" w14:textId="77777777" w:rsidR="00E16BBF" w:rsidRPr="00E16BBF" w:rsidRDefault="00E16BBF" w:rsidP="007017BA">
            <w:pPr>
              <w:pStyle w:val="Tabletext"/>
              <w:keepNext/>
              <w:keepLines/>
              <w:rPr>
                <w:szCs w:val="20"/>
              </w:rPr>
            </w:pPr>
            <w:r w:rsidRPr="00E16BBF">
              <w:rPr>
                <w:szCs w:val="20"/>
              </w:rPr>
              <w:t>Cost PBS/RPBS</w:t>
            </w:r>
          </w:p>
        </w:tc>
        <w:tc>
          <w:tcPr>
            <w:tcW w:w="582" w:type="pct"/>
            <w:gridSpan w:val="3"/>
          </w:tcPr>
          <w:p w14:paraId="6852606F" w14:textId="2A62B06F" w:rsidR="00E16BBF" w:rsidRPr="00881696" w:rsidRDefault="00E639BD" w:rsidP="007017BA">
            <w:pPr>
              <w:pStyle w:val="Tabletext"/>
              <w:keepNext/>
              <w:keepLines/>
              <w:jc w:val="center"/>
              <w:rPr>
                <w:szCs w:val="20"/>
                <w:highlight w:val="darkGray"/>
              </w:rPr>
            </w:pPr>
            <w:r w:rsidRPr="00E639BD">
              <w:rPr>
                <w:rFonts w:hint="eastAsia"/>
                <w:color w:val="000000"/>
                <w:w w:val="18"/>
                <w:shd w:val="solid" w:color="000000" w:fill="000000"/>
                <w:fitText w:val="80" w:id="-761098994"/>
                <w14:textFill>
                  <w14:solidFill>
                    <w14:srgbClr w14:val="000000">
                      <w14:alpha w14:val="100000"/>
                    </w14:srgbClr>
                  </w14:solidFill>
                </w14:textFill>
              </w:rPr>
              <w:t xml:space="preserve">　</w:t>
            </w:r>
            <w:r w:rsidRPr="00E639BD">
              <w:rPr>
                <w:color w:val="000000"/>
                <w:w w:val="18"/>
                <w:shd w:val="solid" w:color="000000" w:fill="000000"/>
                <w:fitText w:val="80" w:id="-761098994"/>
                <w14:textFill>
                  <w14:solidFill>
                    <w14:srgbClr w14:val="000000">
                      <w14:alpha w14:val="100000"/>
                    </w14:srgbClr>
                  </w14:solidFill>
                </w14:textFill>
              </w:rPr>
              <w:t>|</w:t>
            </w:r>
            <w:r w:rsidRPr="00E639BD">
              <w:rPr>
                <w:rFonts w:hint="eastAsia"/>
                <w:color w:val="000000"/>
                <w:w w:val="18"/>
                <w:shd w:val="solid" w:color="000000" w:fill="000000"/>
                <w:fitText w:val="80" w:id="-761098994"/>
                <w14:textFill>
                  <w14:solidFill>
                    <w14:srgbClr w14:val="000000">
                      <w14:alpha w14:val="100000"/>
                    </w14:srgbClr>
                  </w14:solidFill>
                </w14:textFill>
              </w:rPr>
              <w:t xml:space="preserve">　</w:t>
            </w:r>
            <w:r w:rsidR="00426141" w:rsidRPr="00DB3669">
              <w:rPr>
                <w:vertAlign w:val="superscript"/>
              </w:rPr>
              <w:t>8</w:t>
            </w:r>
          </w:p>
        </w:tc>
        <w:tc>
          <w:tcPr>
            <w:tcW w:w="537" w:type="pct"/>
            <w:gridSpan w:val="2"/>
          </w:tcPr>
          <w:p w14:paraId="3B4A6096" w14:textId="38F643A9" w:rsidR="00E16BBF" w:rsidRPr="00881696" w:rsidRDefault="00E639BD" w:rsidP="007017BA">
            <w:pPr>
              <w:pStyle w:val="Tabletext"/>
              <w:keepNext/>
              <w:keepLines/>
              <w:jc w:val="center"/>
              <w:rPr>
                <w:szCs w:val="20"/>
                <w:highlight w:val="darkGray"/>
              </w:rPr>
            </w:pPr>
            <w:r w:rsidRPr="00E639BD">
              <w:rPr>
                <w:rFonts w:hint="eastAsia"/>
                <w:color w:val="000000"/>
                <w:w w:val="27"/>
                <w:shd w:val="solid" w:color="000000" w:fill="000000"/>
                <w:fitText w:val="120" w:id="-761098993"/>
                <w14:textFill>
                  <w14:solidFill>
                    <w14:srgbClr w14:val="000000">
                      <w14:alpha w14:val="100000"/>
                    </w14:srgbClr>
                  </w14:solidFill>
                </w14:textFill>
              </w:rPr>
              <w:t xml:space="preserve">　</w:t>
            </w:r>
            <w:r w:rsidRPr="00E639BD">
              <w:rPr>
                <w:color w:val="000000"/>
                <w:w w:val="27"/>
                <w:shd w:val="solid" w:color="000000" w:fill="000000"/>
                <w:fitText w:val="120" w:id="-761098993"/>
                <w14:textFill>
                  <w14:solidFill>
                    <w14:srgbClr w14:val="000000">
                      <w14:alpha w14:val="100000"/>
                    </w14:srgbClr>
                  </w14:solidFill>
                </w14:textFill>
              </w:rPr>
              <w:t>|</w:t>
            </w:r>
            <w:r w:rsidRPr="00E639BD">
              <w:rPr>
                <w:rFonts w:hint="eastAsia"/>
                <w:color w:val="000000"/>
                <w:spacing w:val="2"/>
                <w:w w:val="27"/>
                <w:shd w:val="solid" w:color="000000" w:fill="000000"/>
                <w:fitText w:val="120" w:id="-761098993"/>
                <w14:textFill>
                  <w14:solidFill>
                    <w14:srgbClr w14:val="000000">
                      <w14:alpha w14:val="100000"/>
                    </w14:srgbClr>
                  </w14:solidFill>
                </w14:textFill>
              </w:rPr>
              <w:t xml:space="preserve">　</w:t>
            </w:r>
            <w:r w:rsidR="00DB3669" w:rsidRPr="00DB3669">
              <w:rPr>
                <w:vertAlign w:val="superscript"/>
              </w:rPr>
              <w:t>8</w:t>
            </w:r>
          </w:p>
        </w:tc>
        <w:tc>
          <w:tcPr>
            <w:tcW w:w="537" w:type="pct"/>
            <w:gridSpan w:val="2"/>
          </w:tcPr>
          <w:p w14:paraId="2F68214D" w14:textId="35FE1C34" w:rsidR="00E16BBF" w:rsidRPr="00881696" w:rsidRDefault="00E639BD" w:rsidP="007017BA">
            <w:pPr>
              <w:pStyle w:val="Tabletext"/>
              <w:keepNext/>
              <w:keepLines/>
              <w:jc w:val="center"/>
              <w:rPr>
                <w:szCs w:val="20"/>
                <w:highlight w:val="darkGray"/>
              </w:rPr>
            </w:pPr>
            <w:r w:rsidRPr="00E639BD">
              <w:rPr>
                <w:rFonts w:hint="eastAsia"/>
                <w:color w:val="000000"/>
                <w:w w:val="27"/>
                <w:shd w:val="solid" w:color="000000" w:fill="000000"/>
                <w:fitText w:val="120" w:id="-761098992"/>
                <w14:textFill>
                  <w14:solidFill>
                    <w14:srgbClr w14:val="000000">
                      <w14:alpha w14:val="100000"/>
                    </w14:srgbClr>
                  </w14:solidFill>
                </w14:textFill>
              </w:rPr>
              <w:t xml:space="preserve">　</w:t>
            </w:r>
            <w:r w:rsidRPr="00E639BD">
              <w:rPr>
                <w:color w:val="000000"/>
                <w:w w:val="27"/>
                <w:shd w:val="solid" w:color="000000" w:fill="000000"/>
                <w:fitText w:val="120" w:id="-761098992"/>
                <w14:textFill>
                  <w14:solidFill>
                    <w14:srgbClr w14:val="000000">
                      <w14:alpha w14:val="100000"/>
                    </w14:srgbClr>
                  </w14:solidFill>
                </w14:textFill>
              </w:rPr>
              <w:t>|</w:t>
            </w:r>
            <w:r w:rsidRPr="00E639BD">
              <w:rPr>
                <w:rFonts w:hint="eastAsia"/>
                <w:color w:val="000000"/>
                <w:spacing w:val="2"/>
                <w:w w:val="27"/>
                <w:shd w:val="solid" w:color="000000" w:fill="000000"/>
                <w:fitText w:val="120" w:id="-761098992"/>
                <w14:textFill>
                  <w14:solidFill>
                    <w14:srgbClr w14:val="000000">
                      <w14:alpha w14:val="100000"/>
                    </w14:srgbClr>
                  </w14:solidFill>
                </w14:textFill>
              </w:rPr>
              <w:t xml:space="preserve">　</w:t>
            </w:r>
            <w:r w:rsidR="00DB3669" w:rsidRPr="00DB3669">
              <w:rPr>
                <w:vertAlign w:val="superscript"/>
              </w:rPr>
              <w:t>8</w:t>
            </w:r>
          </w:p>
        </w:tc>
        <w:tc>
          <w:tcPr>
            <w:tcW w:w="598" w:type="pct"/>
            <w:gridSpan w:val="2"/>
          </w:tcPr>
          <w:p w14:paraId="48D25366" w14:textId="2E9EFEDC" w:rsidR="00E16BBF" w:rsidRPr="00881696" w:rsidRDefault="00E639BD" w:rsidP="007017BA">
            <w:pPr>
              <w:pStyle w:val="Tabletext"/>
              <w:keepNext/>
              <w:keepLines/>
              <w:jc w:val="center"/>
              <w:rPr>
                <w:szCs w:val="20"/>
                <w:highlight w:val="darkGray"/>
              </w:rPr>
            </w:pPr>
            <w:r w:rsidRPr="00E639BD">
              <w:rPr>
                <w:rFonts w:hint="eastAsia"/>
                <w:color w:val="000000"/>
                <w:w w:val="15"/>
                <w:shd w:val="solid" w:color="000000" w:fill="000000"/>
                <w:fitText w:val="60" w:id="-761099008"/>
                <w14:textFill>
                  <w14:solidFill>
                    <w14:srgbClr w14:val="000000">
                      <w14:alpha w14:val="100000"/>
                    </w14:srgbClr>
                  </w14:solidFill>
                </w14:textFill>
              </w:rPr>
              <w:t xml:space="preserve">　</w:t>
            </w:r>
            <w:r w:rsidRPr="00E639BD">
              <w:rPr>
                <w:color w:val="000000"/>
                <w:w w:val="15"/>
                <w:shd w:val="solid" w:color="000000" w:fill="000000"/>
                <w:fitText w:val="60" w:id="-761099008"/>
                <w14:textFill>
                  <w14:solidFill>
                    <w14:srgbClr w14:val="000000">
                      <w14:alpha w14:val="100000"/>
                    </w14:srgbClr>
                  </w14:solidFill>
                </w14:textFill>
              </w:rPr>
              <w:t>|</w:t>
            </w:r>
            <w:r w:rsidRPr="00E639BD">
              <w:rPr>
                <w:rFonts w:hint="eastAsia"/>
                <w:color w:val="000000"/>
                <w:spacing w:val="-5"/>
                <w:w w:val="15"/>
                <w:shd w:val="solid" w:color="000000" w:fill="000000"/>
                <w:fitText w:val="60" w:id="-761099008"/>
                <w14:textFill>
                  <w14:solidFill>
                    <w14:srgbClr w14:val="000000">
                      <w14:alpha w14:val="100000"/>
                    </w14:srgbClr>
                  </w14:solidFill>
                </w14:textFill>
              </w:rPr>
              <w:t xml:space="preserve">　</w:t>
            </w:r>
            <w:r w:rsidR="00E04FF9" w:rsidRPr="00E04FF9">
              <w:rPr>
                <w:vertAlign w:val="superscript"/>
              </w:rPr>
              <w:t>9</w:t>
            </w:r>
          </w:p>
        </w:tc>
        <w:tc>
          <w:tcPr>
            <w:tcW w:w="593" w:type="pct"/>
            <w:gridSpan w:val="2"/>
          </w:tcPr>
          <w:p w14:paraId="47D65462" w14:textId="7BB84FDB" w:rsidR="00E16BBF" w:rsidRPr="00881696" w:rsidRDefault="00E639BD" w:rsidP="007017BA">
            <w:pPr>
              <w:pStyle w:val="Tabletext"/>
              <w:keepNext/>
              <w:keepLines/>
              <w:jc w:val="center"/>
              <w:rPr>
                <w:szCs w:val="20"/>
                <w:highlight w:val="darkGray"/>
              </w:rPr>
            </w:pPr>
            <w:r w:rsidRPr="00E639BD">
              <w:rPr>
                <w:rFonts w:hint="eastAsia"/>
                <w:color w:val="000000"/>
                <w:w w:val="22"/>
                <w:shd w:val="solid" w:color="000000" w:fill="000000"/>
                <w:fitText w:val="100" w:id="-761099007"/>
                <w14:textFill>
                  <w14:solidFill>
                    <w14:srgbClr w14:val="000000">
                      <w14:alpha w14:val="100000"/>
                    </w14:srgbClr>
                  </w14:solidFill>
                </w14:textFill>
              </w:rPr>
              <w:t xml:space="preserve">　</w:t>
            </w:r>
            <w:r w:rsidRPr="00E639BD">
              <w:rPr>
                <w:color w:val="000000"/>
                <w:w w:val="22"/>
                <w:shd w:val="solid" w:color="000000" w:fill="000000"/>
                <w:fitText w:val="100" w:id="-761099007"/>
                <w14:textFill>
                  <w14:solidFill>
                    <w14:srgbClr w14:val="000000">
                      <w14:alpha w14:val="100000"/>
                    </w14:srgbClr>
                  </w14:solidFill>
                </w14:textFill>
              </w:rPr>
              <w:t>|</w:t>
            </w:r>
            <w:r w:rsidRPr="00E639BD">
              <w:rPr>
                <w:rFonts w:hint="eastAsia"/>
                <w:color w:val="000000"/>
                <w:spacing w:val="3"/>
                <w:w w:val="22"/>
                <w:shd w:val="solid" w:color="000000" w:fill="000000"/>
                <w:fitText w:val="100" w:id="-761099007"/>
                <w14:textFill>
                  <w14:solidFill>
                    <w14:srgbClr w14:val="000000">
                      <w14:alpha w14:val="100000"/>
                    </w14:srgbClr>
                  </w14:solidFill>
                </w14:textFill>
              </w:rPr>
              <w:t xml:space="preserve">　</w:t>
            </w:r>
            <w:r w:rsidR="00EF1D4E" w:rsidRPr="00EF1D4E">
              <w:rPr>
                <w:vertAlign w:val="superscript"/>
              </w:rPr>
              <w:t>10</w:t>
            </w:r>
          </w:p>
        </w:tc>
        <w:tc>
          <w:tcPr>
            <w:tcW w:w="598" w:type="pct"/>
            <w:gridSpan w:val="2"/>
          </w:tcPr>
          <w:p w14:paraId="047015C3" w14:textId="22BB5237" w:rsidR="00E16BBF" w:rsidRPr="00881696" w:rsidRDefault="00E639BD" w:rsidP="007017BA">
            <w:pPr>
              <w:pStyle w:val="Tabletext"/>
              <w:keepNext/>
              <w:keepLines/>
              <w:jc w:val="center"/>
              <w:rPr>
                <w:szCs w:val="20"/>
                <w:highlight w:val="darkGray"/>
              </w:rPr>
            </w:pPr>
            <w:r w:rsidRPr="00E639BD">
              <w:rPr>
                <w:rFonts w:hint="eastAsia"/>
                <w:color w:val="000000"/>
                <w:w w:val="18"/>
                <w:shd w:val="solid" w:color="000000" w:fill="000000"/>
                <w:fitText w:val="80" w:id="-761099006"/>
                <w14:textFill>
                  <w14:solidFill>
                    <w14:srgbClr w14:val="000000">
                      <w14:alpha w14:val="100000"/>
                    </w14:srgbClr>
                  </w14:solidFill>
                </w14:textFill>
              </w:rPr>
              <w:t xml:space="preserve">　</w:t>
            </w:r>
            <w:r w:rsidRPr="00E639BD">
              <w:rPr>
                <w:color w:val="000000"/>
                <w:w w:val="18"/>
                <w:shd w:val="solid" w:color="000000" w:fill="000000"/>
                <w:fitText w:val="80" w:id="-761099006"/>
                <w14:textFill>
                  <w14:solidFill>
                    <w14:srgbClr w14:val="000000">
                      <w14:alpha w14:val="100000"/>
                    </w14:srgbClr>
                  </w14:solidFill>
                </w14:textFill>
              </w:rPr>
              <w:t>|</w:t>
            </w:r>
            <w:r w:rsidRPr="00E639BD">
              <w:rPr>
                <w:rFonts w:hint="eastAsia"/>
                <w:color w:val="000000"/>
                <w:w w:val="18"/>
                <w:shd w:val="solid" w:color="000000" w:fill="000000"/>
                <w:fitText w:val="80" w:id="-761099006"/>
                <w14:textFill>
                  <w14:solidFill>
                    <w14:srgbClr w14:val="000000">
                      <w14:alpha w14:val="100000"/>
                    </w14:srgbClr>
                  </w14:solidFill>
                </w14:textFill>
              </w:rPr>
              <w:t xml:space="preserve">　</w:t>
            </w:r>
            <w:r w:rsidR="00EF1D4E" w:rsidRPr="00EF1D4E">
              <w:rPr>
                <w:vertAlign w:val="superscript"/>
              </w:rPr>
              <w:t>10</w:t>
            </w:r>
          </w:p>
        </w:tc>
        <w:tc>
          <w:tcPr>
            <w:tcW w:w="590" w:type="pct"/>
            <w:vAlign w:val="center"/>
          </w:tcPr>
          <w:p w14:paraId="5AFF8B5E" w14:textId="29108E09" w:rsidR="00E16BBF" w:rsidRPr="00881696" w:rsidRDefault="00E639BD" w:rsidP="004665A1">
            <w:pPr>
              <w:pStyle w:val="TableText0"/>
              <w:jc w:val="center"/>
              <w:rPr>
                <w:b/>
                <w:color w:val="8064A2"/>
                <w:szCs w:val="20"/>
                <w:highlight w:val="darkGray"/>
              </w:rPr>
            </w:pPr>
            <w:r w:rsidRPr="00E639BD">
              <w:rPr>
                <w:color w:val="000000"/>
                <w:spacing w:val="56"/>
                <w:shd w:val="solid" w:color="000000" w:fill="000000"/>
                <w:fitText w:val="340" w:id="-761099005"/>
                <w14:textFill>
                  <w14:solidFill>
                    <w14:srgbClr w14:val="000000">
                      <w14:alpha w14:val="100000"/>
                    </w14:srgbClr>
                  </w14:solidFill>
                </w14:textFill>
              </w:rPr>
              <w:t>|||</w:t>
            </w:r>
            <w:r w:rsidRPr="00E639BD">
              <w:rPr>
                <w:color w:val="000000"/>
                <w:spacing w:val="2"/>
                <w:shd w:val="solid" w:color="000000" w:fill="000000"/>
                <w:fitText w:val="340" w:id="-761099005"/>
                <w14:textFill>
                  <w14:solidFill>
                    <w14:srgbClr w14:val="000000">
                      <w14:alpha w14:val="100000"/>
                    </w14:srgbClr>
                  </w14:solidFill>
                </w14:textFill>
              </w:rPr>
              <w:t>|</w:t>
            </w:r>
            <w:r w:rsidR="004F7F1B" w:rsidRPr="004F7F1B">
              <w:rPr>
                <w:vertAlign w:val="superscript"/>
              </w:rPr>
              <w:t>11</w:t>
            </w:r>
          </w:p>
        </w:tc>
      </w:tr>
      <w:tr w:rsidR="00E16BBF" w:rsidRPr="00E16BBF" w14:paraId="167919E7" w14:textId="77777777" w:rsidTr="007A6C0C">
        <w:trPr>
          <w:trHeight w:val="57"/>
        </w:trPr>
        <w:tc>
          <w:tcPr>
            <w:tcW w:w="965" w:type="pct"/>
          </w:tcPr>
          <w:p w14:paraId="45178D50" w14:textId="77777777" w:rsidR="00E16BBF" w:rsidRPr="00E16BBF" w:rsidRDefault="00E16BBF" w:rsidP="007017BA">
            <w:pPr>
              <w:pStyle w:val="Tabletext"/>
              <w:keepNext/>
              <w:keepLines/>
              <w:rPr>
                <w:szCs w:val="20"/>
              </w:rPr>
            </w:pPr>
            <w:r w:rsidRPr="00E16BBF">
              <w:rPr>
                <w:szCs w:val="20"/>
              </w:rPr>
              <w:t>Less copayments</w:t>
            </w:r>
          </w:p>
        </w:tc>
        <w:tc>
          <w:tcPr>
            <w:tcW w:w="582" w:type="pct"/>
            <w:gridSpan w:val="3"/>
          </w:tcPr>
          <w:p w14:paraId="339520E9" w14:textId="2FA26FA6" w:rsidR="00E16BBF" w:rsidRPr="00881696" w:rsidRDefault="00E639BD" w:rsidP="007017BA">
            <w:pPr>
              <w:pStyle w:val="Tabletext"/>
              <w:keepNext/>
              <w:keepLines/>
              <w:jc w:val="center"/>
              <w:rPr>
                <w:rFonts w:cs="Arial"/>
                <w:szCs w:val="20"/>
                <w:highlight w:val="darkGray"/>
              </w:rPr>
            </w:pPr>
            <w:r w:rsidRPr="00E639BD">
              <w:rPr>
                <w:rFonts w:hint="eastAsia"/>
                <w:color w:val="000000"/>
                <w:w w:val="22"/>
                <w:shd w:val="solid" w:color="000000" w:fill="000000"/>
                <w:fitText w:val="100" w:id="-761099004"/>
                <w14:textFill>
                  <w14:solidFill>
                    <w14:srgbClr w14:val="000000">
                      <w14:alpha w14:val="100000"/>
                    </w14:srgbClr>
                  </w14:solidFill>
                </w14:textFill>
              </w:rPr>
              <w:t xml:space="preserve">　</w:t>
            </w:r>
            <w:r w:rsidRPr="00E639BD">
              <w:rPr>
                <w:color w:val="000000"/>
                <w:w w:val="22"/>
                <w:shd w:val="solid" w:color="000000" w:fill="000000"/>
                <w:fitText w:val="100" w:id="-761099004"/>
                <w14:textFill>
                  <w14:solidFill>
                    <w14:srgbClr w14:val="000000">
                      <w14:alpha w14:val="100000"/>
                    </w14:srgbClr>
                  </w14:solidFill>
                </w14:textFill>
              </w:rPr>
              <w:t>|</w:t>
            </w:r>
            <w:r w:rsidRPr="00E639BD">
              <w:rPr>
                <w:rFonts w:hint="eastAsia"/>
                <w:color w:val="000000"/>
                <w:spacing w:val="3"/>
                <w:w w:val="22"/>
                <w:shd w:val="solid" w:color="000000" w:fill="000000"/>
                <w:fitText w:val="100" w:id="-761099004"/>
                <w14:textFill>
                  <w14:solidFill>
                    <w14:srgbClr w14:val="000000">
                      <w14:alpha w14:val="100000"/>
                    </w14:srgbClr>
                  </w14:solidFill>
                </w14:textFill>
              </w:rPr>
              <w:t xml:space="preserve">　</w:t>
            </w:r>
            <w:r w:rsidR="002F455E" w:rsidRPr="002F455E">
              <w:rPr>
                <w:vertAlign w:val="superscript"/>
              </w:rPr>
              <w:t>12</w:t>
            </w:r>
          </w:p>
        </w:tc>
        <w:tc>
          <w:tcPr>
            <w:tcW w:w="537" w:type="pct"/>
            <w:gridSpan w:val="2"/>
          </w:tcPr>
          <w:p w14:paraId="7B1C653B" w14:textId="46F21D86" w:rsidR="00E16BBF" w:rsidRPr="00881696" w:rsidRDefault="00E639BD" w:rsidP="007017BA">
            <w:pPr>
              <w:pStyle w:val="Tabletext"/>
              <w:keepNext/>
              <w:keepLines/>
              <w:jc w:val="center"/>
              <w:rPr>
                <w:rFonts w:cs="Arial"/>
                <w:szCs w:val="20"/>
                <w:highlight w:val="darkGray"/>
              </w:rPr>
            </w:pPr>
            <w:r w:rsidRPr="00E639BD">
              <w:rPr>
                <w:color w:val="000000"/>
                <w:spacing w:val="74"/>
                <w:shd w:val="solid" w:color="000000" w:fill="000000"/>
                <w:fitText w:val="160" w:id="-761099003"/>
                <w14:textFill>
                  <w14:solidFill>
                    <w14:srgbClr w14:val="000000">
                      <w14:alpha w14:val="100000"/>
                    </w14:srgbClr>
                  </w14:solidFill>
                </w14:textFill>
              </w:rPr>
              <w:t>|</w:t>
            </w:r>
            <w:r w:rsidRPr="00E639BD">
              <w:rPr>
                <w:color w:val="000000"/>
                <w:spacing w:val="1"/>
                <w:shd w:val="solid" w:color="000000" w:fill="000000"/>
                <w:fitText w:val="160" w:id="-761099003"/>
                <w14:textFill>
                  <w14:solidFill>
                    <w14:srgbClr w14:val="000000">
                      <w14:alpha w14:val="100000"/>
                    </w14:srgbClr>
                  </w14:solidFill>
                </w14:textFill>
              </w:rPr>
              <w:t>|</w:t>
            </w:r>
            <w:r w:rsidR="002F455E" w:rsidRPr="002F455E">
              <w:rPr>
                <w:vertAlign w:val="superscript"/>
              </w:rPr>
              <w:t>12</w:t>
            </w:r>
          </w:p>
        </w:tc>
        <w:tc>
          <w:tcPr>
            <w:tcW w:w="537" w:type="pct"/>
            <w:gridSpan w:val="2"/>
          </w:tcPr>
          <w:p w14:paraId="0B64796E" w14:textId="352ED731" w:rsidR="00E16BBF" w:rsidRPr="00881696" w:rsidRDefault="00E639BD" w:rsidP="007017BA">
            <w:pPr>
              <w:pStyle w:val="Tabletext"/>
              <w:keepNext/>
              <w:keepLines/>
              <w:jc w:val="center"/>
              <w:rPr>
                <w:rFonts w:cs="Arial"/>
                <w:szCs w:val="20"/>
                <w:highlight w:val="darkGray"/>
              </w:rPr>
            </w:pPr>
            <w:r w:rsidRPr="00E639BD">
              <w:rPr>
                <w:color w:val="000000"/>
                <w:spacing w:val="74"/>
                <w:shd w:val="solid" w:color="000000" w:fill="000000"/>
                <w:fitText w:val="160" w:id="-761099002"/>
                <w14:textFill>
                  <w14:solidFill>
                    <w14:srgbClr w14:val="000000">
                      <w14:alpha w14:val="100000"/>
                    </w14:srgbClr>
                  </w14:solidFill>
                </w14:textFill>
              </w:rPr>
              <w:t>|</w:t>
            </w:r>
            <w:r w:rsidRPr="00E639BD">
              <w:rPr>
                <w:color w:val="000000"/>
                <w:spacing w:val="1"/>
                <w:shd w:val="solid" w:color="000000" w:fill="000000"/>
                <w:fitText w:val="160" w:id="-761099002"/>
                <w14:textFill>
                  <w14:solidFill>
                    <w14:srgbClr w14:val="000000">
                      <w14:alpha w14:val="100000"/>
                    </w14:srgbClr>
                  </w14:solidFill>
                </w14:textFill>
              </w:rPr>
              <w:t>|</w:t>
            </w:r>
            <w:r w:rsidR="002F455E" w:rsidRPr="002F455E">
              <w:rPr>
                <w:vertAlign w:val="superscript"/>
              </w:rPr>
              <w:t>12</w:t>
            </w:r>
          </w:p>
        </w:tc>
        <w:tc>
          <w:tcPr>
            <w:tcW w:w="598" w:type="pct"/>
            <w:gridSpan w:val="2"/>
          </w:tcPr>
          <w:p w14:paraId="28932124" w14:textId="70F395CD" w:rsidR="00E16BBF" w:rsidRPr="00881696" w:rsidRDefault="00E639BD" w:rsidP="007017BA">
            <w:pPr>
              <w:pStyle w:val="Tabletext"/>
              <w:keepNext/>
              <w:keepLines/>
              <w:jc w:val="center"/>
              <w:rPr>
                <w:rFonts w:cs="Arial"/>
                <w:szCs w:val="20"/>
                <w:highlight w:val="darkGray"/>
              </w:rPr>
            </w:pPr>
            <w:r w:rsidRPr="00E639BD">
              <w:rPr>
                <w:rFonts w:hint="eastAsia"/>
                <w:color w:val="000000"/>
                <w:w w:val="18"/>
                <w:shd w:val="solid" w:color="000000" w:fill="000000"/>
                <w:fitText w:val="80" w:id="-761099001"/>
                <w14:textFill>
                  <w14:solidFill>
                    <w14:srgbClr w14:val="000000">
                      <w14:alpha w14:val="100000"/>
                    </w14:srgbClr>
                  </w14:solidFill>
                </w14:textFill>
              </w:rPr>
              <w:t xml:space="preserve">　</w:t>
            </w:r>
            <w:r w:rsidRPr="00E639BD">
              <w:rPr>
                <w:color w:val="000000"/>
                <w:w w:val="18"/>
                <w:shd w:val="solid" w:color="000000" w:fill="000000"/>
                <w:fitText w:val="80" w:id="-761099001"/>
                <w14:textFill>
                  <w14:solidFill>
                    <w14:srgbClr w14:val="000000">
                      <w14:alpha w14:val="100000"/>
                    </w14:srgbClr>
                  </w14:solidFill>
                </w14:textFill>
              </w:rPr>
              <w:t>|</w:t>
            </w:r>
            <w:r w:rsidRPr="00E639BD">
              <w:rPr>
                <w:rFonts w:hint="eastAsia"/>
                <w:color w:val="000000"/>
                <w:w w:val="18"/>
                <w:shd w:val="solid" w:color="000000" w:fill="000000"/>
                <w:fitText w:val="80" w:id="-761099001"/>
                <w14:textFill>
                  <w14:solidFill>
                    <w14:srgbClr w14:val="000000">
                      <w14:alpha w14:val="100000"/>
                    </w14:srgbClr>
                  </w14:solidFill>
                </w14:textFill>
              </w:rPr>
              <w:t xml:space="preserve">　</w:t>
            </w:r>
            <w:r w:rsidR="002F455E" w:rsidRPr="002F455E">
              <w:rPr>
                <w:vertAlign w:val="superscript"/>
              </w:rPr>
              <w:t>12</w:t>
            </w:r>
          </w:p>
        </w:tc>
        <w:tc>
          <w:tcPr>
            <w:tcW w:w="593" w:type="pct"/>
            <w:gridSpan w:val="2"/>
          </w:tcPr>
          <w:p w14:paraId="2F6B340D" w14:textId="1145F126" w:rsidR="00E16BBF" w:rsidRPr="00881696" w:rsidRDefault="00E639BD" w:rsidP="007017BA">
            <w:pPr>
              <w:pStyle w:val="Tabletext"/>
              <w:keepNext/>
              <w:keepLines/>
              <w:jc w:val="center"/>
              <w:rPr>
                <w:rFonts w:cs="Arial"/>
                <w:szCs w:val="20"/>
                <w:highlight w:val="darkGray"/>
              </w:rPr>
            </w:pPr>
            <w:r w:rsidRPr="00E639BD">
              <w:rPr>
                <w:rFonts w:hint="eastAsia"/>
                <w:color w:val="000000"/>
                <w:w w:val="22"/>
                <w:shd w:val="solid" w:color="000000" w:fill="000000"/>
                <w:fitText w:val="100" w:id="-761099000"/>
                <w14:textFill>
                  <w14:solidFill>
                    <w14:srgbClr w14:val="000000">
                      <w14:alpha w14:val="100000"/>
                    </w14:srgbClr>
                  </w14:solidFill>
                </w14:textFill>
              </w:rPr>
              <w:t xml:space="preserve">　</w:t>
            </w:r>
            <w:r w:rsidRPr="00E639BD">
              <w:rPr>
                <w:color w:val="000000"/>
                <w:w w:val="22"/>
                <w:shd w:val="solid" w:color="000000" w:fill="000000"/>
                <w:fitText w:val="100" w:id="-761099000"/>
                <w14:textFill>
                  <w14:solidFill>
                    <w14:srgbClr w14:val="000000">
                      <w14:alpha w14:val="100000"/>
                    </w14:srgbClr>
                  </w14:solidFill>
                </w14:textFill>
              </w:rPr>
              <w:t>|</w:t>
            </w:r>
            <w:r w:rsidRPr="00E639BD">
              <w:rPr>
                <w:rFonts w:hint="eastAsia"/>
                <w:color w:val="000000"/>
                <w:spacing w:val="3"/>
                <w:w w:val="22"/>
                <w:shd w:val="solid" w:color="000000" w:fill="000000"/>
                <w:fitText w:val="100" w:id="-761099000"/>
                <w14:textFill>
                  <w14:solidFill>
                    <w14:srgbClr w14:val="000000">
                      <w14:alpha w14:val="100000"/>
                    </w14:srgbClr>
                  </w14:solidFill>
                </w14:textFill>
              </w:rPr>
              <w:t xml:space="preserve">　</w:t>
            </w:r>
            <w:r w:rsidR="002F455E" w:rsidRPr="002F455E">
              <w:rPr>
                <w:vertAlign w:val="superscript"/>
              </w:rPr>
              <w:t>12</w:t>
            </w:r>
          </w:p>
        </w:tc>
        <w:tc>
          <w:tcPr>
            <w:tcW w:w="598" w:type="pct"/>
            <w:gridSpan w:val="2"/>
          </w:tcPr>
          <w:p w14:paraId="3EB8A59F" w14:textId="35C4F8ED" w:rsidR="00E16BBF" w:rsidRPr="00881696" w:rsidRDefault="00E639BD" w:rsidP="007017BA">
            <w:pPr>
              <w:pStyle w:val="Tabletext"/>
              <w:keepNext/>
              <w:keepLines/>
              <w:jc w:val="center"/>
              <w:rPr>
                <w:rFonts w:cs="Arial"/>
                <w:szCs w:val="20"/>
                <w:highlight w:val="darkGray"/>
              </w:rPr>
            </w:pPr>
            <w:r w:rsidRPr="00E639BD">
              <w:rPr>
                <w:rFonts w:hint="eastAsia"/>
                <w:color w:val="000000"/>
                <w:w w:val="18"/>
                <w:shd w:val="solid" w:color="000000" w:fill="000000"/>
                <w:fitText w:val="80" w:id="-761098999"/>
                <w14:textFill>
                  <w14:solidFill>
                    <w14:srgbClr w14:val="000000">
                      <w14:alpha w14:val="100000"/>
                    </w14:srgbClr>
                  </w14:solidFill>
                </w14:textFill>
              </w:rPr>
              <w:t xml:space="preserve">　</w:t>
            </w:r>
            <w:r w:rsidRPr="00E639BD">
              <w:rPr>
                <w:color w:val="000000"/>
                <w:w w:val="18"/>
                <w:shd w:val="solid" w:color="000000" w:fill="000000"/>
                <w:fitText w:val="80" w:id="-761098999"/>
                <w14:textFill>
                  <w14:solidFill>
                    <w14:srgbClr w14:val="000000">
                      <w14:alpha w14:val="100000"/>
                    </w14:srgbClr>
                  </w14:solidFill>
                </w14:textFill>
              </w:rPr>
              <w:t>|</w:t>
            </w:r>
            <w:r w:rsidRPr="00E639BD">
              <w:rPr>
                <w:rFonts w:hint="eastAsia"/>
                <w:color w:val="000000"/>
                <w:w w:val="18"/>
                <w:shd w:val="solid" w:color="000000" w:fill="000000"/>
                <w:fitText w:val="80" w:id="-761098999"/>
                <w14:textFill>
                  <w14:solidFill>
                    <w14:srgbClr w14:val="000000">
                      <w14:alpha w14:val="100000"/>
                    </w14:srgbClr>
                  </w14:solidFill>
                </w14:textFill>
              </w:rPr>
              <w:t xml:space="preserve">　</w:t>
            </w:r>
            <w:r w:rsidR="002F455E" w:rsidRPr="002F455E">
              <w:rPr>
                <w:vertAlign w:val="superscript"/>
              </w:rPr>
              <w:t>12</w:t>
            </w:r>
          </w:p>
        </w:tc>
        <w:tc>
          <w:tcPr>
            <w:tcW w:w="590" w:type="pct"/>
            <w:vAlign w:val="center"/>
          </w:tcPr>
          <w:p w14:paraId="4CB6A8DE" w14:textId="09C7EA03" w:rsidR="00E16BBF" w:rsidRPr="00881696" w:rsidRDefault="00E639BD" w:rsidP="004665A1">
            <w:pPr>
              <w:pStyle w:val="TableText0"/>
              <w:jc w:val="center"/>
              <w:rPr>
                <w:b/>
                <w:szCs w:val="20"/>
                <w:highlight w:val="darkGray"/>
              </w:rPr>
            </w:pPr>
            <w:r w:rsidRPr="00E639BD">
              <w:rPr>
                <w:color w:val="000000"/>
                <w:spacing w:val="56"/>
                <w:shd w:val="solid" w:color="000000" w:fill="000000"/>
                <w:fitText w:val="340" w:id="-761098998"/>
                <w14:textFill>
                  <w14:solidFill>
                    <w14:srgbClr w14:val="000000">
                      <w14:alpha w14:val="100000"/>
                    </w14:srgbClr>
                  </w14:solidFill>
                </w14:textFill>
              </w:rPr>
              <w:t>|||</w:t>
            </w:r>
            <w:r w:rsidRPr="00E639BD">
              <w:rPr>
                <w:color w:val="000000"/>
                <w:spacing w:val="2"/>
                <w:shd w:val="solid" w:color="000000" w:fill="000000"/>
                <w:fitText w:val="340" w:id="-761098998"/>
                <w14:textFill>
                  <w14:solidFill>
                    <w14:srgbClr w14:val="000000">
                      <w14:alpha w14:val="100000"/>
                    </w14:srgbClr>
                  </w14:solidFill>
                </w14:textFill>
              </w:rPr>
              <w:t>|</w:t>
            </w:r>
            <w:r w:rsidR="002F455E" w:rsidRPr="002F455E">
              <w:rPr>
                <w:vertAlign w:val="superscript"/>
              </w:rPr>
              <w:t>12</w:t>
            </w:r>
          </w:p>
        </w:tc>
      </w:tr>
      <w:tr w:rsidR="00E16BBF" w:rsidRPr="00740830" w14:paraId="680127D7" w14:textId="77777777" w:rsidTr="007A6C0C">
        <w:trPr>
          <w:trHeight w:val="57"/>
        </w:trPr>
        <w:tc>
          <w:tcPr>
            <w:tcW w:w="965" w:type="pct"/>
          </w:tcPr>
          <w:p w14:paraId="3EE370CF" w14:textId="77777777" w:rsidR="00E16BBF" w:rsidRPr="00740830" w:rsidRDefault="00E16BBF" w:rsidP="007017BA">
            <w:pPr>
              <w:pStyle w:val="Tabletext"/>
              <w:keepNext/>
              <w:keepLines/>
              <w:rPr>
                <w:b/>
                <w:bCs/>
                <w:szCs w:val="20"/>
              </w:rPr>
            </w:pPr>
            <w:r w:rsidRPr="00740830">
              <w:rPr>
                <w:b/>
                <w:bCs/>
                <w:szCs w:val="20"/>
              </w:rPr>
              <w:t xml:space="preserve">Net </w:t>
            </w:r>
            <w:proofErr w:type="spellStart"/>
            <w:r w:rsidRPr="00740830">
              <w:rPr>
                <w:b/>
                <w:bCs/>
                <w:szCs w:val="20"/>
              </w:rPr>
              <w:t>cost</w:t>
            </w:r>
            <w:r w:rsidRPr="00740830">
              <w:rPr>
                <w:b/>
                <w:bCs/>
                <w:szCs w:val="20"/>
                <w:vertAlign w:val="superscript"/>
              </w:rPr>
              <w:t>b</w:t>
            </w:r>
            <w:proofErr w:type="spellEnd"/>
            <w:r w:rsidRPr="00740830">
              <w:rPr>
                <w:b/>
                <w:bCs/>
                <w:szCs w:val="20"/>
              </w:rPr>
              <w:t xml:space="preserve"> PBS/RPBS</w:t>
            </w:r>
          </w:p>
        </w:tc>
        <w:tc>
          <w:tcPr>
            <w:tcW w:w="582" w:type="pct"/>
            <w:gridSpan w:val="3"/>
          </w:tcPr>
          <w:p w14:paraId="366B9063" w14:textId="07BFBAD8" w:rsidR="00E16BBF" w:rsidRPr="000126DF" w:rsidRDefault="00E639BD" w:rsidP="007017BA">
            <w:pPr>
              <w:pStyle w:val="Tabletext"/>
              <w:keepNext/>
              <w:keepLines/>
              <w:jc w:val="center"/>
              <w:rPr>
                <w:b/>
                <w:bCs/>
                <w:szCs w:val="20"/>
                <w:highlight w:val="darkGray"/>
              </w:rPr>
            </w:pPr>
            <w:r w:rsidRPr="00E639BD">
              <w:rPr>
                <w:rFonts w:hint="eastAsia"/>
                <w:b/>
                <w:bCs/>
                <w:color w:val="000000"/>
                <w:w w:val="26"/>
                <w:shd w:val="solid" w:color="000000" w:fill="000000"/>
                <w:fitText w:val="120" w:id="-761098997"/>
                <w14:textFill>
                  <w14:solidFill>
                    <w14:srgbClr w14:val="000000">
                      <w14:alpha w14:val="100000"/>
                    </w14:srgbClr>
                  </w14:solidFill>
                </w14:textFill>
              </w:rPr>
              <w:t xml:space="preserve">　</w:t>
            </w:r>
            <w:r w:rsidRPr="00E639BD">
              <w:rPr>
                <w:b/>
                <w:bCs/>
                <w:color w:val="000000"/>
                <w:w w:val="26"/>
                <w:shd w:val="solid" w:color="000000" w:fill="000000"/>
                <w:fitText w:val="120" w:id="-761098997"/>
                <w14:textFill>
                  <w14:solidFill>
                    <w14:srgbClr w14:val="000000">
                      <w14:alpha w14:val="100000"/>
                    </w14:srgbClr>
                  </w14:solidFill>
                </w14:textFill>
              </w:rPr>
              <w:t>|</w:t>
            </w:r>
            <w:r w:rsidRPr="00E639BD">
              <w:rPr>
                <w:rFonts w:hint="eastAsia"/>
                <w:b/>
                <w:bCs/>
                <w:color w:val="000000"/>
                <w:spacing w:val="4"/>
                <w:w w:val="26"/>
                <w:shd w:val="solid" w:color="000000" w:fill="000000"/>
                <w:fitText w:val="120" w:id="-761098997"/>
                <w14:textFill>
                  <w14:solidFill>
                    <w14:srgbClr w14:val="000000">
                      <w14:alpha w14:val="100000"/>
                    </w14:srgbClr>
                  </w14:solidFill>
                </w14:textFill>
              </w:rPr>
              <w:t xml:space="preserve">　</w:t>
            </w:r>
            <w:r w:rsidR="00DB3669" w:rsidRPr="00DB3669">
              <w:rPr>
                <w:vertAlign w:val="superscript"/>
              </w:rPr>
              <w:t>8</w:t>
            </w:r>
          </w:p>
        </w:tc>
        <w:tc>
          <w:tcPr>
            <w:tcW w:w="537" w:type="pct"/>
            <w:gridSpan w:val="2"/>
          </w:tcPr>
          <w:p w14:paraId="578F01FA" w14:textId="741A21C3" w:rsidR="00E16BBF" w:rsidRPr="000126DF" w:rsidRDefault="00E639BD" w:rsidP="007017BA">
            <w:pPr>
              <w:pStyle w:val="Tabletext"/>
              <w:keepNext/>
              <w:keepLines/>
              <w:jc w:val="center"/>
              <w:rPr>
                <w:b/>
                <w:bCs/>
                <w:szCs w:val="20"/>
                <w:highlight w:val="darkGray"/>
              </w:rPr>
            </w:pPr>
            <w:r w:rsidRPr="00E639BD">
              <w:rPr>
                <w:b/>
                <w:bCs/>
                <w:color w:val="000000"/>
                <w:spacing w:val="88"/>
                <w:shd w:val="solid" w:color="000000" w:fill="000000"/>
                <w:fitText w:val="180" w:id="-761098996"/>
                <w14:textFill>
                  <w14:solidFill>
                    <w14:srgbClr w14:val="000000">
                      <w14:alpha w14:val="100000"/>
                    </w14:srgbClr>
                  </w14:solidFill>
                </w14:textFill>
              </w:rPr>
              <w:t>|</w:t>
            </w:r>
            <w:r w:rsidRPr="00E639BD">
              <w:rPr>
                <w:b/>
                <w:bCs/>
                <w:color w:val="000000"/>
                <w:spacing w:val="1"/>
                <w:shd w:val="solid" w:color="000000" w:fill="000000"/>
                <w:fitText w:val="180" w:id="-761098996"/>
                <w14:textFill>
                  <w14:solidFill>
                    <w14:srgbClr w14:val="000000">
                      <w14:alpha w14:val="100000"/>
                    </w14:srgbClr>
                  </w14:solidFill>
                </w14:textFill>
              </w:rPr>
              <w:t>|</w:t>
            </w:r>
            <w:r w:rsidR="00DB3669" w:rsidRPr="00DB3669">
              <w:rPr>
                <w:vertAlign w:val="superscript"/>
              </w:rPr>
              <w:t>8</w:t>
            </w:r>
          </w:p>
        </w:tc>
        <w:tc>
          <w:tcPr>
            <w:tcW w:w="537" w:type="pct"/>
            <w:gridSpan w:val="2"/>
          </w:tcPr>
          <w:p w14:paraId="244BAFC2" w14:textId="0BC50671" w:rsidR="00E16BBF" w:rsidRPr="000126DF" w:rsidRDefault="00E639BD" w:rsidP="007017BA">
            <w:pPr>
              <w:pStyle w:val="Tabletext"/>
              <w:keepNext/>
              <w:keepLines/>
              <w:jc w:val="center"/>
              <w:rPr>
                <w:b/>
                <w:bCs/>
                <w:szCs w:val="20"/>
                <w:highlight w:val="darkGray"/>
              </w:rPr>
            </w:pPr>
            <w:r w:rsidRPr="00E639BD">
              <w:rPr>
                <w:b/>
                <w:bCs/>
                <w:color w:val="000000"/>
                <w:spacing w:val="88"/>
                <w:shd w:val="solid" w:color="000000" w:fill="000000"/>
                <w:fitText w:val="180" w:id="-761098995"/>
                <w14:textFill>
                  <w14:solidFill>
                    <w14:srgbClr w14:val="000000">
                      <w14:alpha w14:val="100000"/>
                    </w14:srgbClr>
                  </w14:solidFill>
                </w14:textFill>
              </w:rPr>
              <w:t>|</w:t>
            </w:r>
            <w:r w:rsidRPr="00E639BD">
              <w:rPr>
                <w:b/>
                <w:bCs/>
                <w:color w:val="000000"/>
                <w:spacing w:val="1"/>
                <w:shd w:val="solid" w:color="000000" w:fill="000000"/>
                <w:fitText w:val="180" w:id="-761098995"/>
                <w14:textFill>
                  <w14:solidFill>
                    <w14:srgbClr w14:val="000000">
                      <w14:alpha w14:val="100000"/>
                    </w14:srgbClr>
                  </w14:solidFill>
                </w14:textFill>
              </w:rPr>
              <w:t>|</w:t>
            </w:r>
            <w:r w:rsidR="00DB3669" w:rsidRPr="00DB3669">
              <w:rPr>
                <w:vertAlign w:val="superscript"/>
              </w:rPr>
              <w:t>8</w:t>
            </w:r>
          </w:p>
        </w:tc>
        <w:tc>
          <w:tcPr>
            <w:tcW w:w="598" w:type="pct"/>
            <w:gridSpan w:val="2"/>
          </w:tcPr>
          <w:p w14:paraId="06A27A73" w14:textId="32FF0AB7" w:rsidR="00E16BBF" w:rsidRPr="000126DF" w:rsidRDefault="00E639BD" w:rsidP="007017BA">
            <w:pPr>
              <w:pStyle w:val="Tabletext"/>
              <w:keepNext/>
              <w:keepLines/>
              <w:jc w:val="center"/>
              <w:rPr>
                <w:b/>
                <w:bCs/>
                <w:szCs w:val="20"/>
                <w:highlight w:val="darkGray"/>
              </w:rPr>
            </w:pPr>
            <w:r w:rsidRPr="00E639BD">
              <w:rPr>
                <w:rFonts w:hint="eastAsia"/>
                <w:b/>
                <w:bCs/>
                <w:color w:val="000000"/>
                <w:w w:val="26"/>
                <w:shd w:val="solid" w:color="000000" w:fill="000000"/>
                <w:fitText w:val="120" w:id="-761098994"/>
                <w14:textFill>
                  <w14:solidFill>
                    <w14:srgbClr w14:val="000000">
                      <w14:alpha w14:val="100000"/>
                    </w14:srgbClr>
                  </w14:solidFill>
                </w14:textFill>
              </w:rPr>
              <w:t xml:space="preserve">　</w:t>
            </w:r>
            <w:r w:rsidRPr="00E639BD">
              <w:rPr>
                <w:b/>
                <w:bCs/>
                <w:color w:val="000000"/>
                <w:w w:val="26"/>
                <w:shd w:val="solid" w:color="000000" w:fill="000000"/>
                <w:fitText w:val="120" w:id="-761098994"/>
                <w14:textFill>
                  <w14:solidFill>
                    <w14:srgbClr w14:val="000000">
                      <w14:alpha w14:val="100000"/>
                    </w14:srgbClr>
                  </w14:solidFill>
                </w14:textFill>
              </w:rPr>
              <w:t>|</w:t>
            </w:r>
            <w:r w:rsidRPr="00E639BD">
              <w:rPr>
                <w:rFonts w:hint="eastAsia"/>
                <w:b/>
                <w:bCs/>
                <w:color w:val="000000"/>
                <w:spacing w:val="4"/>
                <w:w w:val="26"/>
                <w:shd w:val="solid" w:color="000000" w:fill="000000"/>
                <w:fitText w:val="120" w:id="-761098994"/>
                <w14:textFill>
                  <w14:solidFill>
                    <w14:srgbClr w14:val="000000">
                      <w14:alpha w14:val="100000"/>
                    </w14:srgbClr>
                  </w14:solidFill>
                </w14:textFill>
              </w:rPr>
              <w:t xml:space="preserve">　</w:t>
            </w:r>
            <w:r w:rsidR="00B65727" w:rsidRPr="00B65727">
              <w:rPr>
                <w:b/>
                <w:bCs/>
                <w:vertAlign w:val="superscript"/>
              </w:rPr>
              <w:t>9</w:t>
            </w:r>
          </w:p>
        </w:tc>
        <w:tc>
          <w:tcPr>
            <w:tcW w:w="593" w:type="pct"/>
            <w:gridSpan w:val="2"/>
          </w:tcPr>
          <w:p w14:paraId="22404082" w14:textId="13F1BDB7" w:rsidR="00E16BBF" w:rsidRPr="000126DF" w:rsidRDefault="00E639BD" w:rsidP="007017BA">
            <w:pPr>
              <w:pStyle w:val="Tabletext"/>
              <w:keepNext/>
              <w:keepLines/>
              <w:jc w:val="center"/>
              <w:rPr>
                <w:b/>
                <w:bCs/>
                <w:szCs w:val="20"/>
                <w:highlight w:val="darkGray"/>
              </w:rPr>
            </w:pPr>
            <w:r w:rsidRPr="00E639BD">
              <w:rPr>
                <w:b/>
                <w:bCs/>
                <w:color w:val="000000"/>
                <w:spacing w:val="68"/>
                <w:shd w:val="solid" w:color="000000" w:fill="000000"/>
                <w:fitText w:val="160" w:id="-761098993"/>
                <w14:textFill>
                  <w14:solidFill>
                    <w14:srgbClr w14:val="000000">
                      <w14:alpha w14:val="100000"/>
                    </w14:srgbClr>
                  </w14:solidFill>
                </w14:textFill>
              </w:rPr>
              <w:t>|</w:t>
            </w:r>
            <w:r w:rsidRPr="00E639BD">
              <w:rPr>
                <w:b/>
                <w:bCs/>
                <w:color w:val="000000"/>
                <w:spacing w:val="1"/>
                <w:shd w:val="solid" w:color="000000" w:fill="000000"/>
                <w:fitText w:val="160" w:id="-761098993"/>
                <w14:textFill>
                  <w14:solidFill>
                    <w14:srgbClr w14:val="000000">
                      <w14:alpha w14:val="100000"/>
                    </w14:srgbClr>
                  </w14:solidFill>
                </w14:textFill>
              </w:rPr>
              <w:t>|</w:t>
            </w:r>
            <w:r w:rsidR="00B65727" w:rsidRPr="00EF1D4E">
              <w:rPr>
                <w:vertAlign w:val="superscript"/>
              </w:rPr>
              <w:t>10</w:t>
            </w:r>
          </w:p>
        </w:tc>
        <w:tc>
          <w:tcPr>
            <w:tcW w:w="598" w:type="pct"/>
            <w:gridSpan w:val="2"/>
          </w:tcPr>
          <w:p w14:paraId="15F76D95" w14:textId="3B2F3511" w:rsidR="00E16BBF" w:rsidRPr="000126DF" w:rsidRDefault="00E639BD" w:rsidP="007017BA">
            <w:pPr>
              <w:pStyle w:val="Tabletext"/>
              <w:keepNext/>
              <w:keepLines/>
              <w:jc w:val="center"/>
              <w:rPr>
                <w:b/>
                <w:bCs/>
                <w:szCs w:val="20"/>
                <w:highlight w:val="darkGray"/>
              </w:rPr>
            </w:pPr>
            <w:r w:rsidRPr="00E639BD">
              <w:rPr>
                <w:rFonts w:hint="eastAsia"/>
                <w:b/>
                <w:bCs/>
                <w:color w:val="000000"/>
                <w:w w:val="26"/>
                <w:shd w:val="solid" w:color="000000" w:fill="000000"/>
                <w:fitText w:val="120" w:id="-761098752"/>
                <w14:textFill>
                  <w14:solidFill>
                    <w14:srgbClr w14:val="000000">
                      <w14:alpha w14:val="100000"/>
                    </w14:srgbClr>
                  </w14:solidFill>
                </w14:textFill>
              </w:rPr>
              <w:t xml:space="preserve">　</w:t>
            </w:r>
            <w:r w:rsidRPr="00E639BD">
              <w:rPr>
                <w:b/>
                <w:bCs/>
                <w:color w:val="000000"/>
                <w:w w:val="26"/>
                <w:shd w:val="solid" w:color="000000" w:fill="000000"/>
                <w:fitText w:val="120" w:id="-761098752"/>
                <w14:textFill>
                  <w14:solidFill>
                    <w14:srgbClr w14:val="000000">
                      <w14:alpha w14:val="100000"/>
                    </w14:srgbClr>
                  </w14:solidFill>
                </w14:textFill>
              </w:rPr>
              <w:t>|</w:t>
            </w:r>
            <w:r w:rsidRPr="00E639BD">
              <w:rPr>
                <w:rFonts w:hint="eastAsia"/>
                <w:b/>
                <w:bCs/>
                <w:color w:val="000000"/>
                <w:spacing w:val="4"/>
                <w:w w:val="26"/>
                <w:shd w:val="solid" w:color="000000" w:fill="000000"/>
                <w:fitText w:val="120" w:id="-761098752"/>
                <w14:textFill>
                  <w14:solidFill>
                    <w14:srgbClr w14:val="000000">
                      <w14:alpha w14:val="100000"/>
                    </w14:srgbClr>
                  </w14:solidFill>
                </w14:textFill>
              </w:rPr>
              <w:t xml:space="preserve">　</w:t>
            </w:r>
            <w:r w:rsidR="00B65727" w:rsidRPr="00EF1D4E">
              <w:rPr>
                <w:vertAlign w:val="superscript"/>
              </w:rPr>
              <w:t>10</w:t>
            </w:r>
          </w:p>
        </w:tc>
        <w:tc>
          <w:tcPr>
            <w:tcW w:w="590" w:type="pct"/>
            <w:vAlign w:val="center"/>
          </w:tcPr>
          <w:p w14:paraId="5033A300" w14:textId="151B23A0" w:rsidR="00E16BBF" w:rsidRPr="000126DF" w:rsidRDefault="00E639BD" w:rsidP="004665A1">
            <w:pPr>
              <w:pStyle w:val="TableText0"/>
              <w:jc w:val="center"/>
              <w:rPr>
                <w:b/>
                <w:color w:val="8064A2"/>
                <w:szCs w:val="20"/>
                <w:highlight w:val="darkGray"/>
              </w:rPr>
            </w:pPr>
            <w:r w:rsidRPr="00E639BD">
              <w:rPr>
                <w:b/>
                <w:color w:val="000000"/>
                <w:spacing w:val="58"/>
                <w:shd w:val="solid" w:color="000000" w:fill="000000"/>
                <w:fitText w:val="360" w:id="-761098751"/>
                <w14:textFill>
                  <w14:solidFill>
                    <w14:srgbClr w14:val="000000">
                      <w14:alpha w14:val="100000"/>
                    </w14:srgbClr>
                  </w14:solidFill>
                </w14:textFill>
              </w:rPr>
              <w:t>|||</w:t>
            </w:r>
            <w:r w:rsidRPr="00E639BD">
              <w:rPr>
                <w:b/>
                <w:color w:val="000000"/>
                <w:spacing w:val="3"/>
                <w:shd w:val="solid" w:color="000000" w:fill="000000"/>
                <w:fitText w:val="360" w:id="-761098751"/>
                <w14:textFill>
                  <w14:solidFill>
                    <w14:srgbClr w14:val="000000">
                      <w14:alpha w14:val="100000"/>
                    </w14:srgbClr>
                  </w14:solidFill>
                </w14:textFill>
              </w:rPr>
              <w:t>|</w:t>
            </w:r>
            <w:r w:rsidR="007017C5" w:rsidRPr="004F7F1B">
              <w:rPr>
                <w:vertAlign w:val="superscript"/>
              </w:rPr>
              <w:t>11</w:t>
            </w:r>
          </w:p>
        </w:tc>
      </w:tr>
      <w:tr w:rsidR="00E16BBF" w:rsidRPr="00E16BBF" w14:paraId="49F37D1E" w14:textId="77777777" w:rsidTr="007A6C0C">
        <w:trPr>
          <w:trHeight w:val="57"/>
        </w:trPr>
        <w:tc>
          <w:tcPr>
            <w:tcW w:w="4999" w:type="pct"/>
            <w:gridSpan w:val="15"/>
            <w:vAlign w:val="center"/>
          </w:tcPr>
          <w:p w14:paraId="0F625214" w14:textId="77777777" w:rsidR="00E16BBF" w:rsidRPr="00E16BBF" w:rsidRDefault="00E16BBF" w:rsidP="007017BA">
            <w:pPr>
              <w:pStyle w:val="Tabletext"/>
              <w:keepNext/>
              <w:keepLines/>
              <w:rPr>
                <w:b/>
                <w:bCs/>
                <w:szCs w:val="20"/>
              </w:rPr>
            </w:pPr>
            <w:r w:rsidRPr="00E16BBF">
              <w:rPr>
                <w:b/>
                <w:bCs/>
                <w:szCs w:val="20"/>
              </w:rPr>
              <w:t>Estimated changes in use and financial impact of currently listed treatments</w:t>
            </w:r>
          </w:p>
        </w:tc>
      </w:tr>
      <w:tr w:rsidR="00EF1D4E" w:rsidRPr="00E16BBF" w14:paraId="48080BD3" w14:textId="77777777" w:rsidTr="007A6C0C">
        <w:trPr>
          <w:trHeight w:val="57"/>
        </w:trPr>
        <w:tc>
          <w:tcPr>
            <w:tcW w:w="965" w:type="pct"/>
            <w:shd w:val="clear" w:color="auto" w:fill="FFFFFF" w:themeFill="background1"/>
            <w:vAlign w:val="center"/>
          </w:tcPr>
          <w:p w14:paraId="1D13B60D" w14:textId="77777777" w:rsidR="00E16BBF" w:rsidRPr="00E16BBF" w:rsidRDefault="00E16BBF" w:rsidP="007017BA">
            <w:pPr>
              <w:pStyle w:val="Tabletext"/>
              <w:keepNext/>
              <w:keepLines/>
              <w:ind w:left="107"/>
              <w:rPr>
                <w:szCs w:val="20"/>
              </w:rPr>
            </w:pPr>
            <w:r w:rsidRPr="00E16BBF">
              <w:rPr>
                <w:szCs w:val="20"/>
              </w:rPr>
              <w:t>Apalutamide</w:t>
            </w:r>
          </w:p>
        </w:tc>
        <w:tc>
          <w:tcPr>
            <w:tcW w:w="582" w:type="pct"/>
            <w:gridSpan w:val="3"/>
            <w:shd w:val="clear" w:color="auto" w:fill="FFFFFF" w:themeFill="background1"/>
            <w:vAlign w:val="center"/>
          </w:tcPr>
          <w:p w14:paraId="183BD582" w14:textId="5B42C134" w:rsidR="00E16BBF" w:rsidRPr="00845132" w:rsidRDefault="00E639BD" w:rsidP="007017BA">
            <w:pPr>
              <w:pStyle w:val="Tabletext"/>
              <w:keepNext/>
              <w:keepLines/>
              <w:jc w:val="center"/>
              <w:rPr>
                <w:szCs w:val="20"/>
                <w:highlight w:val="darkGray"/>
              </w:rPr>
            </w:pPr>
            <w:r w:rsidRPr="00E639BD">
              <w:rPr>
                <w:rFonts w:cs="Arial" w:hint="eastAsia"/>
                <w:color w:val="000000"/>
                <w:w w:val="18"/>
                <w:szCs w:val="20"/>
                <w:shd w:val="solid" w:color="000000" w:fill="000000"/>
                <w:fitText w:val="80" w:id="-761098750"/>
                <w14:textFill>
                  <w14:solidFill>
                    <w14:srgbClr w14:val="000000">
                      <w14:alpha w14:val="100000"/>
                    </w14:srgbClr>
                  </w14:solidFill>
                </w14:textFill>
              </w:rPr>
              <w:t xml:space="preserve">　</w:t>
            </w:r>
            <w:r w:rsidRPr="00E639BD">
              <w:rPr>
                <w:rFonts w:cs="Arial"/>
                <w:color w:val="000000"/>
                <w:w w:val="18"/>
                <w:szCs w:val="20"/>
                <w:shd w:val="solid" w:color="000000" w:fill="000000"/>
                <w:fitText w:val="80" w:id="-761098750"/>
                <w14:textFill>
                  <w14:solidFill>
                    <w14:srgbClr w14:val="000000">
                      <w14:alpha w14:val="100000"/>
                    </w14:srgbClr>
                  </w14:solidFill>
                </w14:textFill>
              </w:rPr>
              <w:t>|</w:t>
            </w:r>
            <w:r w:rsidRPr="00E639BD">
              <w:rPr>
                <w:rFonts w:cs="Arial" w:hint="eastAsia"/>
                <w:color w:val="000000"/>
                <w:w w:val="18"/>
                <w:szCs w:val="20"/>
                <w:shd w:val="solid" w:color="000000" w:fill="000000"/>
                <w:fitText w:val="80" w:id="-761098750"/>
                <w14:textFill>
                  <w14:solidFill>
                    <w14:srgbClr w14:val="000000">
                      <w14:alpha w14:val="100000"/>
                    </w14:srgbClr>
                  </w14:solidFill>
                </w14:textFill>
              </w:rPr>
              <w:t xml:space="preserve">　</w:t>
            </w:r>
            <w:r w:rsidR="00FC63D0" w:rsidRPr="006740C8">
              <w:rPr>
                <w:vertAlign w:val="superscript"/>
              </w:rPr>
              <w:t>3</w:t>
            </w:r>
          </w:p>
        </w:tc>
        <w:tc>
          <w:tcPr>
            <w:tcW w:w="537" w:type="pct"/>
            <w:gridSpan w:val="2"/>
            <w:shd w:val="clear" w:color="auto" w:fill="FFFFFF" w:themeFill="background1"/>
            <w:vAlign w:val="center"/>
          </w:tcPr>
          <w:p w14:paraId="4A7AAC53" w14:textId="5FD90757" w:rsidR="00E16BBF" w:rsidRPr="00845132" w:rsidRDefault="00E639BD" w:rsidP="007017BA">
            <w:pPr>
              <w:pStyle w:val="Tabletext"/>
              <w:keepNext/>
              <w:keepLines/>
              <w:jc w:val="center"/>
              <w:rPr>
                <w:szCs w:val="20"/>
                <w:highlight w:val="darkGray"/>
              </w:rPr>
            </w:pPr>
            <w:r w:rsidRPr="00E639BD">
              <w:rPr>
                <w:rFonts w:cs="Arial" w:hint="eastAsia"/>
                <w:color w:val="000000"/>
                <w:w w:val="27"/>
                <w:szCs w:val="20"/>
                <w:shd w:val="solid" w:color="000000" w:fill="000000"/>
                <w:fitText w:val="120" w:id="-761098749"/>
                <w14:textFill>
                  <w14:solidFill>
                    <w14:srgbClr w14:val="000000">
                      <w14:alpha w14:val="100000"/>
                    </w14:srgbClr>
                  </w14:solidFill>
                </w14:textFill>
              </w:rPr>
              <w:t xml:space="preserve">　</w:t>
            </w:r>
            <w:r w:rsidRPr="00E639BD">
              <w:rPr>
                <w:rFonts w:cs="Arial"/>
                <w:color w:val="000000"/>
                <w:w w:val="27"/>
                <w:szCs w:val="20"/>
                <w:shd w:val="solid" w:color="000000" w:fill="000000"/>
                <w:fitText w:val="120" w:id="-761098749"/>
                <w14:textFill>
                  <w14:solidFill>
                    <w14:srgbClr w14:val="000000">
                      <w14:alpha w14:val="100000"/>
                    </w14:srgbClr>
                  </w14:solidFill>
                </w14:textFill>
              </w:rPr>
              <w:t>|</w:t>
            </w:r>
            <w:r w:rsidRPr="00E639BD">
              <w:rPr>
                <w:rFonts w:cs="Arial" w:hint="eastAsia"/>
                <w:color w:val="000000"/>
                <w:spacing w:val="2"/>
                <w:w w:val="27"/>
                <w:szCs w:val="20"/>
                <w:shd w:val="solid" w:color="000000" w:fill="000000"/>
                <w:fitText w:val="120" w:id="-761098749"/>
                <w14:textFill>
                  <w14:solidFill>
                    <w14:srgbClr w14:val="000000">
                      <w14:alpha w14:val="100000"/>
                    </w14:srgbClr>
                  </w14:solidFill>
                </w14:textFill>
              </w:rPr>
              <w:t xml:space="preserve">　</w:t>
            </w:r>
            <w:r w:rsidR="00AB22D8" w:rsidRPr="006740C8">
              <w:rPr>
                <w:vertAlign w:val="superscript"/>
              </w:rPr>
              <w:t>3</w:t>
            </w:r>
          </w:p>
        </w:tc>
        <w:tc>
          <w:tcPr>
            <w:tcW w:w="537" w:type="pct"/>
            <w:gridSpan w:val="2"/>
            <w:shd w:val="clear" w:color="auto" w:fill="FFFFFF" w:themeFill="background1"/>
            <w:vAlign w:val="center"/>
          </w:tcPr>
          <w:p w14:paraId="5F31CCA9" w14:textId="48DB8822" w:rsidR="00E16BBF" w:rsidRPr="00845132" w:rsidRDefault="00E639BD" w:rsidP="007017BA">
            <w:pPr>
              <w:pStyle w:val="Tabletext"/>
              <w:keepNext/>
              <w:keepLines/>
              <w:jc w:val="center"/>
              <w:rPr>
                <w:szCs w:val="20"/>
                <w:highlight w:val="darkGray"/>
              </w:rPr>
            </w:pPr>
            <w:r w:rsidRPr="00E639BD">
              <w:rPr>
                <w:rFonts w:cs="Arial" w:hint="eastAsia"/>
                <w:color w:val="000000"/>
                <w:w w:val="27"/>
                <w:szCs w:val="20"/>
                <w:shd w:val="solid" w:color="000000" w:fill="000000"/>
                <w:fitText w:val="120" w:id="-761098748"/>
                <w14:textFill>
                  <w14:solidFill>
                    <w14:srgbClr w14:val="000000">
                      <w14:alpha w14:val="100000"/>
                    </w14:srgbClr>
                  </w14:solidFill>
                </w14:textFill>
              </w:rPr>
              <w:t xml:space="preserve">　</w:t>
            </w:r>
            <w:r w:rsidRPr="00E639BD">
              <w:rPr>
                <w:rFonts w:cs="Arial"/>
                <w:color w:val="000000"/>
                <w:w w:val="27"/>
                <w:szCs w:val="20"/>
                <w:shd w:val="solid" w:color="000000" w:fill="000000"/>
                <w:fitText w:val="120" w:id="-761098748"/>
                <w14:textFill>
                  <w14:solidFill>
                    <w14:srgbClr w14:val="000000">
                      <w14:alpha w14:val="100000"/>
                    </w14:srgbClr>
                  </w14:solidFill>
                </w14:textFill>
              </w:rPr>
              <w:t>|</w:t>
            </w:r>
            <w:r w:rsidRPr="00E639BD">
              <w:rPr>
                <w:rFonts w:cs="Arial" w:hint="eastAsia"/>
                <w:color w:val="000000"/>
                <w:spacing w:val="2"/>
                <w:w w:val="27"/>
                <w:szCs w:val="20"/>
                <w:shd w:val="solid" w:color="000000" w:fill="000000"/>
                <w:fitText w:val="120" w:id="-761098748"/>
                <w14:textFill>
                  <w14:solidFill>
                    <w14:srgbClr w14:val="000000">
                      <w14:alpha w14:val="100000"/>
                    </w14:srgbClr>
                  </w14:solidFill>
                </w14:textFill>
              </w:rPr>
              <w:t xml:space="preserve">　</w:t>
            </w:r>
            <w:r w:rsidR="00AB22D8" w:rsidRPr="006740C8">
              <w:rPr>
                <w:vertAlign w:val="superscript"/>
              </w:rPr>
              <w:t>3</w:t>
            </w:r>
          </w:p>
        </w:tc>
        <w:tc>
          <w:tcPr>
            <w:tcW w:w="598" w:type="pct"/>
            <w:gridSpan w:val="2"/>
            <w:shd w:val="clear" w:color="auto" w:fill="FFFFFF" w:themeFill="background1"/>
            <w:vAlign w:val="center"/>
          </w:tcPr>
          <w:p w14:paraId="14854770" w14:textId="0D428AC8" w:rsidR="00E16BBF" w:rsidRPr="00845132" w:rsidRDefault="00E639BD" w:rsidP="007017BA">
            <w:pPr>
              <w:pStyle w:val="Tabletext"/>
              <w:keepNext/>
              <w:keepLines/>
              <w:jc w:val="center"/>
              <w:rPr>
                <w:szCs w:val="20"/>
                <w:highlight w:val="darkGray"/>
              </w:rPr>
            </w:pPr>
            <w:r w:rsidRPr="00E639BD">
              <w:rPr>
                <w:rFonts w:cs="Arial" w:hint="eastAsia"/>
                <w:color w:val="000000"/>
                <w:w w:val="15"/>
                <w:szCs w:val="20"/>
                <w:shd w:val="solid" w:color="000000" w:fill="000000"/>
                <w:fitText w:val="60" w:id="-761098747"/>
                <w14:textFill>
                  <w14:solidFill>
                    <w14:srgbClr w14:val="000000">
                      <w14:alpha w14:val="100000"/>
                    </w14:srgbClr>
                  </w14:solidFill>
                </w14:textFill>
              </w:rPr>
              <w:t xml:space="preserve">　</w:t>
            </w:r>
            <w:r w:rsidRPr="00E639BD">
              <w:rPr>
                <w:rFonts w:cs="Arial"/>
                <w:color w:val="000000"/>
                <w:w w:val="15"/>
                <w:szCs w:val="20"/>
                <w:shd w:val="solid" w:color="000000" w:fill="000000"/>
                <w:fitText w:val="60" w:id="-761098747"/>
                <w14:textFill>
                  <w14:solidFill>
                    <w14:srgbClr w14:val="000000">
                      <w14:alpha w14:val="100000"/>
                    </w14:srgbClr>
                  </w14:solidFill>
                </w14:textFill>
              </w:rPr>
              <w:t>|</w:t>
            </w:r>
            <w:r w:rsidRPr="00E639BD">
              <w:rPr>
                <w:rFonts w:cs="Arial" w:hint="eastAsia"/>
                <w:color w:val="000000"/>
                <w:spacing w:val="-5"/>
                <w:w w:val="15"/>
                <w:szCs w:val="20"/>
                <w:shd w:val="solid" w:color="000000" w:fill="000000"/>
                <w:fitText w:val="60" w:id="-761098747"/>
                <w14:textFill>
                  <w14:solidFill>
                    <w14:srgbClr w14:val="000000">
                      <w14:alpha w14:val="100000"/>
                    </w14:srgbClr>
                  </w14:solidFill>
                </w14:textFill>
              </w:rPr>
              <w:t xml:space="preserve">　</w:t>
            </w:r>
            <w:r w:rsidR="00AB22D8" w:rsidRPr="006740C8">
              <w:rPr>
                <w:vertAlign w:val="superscript"/>
              </w:rPr>
              <w:t>3</w:t>
            </w:r>
          </w:p>
        </w:tc>
        <w:tc>
          <w:tcPr>
            <w:tcW w:w="593" w:type="pct"/>
            <w:gridSpan w:val="2"/>
            <w:shd w:val="clear" w:color="auto" w:fill="FFFFFF" w:themeFill="background1"/>
          </w:tcPr>
          <w:p w14:paraId="58125792" w14:textId="4CBED808" w:rsidR="00E16BBF" w:rsidRPr="00E16BBF" w:rsidRDefault="00E16BBF" w:rsidP="007017BA">
            <w:pPr>
              <w:pStyle w:val="Tabletext"/>
              <w:keepNext/>
              <w:keepLines/>
              <w:jc w:val="center"/>
              <w:rPr>
                <w:szCs w:val="20"/>
              </w:rPr>
            </w:pPr>
            <w:r w:rsidRPr="00E16BBF">
              <w:t>-</w:t>
            </w:r>
            <w:r w:rsidR="00E639BD" w:rsidRPr="00E639BD">
              <w:rPr>
                <w:rFonts w:hint="eastAsia"/>
                <w:color w:val="000000"/>
                <w:w w:val="31"/>
                <w:shd w:val="solid" w:color="000000" w:fill="000000"/>
                <w:fitText w:val="140" w:id="-761098746"/>
                <w14:textFill>
                  <w14:solidFill>
                    <w14:srgbClr w14:val="000000">
                      <w14:alpha w14:val="100000"/>
                    </w14:srgbClr>
                  </w14:solidFill>
                </w14:textFill>
              </w:rPr>
              <w:t xml:space="preserve">　</w:t>
            </w:r>
            <w:r w:rsidR="00E639BD" w:rsidRPr="00E639BD">
              <w:rPr>
                <w:color w:val="000000"/>
                <w:w w:val="31"/>
                <w:shd w:val="solid" w:color="000000" w:fill="000000"/>
                <w:fitText w:val="140" w:id="-761098746"/>
                <w14:textFill>
                  <w14:solidFill>
                    <w14:srgbClr w14:val="000000">
                      <w14:alpha w14:val="100000"/>
                    </w14:srgbClr>
                  </w14:solidFill>
                </w14:textFill>
              </w:rPr>
              <w:t>|</w:t>
            </w:r>
            <w:r w:rsidR="00E639BD" w:rsidRPr="00E639BD">
              <w:rPr>
                <w:rFonts w:hint="eastAsia"/>
                <w:color w:val="000000"/>
                <w:spacing w:val="4"/>
                <w:w w:val="31"/>
                <w:shd w:val="solid" w:color="000000" w:fill="000000"/>
                <w:fitText w:val="140" w:id="-761098746"/>
                <w14:textFill>
                  <w14:solidFill>
                    <w14:srgbClr w14:val="000000">
                      <w14:alpha w14:val="100000"/>
                    </w14:srgbClr>
                  </w14:solidFill>
                </w14:textFill>
              </w:rPr>
              <w:t xml:space="preserve">　</w:t>
            </w:r>
            <w:r w:rsidR="00560C10" w:rsidRPr="00560C10">
              <w:rPr>
                <w:vertAlign w:val="superscript"/>
              </w:rPr>
              <w:t>13</w:t>
            </w:r>
          </w:p>
        </w:tc>
        <w:tc>
          <w:tcPr>
            <w:tcW w:w="598" w:type="pct"/>
            <w:gridSpan w:val="2"/>
            <w:shd w:val="clear" w:color="auto" w:fill="FFFFFF" w:themeFill="background1"/>
          </w:tcPr>
          <w:p w14:paraId="52B66B9B" w14:textId="7CE0C6FE" w:rsidR="00E16BBF" w:rsidRPr="00E16BBF" w:rsidRDefault="00E16BBF" w:rsidP="007017BA">
            <w:pPr>
              <w:pStyle w:val="Tabletext"/>
              <w:keepNext/>
              <w:keepLines/>
              <w:jc w:val="center"/>
              <w:rPr>
                <w:szCs w:val="20"/>
              </w:rPr>
            </w:pPr>
            <w:r w:rsidRPr="00E16BBF">
              <w:t>-</w:t>
            </w:r>
            <w:r w:rsidR="00E639BD" w:rsidRPr="00E639BD">
              <w:rPr>
                <w:rFonts w:hint="eastAsia"/>
                <w:color w:val="000000"/>
                <w:w w:val="18"/>
                <w:shd w:val="solid" w:color="000000" w:fill="000000"/>
                <w:fitText w:val="80" w:id="-761098745"/>
                <w14:textFill>
                  <w14:solidFill>
                    <w14:srgbClr w14:val="000000">
                      <w14:alpha w14:val="100000"/>
                    </w14:srgbClr>
                  </w14:solidFill>
                </w14:textFill>
              </w:rPr>
              <w:t xml:space="preserve">　</w:t>
            </w:r>
            <w:r w:rsidR="00E639BD" w:rsidRPr="00E639BD">
              <w:rPr>
                <w:color w:val="000000"/>
                <w:w w:val="18"/>
                <w:shd w:val="solid" w:color="000000" w:fill="000000"/>
                <w:fitText w:val="80" w:id="-761098745"/>
                <w14:textFill>
                  <w14:solidFill>
                    <w14:srgbClr w14:val="000000">
                      <w14:alpha w14:val="100000"/>
                    </w14:srgbClr>
                  </w14:solidFill>
                </w14:textFill>
              </w:rPr>
              <w:t>|</w:t>
            </w:r>
            <w:r w:rsidR="00E639BD" w:rsidRPr="00E639BD">
              <w:rPr>
                <w:rFonts w:hint="eastAsia"/>
                <w:color w:val="000000"/>
                <w:w w:val="18"/>
                <w:shd w:val="solid" w:color="000000" w:fill="000000"/>
                <w:fitText w:val="80" w:id="-761098745"/>
                <w14:textFill>
                  <w14:solidFill>
                    <w14:srgbClr w14:val="000000">
                      <w14:alpha w14:val="100000"/>
                    </w14:srgbClr>
                  </w14:solidFill>
                </w14:textFill>
              </w:rPr>
              <w:t xml:space="preserve">　</w:t>
            </w:r>
            <w:r w:rsidR="007701AC" w:rsidRPr="007701AC">
              <w:rPr>
                <w:vertAlign w:val="superscript"/>
              </w:rPr>
              <w:t>2</w:t>
            </w:r>
          </w:p>
        </w:tc>
        <w:tc>
          <w:tcPr>
            <w:tcW w:w="590" w:type="pct"/>
            <w:shd w:val="clear" w:color="auto" w:fill="FFFFFF" w:themeFill="background1"/>
            <w:vAlign w:val="center"/>
          </w:tcPr>
          <w:p w14:paraId="3B4B04E8" w14:textId="002C9E8D" w:rsidR="00E16BBF" w:rsidRPr="00E16BBF" w:rsidRDefault="00E16BBF" w:rsidP="004665A1">
            <w:pPr>
              <w:pStyle w:val="TableText0"/>
              <w:jc w:val="center"/>
              <w:rPr>
                <w:szCs w:val="20"/>
              </w:rPr>
            </w:pPr>
            <w:r w:rsidRPr="00E16BBF">
              <w:t>-</w:t>
            </w:r>
            <w:r w:rsidR="00E639BD" w:rsidRPr="00E639BD">
              <w:rPr>
                <w:color w:val="000000"/>
                <w:spacing w:val="56"/>
                <w:shd w:val="solid" w:color="000000" w:fill="000000"/>
                <w:fitText w:val="340" w:id="-761098744"/>
                <w14:textFill>
                  <w14:solidFill>
                    <w14:srgbClr w14:val="000000">
                      <w14:alpha w14:val="100000"/>
                    </w14:srgbClr>
                  </w14:solidFill>
                </w14:textFill>
              </w:rPr>
              <w:t>|||</w:t>
            </w:r>
            <w:r w:rsidR="00E639BD" w:rsidRPr="00E639BD">
              <w:rPr>
                <w:color w:val="000000"/>
                <w:spacing w:val="2"/>
                <w:shd w:val="solid" w:color="000000" w:fill="000000"/>
                <w:fitText w:val="340" w:id="-761098744"/>
                <w14:textFill>
                  <w14:solidFill>
                    <w14:srgbClr w14:val="000000">
                      <w14:alpha w14:val="100000"/>
                    </w14:srgbClr>
                  </w14:solidFill>
                </w14:textFill>
              </w:rPr>
              <w:t>|</w:t>
            </w:r>
            <w:r w:rsidRPr="00E16BBF">
              <w:t xml:space="preserve"> </w:t>
            </w:r>
            <w:r w:rsidR="007701AC" w:rsidRPr="007701AC">
              <w:rPr>
                <w:vertAlign w:val="superscript"/>
              </w:rPr>
              <w:t>2</w:t>
            </w:r>
          </w:p>
        </w:tc>
      </w:tr>
      <w:tr w:rsidR="00EF1D4E" w:rsidRPr="00E16BBF" w14:paraId="215C550A" w14:textId="77777777" w:rsidTr="007A6C0C">
        <w:trPr>
          <w:trHeight w:val="57"/>
        </w:trPr>
        <w:tc>
          <w:tcPr>
            <w:tcW w:w="965" w:type="pct"/>
            <w:shd w:val="clear" w:color="auto" w:fill="FFFFFF" w:themeFill="background1"/>
            <w:vAlign w:val="center"/>
          </w:tcPr>
          <w:p w14:paraId="77BA8BCB" w14:textId="77777777" w:rsidR="00E16BBF" w:rsidRPr="00E16BBF" w:rsidRDefault="00E16BBF" w:rsidP="007017BA">
            <w:pPr>
              <w:pStyle w:val="Tabletext"/>
              <w:keepNext/>
              <w:keepLines/>
              <w:ind w:left="107"/>
              <w:rPr>
                <w:szCs w:val="20"/>
              </w:rPr>
            </w:pPr>
            <w:r w:rsidRPr="00E16BBF">
              <w:rPr>
                <w:szCs w:val="20"/>
              </w:rPr>
              <w:t>Enzalutamide</w:t>
            </w:r>
          </w:p>
        </w:tc>
        <w:tc>
          <w:tcPr>
            <w:tcW w:w="582" w:type="pct"/>
            <w:gridSpan w:val="3"/>
            <w:shd w:val="clear" w:color="auto" w:fill="FFFFFF" w:themeFill="background1"/>
            <w:vAlign w:val="center"/>
          </w:tcPr>
          <w:p w14:paraId="4A91EB66" w14:textId="00D1829B" w:rsidR="00E16BBF" w:rsidRPr="00845132" w:rsidRDefault="00E639BD" w:rsidP="007017BA">
            <w:pPr>
              <w:pStyle w:val="Tabletext"/>
              <w:keepNext/>
              <w:keepLines/>
              <w:jc w:val="center"/>
              <w:rPr>
                <w:rFonts w:cs="Arial"/>
                <w:szCs w:val="20"/>
                <w:highlight w:val="darkGray"/>
              </w:rPr>
            </w:pPr>
            <w:r w:rsidRPr="00E639BD">
              <w:rPr>
                <w:rFonts w:cs="Arial" w:hint="eastAsia"/>
                <w:color w:val="000000"/>
                <w:w w:val="18"/>
                <w:szCs w:val="20"/>
                <w:shd w:val="solid" w:color="000000" w:fill="000000"/>
                <w:fitText w:val="80" w:id="-761098743"/>
                <w14:textFill>
                  <w14:solidFill>
                    <w14:srgbClr w14:val="000000">
                      <w14:alpha w14:val="100000"/>
                    </w14:srgbClr>
                  </w14:solidFill>
                </w14:textFill>
              </w:rPr>
              <w:t xml:space="preserve">　</w:t>
            </w:r>
            <w:r w:rsidRPr="00E639BD">
              <w:rPr>
                <w:rFonts w:cs="Arial"/>
                <w:color w:val="000000"/>
                <w:w w:val="18"/>
                <w:szCs w:val="20"/>
                <w:shd w:val="solid" w:color="000000" w:fill="000000"/>
                <w:fitText w:val="80" w:id="-761098743"/>
                <w14:textFill>
                  <w14:solidFill>
                    <w14:srgbClr w14:val="000000">
                      <w14:alpha w14:val="100000"/>
                    </w14:srgbClr>
                  </w14:solidFill>
                </w14:textFill>
              </w:rPr>
              <w:t>|</w:t>
            </w:r>
            <w:r w:rsidRPr="00E639BD">
              <w:rPr>
                <w:rFonts w:cs="Arial" w:hint="eastAsia"/>
                <w:color w:val="000000"/>
                <w:w w:val="18"/>
                <w:szCs w:val="20"/>
                <w:shd w:val="solid" w:color="000000" w:fill="000000"/>
                <w:fitText w:val="80" w:id="-761098743"/>
                <w14:textFill>
                  <w14:solidFill>
                    <w14:srgbClr w14:val="000000">
                      <w14:alpha w14:val="100000"/>
                    </w14:srgbClr>
                  </w14:solidFill>
                </w14:textFill>
              </w:rPr>
              <w:t xml:space="preserve">　</w:t>
            </w:r>
            <w:r w:rsidR="00FC63D0" w:rsidRPr="006740C8">
              <w:rPr>
                <w:vertAlign w:val="superscript"/>
              </w:rPr>
              <w:t>3</w:t>
            </w:r>
          </w:p>
        </w:tc>
        <w:tc>
          <w:tcPr>
            <w:tcW w:w="537" w:type="pct"/>
            <w:gridSpan w:val="2"/>
            <w:shd w:val="clear" w:color="auto" w:fill="FFFFFF" w:themeFill="background1"/>
            <w:vAlign w:val="center"/>
          </w:tcPr>
          <w:p w14:paraId="5B007D3F" w14:textId="0F2E2F34" w:rsidR="00E16BBF" w:rsidRPr="00845132" w:rsidRDefault="00E639BD" w:rsidP="007017BA">
            <w:pPr>
              <w:pStyle w:val="Tabletext"/>
              <w:keepNext/>
              <w:keepLines/>
              <w:jc w:val="center"/>
              <w:rPr>
                <w:rFonts w:cs="Arial"/>
                <w:szCs w:val="20"/>
                <w:highlight w:val="darkGray"/>
              </w:rPr>
            </w:pPr>
            <w:r w:rsidRPr="00E639BD">
              <w:rPr>
                <w:rFonts w:cs="Arial" w:hint="eastAsia"/>
                <w:color w:val="000000"/>
                <w:w w:val="27"/>
                <w:szCs w:val="20"/>
                <w:shd w:val="solid" w:color="000000" w:fill="000000"/>
                <w:fitText w:val="120" w:id="-761098742"/>
                <w14:textFill>
                  <w14:solidFill>
                    <w14:srgbClr w14:val="000000">
                      <w14:alpha w14:val="100000"/>
                    </w14:srgbClr>
                  </w14:solidFill>
                </w14:textFill>
              </w:rPr>
              <w:t xml:space="preserve">　</w:t>
            </w:r>
            <w:r w:rsidRPr="00E639BD">
              <w:rPr>
                <w:rFonts w:cs="Arial"/>
                <w:color w:val="000000"/>
                <w:w w:val="27"/>
                <w:szCs w:val="20"/>
                <w:shd w:val="solid" w:color="000000" w:fill="000000"/>
                <w:fitText w:val="120" w:id="-761098742"/>
                <w14:textFill>
                  <w14:solidFill>
                    <w14:srgbClr w14:val="000000">
                      <w14:alpha w14:val="100000"/>
                    </w14:srgbClr>
                  </w14:solidFill>
                </w14:textFill>
              </w:rPr>
              <w:t>|</w:t>
            </w:r>
            <w:r w:rsidRPr="00E639BD">
              <w:rPr>
                <w:rFonts w:cs="Arial" w:hint="eastAsia"/>
                <w:color w:val="000000"/>
                <w:spacing w:val="2"/>
                <w:w w:val="27"/>
                <w:szCs w:val="20"/>
                <w:shd w:val="solid" w:color="000000" w:fill="000000"/>
                <w:fitText w:val="120" w:id="-761098742"/>
                <w14:textFill>
                  <w14:solidFill>
                    <w14:srgbClr w14:val="000000">
                      <w14:alpha w14:val="100000"/>
                    </w14:srgbClr>
                  </w14:solidFill>
                </w14:textFill>
              </w:rPr>
              <w:t xml:space="preserve">　</w:t>
            </w:r>
            <w:r w:rsidR="00AB22D8" w:rsidRPr="006740C8">
              <w:rPr>
                <w:vertAlign w:val="superscript"/>
              </w:rPr>
              <w:t>3</w:t>
            </w:r>
          </w:p>
        </w:tc>
        <w:tc>
          <w:tcPr>
            <w:tcW w:w="537" w:type="pct"/>
            <w:gridSpan w:val="2"/>
            <w:shd w:val="clear" w:color="auto" w:fill="FFFFFF" w:themeFill="background1"/>
            <w:vAlign w:val="center"/>
          </w:tcPr>
          <w:p w14:paraId="3CD1C7E2" w14:textId="62D7C58A" w:rsidR="00E16BBF" w:rsidRPr="00845132" w:rsidRDefault="00E639BD" w:rsidP="007017BA">
            <w:pPr>
              <w:pStyle w:val="Tabletext"/>
              <w:keepNext/>
              <w:keepLines/>
              <w:jc w:val="center"/>
              <w:rPr>
                <w:rFonts w:cs="Arial"/>
                <w:szCs w:val="20"/>
                <w:highlight w:val="darkGray"/>
              </w:rPr>
            </w:pPr>
            <w:r w:rsidRPr="00E639BD">
              <w:rPr>
                <w:rFonts w:cs="Arial" w:hint="eastAsia"/>
                <w:color w:val="000000"/>
                <w:w w:val="27"/>
                <w:szCs w:val="20"/>
                <w:shd w:val="solid" w:color="000000" w:fill="000000"/>
                <w:fitText w:val="120" w:id="-761098741"/>
                <w14:textFill>
                  <w14:solidFill>
                    <w14:srgbClr w14:val="000000">
                      <w14:alpha w14:val="100000"/>
                    </w14:srgbClr>
                  </w14:solidFill>
                </w14:textFill>
              </w:rPr>
              <w:t xml:space="preserve">　</w:t>
            </w:r>
            <w:r w:rsidRPr="00E639BD">
              <w:rPr>
                <w:rFonts w:cs="Arial"/>
                <w:color w:val="000000"/>
                <w:w w:val="27"/>
                <w:szCs w:val="20"/>
                <w:shd w:val="solid" w:color="000000" w:fill="000000"/>
                <w:fitText w:val="120" w:id="-761098741"/>
                <w14:textFill>
                  <w14:solidFill>
                    <w14:srgbClr w14:val="000000">
                      <w14:alpha w14:val="100000"/>
                    </w14:srgbClr>
                  </w14:solidFill>
                </w14:textFill>
              </w:rPr>
              <w:t>|</w:t>
            </w:r>
            <w:r w:rsidRPr="00E639BD">
              <w:rPr>
                <w:rFonts w:cs="Arial" w:hint="eastAsia"/>
                <w:color w:val="000000"/>
                <w:spacing w:val="2"/>
                <w:w w:val="27"/>
                <w:szCs w:val="20"/>
                <w:shd w:val="solid" w:color="000000" w:fill="000000"/>
                <w:fitText w:val="120" w:id="-761098741"/>
                <w14:textFill>
                  <w14:solidFill>
                    <w14:srgbClr w14:val="000000">
                      <w14:alpha w14:val="100000"/>
                    </w14:srgbClr>
                  </w14:solidFill>
                </w14:textFill>
              </w:rPr>
              <w:t xml:space="preserve">　</w:t>
            </w:r>
            <w:r w:rsidR="00AB22D8" w:rsidRPr="006740C8">
              <w:rPr>
                <w:vertAlign w:val="superscript"/>
              </w:rPr>
              <w:t>3</w:t>
            </w:r>
          </w:p>
        </w:tc>
        <w:tc>
          <w:tcPr>
            <w:tcW w:w="598" w:type="pct"/>
            <w:gridSpan w:val="2"/>
            <w:shd w:val="clear" w:color="auto" w:fill="FFFFFF" w:themeFill="background1"/>
            <w:vAlign w:val="center"/>
          </w:tcPr>
          <w:p w14:paraId="56EDF574" w14:textId="0089ABEB" w:rsidR="00E16BBF" w:rsidRPr="00845132" w:rsidRDefault="00E639BD" w:rsidP="007017BA">
            <w:pPr>
              <w:pStyle w:val="Tabletext"/>
              <w:keepNext/>
              <w:keepLines/>
              <w:jc w:val="center"/>
              <w:rPr>
                <w:rFonts w:cs="Arial"/>
                <w:szCs w:val="20"/>
                <w:highlight w:val="darkGray"/>
              </w:rPr>
            </w:pPr>
            <w:r w:rsidRPr="00E639BD">
              <w:rPr>
                <w:rFonts w:cs="Arial" w:hint="eastAsia"/>
                <w:color w:val="000000"/>
                <w:w w:val="15"/>
                <w:szCs w:val="20"/>
                <w:shd w:val="solid" w:color="000000" w:fill="000000"/>
                <w:fitText w:val="60" w:id="-761098740"/>
                <w14:textFill>
                  <w14:solidFill>
                    <w14:srgbClr w14:val="000000">
                      <w14:alpha w14:val="100000"/>
                    </w14:srgbClr>
                  </w14:solidFill>
                </w14:textFill>
              </w:rPr>
              <w:t xml:space="preserve">　</w:t>
            </w:r>
            <w:r w:rsidRPr="00E639BD">
              <w:rPr>
                <w:rFonts w:cs="Arial"/>
                <w:color w:val="000000"/>
                <w:w w:val="15"/>
                <w:szCs w:val="20"/>
                <w:shd w:val="solid" w:color="000000" w:fill="000000"/>
                <w:fitText w:val="60" w:id="-761098740"/>
                <w14:textFill>
                  <w14:solidFill>
                    <w14:srgbClr w14:val="000000">
                      <w14:alpha w14:val="100000"/>
                    </w14:srgbClr>
                  </w14:solidFill>
                </w14:textFill>
              </w:rPr>
              <w:t>|</w:t>
            </w:r>
            <w:r w:rsidRPr="00E639BD">
              <w:rPr>
                <w:rFonts w:cs="Arial" w:hint="eastAsia"/>
                <w:color w:val="000000"/>
                <w:spacing w:val="-5"/>
                <w:w w:val="15"/>
                <w:szCs w:val="20"/>
                <w:shd w:val="solid" w:color="000000" w:fill="000000"/>
                <w:fitText w:val="60" w:id="-761098740"/>
                <w14:textFill>
                  <w14:solidFill>
                    <w14:srgbClr w14:val="000000">
                      <w14:alpha w14:val="100000"/>
                    </w14:srgbClr>
                  </w14:solidFill>
                </w14:textFill>
              </w:rPr>
              <w:t xml:space="preserve">　</w:t>
            </w:r>
            <w:r w:rsidR="00AB22D8" w:rsidRPr="006740C8">
              <w:rPr>
                <w:vertAlign w:val="superscript"/>
              </w:rPr>
              <w:t>3</w:t>
            </w:r>
          </w:p>
        </w:tc>
        <w:tc>
          <w:tcPr>
            <w:tcW w:w="593" w:type="pct"/>
            <w:gridSpan w:val="2"/>
            <w:shd w:val="clear" w:color="auto" w:fill="FFFFFF" w:themeFill="background1"/>
          </w:tcPr>
          <w:p w14:paraId="01EE4081" w14:textId="51064120" w:rsidR="00E16BBF" w:rsidRPr="00E16BBF" w:rsidRDefault="00E16BBF" w:rsidP="007017BA">
            <w:pPr>
              <w:pStyle w:val="Tabletext"/>
              <w:keepNext/>
              <w:keepLines/>
              <w:jc w:val="center"/>
              <w:rPr>
                <w:rFonts w:cs="Arial"/>
                <w:szCs w:val="20"/>
              </w:rPr>
            </w:pPr>
            <w:r w:rsidRPr="00E16BBF">
              <w:t>-</w:t>
            </w:r>
            <w:r w:rsidR="00E639BD" w:rsidRPr="00E639BD">
              <w:rPr>
                <w:rFonts w:hint="eastAsia"/>
                <w:color w:val="000000"/>
                <w:w w:val="31"/>
                <w:shd w:val="solid" w:color="000000" w:fill="000000"/>
                <w:fitText w:val="140" w:id="-761098739"/>
                <w14:textFill>
                  <w14:solidFill>
                    <w14:srgbClr w14:val="000000">
                      <w14:alpha w14:val="100000"/>
                    </w14:srgbClr>
                  </w14:solidFill>
                </w14:textFill>
              </w:rPr>
              <w:t xml:space="preserve">　</w:t>
            </w:r>
            <w:r w:rsidR="00E639BD" w:rsidRPr="00E639BD">
              <w:rPr>
                <w:color w:val="000000"/>
                <w:w w:val="31"/>
                <w:shd w:val="solid" w:color="000000" w:fill="000000"/>
                <w:fitText w:val="140" w:id="-761098739"/>
                <w14:textFill>
                  <w14:solidFill>
                    <w14:srgbClr w14:val="000000">
                      <w14:alpha w14:val="100000"/>
                    </w14:srgbClr>
                  </w14:solidFill>
                </w14:textFill>
              </w:rPr>
              <w:t>|</w:t>
            </w:r>
            <w:r w:rsidR="00E639BD" w:rsidRPr="00E639BD">
              <w:rPr>
                <w:rFonts w:hint="eastAsia"/>
                <w:color w:val="000000"/>
                <w:spacing w:val="4"/>
                <w:w w:val="31"/>
                <w:shd w:val="solid" w:color="000000" w:fill="000000"/>
                <w:fitText w:val="140" w:id="-761098739"/>
                <w14:textFill>
                  <w14:solidFill>
                    <w14:srgbClr w14:val="000000">
                      <w14:alpha w14:val="100000"/>
                    </w14:srgbClr>
                  </w14:solidFill>
                </w14:textFill>
              </w:rPr>
              <w:t xml:space="preserve">　</w:t>
            </w:r>
            <w:r w:rsidR="00560C10" w:rsidRPr="00560C10">
              <w:rPr>
                <w:vertAlign w:val="superscript"/>
              </w:rPr>
              <w:t>13</w:t>
            </w:r>
          </w:p>
        </w:tc>
        <w:tc>
          <w:tcPr>
            <w:tcW w:w="598" w:type="pct"/>
            <w:gridSpan w:val="2"/>
            <w:shd w:val="clear" w:color="auto" w:fill="FFFFFF" w:themeFill="background1"/>
          </w:tcPr>
          <w:p w14:paraId="2C2D54C7" w14:textId="23CDECA1" w:rsidR="00E16BBF" w:rsidRPr="00E16BBF" w:rsidRDefault="00E16BBF" w:rsidP="007017BA">
            <w:pPr>
              <w:pStyle w:val="Tabletext"/>
              <w:keepNext/>
              <w:keepLines/>
              <w:jc w:val="center"/>
              <w:rPr>
                <w:rFonts w:cs="Arial"/>
                <w:szCs w:val="20"/>
              </w:rPr>
            </w:pPr>
            <w:r w:rsidRPr="00E16BBF">
              <w:t>-</w:t>
            </w:r>
            <w:r w:rsidR="00E639BD" w:rsidRPr="00E639BD">
              <w:rPr>
                <w:rFonts w:hint="eastAsia"/>
                <w:color w:val="000000"/>
                <w:w w:val="18"/>
                <w:shd w:val="solid" w:color="000000" w:fill="000000"/>
                <w:fitText w:val="80" w:id="-761098738"/>
                <w14:textFill>
                  <w14:solidFill>
                    <w14:srgbClr w14:val="000000">
                      <w14:alpha w14:val="100000"/>
                    </w14:srgbClr>
                  </w14:solidFill>
                </w14:textFill>
              </w:rPr>
              <w:t xml:space="preserve">　</w:t>
            </w:r>
            <w:r w:rsidR="00E639BD" w:rsidRPr="00E639BD">
              <w:rPr>
                <w:color w:val="000000"/>
                <w:w w:val="18"/>
                <w:shd w:val="solid" w:color="000000" w:fill="000000"/>
                <w:fitText w:val="80" w:id="-761098738"/>
                <w14:textFill>
                  <w14:solidFill>
                    <w14:srgbClr w14:val="000000">
                      <w14:alpha w14:val="100000"/>
                    </w14:srgbClr>
                  </w14:solidFill>
                </w14:textFill>
              </w:rPr>
              <w:t>|</w:t>
            </w:r>
            <w:r w:rsidR="00E639BD" w:rsidRPr="00E639BD">
              <w:rPr>
                <w:rFonts w:hint="eastAsia"/>
                <w:color w:val="000000"/>
                <w:w w:val="18"/>
                <w:shd w:val="solid" w:color="000000" w:fill="000000"/>
                <w:fitText w:val="80" w:id="-761098738"/>
                <w14:textFill>
                  <w14:solidFill>
                    <w14:srgbClr w14:val="000000">
                      <w14:alpha w14:val="100000"/>
                    </w14:srgbClr>
                  </w14:solidFill>
                </w14:textFill>
              </w:rPr>
              <w:t xml:space="preserve">　</w:t>
            </w:r>
            <w:r w:rsidR="007701AC" w:rsidRPr="007701AC">
              <w:rPr>
                <w:vertAlign w:val="superscript"/>
              </w:rPr>
              <w:t>2</w:t>
            </w:r>
          </w:p>
        </w:tc>
        <w:tc>
          <w:tcPr>
            <w:tcW w:w="590" w:type="pct"/>
            <w:shd w:val="clear" w:color="auto" w:fill="FFFFFF" w:themeFill="background1"/>
            <w:vAlign w:val="center"/>
          </w:tcPr>
          <w:p w14:paraId="621A2DCF" w14:textId="361DF141" w:rsidR="00E16BBF" w:rsidRPr="00E16BBF" w:rsidRDefault="00E16BBF" w:rsidP="004665A1">
            <w:pPr>
              <w:pStyle w:val="TableText0"/>
              <w:jc w:val="center"/>
              <w:rPr>
                <w:szCs w:val="20"/>
              </w:rPr>
            </w:pPr>
            <w:r w:rsidRPr="00E16BBF">
              <w:t>-</w:t>
            </w:r>
            <w:r w:rsidR="00E639BD" w:rsidRPr="00E639BD">
              <w:rPr>
                <w:color w:val="000000"/>
                <w:spacing w:val="56"/>
                <w:shd w:val="solid" w:color="000000" w:fill="000000"/>
                <w:fitText w:val="340" w:id="-761098737"/>
                <w14:textFill>
                  <w14:solidFill>
                    <w14:srgbClr w14:val="000000">
                      <w14:alpha w14:val="100000"/>
                    </w14:srgbClr>
                  </w14:solidFill>
                </w14:textFill>
              </w:rPr>
              <w:t>|||</w:t>
            </w:r>
            <w:r w:rsidR="00E639BD" w:rsidRPr="00E639BD">
              <w:rPr>
                <w:color w:val="000000"/>
                <w:spacing w:val="2"/>
                <w:shd w:val="solid" w:color="000000" w:fill="000000"/>
                <w:fitText w:val="340" w:id="-761098737"/>
                <w14:textFill>
                  <w14:solidFill>
                    <w14:srgbClr w14:val="000000">
                      <w14:alpha w14:val="100000"/>
                    </w14:srgbClr>
                  </w14:solidFill>
                </w14:textFill>
              </w:rPr>
              <w:t>|</w:t>
            </w:r>
            <w:r w:rsidRPr="00E16BBF">
              <w:t xml:space="preserve"> </w:t>
            </w:r>
            <w:r w:rsidR="007701AC" w:rsidRPr="007701AC">
              <w:rPr>
                <w:vertAlign w:val="superscript"/>
              </w:rPr>
              <w:t>2</w:t>
            </w:r>
          </w:p>
        </w:tc>
      </w:tr>
      <w:tr w:rsidR="00EF1D4E" w:rsidRPr="00E16BBF" w14:paraId="1BEC1940" w14:textId="77777777" w:rsidTr="007A6C0C">
        <w:trPr>
          <w:trHeight w:val="57"/>
        </w:trPr>
        <w:tc>
          <w:tcPr>
            <w:tcW w:w="965" w:type="pct"/>
            <w:shd w:val="clear" w:color="auto" w:fill="FFFFFF" w:themeFill="background1"/>
            <w:vAlign w:val="center"/>
          </w:tcPr>
          <w:p w14:paraId="6E371741" w14:textId="77777777" w:rsidR="00E16BBF" w:rsidRPr="00E16BBF" w:rsidRDefault="00E16BBF" w:rsidP="007017BA">
            <w:pPr>
              <w:pStyle w:val="Tabletext"/>
              <w:keepNext/>
              <w:keepLines/>
              <w:ind w:left="107"/>
              <w:rPr>
                <w:szCs w:val="20"/>
              </w:rPr>
            </w:pPr>
            <w:r w:rsidRPr="00E16BBF">
              <w:rPr>
                <w:szCs w:val="20"/>
              </w:rPr>
              <w:t>Darolutamide</w:t>
            </w:r>
          </w:p>
        </w:tc>
        <w:tc>
          <w:tcPr>
            <w:tcW w:w="582" w:type="pct"/>
            <w:gridSpan w:val="3"/>
            <w:shd w:val="clear" w:color="auto" w:fill="FFFFFF" w:themeFill="background1"/>
            <w:vAlign w:val="center"/>
          </w:tcPr>
          <w:p w14:paraId="52840269" w14:textId="7055B6EB" w:rsidR="00E16BBF" w:rsidRPr="00845132" w:rsidRDefault="00E639BD" w:rsidP="007017BA">
            <w:pPr>
              <w:pStyle w:val="Tabletext"/>
              <w:keepNext/>
              <w:keepLines/>
              <w:jc w:val="center"/>
              <w:rPr>
                <w:rFonts w:cs="Arial"/>
                <w:szCs w:val="20"/>
                <w:highlight w:val="darkGray"/>
              </w:rPr>
            </w:pPr>
            <w:r w:rsidRPr="00E639BD">
              <w:rPr>
                <w:rFonts w:cs="Arial" w:hint="eastAsia"/>
                <w:color w:val="000000"/>
                <w:w w:val="18"/>
                <w:szCs w:val="20"/>
                <w:shd w:val="solid" w:color="000000" w:fill="000000"/>
                <w:fitText w:val="80" w:id="-761098736"/>
                <w14:textFill>
                  <w14:solidFill>
                    <w14:srgbClr w14:val="000000">
                      <w14:alpha w14:val="100000"/>
                    </w14:srgbClr>
                  </w14:solidFill>
                </w14:textFill>
              </w:rPr>
              <w:t xml:space="preserve">　</w:t>
            </w:r>
            <w:r w:rsidRPr="00E639BD">
              <w:rPr>
                <w:rFonts w:cs="Arial"/>
                <w:color w:val="000000"/>
                <w:w w:val="18"/>
                <w:szCs w:val="20"/>
                <w:shd w:val="solid" w:color="000000" w:fill="000000"/>
                <w:fitText w:val="80" w:id="-761098736"/>
                <w14:textFill>
                  <w14:solidFill>
                    <w14:srgbClr w14:val="000000">
                      <w14:alpha w14:val="100000"/>
                    </w14:srgbClr>
                  </w14:solidFill>
                </w14:textFill>
              </w:rPr>
              <w:t>|</w:t>
            </w:r>
            <w:r w:rsidRPr="00E639BD">
              <w:rPr>
                <w:rFonts w:cs="Arial" w:hint="eastAsia"/>
                <w:color w:val="000000"/>
                <w:w w:val="18"/>
                <w:szCs w:val="20"/>
                <w:shd w:val="solid" w:color="000000" w:fill="000000"/>
                <w:fitText w:val="80" w:id="-761098736"/>
                <w14:textFill>
                  <w14:solidFill>
                    <w14:srgbClr w14:val="000000">
                      <w14:alpha w14:val="100000"/>
                    </w14:srgbClr>
                  </w14:solidFill>
                </w14:textFill>
              </w:rPr>
              <w:t xml:space="preserve">　</w:t>
            </w:r>
            <w:r w:rsidR="00FC63D0" w:rsidRPr="006740C8">
              <w:rPr>
                <w:vertAlign w:val="superscript"/>
              </w:rPr>
              <w:t>3</w:t>
            </w:r>
          </w:p>
        </w:tc>
        <w:tc>
          <w:tcPr>
            <w:tcW w:w="537" w:type="pct"/>
            <w:gridSpan w:val="2"/>
            <w:shd w:val="clear" w:color="auto" w:fill="FFFFFF" w:themeFill="background1"/>
            <w:vAlign w:val="center"/>
          </w:tcPr>
          <w:p w14:paraId="2D5D6244" w14:textId="099E4F9D" w:rsidR="00E16BBF" w:rsidRPr="00845132" w:rsidRDefault="00E639BD" w:rsidP="007017BA">
            <w:pPr>
              <w:pStyle w:val="Tabletext"/>
              <w:keepNext/>
              <w:keepLines/>
              <w:jc w:val="center"/>
              <w:rPr>
                <w:rFonts w:cs="Arial"/>
                <w:szCs w:val="20"/>
                <w:highlight w:val="darkGray"/>
              </w:rPr>
            </w:pPr>
            <w:r w:rsidRPr="00E639BD">
              <w:rPr>
                <w:rFonts w:cs="Arial" w:hint="eastAsia"/>
                <w:color w:val="000000"/>
                <w:w w:val="27"/>
                <w:szCs w:val="20"/>
                <w:shd w:val="solid" w:color="000000" w:fill="000000"/>
                <w:fitText w:val="120" w:id="-761098752"/>
                <w14:textFill>
                  <w14:solidFill>
                    <w14:srgbClr w14:val="000000">
                      <w14:alpha w14:val="100000"/>
                    </w14:srgbClr>
                  </w14:solidFill>
                </w14:textFill>
              </w:rPr>
              <w:t xml:space="preserve">　</w:t>
            </w:r>
            <w:r w:rsidRPr="00E639BD">
              <w:rPr>
                <w:rFonts w:cs="Arial"/>
                <w:color w:val="000000"/>
                <w:w w:val="27"/>
                <w:szCs w:val="20"/>
                <w:shd w:val="solid" w:color="000000" w:fill="000000"/>
                <w:fitText w:val="120" w:id="-761098752"/>
                <w14:textFill>
                  <w14:solidFill>
                    <w14:srgbClr w14:val="000000">
                      <w14:alpha w14:val="100000"/>
                    </w14:srgbClr>
                  </w14:solidFill>
                </w14:textFill>
              </w:rPr>
              <w:t>|</w:t>
            </w:r>
            <w:r w:rsidRPr="00E639BD">
              <w:rPr>
                <w:rFonts w:cs="Arial" w:hint="eastAsia"/>
                <w:color w:val="000000"/>
                <w:spacing w:val="2"/>
                <w:w w:val="27"/>
                <w:szCs w:val="20"/>
                <w:shd w:val="solid" w:color="000000" w:fill="000000"/>
                <w:fitText w:val="120" w:id="-761098752"/>
                <w14:textFill>
                  <w14:solidFill>
                    <w14:srgbClr w14:val="000000">
                      <w14:alpha w14:val="100000"/>
                    </w14:srgbClr>
                  </w14:solidFill>
                </w14:textFill>
              </w:rPr>
              <w:t xml:space="preserve">　</w:t>
            </w:r>
            <w:r w:rsidR="00AB22D8" w:rsidRPr="006740C8">
              <w:rPr>
                <w:vertAlign w:val="superscript"/>
              </w:rPr>
              <w:t>3</w:t>
            </w:r>
          </w:p>
        </w:tc>
        <w:tc>
          <w:tcPr>
            <w:tcW w:w="537" w:type="pct"/>
            <w:gridSpan w:val="2"/>
            <w:shd w:val="clear" w:color="auto" w:fill="FFFFFF" w:themeFill="background1"/>
            <w:vAlign w:val="center"/>
          </w:tcPr>
          <w:p w14:paraId="728FA8A9" w14:textId="211474F6" w:rsidR="00E16BBF" w:rsidRPr="00845132" w:rsidRDefault="00E639BD" w:rsidP="007017BA">
            <w:pPr>
              <w:pStyle w:val="Tabletext"/>
              <w:keepNext/>
              <w:keepLines/>
              <w:jc w:val="center"/>
              <w:rPr>
                <w:rFonts w:cs="Arial"/>
                <w:szCs w:val="20"/>
                <w:highlight w:val="darkGray"/>
              </w:rPr>
            </w:pPr>
            <w:r w:rsidRPr="00E639BD">
              <w:rPr>
                <w:rFonts w:cs="Arial" w:hint="eastAsia"/>
                <w:color w:val="000000"/>
                <w:w w:val="27"/>
                <w:szCs w:val="20"/>
                <w:shd w:val="solid" w:color="000000" w:fill="000000"/>
                <w:fitText w:val="120" w:id="-761098751"/>
                <w14:textFill>
                  <w14:solidFill>
                    <w14:srgbClr w14:val="000000">
                      <w14:alpha w14:val="100000"/>
                    </w14:srgbClr>
                  </w14:solidFill>
                </w14:textFill>
              </w:rPr>
              <w:t xml:space="preserve">　</w:t>
            </w:r>
            <w:r w:rsidRPr="00E639BD">
              <w:rPr>
                <w:rFonts w:cs="Arial"/>
                <w:color w:val="000000"/>
                <w:w w:val="27"/>
                <w:szCs w:val="20"/>
                <w:shd w:val="solid" w:color="000000" w:fill="000000"/>
                <w:fitText w:val="120" w:id="-761098751"/>
                <w14:textFill>
                  <w14:solidFill>
                    <w14:srgbClr w14:val="000000">
                      <w14:alpha w14:val="100000"/>
                    </w14:srgbClr>
                  </w14:solidFill>
                </w14:textFill>
              </w:rPr>
              <w:t>|</w:t>
            </w:r>
            <w:r w:rsidRPr="00E639BD">
              <w:rPr>
                <w:rFonts w:cs="Arial" w:hint="eastAsia"/>
                <w:color w:val="000000"/>
                <w:spacing w:val="2"/>
                <w:w w:val="27"/>
                <w:szCs w:val="20"/>
                <w:shd w:val="solid" w:color="000000" w:fill="000000"/>
                <w:fitText w:val="120" w:id="-761098751"/>
                <w14:textFill>
                  <w14:solidFill>
                    <w14:srgbClr w14:val="000000">
                      <w14:alpha w14:val="100000"/>
                    </w14:srgbClr>
                  </w14:solidFill>
                </w14:textFill>
              </w:rPr>
              <w:t xml:space="preserve">　</w:t>
            </w:r>
            <w:r w:rsidR="00AB22D8" w:rsidRPr="006740C8">
              <w:rPr>
                <w:vertAlign w:val="superscript"/>
              </w:rPr>
              <w:t>3</w:t>
            </w:r>
          </w:p>
        </w:tc>
        <w:tc>
          <w:tcPr>
            <w:tcW w:w="598" w:type="pct"/>
            <w:gridSpan w:val="2"/>
            <w:shd w:val="clear" w:color="auto" w:fill="FFFFFF" w:themeFill="background1"/>
            <w:vAlign w:val="center"/>
          </w:tcPr>
          <w:p w14:paraId="0C46530F" w14:textId="5D8E96B3" w:rsidR="00E16BBF" w:rsidRPr="00845132" w:rsidRDefault="00E639BD" w:rsidP="007017BA">
            <w:pPr>
              <w:pStyle w:val="Tabletext"/>
              <w:keepNext/>
              <w:keepLines/>
              <w:jc w:val="center"/>
              <w:rPr>
                <w:rFonts w:cs="Arial"/>
                <w:szCs w:val="20"/>
                <w:highlight w:val="darkGray"/>
              </w:rPr>
            </w:pPr>
            <w:r w:rsidRPr="00E639BD">
              <w:rPr>
                <w:rFonts w:cs="Arial" w:hint="eastAsia"/>
                <w:color w:val="000000"/>
                <w:w w:val="15"/>
                <w:szCs w:val="20"/>
                <w:shd w:val="solid" w:color="000000" w:fill="000000"/>
                <w:fitText w:val="60" w:id="-761098750"/>
                <w14:textFill>
                  <w14:solidFill>
                    <w14:srgbClr w14:val="000000">
                      <w14:alpha w14:val="100000"/>
                    </w14:srgbClr>
                  </w14:solidFill>
                </w14:textFill>
              </w:rPr>
              <w:t xml:space="preserve">　</w:t>
            </w:r>
            <w:r w:rsidRPr="00E639BD">
              <w:rPr>
                <w:rFonts w:cs="Arial"/>
                <w:color w:val="000000"/>
                <w:w w:val="15"/>
                <w:szCs w:val="20"/>
                <w:shd w:val="solid" w:color="000000" w:fill="000000"/>
                <w:fitText w:val="60" w:id="-761098750"/>
                <w14:textFill>
                  <w14:solidFill>
                    <w14:srgbClr w14:val="000000">
                      <w14:alpha w14:val="100000"/>
                    </w14:srgbClr>
                  </w14:solidFill>
                </w14:textFill>
              </w:rPr>
              <w:t>|</w:t>
            </w:r>
            <w:r w:rsidRPr="00E639BD">
              <w:rPr>
                <w:rFonts w:cs="Arial" w:hint="eastAsia"/>
                <w:color w:val="000000"/>
                <w:spacing w:val="-5"/>
                <w:w w:val="15"/>
                <w:szCs w:val="20"/>
                <w:shd w:val="solid" w:color="000000" w:fill="000000"/>
                <w:fitText w:val="60" w:id="-761098750"/>
                <w14:textFill>
                  <w14:solidFill>
                    <w14:srgbClr w14:val="000000">
                      <w14:alpha w14:val="100000"/>
                    </w14:srgbClr>
                  </w14:solidFill>
                </w14:textFill>
              </w:rPr>
              <w:t xml:space="preserve">　</w:t>
            </w:r>
            <w:r w:rsidR="00AB22D8" w:rsidRPr="006740C8">
              <w:rPr>
                <w:vertAlign w:val="superscript"/>
              </w:rPr>
              <w:t>3</w:t>
            </w:r>
          </w:p>
        </w:tc>
        <w:tc>
          <w:tcPr>
            <w:tcW w:w="593" w:type="pct"/>
            <w:gridSpan w:val="2"/>
            <w:tcBorders>
              <w:bottom w:val="single" w:sz="4" w:space="0" w:color="auto"/>
            </w:tcBorders>
            <w:shd w:val="clear" w:color="auto" w:fill="FFFFFF" w:themeFill="background1"/>
          </w:tcPr>
          <w:p w14:paraId="00ED1D13" w14:textId="2E5AFA3B" w:rsidR="00E16BBF" w:rsidRPr="00E16BBF" w:rsidRDefault="00E16BBF" w:rsidP="007017BA">
            <w:pPr>
              <w:pStyle w:val="Tabletext"/>
              <w:keepNext/>
              <w:keepLines/>
              <w:jc w:val="center"/>
              <w:rPr>
                <w:rFonts w:cs="Arial"/>
                <w:szCs w:val="20"/>
              </w:rPr>
            </w:pPr>
            <w:r w:rsidRPr="00E16BBF">
              <w:t>-</w:t>
            </w:r>
            <w:r w:rsidR="00E639BD" w:rsidRPr="00E639BD">
              <w:rPr>
                <w:rFonts w:hint="eastAsia"/>
                <w:color w:val="000000"/>
                <w:w w:val="31"/>
                <w:shd w:val="solid" w:color="000000" w:fill="000000"/>
                <w:fitText w:val="140" w:id="-761098749"/>
                <w14:textFill>
                  <w14:solidFill>
                    <w14:srgbClr w14:val="000000">
                      <w14:alpha w14:val="100000"/>
                    </w14:srgbClr>
                  </w14:solidFill>
                </w14:textFill>
              </w:rPr>
              <w:t xml:space="preserve">　</w:t>
            </w:r>
            <w:r w:rsidR="00E639BD" w:rsidRPr="00E639BD">
              <w:rPr>
                <w:color w:val="000000"/>
                <w:w w:val="31"/>
                <w:shd w:val="solid" w:color="000000" w:fill="000000"/>
                <w:fitText w:val="140" w:id="-761098749"/>
                <w14:textFill>
                  <w14:solidFill>
                    <w14:srgbClr w14:val="000000">
                      <w14:alpha w14:val="100000"/>
                    </w14:srgbClr>
                  </w14:solidFill>
                </w14:textFill>
              </w:rPr>
              <w:t>|</w:t>
            </w:r>
            <w:r w:rsidR="00E639BD" w:rsidRPr="00E639BD">
              <w:rPr>
                <w:rFonts w:hint="eastAsia"/>
                <w:color w:val="000000"/>
                <w:spacing w:val="4"/>
                <w:w w:val="31"/>
                <w:shd w:val="solid" w:color="000000" w:fill="000000"/>
                <w:fitText w:val="140" w:id="-761098749"/>
                <w14:textFill>
                  <w14:solidFill>
                    <w14:srgbClr w14:val="000000">
                      <w14:alpha w14:val="100000"/>
                    </w14:srgbClr>
                  </w14:solidFill>
                </w14:textFill>
              </w:rPr>
              <w:t xml:space="preserve">　</w:t>
            </w:r>
            <w:r w:rsidR="00560C10" w:rsidRPr="00560C10">
              <w:rPr>
                <w:vertAlign w:val="superscript"/>
              </w:rPr>
              <w:t>13</w:t>
            </w:r>
          </w:p>
        </w:tc>
        <w:tc>
          <w:tcPr>
            <w:tcW w:w="598" w:type="pct"/>
            <w:gridSpan w:val="2"/>
            <w:shd w:val="clear" w:color="auto" w:fill="FFFFFF" w:themeFill="background1"/>
          </w:tcPr>
          <w:p w14:paraId="23812557" w14:textId="0FB28112" w:rsidR="00E16BBF" w:rsidRPr="00E16BBF" w:rsidRDefault="00E16BBF" w:rsidP="007017BA">
            <w:pPr>
              <w:pStyle w:val="Tabletext"/>
              <w:keepNext/>
              <w:keepLines/>
              <w:jc w:val="center"/>
              <w:rPr>
                <w:rFonts w:cs="Arial"/>
                <w:szCs w:val="20"/>
              </w:rPr>
            </w:pPr>
            <w:r w:rsidRPr="00E16BBF">
              <w:t>-</w:t>
            </w:r>
            <w:r w:rsidR="00E639BD" w:rsidRPr="00E639BD">
              <w:rPr>
                <w:rFonts w:hint="eastAsia"/>
                <w:color w:val="000000"/>
                <w:w w:val="18"/>
                <w:shd w:val="solid" w:color="000000" w:fill="000000"/>
                <w:fitText w:val="80" w:id="-761098748"/>
                <w14:textFill>
                  <w14:solidFill>
                    <w14:srgbClr w14:val="000000">
                      <w14:alpha w14:val="100000"/>
                    </w14:srgbClr>
                  </w14:solidFill>
                </w14:textFill>
              </w:rPr>
              <w:t xml:space="preserve">　</w:t>
            </w:r>
            <w:r w:rsidR="00E639BD" w:rsidRPr="00E639BD">
              <w:rPr>
                <w:color w:val="000000"/>
                <w:w w:val="18"/>
                <w:shd w:val="solid" w:color="000000" w:fill="000000"/>
                <w:fitText w:val="80" w:id="-761098748"/>
                <w14:textFill>
                  <w14:solidFill>
                    <w14:srgbClr w14:val="000000">
                      <w14:alpha w14:val="100000"/>
                    </w14:srgbClr>
                  </w14:solidFill>
                </w14:textFill>
              </w:rPr>
              <w:t>|</w:t>
            </w:r>
            <w:r w:rsidR="00E639BD" w:rsidRPr="00E639BD">
              <w:rPr>
                <w:rFonts w:hint="eastAsia"/>
                <w:color w:val="000000"/>
                <w:w w:val="18"/>
                <w:shd w:val="solid" w:color="000000" w:fill="000000"/>
                <w:fitText w:val="80" w:id="-761098748"/>
                <w14:textFill>
                  <w14:solidFill>
                    <w14:srgbClr w14:val="000000">
                      <w14:alpha w14:val="100000"/>
                    </w14:srgbClr>
                  </w14:solidFill>
                </w14:textFill>
              </w:rPr>
              <w:t xml:space="preserve">　</w:t>
            </w:r>
            <w:r w:rsidR="007701AC" w:rsidRPr="007701AC">
              <w:rPr>
                <w:vertAlign w:val="superscript"/>
              </w:rPr>
              <w:t>2</w:t>
            </w:r>
          </w:p>
        </w:tc>
        <w:tc>
          <w:tcPr>
            <w:tcW w:w="590" w:type="pct"/>
            <w:shd w:val="clear" w:color="auto" w:fill="FFFFFF" w:themeFill="background1"/>
            <w:vAlign w:val="center"/>
          </w:tcPr>
          <w:p w14:paraId="2C82405E" w14:textId="54204CF2" w:rsidR="00E16BBF" w:rsidRPr="00E16BBF" w:rsidRDefault="00E16BBF" w:rsidP="004665A1">
            <w:pPr>
              <w:pStyle w:val="TableText0"/>
              <w:jc w:val="center"/>
              <w:rPr>
                <w:szCs w:val="20"/>
              </w:rPr>
            </w:pPr>
            <w:r w:rsidRPr="00E16BBF">
              <w:t>-</w:t>
            </w:r>
            <w:r w:rsidR="00E639BD" w:rsidRPr="00E639BD">
              <w:rPr>
                <w:color w:val="000000"/>
                <w:spacing w:val="56"/>
                <w:shd w:val="solid" w:color="000000" w:fill="000000"/>
                <w:fitText w:val="340" w:id="-761098747"/>
                <w14:textFill>
                  <w14:solidFill>
                    <w14:srgbClr w14:val="000000">
                      <w14:alpha w14:val="100000"/>
                    </w14:srgbClr>
                  </w14:solidFill>
                </w14:textFill>
              </w:rPr>
              <w:t>|||</w:t>
            </w:r>
            <w:r w:rsidR="00E639BD" w:rsidRPr="00E639BD">
              <w:rPr>
                <w:color w:val="000000"/>
                <w:spacing w:val="2"/>
                <w:shd w:val="solid" w:color="000000" w:fill="000000"/>
                <w:fitText w:val="340" w:id="-761098747"/>
                <w14:textFill>
                  <w14:solidFill>
                    <w14:srgbClr w14:val="000000">
                      <w14:alpha w14:val="100000"/>
                    </w14:srgbClr>
                  </w14:solidFill>
                </w14:textFill>
              </w:rPr>
              <w:t>|</w:t>
            </w:r>
            <w:r w:rsidRPr="00E16BBF">
              <w:t xml:space="preserve"> </w:t>
            </w:r>
            <w:r w:rsidR="007701AC" w:rsidRPr="007701AC">
              <w:rPr>
                <w:vertAlign w:val="superscript"/>
              </w:rPr>
              <w:t>2</w:t>
            </w:r>
          </w:p>
        </w:tc>
      </w:tr>
      <w:tr w:rsidR="00EF1D4E" w:rsidRPr="00E16BBF" w14:paraId="5D361ABC" w14:textId="77777777" w:rsidTr="007A6C0C">
        <w:trPr>
          <w:trHeight w:val="57"/>
        </w:trPr>
        <w:tc>
          <w:tcPr>
            <w:tcW w:w="965" w:type="pct"/>
            <w:shd w:val="clear" w:color="auto" w:fill="FFFFFF" w:themeFill="background1"/>
            <w:vAlign w:val="center"/>
          </w:tcPr>
          <w:p w14:paraId="4B9165D5" w14:textId="77777777" w:rsidR="00E16BBF" w:rsidRPr="00E16BBF" w:rsidRDefault="00E16BBF" w:rsidP="007017BA">
            <w:pPr>
              <w:pStyle w:val="Tabletext"/>
              <w:keepNext/>
              <w:keepLines/>
              <w:ind w:left="107"/>
              <w:rPr>
                <w:szCs w:val="20"/>
              </w:rPr>
            </w:pPr>
            <w:r w:rsidRPr="00E16BBF">
              <w:rPr>
                <w:szCs w:val="20"/>
              </w:rPr>
              <w:t>Docetaxel</w:t>
            </w:r>
          </w:p>
        </w:tc>
        <w:tc>
          <w:tcPr>
            <w:tcW w:w="582" w:type="pct"/>
            <w:gridSpan w:val="3"/>
            <w:shd w:val="clear" w:color="auto" w:fill="FFFFFF" w:themeFill="background1"/>
            <w:vAlign w:val="center"/>
          </w:tcPr>
          <w:p w14:paraId="23FC79B4" w14:textId="4FD05279" w:rsidR="00E16BBF" w:rsidRPr="00845132" w:rsidRDefault="00E639BD" w:rsidP="007017BA">
            <w:pPr>
              <w:pStyle w:val="Tabletext"/>
              <w:keepNext/>
              <w:keepLines/>
              <w:jc w:val="center"/>
              <w:rPr>
                <w:rFonts w:cs="Arial"/>
                <w:szCs w:val="20"/>
                <w:highlight w:val="darkGray"/>
              </w:rPr>
            </w:pPr>
            <w:r w:rsidRPr="00E639BD">
              <w:rPr>
                <w:rFonts w:cs="Arial" w:hint="eastAsia"/>
                <w:color w:val="000000"/>
                <w:w w:val="18"/>
                <w:szCs w:val="20"/>
                <w:shd w:val="solid" w:color="000000" w:fill="000000"/>
                <w:fitText w:val="80" w:id="-761098746"/>
                <w14:textFill>
                  <w14:solidFill>
                    <w14:srgbClr w14:val="000000">
                      <w14:alpha w14:val="100000"/>
                    </w14:srgbClr>
                  </w14:solidFill>
                </w14:textFill>
              </w:rPr>
              <w:t xml:space="preserve">　</w:t>
            </w:r>
            <w:r w:rsidRPr="00E639BD">
              <w:rPr>
                <w:rFonts w:cs="Arial"/>
                <w:color w:val="000000"/>
                <w:w w:val="18"/>
                <w:szCs w:val="20"/>
                <w:shd w:val="solid" w:color="000000" w:fill="000000"/>
                <w:fitText w:val="80" w:id="-761098746"/>
                <w14:textFill>
                  <w14:solidFill>
                    <w14:srgbClr w14:val="000000">
                      <w14:alpha w14:val="100000"/>
                    </w14:srgbClr>
                  </w14:solidFill>
                </w14:textFill>
              </w:rPr>
              <w:t>|</w:t>
            </w:r>
            <w:r w:rsidRPr="00E639BD">
              <w:rPr>
                <w:rFonts w:cs="Arial" w:hint="eastAsia"/>
                <w:color w:val="000000"/>
                <w:w w:val="18"/>
                <w:szCs w:val="20"/>
                <w:shd w:val="solid" w:color="000000" w:fill="000000"/>
                <w:fitText w:val="80" w:id="-761098746"/>
                <w14:textFill>
                  <w14:solidFill>
                    <w14:srgbClr w14:val="000000">
                      <w14:alpha w14:val="100000"/>
                    </w14:srgbClr>
                  </w14:solidFill>
                </w14:textFill>
              </w:rPr>
              <w:t xml:space="preserve">　</w:t>
            </w:r>
            <w:r w:rsidR="00FC63D0" w:rsidRPr="006740C8">
              <w:rPr>
                <w:vertAlign w:val="superscript"/>
              </w:rPr>
              <w:t>3</w:t>
            </w:r>
          </w:p>
        </w:tc>
        <w:tc>
          <w:tcPr>
            <w:tcW w:w="537" w:type="pct"/>
            <w:gridSpan w:val="2"/>
            <w:shd w:val="clear" w:color="auto" w:fill="FFFFFF" w:themeFill="background1"/>
            <w:vAlign w:val="center"/>
          </w:tcPr>
          <w:p w14:paraId="27D5BDF7" w14:textId="01FA828A" w:rsidR="00E16BBF" w:rsidRPr="00845132" w:rsidRDefault="00E639BD" w:rsidP="007017BA">
            <w:pPr>
              <w:pStyle w:val="Tabletext"/>
              <w:keepNext/>
              <w:keepLines/>
              <w:jc w:val="center"/>
              <w:rPr>
                <w:rFonts w:cs="Arial"/>
                <w:szCs w:val="20"/>
                <w:highlight w:val="darkGray"/>
              </w:rPr>
            </w:pPr>
            <w:r w:rsidRPr="00E639BD">
              <w:rPr>
                <w:rFonts w:cs="Arial" w:hint="eastAsia"/>
                <w:color w:val="000000"/>
                <w:w w:val="27"/>
                <w:szCs w:val="20"/>
                <w:shd w:val="solid" w:color="000000" w:fill="000000"/>
                <w:fitText w:val="120" w:id="-761098745"/>
                <w14:textFill>
                  <w14:solidFill>
                    <w14:srgbClr w14:val="000000">
                      <w14:alpha w14:val="100000"/>
                    </w14:srgbClr>
                  </w14:solidFill>
                </w14:textFill>
              </w:rPr>
              <w:t xml:space="preserve">　</w:t>
            </w:r>
            <w:r w:rsidRPr="00E639BD">
              <w:rPr>
                <w:rFonts w:cs="Arial"/>
                <w:color w:val="000000"/>
                <w:w w:val="27"/>
                <w:szCs w:val="20"/>
                <w:shd w:val="solid" w:color="000000" w:fill="000000"/>
                <w:fitText w:val="120" w:id="-761098745"/>
                <w14:textFill>
                  <w14:solidFill>
                    <w14:srgbClr w14:val="000000">
                      <w14:alpha w14:val="100000"/>
                    </w14:srgbClr>
                  </w14:solidFill>
                </w14:textFill>
              </w:rPr>
              <w:t>|</w:t>
            </w:r>
            <w:r w:rsidRPr="00E639BD">
              <w:rPr>
                <w:rFonts w:cs="Arial" w:hint="eastAsia"/>
                <w:color w:val="000000"/>
                <w:spacing w:val="2"/>
                <w:w w:val="27"/>
                <w:szCs w:val="20"/>
                <w:shd w:val="solid" w:color="000000" w:fill="000000"/>
                <w:fitText w:val="120" w:id="-761098745"/>
                <w14:textFill>
                  <w14:solidFill>
                    <w14:srgbClr w14:val="000000">
                      <w14:alpha w14:val="100000"/>
                    </w14:srgbClr>
                  </w14:solidFill>
                </w14:textFill>
              </w:rPr>
              <w:t xml:space="preserve">　</w:t>
            </w:r>
            <w:r w:rsidR="00AB22D8" w:rsidRPr="006740C8">
              <w:rPr>
                <w:vertAlign w:val="superscript"/>
              </w:rPr>
              <w:t>3</w:t>
            </w:r>
          </w:p>
        </w:tc>
        <w:tc>
          <w:tcPr>
            <w:tcW w:w="537" w:type="pct"/>
            <w:gridSpan w:val="2"/>
            <w:shd w:val="clear" w:color="auto" w:fill="FFFFFF" w:themeFill="background1"/>
            <w:vAlign w:val="center"/>
          </w:tcPr>
          <w:p w14:paraId="4DE582D3" w14:textId="2EB63FFD" w:rsidR="00E16BBF" w:rsidRPr="00845132" w:rsidRDefault="00E639BD" w:rsidP="007017BA">
            <w:pPr>
              <w:pStyle w:val="Tabletext"/>
              <w:keepNext/>
              <w:keepLines/>
              <w:jc w:val="center"/>
              <w:rPr>
                <w:rFonts w:cs="Arial"/>
                <w:szCs w:val="20"/>
                <w:highlight w:val="darkGray"/>
              </w:rPr>
            </w:pPr>
            <w:r w:rsidRPr="00E639BD">
              <w:rPr>
                <w:rFonts w:cs="Arial" w:hint="eastAsia"/>
                <w:color w:val="000000"/>
                <w:w w:val="27"/>
                <w:szCs w:val="20"/>
                <w:shd w:val="solid" w:color="000000" w:fill="000000"/>
                <w:fitText w:val="120" w:id="-761098744"/>
                <w14:textFill>
                  <w14:solidFill>
                    <w14:srgbClr w14:val="000000">
                      <w14:alpha w14:val="100000"/>
                    </w14:srgbClr>
                  </w14:solidFill>
                </w14:textFill>
              </w:rPr>
              <w:t xml:space="preserve">　</w:t>
            </w:r>
            <w:r w:rsidRPr="00E639BD">
              <w:rPr>
                <w:rFonts w:cs="Arial"/>
                <w:color w:val="000000"/>
                <w:w w:val="27"/>
                <w:szCs w:val="20"/>
                <w:shd w:val="solid" w:color="000000" w:fill="000000"/>
                <w:fitText w:val="120" w:id="-761098744"/>
                <w14:textFill>
                  <w14:solidFill>
                    <w14:srgbClr w14:val="000000">
                      <w14:alpha w14:val="100000"/>
                    </w14:srgbClr>
                  </w14:solidFill>
                </w14:textFill>
              </w:rPr>
              <w:t>|</w:t>
            </w:r>
            <w:r w:rsidRPr="00E639BD">
              <w:rPr>
                <w:rFonts w:cs="Arial" w:hint="eastAsia"/>
                <w:color w:val="000000"/>
                <w:spacing w:val="2"/>
                <w:w w:val="27"/>
                <w:szCs w:val="20"/>
                <w:shd w:val="solid" w:color="000000" w:fill="000000"/>
                <w:fitText w:val="120" w:id="-761098744"/>
                <w14:textFill>
                  <w14:solidFill>
                    <w14:srgbClr w14:val="000000">
                      <w14:alpha w14:val="100000"/>
                    </w14:srgbClr>
                  </w14:solidFill>
                </w14:textFill>
              </w:rPr>
              <w:t xml:space="preserve">　</w:t>
            </w:r>
            <w:r w:rsidR="00AB22D8" w:rsidRPr="006740C8">
              <w:rPr>
                <w:vertAlign w:val="superscript"/>
              </w:rPr>
              <w:t>3</w:t>
            </w:r>
          </w:p>
        </w:tc>
        <w:tc>
          <w:tcPr>
            <w:tcW w:w="598" w:type="pct"/>
            <w:gridSpan w:val="2"/>
            <w:shd w:val="clear" w:color="auto" w:fill="FFFFFF" w:themeFill="background1"/>
            <w:vAlign w:val="center"/>
          </w:tcPr>
          <w:p w14:paraId="78D8A72D" w14:textId="249950E5" w:rsidR="00E16BBF" w:rsidRPr="00845132" w:rsidRDefault="00E639BD" w:rsidP="007017BA">
            <w:pPr>
              <w:pStyle w:val="Tabletext"/>
              <w:keepNext/>
              <w:keepLines/>
              <w:jc w:val="center"/>
              <w:rPr>
                <w:rFonts w:cs="Arial"/>
                <w:szCs w:val="20"/>
                <w:highlight w:val="darkGray"/>
              </w:rPr>
            </w:pPr>
            <w:r w:rsidRPr="00E639BD">
              <w:rPr>
                <w:rFonts w:cs="Arial" w:hint="eastAsia"/>
                <w:color w:val="000000"/>
                <w:w w:val="15"/>
                <w:szCs w:val="20"/>
                <w:shd w:val="solid" w:color="000000" w:fill="000000"/>
                <w:fitText w:val="60" w:id="-761098743"/>
                <w14:textFill>
                  <w14:solidFill>
                    <w14:srgbClr w14:val="000000">
                      <w14:alpha w14:val="100000"/>
                    </w14:srgbClr>
                  </w14:solidFill>
                </w14:textFill>
              </w:rPr>
              <w:t xml:space="preserve">　</w:t>
            </w:r>
            <w:r w:rsidRPr="00E639BD">
              <w:rPr>
                <w:rFonts w:cs="Arial"/>
                <w:color w:val="000000"/>
                <w:w w:val="15"/>
                <w:szCs w:val="20"/>
                <w:shd w:val="solid" w:color="000000" w:fill="000000"/>
                <w:fitText w:val="60" w:id="-761098743"/>
                <w14:textFill>
                  <w14:solidFill>
                    <w14:srgbClr w14:val="000000">
                      <w14:alpha w14:val="100000"/>
                    </w14:srgbClr>
                  </w14:solidFill>
                </w14:textFill>
              </w:rPr>
              <w:t>|</w:t>
            </w:r>
            <w:r w:rsidRPr="00E639BD">
              <w:rPr>
                <w:rFonts w:cs="Arial" w:hint="eastAsia"/>
                <w:color w:val="000000"/>
                <w:spacing w:val="-5"/>
                <w:w w:val="15"/>
                <w:szCs w:val="20"/>
                <w:shd w:val="solid" w:color="000000" w:fill="000000"/>
                <w:fitText w:val="60" w:id="-761098743"/>
                <w14:textFill>
                  <w14:solidFill>
                    <w14:srgbClr w14:val="000000">
                      <w14:alpha w14:val="100000"/>
                    </w14:srgbClr>
                  </w14:solidFill>
                </w14:textFill>
              </w:rPr>
              <w:t xml:space="preserve">　</w:t>
            </w:r>
            <w:r w:rsidR="00AB22D8" w:rsidRPr="006740C8">
              <w:rPr>
                <w:vertAlign w:val="superscript"/>
              </w:rPr>
              <w:t>3</w:t>
            </w:r>
          </w:p>
        </w:tc>
        <w:tc>
          <w:tcPr>
            <w:tcW w:w="593" w:type="pct"/>
            <w:gridSpan w:val="2"/>
            <w:shd w:val="clear" w:color="auto" w:fill="auto"/>
          </w:tcPr>
          <w:p w14:paraId="2A9250FA" w14:textId="62B8B587" w:rsidR="00E16BBF" w:rsidRPr="00845132" w:rsidRDefault="00B9485F" w:rsidP="007017BA">
            <w:pPr>
              <w:pStyle w:val="Tabletext"/>
              <w:keepNext/>
              <w:keepLines/>
              <w:jc w:val="center"/>
              <w:rPr>
                <w:rFonts w:cs="Arial"/>
                <w:szCs w:val="20"/>
                <w:highlight w:val="darkGray"/>
              </w:rPr>
            </w:pPr>
            <w:r w:rsidRPr="00E639BD">
              <w:rPr>
                <w:rFonts w:cs="Arial" w:hint="eastAsia"/>
                <w:color w:val="000000"/>
                <w:w w:val="15"/>
                <w:szCs w:val="20"/>
                <w:shd w:val="solid" w:color="000000" w:fill="000000"/>
                <w:fitText w:val="60" w:id="-761098743"/>
                <w14:textFill>
                  <w14:solidFill>
                    <w14:srgbClr w14:val="000000">
                      <w14:alpha w14:val="100000"/>
                    </w14:srgbClr>
                  </w14:solidFill>
                </w14:textFill>
              </w:rPr>
              <w:t xml:space="preserve">　</w:t>
            </w:r>
            <w:r w:rsidRPr="00E639BD">
              <w:rPr>
                <w:rFonts w:cs="Arial"/>
                <w:color w:val="000000"/>
                <w:w w:val="15"/>
                <w:szCs w:val="20"/>
                <w:shd w:val="solid" w:color="000000" w:fill="000000"/>
                <w:fitText w:val="60" w:id="-761098743"/>
                <w14:textFill>
                  <w14:solidFill>
                    <w14:srgbClr w14:val="000000">
                      <w14:alpha w14:val="100000"/>
                    </w14:srgbClr>
                  </w14:solidFill>
                </w14:textFill>
              </w:rPr>
              <w:t>|</w:t>
            </w:r>
            <w:r w:rsidRPr="00E639BD">
              <w:rPr>
                <w:rFonts w:cs="Arial" w:hint="eastAsia"/>
                <w:color w:val="000000"/>
                <w:spacing w:val="-5"/>
                <w:w w:val="15"/>
                <w:szCs w:val="20"/>
                <w:shd w:val="solid" w:color="000000" w:fill="000000"/>
                <w:fitText w:val="60" w:id="-761098743"/>
                <w14:textFill>
                  <w14:solidFill>
                    <w14:srgbClr w14:val="000000">
                      <w14:alpha w14:val="100000"/>
                    </w14:srgbClr>
                  </w14:solidFill>
                </w14:textFill>
              </w:rPr>
              <w:t xml:space="preserve">　</w:t>
            </w:r>
            <w:r w:rsidRPr="006740C8">
              <w:rPr>
                <w:vertAlign w:val="superscript"/>
              </w:rPr>
              <w:t>3</w:t>
            </w:r>
          </w:p>
        </w:tc>
        <w:tc>
          <w:tcPr>
            <w:tcW w:w="598" w:type="pct"/>
            <w:gridSpan w:val="2"/>
            <w:shd w:val="clear" w:color="auto" w:fill="FFFFFF" w:themeFill="background1"/>
          </w:tcPr>
          <w:p w14:paraId="4A394263" w14:textId="47EF472E" w:rsidR="00E16BBF" w:rsidRPr="00845132" w:rsidRDefault="00E639BD" w:rsidP="007017BA">
            <w:pPr>
              <w:pStyle w:val="Tabletext"/>
              <w:keepNext/>
              <w:keepLines/>
              <w:jc w:val="center"/>
              <w:rPr>
                <w:rFonts w:cs="Arial"/>
                <w:szCs w:val="20"/>
                <w:highlight w:val="darkGray"/>
              </w:rPr>
            </w:pPr>
            <w:r w:rsidRPr="00E639BD">
              <w:rPr>
                <w:rFonts w:hint="eastAsia"/>
                <w:color w:val="000000"/>
                <w:w w:val="18"/>
                <w:shd w:val="solid" w:color="000000" w:fill="000000"/>
                <w:fitText w:val="80" w:id="-761098741"/>
                <w14:textFill>
                  <w14:solidFill>
                    <w14:srgbClr w14:val="000000">
                      <w14:alpha w14:val="100000"/>
                    </w14:srgbClr>
                  </w14:solidFill>
                </w14:textFill>
              </w:rPr>
              <w:t xml:space="preserve">　</w:t>
            </w:r>
            <w:r w:rsidRPr="00E639BD">
              <w:rPr>
                <w:color w:val="000000"/>
                <w:w w:val="18"/>
                <w:shd w:val="solid" w:color="000000" w:fill="000000"/>
                <w:fitText w:val="80" w:id="-761098741"/>
                <w14:textFill>
                  <w14:solidFill>
                    <w14:srgbClr w14:val="000000">
                      <w14:alpha w14:val="100000"/>
                    </w14:srgbClr>
                  </w14:solidFill>
                </w14:textFill>
              </w:rPr>
              <w:t>|</w:t>
            </w:r>
            <w:r w:rsidRPr="00E639BD">
              <w:rPr>
                <w:rFonts w:hint="eastAsia"/>
                <w:color w:val="000000"/>
                <w:w w:val="18"/>
                <w:shd w:val="solid" w:color="000000" w:fill="000000"/>
                <w:fitText w:val="80" w:id="-761098741"/>
                <w14:textFill>
                  <w14:solidFill>
                    <w14:srgbClr w14:val="000000">
                      <w14:alpha w14:val="100000"/>
                    </w14:srgbClr>
                  </w14:solidFill>
                </w14:textFill>
              </w:rPr>
              <w:t xml:space="preserve">　</w:t>
            </w:r>
            <w:r w:rsidR="0082108D" w:rsidRPr="0082108D">
              <w:rPr>
                <w:vertAlign w:val="superscript"/>
              </w:rPr>
              <w:t>14</w:t>
            </w:r>
          </w:p>
        </w:tc>
        <w:tc>
          <w:tcPr>
            <w:tcW w:w="590" w:type="pct"/>
            <w:shd w:val="clear" w:color="auto" w:fill="FFFFFF" w:themeFill="background1"/>
            <w:vAlign w:val="center"/>
          </w:tcPr>
          <w:p w14:paraId="11B4B951" w14:textId="340B1465" w:rsidR="00E16BBF" w:rsidRPr="00845132" w:rsidRDefault="00E639BD" w:rsidP="004665A1">
            <w:pPr>
              <w:pStyle w:val="TableText0"/>
              <w:jc w:val="center"/>
              <w:rPr>
                <w:szCs w:val="20"/>
                <w:highlight w:val="darkGray"/>
              </w:rPr>
            </w:pPr>
            <w:r w:rsidRPr="00E639BD">
              <w:rPr>
                <w:color w:val="000000"/>
                <w:spacing w:val="56"/>
                <w:shd w:val="solid" w:color="000000" w:fill="000000"/>
                <w:fitText w:val="340" w:id="-761098740"/>
                <w14:textFill>
                  <w14:solidFill>
                    <w14:srgbClr w14:val="000000">
                      <w14:alpha w14:val="100000"/>
                    </w14:srgbClr>
                  </w14:solidFill>
                </w14:textFill>
              </w:rPr>
              <w:t>|||</w:t>
            </w:r>
            <w:r w:rsidRPr="00E639BD">
              <w:rPr>
                <w:color w:val="000000"/>
                <w:spacing w:val="2"/>
                <w:shd w:val="solid" w:color="000000" w:fill="000000"/>
                <w:fitText w:val="340" w:id="-761098740"/>
                <w14:textFill>
                  <w14:solidFill>
                    <w14:srgbClr w14:val="000000">
                      <w14:alpha w14:val="100000"/>
                    </w14:srgbClr>
                  </w14:solidFill>
                </w14:textFill>
              </w:rPr>
              <w:t>|</w:t>
            </w:r>
            <w:r w:rsidR="005B29F3" w:rsidRPr="005B29F3">
              <w:rPr>
                <w:vertAlign w:val="superscript"/>
              </w:rPr>
              <w:t>15</w:t>
            </w:r>
          </w:p>
        </w:tc>
      </w:tr>
      <w:tr w:rsidR="00EF1D4E" w:rsidRPr="00E16BBF" w14:paraId="5ED532C1" w14:textId="77777777" w:rsidTr="007A6C0C">
        <w:trPr>
          <w:trHeight w:val="57"/>
        </w:trPr>
        <w:tc>
          <w:tcPr>
            <w:tcW w:w="965" w:type="pct"/>
            <w:shd w:val="clear" w:color="auto" w:fill="FFFFFF" w:themeFill="background1"/>
            <w:vAlign w:val="center"/>
          </w:tcPr>
          <w:p w14:paraId="7FAC94FB" w14:textId="77777777" w:rsidR="00E16BBF" w:rsidRPr="00E16BBF" w:rsidRDefault="00E16BBF" w:rsidP="007017BA">
            <w:pPr>
              <w:pStyle w:val="Tabletext"/>
              <w:keepNext/>
              <w:keepLines/>
              <w:ind w:left="107"/>
              <w:rPr>
                <w:szCs w:val="20"/>
              </w:rPr>
            </w:pPr>
            <w:r w:rsidRPr="00E16BBF">
              <w:rPr>
                <w:szCs w:val="20"/>
              </w:rPr>
              <w:t>Prednisone</w:t>
            </w:r>
          </w:p>
        </w:tc>
        <w:tc>
          <w:tcPr>
            <w:tcW w:w="582" w:type="pct"/>
            <w:gridSpan w:val="3"/>
            <w:shd w:val="clear" w:color="auto" w:fill="FFFFFF" w:themeFill="background1"/>
            <w:vAlign w:val="center"/>
          </w:tcPr>
          <w:p w14:paraId="1ADC5699" w14:textId="76E258CE" w:rsidR="00E16BBF" w:rsidRPr="00845132" w:rsidRDefault="00E639BD" w:rsidP="007017BA">
            <w:pPr>
              <w:pStyle w:val="Tabletext"/>
              <w:keepNext/>
              <w:keepLines/>
              <w:jc w:val="center"/>
              <w:rPr>
                <w:szCs w:val="20"/>
                <w:highlight w:val="darkGray"/>
              </w:rPr>
            </w:pPr>
            <w:r w:rsidRPr="00E639BD">
              <w:rPr>
                <w:rFonts w:cs="Arial" w:hint="eastAsia"/>
                <w:color w:val="000000"/>
                <w:w w:val="18"/>
                <w:szCs w:val="20"/>
                <w:shd w:val="solid" w:color="000000" w:fill="000000"/>
                <w:fitText w:val="80" w:id="-761098739"/>
                <w14:textFill>
                  <w14:solidFill>
                    <w14:srgbClr w14:val="000000">
                      <w14:alpha w14:val="100000"/>
                    </w14:srgbClr>
                  </w14:solidFill>
                </w14:textFill>
              </w:rPr>
              <w:t xml:space="preserve">　</w:t>
            </w:r>
            <w:r w:rsidRPr="00E639BD">
              <w:rPr>
                <w:rFonts w:cs="Arial"/>
                <w:color w:val="000000"/>
                <w:w w:val="18"/>
                <w:szCs w:val="20"/>
                <w:shd w:val="solid" w:color="000000" w:fill="000000"/>
                <w:fitText w:val="80" w:id="-761098739"/>
                <w14:textFill>
                  <w14:solidFill>
                    <w14:srgbClr w14:val="000000">
                      <w14:alpha w14:val="100000"/>
                    </w14:srgbClr>
                  </w14:solidFill>
                </w14:textFill>
              </w:rPr>
              <w:t>|</w:t>
            </w:r>
            <w:r w:rsidRPr="00E639BD">
              <w:rPr>
                <w:rFonts w:cs="Arial" w:hint="eastAsia"/>
                <w:color w:val="000000"/>
                <w:w w:val="18"/>
                <w:szCs w:val="20"/>
                <w:shd w:val="solid" w:color="000000" w:fill="000000"/>
                <w:fitText w:val="80" w:id="-761098739"/>
                <w14:textFill>
                  <w14:solidFill>
                    <w14:srgbClr w14:val="000000">
                      <w14:alpha w14:val="100000"/>
                    </w14:srgbClr>
                  </w14:solidFill>
                </w14:textFill>
              </w:rPr>
              <w:t xml:space="preserve">　</w:t>
            </w:r>
            <w:r w:rsidR="00FC63D0" w:rsidRPr="006740C8">
              <w:rPr>
                <w:vertAlign w:val="superscript"/>
              </w:rPr>
              <w:t>3</w:t>
            </w:r>
          </w:p>
        </w:tc>
        <w:tc>
          <w:tcPr>
            <w:tcW w:w="537" w:type="pct"/>
            <w:gridSpan w:val="2"/>
            <w:shd w:val="clear" w:color="auto" w:fill="FFFFFF" w:themeFill="background1"/>
            <w:vAlign w:val="center"/>
          </w:tcPr>
          <w:p w14:paraId="11F2F756" w14:textId="314F4560" w:rsidR="00E16BBF" w:rsidRPr="00845132" w:rsidRDefault="00E639BD" w:rsidP="007017BA">
            <w:pPr>
              <w:pStyle w:val="Tabletext"/>
              <w:keepNext/>
              <w:keepLines/>
              <w:jc w:val="center"/>
              <w:rPr>
                <w:szCs w:val="20"/>
                <w:highlight w:val="darkGray"/>
              </w:rPr>
            </w:pPr>
            <w:r w:rsidRPr="00E639BD">
              <w:rPr>
                <w:rFonts w:cs="Arial" w:hint="eastAsia"/>
                <w:color w:val="000000"/>
                <w:w w:val="27"/>
                <w:szCs w:val="20"/>
                <w:shd w:val="solid" w:color="000000" w:fill="000000"/>
                <w:fitText w:val="120" w:id="-761098738"/>
                <w14:textFill>
                  <w14:solidFill>
                    <w14:srgbClr w14:val="000000">
                      <w14:alpha w14:val="100000"/>
                    </w14:srgbClr>
                  </w14:solidFill>
                </w14:textFill>
              </w:rPr>
              <w:t xml:space="preserve">　</w:t>
            </w:r>
            <w:r w:rsidRPr="00E639BD">
              <w:rPr>
                <w:rFonts w:cs="Arial"/>
                <w:color w:val="000000"/>
                <w:w w:val="27"/>
                <w:szCs w:val="20"/>
                <w:shd w:val="solid" w:color="000000" w:fill="000000"/>
                <w:fitText w:val="120" w:id="-761098738"/>
                <w14:textFill>
                  <w14:solidFill>
                    <w14:srgbClr w14:val="000000">
                      <w14:alpha w14:val="100000"/>
                    </w14:srgbClr>
                  </w14:solidFill>
                </w14:textFill>
              </w:rPr>
              <w:t>|</w:t>
            </w:r>
            <w:r w:rsidRPr="00E639BD">
              <w:rPr>
                <w:rFonts w:cs="Arial" w:hint="eastAsia"/>
                <w:color w:val="000000"/>
                <w:spacing w:val="2"/>
                <w:w w:val="27"/>
                <w:szCs w:val="20"/>
                <w:shd w:val="solid" w:color="000000" w:fill="000000"/>
                <w:fitText w:val="120" w:id="-761098738"/>
                <w14:textFill>
                  <w14:solidFill>
                    <w14:srgbClr w14:val="000000">
                      <w14:alpha w14:val="100000"/>
                    </w14:srgbClr>
                  </w14:solidFill>
                </w14:textFill>
              </w:rPr>
              <w:t xml:space="preserve">　</w:t>
            </w:r>
            <w:r w:rsidR="00AB22D8" w:rsidRPr="006740C8">
              <w:rPr>
                <w:vertAlign w:val="superscript"/>
              </w:rPr>
              <w:t>3</w:t>
            </w:r>
          </w:p>
        </w:tc>
        <w:tc>
          <w:tcPr>
            <w:tcW w:w="537" w:type="pct"/>
            <w:gridSpan w:val="2"/>
            <w:shd w:val="clear" w:color="auto" w:fill="FFFFFF" w:themeFill="background1"/>
            <w:vAlign w:val="center"/>
          </w:tcPr>
          <w:p w14:paraId="31076A39" w14:textId="26A41CDE" w:rsidR="00E16BBF" w:rsidRPr="00845132" w:rsidRDefault="00E639BD" w:rsidP="007017BA">
            <w:pPr>
              <w:pStyle w:val="Tabletext"/>
              <w:keepNext/>
              <w:keepLines/>
              <w:jc w:val="center"/>
              <w:rPr>
                <w:szCs w:val="20"/>
                <w:highlight w:val="darkGray"/>
              </w:rPr>
            </w:pPr>
            <w:r w:rsidRPr="00E639BD">
              <w:rPr>
                <w:rFonts w:cs="Arial" w:hint="eastAsia"/>
                <w:color w:val="000000"/>
                <w:w w:val="27"/>
                <w:szCs w:val="20"/>
                <w:shd w:val="solid" w:color="000000" w:fill="000000"/>
                <w:fitText w:val="120" w:id="-761098737"/>
                <w14:textFill>
                  <w14:solidFill>
                    <w14:srgbClr w14:val="000000">
                      <w14:alpha w14:val="100000"/>
                    </w14:srgbClr>
                  </w14:solidFill>
                </w14:textFill>
              </w:rPr>
              <w:t xml:space="preserve">　</w:t>
            </w:r>
            <w:r w:rsidRPr="00E639BD">
              <w:rPr>
                <w:rFonts w:cs="Arial"/>
                <w:color w:val="000000"/>
                <w:w w:val="27"/>
                <w:szCs w:val="20"/>
                <w:shd w:val="solid" w:color="000000" w:fill="000000"/>
                <w:fitText w:val="120" w:id="-761098737"/>
                <w14:textFill>
                  <w14:solidFill>
                    <w14:srgbClr w14:val="000000">
                      <w14:alpha w14:val="100000"/>
                    </w14:srgbClr>
                  </w14:solidFill>
                </w14:textFill>
              </w:rPr>
              <w:t>|</w:t>
            </w:r>
            <w:r w:rsidRPr="00E639BD">
              <w:rPr>
                <w:rFonts w:cs="Arial" w:hint="eastAsia"/>
                <w:color w:val="000000"/>
                <w:spacing w:val="2"/>
                <w:w w:val="27"/>
                <w:szCs w:val="20"/>
                <w:shd w:val="solid" w:color="000000" w:fill="000000"/>
                <w:fitText w:val="120" w:id="-761098737"/>
                <w14:textFill>
                  <w14:solidFill>
                    <w14:srgbClr w14:val="000000">
                      <w14:alpha w14:val="100000"/>
                    </w14:srgbClr>
                  </w14:solidFill>
                </w14:textFill>
              </w:rPr>
              <w:t xml:space="preserve">　</w:t>
            </w:r>
            <w:r w:rsidR="00AB22D8" w:rsidRPr="006740C8">
              <w:rPr>
                <w:vertAlign w:val="superscript"/>
              </w:rPr>
              <w:t>3</w:t>
            </w:r>
          </w:p>
        </w:tc>
        <w:tc>
          <w:tcPr>
            <w:tcW w:w="598" w:type="pct"/>
            <w:gridSpan w:val="2"/>
            <w:shd w:val="clear" w:color="auto" w:fill="FFFFFF" w:themeFill="background1"/>
            <w:vAlign w:val="center"/>
          </w:tcPr>
          <w:p w14:paraId="0482C73B" w14:textId="13A287E6" w:rsidR="00E16BBF" w:rsidRPr="00845132" w:rsidRDefault="00E639BD" w:rsidP="007017BA">
            <w:pPr>
              <w:pStyle w:val="Tabletext"/>
              <w:keepNext/>
              <w:keepLines/>
              <w:jc w:val="center"/>
              <w:rPr>
                <w:szCs w:val="20"/>
                <w:highlight w:val="darkGray"/>
              </w:rPr>
            </w:pPr>
            <w:r w:rsidRPr="00E639BD">
              <w:rPr>
                <w:rFonts w:cs="Arial" w:hint="eastAsia"/>
                <w:color w:val="000000"/>
                <w:w w:val="15"/>
                <w:szCs w:val="20"/>
                <w:shd w:val="solid" w:color="000000" w:fill="000000"/>
                <w:fitText w:val="60" w:id="-761098736"/>
                <w14:textFill>
                  <w14:solidFill>
                    <w14:srgbClr w14:val="000000">
                      <w14:alpha w14:val="100000"/>
                    </w14:srgbClr>
                  </w14:solidFill>
                </w14:textFill>
              </w:rPr>
              <w:t xml:space="preserve">　</w:t>
            </w:r>
            <w:r w:rsidRPr="00E639BD">
              <w:rPr>
                <w:rFonts w:cs="Arial"/>
                <w:color w:val="000000"/>
                <w:w w:val="15"/>
                <w:szCs w:val="20"/>
                <w:shd w:val="solid" w:color="000000" w:fill="000000"/>
                <w:fitText w:val="60" w:id="-761098736"/>
                <w14:textFill>
                  <w14:solidFill>
                    <w14:srgbClr w14:val="000000">
                      <w14:alpha w14:val="100000"/>
                    </w14:srgbClr>
                  </w14:solidFill>
                </w14:textFill>
              </w:rPr>
              <w:t>|</w:t>
            </w:r>
            <w:r w:rsidRPr="00E639BD">
              <w:rPr>
                <w:rFonts w:cs="Arial" w:hint="eastAsia"/>
                <w:color w:val="000000"/>
                <w:spacing w:val="-5"/>
                <w:w w:val="15"/>
                <w:szCs w:val="20"/>
                <w:shd w:val="solid" w:color="000000" w:fill="000000"/>
                <w:fitText w:val="60" w:id="-761098736"/>
                <w14:textFill>
                  <w14:solidFill>
                    <w14:srgbClr w14:val="000000">
                      <w14:alpha w14:val="100000"/>
                    </w14:srgbClr>
                  </w14:solidFill>
                </w14:textFill>
              </w:rPr>
              <w:t xml:space="preserve">　</w:t>
            </w:r>
            <w:r w:rsidR="00AB22D8" w:rsidRPr="006740C8">
              <w:rPr>
                <w:vertAlign w:val="superscript"/>
              </w:rPr>
              <w:t>3</w:t>
            </w:r>
          </w:p>
        </w:tc>
        <w:tc>
          <w:tcPr>
            <w:tcW w:w="593" w:type="pct"/>
            <w:gridSpan w:val="2"/>
            <w:shd w:val="clear" w:color="auto" w:fill="FFFFFF" w:themeFill="background1"/>
          </w:tcPr>
          <w:p w14:paraId="2821D097" w14:textId="759DB699" w:rsidR="00E16BBF" w:rsidRPr="00845132" w:rsidRDefault="00E639BD" w:rsidP="007017BA">
            <w:pPr>
              <w:pStyle w:val="Tabletext"/>
              <w:keepNext/>
              <w:keepLines/>
              <w:jc w:val="center"/>
              <w:rPr>
                <w:szCs w:val="20"/>
                <w:highlight w:val="darkGray"/>
              </w:rPr>
            </w:pPr>
            <w:r w:rsidRPr="00E639BD">
              <w:rPr>
                <w:rFonts w:hint="eastAsia"/>
                <w:color w:val="000000"/>
                <w:w w:val="18"/>
                <w:shd w:val="solid" w:color="000000" w:fill="000000"/>
                <w:fitText w:val="80" w:id="-761098752"/>
                <w14:textFill>
                  <w14:solidFill>
                    <w14:srgbClr w14:val="000000">
                      <w14:alpha w14:val="100000"/>
                    </w14:srgbClr>
                  </w14:solidFill>
                </w14:textFill>
              </w:rPr>
              <w:t xml:space="preserve">　</w:t>
            </w:r>
            <w:r w:rsidRPr="00E639BD">
              <w:rPr>
                <w:color w:val="000000"/>
                <w:w w:val="18"/>
                <w:shd w:val="solid" w:color="000000" w:fill="000000"/>
                <w:fitText w:val="80" w:id="-761098752"/>
                <w14:textFill>
                  <w14:solidFill>
                    <w14:srgbClr w14:val="000000">
                      <w14:alpha w14:val="100000"/>
                    </w14:srgbClr>
                  </w14:solidFill>
                </w14:textFill>
              </w:rPr>
              <w:t>|</w:t>
            </w:r>
            <w:r w:rsidRPr="00E639BD">
              <w:rPr>
                <w:rFonts w:hint="eastAsia"/>
                <w:color w:val="000000"/>
                <w:w w:val="18"/>
                <w:shd w:val="solid" w:color="000000" w:fill="000000"/>
                <w:fitText w:val="80" w:id="-761098752"/>
                <w14:textFill>
                  <w14:solidFill>
                    <w14:srgbClr w14:val="000000">
                      <w14:alpha w14:val="100000"/>
                    </w14:srgbClr>
                  </w14:solidFill>
                </w14:textFill>
              </w:rPr>
              <w:t xml:space="preserve">　</w:t>
            </w:r>
            <w:r w:rsidR="007701AC" w:rsidRPr="007701AC">
              <w:rPr>
                <w:vertAlign w:val="superscript"/>
              </w:rPr>
              <w:t>2</w:t>
            </w:r>
          </w:p>
        </w:tc>
        <w:tc>
          <w:tcPr>
            <w:tcW w:w="598" w:type="pct"/>
            <w:gridSpan w:val="2"/>
            <w:shd w:val="clear" w:color="auto" w:fill="FFFFFF" w:themeFill="background1"/>
          </w:tcPr>
          <w:p w14:paraId="344C0680" w14:textId="7582E032" w:rsidR="00E16BBF" w:rsidRPr="00845132" w:rsidRDefault="00E639BD" w:rsidP="007017BA">
            <w:pPr>
              <w:pStyle w:val="Tabletext"/>
              <w:keepNext/>
              <w:keepLines/>
              <w:jc w:val="center"/>
              <w:rPr>
                <w:szCs w:val="20"/>
                <w:highlight w:val="darkGray"/>
              </w:rPr>
            </w:pPr>
            <w:r w:rsidRPr="00E639BD">
              <w:rPr>
                <w:rFonts w:hint="eastAsia"/>
                <w:color w:val="000000"/>
                <w:w w:val="15"/>
                <w:shd w:val="solid" w:color="000000" w:fill="000000"/>
                <w:fitText w:val="60" w:id="-761098751"/>
                <w14:textFill>
                  <w14:solidFill>
                    <w14:srgbClr w14:val="000000">
                      <w14:alpha w14:val="100000"/>
                    </w14:srgbClr>
                  </w14:solidFill>
                </w14:textFill>
              </w:rPr>
              <w:t xml:space="preserve">　</w:t>
            </w:r>
            <w:r w:rsidRPr="00E639BD">
              <w:rPr>
                <w:color w:val="000000"/>
                <w:w w:val="15"/>
                <w:shd w:val="solid" w:color="000000" w:fill="000000"/>
                <w:fitText w:val="60" w:id="-761098751"/>
                <w14:textFill>
                  <w14:solidFill>
                    <w14:srgbClr w14:val="000000">
                      <w14:alpha w14:val="100000"/>
                    </w14:srgbClr>
                  </w14:solidFill>
                </w14:textFill>
              </w:rPr>
              <w:t>|</w:t>
            </w:r>
            <w:r w:rsidRPr="00E639BD">
              <w:rPr>
                <w:rFonts w:hint="eastAsia"/>
                <w:color w:val="000000"/>
                <w:spacing w:val="-5"/>
                <w:w w:val="15"/>
                <w:shd w:val="solid" w:color="000000" w:fill="000000"/>
                <w:fitText w:val="60" w:id="-761098751"/>
                <w14:textFill>
                  <w14:solidFill>
                    <w14:srgbClr w14:val="000000">
                      <w14:alpha w14:val="100000"/>
                    </w14:srgbClr>
                  </w14:solidFill>
                </w14:textFill>
              </w:rPr>
              <w:t xml:space="preserve">　</w:t>
            </w:r>
            <w:r w:rsidR="00843467" w:rsidRPr="00CD009B">
              <w:rPr>
                <w:vertAlign w:val="superscript"/>
              </w:rPr>
              <w:t>5</w:t>
            </w:r>
          </w:p>
        </w:tc>
        <w:tc>
          <w:tcPr>
            <w:tcW w:w="590" w:type="pct"/>
            <w:shd w:val="clear" w:color="auto" w:fill="FFFFFF" w:themeFill="background1"/>
            <w:vAlign w:val="center"/>
          </w:tcPr>
          <w:p w14:paraId="63A22794" w14:textId="6E0BFCCE" w:rsidR="00E16BBF" w:rsidRPr="00845132" w:rsidRDefault="00E639BD" w:rsidP="004665A1">
            <w:pPr>
              <w:keepNext/>
              <w:keepLines/>
              <w:jc w:val="center"/>
              <w:rPr>
                <w:rFonts w:ascii="Arial Narrow" w:hAnsi="Arial Narrow"/>
                <w:sz w:val="20"/>
                <w:szCs w:val="20"/>
                <w:highlight w:val="darkGray"/>
              </w:rPr>
            </w:pPr>
            <w:r w:rsidRPr="00E639BD">
              <w:rPr>
                <w:rFonts w:ascii="Arial Narrow" w:hAnsi="Arial Narrow"/>
                <w:color w:val="000000"/>
                <w:spacing w:val="56"/>
                <w:sz w:val="20"/>
                <w:szCs w:val="20"/>
                <w:shd w:val="solid" w:color="000000" w:fill="000000"/>
                <w:fitText w:val="340" w:id="-761098750"/>
                <w14:textFill>
                  <w14:solidFill>
                    <w14:srgbClr w14:val="000000">
                      <w14:alpha w14:val="100000"/>
                    </w14:srgbClr>
                  </w14:solidFill>
                </w14:textFill>
              </w:rPr>
              <w:t>|||</w:t>
            </w:r>
            <w:r w:rsidRPr="00E639BD">
              <w:rPr>
                <w:rFonts w:ascii="Arial Narrow" w:hAnsi="Arial Narrow"/>
                <w:color w:val="000000"/>
                <w:spacing w:val="2"/>
                <w:sz w:val="20"/>
                <w:szCs w:val="20"/>
                <w:shd w:val="solid" w:color="000000" w:fill="000000"/>
                <w:fitText w:val="340" w:id="-761098750"/>
                <w14:textFill>
                  <w14:solidFill>
                    <w14:srgbClr w14:val="000000">
                      <w14:alpha w14:val="100000"/>
                    </w14:srgbClr>
                  </w14:solidFill>
                </w14:textFill>
              </w:rPr>
              <w:t>|</w:t>
            </w:r>
            <w:r w:rsidR="00055166" w:rsidRPr="003F60EA">
              <w:rPr>
                <w:sz w:val="20"/>
                <w:szCs w:val="20"/>
                <w:vertAlign w:val="superscript"/>
              </w:rPr>
              <w:t>14</w:t>
            </w:r>
          </w:p>
        </w:tc>
      </w:tr>
      <w:tr w:rsidR="00E16BBF" w:rsidRPr="00E16BBF" w14:paraId="7DEA6B0C" w14:textId="77777777" w:rsidTr="007A6C0C">
        <w:trPr>
          <w:trHeight w:val="57"/>
        </w:trPr>
        <w:tc>
          <w:tcPr>
            <w:tcW w:w="965" w:type="pct"/>
            <w:shd w:val="clear" w:color="auto" w:fill="FFFFFF" w:themeFill="background1"/>
            <w:vAlign w:val="center"/>
          </w:tcPr>
          <w:p w14:paraId="3408F5B9" w14:textId="77777777" w:rsidR="00E16BBF" w:rsidRPr="00E16BBF" w:rsidRDefault="00E16BBF" w:rsidP="007017BA">
            <w:pPr>
              <w:pStyle w:val="Tabletext"/>
              <w:keepNext/>
              <w:keepLines/>
              <w:ind w:left="107"/>
              <w:rPr>
                <w:b/>
                <w:bCs/>
                <w:szCs w:val="20"/>
              </w:rPr>
            </w:pPr>
            <w:r w:rsidRPr="00E16BBF">
              <w:rPr>
                <w:b/>
                <w:bCs/>
                <w:szCs w:val="20"/>
              </w:rPr>
              <w:t>Total</w:t>
            </w:r>
          </w:p>
        </w:tc>
        <w:tc>
          <w:tcPr>
            <w:tcW w:w="582" w:type="pct"/>
            <w:gridSpan w:val="3"/>
            <w:shd w:val="clear" w:color="auto" w:fill="auto"/>
            <w:vAlign w:val="center"/>
          </w:tcPr>
          <w:p w14:paraId="56C78B5A" w14:textId="5C23E210" w:rsidR="00E16BBF" w:rsidRPr="00845132" w:rsidRDefault="00E639BD" w:rsidP="007017BA">
            <w:pPr>
              <w:pStyle w:val="Tabletext"/>
              <w:keepNext/>
              <w:keepLines/>
              <w:jc w:val="center"/>
              <w:rPr>
                <w:b/>
                <w:bCs/>
                <w:szCs w:val="20"/>
                <w:highlight w:val="darkGray"/>
              </w:rPr>
            </w:pPr>
            <w:r w:rsidRPr="00E639BD">
              <w:rPr>
                <w:rFonts w:cs="Arial"/>
                <w:b/>
                <w:bCs/>
                <w:color w:val="000000"/>
                <w:spacing w:val="52"/>
                <w:szCs w:val="20"/>
                <w:shd w:val="solid" w:color="000000" w:fill="000000"/>
                <w:fitText w:val="340" w:id="-761098749"/>
                <w14:textFill>
                  <w14:solidFill>
                    <w14:srgbClr w14:val="000000">
                      <w14:alpha w14:val="100000"/>
                    </w14:srgbClr>
                  </w14:solidFill>
                </w14:textFill>
              </w:rPr>
              <w:t>|||</w:t>
            </w:r>
            <w:r w:rsidRPr="00E639BD">
              <w:rPr>
                <w:rFonts w:cs="Arial"/>
                <w:b/>
                <w:bCs/>
                <w:color w:val="000000"/>
                <w:spacing w:val="1"/>
                <w:szCs w:val="20"/>
                <w:shd w:val="solid" w:color="000000" w:fill="000000"/>
                <w:fitText w:val="340" w:id="-761098749"/>
                <w14:textFill>
                  <w14:solidFill>
                    <w14:srgbClr w14:val="000000">
                      <w14:alpha w14:val="100000"/>
                    </w14:srgbClr>
                  </w14:solidFill>
                </w14:textFill>
              </w:rPr>
              <w:t>|</w:t>
            </w:r>
            <w:r w:rsidR="00FC63D0" w:rsidRPr="006740C8">
              <w:rPr>
                <w:vertAlign w:val="superscript"/>
              </w:rPr>
              <w:t>3</w:t>
            </w:r>
          </w:p>
        </w:tc>
        <w:tc>
          <w:tcPr>
            <w:tcW w:w="537" w:type="pct"/>
            <w:gridSpan w:val="2"/>
            <w:shd w:val="clear" w:color="auto" w:fill="auto"/>
            <w:vAlign w:val="center"/>
          </w:tcPr>
          <w:p w14:paraId="4039F109" w14:textId="7D947B3C" w:rsidR="00E16BBF" w:rsidRPr="00845132" w:rsidRDefault="00E639BD" w:rsidP="007017BA">
            <w:pPr>
              <w:pStyle w:val="Tabletext"/>
              <w:keepNext/>
              <w:keepLines/>
              <w:jc w:val="center"/>
              <w:rPr>
                <w:b/>
                <w:bCs/>
                <w:szCs w:val="20"/>
                <w:highlight w:val="darkGray"/>
              </w:rPr>
            </w:pPr>
            <w:r w:rsidRPr="00E639BD">
              <w:rPr>
                <w:rFonts w:cs="Arial"/>
                <w:b/>
                <w:bCs/>
                <w:color w:val="000000"/>
                <w:spacing w:val="68"/>
                <w:szCs w:val="20"/>
                <w:shd w:val="solid" w:color="000000" w:fill="000000"/>
                <w:fitText w:val="160" w:id="-761098747"/>
                <w14:textFill>
                  <w14:solidFill>
                    <w14:srgbClr w14:val="000000">
                      <w14:alpha w14:val="100000"/>
                    </w14:srgbClr>
                  </w14:solidFill>
                </w14:textFill>
              </w:rPr>
              <w:t>|</w:t>
            </w:r>
            <w:r w:rsidRPr="00E639BD">
              <w:rPr>
                <w:rFonts w:cs="Arial"/>
                <w:b/>
                <w:bCs/>
                <w:color w:val="000000"/>
                <w:spacing w:val="1"/>
                <w:szCs w:val="20"/>
                <w:shd w:val="solid" w:color="000000" w:fill="000000"/>
                <w:fitText w:val="160" w:id="-761098747"/>
                <w14:textFill>
                  <w14:solidFill>
                    <w14:srgbClr w14:val="000000">
                      <w14:alpha w14:val="100000"/>
                    </w14:srgbClr>
                  </w14:solidFill>
                </w14:textFill>
              </w:rPr>
              <w:t>|</w:t>
            </w:r>
            <w:r w:rsidR="00AB22D8" w:rsidRPr="006740C8">
              <w:rPr>
                <w:vertAlign w:val="superscript"/>
              </w:rPr>
              <w:t>3</w:t>
            </w:r>
          </w:p>
        </w:tc>
        <w:tc>
          <w:tcPr>
            <w:tcW w:w="537" w:type="pct"/>
            <w:gridSpan w:val="2"/>
            <w:shd w:val="clear" w:color="auto" w:fill="auto"/>
            <w:vAlign w:val="center"/>
          </w:tcPr>
          <w:p w14:paraId="09E0AAFB" w14:textId="61EF8CBE" w:rsidR="00E16BBF" w:rsidRPr="00845132" w:rsidRDefault="00E639BD" w:rsidP="007017BA">
            <w:pPr>
              <w:pStyle w:val="Tabletext"/>
              <w:keepNext/>
              <w:keepLines/>
              <w:jc w:val="center"/>
              <w:rPr>
                <w:b/>
                <w:bCs/>
                <w:szCs w:val="20"/>
                <w:highlight w:val="darkGray"/>
              </w:rPr>
            </w:pPr>
            <w:r w:rsidRPr="00E639BD">
              <w:rPr>
                <w:rFonts w:cs="Arial"/>
                <w:b/>
                <w:bCs/>
                <w:color w:val="000000"/>
                <w:spacing w:val="68"/>
                <w:szCs w:val="20"/>
                <w:shd w:val="solid" w:color="000000" w:fill="000000"/>
                <w:fitText w:val="160" w:id="-761098746"/>
                <w14:textFill>
                  <w14:solidFill>
                    <w14:srgbClr w14:val="000000">
                      <w14:alpha w14:val="100000"/>
                    </w14:srgbClr>
                  </w14:solidFill>
                </w14:textFill>
              </w:rPr>
              <w:t>|</w:t>
            </w:r>
            <w:r w:rsidRPr="00E639BD">
              <w:rPr>
                <w:rFonts w:cs="Arial"/>
                <w:b/>
                <w:bCs/>
                <w:color w:val="000000"/>
                <w:spacing w:val="1"/>
                <w:szCs w:val="20"/>
                <w:shd w:val="solid" w:color="000000" w:fill="000000"/>
                <w:fitText w:val="160" w:id="-761098746"/>
                <w14:textFill>
                  <w14:solidFill>
                    <w14:srgbClr w14:val="000000">
                      <w14:alpha w14:val="100000"/>
                    </w14:srgbClr>
                  </w14:solidFill>
                </w14:textFill>
              </w:rPr>
              <w:t>|</w:t>
            </w:r>
            <w:r w:rsidR="00AB22D8" w:rsidRPr="006740C8">
              <w:rPr>
                <w:vertAlign w:val="superscript"/>
              </w:rPr>
              <w:t>3</w:t>
            </w:r>
          </w:p>
        </w:tc>
        <w:tc>
          <w:tcPr>
            <w:tcW w:w="598" w:type="pct"/>
            <w:gridSpan w:val="2"/>
            <w:shd w:val="clear" w:color="auto" w:fill="auto"/>
            <w:vAlign w:val="center"/>
          </w:tcPr>
          <w:p w14:paraId="0B0C2851" w14:textId="300E1127" w:rsidR="00E16BBF" w:rsidRPr="00845132" w:rsidRDefault="00E639BD" w:rsidP="007017BA">
            <w:pPr>
              <w:pStyle w:val="Tabletext"/>
              <w:keepNext/>
              <w:keepLines/>
              <w:jc w:val="center"/>
              <w:rPr>
                <w:b/>
                <w:bCs/>
                <w:szCs w:val="20"/>
                <w:highlight w:val="darkGray"/>
              </w:rPr>
            </w:pPr>
            <w:r w:rsidRPr="00E639BD">
              <w:rPr>
                <w:rFonts w:cs="Arial" w:hint="eastAsia"/>
                <w:b/>
                <w:bCs/>
                <w:color w:val="000000"/>
                <w:w w:val="26"/>
                <w:szCs w:val="20"/>
                <w:shd w:val="solid" w:color="000000" w:fill="000000"/>
                <w:fitText w:val="120" w:id="-761098745"/>
                <w14:textFill>
                  <w14:solidFill>
                    <w14:srgbClr w14:val="000000">
                      <w14:alpha w14:val="100000"/>
                    </w14:srgbClr>
                  </w14:solidFill>
                </w14:textFill>
              </w:rPr>
              <w:t xml:space="preserve">　</w:t>
            </w:r>
            <w:r w:rsidRPr="00E639BD">
              <w:rPr>
                <w:rFonts w:cs="Arial"/>
                <w:b/>
                <w:bCs/>
                <w:color w:val="000000"/>
                <w:w w:val="26"/>
                <w:szCs w:val="20"/>
                <w:shd w:val="solid" w:color="000000" w:fill="000000"/>
                <w:fitText w:val="120" w:id="-761098745"/>
                <w14:textFill>
                  <w14:solidFill>
                    <w14:srgbClr w14:val="000000">
                      <w14:alpha w14:val="100000"/>
                    </w14:srgbClr>
                  </w14:solidFill>
                </w14:textFill>
              </w:rPr>
              <w:t>|</w:t>
            </w:r>
            <w:r w:rsidRPr="00E639BD">
              <w:rPr>
                <w:rFonts w:cs="Arial" w:hint="eastAsia"/>
                <w:b/>
                <w:bCs/>
                <w:color w:val="000000"/>
                <w:spacing w:val="4"/>
                <w:w w:val="26"/>
                <w:szCs w:val="20"/>
                <w:shd w:val="solid" w:color="000000" w:fill="000000"/>
                <w:fitText w:val="120" w:id="-761098745"/>
                <w14:textFill>
                  <w14:solidFill>
                    <w14:srgbClr w14:val="000000">
                      <w14:alpha w14:val="100000"/>
                    </w14:srgbClr>
                  </w14:solidFill>
                </w14:textFill>
              </w:rPr>
              <w:t xml:space="preserve">　</w:t>
            </w:r>
            <w:r w:rsidR="00AB22D8" w:rsidRPr="006740C8">
              <w:rPr>
                <w:vertAlign w:val="superscript"/>
              </w:rPr>
              <w:t>3</w:t>
            </w:r>
          </w:p>
        </w:tc>
        <w:tc>
          <w:tcPr>
            <w:tcW w:w="593" w:type="pct"/>
            <w:gridSpan w:val="2"/>
            <w:shd w:val="clear" w:color="auto" w:fill="auto"/>
            <w:vAlign w:val="center"/>
          </w:tcPr>
          <w:p w14:paraId="6C7369B0" w14:textId="650B1B91" w:rsidR="00E16BBF" w:rsidRPr="00845132" w:rsidRDefault="00E639BD" w:rsidP="007017BA">
            <w:pPr>
              <w:pStyle w:val="Tabletext"/>
              <w:keepNext/>
              <w:keepLines/>
              <w:jc w:val="center"/>
              <w:rPr>
                <w:b/>
                <w:bCs/>
                <w:szCs w:val="20"/>
                <w:highlight w:val="darkGray"/>
              </w:rPr>
            </w:pPr>
            <w:r w:rsidRPr="00E639BD">
              <w:rPr>
                <w:rFonts w:cs="Arial" w:hint="eastAsia"/>
                <w:b/>
                <w:bCs/>
                <w:color w:val="000000"/>
                <w:w w:val="26"/>
                <w:szCs w:val="20"/>
                <w:shd w:val="solid" w:color="000000" w:fill="000000"/>
                <w:fitText w:val="120" w:id="-761098744"/>
                <w14:textFill>
                  <w14:solidFill>
                    <w14:srgbClr w14:val="000000">
                      <w14:alpha w14:val="100000"/>
                    </w14:srgbClr>
                  </w14:solidFill>
                </w14:textFill>
              </w:rPr>
              <w:t xml:space="preserve">　</w:t>
            </w:r>
            <w:r w:rsidRPr="00E639BD">
              <w:rPr>
                <w:rFonts w:cs="Arial"/>
                <w:b/>
                <w:bCs/>
                <w:color w:val="000000"/>
                <w:w w:val="26"/>
                <w:szCs w:val="20"/>
                <w:shd w:val="solid" w:color="000000" w:fill="000000"/>
                <w:fitText w:val="120" w:id="-761098744"/>
                <w14:textFill>
                  <w14:solidFill>
                    <w14:srgbClr w14:val="000000">
                      <w14:alpha w14:val="100000"/>
                    </w14:srgbClr>
                  </w14:solidFill>
                </w14:textFill>
              </w:rPr>
              <w:t>|</w:t>
            </w:r>
            <w:r w:rsidRPr="00E639BD">
              <w:rPr>
                <w:rFonts w:cs="Arial" w:hint="eastAsia"/>
                <w:b/>
                <w:bCs/>
                <w:color w:val="000000"/>
                <w:spacing w:val="4"/>
                <w:w w:val="26"/>
                <w:szCs w:val="20"/>
                <w:shd w:val="solid" w:color="000000" w:fill="000000"/>
                <w:fitText w:val="120" w:id="-761098744"/>
                <w14:textFill>
                  <w14:solidFill>
                    <w14:srgbClr w14:val="000000">
                      <w14:alpha w14:val="100000"/>
                    </w14:srgbClr>
                  </w14:solidFill>
                </w14:textFill>
              </w:rPr>
              <w:t xml:space="preserve">　</w:t>
            </w:r>
            <w:r w:rsidR="00FD6EEB" w:rsidRPr="005742AC">
              <w:rPr>
                <w:vertAlign w:val="superscript"/>
              </w:rPr>
              <w:t>4</w:t>
            </w:r>
          </w:p>
        </w:tc>
        <w:tc>
          <w:tcPr>
            <w:tcW w:w="598" w:type="pct"/>
            <w:gridSpan w:val="2"/>
            <w:shd w:val="clear" w:color="auto" w:fill="auto"/>
            <w:vAlign w:val="center"/>
          </w:tcPr>
          <w:p w14:paraId="22AA82F8" w14:textId="5F29459B" w:rsidR="00E16BBF" w:rsidRPr="00845132" w:rsidRDefault="00E639BD" w:rsidP="007017BA">
            <w:pPr>
              <w:pStyle w:val="Tabletext"/>
              <w:keepNext/>
              <w:keepLines/>
              <w:jc w:val="center"/>
              <w:rPr>
                <w:b/>
                <w:bCs/>
                <w:szCs w:val="20"/>
                <w:highlight w:val="darkGray"/>
              </w:rPr>
            </w:pPr>
            <w:r w:rsidRPr="00E639BD">
              <w:rPr>
                <w:rFonts w:cs="Arial" w:hint="eastAsia"/>
                <w:b/>
                <w:bCs/>
                <w:color w:val="000000"/>
                <w:w w:val="26"/>
                <w:szCs w:val="20"/>
                <w:shd w:val="solid" w:color="000000" w:fill="000000"/>
                <w:fitText w:val="120" w:id="-761098743"/>
                <w14:textFill>
                  <w14:solidFill>
                    <w14:srgbClr w14:val="000000">
                      <w14:alpha w14:val="100000"/>
                    </w14:srgbClr>
                  </w14:solidFill>
                </w14:textFill>
              </w:rPr>
              <w:t xml:space="preserve">　</w:t>
            </w:r>
            <w:r w:rsidRPr="00E639BD">
              <w:rPr>
                <w:rFonts w:cs="Arial"/>
                <w:b/>
                <w:bCs/>
                <w:color w:val="000000"/>
                <w:w w:val="26"/>
                <w:szCs w:val="20"/>
                <w:shd w:val="solid" w:color="000000" w:fill="000000"/>
                <w:fitText w:val="120" w:id="-761098743"/>
                <w14:textFill>
                  <w14:solidFill>
                    <w14:srgbClr w14:val="000000">
                      <w14:alpha w14:val="100000"/>
                    </w14:srgbClr>
                  </w14:solidFill>
                </w14:textFill>
              </w:rPr>
              <w:t>|</w:t>
            </w:r>
            <w:r w:rsidRPr="00E639BD">
              <w:rPr>
                <w:rFonts w:cs="Arial" w:hint="eastAsia"/>
                <w:b/>
                <w:bCs/>
                <w:color w:val="000000"/>
                <w:spacing w:val="4"/>
                <w:w w:val="26"/>
                <w:szCs w:val="20"/>
                <w:shd w:val="solid" w:color="000000" w:fill="000000"/>
                <w:fitText w:val="120" w:id="-761098743"/>
                <w14:textFill>
                  <w14:solidFill>
                    <w14:srgbClr w14:val="000000">
                      <w14:alpha w14:val="100000"/>
                    </w14:srgbClr>
                  </w14:solidFill>
                </w14:textFill>
              </w:rPr>
              <w:t xml:space="preserve">　</w:t>
            </w:r>
            <w:r w:rsidR="00055166" w:rsidRPr="0082108D">
              <w:rPr>
                <w:vertAlign w:val="superscript"/>
              </w:rPr>
              <w:t>14</w:t>
            </w:r>
          </w:p>
        </w:tc>
        <w:tc>
          <w:tcPr>
            <w:tcW w:w="590" w:type="pct"/>
            <w:vAlign w:val="center"/>
          </w:tcPr>
          <w:p w14:paraId="026F2BA8" w14:textId="44C96630" w:rsidR="00E16BBF" w:rsidRPr="00845132" w:rsidRDefault="00E639BD" w:rsidP="004665A1">
            <w:pPr>
              <w:keepNext/>
              <w:keepLines/>
              <w:jc w:val="center"/>
              <w:rPr>
                <w:rFonts w:ascii="Arial Narrow" w:hAnsi="Arial Narrow"/>
                <w:b/>
                <w:bCs/>
                <w:color w:val="000000"/>
                <w:sz w:val="20"/>
                <w:szCs w:val="20"/>
                <w:highlight w:val="darkGray"/>
              </w:rPr>
            </w:pPr>
            <w:r w:rsidRPr="00E639BD">
              <w:rPr>
                <w:rFonts w:ascii="Arial Narrow" w:hAnsi="Arial Narrow"/>
                <w:b/>
                <w:bCs/>
                <w:color w:val="000000"/>
                <w:spacing w:val="58"/>
                <w:sz w:val="20"/>
                <w:szCs w:val="20"/>
                <w:shd w:val="solid" w:color="000000" w:fill="000000"/>
                <w:fitText w:val="360" w:id="-761098742"/>
                <w14:textFill>
                  <w14:solidFill>
                    <w14:srgbClr w14:val="000000">
                      <w14:alpha w14:val="100000"/>
                    </w14:srgbClr>
                  </w14:solidFill>
                </w14:textFill>
              </w:rPr>
              <w:t>|||</w:t>
            </w:r>
            <w:r w:rsidRPr="00E639BD">
              <w:rPr>
                <w:rFonts w:ascii="Arial Narrow" w:hAnsi="Arial Narrow"/>
                <w:b/>
                <w:bCs/>
                <w:color w:val="000000"/>
                <w:spacing w:val="3"/>
                <w:sz w:val="20"/>
                <w:szCs w:val="20"/>
                <w:shd w:val="solid" w:color="000000" w:fill="000000"/>
                <w:fitText w:val="360" w:id="-761098742"/>
                <w14:textFill>
                  <w14:solidFill>
                    <w14:srgbClr w14:val="000000">
                      <w14:alpha w14:val="100000"/>
                    </w14:srgbClr>
                  </w14:solidFill>
                </w14:textFill>
              </w:rPr>
              <w:t>|</w:t>
            </w:r>
            <w:r w:rsidR="005B29F3" w:rsidRPr="005B29F3">
              <w:rPr>
                <w:sz w:val="20"/>
                <w:szCs w:val="20"/>
                <w:vertAlign w:val="superscript"/>
              </w:rPr>
              <w:t>15</w:t>
            </w:r>
          </w:p>
        </w:tc>
      </w:tr>
      <w:tr w:rsidR="00E16BBF" w:rsidRPr="00E16BBF" w14:paraId="39D118C2" w14:textId="77777777" w:rsidTr="007A6C0C">
        <w:trPr>
          <w:trHeight w:val="57"/>
        </w:trPr>
        <w:tc>
          <w:tcPr>
            <w:tcW w:w="965" w:type="pct"/>
            <w:shd w:val="clear" w:color="auto" w:fill="auto"/>
            <w:vAlign w:val="center"/>
          </w:tcPr>
          <w:p w14:paraId="2519B335" w14:textId="77777777" w:rsidR="00E16BBF" w:rsidRPr="00E16BBF" w:rsidRDefault="00E16BBF" w:rsidP="007017BA">
            <w:pPr>
              <w:pStyle w:val="Tabletext"/>
              <w:keepNext/>
              <w:keepLines/>
              <w:rPr>
                <w:szCs w:val="20"/>
              </w:rPr>
            </w:pPr>
            <w:r w:rsidRPr="00E16BBF">
              <w:rPr>
                <w:szCs w:val="20"/>
              </w:rPr>
              <w:t>Cost PBS/RPBS</w:t>
            </w:r>
          </w:p>
        </w:tc>
        <w:tc>
          <w:tcPr>
            <w:tcW w:w="582" w:type="pct"/>
            <w:gridSpan w:val="3"/>
            <w:shd w:val="clear" w:color="auto" w:fill="auto"/>
            <w:vAlign w:val="center"/>
          </w:tcPr>
          <w:p w14:paraId="65FCCECB" w14:textId="741613F8" w:rsidR="00E16BBF" w:rsidRPr="00845132" w:rsidRDefault="00E639BD" w:rsidP="007017BA">
            <w:pPr>
              <w:pStyle w:val="Tabletext"/>
              <w:keepNext/>
              <w:keepLines/>
              <w:jc w:val="center"/>
              <w:rPr>
                <w:szCs w:val="20"/>
                <w:highlight w:val="darkGray"/>
              </w:rPr>
            </w:pPr>
            <w:r w:rsidRPr="00E639BD">
              <w:rPr>
                <w:rFonts w:cs="Arial" w:hint="eastAsia"/>
                <w:color w:val="000000"/>
                <w:w w:val="27"/>
                <w:szCs w:val="20"/>
                <w:shd w:val="solid" w:color="000000" w:fill="000000"/>
                <w:fitText w:val="120" w:id="-761098741"/>
                <w14:textFill>
                  <w14:solidFill>
                    <w14:srgbClr w14:val="000000">
                      <w14:alpha w14:val="100000"/>
                    </w14:srgbClr>
                  </w14:solidFill>
                </w14:textFill>
              </w:rPr>
              <w:t xml:space="preserve">　</w:t>
            </w:r>
            <w:r w:rsidRPr="00E639BD">
              <w:rPr>
                <w:rFonts w:cs="Arial"/>
                <w:color w:val="000000"/>
                <w:w w:val="27"/>
                <w:szCs w:val="20"/>
                <w:shd w:val="solid" w:color="000000" w:fill="000000"/>
                <w:fitText w:val="120" w:id="-761098741"/>
                <w14:textFill>
                  <w14:solidFill>
                    <w14:srgbClr w14:val="000000">
                      <w14:alpha w14:val="100000"/>
                    </w14:srgbClr>
                  </w14:solidFill>
                </w14:textFill>
              </w:rPr>
              <w:t>|</w:t>
            </w:r>
            <w:r w:rsidRPr="00E639BD">
              <w:rPr>
                <w:rFonts w:cs="Arial" w:hint="eastAsia"/>
                <w:color w:val="000000"/>
                <w:spacing w:val="2"/>
                <w:w w:val="27"/>
                <w:szCs w:val="20"/>
                <w:shd w:val="solid" w:color="000000" w:fill="000000"/>
                <w:fitText w:val="120" w:id="-761098741"/>
                <w14:textFill>
                  <w14:solidFill>
                    <w14:srgbClr w14:val="000000">
                      <w14:alpha w14:val="100000"/>
                    </w14:srgbClr>
                  </w14:solidFill>
                </w14:textFill>
              </w:rPr>
              <w:t xml:space="preserve">　</w:t>
            </w:r>
            <w:r w:rsidR="002964DF">
              <w:rPr>
                <w:rFonts w:cs="Arial"/>
                <w:szCs w:val="20"/>
                <w:vertAlign w:val="superscript"/>
              </w:rPr>
              <w:t>16</w:t>
            </w:r>
          </w:p>
        </w:tc>
        <w:tc>
          <w:tcPr>
            <w:tcW w:w="537" w:type="pct"/>
            <w:gridSpan w:val="2"/>
            <w:shd w:val="clear" w:color="auto" w:fill="auto"/>
            <w:vAlign w:val="center"/>
          </w:tcPr>
          <w:p w14:paraId="2E963A15" w14:textId="3B3EEC09" w:rsidR="00E16BBF" w:rsidRPr="00845132" w:rsidRDefault="00E639BD" w:rsidP="007017BA">
            <w:pPr>
              <w:pStyle w:val="Tabletext"/>
              <w:keepNext/>
              <w:keepLines/>
              <w:jc w:val="center"/>
              <w:rPr>
                <w:szCs w:val="20"/>
                <w:highlight w:val="darkGray"/>
              </w:rPr>
            </w:pPr>
            <w:r w:rsidRPr="00E639BD">
              <w:rPr>
                <w:rFonts w:cs="Arial"/>
                <w:color w:val="000000"/>
                <w:spacing w:val="74"/>
                <w:szCs w:val="20"/>
                <w:shd w:val="solid" w:color="000000" w:fill="000000"/>
                <w:fitText w:val="160" w:id="-761098740"/>
                <w14:textFill>
                  <w14:solidFill>
                    <w14:srgbClr w14:val="000000">
                      <w14:alpha w14:val="100000"/>
                    </w14:srgbClr>
                  </w14:solidFill>
                </w14:textFill>
              </w:rPr>
              <w:t>|</w:t>
            </w:r>
            <w:r w:rsidRPr="00E639BD">
              <w:rPr>
                <w:rFonts w:cs="Arial"/>
                <w:color w:val="000000"/>
                <w:spacing w:val="1"/>
                <w:szCs w:val="20"/>
                <w:shd w:val="solid" w:color="000000" w:fill="000000"/>
                <w:fitText w:val="160" w:id="-761098740"/>
                <w14:textFill>
                  <w14:solidFill>
                    <w14:srgbClr w14:val="000000">
                      <w14:alpha w14:val="100000"/>
                    </w14:srgbClr>
                  </w14:solidFill>
                </w14:textFill>
              </w:rPr>
              <w:t>|</w:t>
            </w:r>
            <w:r w:rsidR="002964DF">
              <w:rPr>
                <w:rFonts w:cs="Arial"/>
                <w:szCs w:val="20"/>
                <w:vertAlign w:val="superscript"/>
              </w:rPr>
              <w:t>16</w:t>
            </w:r>
          </w:p>
        </w:tc>
        <w:tc>
          <w:tcPr>
            <w:tcW w:w="537" w:type="pct"/>
            <w:gridSpan w:val="2"/>
            <w:shd w:val="clear" w:color="auto" w:fill="auto"/>
            <w:vAlign w:val="center"/>
          </w:tcPr>
          <w:p w14:paraId="543F0687" w14:textId="3197414E" w:rsidR="00E16BBF" w:rsidRPr="00845132" w:rsidRDefault="00E639BD" w:rsidP="007017BA">
            <w:pPr>
              <w:pStyle w:val="Tabletext"/>
              <w:keepNext/>
              <w:keepLines/>
              <w:jc w:val="center"/>
              <w:rPr>
                <w:szCs w:val="20"/>
                <w:highlight w:val="darkGray"/>
              </w:rPr>
            </w:pPr>
            <w:r w:rsidRPr="00E639BD">
              <w:rPr>
                <w:rFonts w:cs="Arial"/>
                <w:color w:val="000000"/>
                <w:spacing w:val="74"/>
                <w:szCs w:val="20"/>
                <w:shd w:val="solid" w:color="000000" w:fill="000000"/>
                <w:fitText w:val="160" w:id="-761098739"/>
                <w14:textFill>
                  <w14:solidFill>
                    <w14:srgbClr w14:val="000000">
                      <w14:alpha w14:val="100000"/>
                    </w14:srgbClr>
                  </w14:solidFill>
                </w14:textFill>
              </w:rPr>
              <w:t>|</w:t>
            </w:r>
            <w:r w:rsidRPr="00E639BD">
              <w:rPr>
                <w:rFonts w:cs="Arial"/>
                <w:color w:val="000000"/>
                <w:spacing w:val="1"/>
                <w:szCs w:val="20"/>
                <w:shd w:val="solid" w:color="000000" w:fill="000000"/>
                <w:fitText w:val="160" w:id="-761098739"/>
                <w14:textFill>
                  <w14:solidFill>
                    <w14:srgbClr w14:val="000000">
                      <w14:alpha w14:val="100000"/>
                    </w14:srgbClr>
                  </w14:solidFill>
                </w14:textFill>
              </w:rPr>
              <w:t>|</w:t>
            </w:r>
            <w:r w:rsidR="001E6ADB">
              <w:rPr>
                <w:rFonts w:cs="Arial"/>
                <w:szCs w:val="20"/>
                <w:vertAlign w:val="superscript"/>
              </w:rPr>
              <w:t>16</w:t>
            </w:r>
          </w:p>
        </w:tc>
        <w:tc>
          <w:tcPr>
            <w:tcW w:w="598" w:type="pct"/>
            <w:gridSpan w:val="2"/>
            <w:shd w:val="clear" w:color="auto" w:fill="auto"/>
            <w:vAlign w:val="center"/>
          </w:tcPr>
          <w:p w14:paraId="10EA4D26" w14:textId="3E9D7C29" w:rsidR="00E16BBF" w:rsidRPr="00845132" w:rsidRDefault="00E639BD" w:rsidP="007017BA">
            <w:pPr>
              <w:pStyle w:val="Tabletext"/>
              <w:keepNext/>
              <w:keepLines/>
              <w:jc w:val="center"/>
              <w:rPr>
                <w:szCs w:val="20"/>
                <w:highlight w:val="darkGray"/>
              </w:rPr>
            </w:pPr>
            <w:r w:rsidRPr="00E639BD">
              <w:rPr>
                <w:rFonts w:cs="Arial" w:hint="eastAsia"/>
                <w:color w:val="000000"/>
                <w:w w:val="22"/>
                <w:szCs w:val="20"/>
                <w:shd w:val="solid" w:color="000000" w:fill="000000"/>
                <w:fitText w:val="100" w:id="-761098738"/>
                <w14:textFill>
                  <w14:solidFill>
                    <w14:srgbClr w14:val="000000">
                      <w14:alpha w14:val="100000"/>
                    </w14:srgbClr>
                  </w14:solidFill>
                </w14:textFill>
              </w:rPr>
              <w:t xml:space="preserve">　</w:t>
            </w:r>
            <w:r w:rsidRPr="00E639BD">
              <w:rPr>
                <w:rFonts w:cs="Arial"/>
                <w:color w:val="000000"/>
                <w:w w:val="22"/>
                <w:szCs w:val="20"/>
                <w:shd w:val="solid" w:color="000000" w:fill="000000"/>
                <w:fitText w:val="100" w:id="-761098738"/>
                <w14:textFill>
                  <w14:solidFill>
                    <w14:srgbClr w14:val="000000">
                      <w14:alpha w14:val="100000"/>
                    </w14:srgbClr>
                  </w14:solidFill>
                </w14:textFill>
              </w:rPr>
              <w:t>|</w:t>
            </w:r>
            <w:r w:rsidRPr="00E639BD">
              <w:rPr>
                <w:rFonts w:cs="Arial" w:hint="eastAsia"/>
                <w:color w:val="000000"/>
                <w:spacing w:val="3"/>
                <w:w w:val="22"/>
                <w:szCs w:val="20"/>
                <w:shd w:val="solid" w:color="000000" w:fill="000000"/>
                <w:fitText w:val="100" w:id="-761098738"/>
                <w14:textFill>
                  <w14:solidFill>
                    <w14:srgbClr w14:val="000000">
                      <w14:alpha w14:val="100000"/>
                    </w14:srgbClr>
                  </w14:solidFill>
                </w14:textFill>
              </w:rPr>
              <w:t xml:space="preserve">　</w:t>
            </w:r>
            <w:r w:rsidR="001E6ADB">
              <w:rPr>
                <w:rFonts w:cs="Arial"/>
                <w:szCs w:val="20"/>
                <w:vertAlign w:val="superscript"/>
              </w:rPr>
              <w:t>16</w:t>
            </w:r>
          </w:p>
        </w:tc>
        <w:tc>
          <w:tcPr>
            <w:tcW w:w="593" w:type="pct"/>
            <w:gridSpan w:val="2"/>
            <w:shd w:val="clear" w:color="auto" w:fill="auto"/>
          </w:tcPr>
          <w:p w14:paraId="079E780F" w14:textId="53ADBB97" w:rsidR="00E16BBF" w:rsidRPr="00845132" w:rsidRDefault="00E639BD" w:rsidP="007017BA">
            <w:pPr>
              <w:pStyle w:val="Tabletext"/>
              <w:keepNext/>
              <w:keepLines/>
              <w:jc w:val="center"/>
              <w:rPr>
                <w:szCs w:val="20"/>
                <w:highlight w:val="darkGray"/>
              </w:rPr>
            </w:pPr>
            <w:r w:rsidRPr="00E639BD">
              <w:rPr>
                <w:rFonts w:hint="eastAsia"/>
                <w:color w:val="000000"/>
                <w:w w:val="22"/>
                <w:shd w:val="solid" w:color="000000" w:fill="000000"/>
                <w:fitText w:val="100" w:id="-761098737"/>
                <w14:textFill>
                  <w14:solidFill>
                    <w14:srgbClr w14:val="000000">
                      <w14:alpha w14:val="100000"/>
                    </w14:srgbClr>
                  </w14:solidFill>
                </w14:textFill>
              </w:rPr>
              <w:t xml:space="preserve">　</w:t>
            </w:r>
            <w:r w:rsidRPr="00E639BD">
              <w:rPr>
                <w:color w:val="000000"/>
                <w:w w:val="22"/>
                <w:shd w:val="solid" w:color="000000" w:fill="000000"/>
                <w:fitText w:val="100" w:id="-761098737"/>
                <w14:textFill>
                  <w14:solidFill>
                    <w14:srgbClr w14:val="000000">
                      <w14:alpha w14:val="100000"/>
                    </w14:srgbClr>
                  </w14:solidFill>
                </w14:textFill>
              </w:rPr>
              <w:t>|</w:t>
            </w:r>
            <w:r w:rsidRPr="00E639BD">
              <w:rPr>
                <w:rFonts w:hint="eastAsia"/>
                <w:color w:val="000000"/>
                <w:spacing w:val="3"/>
                <w:w w:val="22"/>
                <w:shd w:val="solid" w:color="000000" w:fill="000000"/>
                <w:fitText w:val="100" w:id="-761098737"/>
                <w14:textFill>
                  <w14:solidFill>
                    <w14:srgbClr w14:val="000000">
                      <w14:alpha w14:val="100000"/>
                    </w14:srgbClr>
                  </w14:solidFill>
                </w14:textFill>
              </w:rPr>
              <w:t xml:space="preserve">　</w:t>
            </w:r>
            <w:r w:rsidR="002F455E" w:rsidRPr="002F455E">
              <w:rPr>
                <w:vertAlign w:val="superscript"/>
              </w:rPr>
              <w:t>12</w:t>
            </w:r>
          </w:p>
        </w:tc>
        <w:tc>
          <w:tcPr>
            <w:tcW w:w="598" w:type="pct"/>
            <w:gridSpan w:val="2"/>
            <w:shd w:val="clear" w:color="auto" w:fill="auto"/>
          </w:tcPr>
          <w:p w14:paraId="65709557" w14:textId="356C1777" w:rsidR="00E16BBF" w:rsidRPr="00845132" w:rsidRDefault="00E639BD" w:rsidP="007017BA">
            <w:pPr>
              <w:pStyle w:val="Tabletext"/>
              <w:keepNext/>
              <w:keepLines/>
              <w:jc w:val="center"/>
              <w:rPr>
                <w:szCs w:val="20"/>
                <w:highlight w:val="darkGray"/>
              </w:rPr>
            </w:pPr>
            <w:r w:rsidRPr="00E639BD">
              <w:rPr>
                <w:rFonts w:hint="eastAsia"/>
                <w:color w:val="000000"/>
                <w:w w:val="22"/>
                <w:shd w:val="solid" w:color="000000" w:fill="000000"/>
                <w:fitText w:val="100" w:id="-761098736"/>
                <w14:textFill>
                  <w14:solidFill>
                    <w14:srgbClr w14:val="000000">
                      <w14:alpha w14:val="100000"/>
                    </w14:srgbClr>
                  </w14:solidFill>
                </w14:textFill>
              </w:rPr>
              <w:t xml:space="preserve">　</w:t>
            </w:r>
            <w:r w:rsidRPr="00E639BD">
              <w:rPr>
                <w:color w:val="000000"/>
                <w:w w:val="22"/>
                <w:shd w:val="solid" w:color="000000" w:fill="000000"/>
                <w:fitText w:val="100" w:id="-761098736"/>
                <w14:textFill>
                  <w14:solidFill>
                    <w14:srgbClr w14:val="000000">
                      <w14:alpha w14:val="100000"/>
                    </w14:srgbClr>
                  </w14:solidFill>
                </w14:textFill>
              </w:rPr>
              <w:t>|</w:t>
            </w:r>
            <w:r w:rsidRPr="00E639BD">
              <w:rPr>
                <w:rFonts w:hint="eastAsia"/>
                <w:color w:val="000000"/>
                <w:spacing w:val="3"/>
                <w:w w:val="22"/>
                <w:shd w:val="solid" w:color="000000" w:fill="000000"/>
                <w:fitText w:val="100" w:id="-761098736"/>
                <w14:textFill>
                  <w14:solidFill>
                    <w14:srgbClr w14:val="000000">
                      <w14:alpha w14:val="100000"/>
                    </w14:srgbClr>
                  </w14:solidFill>
                </w14:textFill>
              </w:rPr>
              <w:t xml:space="preserve">　</w:t>
            </w:r>
            <w:r w:rsidR="002F455E" w:rsidRPr="002F455E">
              <w:rPr>
                <w:vertAlign w:val="superscript"/>
              </w:rPr>
              <w:t>12</w:t>
            </w:r>
          </w:p>
        </w:tc>
        <w:tc>
          <w:tcPr>
            <w:tcW w:w="590" w:type="pct"/>
            <w:vAlign w:val="center"/>
          </w:tcPr>
          <w:p w14:paraId="2B1E05CB" w14:textId="3740DA10" w:rsidR="00E16BBF" w:rsidRPr="00845132" w:rsidRDefault="00E639BD" w:rsidP="004665A1">
            <w:pPr>
              <w:pStyle w:val="TableText0"/>
              <w:jc w:val="center"/>
              <w:rPr>
                <w:b/>
                <w:szCs w:val="20"/>
                <w:highlight w:val="darkGray"/>
              </w:rPr>
            </w:pPr>
            <w:r w:rsidRPr="00E639BD">
              <w:rPr>
                <w:color w:val="000000"/>
                <w:spacing w:val="56"/>
                <w:shd w:val="solid" w:color="000000" w:fill="000000"/>
                <w:fitText w:val="340" w:id="-761098752"/>
                <w14:textFill>
                  <w14:solidFill>
                    <w14:srgbClr w14:val="000000">
                      <w14:alpha w14:val="100000"/>
                    </w14:srgbClr>
                  </w14:solidFill>
                </w14:textFill>
              </w:rPr>
              <w:t>|||</w:t>
            </w:r>
            <w:r w:rsidRPr="00E639BD">
              <w:rPr>
                <w:color w:val="000000"/>
                <w:spacing w:val="2"/>
                <w:shd w:val="solid" w:color="000000" w:fill="000000"/>
                <w:fitText w:val="340" w:id="-761098752"/>
                <w14:textFill>
                  <w14:solidFill>
                    <w14:srgbClr w14:val="000000">
                      <w14:alpha w14:val="100000"/>
                    </w14:srgbClr>
                  </w14:solidFill>
                </w14:textFill>
              </w:rPr>
              <w:t>|</w:t>
            </w:r>
            <w:r w:rsidR="002F455E" w:rsidRPr="002F455E">
              <w:rPr>
                <w:vertAlign w:val="superscript"/>
              </w:rPr>
              <w:t>12</w:t>
            </w:r>
          </w:p>
        </w:tc>
      </w:tr>
      <w:tr w:rsidR="00E16BBF" w:rsidRPr="00E16BBF" w14:paraId="6D7795B4" w14:textId="77777777" w:rsidTr="007A6C0C">
        <w:trPr>
          <w:trHeight w:val="57"/>
        </w:trPr>
        <w:tc>
          <w:tcPr>
            <w:tcW w:w="965" w:type="pct"/>
            <w:shd w:val="clear" w:color="auto" w:fill="auto"/>
            <w:vAlign w:val="center"/>
          </w:tcPr>
          <w:p w14:paraId="25AFA66A" w14:textId="77777777" w:rsidR="00E16BBF" w:rsidRPr="00E16BBF" w:rsidRDefault="00E16BBF" w:rsidP="007017BA">
            <w:pPr>
              <w:pStyle w:val="Tabletext"/>
              <w:keepNext/>
              <w:keepLines/>
              <w:rPr>
                <w:szCs w:val="20"/>
              </w:rPr>
            </w:pPr>
            <w:r w:rsidRPr="00E16BBF">
              <w:rPr>
                <w:szCs w:val="20"/>
              </w:rPr>
              <w:t>Less copayments</w:t>
            </w:r>
          </w:p>
        </w:tc>
        <w:tc>
          <w:tcPr>
            <w:tcW w:w="582" w:type="pct"/>
            <w:gridSpan w:val="3"/>
            <w:shd w:val="clear" w:color="auto" w:fill="auto"/>
            <w:vAlign w:val="center"/>
          </w:tcPr>
          <w:p w14:paraId="5E90057A" w14:textId="72EDFEA2" w:rsidR="00E16BBF" w:rsidRPr="00845132" w:rsidRDefault="00E639BD" w:rsidP="007017BA">
            <w:pPr>
              <w:pStyle w:val="Tabletext"/>
              <w:keepNext/>
              <w:keepLines/>
              <w:jc w:val="center"/>
              <w:rPr>
                <w:rFonts w:cs="Arial"/>
                <w:szCs w:val="20"/>
                <w:highlight w:val="darkGray"/>
              </w:rPr>
            </w:pPr>
            <w:r w:rsidRPr="00E639BD">
              <w:rPr>
                <w:rFonts w:cs="Arial" w:hint="eastAsia"/>
                <w:color w:val="000000"/>
                <w:w w:val="27"/>
                <w:szCs w:val="20"/>
                <w:shd w:val="solid" w:color="000000" w:fill="000000"/>
                <w:fitText w:val="120" w:id="-761098751"/>
                <w14:textFill>
                  <w14:solidFill>
                    <w14:srgbClr w14:val="000000">
                      <w14:alpha w14:val="100000"/>
                    </w14:srgbClr>
                  </w14:solidFill>
                </w14:textFill>
              </w:rPr>
              <w:t xml:space="preserve">　</w:t>
            </w:r>
            <w:r w:rsidRPr="00E639BD">
              <w:rPr>
                <w:rFonts w:cs="Arial"/>
                <w:color w:val="000000"/>
                <w:w w:val="27"/>
                <w:szCs w:val="20"/>
                <w:shd w:val="solid" w:color="000000" w:fill="000000"/>
                <w:fitText w:val="120" w:id="-761098751"/>
                <w14:textFill>
                  <w14:solidFill>
                    <w14:srgbClr w14:val="000000">
                      <w14:alpha w14:val="100000"/>
                    </w14:srgbClr>
                  </w14:solidFill>
                </w14:textFill>
              </w:rPr>
              <w:t>|</w:t>
            </w:r>
            <w:r w:rsidRPr="00E639BD">
              <w:rPr>
                <w:rFonts w:cs="Arial" w:hint="eastAsia"/>
                <w:color w:val="000000"/>
                <w:spacing w:val="2"/>
                <w:w w:val="27"/>
                <w:szCs w:val="20"/>
                <w:shd w:val="solid" w:color="000000" w:fill="000000"/>
                <w:fitText w:val="120" w:id="-761098751"/>
                <w14:textFill>
                  <w14:solidFill>
                    <w14:srgbClr w14:val="000000">
                      <w14:alpha w14:val="100000"/>
                    </w14:srgbClr>
                  </w14:solidFill>
                </w14:textFill>
              </w:rPr>
              <w:t xml:space="preserve">　</w:t>
            </w:r>
            <w:r w:rsidR="002964DF">
              <w:rPr>
                <w:rFonts w:cs="Arial"/>
                <w:szCs w:val="20"/>
                <w:vertAlign w:val="superscript"/>
              </w:rPr>
              <w:t>16</w:t>
            </w:r>
          </w:p>
        </w:tc>
        <w:tc>
          <w:tcPr>
            <w:tcW w:w="537" w:type="pct"/>
            <w:gridSpan w:val="2"/>
            <w:shd w:val="clear" w:color="auto" w:fill="auto"/>
            <w:vAlign w:val="center"/>
          </w:tcPr>
          <w:p w14:paraId="562EF269" w14:textId="6E279F2B" w:rsidR="00E16BBF" w:rsidRPr="00845132" w:rsidRDefault="00E639BD" w:rsidP="007017BA">
            <w:pPr>
              <w:pStyle w:val="Tabletext"/>
              <w:keepNext/>
              <w:keepLines/>
              <w:jc w:val="center"/>
              <w:rPr>
                <w:rFonts w:cs="Arial"/>
                <w:szCs w:val="20"/>
                <w:highlight w:val="darkGray"/>
              </w:rPr>
            </w:pPr>
            <w:r w:rsidRPr="00E639BD">
              <w:rPr>
                <w:rFonts w:cs="Arial"/>
                <w:color w:val="000000"/>
                <w:spacing w:val="74"/>
                <w:szCs w:val="20"/>
                <w:shd w:val="solid" w:color="000000" w:fill="000000"/>
                <w:fitText w:val="160" w:id="-761098750"/>
                <w14:textFill>
                  <w14:solidFill>
                    <w14:srgbClr w14:val="000000">
                      <w14:alpha w14:val="100000"/>
                    </w14:srgbClr>
                  </w14:solidFill>
                </w14:textFill>
              </w:rPr>
              <w:t>|</w:t>
            </w:r>
            <w:r w:rsidRPr="00E639BD">
              <w:rPr>
                <w:rFonts w:cs="Arial"/>
                <w:color w:val="000000"/>
                <w:spacing w:val="1"/>
                <w:szCs w:val="20"/>
                <w:shd w:val="solid" w:color="000000" w:fill="000000"/>
                <w:fitText w:val="160" w:id="-761098750"/>
                <w14:textFill>
                  <w14:solidFill>
                    <w14:srgbClr w14:val="000000">
                      <w14:alpha w14:val="100000"/>
                    </w14:srgbClr>
                  </w14:solidFill>
                </w14:textFill>
              </w:rPr>
              <w:t>|</w:t>
            </w:r>
            <w:r w:rsidR="002964DF">
              <w:rPr>
                <w:rFonts w:cs="Arial"/>
                <w:szCs w:val="20"/>
                <w:vertAlign w:val="superscript"/>
              </w:rPr>
              <w:t>16</w:t>
            </w:r>
          </w:p>
        </w:tc>
        <w:tc>
          <w:tcPr>
            <w:tcW w:w="537" w:type="pct"/>
            <w:gridSpan w:val="2"/>
            <w:shd w:val="clear" w:color="auto" w:fill="auto"/>
            <w:vAlign w:val="center"/>
          </w:tcPr>
          <w:p w14:paraId="62167EDC" w14:textId="28C944F4" w:rsidR="00E16BBF" w:rsidRPr="00845132" w:rsidRDefault="00E639BD" w:rsidP="007017BA">
            <w:pPr>
              <w:pStyle w:val="Tabletext"/>
              <w:keepNext/>
              <w:keepLines/>
              <w:jc w:val="center"/>
              <w:rPr>
                <w:rFonts w:cs="Arial"/>
                <w:szCs w:val="20"/>
                <w:highlight w:val="darkGray"/>
              </w:rPr>
            </w:pPr>
            <w:r w:rsidRPr="00E639BD">
              <w:rPr>
                <w:rFonts w:cs="Arial"/>
                <w:color w:val="000000"/>
                <w:spacing w:val="74"/>
                <w:szCs w:val="20"/>
                <w:shd w:val="solid" w:color="000000" w:fill="000000"/>
                <w:fitText w:val="160" w:id="-761098749"/>
                <w14:textFill>
                  <w14:solidFill>
                    <w14:srgbClr w14:val="000000">
                      <w14:alpha w14:val="100000"/>
                    </w14:srgbClr>
                  </w14:solidFill>
                </w14:textFill>
              </w:rPr>
              <w:t>|</w:t>
            </w:r>
            <w:r w:rsidRPr="00E639BD">
              <w:rPr>
                <w:rFonts w:cs="Arial"/>
                <w:color w:val="000000"/>
                <w:spacing w:val="1"/>
                <w:szCs w:val="20"/>
                <w:shd w:val="solid" w:color="000000" w:fill="000000"/>
                <w:fitText w:val="160" w:id="-761098749"/>
                <w14:textFill>
                  <w14:solidFill>
                    <w14:srgbClr w14:val="000000">
                      <w14:alpha w14:val="100000"/>
                    </w14:srgbClr>
                  </w14:solidFill>
                </w14:textFill>
              </w:rPr>
              <w:t>|</w:t>
            </w:r>
            <w:r w:rsidR="001E6ADB">
              <w:rPr>
                <w:rFonts w:cs="Arial"/>
                <w:szCs w:val="20"/>
                <w:vertAlign w:val="superscript"/>
              </w:rPr>
              <w:t>16</w:t>
            </w:r>
          </w:p>
        </w:tc>
        <w:tc>
          <w:tcPr>
            <w:tcW w:w="598" w:type="pct"/>
            <w:gridSpan w:val="2"/>
            <w:shd w:val="clear" w:color="auto" w:fill="auto"/>
            <w:vAlign w:val="center"/>
          </w:tcPr>
          <w:p w14:paraId="140D9A29" w14:textId="76BAF807" w:rsidR="00E16BBF" w:rsidRPr="00845132" w:rsidRDefault="00E639BD" w:rsidP="007017BA">
            <w:pPr>
              <w:pStyle w:val="Tabletext"/>
              <w:keepNext/>
              <w:keepLines/>
              <w:jc w:val="center"/>
              <w:rPr>
                <w:rFonts w:cs="Arial"/>
                <w:szCs w:val="20"/>
                <w:highlight w:val="darkGray"/>
              </w:rPr>
            </w:pPr>
            <w:r w:rsidRPr="00E639BD">
              <w:rPr>
                <w:rFonts w:cs="Arial" w:hint="eastAsia"/>
                <w:color w:val="000000"/>
                <w:w w:val="22"/>
                <w:szCs w:val="20"/>
                <w:shd w:val="solid" w:color="000000" w:fill="000000"/>
                <w:fitText w:val="100" w:id="-761098748"/>
                <w14:textFill>
                  <w14:solidFill>
                    <w14:srgbClr w14:val="000000">
                      <w14:alpha w14:val="100000"/>
                    </w14:srgbClr>
                  </w14:solidFill>
                </w14:textFill>
              </w:rPr>
              <w:t xml:space="preserve">　</w:t>
            </w:r>
            <w:r w:rsidRPr="00E639BD">
              <w:rPr>
                <w:rFonts w:cs="Arial"/>
                <w:color w:val="000000"/>
                <w:w w:val="22"/>
                <w:szCs w:val="20"/>
                <w:shd w:val="solid" w:color="000000" w:fill="000000"/>
                <w:fitText w:val="100" w:id="-761098748"/>
                <w14:textFill>
                  <w14:solidFill>
                    <w14:srgbClr w14:val="000000">
                      <w14:alpha w14:val="100000"/>
                    </w14:srgbClr>
                  </w14:solidFill>
                </w14:textFill>
              </w:rPr>
              <w:t>|</w:t>
            </w:r>
            <w:r w:rsidRPr="00E639BD">
              <w:rPr>
                <w:rFonts w:cs="Arial" w:hint="eastAsia"/>
                <w:color w:val="000000"/>
                <w:spacing w:val="3"/>
                <w:w w:val="22"/>
                <w:szCs w:val="20"/>
                <w:shd w:val="solid" w:color="000000" w:fill="000000"/>
                <w:fitText w:val="100" w:id="-761098748"/>
                <w14:textFill>
                  <w14:solidFill>
                    <w14:srgbClr w14:val="000000">
                      <w14:alpha w14:val="100000"/>
                    </w14:srgbClr>
                  </w14:solidFill>
                </w14:textFill>
              </w:rPr>
              <w:t xml:space="preserve">　</w:t>
            </w:r>
            <w:r w:rsidR="001E6ADB">
              <w:rPr>
                <w:rFonts w:cs="Arial"/>
                <w:szCs w:val="20"/>
                <w:vertAlign w:val="superscript"/>
              </w:rPr>
              <w:t>16</w:t>
            </w:r>
          </w:p>
        </w:tc>
        <w:tc>
          <w:tcPr>
            <w:tcW w:w="593" w:type="pct"/>
            <w:gridSpan w:val="2"/>
            <w:shd w:val="clear" w:color="auto" w:fill="auto"/>
          </w:tcPr>
          <w:p w14:paraId="68DFE15F" w14:textId="09F5C9AB" w:rsidR="00E16BBF" w:rsidRPr="00845132" w:rsidRDefault="00E639BD" w:rsidP="007017BA">
            <w:pPr>
              <w:pStyle w:val="Tabletext"/>
              <w:keepNext/>
              <w:keepLines/>
              <w:jc w:val="center"/>
              <w:rPr>
                <w:rFonts w:cs="Arial"/>
                <w:szCs w:val="20"/>
                <w:highlight w:val="darkGray"/>
              </w:rPr>
            </w:pPr>
            <w:r w:rsidRPr="00E639BD">
              <w:rPr>
                <w:rFonts w:hint="eastAsia"/>
                <w:color w:val="000000"/>
                <w:w w:val="22"/>
                <w:shd w:val="solid" w:color="000000" w:fill="000000"/>
                <w:fitText w:val="100" w:id="-761098747"/>
                <w14:textFill>
                  <w14:solidFill>
                    <w14:srgbClr w14:val="000000">
                      <w14:alpha w14:val="100000"/>
                    </w14:srgbClr>
                  </w14:solidFill>
                </w14:textFill>
              </w:rPr>
              <w:t xml:space="preserve">　</w:t>
            </w:r>
            <w:r w:rsidRPr="00E639BD">
              <w:rPr>
                <w:color w:val="000000"/>
                <w:w w:val="22"/>
                <w:shd w:val="solid" w:color="000000" w:fill="000000"/>
                <w:fitText w:val="100" w:id="-761098747"/>
                <w14:textFill>
                  <w14:solidFill>
                    <w14:srgbClr w14:val="000000">
                      <w14:alpha w14:val="100000"/>
                    </w14:srgbClr>
                  </w14:solidFill>
                </w14:textFill>
              </w:rPr>
              <w:t>|</w:t>
            </w:r>
            <w:r w:rsidRPr="00E639BD">
              <w:rPr>
                <w:rFonts w:hint="eastAsia"/>
                <w:color w:val="000000"/>
                <w:spacing w:val="3"/>
                <w:w w:val="22"/>
                <w:shd w:val="solid" w:color="000000" w:fill="000000"/>
                <w:fitText w:val="100" w:id="-761098747"/>
                <w14:textFill>
                  <w14:solidFill>
                    <w14:srgbClr w14:val="000000">
                      <w14:alpha w14:val="100000"/>
                    </w14:srgbClr>
                  </w14:solidFill>
                </w14:textFill>
              </w:rPr>
              <w:t xml:space="preserve">　</w:t>
            </w:r>
            <w:r w:rsidR="002F455E" w:rsidRPr="002F455E">
              <w:rPr>
                <w:vertAlign w:val="superscript"/>
              </w:rPr>
              <w:t>12</w:t>
            </w:r>
          </w:p>
        </w:tc>
        <w:tc>
          <w:tcPr>
            <w:tcW w:w="598" w:type="pct"/>
            <w:gridSpan w:val="2"/>
            <w:shd w:val="clear" w:color="auto" w:fill="auto"/>
          </w:tcPr>
          <w:p w14:paraId="6FD5E87A" w14:textId="2FAEFBE8" w:rsidR="00E16BBF" w:rsidRPr="00845132" w:rsidRDefault="00E639BD" w:rsidP="007017BA">
            <w:pPr>
              <w:pStyle w:val="Tabletext"/>
              <w:keepNext/>
              <w:keepLines/>
              <w:jc w:val="center"/>
              <w:rPr>
                <w:rFonts w:cs="Arial"/>
                <w:szCs w:val="20"/>
                <w:highlight w:val="darkGray"/>
              </w:rPr>
            </w:pPr>
            <w:r w:rsidRPr="00E639BD">
              <w:rPr>
                <w:rFonts w:hint="eastAsia"/>
                <w:color w:val="000000"/>
                <w:w w:val="22"/>
                <w:shd w:val="solid" w:color="000000" w:fill="000000"/>
                <w:fitText w:val="100" w:id="-761098746"/>
                <w14:textFill>
                  <w14:solidFill>
                    <w14:srgbClr w14:val="000000">
                      <w14:alpha w14:val="100000"/>
                    </w14:srgbClr>
                  </w14:solidFill>
                </w14:textFill>
              </w:rPr>
              <w:t xml:space="preserve">　</w:t>
            </w:r>
            <w:r w:rsidRPr="00E639BD">
              <w:rPr>
                <w:color w:val="000000"/>
                <w:w w:val="22"/>
                <w:shd w:val="solid" w:color="000000" w:fill="000000"/>
                <w:fitText w:val="100" w:id="-761098746"/>
                <w14:textFill>
                  <w14:solidFill>
                    <w14:srgbClr w14:val="000000">
                      <w14:alpha w14:val="100000"/>
                    </w14:srgbClr>
                  </w14:solidFill>
                </w14:textFill>
              </w:rPr>
              <w:t>|</w:t>
            </w:r>
            <w:r w:rsidRPr="00E639BD">
              <w:rPr>
                <w:rFonts w:hint="eastAsia"/>
                <w:color w:val="000000"/>
                <w:spacing w:val="3"/>
                <w:w w:val="22"/>
                <w:shd w:val="solid" w:color="000000" w:fill="000000"/>
                <w:fitText w:val="100" w:id="-761098746"/>
                <w14:textFill>
                  <w14:solidFill>
                    <w14:srgbClr w14:val="000000">
                      <w14:alpha w14:val="100000"/>
                    </w14:srgbClr>
                  </w14:solidFill>
                </w14:textFill>
              </w:rPr>
              <w:t xml:space="preserve">　</w:t>
            </w:r>
            <w:r w:rsidR="002F455E" w:rsidRPr="002F455E">
              <w:rPr>
                <w:vertAlign w:val="superscript"/>
              </w:rPr>
              <w:t>12</w:t>
            </w:r>
          </w:p>
        </w:tc>
        <w:tc>
          <w:tcPr>
            <w:tcW w:w="590" w:type="pct"/>
            <w:vAlign w:val="center"/>
          </w:tcPr>
          <w:p w14:paraId="7C4490E5" w14:textId="75D0840C" w:rsidR="00E16BBF" w:rsidRPr="00845132" w:rsidRDefault="00E639BD" w:rsidP="004665A1">
            <w:pPr>
              <w:pStyle w:val="TableText0"/>
              <w:jc w:val="center"/>
              <w:rPr>
                <w:b/>
                <w:szCs w:val="20"/>
                <w:highlight w:val="darkGray"/>
              </w:rPr>
            </w:pPr>
            <w:r w:rsidRPr="00E639BD">
              <w:rPr>
                <w:color w:val="000000"/>
                <w:spacing w:val="56"/>
                <w:shd w:val="solid" w:color="000000" w:fill="000000"/>
                <w:fitText w:val="340" w:id="-761098745"/>
                <w14:textFill>
                  <w14:solidFill>
                    <w14:srgbClr w14:val="000000">
                      <w14:alpha w14:val="100000"/>
                    </w14:srgbClr>
                  </w14:solidFill>
                </w14:textFill>
              </w:rPr>
              <w:t>|||</w:t>
            </w:r>
            <w:r w:rsidRPr="00E639BD">
              <w:rPr>
                <w:color w:val="000000"/>
                <w:spacing w:val="2"/>
                <w:shd w:val="solid" w:color="000000" w:fill="000000"/>
                <w:fitText w:val="340" w:id="-761098745"/>
                <w14:textFill>
                  <w14:solidFill>
                    <w14:srgbClr w14:val="000000">
                      <w14:alpha w14:val="100000"/>
                    </w14:srgbClr>
                  </w14:solidFill>
                </w14:textFill>
              </w:rPr>
              <w:t>|</w:t>
            </w:r>
            <w:r w:rsidR="002F455E" w:rsidRPr="002F455E">
              <w:rPr>
                <w:vertAlign w:val="superscript"/>
              </w:rPr>
              <w:t>12</w:t>
            </w:r>
          </w:p>
        </w:tc>
      </w:tr>
      <w:tr w:rsidR="00E16BBF" w:rsidRPr="00E16BBF" w14:paraId="2AEF138D" w14:textId="77777777" w:rsidTr="007A6C0C">
        <w:trPr>
          <w:trHeight w:val="57"/>
        </w:trPr>
        <w:tc>
          <w:tcPr>
            <w:tcW w:w="965" w:type="pct"/>
            <w:shd w:val="clear" w:color="auto" w:fill="auto"/>
            <w:vAlign w:val="center"/>
          </w:tcPr>
          <w:p w14:paraId="1FB7059E" w14:textId="77777777" w:rsidR="00E16BBF" w:rsidRPr="00E16BBF" w:rsidRDefault="00E16BBF" w:rsidP="007017BA">
            <w:pPr>
              <w:pStyle w:val="Tabletext"/>
              <w:keepNext/>
              <w:keepLines/>
              <w:rPr>
                <w:szCs w:val="20"/>
              </w:rPr>
            </w:pPr>
            <w:r w:rsidRPr="00E16BBF">
              <w:rPr>
                <w:szCs w:val="20"/>
              </w:rPr>
              <w:t xml:space="preserve">Net </w:t>
            </w:r>
            <w:proofErr w:type="spellStart"/>
            <w:r w:rsidRPr="00E16BBF">
              <w:rPr>
                <w:szCs w:val="20"/>
              </w:rPr>
              <w:t>cost</w:t>
            </w:r>
            <w:r w:rsidRPr="00E16BBF">
              <w:rPr>
                <w:szCs w:val="20"/>
                <w:vertAlign w:val="superscript"/>
              </w:rPr>
              <w:t>b</w:t>
            </w:r>
            <w:proofErr w:type="spellEnd"/>
            <w:r w:rsidRPr="00E16BBF">
              <w:rPr>
                <w:szCs w:val="20"/>
              </w:rPr>
              <w:t xml:space="preserve"> PBS/RPBS </w:t>
            </w:r>
          </w:p>
        </w:tc>
        <w:tc>
          <w:tcPr>
            <w:tcW w:w="582" w:type="pct"/>
            <w:gridSpan w:val="3"/>
            <w:shd w:val="clear" w:color="auto" w:fill="auto"/>
            <w:vAlign w:val="center"/>
          </w:tcPr>
          <w:p w14:paraId="4B5F2F2D" w14:textId="2E3D0F4F" w:rsidR="00E16BBF" w:rsidRPr="00845132" w:rsidRDefault="00E639BD" w:rsidP="007017BA">
            <w:pPr>
              <w:pStyle w:val="Tabletext"/>
              <w:keepNext/>
              <w:keepLines/>
              <w:jc w:val="center"/>
              <w:rPr>
                <w:szCs w:val="20"/>
                <w:highlight w:val="darkGray"/>
              </w:rPr>
            </w:pPr>
            <w:r w:rsidRPr="00E639BD">
              <w:rPr>
                <w:rFonts w:cs="Arial" w:hint="eastAsia"/>
                <w:color w:val="000000"/>
                <w:w w:val="27"/>
                <w:szCs w:val="20"/>
                <w:shd w:val="solid" w:color="000000" w:fill="000000"/>
                <w:fitText w:val="120" w:id="-761098744"/>
                <w14:textFill>
                  <w14:solidFill>
                    <w14:srgbClr w14:val="000000">
                      <w14:alpha w14:val="100000"/>
                    </w14:srgbClr>
                  </w14:solidFill>
                </w14:textFill>
              </w:rPr>
              <w:t xml:space="preserve">　</w:t>
            </w:r>
            <w:r w:rsidRPr="00E639BD">
              <w:rPr>
                <w:rFonts w:cs="Arial"/>
                <w:color w:val="000000"/>
                <w:w w:val="27"/>
                <w:szCs w:val="20"/>
                <w:shd w:val="solid" w:color="000000" w:fill="000000"/>
                <w:fitText w:val="120" w:id="-761098744"/>
                <w14:textFill>
                  <w14:solidFill>
                    <w14:srgbClr w14:val="000000">
                      <w14:alpha w14:val="100000"/>
                    </w14:srgbClr>
                  </w14:solidFill>
                </w14:textFill>
              </w:rPr>
              <w:t>|</w:t>
            </w:r>
            <w:r w:rsidRPr="00E639BD">
              <w:rPr>
                <w:rFonts w:cs="Arial" w:hint="eastAsia"/>
                <w:color w:val="000000"/>
                <w:spacing w:val="2"/>
                <w:w w:val="27"/>
                <w:szCs w:val="20"/>
                <w:shd w:val="solid" w:color="000000" w:fill="000000"/>
                <w:fitText w:val="120" w:id="-761098744"/>
                <w14:textFill>
                  <w14:solidFill>
                    <w14:srgbClr w14:val="000000">
                      <w14:alpha w14:val="100000"/>
                    </w14:srgbClr>
                  </w14:solidFill>
                </w14:textFill>
              </w:rPr>
              <w:t xml:space="preserve">　</w:t>
            </w:r>
            <w:r w:rsidR="002964DF">
              <w:rPr>
                <w:rFonts w:cs="Arial"/>
                <w:szCs w:val="20"/>
                <w:vertAlign w:val="superscript"/>
              </w:rPr>
              <w:t>16</w:t>
            </w:r>
          </w:p>
        </w:tc>
        <w:tc>
          <w:tcPr>
            <w:tcW w:w="537" w:type="pct"/>
            <w:gridSpan w:val="2"/>
            <w:shd w:val="clear" w:color="auto" w:fill="auto"/>
            <w:vAlign w:val="center"/>
          </w:tcPr>
          <w:p w14:paraId="1DA1B4B4" w14:textId="7C674186" w:rsidR="00E16BBF" w:rsidRPr="00845132" w:rsidRDefault="00E639BD" w:rsidP="007017BA">
            <w:pPr>
              <w:pStyle w:val="Tabletext"/>
              <w:keepNext/>
              <w:keepLines/>
              <w:jc w:val="center"/>
              <w:rPr>
                <w:szCs w:val="20"/>
                <w:highlight w:val="darkGray"/>
              </w:rPr>
            </w:pPr>
            <w:r w:rsidRPr="00E639BD">
              <w:rPr>
                <w:rFonts w:cs="Arial"/>
                <w:color w:val="000000"/>
                <w:spacing w:val="74"/>
                <w:szCs w:val="20"/>
                <w:shd w:val="solid" w:color="000000" w:fill="000000"/>
                <w:fitText w:val="160" w:id="-761098743"/>
                <w14:textFill>
                  <w14:solidFill>
                    <w14:srgbClr w14:val="000000">
                      <w14:alpha w14:val="100000"/>
                    </w14:srgbClr>
                  </w14:solidFill>
                </w14:textFill>
              </w:rPr>
              <w:t>|</w:t>
            </w:r>
            <w:r w:rsidRPr="00E639BD">
              <w:rPr>
                <w:rFonts w:cs="Arial"/>
                <w:color w:val="000000"/>
                <w:spacing w:val="1"/>
                <w:szCs w:val="20"/>
                <w:shd w:val="solid" w:color="000000" w:fill="000000"/>
                <w:fitText w:val="160" w:id="-761098743"/>
                <w14:textFill>
                  <w14:solidFill>
                    <w14:srgbClr w14:val="000000">
                      <w14:alpha w14:val="100000"/>
                    </w14:srgbClr>
                  </w14:solidFill>
                </w14:textFill>
              </w:rPr>
              <w:t>|</w:t>
            </w:r>
            <w:r w:rsidR="001E6ADB">
              <w:rPr>
                <w:rFonts w:cs="Arial"/>
                <w:szCs w:val="20"/>
                <w:vertAlign w:val="superscript"/>
              </w:rPr>
              <w:t>16</w:t>
            </w:r>
          </w:p>
        </w:tc>
        <w:tc>
          <w:tcPr>
            <w:tcW w:w="537" w:type="pct"/>
            <w:gridSpan w:val="2"/>
            <w:shd w:val="clear" w:color="auto" w:fill="auto"/>
            <w:vAlign w:val="center"/>
          </w:tcPr>
          <w:p w14:paraId="5F9E31AF" w14:textId="6FCEBEFB" w:rsidR="00E16BBF" w:rsidRPr="00845132" w:rsidRDefault="00E639BD" w:rsidP="007017BA">
            <w:pPr>
              <w:pStyle w:val="Tabletext"/>
              <w:keepNext/>
              <w:keepLines/>
              <w:jc w:val="center"/>
              <w:rPr>
                <w:szCs w:val="20"/>
                <w:highlight w:val="darkGray"/>
              </w:rPr>
            </w:pPr>
            <w:r w:rsidRPr="00E639BD">
              <w:rPr>
                <w:rFonts w:cs="Arial"/>
                <w:color w:val="000000"/>
                <w:spacing w:val="74"/>
                <w:szCs w:val="20"/>
                <w:shd w:val="solid" w:color="000000" w:fill="000000"/>
                <w:fitText w:val="160" w:id="-761098742"/>
                <w14:textFill>
                  <w14:solidFill>
                    <w14:srgbClr w14:val="000000">
                      <w14:alpha w14:val="100000"/>
                    </w14:srgbClr>
                  </w14:solidFill>
                </w14:textFill>
              </w:rPr>
              <w:t>|</w:t>
            </w:r>
            <w:r w:rsidRPr="00E639BD">
              <w:rPr>
                <w:rFonts w:cs="Arial"/>
                <w:color w:val="000000"/>
                <w:spacing w:val="1"/>
                <w:szCs w:val="20"/>
                <w:shd w:val="solid" w:color="000000" w:fill="000000"/>
                <w:fitText w:val="160" w:id="-761098742"/>
                <w14:textFill>
                  <w14:solidFill>
                    <w14:srgbClr w14:val="000000">
                      <w14:alpha w14:val="100000"/>
                    </w14:srgbClr>
                  </w14:solidFill>
                </w14:textFill>
              </w:rPr>
              <w:t>|</w:t>
            </w:r>
            <w:r w:rsidR="001E6ADB">
              <w:rPr>
                <w:rFonts w:cs="Arial"/>
                <w:szCs w:val="20"/>
                <w:vertAlign w:val="superscript"/>
              </w:rPr>
              <w:t>16</w:t>
            </w:r>
          </w:p>
        </w:tc>
        <w:tc>
          <w:tcPr>
            <w:tcW w:w="598" w:type="pct"/>
            <w:gridSpan w:val="2"/>
            <w:shd w:val="clear" w:color="auto" w:fill="auto"/>
            <w:vAlign w:val="center"/>
          </w:tcPr>
          <w:p w14:paraId="52E4EDAD" w14:textId="16A29360" w:rsidR="00E16BBF" w:rsidRPr="00845132" w:rsidRDefault="00E639BD" w:rsidP="007017BA">
            <w:pPr>
              <w:pStyle w:val="Tabletext"/>
              <w:keepNext/>
              <w:keepLines/>
              <w:jc w:val="center"/>
              <w:rPr>
                <w:szCs w:val="20"/>
                <w:highlight w:val="darkGray"/>
              </w:rPr>
            </w:pPr>
            <w:r w:rsidRPr="00E639BD">
              <w:rPr>
                <w:rFonts w:cs="Arial" w:hint="eastAsia"/>
                <w:color w:val="000000"/>
                <w:w w:val="22"/>
                <w:szCs w:val="20"/>
                <w:shd w:val="solid" w:color="000000" w:fill="000000"/>
                <w:fitText w:val="100" w:id="-761098741"/>
                <w14:textFill>
                  <w14:solidFill>
                    <w14:srgbClr w14:val="000000">
                      <w14:alpha w14:val="100000"/>
                    </w14:srgbClr>
                  </w14:solidFill>
                </w14:textFill>
              </w:rPr>
              <w:t xml:space="preserve">　</w:t>
            </w:r>
            <w:r w:rsidRPr="00E639BD">
              <w:rPr>
                <w:rFonts w:cs="Arial"/>
                <w:color w:val="000000"/>
                <w:w w:val="22"/>
                <w:szCs w:val="20"/>
                <w:shd w:val="solid" w:color="000000" w:fill="000000"/>
                <w:fitText w:val="100" w:id="-761098741"/>
                <w14:textFill>
                  <w14:solidFill>
                    <w14:srgbClr w14:val="000000">
                      <w14:alpha w14:val="100000"/>
                    </w14:srgbClr>
                  </w14:solidFill>
                </w14:textFill>
              </w:rPr>
              <w:t>|</w:t>
            </w:r>
            <w:r w:rsidRPr="00E639BD">
              <w:rPr>
                <w:rFonts w:cs="Arial" w:hint="eastAsia"/>
                <w:color w:val="000000"/>
                <w:spacing w:val="3"/>
                <w:w w:val="22"/>
                <w:szCs w:val="20"/>
                <w:shd w:val="solid" w:color="000000" w:fill="000000"/>
                <w:fitText w:val="100" w:id="-761098741"/>
                <w14:textFill>
                  <w14:solidFill>
                    <w14:srgbClr w14:val="000000">
                      <w14:alpha w14:val="100000"/>
                    </w14:srgbClr>
                  </w14:solidFill>
                </w14:textFill>
              </w:rPr>
              <w:t xml:space="preserve">　</w:t>
            </w:r>
            <w:r w:rsidR="001E6ADB">
              <w:rPr>
                <w:rFonts w:cs="Arial"/>
                <w:szCs w:val="20"/>
                <w:vertAlign w:val="superscript"/>
              </w:rPr>
              <w:t>16</w:t>
            </w:r>
          </w:p>
        </w:tc>
        <w:tc>
          <w:tcPr>
            <w:tcW w:w="593" w:type="pct"/>
            <w:gridSpan w:val="2"/>
            <w:shd w:val="clear" w:color="auto" w:fill="auto"/>
          </w:tcPr>
          <w:p w14:paraId="337EDD4A" w14:textId="3A6BDBB1" w:rsidR="00E16BBF" w:rsidRPr="00845132" w:rsidRDefault="00E639BD" w:rsidP="007017BA">
            <w:pPr>
              <w:pStyle w:val="Tabletext"/>
              <w:keepNext/>
              <w:keepLines/>
              <w:jc w:val="center"/>
              <w:rPr>
                <w:szCs w:val="20"/>
                <w:highlight w:val="darkGray"/>
              </w:rPr>
            </w:pPr>
            <w:r w:rsidRPr="00E639BD">
              <w:rPr>
                <w:rFonts w:hint="eastAsia"/>
                <w:color w:val="000000"/>
                <w:w w:val="22"/>
                <w:shd w:val="solid" w:color="000000" w:fill="000000"/>
                <w:fitText w:val="100" w:id="-761098740"/>
                <w14:textFill>
                  <w14:solidFill>
                    <w14:srgbClr w14:val="000000">
                      <w14:alpha w14:val="100000"/>
                    </w14:srgbClr>
                  </w14:solidFill>
                </w14:textFill>
              </w:rPr>
              <w:t xml:space="preserve">　</w:t>
            </w:r>
            <w:r w:rsidRPr="00E639BD">
              <w:rPr>
                <w:color w:val="000000"/>
                <w:w w:val="22"/>
                <w:shd w:val="solid" w:color="000000" w:fill="000000"/>
                <w:fitText w:val="100" w:id="-761098740"/>
                <w14:textFill>
                  <w14:solidFill>
                    <w14:srgbClr w14:val="000000">
                      <w14:alpha w14:val="100000"/>
                    </w14:srgbClr>
                  </w14:solidFill>
                </w14:textFill>
              </w:rPr>
              <w:t>|</w:t>
            </w:r>
            <w:r w:rsidRPr="00E639BD">
              <w:rPr>
                <w:rFonts w:hint="eastAsia"/>
                <w:color w:val="000000"/>
                <w:spacing w:val="3"/>
                <w:w w:val="22"/>
                <w:shd w:val="solid" w:color="000000" w:fill="000000"/>
                <w:fitText w:val="100" w:id="-761098740"/>
                <w14:textFill>
                  <w14:solidFill>
                    <w14:srgbClr w14:val="000000">
                      <w14:alpha w14:val="100000"/>
                    </w14:srgbClr>
                  </w14:solidFill>
                </w14:textFill>
              </w:rPr>
              <w:t xml:space="preserve">　</w:t>
            </w:r>
            <w:r w:rsidR="002F455E" w:rsidRPr="002F455E">
              <w:rPr>
                <w:vertAlign w:val="superscript"/>
              </w:rPr>
              <w:t>12</w:t>
            </w:r>
          </w:p>
        </w:tc>
        <w:tc>
          <w:tcPr>
            <w:tcW w:w="598" w:type="pct"/>
            <w:gridSpan w:val="2"/>
            <w:shd w:val="clear" w:color="auto" w:fill="auto"/>
          </w:tcPr>
          <w:p w14:paraId="24FC38C0" w14:textId="725E54E6" w:rsidR="00E16BBF" w:rsidRPr="00845132" w:rsidRDefault="00E639BD" w:rsidP="007017BA">
            <w:pPr>
              <w:pStyle w:val="Tabletext"/>
              <w:keepNext/>
              <w:keepLines/>
              <w:jc w:val="center"/>
              <w:rPr>
                <w:szCs w:val="20"/>
                <w:highlight w:val="darkGray"/>
              </w:rPr>
            </w:pPr>
            <w:r w:rsidRPr="00E639BD">
              <w:rPr>
                <w:rFonts w:hint="eastAsia"/>
                <w:color w:val="000000"/>
                <w:w w:val="22"/>
                <w:shd w:val="solid" w:color="000000" w:fill="000000"/>
                <w:fitText w:val="100" w:id="-761098739"/>
                <w14:textFill>
                  <w14:solidFill>
                    <w14:srgbClr w14:val="000000">
                      <w14:alpha w14:val="100000"/>
                    </w14:srgbClr>
                  </w14:solidFill>
                </w14:textFill>
              </w:rPr>
              <w:t xml:space="preserve">　</w:t>
            </w:r>
            <w:r w:rsidRPr="00E639BD">
              <w:rPr>
                <w:color w:val="000000"/>
                <w:w w:val="22"/>
                <w:shd w:val="solid" w:color="000000" w:fill="000000"/>
                <w:fitText w:val="100" w:id="-761098739"/>
                <w14:textFill>
                  <w14:solidFill>
                    <w14:srgbClr w14:val="000000">
                      <w14:alpha w14:val="100000"/>
                    </w14:srgbClr>
                  </w14:solidFill>
                </w14:textFill>
              </w:rPr>
              <w:t>|</w:t>
            </w:r>
            <w:r w:rsidRPr="00E639BD">
              <w:rPr>
                <w:rFonts w:hint="eastAsia"/>
                <w:color w:val="000000"/>
                <w:spacing w:val="3"/>
                <w:w w:val="22"/>
                <w:shd w:val="solid" w:color="000000" w:fill="000000"/>
                <w:fitText w:val="100" w:id="-761098739"/>
                <w14:textFill>
                  <w14:solidFill>
                    <w14:srgbClr w14:val="000000">
                      <w14:alpha w14:val="100000"/>
                    </w14:srgbClr>
                  </w14:solidFill>
                </w14:textFill>
              </w:rPr>
              <w:t xml:space="preserve">　</w:t>
            </w:r>
            <w:r w:rsidR="002F455E" w:rsidRPr="002F455E">
              <w:rPr>
                <w:vertAlign w:val="superscript"/>
              </w:rPr>
              <w:t>12</w:t>
            </w:r>
          </w:p>
        </w:tc>
        <w:tc>
          <w:tcPr>
            <w:tcW w:w="590" w:type="pct"/>
            <w:vAlign w:val="center"/>
          </w:tcPr>
          <w:p w14:paraId="7B19E18F" w14:textId="33DBBCE5" w:rsidR="00E16BBF" w:rsidRPr="00845132" w:rsidRDefault="00E639BD" w:rsidP="004665A1">
            <w:pPr>
              <w:pStyle w:val="TableText0"/>
              <w:jc w:val="center"/>
              <w:rPr>
                <w:b/>
                <w:szCs w:val="20"/>
                <w:highlight w:val="darkGray"/>
              </w:rPr>
            </w:pPr>
            <w:r w:rsidRPr="00E639BD">
              <w:rPr>
                <w:color w:val="000000"/>
                <w:spacing w:val="56"/>
                <w:shd w:val="solid" w:color="000000" w:fill="000000"/>
                <w:fitText w:val="340" w:id="-761098738"/>
                <w14:textFill>
                  <w14:solidFill>
                    <w14:srgbClr w14:val="000000">
                      <w14:alpha w14:val="100000"/>
                    </w14:srgbClr>
                  </w14:solidFill>
                </w14:textFill>
              </w:rPr>
              <w:t>|||</w:t>
            </w:r>
            <w:r w:rsidRPr="00E639BD">
              <w:rPr>
                <w:color w:val="000000"/>
                <w:spacing w:val="2"/>
                <w:shd w:val="solid" w:color="000000" w:fill="000000"/>
                <w:fitText w:val="340" w:id="-761098738"/>
                <w14:textFill>
                  <w14:solidFill>
                    <w14:srgbClr w14:val="000000">
                      <w14:alpha w14:val="100000"/>
                    </w14:srgbClr>
                  </w14:solidFill>
                </w14:textFill>
              </w:rPr>
              <w:t>|</w:t>
            </w:r>
            <w:r w:rsidR="002F455E" w:rsidRPr="002F455E">
              <w:rPr>
                <w:vertAlign w:val="superscript"/>
              </w:rPr>
              <w:t>12</w:t>
            </w:r>
          </w:p>
        </w:tc>
      </w:tr>
      <w:tr w:rsidR="00E16BBF" w:rsidRPr="00E16BBF" w14:paraId="62EDEDEF" w14:textId="77777777" w:rsidTr="007A6C0C">
        <w:trPr>
          <w:trHeight w:val="57"/>
        </w:trPr>
        <w:tc>
          <w:tcPr>
            <w:tcW w:w="4999" w:type="pct"/>
            <w:gridSpan w:val="15"/>
            <w:shd w:val="clear" w:color="auto" w:fill="auto"/>
            <w:vAlign w:val="center"/>
          </w:tcPr>
          <w:p w14:paraId="30CDD194" w14:textId="77777777" w:rsidR="00E16BBF" w:rsidRPr="00E16BBF" w:rsidRDefault="00E16BBF" w:rsidP="007017BA">
            <w:pPr>
              <w:pStyle w:val="Tabletext"/>
              <w:keepNext/>
              <w:keepLines/>
              <w:rPr>
                <w:b/>
                <w:bCs/>
                <w:szCs w:val="20"/>
              </w:rPr>
            </w:pPr>
            <w:r w:rsidRPr="00E16BBF">
              <w:rPr>
                <w:b/>
                <w:bCs/>
                <w:szCs w:val="20"/>
              </w:rPr>
              <w:t>Net financial implications to government</w:t>
            </w:r>
          </w:p>
        </w:tc>
      </w:tr>
      <w:tr w:rsidR="00E16BBF" w:rsidRPr="00E16BBF" w14:paraId="480C95FE" w14:textId="77777777" w:rsidTr="007A6C0C">
        <w:trPr>
          <w:trHeight w:val="57"/>
        </w:trPr>
        <w:tc>
          <w:tcPr>
            <w:tcW w:w="965" w:type="pct"/>
            <w:shd w:val="clear" w:color="auto" w:fill="auto"/>
            <w:vAlign w:val="center"/>
          </w:tcPr>
          <w:p w14:paraId="5CCDDB7D" w14:textId="77777777" w:rsidR="00E16BBF" w:rsidRPr="00E16BBF" w:rsidRDefault="00E16BBF" w:rsidP="007017BA">
            <w:pPr>
              <w:pStyle w:val="Tabletext"/>
              <w:keepNext/>
              <w:keepLines/>
              <w:rPr>
                <w:b/>
                <w:bCs/>
                <w:szCs w:val="20"/>
              </w:rPr>
            </w:pPr>
            <w:r w:rsidRPr="00E16BBF">
              <w:rPr>
                <w:b/>
                <w:bCs/>
                <w:szCs w:val="20"/>
              </w:rPr>
              <w:t>Total net cost PBS/RPBS</w:t>
            </w:r>
          </w:p>
        </w:tc>
        <w:tc>
          <w:tcPr>
            <w:tcW w:w="582" w:type="pct"/>
            <w:gridSpan w:val="3"/>
            <w:shd w:val="clear" w:color="auto" w:fill="auto"/>
            <w:vAlign w:val="center"/>
          </w:tcPr>
          <w:p w14:paraId="606A394D" w14:textId="389ADCCA" w:rsidR="00E16BBF" w:rsidRPr="00845132" w:rsidRDefault="00E639BD" w:rsidP="007017BA">
            <w:pPr>
              <w:pStyle w:val="Tabletext"/>
              <w:keepNext/>
              <w:keepLines/>
              <w:jc w:val="center"/>
              <w:rPr>
                <w:b/>
                <w:bCs/>
                <w:szCs w:val="20"/>
                <w:highlight w:val="darkGray"/>
              </w:rPr>
            </w:pPr>
            <w:r w:rsidRPr="00E639BD">
              <w:rPr>
                <w:rFonts w:hint="eastAsia"/>
                <w:b/>
                <w:bCs/>
                <w:color w:val="000000"/>
                <w:w w:val="26"/>
                <w:shd w:val="solid" w:color="000000" w:fill="000000"/>
                <w:fitText w:val="120" w:id="-761098737"/>
                <w14:textFill>
                  <w14:solidFill>
                    <w14:srgbClr w14:val="000000">
                      <w14:alpha w14:val="100000"/>
                    </w14:srgbClr>
                  </w14:solidFill>
                </w14:textFill>
              </w:rPr>
              <w:t xml:space="preserve">　</w:t>
            </w:r>
            <w:r w:rsidRPr="00E639BD">
              <w:rPr>
                <w:b/>
                <w:bCs/>
                <w:color w:val="000000"/>
                <w:w w:val="26"/>
                <w:shd w:val="solid" w:color="000000" w:fill="000000"/>
                <w:fitText w:val="120" w:id="-761098737"/>
                <w14:textFill>
                  <w14:solidFill>
                    <w14:srgbClr w14:val="000000">
                      <w14:alpha w14:val="100000"/>
                    </w14:srgbClr>
                  </w14:solidFill>
                </w14:textFill>
              </w:rPr>
              <w:t>|</w:t>
            </w:r>
            <w:r w:rsidRPr="00E639BD">
              <w:rPr>
                <w:rFonts w:hint="eastAsia"/>
                <w:b/>
                <w:bCs/>
                <w:color w:val="000000"/>
                <w:spacing w:val="4"/>
                <w:w w:val="26"/>
                <w:shd w:val="solid" w:color="000000" w:fill="000000"/>
                <w:fitText w:val="120" w:id="-761098737"/>
                <w14:textFill>
                  <w14:solidFill>
                    <w14:srgbClr w14:val="000000">
                      <w14:alpha w14:val="100000"/>
                    </w14:srgbClr>
                  </w14:solidFill>
                </w14:textFill>
              </w:rPr>
              <w:t xml:space="preserve">　</w:t>
            </w:r>
            <w:r w:rsidR="000C0C4F" w:rsidRPr="00DB3669">
              <w:rPr>
                <w:vertAlign w:val="superscript"/>
              </w:rPr>
              <w:t>8</w:t>
            </w:r>
          </w:p>
        </w:tc>
        <w:tc>
          <w:tcPr>
            <w:tcW w:w="537" w:type="pct"/>
            <w:gridSpan w:val="2"/>
            <w:shd w:val="clear" w:color="auto" w:fill="auto"/>
            <w:vAlign w:val="center"/>
          </w:tcPr>
          <w:p w14:paraId="66253894" w14:textId="60C1E014" w:rsidR="00E16BBF" w:rsidRPr="00845132" w:rsidRDefault="00E639BD" w:rsidP="007017BA">
            <w:pPr>
              <w:pStyle w:val="Tabletext"/>
              <w:keepNext/>
              <w:keepLines/>
              <w:jc w:val="center"/>
              <w:rPr>
                <w:b/>
                <w:bCs/>
                <w:szCs w:val="20"/>
                <w:highlight w:val="darkGray"/>
              </w:rPr>
            </w:pPr>
            <w:r w:rsidRPr="00E639BD">
              <w:rPr>
                <w:b/>
                <w:bCs/>
                <w:color w:val="000000"/>
                <w:spacing w:val="68"/>
                <w:shd w:val="solid" w:color="000000" w:fill="000000"/>
                <w:fitText w:val="160" w:id="-761098736"/>
                <w14:textFill>
                  <w14:solidFill>
                    <w14:srgbClr w14:val="000000">
                      <w14:alpha w14:val="100000"/>
                    </w14:srgbClr>
                  </w14:solidFill>
                </w14:textFill>
              </w:rPr>
              <w:t>|</w:t>
            </w:r>
            <w:r w:rsidRPr="00E639BD">
              <w:rPr>
                <w:b/>
                <w:bCs/>
                <w:color w:val="000000"/>
                <w:spacing w:val="1"/>
                <w:shd w:val="solid" w:color="000000" w:fill="000000"/>
                <w:fitText w:val="160" w:id="-761098736"/>
                <w14:textFill>
                  <w14:solidFill>
                    <w14:srgbClr w14:val="000000">
                      <w14:alpha w14:val="100000"/>
                    </w14:srgbClr>
                  </w14:solidFill>
                </w14:textFill>
              </w:rPr>
              <w:t>|</w:t>
            </w:r>
            <w:r w:rsidR="000C0C4F" w:rsidRPr="00DB3669">
              <w:rPr>
                <w:vertAlign w:val="superscript"/>
              </w:rPr>
              <w:t>8</w:t>
            </w:r>
          </w:p>
        </w:tc>
        <w:tc>
          <w:tcPr>
            <w:tcW w:w="537" w:type="pct"/>
            <w:gridSpan w:val="2"/>
            <w:shd w:val="clear" w:color="auto" w:fill="auto"/>
            <w:vAlign w:val="center"/>
          </w:tcPr>
          <w:p w14:paraId="3CF87E67" w14:textId="6579123F" w:rsidR="00E16BBF" w:rsidRPr="00845132" w:rsidRDefault="00E639BD" w:rsidP="007017BA">
            <w:pPr>
              <w:pStyle w:val="Tabletext"/>
              <w:keepNext/>
              <w:keepLines/>
              <w:jc w:val="center"/>
              <w:rPr>
                <w:b/>
                <w:bCs/>
                <w:szCs w:val="20"/>
                <w:highlight w:val="darkGray"/>
              </w:rPr>
            </w:pPr>
            <w:r w:rsidRPr="00E639BD">
              <w:rPr>
                <w:b/>
                <w:bCs/>
                <w:color w:val="000000"/>
                <w:spacing w:val="68"/>
                <w:shd w:val="solid" w:color="000000" w:fill="000000"/>
                <w:fitText w:val="160" w:id="-761098752"/>
                <w14:textFill>
                  <w14:solidFill>
                    <w14:srgbClr w14:val="000000">
                      <w14:alpha w14:val="100000"/>
                    </w14:srgbClr>
                  </w14:solidFill>
                </w14:textFill>
              </w:rPr>
              <w:t>|</w:t>
            </w:r>
            <w:r w:rsidRPr="00E639BD">
              <w:rPr>
                <w:b/>
                <w:bCs/>
                <w:color w:val="000000"/>
                <w:spacing w:val="1"/>
                <w:shd w:val="solid" w:color="000000" w:fill="000000"/>
                <w:fitText w:val="160" w:id="-761098752"/>
                <w14:textFill>
                  <w14:solidFill>
                    <w14:srgbClr w14:val="000000">
                      <w14:alpha w14:val="100000"/>
                    </w14:srgbClr>
                  </w14:solidFill>
                </w14:textFill>
              </w:rPr>
              <w:t>|</w:t>
            </w:r>
            <w:r w:rsidR="000C0C4F" w:rsidRPr="00DB3669">
              <w:rPr>
                <w:vertAlign w:val="superscript"/>
              </w:rPr>
              <w:t>8</w:t>
            </w:r>
          </w:p>
        </w:tc>
        <w:tc>
          <w:tcPr>
            <w:tcW w:w="598" w:type="pct"/>
            <w:gridSpan w:val="2"/>
            <w:shd w:val="clear" w:color="auto" w:fill="auto"/>
            <w:vAlign w:val="center"/>
          </w:tcPr>
          <w:p w14:paraId="2415F9D4" w14:textId="5BE24058" w:rsidR="00E16BBF" w:rsidRPr="00845132" w:rsidRDefault="00E639BD" w:rsidP="007017BA">
            <w:pPr>
              <w:pStyle w:val="Tabletext"/>
              <w:keepNext/>
              <w:keepLines/>
              <w:jc w:val="center"/>
              <w:rPr>
                <w:b/>
                <w:bCs/>
                <w:szCs w:val="20"/>
                <w:highlight w:val="darkGray"/>
              </w:rPr>
            </w:pPr>
            <w:r w:rsidRPr="00E639BD">
              <w:rPr>
                <w:rFonts w:hint="eastAsia"/>
                <w:b/>
                <w:bCs/>
                <w:color w:val="000000"/>
                <w:w w:val="26"/>
                <w:shd w:val="solid" w:color="000000" w:fill="000000"/>
                <w:fitText w:val="120" w:id="-761098751"/>
                <w14:textFill>
                  <w14:solidFill>
                    <w14:srgbClr w14:val="000000">
                      <w14:alpha w14:val="100000"/>
                    </w14:srgbClr>
                  </w14:solidFill>
                </w14:textFill>
              </w:rPr>
              <w:t xml:space="preserve">　</w:t>
            </w:r>
            <w:r w:rsidRPr="00E639BD">
              <w:rPr>
                <w:b/>
                <w:bCs/>
                <w:color w:val="000000"/>
                <w:w w:val="26"/>
                <w:shd w:val="solid" w:color="000000" w:fill="000000"/>
                <w:fitText w:val="120" w:id="-761098751"/>
                <w14:textFill>
                  <w14:solidFill>
                    <w14:srgbClr w14:val="000000">
                      <w14:alpha w14:val="100000"/>
                    </w14:srgbClr>
                  </w14:solidFill>
                </w14:textFill>
              </w:rPr>
              <w:t>|</w:t>
            </w:r>
            <w:r w:rsidRPr="00E639BD">
              <w:rPr>
                <w:rFonts w:hint="eastAsia"/>
                <w:b/>
                <w:bCs/>
                <w:color w:val="000000"/>
                <w:spacing w:val="4"/>
                <w:w w:val="26"/>
                <w:shd w:val="solid" w:color="000000" w:fill="000000"/>
                <w:fitText w:val="120" w:id="-761098751"/>
                <w14:textFill>
                  <w14:solidFill>
                    <w14:srgbClr w14:val="000000">
                      <w14:alpha w14:val="100000"/>
                    </w14:srgbClr>
                  </w14:solidFill>
                </w14:textFill>
              </w:rPr>
              <w:t xml:space="preserve">　</w:t>
            </w:r>
            <w:r w:rsidR="00971052" w:rsidRPr="00E04FF9">
              <w:rPr>
                <w:vertAlign w:val="superscript"/>
              </w:rPr>
              <w:t>9</w:t>
            </w:r>
          </w:p>
        </w:tc>
        <w:tc>
          <w:tcPr>
            <w:tcW w:w="593" w:type="pct"/>
            <w:gridSpan w:val="2"/>
            <w:shd w:val="clear" w:color="auto" w:fill="auto"/>
            <w:vAlign w:val="center"/>
          </w:tcPr>
          <w:p w14:paraId="7A1E0DA2" w14:textId="220FAA13" w:rsidR="00E16BBF" w:rsidRPr="00845132" w:rsidRDefault="00E639BD" w:rsidP="007017BA">
            <w:pPr>
              <w:pStyle w:val="Tabletext"/>
              <w:keepNext/>
              <w:keepLines/>
              <w:jc w:val="center"/>
              <w:rPr>
                <w:b/>
                <w:bCs/>
                <w:szCs w:val="20"/>
                <w:highlight w:val="darkGray"/>
              </w:rPr>
            </w:pPr>
            <w:r w:rsidRPr="00E639BD">
              <w:rPr>
                <w:rFonts w:hint="eastAsia"/>
                <w:b/>
                <w:bCs/>
                <w:color w:val="000000"/>
                <w:w w:val="26"/>
                <w:shd w:val="solid" w:color="000000" w:fill="000000"/>
                <w:fitText w:val="120" w:id="-761098750"/>
                <w14:textFill>
                  <w14:solidFill>
                    <w14:srgbClr w14:val="000000">
                      <w14:alpha w14:val="100000"/>
                    </w14:srgbClr>
                  </w14:solidFill>
                </w14:textFill>
              </w:rPr>
              <w:t xml:space="preserve">　</w:t>
            </w:r>
            <w:r w:rsidRPr="00E639BD">
              <w:rPr>
                <w:b/>
                <w:bCs/>
                <w:color w:val="000000"/>
                <w:w w:val="26"/>
                <w:shd w:val="solid" w:color="000000" w:fill="000000"/>
                <w:fitText w:val="120" w:id="-761098750"/>
                <w14:textFill>
                  <w14:solidFill>
                    <w14:srgbClr w14:val="000000">
                      <w14:alpha w14:val="100000"/>
                    </w14:srgbClr>
                  </w14:solidFill>
                </w14:textFill>
              </w:rPr>
              <w:t>|</w:t>
            </w:r>
            <w:r w:rsidRPr="00E639BD">
              <w:rPr>
                <w:rFonts w:hint="eastAsia"/>
                <w:b/>
                <w:bCs/>
                <w:color w:val="000000"/>
                <w:spacing w:val="4"/>
                <w:w w:val="26"/>
                <w:shd w:val="solid" w:color="000000" w:fill="000000"/>
                <w:fitText w:val="120" w:id="-761098750"/>
                <w14:textFill>
                  <w14:solidFill>
                    <w14:srgbClr w14:val="000000">
                      <w14:alpha w14:val="100000"/>
                    </w14:srgbClr>
                  </w14:solidFill>
                </w14:textFill>
              </w:rPr>
              <w:t xml:space="preserve">　</w:t>
            </w:r>
            <w:r w:rsidR="00971052" w:rsidRPr="00E04FF9">
              <w:rPr>
                <w:vertAlign w:val="superscript"/>
              </w:rPr>
              <w:t>9</w:t>
            </w:r>
          </w:p>
        </w:tc>
        <w:tc>
          <w:tcPr>
            <w:tcW w:w="598" w:type="pct"/>
            <w:gridSpan w:val="2"/>
            <w:shd w:val="clear" w:color="auto" w:fill="auto"/>
            <w:vAlign w:val="center"/>
          </w:tcPr>
          <w:p w14:paraId="6DFDF4F6" w14:textId="6C7F957E" w:rsidR="00E16BBF" w:rsidRPr="00845132" w:rsidRDefault="00E639BD" w:rsidP="007017BA">
            <w:pPr>
              <w:pStyle w:val="Tabletext"/>
              <w:keepNext/>
              <w:keepLines/>
              <w:jc w:val="center"/>
              <w:rPr>
                <w:b/>
                <w:bCs/>
                <w:szCs w:val="20"/>
                <w:highlight w:val="darkGray"/>
              </w:rPr>
            </w:pPr>
            <w:r w:rsidRPr="00E639BD">
              <w:rPr>
                <w:rFonts w:hint="eastAsia"/>
                <w:b/>
                <w:bCs/>
                <w:color w:val="000000"/>
                <w:w w:val="26"/>
                <w:shd w:val="solid" w:color="000000" w:fill="000000"/>
                <w:fitText w:val="120" w:id="-761098749"/>
                <w14:textFill>
                  <w14:solidFill>
                    <w14:srgbClr w14:val="000000">
                      <w14:alpha w14:val="100000"/>
                    </w14:srgbClr>
                  </w14:solidFill>
                </w14:textFill>
              </w:rPr>
              <w:t xml:space="preserve">　</w:t>
            </w:r>
            <w:r w:rsidRPr="00E639BD">
              <w:rPr>
                <w:b/>
                <w:bCs/>
                <w:color w:val="000000"/>
                <w:w w:val="26"/>
                <w:shd w:val="solid" w:color="000000" w:fill="000000"/>
                <w:fitText w:val="120" w:id="-761098749"/>
                <w14:textFill>
                  <w14:solidFill>
                    <w14:srgbClr w14:val="000000">
                      <w14:alpha w14:val="100000"/>
                    </w14:srgbClr>
                  </w14:solidFill>
                </w14:textFill>
              </w:rPr>
              <w:t>|</w:t>
            </w:r>
            <w:r w:rsidRPr="00E639BD">
              <w:rPr>
                <w:rFonts w:hint="eastAsia"/>
                <w:b/>
                <w:bCs/>
                <w:color w:val="000000"/>
                <w:spacing w:val="4"/>
                <w:w w:val="26"/>
                <w:shd w:val="solid" w:color="000000" w:fill="000000"/>
                <w:fitText w:val="120" w:id="-761098749"/>
                <w14:textFill>
                  <w14:solidFill>
                    <w14:srgbClr w14:val="000000">
                      <w14:alpha w14:val="100000"/>
                    </w14:srgbClr>
                  </w14:solidFill>
                </w14:textFill>
              </w:rPr>
              <w:t xml:space="preserve">　</w:t>
            </w:r>
            <w:r w:rsidR="00B91F76" w:rsidRPr="00B91F76">
              <w:rPr>
                <w:b/>
                <w:bCs/>
                <w:vertAlign w:val="superscript"/>
              </w:rPr>
              <w:t>8</w:t>
            </w:r>
          </w:p>
        </w:tc>
        <w:tc>
          <w:tcPr>
            <w:tcW w:w="590" w:type="pct"/>
            <w:vAlign w:val="center"/>
          </w:tcPr>
          <w:p w14:paraId="42AB7DF9" w14:textId="23C32E10" w:rsidR="00E16BBF" w:rsidRPr="00845132" w:rsidRDefault="00E639BD" w:rsidP="007017BA">
            <w:pPr>
              <w:pStyle w:val="Tabletext"/>
              <w:keepNext/>
              <w:keepLines/>
              <w:jc w:val="center"/>
              <w:rPr>
                <w:b/>
                <w:bCs/>
                <w:szCs w:val="20"/>
                <w:highlight w:val="darkGray"/>
              </w:rPr>
            </w:pPr>
            <w:r>
              <w:rPr>
                <w:b/>
                <w:bCs/>
                <w:color w:val="000000"/>
                <w:spacing w:val="68"/>
                <w:shd w:val="solid" w:color="000000" w:fill="000000"/>
                <w:fitText w:val="160" w:id="-761098748"/>
                <w14:textFill>
                  <w14:solidFill>
                    <w14:srgbClr w14:val="000000">
                      <w14:alpha w14:val="100000"/>
                    </w14:srgbClr>
                  </w14:solidFill>
                </w14:textFill>
              </w:rPr>
              <w:t>|</w:t>
            </w:r>
            <w:r>
              <w:rPr>
                <w:b/>
                <w:bCs/>
                <w:color w:val="000000"/>
                <w:shd w:val="solid" w:color="000000" w:fill="000000"/>
                <w:fitText w:val="160" w:id="-761098748"/>
                <w14:textFill>
                  <w14:solidFill>
                    <w14:srgbClr w14:val="000000">
                      <w14:alpha w14:val="100000"/>
                    </w14:srgbClr>
                  </w14:solidFill>
                </w14:textFill>
              </w:rPr>
              <w:t>|</w:t>
            </w:r>
            <w:r w:rsidR="007017C5" w:rsidRPr="004F7F1B">
              <w:rPr>
                <w:vertAlign w:val="superscript"/>
              </w:rPr>
              <w:t>11</w:t>
            </w:r>
          </w:p>
        </w:tc>
      </w:tr>
    </w:tbl>
    <w:p w14:paraId="25E317A1" w14:textId="77777777" w:rsidR="00E16BBF" w:rsidRPr="00155DCF" w:rsidRDefault="00E16BBF" w:rsidP="007017BA">
      <w:pPr>
        <w:pStyle w:val="TableFigureFooter"/>
        <w:keepNext/>
        <w:keepLines/>
      </w:pPr>
      <w:r w:rsidRPr="00155DCF">
        <w:t xml:space="preserve">Source: Table 4-3, 4-4,4-9,4-10,4-11,4-12, 4-16,4-18,4-31,4-38, 4-39 and Excel workbook Attachment 11 – Xtandi </w:t>
      </w:r>
      <w:proofErr w:type="spellStart"/>
      <w:r w:rsidRPr="00155DCF">
        <w:t>nmHSPC_Jul</w:t>
      </w:r>
      <w:proofErr w:type="spellEnd"/>
      <w:r w:rsidRPr="00155DCF">
        <w:t xml:space="preserve"> 2024 PBAC Section 4.xlsx’.</w:t>
      </w:r>
    </w:p>
    <w:p w14:paraId="140E339D" w14:textId="0DA44895" w:rsidR="00E16BBF" w:rsidRDefault="00C02E47" w:rsidP="007017BA">
      <w:pPr>
        <w:pStyle w:val="TableFigureFooter"/>
        <w:keepNext/>
        <w:keepLines/>
      </w:pPr>
      <w:r>
        <w:t xml:space="preserve">HR-BCR=high risk biochemical recurrence, </w:t>
      </w:r>
      <w:r w:rsidR="00E16BBF" w:rsidRPr="00155DCF">
        <w:t>m</w:t>
      </w:r>
      <w:r>
        <w:t>0</w:t>
      </w:r>
      <w:r w:rsidR="00E16BBF" w:rsidRPr="00155DCF">
        <w:t>HSPC=</w:t>
      </w:r>
      <w:r>
        <w:t>non-</w:t>
      </w:r>
      <w:r w:rsidR="00E16BBF" w:rsidRPr="00155DCF">
        <w:t>metastatic hormone sensitive prostate cancer.</w:t>
      </w:r>
    </w:p>
    <w:p w14:paraId="7FDEC361" w14:textId="77777777" w:rsidR="00E16BBF" w:rsidRPr="00B02D33" w:rsidRDefault="00E16BBF" w:rsidP="007017BA">
      <w:pPr>
        <w:pStyle w:val="TableFigureFooter"/>
        <w:keepNext/>
        <w:keepLines/>
        <w:spacing w:after="0"/>
      </w:pPr>
      <w:r>
        <w:t>*</w:t>
      </w:r>
      <w:r>
        <w:tab/>
        <w:t>includes 500 grandfathered patients</w:t>
      </w:r>
    </w:p>
    <w:p w14:paraId="1FFA6D08" w14:textId="77777777" w:rsidR="00E16BBF" w:rsidRPr="00155DCF" w:rsidRDefault="00E16BBF" w:rsidP="007017BA">
      <w:pPr>
        <w:pStyle w:val="FooterTableFigure"/>
        <w:keepNext/>
        <w:keepLines/>
        <w:ind w:left="142" w:hanging="142"/>
      </w:pPr>
      <w:r w:rsidRPr="00155DCF">
        <w:t>a</w:t>
      </w:r>
      <w:r>
        <w:tab/>
      </w:r>
      <w:r w:rsidRPr="00155DCF">
        <w:t>Based on the number of patients initiating treatment each year × the proportion on treatment each year.</w:t>
      </w:r>
    </w:p>
    <w:p w14:paraId="65358B12" w14:textId="77777777" w:rsidR="00E16BBF" w:rsidRPr="00155DCF" w:rsidRDefault="00E16BBF" w:rsidP="007017BA">
      <w:pPr>
        <w:pStyle w:val="FooterTableFigure"/>
        <w:keepNext/>
        <w:keepLines/>
        <w:ind w:left="142" w:hanging="142"/>
      </w:pPr>
      <w:r w:rsidRPr="00155DCF">
        <w:t>b</w:t>
      </w:r>
      <w:r>
        <w:tab/>
      </w:r>
      <w:r w:rsidRPr="00155DCF">
        <w:t>Net of patient copayments.</w:t>
      </w:r>
    </w:p>
    <w:p w14:paraId="07BE79CC" w14:textId="77777777" w:rsidR="00990170" w:rsidRDefault="00E16BBF" w:rsidP="007017BA">
      <w:pPr>
        <w:pStyle w:val="FooterTableFigure"/>
        <w:keepNext/>
        <w:keepLines/>
        <w:ind w:left="142" w:hanging="142"/>
      </w:pPr>
      <w:r w:rsidRPr="00155DCF">
        <w:t>c</w:t>
      </w:r>
      <w:r>
        <w:tab/>
      </w:r>
      <w:r w:rsidRPr="00155DCF">
        <w:t>No authority</w:t>
      </w:r>
      <w:r w:rsidR="00990170" w:rsidRPr="00990170">
        <w:t xml:space="preserve"> </w:t>
      </w:r>
    </w:p>
    <w:p w14:paraId="17C9A1DB" w14:textId="50B34081" w:rsidR="00990170" w:rsidRPr="007017BA" w:rsidRDefault="00990170" w:rsidP="007017BA">
      <w:pPr>
        <w:pStyle w:val="FooterTableFigure"/>
        <w:keepNext/>
        <w:keepLines/>
        <w:ind w:left="142" w:hanging="142"/>
        <w:rPr>
          <w:i/>
          <w:iCs/>
        </w:rPr>
      </w:pPr>
      <w:r w:rsidRPr="007017BA">
        <w:rPr>
          <w:i/>
          <w:iCs/>
        </w:rPr>
        <w:t xml:space="preserve">The redacted values correspond to the following ranges: </w:t>
      </w:r>
    </w:p>
    <w:p w14:paraId="675B009F" w14:textId="77777777" w:rsidR="00382C3B" w:rsidRPr="007017BA" w:rsidRDefault="00990170" w:rsidP="007017BA">
      <w:pPr>
        <w:pStyle w:val="FooterTableFigure"/>
        <w:keepNext/>
        <w:keepLines/>
        <w:ind w:left="142" w:hanging="142"/>
        <w:rPr>
          <w:i/>
          <w:iCs/>
        </w:rPr>
      </w:pPr>
      <w:r w:rsidRPr="007017BA">
        <w:rPr>
          <w:i/>
          <w:iCs/>
        </w:rPr>
        <w:t>1 500 to &lt; 5,000</w:t>
      </w:r>
      <w:r w:rsidR="00382C3B" w:rsidRPr="007017BA">
        <w:rPr>
          <w:i/>
          <w:iCs/>
        </w:rPr>
        <w:t xml:space="preserve"> </w:t>
      </w:r>
    </w:p>
    <w:p w14:paraId="2D52FA2B" w14:textId="1063FFDA" w:rsidR="00990170" w:rsidRPr="007017BA" w:rsidRDefault="00382C3B" w:rsidP="007017BA">
      <w:pPr>
        <w:pStyle w:val="FooterTableFigure"/>
        <w:keepNext/>
        <w:keepLines/>
        <w:ind w:left="142" w:hanging="142"/>
        <w:rPr>
          <w:i/>
          <w:iCs/>
        </w:rPr>
      </w:pPr>
      <w:r w:rsidRPr="007017BA">
        <w:rPr>
          <w:i/>
          <w:iCs/>
        </w:rPr>
        <w:t>2 10,000 to &lt; 20,000</w:t>
      </w:r>
    </w:p>
    <w:p w14:paraId="717FB4E1" w14:textId="77777777" w:rsidR="00357AD9" w:rsidRPr="007017BA" w:rsidRDefault="00125E76" w:rsidP="007017BA">
      <w:pPr>
        <w:pStyle w:val="FooterTableFigure"/>
        <w:keepNext/>
        <w:keepLines/>
        <w:ind w:left="142" w:hanging="142"/>
        <w:rPr>
          <w:i/>
          <w:iCs/>
        </w:rPr>
      </w:pPr>
      <w:r w:rsidRPr="007017BA">
        <w:rPr>
          <w:i/>
          <w:iCs/>
        </w:rPr>
        <w:t>3</w:t>
      </w:r>
      <w:r w:rsidR="00990170" w:rsidRPr="007017BA">
        <w:rPr>
          <w:i/>
          <w:iCs/>
        </w:rPr>
        <w:t xml:space="preserve"> &lt; 500</w:t>
      </w:r>
      <w:r w:rsidR="00C65D36" w:rsidRPr="007017BA">
        <w:rPr>
          <w:i/>
          <w:iCs/>
        </w:rPr>
        <w:t xml:space="preserve"> </w:t>
      </w:r>
    </w:p>
    <w:p w14:paraId="5BE7B3DD" w14:textId="7B7C7ACB" w:rsidR="00357AD9" w:rsidRPr="007017BA" w:rsidRDefault="00357AD9" w:rsidP="007017BA">
      <w:pPr>
        <w:pStyle w:val="FooterTableFigure"/>
        <w:keepNext/>
        <w:keepLines/>
        <w:ind w:left="142" w:hanging="142"/>
        <w:rPr>
          <w:i/>
          <w:iCs/>
        </w:rPr>
      </w:pPr>
      <w:r w:rsidRPr="007017BA">
        <w:rPr>
          <w:i/>
          <w:iCs/>
        </w:rPr>
        <w:t>4 20,000 to &lt; 30,000</w:t>
      </w:r>
    </w:p>
    <w:p w14:paraId="7D411233" w14:textId="77777777" w:rsidR="00AE74C0" w:rsidRPr="007017BA" w:rsidRDefault="006477DD" w:rsidP="007017BA">
      <w:pPr>
        <w:pStyle w:val="FooterTableFigure"/>
        <w:keepNext/>
        <w:keepLines/>
        <w:ind w:left="142" w:hanging="142"/>
        <w:rPr>
          <w:i/>
          <w:iCs/>
        </w:rPr>
      </w:pPr>
      <w:r w:rsidRPr="007017BA">
        <w:rPr>
          <w:i/>
          <w:iCs/>
        </w:rPr>
        <w:t xml:space="preserve">5 </w:t>
      </w:r>
      <w:r w:rsidR="00357AD9" w:rsidRPr="007017BA">
        <w:rPr>
          <w:i/>
          <w:iCs/>
        </w:rPr>
        <w:t>30,000 to &lt; 40,000</w:t>
      </w:r>
      <w:r w:rsidR="00AE74C0" w:rsidRPr="007017BA">
        <w:rPr>
          <w:i/>
          <w:iCs/>
        </w:rPr>
        <w:t xml:space="preserve"> </w:t>
      </w:r>
    </w:p>
    <w:p w14:paraId="0A2D166D" w14:textId="77777777" w:rsidR="00CA6830" w:rsidRPr="007017BA" w:rsidRDefault="00AE74C0" w:rsidP="007017BA">
      <w:pPr>
        <w:pStyle w:val="FooterTableFigure"/>
        <w:keepNext/>
        <w:keepLines/>
        <w:ind w:left="142" w:hanging="142"/>
        <w:rPr>
          <w:i/>
          <w:iCs/>
        </w:rPr>
      </w:pPr>
      <w:r w:rsidRPr="007017BA">
        <w:rPr>
          <w:i/>
          <w:iCs/>
        </w:rPr>
        <w:t>6 50,000 to &lt; 60,000</w:t>
      </w:r>
      <w:r w:rsidR="00CA6830" w:rsidRPr="007017BA">
        <w:rPr>
          <w:i/>
          <w:iCs/>
        </w:rPr>
        <w:t xml:space="preserve"> </w:t>
      </w:r>
    </w:p>
    <w:p w14:paraId="1B9E2D93" w14:textId="77777777" w:rsidR="00DB3669" w:rsidRPr="007017BA" w:rsidRDefault="00CA6830" w:rsidP="007017BA">
      <w:pPr>
        <w:pStyle w:val="FooterTableFigure"/>
        <w:keepNext/>
        <w:keepLines/>
        <w:ind w:left="142" w:hanging="142"/>
        <w:rPr>
          <w:i/>
          <w:iCs/>
        </w:rPr>
      </w:pPr>
      <w:r w:rsidRPr="007017BA">
        <w:rPr>
          <w:i/>
          <w:iCs/>
        </w:rPr>
        <w:t>7 200,000 to &lt; 300,000</w:t>
      </w:r>
      <w:r w:rsidR="003A6BCE" w:rsidRPr="007017BA">
        <w:rPr>
          <w:i/>
          <w:iCs/>
        </w:rPr>
        <w:t xml:space="preserve"> </w:t>
      </w:r>
    </w:p>
    <w:p w14:paraId="04605462" w14:textId="77777777" w:rsidR="00B64A6F" w:rsidRPr="007017BA" w:rsidRDefault="00DB3669" w:rsidP="007017BA">
      <w:pPr>
        <w:pStyle w:val="FooterTableFigure"/>
        <w:keepNext/>
        <w:keepLines/>
        <w:ind w:left="142" w:hanging="142"/>
        <w:rPr>
          <w:i/>
          <w:iCs/>
        </w:rPr>
      </w:pPr>
      <w:r w:rsidRPr="007017BA">
        <w:rPr>
          <w:i/>
          <w:iCs/>
        </w:rPr>
        <w:t>8 $30 million to &lt; $40 million</w:t>
      </w:r>
      <w:r w:rsidR="00542C11" w:rsidRPr="007017BA">
        <w:rPr>
          <w:i/>
          <w:iCs/>
        </w:rPr>
        <w:t xml:space="preserve"> </w:t>
      </w:r>
    </w:p>
    <w:p w14:paraId="30BAA5F8" w14:textId="77777777" w:rsidR="00322334" w:rsidRPr="007017BA" w:rsidRDefault="00B64A6F" w:rsidP="007017BA">
      <w:pPr>
        <w:pStyle w:val="FooterTableFigure"/>
        <w:keepNext/>
        <w:keepLines/>
        <w:ind w:left="142" w:hanging="142"/>
        <w:rPr>
          <w:i/>
          <w:iCs/>
        </w:rPr>
      </w:pPr>
      <w:r w:rsidRPr="007017BA">
        <w:rPr>
          <w:i/>
          <w:iCs/>
        </w:rPr>
        <w:t>9 $40 million to &lt; $50 million</w:t>
      </w:r>
      <w:r w:rsidR="00DE58B7" w:rsidRPr="007017BA">
        <w:rPr>
          <w:i/>
          <w:iCs/>
        </w:rPr>
        <w:t xml:space="preserve"> </w:t>
      </w:r>
    </w:p>
    <w:p w14:paraId="03C6D969" w14:textId="55978448" w:rsidR="00DE58B7" w:rsidRPr="007017BA" w:rsidRDefault="00322334" w:rsidP="007017BA">
      <w:pPr>
        <w:pStyle w:val="FooterTableFigure"/>
        <w:keepNext/>
        <w:keepLines/>
        <w:ind w:left="142" w:hanging="142"/>
        <w:rPr>
          <w:i/>
          <w:iCs/>
        </w:rPr>
      </w:pPr>
      <w:r w:rsidRPr="007017BA">
        <w:rPr>
          <w:i/>
          <w:iCs/>
        </w:rPr>
        <w:t>10 $60 million to &lt; $70 million</w:t>
      </w:r>
    </w:p>
    <w:p w14:paraId="088F0F7F" w14:textId="77777777" w:rsidR="00E32E69" w:rsidRPr="007017BA" w:rsidRDefault="00DE58B7" w:rsidP="007017BA">
      <w:pPr>
        <w:pStyle w:val="FooterTableFigure"/>
        <w:keepNext/>
        <w:keepLines/>
        <w:ind w:left="142" w:hanging="142"/>
        <w:rPr>
          <w:i/>
          <w:iCs/>
        </w:rPr>
      </w:pPr>
      <w:r w:rsidRPr="007017BA">
        <w:rPr>
          <w:i/>
          <w:iCs/>
        </w:rPr>
        <w:t>11 $200 million to &lt; $300 million</w:t>
      </w:r>
      <w:r w:rsidR="00E32E69" w:rsidRPr="007017BA">
        <w:rPr>
          <w:i/>
          <w:iCs/>
        </w:rPr>
        <w:t xml:space="preserve"> </w:t>
      </w:r>
    </w:p>
    <w:p w14:paraId="5DA0D3D8" w14:textId="11E490AE" w:rsidR="003A6BCE" w:rsidRPr="007017BA" w:rsidRDefault="00E32E69" w:rsidP="007017BA">
      <w:pPr>
        <w:pStyle w:val="FooterTableFigure"/>
        <w:keepNext/>
        <w:keepLines/>
        <w:ind w:left="142" w:hanging="142"/>
        <w:rPr>
          <w:i/>
          <w:iCs/>
        </w:rPr>
      </w:pPr>
      <w:r w:rsidRPr="007017BA">
        <w:rPr>
          <w:i/>
          <w:iCs/>
        </w:rPr>
        <w:t>12 net cost saving</w:t>
      </w:r>
    </w:p>
    <w:p w14:paraId="41E850D4" w14:textId="557FD2EB" w:rsidR="00A41C94" w:rsidRPr="007017BA" w:rsidRDefault="009033C0" w:rsidP="007017BA">
      <w:pPr>
        <w:pStyle w:val="FooterTableFigure"/>
        <w:keepNext/>
        <w:keepLines/>
        <w:ind w:left="142" w:hanging="142"/>
        <w:rPr>
          <w:i/>
          <w:iCs/>
        </w:rPr>
      </w:pPr>
      <w:r w:rsidRPr="007017BA">
        <w:rPr>
          <w:i/>
          <w:iCs/>
        </w:rPr>
        <w:t>13</w:t>
      </w:r>
      <w:r w:rsidR="003A6BCE" w:rsidRPr="007017BA">
        <w:rPr>
          <w:i/>
          <w:iCs/>
        </w:rPr>
        <w:t xml:space="preserve"> 5,000 to &lt; 10,000</w:t>
      </w:r>
      <w:r w:rsidR="00A41C94" w:rsidRPr="007017BA">
        <w:rPr>
          <w:i/>
          <w:iCs/>
        </w:rPr>
        <w:t xml:space="preserve"> </w:t>
      </w:r>
    </w:p>
    <w:p w14:paraId="2564566D" w14:textId="60157D55" w:rsidR="00192F4E" w:rsidRPr="007017BA" w:rsidRDefault="009033C0" w:rsidP="007017BA">
      <w:pPr>
        <w:pStyle w:val="FooterTableFigure"/>
        <w:keepNext/>
        <w:keepLines/>
        <w:ind w:left="142" w:hanging="142"/>
        <w:rPr>
          <w:i/>
          <w:iCs/>
        </w:rPr>
      </w:pPr>
      <w:r w:rsidRPr="007017BA">
        <w:rPr>
          <w:i/>
          <w:iCs/>
        </w:rPr>
        <w:t>14</w:t>
      </w:r>
      <w:r w:rsidR="00A41C94" w:rsidRPr="007017BA">
        <w:rPr>
          <w:i/>
          <w:iCs/>
        </w:rPr>
        <w:t xml:space="preserve"> 40,000 to &lt; 50,000</w:t>
      </w:r>
      <w:r w:rsidR="00E8579C" w:rsidRPr="007017BA">
        <w:rPr>
          <w:i/>
          <w:iCs/>
        </w:rPr>
        <w:t xml:space="preserve"> </w:t>
      </w:r>
    </w:p>
    <w:p w14:paraId="652DB91A" w14:textId="77777777" w:rsidR="00075A49" w:rsidRPr="007017BA" w:rsidRDefault="009033C0" w:rsidP="007017BA">
      <w:pPr>
        <w:pStyle w:val="FooterTableFigure"/>
        <w:keepNext/>
        <w:keepLines/>
        <w:ind w:left="142" w:hanging="142"/>
        <w:rPr>
          <w:i/>
          <w:iCs/>
        </w:rPr>
      </w:pPr>
      <w:r w:rsidRPr="007017BA">
        <w:rPr>
          <w:i/>
          <w:iCs/>
        </w:rPr>
        <w:t>15</w:t>
      </w:r>
      <w:r w:rsidR="00E8579C" w:rsidRPr="007017BA">
        <w:rPr>
          <w:i/>
          <w:iCs/>
        </w:rPr>
        <w:t xml:space="preserve"> 60,000 to &lt; 70,000</w:t>
      </w:r>
      <w:r w:rsidR="00075A49" w:rsidRPr="007017BA">
        <w:rPr>
          <w:i/>
          <w:iCs/>
        </w:rPr>
        <w:t xml:space="preserve"> </w:t>
      </w:r>
    </w:p>
    <w:p w14:paraId="63541285" w14:textId="41D3609A" w:rsidR="00990170" w:rsidRPr="007017BA" w:rsidRDefault="00075A49" w:rsidP="00357AD9">
      <w:pPr>
        <w:pStyle w:val="FooterTableFigure"/>
        <w:ind w:left="142" w:hanging="142"/>
        <w:rPr>
          <w:i/>
          <w:iCs/>
        </w:rPr>
      </w:pPr>
      <w:r w:rsidRPr="007017BA">
        <w:rPr>
          <w:i/>
          <w:iCs/>
        </w:rPr>
        <w:t>16 $0 to &lt; $10 million</w:t>
      </w:r>
    </w:p>
    <w:p w14:paraId="72E771C3" w14:textId="63D0E4A5" w:rsidR="00E16BBF" w:rsidRPr="00E16BBF" w:rsidRDefault="00E16BBF" w:rsidP="00E16BBF">
      <w:pPr>
        <w:pStyle w:val="3-BodyText"/>
        <w:numPr>
          <w:ilvl w:val="1"/>
          <w:numId w:val="1"/>
        </w:numPr>
      </w:pPr>
      <w:r w:rsidRPr="00E16BBF">
        <w:lastRenderedPageBreak/>
        <w:t xml:space="preserve">The total cost to the PBS/RPBS of listing enzalutamide was estimated to be </w:t>
      </w:r>
      <w:r w:rsidR="004F1C00" w:rsidRPr="004F1C00">
        <w:t>$30</w:t>
      </w:r>
      <w:r w:rsidR="007017BA">
        <w:t> </w:t>
      </w:r>
      <w:r w:rsidR="004F1C00" w:rsidRPr="004F1C00">
        <w:t>million</w:t>
      </w:r>
      <w:r w:rsidR="007017BA">
        <w:t> </w:t>
      </w:r>
      <w:r w:rsidR="004F1C00" w:rsidRPr="004F1C00">
        <w:t>to &lt; $40 million</w:t>
      </w:r>
      <w:r w:rsidR="007017BA">
        <w:t xml:space="preserve"> </w:t>
      </w:r>
      <w:r w:rsidRPr="00E16BBF">
        <w:t xml:space="preserve">in Year 6, and a total of </w:t>
      </w:r>
      <w:r w:rsidR="0034110C" w:rsidRPr="0034110C">
        <w:t>$200 million to &lt; $300 million</w:t>
      </w:r>
      <w:r w:rsidR="007017BA">
        <w:t xml:space="preserve"> </w:t>
      </w:r>
      <w:r w:rsidRPr="00E16BBF">
        <w:t xml:space="preserve">in the first 6 years of listing. The </w:t>
      </w:r>
      <w:r w:rsidR="00DF24EF">
        <w:t xml:space="preserve">DUSC considered that the </w:t>
      </w:r>
      <w:r w:rsidRPr="00E16BBF">
        <w:t xml:space="preserve">financial estimates were likely to be </w:t>
      </w:r>
      <w:r w:rsidRPr="00740830">
        <w:t>underestimated</w:t>
      </w:r>
      <w:r w:rsidRPr="00E16BBF">
        <w:t>:</w:t>
      </w:r>
    </w:p>
    <w:p w14:paraId="34042826" w14:textId="7A6AD1F7" w:rsidR="00E16BBF" w:rsidRPr="00E16BBF" w:rsidRDefault="00E16BBF" w:rsidP="00E16BBF">
      <w:pPr>
        <w:pStyle w:val="3-BodyText"/>
        <w:numPr>
          <w:ilvl w:val="0"/>
          <w:numId w:val="8"/>
        </w:numPr>
        <w:ind w:left="993" w:hanging="284"/>
      </w:pPr>
      <w:r w:rsidRPr="00E16BBF">
        <w:t>The population was likely underestimated in Year 1. Australian cancer statistics demonstrate that 99,845 patients diagnosed with prostate cancer between 2016 and 2020 were still alive in 2020, which, combined with the high annual patient numbers for ADT use indicated that there is likely a pool of prevalent patients in Year 1 who would be eligible for enzalutamide.</w:t>
      </w:r>
      <w:r w:rsidR="00DF24EF">
        <w:t xml:space="preserve"> Further, the DUSC noted that a lack of specificity in the restriction meant a large population of patients are potentially eligible for treatment, there was uncertainty regarding the impact of the PSA doubling criteria on patients with high baseline PSA levels and there was uncertainty regarding the proportion of patient with BCR and the timing of BCR. The pre-PBAC response stated that a prevalence approach would substantially overestimate the patient population and over complicate utilisation. </w:t>
      </w:r>
    </w:p>
    <w:p w14:paraId="1E84F945" w14:textId="63D17FCA" w:rsidR="00E16BBF" w:rsidRPr="00E16BBF" w:rsidRDefault="00E16BBF" w:rsidP="00E16BBF">
      <w:pPr>
        <w:pStyle w:val="3-BodyText"/>
        <w:numPr>
          <w:ilvl w:val="0"/>
          <w:numId w:val="8"/>
        </w:numPr>
        <w:ind w:left="993" w:hanging="284"/>
      </w:pPr>
      <w:r w:rsidRPr="00E16BBF">
        <w:t>Time on treatment was underestimated and inconsistent with the economic analysis. Mean treatment duration from EMBARK included patients who have not yet discontinued treatment, and therefore was significantly shorter than time on treatment estimated in the economic analysis. Further, the implementation of the treatment suspension appeared incorrect. It would be more appropriate to use either AUC from the model, or given the uncertainty of implementing the treatment suspension in practice, assume mean treatment duration from the model (&gt;6 years) and ignore the timing of the treatment suspension (i.e., 100% of patients receive treatment every year).</w:t>
      </w:r>
      <w:r w:rsidR="00DF24EF">
        <w:t xml:space="preserve"> The pre-PBAC response agreed that the best approach is to use the mean time on treatment as per the economic model.</w:t>
      </w:r>
    </w:p>
    <w:p w14:paraId="6E5BA022" w14:textId="77777777" w:rsidR="00E16BBF" w:rsidRPr="00E16BBF" w:rsidRDefault="00E16BBF" w:rsidP="00E16BBF">
      <w:pPr>
        <w:pStyle w:val="3-BodyText"/>
        <w:numPr>
          <w:ilvl w:val="0"/>
          <w:numId w:val="8"/>
        </w:numPr>
        <w:ind w:left="993" w:hanging="284"/>
      </w:pPr>
      <w:r w:rsidRPr="00E16BBF">
        <w:t>Cost offsets were likely overestimated. 100% of patients were assumed to be avoiding subsequent NHA use, while PBS 10% sample numbers used in the economic analysis suggest only 33.5% of patients in mHSPC and m0CRPC currently receive a NHA. While this will likely increase as NHAs have only been listed in mHSPC since 2023, not all patients will be eligible for NHAs in mHSPC and m0CRPC. Furthermore, mean time in m0HSPC in the ADT alone arm of the economic analysis (i.e., the standard of care arm) was 6.2 years (undiscounted), suggesting that patients would not be eligible for downstream treatments for the lifetime of the financial analysis. It may be more appropriate to exclude downstream treatments from the financial estimates.</w:t>
      </w:r>
    </w:p>
    <w:p w14:paraId="4C1B30E9" w14:textId="77777777" w:rsidR="00E16BBF" w:rsidRPr="00E16BBF" w:rsidRDefault="00E16BBF" w:rsidP="00E16BBF">
      <w:pPr>
        <w:pStyle w:val="3-BodyText"/>
        <w:numPr>
          <w:ilvl w:val="0"/>
          <w:numId w:val="8"/>
        </w:numPr>
        <w:ind w:left="993" w:hanging="284"/>
      </w:pPr>
      <w:r w:rsidRPr="00E16BBF">
        <w:t>The financial estimates did not include changes in MBS costs, e.g., docetaxel did not accrue an administration cost.</w:t>
      </w:r>
    </w:p>
    <w:p w14:paraId="4AB99235" w14:textId="690BCE49" w:rsidR="00DF24EF" w:rsidRPr="00E16BBF" w:rsidRDefault="00E16BBF" w:rsidP="008476AA">
      <w:pPr>
        <w:pStyle w:val="3-BodyText"/>
        <w:numPr>
          <w:ilvl w:val="1"/>
          <w:numId w:val="1"/>
        </w:numPr>
      </w:pPr>
      <w:r w:rsidRPr="00E16BBF">
        <w:t xml:space="preserve">The financial estimates appeared sensitive to all inputs presented in the submission; and to additional sensitivity analyses conducted during the evaluation. The analyses conducted during the evaluation are presented in </w:t>
      </w:r>
      <w:fldSimple w:instr="REF _Ref177057126  \* MERGEFORMAT" w:fldLock="1">
        <w:r w:rsidRPr="00E16BBF">
          <w:t xml:space="preserve">Table </w:t>
        </w:r>
        <w:r w:rsidRPr="00E16BBF">
          <w:rPr>
            <w:noProof/>
          </w:rPr>
          <w:t>17</w:t>
        </w:r>
      </w:fldSimple>
      <w:r w:rsidRPr="00E16BBF">
        <w:t xml:space="preserve"> and included: time on treatment equal to mean time on treatment from the economic analysis, ignoring </w:t>
      </w:r>
      <w:r w:rsidRPr="00E16BBF">
        <w:lastRenderedPageBreak/>
        <w:t>treatment suspension (6.17 years, i.e. 100% patients on treatment Years 1-6 compared to base case proportion of annual cohort Year 1: 71%, Year 2: 0%, Year 3: 0%, Year 4: 29%, Year 5: 37%,Year 6: 0%); reducing the percentage of m0HSPC who have received prostatectomy or radiotherapy (73% as per PCOR-ANZ 2023</w:t>
      </w:r>
      <w:r w:rsidRPr="00E16BBF">
        <w:rPr>
          <w:rStyle w:val="FootnoteReference"/>
        </w:rPr>
        <w:footnoteReference w:id="22"/>
      </w:r>
      <w:r w:rsidRPr="00E16BBF">
        <w:t>, base case 100%); percentage of patients developing biochemical recurrence (21% as per South Australian Prostate Cancer Clinical Outcomes Collaborative Database, base case 33%); and no subsequent treatments.</w:t>
      </w:r>
      <w:r w:rsidR="008476AA">
        <w:t xml:space="preserve"> </w:t>
      </w:r>
    </w:p>
    <w:p w14:paraId="37DB7964" w14:textId="1304D22F" w:rsidR="00E16BBF" w:rsidRPr="005E1708" w:rsidRDefault="00E16BBF" w:rsidP="00E16BBF">
      <w:pPr>
        <w:pStyle w:val="TableFigureHeading"/>
        <w:keepLines/>
      </w:pPr>
      <w:bookmarkStart w:id="65" w:name="_Ref177057126"/>
      <w:r w:rsidRPr="0098262F">
        <w:t xml:space="preserve">Table </w:t>
      </w:r>
      <w:r>
        <w:fldChar w:fldCharType="begin" w:fldLock="1"/>
      </w:r>
      <w:r>
        <w:instrText xml:space="preserve"> SEQ Table \* ARABIC </w:instrText>
      </w:r>
      <w:r>
        <w:fldChar w:fldCharType="separate"/>
      </w:r>
      <w:r w:rsidR="00DF24EF">
        <w:rPr>
          <w:noProof/>
        </w:rPr>
        <w:t>17</w:t>
      </w:r>
      <w:r>
        <w:rPr>
          <w:noProof/>
        </w:rPr>
        <w:fldChar w:fldCharType="end"/>
      </w:r>
      <w:bookmarkEnd w:id="65"/>
      <w:r w:rsidRPr="0098262F">
        <w:t>:</w:t>
      </w:r>
      <w:r w:rsidRPr="0098262F">
        <w:rPr>
          <w:rStyle w:val="CommentReference"/>
          <w:b/>
          <w:szCs w:val="24"/>
        </w:rPr>
        <w:t xml:space="preserve"> </w:t>
      </w:r>
      <w:r w:rsidRPr="005E1708">
        <w:t xml:space="preserve">Net financial implications to </w:t>
      </w:r>
      <w:r>
        <w:t>PBS/RPBS</w:t>
      </w:r>
      <w:r w:rsidRPr="005E1708">
        <w:t xml:space="preserve">: sensitivity analyses </w:t>
      </w:r>
    </w:p>
    <w:tbl>
      <w:tblPr>
        <w:tblStyle w:val="TableGrid"/>
        <w:tblW w:w="5000" w:type="pct"/>
        <w:tblCellMar>
          <w:left w:w="28" w:type="dxa"/>
          <w:right w:w="28" w:type="dxa"/>
        </w:tblCellMar>
        <w:tblLook w:val="04A0" w:firstRow="1" w:lastRow="0" w:firstColumn="1" w:lastColumn="0" w:noHBand="0" w:noVBand="1"/>
        <w:tblCaption w:val="Table 17: Net financial implications to PBS/RPBS: sensitivity analyses "/>
      </w:tblPr>
      <w:tblGrid>
        <w:gridCol w:w="1116"/>
        <w:gridCol w:w="969"/>
        <w:gridCol w:w="968"/>
        <w:gridCol w:w="1060"/>
        <w:gridCol w:w="1060"/>
        <w:gridCol w:w="1060"/>
        <w:gridCol w:w="1060"/>
        <w:gridCol w:w="1060"/>
        <w:gridCol w:w="664"/>
      </w:tblGrid>
      <w:tr w:rsidR="00E16BBF" w:rsidRPr="00E16BBF" w14:paraId="6B69F460" w14:textId="77777777">
        <w:trPr>
          <w:tblHeader/>
        </w:trPr>
        <w:tc>
          <w:tcPr>
            <w:tcW w:w="618" w:type="pct"/>
            <w:tcBorders>
              <w:left w:val="single" w:sz="4" w:space="0" w:color="auto"/>
              <w:right w:val="single" w:sz="4" w:space="0" w:color="auto"/>
            </w:tcBorders>
            <w:vAlign w:val="center"/>
          </w:tcPr>
          <w:p w14:paraId="79CCBB94" w14:textId="5CDA65E2" w:rsidR="00E16BBF" w:rsidRPr="00E16BBF" w:rsidRDefault="00E16BBF">
            <w:pPr>
              <w:pStyle w:val="In-tableHeading"/>
            </w:pP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3E451D31" w14:textId="77777777" w:rsidR="00E16BBF" w:rsidRPr="00E16BBF" w:rsidRDefault="00E16BBF">
            <w:pPr>
              <w:pStyle w:val="In-tableHeading"/>
              <w:jc w:val="center"/>
            </w:pPr>
            <w:r w:rsidRPr="00E16BBF">
              <w:t>Year 1</w:t>
            </w:r>
          </w:p>
        </w:tc>
        <w:tc>
          <w:tcPr>
            <w:tcW w:w="537" w:type="pct"/>
            <w:tcBorders>
              <w:top w:val="single" w:sz="4" w:space="0" w:color="auto"/>
              <w:left w:val="nil"/>
              <w:bottom w:val="single" w:sz="4" w:space="0" w:color="auto"/>
              <w:right w:val="single" w:sz="4" w:space="0" w:color="auto"/>
            </w:tcBorders>
            <w:shd w:val="clear" w:color="auto" w:fill="auto"/>
            <w:vAlign w:val="center"/>
          </w:tcPr>
          <w:p w14:paraId="7C7DC786" w14:textId="77777777" w:rsidR="00E16BBF" w:rsidRPr="00E16BBF" w:rsidRDefault="00E16BBF">
            <w:pPr>
              <w:pStyle w:val="In-tableHeading"/>
              <w:jc w:val="center"/>
            </w:pPr>
            <w:r w:rsidRPr="00E16BBF">
              <w:t>Year 2</w:t>
            </w:r>
          </w:p>
        </w:tc>
        <w:tc>
          <w:tcPr>
            <w:tcW w:w="588" w:type="pct"/>
            <w:tcBorders>
              <w:top w:val="single" w:sz="4" w:space="0" w:color="auto"/>
              <w:left w:val="nil"/>
              <w:bottom w:val="single" w:sz="4" w:space="0" w:color="auto"/>
              <w:right w:val="single" w:sz="4" w:space="0" w:color="auto"/>
            </w:tcBorders>
            <w:shd w:val="clear" w:color="auto" w:fill="auto"/>
            <w:vAlign w:val="center"/>
          </w:tcPr>
          <w:p w14:paraId="005C6103" w14:textId="77777777" w:rsidR="00E16BBF" w:rsidRPr="00E16BBF" w:rsidRDefault="00E16BBF">
            <w:pPr>
              <w:pStyle w:val="In-tableHeading"/>
              <w:jc w:val="center"/>
            </w:pPr>
            <w:r w:rsidRPr="00E16BBF">
              <w:t>Year 3</w:t>
            </w:r>
          </w:p>
        </w:tc>
        <w:tc>
          <w:tcPr>
            <w:tcW w:w="588" w:type="pct"/>
            <w:tcBorders>
              <w:top w:val="single" w:sz="4" w:space="0" w:color="auto"/>
              <w:left w:val="nil"/>
              <w:bottom w:val="single" w:sz="4" w:space="0" w:color="auto"/>
              <w:right w:val="single" w:sz="4" w:space="0" w:color="auto"/>
            </w:tcBorders>
            <w:shd w:val="clear" w:color="auto" w:fill="auto"/>
            <w:vAlign w:val="center"/>
          </w:tcPr>
          <w:p w14:paraId="730250FB" w14:textId="77777777" w:rsidR="00E16BBF" w:rsidRPr="00E16BBF" w:rsidRDefault="00E16BBF">
            <w:pPr>
              <w:pStyle w:val="In-tableHeading"/>
              <w:jc w:val="center"/>
            </w:pPr>
            <w:r w:rsidRPr="00E16BBF">
              <w:t>Year 4</w:t>
            </w:r>
          </w:p>
        </w:tc>
        <w:tc>
          <w:tcPr>
            <w:tcW w:w="588" w:type="pct"/>
            <w:tcBorders>
              <w:top w:val="single" w:sz="4" w:space="0" w:color="auto"/>
              <w:left w:val="nil"/>
              <w:bottom w:val="single" w:sz="4" w:space="0" w:color="auto"/>
              <w:right w:val="single" w:sz="4" w:space="0" w:color="auto"/>
            </w:tcBorders>
            <w:shd w:val="clear" w:color="auto" w:fill="auto"/>
            <w:vAlign w:val="center"/>
          </w:tcPr>
          <w:p w14:paraId="3AE9A36C" w14:textId="77777777" w:rsidR="00E16BBF" w:rsidRPr="00E16BBF" w:rsidRDefault="00E16BBF">
            <w:pPr>
              <w:pStyle w:val="In-tableHeading"/>
              <w:jc w:val="center"/>
            </w:pPr>
            <w:r w:rsidRPr="00E16BBF">
              <w:t>Year 5</w:t>
            </w:r>
          </w:p>
        </w:tc>
        <w:tc>
          <w:tcPr>
            <w:tcW w:w="588" w:type="pct"/>
            <w:tcBorders>
              <w:top w:val="single" w:sz="4" w:space="0" w:color="auto"/>
              <w:left w:val="nil"/>
              <w:bottom w:val="single" w:sz="4" w:space="0" w:color="auto"/>
              <w:right w:val="single" w:sz="4" w:space="0" w:color="auto"/>
            </w:tcBorders>
            <w:shd w:val="clear" w:color="auto" w:fill="auto"/>
            <w:vAlign w:val="center"/>
          </w:tcPr>
          <w:p w14:paraId="302F4039" w14:textId="77777777" w:rsidR="00E16BBF" w:rsidRPr="00E16BBF" w:rsidRDefault="00E16BBF">
            <w:pPr>
              <w:pStyle w:val="In-tableHeading"/>
              <w:jc w:val="center"/>
            </w:pPr>
            <w:r w:rsidRPr="00E16BBF">
              <w:t>Year 6</w:t>
            </w:r>
          </w:p>
        </w:tc>
        <w:tc>
          <w:tcPr>
            <w:tcW w:w="588" w:type="pct"/>
            <w:tcBorders>
              <w:top w:val="single" w:sz="4" w:space="0" w:color="auto"/>
              <w:left w:val="nil"/>
              <w:bottom w:val="single" w:sz="4" w:space="0" w:color="auto"/>
              <w:right w:val="single" w:sz="4" w:space="0" w:color="auto"/>
            </w:tcBorders>
            <w:vAlign w:val="center"/>
          </w:tcPr>
          <w:p w14:paraId="1FBFAA51" w14:textId="77777777" w:rsidR="00E16BBF" w:rsidRPr="00E16BBF" w:rsidRDefault="00E16BBF">
            <w:pPr>
              <w:pStyle w:val="In-tableHeading"/>
              <w:jc w:val="center"/>
            </w:pPr>
            <w:r w:rsidRPr="00E16BBF">
              <w:t>Total</w:t>
            </w:r>
          </w:p>
        </w:tc>
        <w:tc>
          <w:tcPr>
            <w:tcW w:w="368" w:type="pct"/>
            <w:tcBorders>
              <w:top w:val="single" w:sz="4" w:space="0" w:color="auto"/>
              <w:left w:val="nil"/>
              <w:bottom w:val="single" w:sz="4" w:space="0" w:color="auto"/>
              <w:right w:val="single" w:sz="4" w:space="0" w:color="auto"/>
            </w:tcBorders>
            <w:vAlign w:val="center"/>
          </w:tcPr>
          <w:p w14:paraId="16F5B693" w14:textId="77777777" w:rsidR="00E16BBF" w:rsidRPr="00E16BBF" w:rsidRDefault="00E16BBF">
            <w:pPr>
              <w:pStyle w:val="In-tableHeading"/>
              <w:jc w:val="center"/>
            </w:pPr>
            <w:r w:rsidRPr="00E16BBF">
              <w:t>% change</w:t>
            </w:r>
          </w:p>
        </w:tc>
      </w:tr>
      <w:tr w:rsidR="00E16BBF" w:rsidRPr="00E16BBF" w14:paraId="58BDFFE9" w14:textId="77777777">
        <w:tc>
          <w:tcPr>
            <w:tcW w:w="618" w:type="pct"/>
            <w:tcBorders>
              <w:left w:val="single" w:sz="4" w:space="0" w:color="auto"/>
              <w:right w:val="single" w:sz="4" w:space="0" w:color="auto"/>
            </w:tcBorders>
            <w:shd w:val="clear" w:color="auto" w:fill="auto"/>
            <w:vAlign w:val="center"/>
          </w:tcPr>
          <w:p w14:paraId="5AD0F1F2" w14:textId="77777777" w:rsidR="00E16BBF" w:rsidRPr="00E16BBF" w:rsidRDefault="00E16BBF">
            <w:pPr>
              <w:pStyle w:val="TableText0"/>
              <w:rPr>
                <w:szCs w:val="20"/>
              </w:rPr>
            </w:pPr>
            <w:r w:rsidRPr="00E16BBF">
              <w:rPr>
                <w:szCs w:val="20"/>
              </w:rPr>
              <w:t>Base case</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1CDEC07C" w14:textId="155CAE56" w:rsidR="00E16BBF" w:rsidRPr="00A43D84" w:rsidRDefault="00E639BD">
            <w:pPr>
              <w:pStyle w:val="TableText0"/>
              <w:jc w:val="center"/>
              <w:rPr>
                <w:sz w:val="18"/>
                <w:szCs w:val="18"/>
                <w:highlight w:val="darkGray"/>
                <w:vertAlign w:val="superscript"/>
              </w:rPr>
            </w:pPr>
            <w:r w:rsidRPr="00E639BD">
              <w:rPr>
                <w:rFonts w:hint="eastAsia"/>
                <w:color w:val="000000"/>
                <w:w w:val="27"/>
                <w:shd w:val="solid" w:color="000000" w:fill="000000"/>
                <w:fitText w:val="120" w:id="-761098747"/>
                <w14:textFill>
                  <w14:solidFill>
                    <w14:srgbClr w14:val="000000">
                      <w14:alpha w14:val="100000"/>
                    </w14:srgbClr>
                  </w14:solidFill>
                </w14:textFill>
              </w:rPr>
              <w:t xml:space="preserve">　</w:t>
            </w:r>
            <w:r w:rsidRPr="00E639BD">
              <w:rPr>
                <w:color w:val="000000"/>
                <w:w w:val="27"/>
                <w:shd w:val="solid" w:color="000000" w:fill="000000"/>
                <w:fitText w:val="120" w:id="-761098747"/>
                <w14:textFill>
                  <w14:solidFill>
                    <w14:srgbClr w14:val="000000">
                      <w14:alpha w14:val="100000"/>
                    </w14:srgbClr>
                  </w14:solidFill>
                </w14:textFill>
              </w:rPr>
              <w:t>|</w:t>
            </w:r>
            <w:r w:rsidRPr="00E639BD">
              <w:rPr>
                <w:rFonts w:hint="eastAsia"/>
                <w:color w:val="000000"/>
                <w:spacing w:val="2"/>
                <w:w w:val="27"/>
                <w:shd w:val="solid" w:color="000000" w:fill="000000"/>
                <w:fitText w:val="120" w:id="-761098747"/>
                <w14:textFill>
                  <w14:solidFill>
                    <w14:srgbClr w14:val="000000">
                      <w14:alpha w14:val="100000"/>
                    </w14:srgbClr>
                  </w14:solidFill>
                </w14:textFill>
              </w:rPr>
              <w:t xml:space="preserve">　</w:t>
            </w:r>
            <w:r w:rsidR="00A43D84" w:rsidRPr="00A43D84">
              <w:rPr>
                <w:vertAlign w:val="superscript"/>
              </w:rPr>
              <w:t>1</w:t>
            </w:r>
          </w:p>
        </w:tc>
        <w:tc>
          <w:tcPr>
            <w:tcW w:w="537" w:type="pct"/>
            <w:tcBorders>
              <w:top w:val="single" w:sz="4" w:space="0" w:color="auto"/>
              <w:left w:val="nil"/>
              <w:bottom w:val="single" w:sz="4" w:space="0" w:color="auto"/>
              <w:right w:val="single" w:sz="4" w:space="0" w:color="auto"/>
            </w:tcBorders>
            <w:shd w:val="clear" w:color="auto" w:fill="auto"/>
            <w:vAlign w:val="center"/>
          </w:tcPr>
          <w:p w14:paraId="288B1A48" w14:textId="1A864B32" w:rsidR="00E16BBF" w:rsidRPr="00AA6730" w:rsidRDefault="00E639BD">
            <w:pPr>
              <w:pStyle w:val="TableText0"/>
              <w:jc w:val="center"/>
              <w:rPr>
                <w:sz w:val="18"/>
                <w:szCs w:val="18"/>
                <w:highlight w:val="darkGray"/>
              </w:rPr>
            </w:pPr>
            <w:r w:rsidRPr="00E639BD">
              <w:rPr>
                <w:rFonts w:hint="eastAsia"/>
                <w:color w:val="000000"/>
                <w:w w:val="27"/>
                <w:shd w:val="solid" w:color="000000" w:fill="000000"/>
                <w:fitText w:val="120" w:id="-761098746"/>
                <w14:textFill>
                  <w14:solidFill>
                    <w14:srgbClr w14:val="000000">
                      <w14:alpha w14:val="100000"/>
                    </w14:srgbClr>
                  </w14:solidFill>
                </w14:textFill>
              </w:rPr>
              <w:t xml:space="preserve">　</w:t>
            </w:r>
            <w:r w:rsidRPr="00E639BD">
              <w:rPr>
                <w:color w:val="000000"/>
                <w:w w:val="27"/>
                <w:shd w:val="solid" w:color="000000" w:fill="000000"/>
                <w:fitText w:val="120" w:id="-761098746"/>
                <w14:textFill>
                  <w14:solidFill>
                    <w14:srgbClr w14:val="000000">
                      <w14:alpha w14:val="100000"/>
                    </w14:srgbClr>
                  </w14:solidFill>
                </w14:textFill>
              </w:rPr>
              <w:t>|</w:t>
            </w:r>
            <w:r w:rsidRPr="00E639BD">
              <w:rPr>
                <w:rFonts w:hint="eastAsia"/>
                <w:color w:val="000000"/>
                <w:spacing w:val="2"/>
                <w:w w:val="27"/>
                <w:shd w:val="solid" w:color="000000" w:fill="000000"/>
                <w:fitText w:val="120" w:id="-761098746"/>
                <w14:textFill>
                  <w14:solidFill>
                    <w14:srgbClr w14:val="000000">
                      <w14:alpha w14:val="100000"/>
                    </w14:srgbClr>
                  </w14:solidFill>
                </w14:textFill>
              </w:rPr>
              <w:t xml:space="preserve">　</w:t>
            </w:r>
            <w:r w:rsidR="00A43D84" w:rsidRPr="00A43D84">
              <w:rPr>
                <w:vertAlign w:val="superscript"/>
              </w:rPr>
              <w:t>1</w:t>
            </w:r>
          </w:p>
        </w:tc>
        <w:tc>
          <w:tcPr>
            <w:tcW w:w="588" w:type="pct"/>
            <w:tcBorders>
              <w:top w:val="single" w:sz="4" w:space="0" w:color="auto"/>
              <w:left w:val="nil"/>
              <w:bottom w:val="single" w:sz="4" w:space="0" w:color="auto"/>
              <w:right w:val="single" w:sz="4" w:space="0" w:color="auto"/>
            </w:tcBorders>
            <w:shd w:val="clear" w:color="auto" w:fill="auto"/>
            <w:vAlign w:val="center"/>
          </w:tcPr>
          <w:p w14:paraId="7B7C0FB3" w14:textId="54344DA1" w:rsidR="00E16BBF" w:rsidRPr="00AA6730" w:rsidRDefault="00E639BD">
            <w:pPr>
              <w:pStyle w:val="TableText0"/>
              <w:jc w:val="center"/>
              <w:rPr>
                <w:sz w:val="18"/>
                <w:szCs w:val="18"/>
                <w:highlight w:val="darkGray"/>
              </w:rPr>
            </w:pPr>
            <w:r w:rsidRPr="00E639BD">
              <w:rPr>
                <w:rFonts w:hint="eastAsia"/>
                <w:color w:val="000000"/>
                <w:w w:val="18"/>
                <w:shd w:val="solid" w:color="000000" w:fill="000000"/>
                <w:fitText w:val="80" w:id="-761098745"/>
                <w14:textFill>
                  <w14:solidFill>
                    <w14:srgbClr w14:val="000000">
                      <w14:alpha w14:val="100000"/>
                    </w14:srgbClr>
                  </w14:solidFill>
                </w14:textFill>
              </w:rPr>
              <w:t xml:space="preserve">　</w:t>
            </w:r>
            <w:r w:rsidRPr="00E639BD">
              <w:rPr>
                <w:color w:val="000000"/>
                <w:w w:val="18"/>
                <w:shd w:val="solid" w:color="000000" w:fill="000000"/>
                <w:fitText w:val="80" w:id="-761098745"/>
                <w14:textFill>
                  <w14:solidFill>
                    <w14:srgbClr w14:val="000000">
                      <w14:alpha w14:val="100000"/>
                    </w14:srgbClr>
                  </w14:solidFill>
                </w14:textFill>
              </w:rPr>
              <w:t>|</w:t>
            </w:r>
            <w:r w:rsidRPr="00E639BD">
              <w:rPr>
                <w:rFonts w:hint="eastAsia"/>
                <w:color w:val="000000"/>
                <w:w w:val="18"/>
                <w:shd w:val="solid" w:color="000000" w:fill="000000"/>
                <w:fitText w:val="80" w:id="-761098745"/>
                <w14:textFill>
                  <w14:solidFill>
                    <w14:srgbClr w14:val="000000">
                      <w14:alpha w14:val="100000"/>
                    </w14:srgbClr>
                  </w14:solidFill>
                </w14:textFill>
              </w:rPr>
              <w:t xml:space="preserve">　</w:t>
            </w:r>
            <w:r w:rsidR="00A43D84" w:rsidRPr="00A43D84">
              <w:rPr>
                <w:vertAlign w:val="superscript"/>
              </w:rPr>
              <w:t>1</w:t>
            </w:r>
          </w:p>
        </w:tc>
        <w:tc>
          <w:tcPr>
            <w:tcW w:w="588" w:type="pct"/>
            <w:tcBorders>
              <w:top w:val="single" w:sz="4" w:space="0" w:color="auto"/>
              <w:left w:val="nil"/>
              <w:bottom w:val="single" w:sz="4" w:space="0" w:color="auto"/>
              <w:right w:val="single" w:sz="4" w:space="0" w:color="auto"/>
            </w:tcBorders>
            <w:shd w:val="clear" w:color="auto" w:fill="auto"/>
            <w:vAlign w:val="center"/>
          </w:tcPr>
          <w:p w14:paraId="6173342C" w14:textId="4E987DF2" w:rsidR="00E16BBF" w:rsidRPr="00AA6730" w:rsidRDefault="00E639BD">
            <w:pPr>
              <w:pStyle w:val="TableText0"/>
              <w:jc w:val="center"/>
              <w:rPr>
                <w:sz w:val="18"/>
                <w:szCs w:val="18"/>
                <w:highlight w:val="darkGray"/>
              </w:rPr>
            </w:pPr>
            <w:r w:rsidRPr="00E639BD">
              <w:rPr>
                <w:rFonts w:hint="eastAsia"/>
                <w:color w:val="000000"/>
                <w:w w:val="18"/>
                <w:shd w:val="solid" w:color="000000" w:fill="000000"/>
                <w:fitText w:val="80" w:id="-761098744"/>
                <w14:textFill>
                  <w14:solidFill>
                    <w14:srgbClr w14:val="000000">
                      <w14:alpha w14:val="100000"/>
                    </w14:srgbClr>
                  </w14:solidFill>
                </w14:textFill>
              </w:rPr>
              <w:t xml:space="preserve">　</w:t>
            </w:r>
            <w:r w:rsidRPr="00E639BD">
              <w:rPr>
                <w:color w:val="000000"/>
                <w:w w:val="18"/>
                <w:shd w:val="solid" w:color="000000" w:fill="000000"/>
                <w:fitText w:val="80" w:id="-761098744"/>
                <w14:textFill>
                  <w14:solidFill>
                    <w14:srgbClr w14:val="000000">
                      <w14:alpha w14:val="100000"/>
                    </w14:srgbClr>
                  </w14:solidFill>
                </w14:textFill>
              </w:rPr>
              <w:t>|</w:t>
            </w:r>
            <w:r w:rsidRPr="00E639BD">
              <w:rPr>
                <w:rFonts w:hint="eastAsia"/>
                <w:color w:val="000000"/>
                <w:w w:val="18"/>
                <w:shd w:val="solid" w:color="000000" w:fill="000000"/>
                <w:fitText w:val="80" w:id="-761098744"/>
                <w14:textFill>
                  <w14:solidFill>
                    <w14:srgbClr w14:val="000000">
                      <w14:alpha w14:val="100000"/>
                    </w14:srgbClr>
                  </w14:solidFill>
                </w14:textFill>
              </w:rPr>
              <w:t xml:space="preserve">　</w:t>
            </w:r>
            <w:r w:rsidR="00A43D84">
              <w:t xml:space="preserve"> </w:t>
            </w:r>
            <w:r w:rsidR="00A43D84">
              <w:rPr>
                <w:vertAlign w:val="superscript"/>
              </w:rPr>
              <w:t>2</w:t>
            </w:r>
          </w:p>
        </w:tc>
        <w:tc>
          <w:tcPr>
            <w:tcW w:w="588" w:type="pct"/>
            <w:tcBorders>
              <w:top w:val="single" w:sz="4" w:space="0" w:color="auto"/>
              <w:left w:val="nil"/>
              <w:bottom w:val="single" w:sz="4" w:space="0" w:color="auto"/>
              <w:right w:val="single" w:sz="4" w:space="0" w:color="auto"/>
            </w:tcBorders>
            <w:shd w:val="clear" w:color="auto" w:fill="auto"/>
            <w:vAlign w:val="center"/>
          </w:tcPr>
          <w:p w14:paraId="1BA5566D" w14:textId="334E5E8D" w:rsidR="00E16BBF" w:rsidRPr="00AA6730" w:rsidRDefault="00E639BD">
            <w:pPr>
              <w:pStyle w:val="TableText0"/>
              <w:jc w:val="center"/>
              <w:rPr>
                <w:sz w:val="18"/>
                <w:szCs w:val="18"/>
                <w:highlight w:val="darkGray"/>
              </w:rPr>
            </w:pPr>
            <w:r w:rsidRPr="00E639BD">
              <w:rPr>
                <w:rFonts w:hint="eastAsia"/>
                <w:color w:val="000000"/>
                <w:w w:val="18"/>
                <w:shd w:val="solid" w:color="000000" w:fill="000000"/>
                <w:fitText w:val="80" w:id="-761098743"/>
                <w14:textFill>
                  <w14:solidFill>
                    <w14:srgbClr w14:val="000000">
                      <w14:alpha w14:val="100000"/>
                    </w14:srgbClr>
                  </w14:solidFill>
                </w14:textFill>
              </w:rPr>
              <w:t xml:space="preserve">　</w:t>
            </w:r>
            <w:r w:rsidRPr="00E639BD">
              <w:rPr>
                <w:color w:val="000000"/>
                <w:w w:val="18"/>
                <w:shd w:val="solid" w:color="000000" w:fill="000000"/>
                <w:fitText w:val="80" w:id="-761098743"/>
                <w14:textFill>
                  <w14:solidFill>
                    <w14:srgbClr w14:val="000000">
                      <w14:alpha w14:val="100000"/>
                    </w14:srgbClr>
                  </w14:solidFill>
                </w14:textFill>
              </w:rPr>
              <w:t>|</w:t>
            </w:r>
            <w:r w:rsidRPr="00E639BD">
              <w:rPr>
                <w:rFonts w:hint="eastAsia"/>
                <w:color w:val="000000"/>
                <w:w w:val="18"/>
                <w:shd w:val="solid" w:color="000000" w:fill="000000"/>
                <w:fitText w:val="80" w:id="-761098743"/>
                <w14:textFill>
                  <w14:solidFill>
                    <w14:srgbClr w14:val="000000">
                      <w14:alpha w14:val="100000"/>
                    </w14:srgbClr>
                  </w14:solidFill>
                </w14:textFill>
              </w:rPr>
              <w:t xml:space="preserve">　</w:t>
            </w:r>
            <w:r w:rsidR="00A43D84">
              <w:rPr>
                <w:vertAlign w:val="superscript"/>
              </w:rPr>
              <w:t>2</w:t>
            </w:r>
          </w:p>
        </w:tc>
        <w:tc>
          <w:tcPr>
            <w:tcW w:w="588" w:type="pct"/>
            <w:tcBorders>
              <w:top w:val="single" w:sz="4" w:space="0" w:color="auto"/>
              <w:left w:val="nil"/>
              <w:bottom w:val="single" w:sz="4" w:space="0" w:color="auto"/>
              <w:right w:val="single" w:sz="4" w:space="0" w:color="auto"/>
            </w:tcBorders>
            <w:shd w:val="clear" w:color="auto" w:fill="auto"/>
            <w:vAlign w:val="center"/>
          </w:tcPr>
          <w:p w14:paraId="30F1504A" w14:textId="48CA9B97" w:rsidR="00E16BBF" w:rsidRPr="00AA6730" w:rsidRDefault="00E639BD">
            <w:pPr>
              <w:pStyle w:val="TableText0"/>
              <w:jc w:val="center"/>
              <w:rPr>
                <w:sz w:val="18"/>
                <w:szCs w:val="18"/>
                <w:highlight w:val="darkGray"/>
              </w:rPr>
            </w:pPr>
            <w:r w:rsidRPr="00E639BD">
              <w:rPr>
                <w:rFonts w:hint="eastAsia"/>
                <w:color w:val="000000"/>
                <w:w w:val="18"/>
                <w:shd w:val="solid" w:color="000000" w:fill="000000"/>
                <w:fitText w:val="80" w:id="-761098742"/>
                <w14:textFill>
                  <w14:solidFill>
                    <w14:srgbClr w14:val="000000">
                      <w14:alpha w14:val="100000"/>
                    </w14:srgbClr>
                  </w14:solidFill>
                </w14:textFill>
              </w:rPr>
              <w:t xml:space="preserve">　</w:t>
            </w:r>
            <w:r w:rsidRPr="00E639BD">
              <w:rPr>
                <w:color w:val="000000"/>
                <w:w w:val="18"/>
                <w:shd w:val="solid" w:color="000000" w:fill="000000"/>
                <w:fitText w:val="80" w:id="-761098742"/>
                <w14:textFill>
                  <w14:solidFill>
                    <w14:srgbClr w14:val="000000">
                      <w14:alpha w14:val="100000"/>
                    </w14:srgbClr>
                  </w14:solidFill>
                </w14:textFill>
              </w:rPr>
              <w:t>|</w:t>
            </w:r>
            <w:r w:rsidRPr="00E639BD">
              <w:rPr>
                <w:rFonts w:hint="eastAsia"/>
                <w:color w:val="000000"/>
                <w:w w:val="18"/>
                <w:shd w:val="solid" w:color="000000" w:fill="000000"/>
                <w:fitText w:val="80" w:id="-761098742"/>
                <w14:textFill>
                  <w14:solidFill>
                    <w14:srgbClr w14:val="000000">
                      <w14:alpha w14:val="100000"/>
                    </w14:srgbClr>
                  </w14:solidFill>
                </w14:textFill>
              </w:rPr>
              <w:t xml:space="preserve">　</w:t>
            </w:r>
            <w:r w:rsidR="00A43D84">
              <w:rPr>
                <w:vertAlign w:val="superscript"/>
              </w:rPr>
              <w:t>1</w:t>
            </w:r>
          </w:p>
        </w:tc>
        <w:tc>
          <w:tcPr>
            <w:tcW w:w="588" w:type="pct"/>
            <w:tcBorders>
              <w:top w:val="single" w:sz="4" w:space="0" w:color="auto"/>
              <w:left w:val="nil"/>
              <w:bottom w:val="single" w:sz="4" w:space="0" w:color="auto"/>
              <w:right w:val="single" w:sz="4" w:space="0" w:color="auto"/>
            </w:tcBorders>
            <w:shd w:val="clear" w:color="auto" w:fill="auto"/>
            <w:vAlign w:val="center"/>
          </w:tcPr>
          <w:p w14:paraId="34A205AB" w14:textId="727D48A5" w:rsidR="00E16BBF" w:rsidRPr="00AA6730" w:rsidRDefault="00E639BD">
            <w:pPr>
              <w:pStyle w:val="TableText0"/>
              <w:jc w:val="center"/>
              <w:rPr>
                <w:sz w:val="18"/>
                <w:szCs w:val="18"/>
                <w:highlight w:val="darkGray"/>
              </w:rPr>
            </w:pPr>
            <w:r w:rsidRPr="00E639BD">
              <w:rPr>
                <w:rFonts w:hint="eastAsia"/>
                <w:color w:val="000000"/>
                <w:w w:val="18"/>
                <w:shd w:val="solid" w:color="000000" w:fill="000000"/>
                <w:fitText w:val="80" w:id="-761098741"/>
                <w14:textFill>
                  <w14:solidFill>
                    <w14:srgbClr w14:val="000000">
                      <w14:alpha w14:val="100000"/>
                    </w14:srgbClr>
                  </w14:solidFill>
                </w14:textFill>
              </w:rPr>
              <w:t xml:space="preserve">　</w:t>
            </w:r>
            <w:r w:rsidRPr="00E639BD">
              <w:rPr>
                <w:color w:val="000000"/>
                <w:w w:val="18"/>
                <w:shd w:val="solid" w:color="000000" w:fill="000000"/>
                <w:fitText w:val="80" w:id="-761098741"/>
                <w14:textFill>
                  <w14:solidFill>
                    <w14:srgbClr w14:val="000000">
                      <w14:alpha w14:val="100000"/>
                    </w14:srgbClr>
                  </w14:solidFill>
                </w14:textFill>
              </w:rPr>
              <w:t>|</w:t>
            </w:r>
            <w:r w:rsidRPr="00E639BD">
              <w:rPr>
                <w:rFonts w:hint="eastAsia"/>
                <w:color w:val="000000"/>
                <w:w w:val="18"/>
                <w:shd w:val="solid" w:color="000000" w:fill="000000"/>
                <w:fitText w:val="80" w:id="-761098741"/>
                <w14:textFill>
                  <w14:solidFill>
                    <w14:srgbClr w14:val="000000">
                      <w14:alpha w14:val="100000"/>
                    </w14:srgbClr>
                  </w14:solidFill>
                </w14:textFill>
              </w:rPr>
              <w:t xml:space="preserve">　</w:t>
            </w:r>
            <w:r w:rsidR="00A43D84">
              <w:rPr>
                <w:vertAlign w:val="superscript"/>
              </w:rPr>
              <w:t>3</w:t>
            </w:r>
          </w:p>
        </w:tc>
        <w:tc>
          <w:tcPr>
            <w:tcW w:w="368" w:type="pct"/>
            <w:tcBorders>
              <w:top w:val="single" w:sz="4" w:space="0" w:color="auto"/>
              <w:left w:val="nil"/>
              <w:bottom w:val="single" w:sz="4" w:space="0" w:color="auto"/>
              <w:right w:val="single" w:sz="4" w:space="0" w:color="auto"/>
            </w:tcBorders>
            <w:vAlign w:val="center"/>
          </w:tcPr>
          <w:p w14:paraId="46C04258" w14:textId="77777777" w:rsidR="00E16BBF" w:rsidRPr="00E16BBF" w:rsidRDefault="00E16BBF">
            <w:pPr>
              <w:pStyle w:val="TableText0"/>
              <w:jc w:val="center"/>
            </w:pPr>
            <w:r w:rsidRPr="00E16BBF">
              <w:t>-</w:t>
            </w:r>
          </w:p>
        </w:tc>
      </w:tr>
      <w:tr w:rsidR="00E16BBF" w:rsidRPr="00E16BBF" w14:paraId="47F8DB16" w14:textId="77777777">
        <w:tc>
          <w:tcPr>
            <w:tcW w:w="5000" w:type="pct"/>
            <w:gridSpan w:val="9"/>
            <w:tcBorders>
              <w:left w:val="single" w:sz="4" w:space="0" w:color="auto"/>
              <w:bottom w:val="single" w:sz="4" w:space="0" w:color="auto"/>
              <w:right w:val="single" w:sz="4" w:space="0" w:color="auto"/>
            </w:tcBorders>
            <w:shd w:val="clear" w:color="auto" w:fill="auto"/>
            <w:vAlign w:val="center"/>
          </w:tcPr>
          <w:p w14:paraId="0C0F7499" w14:textId="77777777" w:rsidR="00E16BBF" w:rsidRPr="00E16BBF" w:rsidRDefault="00E16BBF">
            <w:pPr>
              <w:pStyle w:val="TableText0"/>
              <w:rPr>
                <w:b/>
                <w:szCs w:val="20"/>
              </w:rPr>
            </w:pPr>
            <w:r w:rsidRPr="00E16BBF">
              <w:rPr>
                <w:b/>
                <w:szCs w:val="20"/>
              </w:rPr>
              <w:t>Time on treatment (base case proportion of annual cohort Yr1: 71%, Yr2: 0%, Yr3: 0%, Yr4: 29%, Yr5: 37%, Yr6: 0%)</w:t>
            </w:r>
          </w:p>
        </w:tc>
      </w:tr>
      <w:tr w:rsidR="00E16BBF" w:rsidRPr="00E16BBF" w14:paraId="7C11014C" w14:textId="77777777">
        <w:tc>
          <w:tcPr>
            <w:tcW w:w="618" w:type="pct"/>
            <w:tcBorders>
              <w:left w:val="single" w:sz="4" w:space="0" w:color="auto"/>
              <w:bottom w:val="single" w:sz="4" w:space="0" w:color="auto"/>
              <w:right w:val="single" w:sz="4" w:space="0" w:color="auto"/>
            </w:tcBorders>
            <w:shd w:val="clear" w:color="auto" w:fill="auto"/>
            <w:vAlign w:val="center"/>
          </w:tcPr>
          <w:p w14:paraId="30F9BC1A" w14:textId="77777777" w:rsidR="00E16BBF" w:rsidRPr="00E16BBF" w:rsidRDefault="00E16BBF">
            <w:pPr>
              <w:pStyle w:val="TableText0"/>
              <w:rPr>
                <w:szCs w:val="20"/>
              </w:rPr>
            </w:pPr>
            <w:r w:rsidRPr="00E16BBF">
              <w:rPr>
                <w:szCs w:val="20"/>
              </w:rPr>
              <w:t>Mean duration 6.17yrs</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77B1F481" w14:textId="16A2E321" w:rsidR="00E16BBF" w:rsidRPr="00AA6730" w:rsidRDefault="00E639BD">
            <w:pPr>
              <w:pStyle w:val="TableText0"/>
              <w:jc w:val="center"/>
              <w:rPr>
                <w:rFonts w:cs="Arial"/>
                <w:color w:val="000000"/>
                <w:szCs w:val="20"/>
                <w:highlight w:val="darkGray"/>
              </w:rPr>
            </w:pPr>
            <w:r w:rsidRPr="00E639BD">
              <w:rPr>
                <w:rFonts w:hint="eastAsia"/>
                <w:color w:val="000000"/>
                <w:w w:val="27"/>
                <w:shd w:val="solid" w:color="000000" w:fill="000000"/>
                <w:fitText w:val="120" w:id="-761098740"/>
                <w14:textFill>
                  <w14:solidFill>
                    <w14:srgbClr w14:val="000000">
                      <w14:alpha w14:val="100000"/>
                    </w14:srgbClr>
                  </w14:solidFill>
                </w14:textFill>
              </w:rPr>
              <w:t xml:space="preserve">　</w:t>
            </w:r>
            <w:r w:rsidRPr="00E639BD">
              <w:rPr>
                <w:color w:val="000000"/>
                <w:w w:val="27"/>
                <w:shd w:val="solid" w:color="000000" w:fill="000000"/>
                <w:fitText w:val="120" w:id="-761098740"/>
                <w14:textFill>
                  <w14:solidFill>
                    <w14:srgbClr w14:val="000000">
                      <w14:alpha w14:val="100000"/>
                    </w14:srgbClr>
                  </w14:solidFill>
                </w14:textFill>
              </w:rPr>
              <w:t>|</w:t>
            </w:r>
            <w:r w:rsidRPr="00E639BD">
              <w:rPr>
                <w:rFonts w:hint="eastAsia"/>
                <w:color w:val="000000"/>
                <w:spacing w:val="2"/>
                <w:w w:val="27"/>
                <w:shd w:val="solid" w:color="000000" w:fill="000000"/>
                <w:fitText w:val="120" w:id="-761098740"/>
                <w14:textFill>
                  <w14:solidFill>
                    <w14:srgbClr w14:val="000000">
                      <w14:alpha w14:val="100000"/>
                    </w14:srgbClr>
                  </w14:solidFill>
                </w14:textFill>
              </w:rPr>
              <w:t xml:space="preserve">　</w:t>
            </w:r>
            <w:r w:rsidR="00A43D84">
              <w:rPr>
                <w:vertAlign w:val="superscript"/>
              </w:rPr>
              <w:t>2</w:t>
            </w:r>
          </w:p>
        </w:tc>
        <w:tc>
          <w:tcPr>
            <w:tcW w:w="537" w:type="pct"/>
            <w:tcBorders>
              <w:top w:val="single" w:sz="4" w:space="0" w:color="auto"/>
              <w:left w:val="nil"/>
              <w:bottom w:val="single" w:sz="4" w:space="0" w:color="auto"/>
              <w:right w:val="single" w:sz="4" w:space="0" w:color="auto"/>
            </w:tcBorders>
            <w:shd w:val="clear" w:color="auto" w:fill="auto"/>
            <w:vAlign w:val="center"/>
          </w:tcPr>
          <w:p w14:paraId="00FDE883" w14:textId="698401D3" w:rsidR="00E16BBF" w:rsidRPr="00AA6730" w:rsidRDefault="00E639BD">
            <w:pPr>
              <w:pStyle w:val="TableText0"/>
              <w:jc w:val="center"/>
              <w:rPr>
                <w:rFonts w:cs="Arial"/>
                <w:color w:val="000000"/>
                <w:szCs w:val="20"/>
                <w:highlight w:val="darkGray"/>
              </w:rPr>
            </w:pPr>
            <w:r w:rsidRPr="00E639BD">
              <w:rPr>
                <w:rFonts w:hint="eastAsia"/>
                <w:color w:val="000000"/>
                <w:w w:val="27"/>
                <w:shd w:val="solid" w:color="000000" w:fill="000000"/>
                <w:fitText w:val="120" w:id="-761098739"/>
                <w14:textFill>
                  <w14:solidFill>
                    <w14:srgbClr w14:val="000000">
                      <w14:alpha w14:val="100000"/>
                    </w14:srgbClr>
                  </w14:solidFill>
                </w14:textFill>
              </w:rPr>
              <w:t xml:space="preserve">　</w:t>
            </w:r>
            <w:r w:rsidRPr="00E639BD">
              <w:rPr>
                <w:color w:val="000000"/>
                <w:w w:val="27"/>
                <w:shd w:val="solid" w:color="000000" w:fill="000000"/>
                <w:fitText w:val="120" w:id="-761098739"/>
                <w14:textFill>
                  <w14:solidFill>
                    <w14:srgbClr w14:val="000000">
                      <w14:alpha w14:val="100000"/>
                    </w14:srgbClr>
                  </w14:solidFill>
                </w14:textFill>
              </w:rPr>
              <w:t>|</w:t>
            </w:r>
            <w:r w:rsidRPr="00E639BD">
              <w:rPr>
                <w:rFonts w:hint="eastAsia"/>
                <w:color w:val="000000"/>
                <w:spacing w:val="2"/>
                <w:w w:val="27"/>
                <w:shd w:val="solid" w:color="000000" w:fill="000000"/>
                <w:fitText w:val="120" w:id="-761098739"/>
                <w14:textFill>
                  <w14:solidFill>
                    <w14:srgbClr w14:val="000000">
                      <w14:alpha w14:val="100000"/>
                    </w14:srgbClr>
                  </w14:solidFill>
                </w14:textFill>
              </w:rPr>
              <w:t xml:space="preserve">　</w:t>
            </w:r>
            <w:r w:rsidR="00A43D84">
              <w:rPr>
                <w:vertAlign w:val="superscript"/>
              </w:rPr>
              <w:t>4</w:t>
            </w:r>
          </w:p>
        </w:tc>
        <w:tc>
          <w:tcPr>
            <w:tcW w:w="588" w:type="pct"/>
            <w:tcBorders>
              <w:top w:val="single" w:sz="4" w:space="0" w:color="auto"/>
              <w:left w:val="nil"/>
              <w:bottom w:val="single" w:sz="4" w:space="0" w:color="auto"/>
              <w:right w:val="single" w:sz="4" w:space="0" w:color="auto"/>
            </w:tcBorders>
            <w:shd w:val="clear" w:color="auto" w:fill="auto"/>
            <w:vAlign w:val="center"/>
          </w:tcPr>
          <w:p w14:paraId="27CD8F95" w14:textId="6749CBFC"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738"/>
                <w14:textFill>
                  <w14:solidFill>
                    <w14:srgbClr w14:val="000000">
                      <w14:alpha w14:val="100000"/>
                    </w14:srgbClr>
                  </w14:solidFill>
                </w14:textFill>
              </w:rPr>
              <w:t xml:space="preserve">　</w:t>
            </w:r>
            <w:r w:rsidRPr="00E639BD">
              <w:rPr>
                <w:color w:val="000000"/>
                <w:w w:val="18"/>
                <w:shd w:val="solid" w:color="000000" w:fill="000000"/>
                <w:fitText w:val="80" w:id="-761098738"/>
                <w14:textFill>
                  <w14:solidFill>
                    <w14:srgbClr w14:val="000000">
                      <w14:alpha w14:val="100000"/>
                    </w14:srgbClr>
                  </w14:solidFill>
                </w14:textFill>
              </w:rPr>
              <w:t>|</w:t>
            </w:r>
            <w:r w:rsidRPr="00E639BD">
              <w:rPr>
                <w:rFonts w:hint="eastAsia"/>
                <w:color w:val="000000"/>
                <w:w w:val="18"/>
                <w:shd w:val="solid" w:color="000000" w:fill="000000"/>
                <w:fitText w:val="80" w:id="-761098738"/>
                <w14:textFill>
                  <w14:solidFill>
                    <w14:srgbClr w14:val="000000">
                      <w14:alpha w14:val="100000"/>
                    </w14:srgbClr>
                  </w14:solidFill>
                </w14:textFill>
              </w:rPr>
              <w:t xml:space="preserve">　</w:t>
            </w:r>
            <w:r w:rsidR="00A43D84">
              <w:rPr>
                <w:vertAlign w:val="superscript"/>
              </w:rPr>
              <w:t>5</w:t>
            </w:r>
          </w:p>
        </w:tc>
        <w:tc>
          <w:tcPr>
            <w:tcW w:w="588" w:type="pct"/>
            <w:tcBorders>
              <w:top w:val="single" w:sz="4" w:space="0" w:color="auto"/>
              <w:left w:val="nil"/>
              <w:bottom w:val="single" w:sz="4" w:space="0" w:color="auto"/>
              <w:right w:val="single" w:sz="4" w:space="0" w:color="auto"/>
            </w:tcBorders>
            <w:shd w:val="clear" w:color="auto" w:fill="auto"/>
            <w:vAlign w:val="center"/>
          </w:tcPr>
          <w:p w14:paraId="1409FE21" w14:textId="5B04B2A1"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737"/>
                <w14:textFill>
                  <w14:solidFill>
                    <w14:srgbClr w14:val="000000">
                      <w14:alpha w14:val="100000"/>
                    </w14:srgbClr>
                  </w14:solidFill>
                </w14:textFill>
              </w:rPr>
              <w:t xml:space="preserve">　</w:t>
            </w:r>
            <w:r w:rsidRPr="00E639BD">
              <w:rPr>
                <w:color w:val="000000"/>
                <w:w w:val="18"/>
                <w:shd w:val="solid" w:color="000000" w:fill="000000"/>
                <w:fitText w:val="80" w:id="-761098737"/>
                <w14:textFill>
                  <w14:solidFill>
                    <w14:srgbClr w14:val="000000">
                      <w14:alpha w14:val="100000"/>
                    </w14:srgbClr>
                  </w14:solidFill>
                </w14:textFill>
              </w:rPr>
              <w:t>|</w:t>
            </w:r>
            <w:r w:rsidRPr="00E639BD">
              <w:rPr>
                <w:rFonts w:hint="eastAsia"/>
                <w:color w:val="000000"/>
                <w:w w:val="18"/>
                <w:shd w:val="solid" w:color="000000" w:fill="000000"/>
                <w:fitText w:val="80" w:id="-761098737"/>
                <w14:textFill>
                  <w14:solidFill>
                    <w14:srgbClr w14:val="000000">
                      <w14:alpha w14:val="100000"/>
                    </w14:srgbClr>
                  </w14:solidFill>
                </w14:textFill>
              </w:rPr>
              <w:t xml:space="preserve">　</w:t>
            </w:r>
            <w:r w:rsidR="00A43D84">
              <w:rPr>
                <w:vertAlign w:val="superscript"/>
              </w:rPr>
              <w:t>5</w:t>
            </w:r>
          </w:p>
        </w:tc>
        <w:tc>
          <w:tcPr>
            <w:tcW w:w="588" w:type="pct"/>
            <w:tcBorders>
              <w:top w:val="single" w:sz="4" w:space="0" w:color="auto"/>
              <w:left w:val="nil"/>
              <w:bottom w:val="single" w:sz="4" w:space="0" w:color="auto"/>
              <w:right w:val="single" w:sz="4" w:space="0" w:color="auto"/>
            </w:tcBorders>
            <w:shd w:val="clear" w:color="auto" w:fill="auto"/>
            <w:vAlign w:val="center"/>
          </w:tcPr>
          <w:p w14:paraId="5E670367" w14:textId="4A877695"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736"/>
                <w14:textFill>
                  <w14:solidFill>
                    <w14:srgbClr w14:val="000000">
                      <w14:alpha w14:val="100000"/>
                    </w14:srgbClr>
                  </w14:solidFill>
                </w14:textFill>
              </w:rPr>
              <w:t xml:space="preserve">　</w:t>
            </w:r>
            <w:r w:rsidRPr="00E639BD">
              <w:rPr>
                <w:color w:val="000000"/>
                <w:w w:val="18"/>
                <w:shd w:val="solid" w:color="000000" w:fill="000000"/>
                <w:fitText w:val="80" w:id="-761098736"/>
                <w14:textFill>
                  <w14:solidFill>
                    <w14:srgbClr w14:val="000000">
                      <w14:alpha w14:val="100000"/>
                    </w14:srgbClr>
                  </w14:solidFill>
                </w14:textFill>
              </w:rPr>
              <w:t>|</w:t>
            </w:r>
            <w:r w:rsidRPr="00E639BD">
              <w:rPr>
                <w:rFonts w:hint="eastAsia"/>
                <w:color w:val="000000"/>
                <w:w w:val="18"/>
                <w:shd w:val="solid" w:color="000000" w:fill="000000"/>
                <w:fitText w:val="80" w:id="-761098736"/>
                <w14:textFill>
                  <w14:solidFill>
                    <w14:srgbClr w14:val="000000">
                      <w14:alpha w14:val="100000"/>
                    </w14:srgbClr>
                  </w14:solidFill>
                </w14:textFill>
              </w:rPr>
              <w:t xml:space="preserve">　</w:t>
            </w:r>
            <w:r w:rsidR="00A43D84">
              <w:rPr>
                <w:vertAlign w:val="superscript"/>
              </w:rPr>
              <w:t>3</w:t>
            </w:r>
          </w:p>
        </w:tc>
        <w:tc>
          <w:tcPr>
            <w:tcW w:w="588" w:type="pct"/>
            <w:tcBorders>
              <w:top w:val="single" w:sz="4" w:space="0" w:color="auto"/>
              <w:left w:val="nil"/>
              <w:bottom w:val="single" w:sz="4" w:space="0" w:color="auto"/>
              <w:right w:val="single" w:sz="4" w:space="0" w:color="auto"/>
            </w:tcBorders>
            <w:shd w:val="clear" w:color="auto" w:fill="auto"/>
            <w:vAlign w:val="center"/>
          </w:tcPr>
          <w:p w14:paraId="30FA6C95" w14:textId="75C39784"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752"/>
                <w14:textFill>
                  <w14:solidFill>
                    <w14:srgbClr w14:val="000000">
                      <w14:alpha w14:val="100000"/>
                    </w14:srgbClr>
                  </w14:solidFill>
                </w14:textFill>
              </w:rPr>
              <w:t xml:space="preserve">　</w:t>
            </w:r>
            <w:r w:rsidRPr="00E639BD">
              <w:rPr>
                <w:color w:val="000000"/>
                <w:w w:val="18"/>
                <w:shd w:val="solid" w:color="000000" w:fill="000000"/>
                <w:fitText w:val="80" w:id="-761098752"/>
                <w14:textFill>
                  <w14:solidFill>
                    <w14:srgbClr w14:val="000000">
                      <w14:alpha w14:val="100000"/>
                    </w14:srgbClr>
                  </w14:solidFill>
                </w14:textFill>
              </w:rPr>
              <w:t>|</w:t>
            </w:r>
            <w:r w:rsidRPr="00E639BD">
              <w:rPr>
                <w:rFonts w:hint="eastAsia"/>
                <w:color w:val="000000"/>
                <w:w w:val="18"/>
                <w:shd w:val="solid" w:color="000000" w:fill="000000"/>
                <w:fitText w:val="80" w:id="-761098752"/>
                <w14:textFill>
                  <w14:solidFill>
                    <w14:srgbClr w14:val="000000">
                      <w14:alpha w14:val="100000"/>
                    </w14:srgbClr>
                  </w14:solidFill>
                </w14:textFill>
              </w:rPr>
              <w:t xml:space="preserve">　</w:t>
            </w:r>
            <w:r w:rsidR="00A43D84">
              <w:rPr>
                <w:vertAlign w:val="superscript"/>
              </w:rPr>
              <w:t>3</w:t>
            </w:r>
          </w:p>
        </w:tc>
        <w:tc>
          <w:tcPr>
            <w:tcW w:w="588" w:type="pct"/>
            <w:tcBorders>
              <w:top w:val="single" w:sz="4" w:space="0" w:color="auto"/>
              <w:left w:val="nil"/>
              <w:bottom w:val="single" w:sz="4" w:space="0" w:color="auto"/>
              <w:right w:val="single" w:sz="4" w:space="0" w:color="auto"/>
            </w:tcBorders>
            <w:shd w:val="clear" w:color="auto" w:fill="auto"/>
            <w:vAlign w:val="center"/>
          </w:tcPr>
          <w:p w14:paraId="12247057" w14:textId="3D6B142C" w:rsidR="00E16BBF" w:rsidRPr="00AA6730" w:rsidRDefault="00E639BD">
            <w:pPr>
              <w:pStyle w:val="TableText0"/>
              <w:jc w:val="center"/>
              <w:rPr>
                <w:szCs w:val="20"/>
                <w:highlight w:val="darkGray"/>
              </w:rPr>
            </w:pPr>
            <w:r w:rsidRPr="00E639BD">
              <w:rPr>
                <w:rFonts w:hint="eastAsia"/>
                <w:color w:val="000000"/>
                <w:w w:val="18"/>
                <w:shd w:val="solid" w:color="000000" w:fill="000000"/>
                <w:fitText w:val="80" w:id="-761098751"/>
                <w14:textFill>
                  <w14:solidFill>
                    <w14:srgbClr w14:val="000000">
                      <w14:alpha w14:val="100000"/>
                    </w14:srgbClr>
                  </w14:solidFill>
                </w14:textFill>
              </w:rPr>
              <w:t xml:space="preserve">　</w:t>
            </w:r>
            <w:r w:rsidRPr="00E639BD">
              <w:rPr>
                <w:color w:val="000000"/>
                <w:w w:val="18"/>
                <w:shd w:val="solid" w:color="000000" w:fill="000000"/>
                <w:fitText w:val="80" w:id="-761098751"/>
                <w14:textFill>
                  <w14:solidFill>
                    <w14:srgbClr w14:val="000000">
                      <w14:alpha w14:val="100000"/>
                    </w14:srgbClr>
                  </w14:solidFill>
                </w14:textFill>
              </w:rPr>
              <w:t>|</w:t>
            </w:r>
            <w:r w:rsidRPr="00E639BD">
              <w:rPr>
                <w:rFonts w:hint="eastAsia"/>
                <w:color w:val="000000"/>
                <w:w w:val="18"/>
                <w:shd w:val="solid" w:color="000000" w:fill="000000"/>
                <w:fitText w:val="80" w:id="-761098751"/>
                <w14:textFill>
                  <w14:solidFill>
                    <w14:srgbClr w14:val="000000">
                      <w14:alpha w14:val="100000"/>
                    </w14:srgbClr>
                  </w14:solidFill>
                </w14:textFill>
              </w:rPr>
              <w:t xml:space="preserve">　</w:t>
            </w:r>
            <w:r w:rsidR="00A43D84">
              <w:rPr>
                <w:vertAlign w:val="superscript"/>
              </w:rPr>
              <w:t>6</w:t>
            </w:r>
          </w:p>
        </w:tc>
        <w:tc>
          <w:tcPr>
            <w:tcW w:w="368" w:type="pct"/>
            <w:tcBorders>
              <w:top w:val="single" w:sz="4" w:space="0" w:color="auto"/>
              <w:left w:val="nil"/>
              <w:bottom w:val="single" w:sz="4" w:space="0" w:color="auto"/>
              <w:right w:val="single" w:sz="4" w:space="0" w:color="auto"/>
            </w:tcBorders>
            <w:vAlign w:val="center"/>
          </w:tcPr>
          <w:p w14:paraId="1AF675C7" w14:textId="77777777" w:rsidR="00E16BBF" w:rsidRPr="00E16BBF" w:rsidRDefault="00E16BBF">
            <w:pPr>
              <w:pStyle w:val="TableText0"/>
              <w:jc w:val="center"/>
              <w:rPr>
                <w:szCs w:val="20"/>
              </w:rPr>
            </w:pPr>
            <w:r w:rsidRPr="00E16BBF">
              <w:t>337.8%</w:t>
            </w:r>
          </w:p>
        </w:tc>
      </w:tr>
      <w:tr w:rsidR="00E16BBF" w:rsidRPr="00E16BBF" w14:paraId="45191C9B" w14:textId="77777777">
        <w:tc>
          <w:tcPr>
            <w:tcW w:w="5000" w:type="pct"/>
            <w:gridSpan w:val="9"/>
            <w:tcBorders>
              <w:left w:val="single" w:sz="4" w:space="0" w:color="auto"/>
              <w:bottom w:val="single" w:sz="4" w:space="0" w:color="auto"/>
              <w:right w:val="single" w:sz="4" w:space="0" w:color="auto"/>
            </w:tcBorders>
            <w:shd w:val="clear" w:color="auto" w:fill="auto"/>
            <w:vAlign w:val="center"/>
          </w:tcPr>
          <w:p w14:paraId="336BAEAE" w14:textId="77777777" w:rsidR="00E16BBF" w:rsidRPr="00E16BBF" w:rsidRDefault="00E16BBF">
            <w:pPr>
              <w:pStyle w:val="TableText0"/>
              <w:rPr>
                <w:szCs w:val="20"/>
              </w:rPr>
            </w:pPr>
            <w:r w:rsidRPr="00E16BBF">
              <w:rPr>
                <w:b/>
                <w:szCs w:val="20"/>
              </w:rPr>
              <w:t>m0HSPC receive RP/RT (base case: 100%)</w:t>
            </w:r>
          </w:p>
        </w:tc>
      </w:tr>
      <w:tr w:rsidR="00E16BBF" w:rsidRPr="00E16BBF" w14:paraId="0FDDC567" w14:textId="77777777">
        <w:tc>
          <w:tcPr>
            <w:tcW w:w="618" w:type="pct"/>
            <w:tcBorders>
              <w:left w:val="single" w:sz="4" w:space="0" w:color="auto"/>
              <w:bottom w:val="single" w:sz="4" w:space="0" w:color="auto"/>
              <w:right w:val="single" w:sz="4" w:space="0" w:color="auto"/>
            </w:tcBorders>
            <w:shd w:val="clear" w:color="auto" w:fill="auto"/>
            <w:vAlign w:val="center"/>
          </w:tcPr>
          <w:p w14:paraId="6F6B4684" w14:textId="77777777" w:rsidR="00E16BBF" w:rsidRPr="00E16BBF" w:rsidRDefault="00E16BBF">
            <w:pPr>
              <w:pStyle w:val="TableText0"/>
              <w:rPr>
                <w:szCs w:val="20"/>
              </w:rPr>
            </w:pPr>
            <w:r w:rsidRPr="00E16BBF">
              <w:rPr>
                <w:szCs w:val="20"/>
              </w:rPr>
              <w:t>73%</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017D187D" w14:textId="5B4E2BAE" w:rsidR="00E16BBF" w:rsidRPr="00AA6730" w:rsidRDefault="00E639BD">
            <w:pPr>
              <w:pStyle w:val="TableText0"/>
              <w:jc w:val="center"/>
              <w:rPr>
                <w:rFonts w:cs="Arial"/>
                <w:color w:val="000000"/>
                <w:szCs w:val="20"/>
                <w:highlight w:val="darkGray"/>
              </w:rPr>
            </w:pPr>
            <w:r w:rsidRPr="00E639BD">
              <w:rPr>
                <w:rFonts w:hint="eastAsia"/>
                <w:color w:val="000000"/>
                <w:w w:val="27"/>
                <w:shd w:val="solid" w:color="000000" w:fill="000000"/>
                <w:fitText w:val="120" w:id="-761098750"/>
                <w14:textFill>
                  <w14:solidFill>
                    <w14:srgbClr w14:val="000000">
                      <w14:alpha w14:val="100000"/>
                    </w14:srgbClr>
                  </w14:solidFill>
                </w14:textFill>
              </w:rPr>
              <w:t xml:space="preserve">　</w:t>
            </w:r>
            <w:r w:rsidRPr="00E639BD">
              <w:rPr>
                <w:color w:val="000000"/>
                <w:w w:val="27"/>
                <w:shd w:val="solid" w:color="000000" w:fill="000000"/>
                <w:fitText w:val="120" w:id="-761098750"/>
                <w14:textFill>
                  <w14:solidFill>
                    <w14:srgbClr w14:val="000000">
                      <w14:alpha w14:val="100000"/>
                    </w14:srgbClr>
                  </w14:solidFill>
                </w14:textFill>
              </w:rPr>
              <w:t>|</w:t>
            </w:r>
            <w:r w:rsidRPr="00E639BD">
              <w:rPr>
                <w:rFonts w:hint="eastAsia"/>
                <w:color w:val="000000"/>
                <w:spacing w:val="2"/>
                <w:w w:val="27"/>
                <w:shd w:val="solid" w:color="000000" w:fill="000000"/>
                <w:fitText w:val="120" w:id="-761098750"/>
                <w14:textFill>
                  <w14:solidFill>
                    <w14:srgbClr w14:val="000000">
                      <w14:alpha w14:val="100000"/>
                    </w14:srgbClr>
                  </w14:solidFill>
                </w14:textFill>
              </w:rPr>
              <w:t xml:space="preserve">　</w:t>
            </w:r>
            <w:r w:rsidR="00A43D84">
              <w:rPr>
                <w:vertAlign w:val="superscript"/>
              </w:rPr>
              <w:t>7</w:t>
            </w:r>
          </w:p>
        </w:tc>
        <w:tc>
          <w:tcPr>
            <w:tcW w:w="537" w:type="pct"/>
            <w:tcBorders>
              <w:top w:val="single" w:sz="4" w:space="0" w:color="auto"/>
              <w:left w:val="nil"/>
              <w:bottom w:val="single" w:sz="4" w:space="0" w:color="auto"/>
              <w:right w:val="single" w:sz="4" w:space="0" w:color="auto"/>
            </w:tcBorders>
            <w:shd w:val="clear" w:color="auto" w:fill="auto"/>
            <w:vAlign w:val="center"/>
          </w:tcPr>
          <w:p w14:paraId="3721217E" w14:textId="3BC77268" w:rsidR="00E16BBF" w:rsidRPr="00AA6730" w:rsidRDefault="00E639BD">
            <w:pPr>
              <w:pStyle w:val="TableText0"/>
              <w:jc w:val="center"/>
              <w:rPr>
                <w:rFonts w:cs="Arial"/>
                <w:color w:val="000000"/>
                <w:szCs w:val="20"/>
                <w:highlight w:val="darkGray"/>
              </w:rPr>
            </w:pPr>
            <w:r w:rsidRPr="00E639BD">
              <w:rPr>
                <w:rFonts w:hint="eastAsia"/>
                <w:color w:val="000000"/>
                <w:w w:val="27"/>
                <w:shd w:val="solid" w:color="000000" w:fill="000000"/>
                <w:fitText w:val="120" w:id="-761098749"/>
                <w14:textFill>
                  <w14:solidFill>
                    <w14:srgbClr w14:val="000000">
                      <w14:alpha w14:val="100000"/>
                    </w14:srgbClr>
                  </w14:solidFill>
                </w14:textFill>
              </w:rPr>
              <w:t xml:space="preserve">　</w:t>
            </w:r>
            <w:r w:rsidRPr="00E639BD">
              <w:rPr>
                <w:color w:val="000000"/>
                <w:w w:val="27"/>
                <w:shd w:val="solid" w:color="000000" w:fill="000000"/>
                <w:fitText w:val="120" w:id="-761098749"/>
                <w14:textFill>
                  <w14:solidFill>
                    <w14:srgbClr w14:val="000000">
                      <w14:alpha w14:val="100000"/>
                    </w14:srgbClr>
                  </w14:solidFill>
                </w14:textFill>
              </w:rPr>
              <w:t>|</w:t>
            </w:r>
            <w:r w:rsidRPr="00E639BD">
              <w:rPr>
                <w:rFonts w:hint="eastAsia"/>
                <w:color w:val="000000"/>
                <w:spacing w:val="2"/>
                <w:w w:val="27"/>
                <w:shd w:val="solid" w:color="000000" w:fill="000000"/>
                <w:fitText w:val="120" w:id="-761098749"/>
                <w14:textFill>
                  <w14:solidFill>
                    <w14:srgbClr w14:val="000000">
                      <w14:alpha w14:val="100000"/>
                    </w14:srgbClr>
                  </w14:solidFill>
                </w14:textFill>
              </w:rPr>
              <w:t xml:space="preserve">　</w:t>
            </w:r>
            <w:r w:rsidR="00A43D84">
              <w:rPr>
                <w:vertAlign w:val="superscript"/>
              </w:rPr>
              <w:t>7</w:t>
            </w:r>
          </w:p>
        </w:tc>
        <w:tc>
          <w:tcPr>
            <w:tcW w:w="588" w:type="pct"/>
            <w:tcBorders>
              <w:top w:val="single" w:sz="4" w:space="0" w:color="auto"/>
              <w:left w:val="nil"/>
              <w:bottom w:val="single" w:sz="4" w:space="0" w:color="auto"/>
              <w:right w:val="single" w:sz="4" w:space="0" w:color="auto"/>
            </w:tcBorders>
            <w:shd w:val="clear" w:color="auto" w:fill="auto"/>
            <w:vAlign w:val="center"/>
          </w:tcPr>
          <w:p w14:paraId="0D0EAD74" w14:textId="5E68B6DF"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748"/>
                <w14:textFill>
                  <w14:solidFill>
                    <w14:srgbClr w14:val="000000">
                      <w14:alpha w14:val="100000"/>
                    </w14:srgbClr>
                  </w14:solidFill>
                </w14:textFill>
              </w:rPr>
              <w:t xml:space="preserve">　</w:t>
            </w:r>
            <w:r w:rsidRPr="00E639BD">
              <w:rPr>
                <w:color w:val="000000"/>
                <w:w w:val="18"/>
                <w:shd w:val="solid" w:color="000000" w:fill="000000"/>
                <w:fitText w:val="80" w:id="-761098748"/>
                <w14:textFill>
                  <w14:solidFill>
                    <w14:srgbClr w14:val="000000">
                      <w14:alpha w14:val="100000"/>
                    </w14:srgbClr>
                  </w14:solidFill>
                </w14:textFill>
              </w:rPr>
              <w:t>|</w:t>
            </w:r>
            <w:r w:rsidRPr="00E639BD">
              <w:rPr>
                <w:rFonts w:hint="eastAsia"/>
                <w:color w:val="000000"/>
                <w:w w:val="18"/>
                <w:shd w:val="solid" w:color="000000" w:fill="000000"/>
                <w:fitText w:val="80" w:id="-761098748"/>
                <w14:textFill>
                  <w14:solidFill>
                    <w14:srgbClr w14:val="000000">
                      <w14:alpha w14:val="100000"/>
                    </w14:srgbClr>
                  </w14:solidFill>
                </w14:textFill>
              </w:rPr>
              <w:t xml:space="preserve">　</w:t>
            </w:r>
            <w:r w:rsidR="00A43D84">
              <w:rPr>
                <w:vertAlign w:val="superscript"/>
              </w:rPr>
              <w:t>7</w:t>
            </w:r>
          </w:p>
        </w:tc>
        <w:tc>
          <w:tcPr>
            <w:tcW w:w="588" w:type="pct"/>
            <w:tcBorders>
              <w:top w:val="single" w:sz="4" w:space="0" w:color="auto"/>
              <w:left w:val="nil"/>
              <w:bottom w:val="single" w:sz="4" w:space="0" w:color="auto"/>
              <w:right w:val="single" w:sz="4" w:space="0" w:color="auto"/>
            </w:tcBorders>
            <w:shd w:val="clear" w:color="auto" w:fill="auto"/>
            <w:vAlign w:val="center"/>
          </w:tcPr>
          <w:p w14:paraId="0720EF72" w14:textId="2A7A86AD"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747"/>
                <w14:textFill>
                  <w14:solidFill>
                    <w14:srgbClr w14:val="000000">
                      <w14:alpha w14:val="100000"/>
                    </w14:srgbClr>
                  </w14:solidFill>
                </w14:textFill>
              </w:rPr>
              <w:t xml:space="preserve">　</w:t>
            </w:r>
            <w:r w:rsidRPr="00E639BD">
              <w:rPr>
                <w:color w:val="000000"/>
                <w:w w:val="18"/>
                <w:shd w:val="solid" w:color="000000" w:fill="000000"/>
                <w:fitText w:val="80" w:id="-761098747"/>
                <w14:textFill>
                  <w14:solidFill>
                    <w14:srgbClr w14:val="000000">
                      <w14:alpha w14:val="100000"/>
                    </w14:srgbClr>
                  </w14:solidFill>
                </w14:textFill>
              </w:rPr>
              <w:t>|</w:t>
            </w:r>
            <w:r w:rsidRPr="00E639BD">
              <w:rPr>
                <w:rFonts w:hint="eastAsia"/>
                <w:color w:val="000000"/>
                <w:w w:val="18"/>
                <w:shd w:val="solid" w:color="000000" w:fill="000000"/>
                <w:fitText w:val="80" w:id="-761098747"/>
                <w14:textFill>
                  <w14:solidFill>
                    <w14:srgbClr w14:val="000000">
                      <w14:alpha w14:val="100000"/>
                    </w14:srgbClr>
                  </w14:solidFill>
                </w14:textFill>
              </w:rPr>
              <w:t xml:space="preserve">　</w:t>
            </w:r>
            <w:r w:rsidR="00A43D84" w:rsidRPr="00A43D84">
              <w:rPr>
                <w:vertAlign w:val="superscript"/>
              </w:rPr>
              <w:t>1</w:t>
            </w:r>
          </w:p>
        </w:tc>
        <w:tc>
          <w:tcPr>
            <w:tcW w:w="588" w:type="pct"/>
            <w:tcBorders>
              <w:top w:val="single" w:sz="4" w:space="0" w:color="auto"/>
              <w:left w:val="nil"/>
              <w:bottom w:val="single" w:sz="4" w:space="0" w:color="auto"/>
              <w:right w:val="single" w:sz="4" w:space="0" w:color="auto"/>
            </w:tcBorders>
            <w:shd w:val="clear" w:color="auto" w:fill="auto"/>
            <w:vAlign w:val="center"/>
          </w:tcPr>
          <w:p w14:paraId="158E93A7" w14:textId="7BAEA93B"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746"/>
                <w14:textFill>
                  <w14:solidFill>
                    <w14:srgbClr w14:val="000000">
                      <w14:alpha w14:val="100000"/>
                    </w14:srgbClr>
                  </w14:solidFill>
                </w14:textFill>
              </w:rPr>
              <w:t xml:space="preserve">　</w:t>
            </w:r>
            <w:r w:rsidRPr="00E639BD">
              <w:rPr>
                <w:color w:val="000000"/>
                <w:w w:val="18"/>
                <w:shd w:val="solid" w:color="000000" w:fill="000000"/>
                <w:fitText w:val="80" w:id="-761098746"/>
                <w14:textFill>
                  <w14:solidFill>
                    <w14:srgbClr w14:val="000000">
                      <w14:alpha w14:val="100000"/>
                    </w14:srgbClr>
                  </w14:solidFill>
                </w14:textFill>
              </w:rPr>
              <w:t>|</w:t>
            </w:r>
            <w:r w:rsidRPr="00E639BD">
              <w:rPr>
                <w:rFonts w:hint="eastAsia"/>
                <w:color w:val="000000"/>
                <w:w w:val="18"/>
                <w:shd w:val="solid" w:color="000000" w:fill="000000"/>
                <w:fitText w:val="80" w:id="-761098746"/>
                <w14:textFill>
                  <w14:solidFill>
                    <w14:srgbClr w14:val="000000">
                      <w14:alpha w14:val="100000"/>
                    </w14:srgbClr>
                  </w14:solidFill>
                </w14:textFill>
              </w:rPr>
              <w:t xml:space="preserve">　</w:t>
            </w:r>
            <w:r w:rsidR="00A43D84" w:rsidRPr="00A43D84">
              <w:rPr>
                <w:vertAlign w:val="superscript"/>
              </w:rPr>
              <w:t>1</w:t>
            </w:r>
          </w:p>
        </w:tc>
        <w:tc>
          <w:tcPr>
            <w:tcW w:w="588" w:type="pct"/>
            <w:tcBorders>
              <w:top w:val="single" w:sz="4" w:space="0" w:color="auto"/>
              <w:left w:val="nil"/>
              <w:bottom w:val="single" w:sz="4" w:space="0" w:color="auto"/>
              <w:right w:val="single" w:sz="4" w:space="0" w:color="auto"/>
            </w:tcBorders>
            <w:shd w:val="clear" w:color="auto" w:fill="auto"/>
            <w:vAlign w:val="center"/>
          </w:tcPr>
          <w:p w14:paraId="19C319BA" w14:textId="3733C886"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745"/>
                <w14:textFill>
                  <w14:solidFill>
                    <w14:srgbClr w14:val="000000">
                      <w14:alpha w14:val="100000"/>
                    </w14:srgbClr>
                  </w14:solidFill>
                </w14:textFill>
              </w:rPr>
              <w:t xml:space="preserve">　</w:t>
            </w:r>
            <w:r w:rsidRPr="00E639BD">
              <w:rPr>
                <w:color w:val="000000"/>
                <w:w w:val="18"/>
                <w:shd w:val="solid" w:color="000000" w:fill="000000"/>
                <w:fitText w:val="80" w:id="-761098745"/>
                <w14:textFill>
                  <w14:solidFill>
                    <w14:srgbClr w14:val="000000">
                      <w14:alpha w14:val="100000"/>
                    </w14:srgbClr>
                  </w14:solidFill>
                </w14:textFill>
              </w:rPr>
              <w:t>|</w:t>
            </w:r>
            <w:r w:rsidRPr="00E639BD">
              <w:rPr>
                <w:rFonts w:hint="eastAsia"/>
                <w:color w:val="000000"/>
                <w:w w:val="18"/>
                <w:shd w:val="solid" w:color="000000" w:fill="000000"/>
                <w:fitText w:val="80" w:id="-761098745"/>
                <w14:textFill>
                  <w14:solidFill>
                    <w14:srgbClr w14:val="000000">
                      <w14:alpha w14:val="100000"/>
                    </w14:srgbClr>
                  </w14:solidFill>
                </w14:textFill>
              </w:rPr>
              <w:t xml:space="preserve">　</w:t>
            </w:r>
            <w:r w:rsidR="00A43D84">
              <w:rPr>
                <w:vertAlign w:val="superscript"/>
              </w:rPr>
              <w:t>7</w:t>
            </w:r>
          </w:p>
        </w:tc>
        <w:tc>
          <w:tcPr>
            <w:tcW w:w="588" w:type="pct"/>
            <w:tcBorders>
              <w:top w:val="single" w:sz="4" w:space="0" w:color="auto"/>
              <w:left w:val="nil"/>
              <w:bottom w:val="single" w:sz="4" w:space="0" w:color="auto"/>
              <w:right w:val="single" w:sz="4" w:space="0" w:color="auto"/>
            </w:tcBorders>
            <w:shd w:val="clear" w:color="auto" w:fill="auto"/>
            <w:vAlign w:val="center"/>
          </w:tcPr>
          <w:p w14:paraId="6CBEC6EA" w14:textId="61633C64" w:rsidR="00E16BBF" w:rsidRPr="00AA6730" w:rsidRDefault="00E639BD">
            <w:pPr>
              <w:pStyle w:val="TableText0"/>
              <w:jc w:val="center"/>
              <w:rPr>
                <w:szCs w:val="20"/>
                <w:highlight w:val="darkGray"/>
              </w:rPr>
            </w:pPr>
            <w:r w:rsidRPr="00E639BD">
              <w:rPr>
                <w:rFonts w:hint="eastAsia"/>
                <w:color w:val="000000"/>
                <w:w w:val="18"/>
                <w:shd w:val="solid" w:color="000000" w:fill="000000"/>
                <w:fitText w:val="80" w:id="-761098744"/>
                <w14:textFill>
                  <w14:solidFill>
                    <w14:srgbClr w14:val="000000">
                      <w14:alpha w14:val="100000"/>
                    </w14:srgbClr>
                  </w14:solidFill>
                </w14:textFill>
              </w:rPr>
              <w:t xml:space="preserve">　</w:t>
            </w:r>
            <w:r w:rsidRPr="00E639BD">
              <w:rPr>
                <w:color w:val="000000"/>
                <w:w w:val="18"/>
                <w:shd w:val="solid" w:color="000000" w:fill="000000"/>
                <w:fitText w:val="80" w:id="-761098744"/>
                <w14:textFill>
                  <w14:solidFill>
                    <w14:srgbClr w14:val="000000">
                      <w14:alpha w14:val="100000"/>
                    </w14:srgbClr>
                  </w14:solidFill>
                </w14:textFill>
              </w:rPr>
              <w:t>|</w:t>
            </w:r>
            <w:r w:rsidRPr="00E639BD">
              <w:rPr>
                <w:rFonts w:hint="eastAsia"/>
                <w:color w:val="000000"/>
                <w:w w:val="18"/>
                <w:shd w:val="solid" w:color="000000" w:fill="000000"/>
                <w:fitText w:val="80" w:id="-761098744"/>
                <w14:textFill>
                  <w14:solidFill>
                    <w14:srgbClr w14:val="000000">
                      <w14:alpha w14:val="100000"/>
                    </w14:srgbClr>
                  </w14:solidFill>
                </w14:textFill>
              </w:rPr>
              <w:t xml:space="preserve">　</w:t>
            </w:r>
            <w:r w:rsidR="00A43D84">
              <w:rPr>
                <w:vertAlign w:val="superscript"/>
              </w:rPr>
              <w:t>5</w:t>
            </w:r>
          </w:p>
        </w:tc>
        <w:tc>
          <w:tcPr>
            <w:tcW w:w="368" w:type="pct"/>
            <w:tcBorders>
              <w:top w:val="single" w:sz="4" w:space="0" w:color="auto"/>
              <w:left w:val="nil"/>
              <w:bottom w:val="single" w:sz="4" w:space="0" w:color="auto"/>
              <w:right w:val="single" w:sz="4" w:space="0" w:color="auto"/>
            </w:tcBorders>
            <w:vAlign w:val="center"/>
          </w:tcPr>
          <w:p w14:paraId="6DE1F0BF" w14:textId="77777777" w:rsidR="00E16BBF" w:rsidRPr="00E16BBF" w:rsidRDefault="00E16BBF">
            <w:pPr>
              <w:pStyle w:val="TableText0"/>
              <w:jc w:val="center"/>
              <w:rPr>
                <w:szCs w:val="20"/>
              </w:rPr>
            </w:pPr>
            <w:r w:rsidRPr="00E16BBF">
              <w:t>-26.2%</w:t>
            </w:r>
          </w:p>
        </w:tc>
      </w:tr>
      <w:tr w:rsidR="00E16BBF" w:rsidRPr="00E16BBF" w14:paraId="4C82A42C" w14:textId="77777777">
        <w:tc>
          <w:tcPr>
            <w:tcW w:w="5000" w:type="pct"/>
            <w:gridSpan w:val="9"/>
            <w:tcBorders>
              <w:left w:val="single" w:sz="4" w:space="0" w:color="auto"/>
              <w:bottom w:val="single" w:sz="4" w:space="0" w:color="auto"/>
              <w:right w:val="single" w:sz="4" w:space="0" w:color="auto"/>
            </w:tcBorders>
            <w:shd w:val="clear" w:color="auto" w:fill="auto"/>
            <w:vAlign w:val="center"/>
          </w:tcPr>
          <w:p w14:paraId="49EAB731" w14:textId="77777777" w:rsidR="00E16BBF" w:rsidRPr="00E16BBF" w:rsidRDefault="00E16BBF">
            <w:pPr>
              <w:pStyle w:val="TableText0"/>
              <w:rPr>
                <w:szCs w:val="20"/>
              </w:rPr>
            </w:pPr>
            <w:r w:rsidRPr="00E16BBF">
              <w:rPr>
                <w:b/>
                <w:szCs w:val="20"/>
              </w:rPr>
              <w:t>Proportion with BCR after RP/RT (base case: 33%)</w:t>
            </w:r>
          </w:p>
        </w:tc>
      </w:tr>
      <w:tr w:rsidR="00E16BBF" w:rsidRPr="00E16BBF" w14:paraId="489E024C" w14:textId="77777777">
        <w:tc>
          <w:tcPr>
            <w:tcW w:w="618" w:type="pct"/>
            <w:tcBorders>
              <w:left w:val="single" w:sz="4" w:space="0" w:color="auto"/>
              <w:bottom w:val="single" w:sz="4" w:space="0" w:color="auto"/>
              <w:right w:val="single" w:sz="4" w:space="0" w:color="auto"/>
            </w:tcBorders>
            <w:shd w:val="clear" w:color="auto" w:fill="auto"/>
            <w:vAlign w:val="center"/>
          </w:tcPr>
          <w:p w14:paraId="4AE10FDD" w14:textId="77777777" w:rsidR="00E16BBF" w:rsidRPr="00E16BBF" w:rsidRDefault="00E16BBF">
            <w:pPr>
              <w:pStyle w:val="TableText0"/>
              <w:rPr>
                <w:szCs w:val="20"/>
              </w:rPr>
            </w:pPr>
            <w:r w:rsidRPr="00E16BBF">
              <w:rPr>
                <w:szCs w:val="20"/>
              </w:rPr>
              <w:t>21%</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372A6FFF" w14:textId="0D2D34DF" w:rsidR="00E16BBF" w:rsidRPr="00AA6730" w:rsidRDefault="00E639BD">
            <w:pPr>
              <w:pStyle w:val="TableText0"/>
              <w:jc w:val="center"/>
              <w:rPr>
                <w:rFonts w:cs="Arial"/>
                <w:color w:val="000000"/>
                <w:szCs w:val="20"/>
                <w:highlight w:val="darkGray"/>
              </w:rPr>
            </w:pPr>
            <w:r w:rsidRPr="00E639BD">
              <w:rPr>
                <w:rFonts w:hint="eastAsia"/>
                <w:color w:val="000000"/>
                <w:w w:val="27"/>
                <w:shd w:val="solid" w:color="000000" w:fill="000000"/>
                <w:fitText w:val="120" w:id="-761098743"/>
                <w14:textFill>
                  <w14:solidFill>
                    <w14:srgbClr w14:val="000000">
                      <w14:alpha w14:val="100000"/>
                    </w14:srgbClr>
                  </w14:solidFill>
                </w14:textFill>
              </w:rPr>
              <w:t xml:space="preserve">　</w:t>
            </w:r>
            <w:r w:rsidRPr="00E639BD">
              <w:rPr>
                <w:color w:val="000000"/>
                <w:w w:val="27"/>
                <w:shd w:val="solid" w:color="000000" w:fill="000000"/>
                <w:fitText w:val="120" w:id="-761098743"/>
                <w14:textFill>
                  <w14:solidFill>
                    <w14:srgbClr w14:val="000000">
                      <w14:alpha w14:val="100000"/>
                    </w14:srgbClr>
                  </w14:solidFill>
                </w14:textFill>
              </w:rPr>
              <w:t>|</w:t>
            </w:r>
            <w:r w:rsidRPr="00E639BD">
              <w:rPr>
                <w:rFonts w:hint="eastAsia"/>
                <w:color w:val="000000"/>
                <w:spacing w:val="2"/>
                <w:w w:val="27"/>
                <w:shd w:val="solid" w:color="000000" w:fill="000000"/>
                <w:fitText w:val="120" w:id="-761098743"/>
                <w14:textFill>
                  <w14:solidFill>
                    <w14:srgbClr w14:val="000000">
                      <w14:alpha w14:val="100000"/>
                    </w14:srgbClr>
                  </w14:solidFill>
                </w14:textFill>
              </w:rPr>
              <w:t xml:space="preserve">　</w:t>
            </w:r>
            <w:r w:rsidR="00A43D84">
              <w:rPr>
                <w:vertAlign w:val="superscript"/>
              </w:rPr>
              <w:t>8</w:t>
            </w:r>
          </w:p>
        </w:tc>
        <w:tc>
          <w:tcPr>
            <w:tcW w:w="537" w:type="pct"/>
            <w:tcBorders>
              <w:top w:val="single" w:sz="4" w:space="0" w:color="auto"/>
              <w:left w:val="nil"/>
              <w:bottom w:val="single" w:sz="4" w:space="0" w:color="auto"/>
              <w:right w:val="single" w:sz="4" w:space="0" w:color="auto"/>
            </w:tcBorders>
            <w:shd w:val="clear" w:color="auto" w:fill="auto"/>
            <w:vAlign w:val="center"/>
          </w:tcPr>
          <w:p w14:paraId="721753E3" w14:textId="6A3D6E81" w:rsidR="00E16BBF" w:rsidRPr="00AA6730" w:rsidRDefault="00E639BD">
            <w:pPr>
              <w:pStyle w:val="TableText0"/>
              <w:jc w:val="center"/>
              <w:rPr>
                <w:rFonts w:cs="Arial"/>
                <w:color w:val="000000"/>
                <w:szCs w:val="20"/>
                <w:highlight w:val="darkGray"/>
              </w:rPr>
            </w:pPr>
            <w:r w:rsidRPr="00E639BD">
              <w:rPr>
                <w:rFonts w:hint="eastAsia"/>
                <w:color w:val="000000"/>
                <w:w w:val="27"/>
                <w:shd w:val="solid" w:color="000000" w:fill="000000"/>
                <w:fitText w:val="120" w:id="-761098742"/>
                <w14:textFill>
                  <w14:solidFill>
                    <w14:srgbClr w14:val="000000">
                      <w14:alpha w14:val="100000"/>
                    </w14:srgbClr>
                  </w14:solidFill>
                </w14:textFill>
              </w:rPr>
              <w:t xml:space="preserve">　</w:t>
            </w:r>
            <w:r w:rsidRPr="00E639BD">
              <w:rPr>
                <w:color w:val="000000"/>
                <w:w w:val="27"/>
                <w:shd w:val="solid" w:color="000000" w:fill="000000"/>
                <w:fitText w:val="120" w:id="-761098742"/>
                <w14:textFill>
                  <w14:solidFill>
                    <w14:srgbClr w14:val="000000">
                      <w14:alpha w14:val="100000"/>
                    </w14:srgbClr>
                  </w14:solidFill>
                </w14:textFill>
              </w:rPr>
              <w:t>|</w:t>
            </w:r>
            <w:r w:rsidRPr="00E639BD">
              <w:rPr>
                <w:rFonts w:hint="eastAsia"/>
                <w:color w:val="000000"/>
                <w:spacing w:val="2"/>
                <w:w w:val="27"/>
                <w:shd w:val="solid" w:color="000000" w:fill="000000"/>
                <w:fitText w:val="120" w:id="-761098742"/>
                <w14:textFill>
                  <w14:solidFill>
                    <w14:srgbClr w14:val="000000">
                      <w14:alpha w14:val="100000"/>
                    </w14:srgbClr>
                  </w14:solidFill>
                </w14:textFill>
              </w:rPr>
              <w:t xml:space="preserve">　</w:t>
            </w:r>
            <w:r w:rsidR="00A43D84">
              <w:rPr>
                <w:vertAlign w:val="superscript"/>
              </w:rPr>
              <w:t>8</w:t>
            </w:r>
          </w:p>
        </w:tc>
        <w:tc>
          <w:tcPr>
            <w:tcW w:w="588" w:type="pct"/>
            <w:tcBorders>
              <w:top w:val="single" w:sz="4" w:space="0" w:color="auto"/>
              <w:left w:val="nil"/>
              <w:bottom w:val="single" w:sz="4" w:space="0" w:color="auto"/>
              <w:right w:val="single" w:sz="4" w:space="0" w:color="auto"/>
            </w:tcBorders>
            <w:shd w:val="clear" w:color="auto" w:fill="auto"/>
            <w:vAlign w:val="center"/>
          </w:tcPr>
          <w:p w14:paraId="03FA2BE5" w14:textId="58BEFFE0"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741"/>
                <w14:textFill>
                  <w14:solidFill>
                    <w14:srgbClr w14:val="000000">
                      <w14:alpha w14:val="100000"/>
                    </w14:srgbClr>
                  </w14:solidFill>
                </w14:textFill>
              </w:rPr>
              <w:t xml:space="preserve">　</w:t>
            </w:r>
            <w:r w:rsidRPr="00E639BD">
              <w:rPr>
                <w:color w:val="000000"/>
                <w:w w:val="18"/>
                <w:shd w:val="solid" w:color="000000" w:fill="000000"/>
                <w:fitText w:val="80" w:id="-761098741"/>
                <w14:textFill>
                  <w14:solidFill>
                    <w14:srgbClr w14:val="000000">
                      <w14:alpha w14:val="100000"/>
                    </w14:srgbClr>
                  </w14:solidFill>
                </w14:textFill>
              </w:rPr>
              <w:t>|</w:t>
            </w:r>
            <w:r w:rsidRPr="00E639BD">
              <w:rPr>
                <w:rFonts w:hint="eastAsia"/>
                <w:color w:val="000000"/>
                <w:w w:val="18"/>
                <w:shd w:val="solid" w:color="000000" w:fill="000000"/>
                <w:fitText w:val="80" w:id="-761098741"/>
                <w14:textFill>
                  <w14:solidFill>
                    <w14:srgbClr w14:val="000000">
                      <w14:alpha w14:val="100000"/>
                    </w14:srgbClr>
                  </w14:solidFill>
                </w14:textFill>
              </w:rPr>
              <w:t xml:space="preserve">　</w:t>
            </w:r>
            <w:r w:rsidR="00A43D84">
              <w:rPr>
                <w:vertAlign w:val="superscript"/>
              </w:rPr>
              <w:t>8</w:t>
            </w:r>
          </w:p>
        </w:tc>
        <w:tc>
          <w:tcPr>
            <w:tcW w:w="588" w:type="pct"/>
            <w:tcBorders>
              <w:top w:val="single" w:sz="4" w:space="0" w:color="auto"/>
              <w:left w:val="nil"/>
              <w:bottom w:val="single" w:sz="4" w:space="0" w:color="auto"/>
              <w:right w:val="single" w:sz="4" w:space="0" w:color="auto"/>
            </w:tcBorders>
            <w:shd w:val="clear" w:color="auto" w:fill="auto"/>
            <w:vAlign w:val="center"/>
          </w:tcPr>
          <w:p w14:paraId="2F72B08E" w14:textId="76E49988"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740"/>
                <w14:textFill>
                  <w14:solidFill>
                    <w14:srgbClr w14:val="000000">
                      <w14:alpha w14:val="100000"/>
                    </w14:srgbClr>
                  </w14:solidFill>
                </w14:textFill>
              </w:rPr>
              <w:t xml:space="preserve">　</w:t>
            </w:r>
            <w:r w:rsidRPr="00E639BD">
              <w:rPr>
                <w:color w:val="000000"/>
                <w:w w:val="18"/>
                <w:shd w:val="solid" w:color="000000" w:fill="000000"/>
                <w:fitText w:val="80" w:id="-761098740"/>
                <w14:textFill>
                  <w14:solidFill>
                    <w14:srgbClr w14:val="000000">
                      <w14:alpha w14:val="100000"/>
                    </w14:srgbClr>
                  </w14:solidFill>
                </w14:textFill>
              </w:rPr>
              <w:t>|</w:t>
            </w:r>
            <w:r w:rsidRPr="00E639BD">
              <w:rPr>
                <w:rFonts w:hint="eastAsia"/>
                <w:color w:val="000000"/>
                <w:w w:val="18"/>
                <w:shd w:val="solid" w:color="000000" w:fill="000000"/>
                <w:fitText w:val="80" w:id="-761098740"/>
                <w14:textFill>
                  <w14:solidFill>
                    <w14:srgbClr w14:val="000000">
                      <w14:alpha w14:val="100000"/>
                    </w14:srgbClr>
                  </w14:solidFill>
                </w14:textFill>
              </w:rPr>
              <w:t xml:space="preserve">　</w:t>
            </w:r>
            <w:r w:rsidR="00A43D84">
              <w:rPr>
                <w:vertAlign w:val="superscript"/>
              </w:rPr>
              <w:t>7</w:t>
            </w:r>
          </w:p>
        </w:tc>
        <w:tc>
          <w:tcPr>
            <w:tcW w:w="588" w:type="pct"/>
            <w:tcBorders>
              <w:top w:val="single" w:sz="4" w:space="0" w:color="auto"/>
              <w:left w:val="nil"/>
              <w:bottom w:val="single" w:sz="4" w:space="0" w:color="auto"/>
              <w:right w:val="single" w:sz="4" w:space="0" w:color="auto"/>
            </w:tcBorders>
            <w:shd w:val="clear" w:color="auto" w:fill="auto"/>
            <w:vAlign w:val="center"/>
          </w:tcPr>
          <w:p w14:paraId="5DEC128C" w14:textId="6E193040"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739"/>
                <w14:textFill>
                  <w14:solidFill>
                    <w14:srgbClr w14:val="000000">
                      <w14:alpha w14:val="100000"/>
                    </w14:srgbClr>
                  </w14:solidFill>
                </w14:textFill>
              </w:rPr>
              <w:t xml:space="preserve">　</w:t>
            </w:r>
            <w:r w:rsidRPr="00E639BD">
              <w:rPr>
                <w:color w:val="000000"/>
                <w:w w:val="18"/>
                <w:shd w:val="solid" w:color="000000" w:fill="000000"/>
                <w:fitText w:val="80" w:id="-761098739"/>
                <w14:textFill>
                  <w14:solidFill>
                    <w14:srgbClr w14:val="000000">
                      <w14:alpha w14:val="100000"/>
                    </w14:srgbClr>
                  </w14:solidFill>
                </w14:textFill>
              </w:rPr>
              <w:t>|</w:t>
            </w:r>
            <w:r w:rsidRPr="00E639BD">
              <w:rPr>
                <w:rFonts w:hint="eastAsia"/>
                <w:color w:val="000000"/>
                <w:w w:val="18"/>
                <w:shd w:val="solid" w:color="000000" w:fill="000000"/>
                <w:fitText w:val="80" w:id="-761098739"/>
                <w14:textFill>
                  <w14:solidFill>
                    <w14:srgbClr w14:val="000000">
                      <w14:alpha w14:val="100000"/>
                    </w14:srgbClr>
                  </w14:solidFill>
                </w14:textFill>
              </w:rPr>
              <w:t xml:space="preserve">　</w:t>
            </w:r>
            <w:r w:rsidR="00A43D84">
              <w:rPr>
                <w:vertAlign w:val="superscript"/>
              </w:rPr>
              <w:t>7</w:t>
            </w:r>
          </w:p>
        </w:tc>
        <w:tc>
          <w:tcPr>
            <w:tcW w:w="588" w:type="pct"/>
            <w:tcBorders>
              <w:top w:val="single" w:sz="4" w:space="0" w:color="auto"/>
              <w:left w:val="nil"/>
              <w:bottom w:val="single" w:sz="4" w:space="0" w:color="auto"/>
              <w:right w:val="single" w:sz="4" w:space="0" w:color="auto"/>
            </w:tcBorders>
            <w:shd w:val="clear" w:color="auto" w:fill="auto"/>
            <w:vAlign w:val="center"/>
          </w:tcPr>
          <w:p w14:paraId="44907254" w14:textId="555379B4"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738"/>
                <w14:textFill>
                  <w14:solidFill>
                    <w14:srgbClr w14:val="000000">
                      <w14:alpha w14:val="100000"/>
                    </w14:srgbClr>
                  </w14:solidFill>
                </w14:textFill>
              </w:rPr>
              <w:t xml:space="preserve">　</w:t>
            </w:r>
            <w:r w:rsidRPr="00E639BD">
              <w:rPr>
                <w:color w:val="000000"/>
                <w:w w:val="18"/>
                <w:shd w:val="solid" w:color="000000" w:fill="000000"/>
                <w:fitText w:val="80" w:id="-761098738"/>
                <w14:textFill>
                  <w14:solidFill>
                    <w14:srgbClr w14:val="000000">
                      <w14:alpha w14:val="100000"/>
                    </w14:srgbClr>
                  </w14:solidFill>
                </w14:textFill>
              </w:rPr>
              <w:t>|</w:t>
            </w:r>
            <w:r w:rsidRPr="00E639BD">
              <w:rPr>
                <w:rFonts w:hint="eastAsia"/>
                <w:color w:val="000000"/>
                <w:w w:val="18"/>
                <w:shd w:val="solid" w:color="000000" w:fill="000000"/>
                <w:fitText w:val="80" w:id="-761098738"/>
                <w14:textFill>
                  <w14:solidFill>
                    <w14:srgbClr w14:val="000000">
                      <w14:alpha w14:val="100000"/>
                    </w14:srgbClr>
                  </w14:solidFill>
                </w14:textFill>
              </w:rPr>
              <w:t xml:space="preserve">　</w:t>
            </w:r>
            <w:r w:rsidR="00A43D84">
              <w:rPr>
                <w:vertAlign w:val="superscript"/>
              </w:rPr>
              <w:t>8</w:t>
            </w:r>
          </w:p>
        </w:tc>
        <w:tc>
          <w:tcPr>
            <w:tcW w:w="588" w:type="pct"/>
            <w:tcBorders>
              <w:top w:val="single" w:sz="4" w:space="0" w:color="auto"/>
              <w:left w:val="nil"/>
              <w:bottom w:val="single" w:sz="4" w:space="0" w:color="auto"/>
              <w:right w:val="single" w:sz="4" w:space="0" w:color="auto"/>
            </w:tcBorders>
            <w:shd w:val="clear" w:color="auto" w:fill="auto"/>
            <w:vAlign w:val="center"/>
          </w:tcPr>
          <w:p w14:paraId="747EE8D0" w14:textId="75749A8E" w:rsidR="00E16BBF" w:rsidRPr="00AA6730" w:rsidRDefault="00E639BD">
            <w:pPr>
              <w:pStyle w:val="TableText0"/>
              <w:jc w:val="center"/>
              <w:rPr>
                <w:szCs w:val="20"/>
                <w:highlight w:val="darkGray"/>
              </w:rPr>
            </w:pPr>
            <w:r w:rsidRPr="00E639BD">
              <w:rPr>
                <w:rFonts w:hint="eastAsia"/>
                <w:color w:val="000000"/>
                <w:w w:val="18"/>
                <w:shd w:val="solid" w:color="000000" w:fill="000000"/>
                <w:fitText w:val="80" w:id="-761098737"/>
                <w14:textFill>
                  <w14:solidFill>
                    <w14:srgbClr w14:val="000000">
                      <w14:alpha w14:val="100000"/>
                    </w14:srgbClr>
                  </w14:solidFill>
                </w14:textFill>
              </w:rPr>
              <w:t xml:space="preserve">　</w:t>
            </w:r>
            <w:r w:rsidRPr="00E639BD">
              <w:rPr>
                <w:color w:val="000000"/>
                <w:w w:val="18"/>
                <w:shd w:val="solid" w:color="000000" w:fill="000000"/>
                <w:fitText w:val="80" w:id="-761098737"/>
                <w14:textFill>
                  <w14:solidFill>
                    <w14:srgbClr w14:val="000000">
                      <w14:alpha w14:val="100000"/>
                    </w14:srgbClr>
                  </w14:solidFill>
                </w14:textFill>
              </w:rPr>
              <w:t>|</w:t>
            </w:r>
            <w:r w:rsidRPr="00E639BD">
              <w:rPr>
                <w:rFonts w:hint="eastAsia"/>
                <w:color w:val="000000"/>
                <w:w w:val="18"/>
                <w:shd w:val="solid" w:color="000000" w:fill="000000"/>
                <w:fitText w:val="80" w:id="-761098737"/>
                <w14:textFill>
                  <w14:solidFill>
                    <w14:srgbClr w14:val="000000">
                      <w14:alpha w14:val="100000"/>
                    </w14:srgbClr>
                  </w14:solidFill>
                </w14:textFill>
              </w:rPr>
              <w:t xml:space="preserve">　</w:t>
            </w:r>
            <w:r w:rsidR="00A43D84">
              <w:rPr>
                <w:vertAlign w:val="superscript"/>
              </w:rPr>
              <w:t>5</w:t>
            </w:r>
          </w:p>
        </w:tc>
        <w:tc>
          <w:tcPr>
            <w:tcW w:w="368" w:type="pct"/>
            <w:tcBorders>
              <w:top w:val="single" w:sz="4" w:space="0" w:color="auto"/>
              <w:left w:val="nil"/>
              <w:bottom w:val="single" w:sz="4" w:space="0" w:color="auto"/>
              <w:right w:val="single" w:sz="4" w:space="0" w:color="auto"/>
            </w:tcBorders>
            <w:vAlign w:val="center"/>
          </w:tcPr>
          <w:p w14:paraId="43B66DC5" w14:textId="77777777" w:rsidR="00E16BBF" w:rsidRPr="00E16BBF" w:rsidRDefault="00E16BBF">
            <w:pPr>
              <w:pStyle w:val="TableText0"/>
              <w:jc w:val="center"/>
              <w:rPr>
                <w:szCs w:val="20"/>
              </w:rPr>
            </w:pPr>
            <w:r w:rsidRPr="00E16BBF">
              <w:t>-35.9%</w:t>
            </w:r>
          </w:p>
        </w:tc>
      </w:tr>
      <w:tr w:rsidR="00E16BBF" w:rsidRPr="00E16BBF" w14:paraId="3427F819" w14:textId="77777777">
        <w:tc>
          <w:tcPr>
            <w:tcW w:w="5000" w:type="pct"/>
            <w:gridSpan w:val="9"/>
            <w:tcBorders>
              <w:left w:val="single" w:sz="4" w:space="0" w:color="auto"/>
              <w:bottom w:val="single" w:sz="4" w:space="0" w:color="auto"/>
              <w:right w:val="single" w:sz="4" w:space="0" w:color="auto"/>
            </w:tcBorders>
            <w:shd w:val="clear" w:color="auto" w:fill="auto"/>
            <w:vAlign w:val="center"/>
          </w:tcPr>
          <w:p w14:paraId="70CAEE61" w14:textId="77777777" w:rsidR="00E16BBF" w:rsidRPr="00E16BBF" w:rsidRDefault="00E16BBF">
            <w:pPr>
              <w:pStyle w:val="TableText0"/>
              <w:rPr>
                <w:szCs w:val="20"/>
              </w:rPr>
            </w:pPr>
            <w:r w:rsidRPr="00E16BBF">
              <w:rPr>
                <w:b/>
                <w:szCs w:val="20"/>
              </w:rPr>
              <w:t>Subsequent treatment (base case: 100% NHA avoided, 100% docetaxel increase)</w:t>
            </w:r>
          </w:p>
        </w:tc>
      </w:tr>
      <w:tr w:rsidR="00E16BBF" w:rsidRPr="00E16BBF" w14:paraId="4CCF0D22" w14:textId="77777777" w:rsidTr="00DF24EF">
        <w:tc>
          <w:tcPr>
            <w:tcW w:w="618" w:type="pct"/>
            <w:tcBorders>
              <w:left w:val="single" w:sz="4" w:space="0" w:color="auto"/>
              <w:right w:val="single" w:sz="4" w:space="0" w:color="auto"/>
            </w:tcBorders>
            <w:shd w:val="clear" w:color="auto" w:fill="auto"/>
            <w:vAlign w:val="center"/>
          </w:tcPr>
          <w:p w14:paraId="7C65B078" w14:textId="77777777" w:rsidR="00E16BBF" w:rsidRPr="00E16BBF" w:rsidRDefault="00E16BBF">
            <w:pPr>
              <w:pStyle w:val="TableText0"/>
              <w:rPr>
                <w:szCs w:val="20"/>
              </w:rPr>
            </w:pPr>
            <w:r w:rsidRPr="00E16BBF">
              <w:rPr>
                <w:szCs w:val="20"/>
              </w:rPr>
              <w:t>None</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642FE02E" w14:textId="7E608D70" w:rsidR="00E16BBF" w:rsidRPr="00AA6730" w:rsidRDefault="00E639BD">
            <w:pPr>
              <w:pStyle w:val="TableText0"/>
              <w:jc w:val="center"/>
              <w:rPr>
                <w:rFonts w:cs="Arial"/>
                <w:color w:val="000000"/>
                <w:szCs w:val="20"/>
                <w:highlight w:val="darkGray"/>
              </w:rPr>
            </w:pPr>
            <w:r w:rsidRPr="00E639BD">
              <w:rPr>
                <w:rFonts w:hint="eastAsia"/>
                <w:color w:val="000000"/>
                <w:w w:val="27"/>
                <w:shd w:val="solid" w:color="000000" w:fill="000000"/>
                <w:fitText w:val="120" w:id="-761098736"/>
                <w14:textFill>
                  <w14:solidFill>
                    <w14:srgbClr w14:val="000000">
                      <w14:alpha w14:val="100000"/>
                    </w14:srgbClr>
                  </w14:solidFill>
                </w14:textFill>
              </w:rPr>
              <w:t xml:space="preserve">　</w:t>
            </w:r>
            <w:r w:rsidRPr="00E639BD">
              <w:rPr>
                <w:color w:val="000000"/>
                <w:w w:val="27"/>
                <w:shd w:val="solid" w:color="000000" w:fill="000000"/>
                <w:fitText w:val="120" w:id="-761098736"/>
                <w14:textFill>
                  <w14:solidFill>
                    <w14:srgbClr w14:val="000000">
                      <w14:alpha w14:val="100000"/>
                    </w14:srgbClr>
                  </w14:solidFill>
                </w14:textFill>
              </w:rPr>
              <w:t>|</w:t>
            </w:r>
            <w:r w:rsidRPr="00E639BD">
              <w:rPr>
                <w:rFonts w:hint="eastAsia"/>
                <w:color w:val="000000"/>
                <w:spacing w:val="2"/>
                <w:w w:val="27"/>
                <w:shd w:val="solid" w:color="000000" w:fill="000000"/>
                <w:fitText w:val="120" w:id="-761098736"/>
                <w14:textFill>
                  <w14:solidFill>
                    <w14:srgbClr w14:val="000000">
                      <w14:alpha w14:val="100000"/>
                    </w14:srgbClr>
                  </w14:solidFill>
                </w14:textFill>
              </w:rPr>
              <w:t xml:space="preserve">　</w:t>
            </w:r>
            <w:r w:rsidR="00A43D84" w:rsidRPr="00A43D84">
              <w:rPr>
                <w:vertAlign w:val="superscript"/>
              </w:rPr>
              <w:t>1</w:t>
            </w:r>
          </w:p>
        </w:tc>
        <w:tc>
          <w:tcPr>
            <w:tcW w:w="537" w:type="pct"/>
            <w:tcBorders>
              <w:top w:val="single" w:sz="4" w:space="0" w:color="auto"/>
              <w:left w:val="nil"/>
              <w:bottom w:val="single" w:sz="4" w:space="0" w:color="auto"/>
              <w:right w:val="single" w:sz="4" w:space="0" w:color="auto"/>
            </w:tcBorders>
            <w:shd w:val="clear" w:color="auto" w:fill="auto"/>
            <w:vAlign w:val="center"/>
          </w:tcPr>
          <w:p w14:paraId="1BB836D4" w14:textId="7E599007" w:rsidR="00E16BBF" w:rsidRPr="00AA6730" w:rsidRDefault="00E639BD">
            <w:pPr>
              <w:pStyle w:val="TableText0"/>
              <w:jc w:val="center"/>
              <w:rPr>
                <w:rFonts w:cs="Arial"/>
                <w:color w:val="000000"/>
                <w:szCs w:val="20"/>
                <w:highlight w:val="darkGray"/>
              </w:rPr>
            </w:pPr>
            <w:r w:rsidRPr="00E639BD">
              <w:rPr>
                <w:rFonts w:hint="eastAsia"/>
                <w:color w:val="000000"/>
                <w:w w:val="27"/>
                <w:shd w:val="solid" w:color="000000" w:fill="000000"/>
                <w:fitText w:val="120" w:id="-761098752"/>
                <w14:textFill>
                  <w14:solidFill>
                    <w14:srgbClr w14:val="000000">
                      <w14:alpha w14:val="100000"/>
                    </w14:srgbClr>
                  </w14:solidFill>
                </w14:textFill>
              </w:rPr>
              <w:t xml:space="preserve">　</w:t>
            </w:r>
            <w:r w:rsidRPr="00E639BD">
              <w:rPr>
                <w:color w:val="000000"/>
                <w:w w:val="27"/>
                <w:shd w:val="solid" w:color="000000" w:fill="000000"/>
                <w:fitText w:val="120" w:id="-761098752"/>
                <w14:textFill>
                  <w14:solidFill>
                    <w14:srgbClr w14:val="000000">
                      <w14:alpha w14:val="100000"/>
                    </w14:srgbClr>
                  </w14:solidFill>
                </w14:textFill>
              </w:rPr>
              <w:t>|</w:t>
            </w:r>
            <w:r w:rsidRPr="00E639BD">
              <w:rPr>
                <w:rFonts w:hint="eastAsia"/>
                <w:color w:val="000000"/>
                <w:spacing w:val="2"/>
                <w:w w:val="27"/>
                <w:shd w:val="solid" w:color="000000" w:fill="000000"/>
                <w:fitText w:val="120" w:id="-761098752"/>
                <w14:textFill>
                  <w14:solidFill>
                    <w14:srgbClr w14:val="000000">
                      <w14:alpha w14:val="100000"/>
                    </w14:srgbClr>
                  </w14:solidFill>
                </w14:textFill>
              </w:rPr>
              <w:t xml:space="preserve">　</w:t>
            </w:r>
            <w:r w:rsidR="00A43D84" w:rsidRPr="00A43D84">
              <w:rPr>
                <w:vertAlign w:val="superscript"/>
              </w:rPr>
              <w:t>1</w:t>
            </w:r>
          </w:p>
        </w:tc>
        <w:tc>
          <w:tcPr>
            <w:tcW w:w="588" w:type="pct"/>
            <w:tcBorders>
              <w:top w:val="single" w:sz="4" w:space="0" w:color="auto"/>
              <w:left w:val="nil"/>
              <w:bottom w:val="single" w:sz="4" w:space="0" w:color="auto"/>
              <w:right w:val="single" w:sz="4" w:space="0" w:color="auto"/>
            </w:tcBorders>
            <w:shd w:val="clear" w:color="auto" w:fill="auto"/>
            <w:vAlign w:val="center"/>
          </w:tcPr>
          <w:p w14:paraId="051C2EFF" w14:textId="3F7DEFEC"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751"/>
                <w14:textFill>
                  <w14:solidFill>
                    <w14:srgbClr w14:val="000000">
                      <w14:alpha w14:val="100000"/>
                    </w14:srgbClr>
                  </w14:solidFill>
                </w14:textFill>
              </w:rPr>
              <w:t xml:space="preserve">　</w:t>
            </w:r>
            <w:r w:rsidRPr="00E639BD">
              <w:rPr>
                <w:color w:val="000000"/>
                <w:w w:val="18"/>
                <w:shd w:val="solid" w:color="000000" w:fill="000000"/>
                <w:fitText w:val="80" w:id="-761098751"/>
                <w14:textFill>
                  <w14:solidFill>
                    <w14:srgbClr w14:val="000000">
                      <w14:alpha w14:val="100000"/>
                    </w14:srgbClr>
                  </w14:solidFill>
                </w14:textFill>
              </w:rPr>
              <w:t>|</w:t>
            </w:r>
            <w:r w:rsidRPr="00E639BD">
              <w:rPr>
                <w:rFonts w:hint="eastAsia"/>
                <w:color w:val="000000"/>
                <w:w w:val="18"/>
                <w:shd w:val="solid" w:color="000000" w:fill="000000"/>
                <w:fitText w:val="80" w:id="-761098751"/>
                <w14:textFill>
                  <w14:solidFill>
                    <w14:srgbClr w14:val="000000">
                      <w14:alpha w14:val="100000"/>
                    </w14:srgbClr>
                  </w14:solidFill>
                </w14:textFill>
              </w:rPr>
              <w:t xml:space="preserve">　</w:t>
            </w:r>
            <w:r w:rsidR="00A43D84" w:rsidRPr="00A43D84">
              <w:rPr>
                <w:vertAlign w:val="superscript"/>
              </w:rPr>
              <w:t>1</w:t>
            </w:r>
          </w:p>
        </w:tc>
        <w:tc>
          <w:tcPr>
            <w:tcW w:w="588" w:type="pct"/>
            <w:tcBorders>
              <w:top w:val="single" w:sz="4" w:space="0" w:color="auto"/>
              <w:left w:val="nil"/>
              <w:bottom w:val="single" w:sz="4" w:space="0" w:color="auto"/>
              <w:right w:val="single" w:sz="4" w:space="0" w:color="auto"/>
            </w:tcBorders>
            <w:shd w:val="clear" w:color="auto" w:fill="auto"/>
            <w:vAlign w:val="center"/>
          </w:tcPr>
          <w:p w14:paraId="2543A728" w14:textId="5FB99561"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750"/>
                <w14:textFill>
                  <w14:solidFill>
                    <w14:srgbClr w14:val="000000">
                      <w14:alpha w14:val="100000"/>
                    </w14:srgbClr>
                  </w14:solidFill>
                </w14:textFill>
              </w:rPr>
              <w:t xml:space="preserve">　</w:t>
            </w:r>
            <w:r w:rsidRPr="00E639BD">
              <w:rPr>
                <w:color w:val="000000"/>
                <w:w w:val="18"/>
                <w:shd w:val="solid" w:color="000000" w:fill="000000"/>
                <w:fitText w:val="80" w:id="-761098750"/>
                <w14:textFill>
                  <w14:solidFill>
                    <w14:srgbClr w14:val="000000">
                      <w14:alpha w14:val="100000"/>
                    </w14:srgbClr>
                  </w14:solidFill>
                </w14:textFill>
              </w:rPr>
              <w:t>|</w:t>
            </w:r>
            <w:r w:rsidRPr="00E639BD">
              <w:rPr>
                <w:rFonts w:hint="eastAsia"/>
                <w:color w:val="000000"/>
                <w:w w:val="18"/>
                <w:shd w:val="solid" w:color="000000" w:fill="000000"/>
                <w:fitText w:val="80" w:id="-761098750"/>
                <w14:textFill>
                  <w14:solidFill>
                    <w14:srgbClr w14:val="000000">
                      <w14:alpha w14:val="100000"/>
                    </w14:srgbClr>
                  </w14:solidFill>
                </w14:textFill>
              </w:rPr>
              <w:t xml:space="preserve">　</w:t>
            </w:r>
            <w:r w:rsidR="00A43D84">
              <w:rPr>
                <w:vertAlign w:val="superscript"/>
              </w:rPr>
              <w:t>2</w:t>
            </w:r>
          </w:p>
        </w:tc>
        <w:tc>
          <w:tcPr>
            <w:tcW w:w="588" w:type="pct"/>
            <w:tcBorders>
              <w:top w:val="single" w:sz="4" w:space="0" w:color="auto"/>
              <w:left w:val="nil"/>
              <w:bottom w:val="single" w:sz="4" w:space="0" w:color="auto"/>
              <w:right w:val="single" w:sz="4" w:space="0" w:color="auto"/>
            </w:tcBorders>
            <w:shd w:val="clear" w:color="auto" w:fill="auto"/>
            <w:vAlign w:val="center"/>
          </w:tcPr>
          <w:p w14:paraId="2F707E0D" w14:textId="163B57E9"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749"/>
                <w14:textFill>
                  <w14:solidFill>
                    <w14:srgbClr w14:val="000000">
                      <w14:alpha w14:val="100000"/>
                    </w14:srgbClr>
                  </w14:solidFill>
                </w14:textFill>
              </w:rPr>
              <w:t xml:space="preserve">　</w:t>
            </w:r>
            <w:r w:rsidRPr="00E639BD">
              <w:rPr>
                <w:color w:val="000000"/>
                <w:w w:val="18"/>
                <w:shd w:val="solid" w:color="000000" w:fill="000000"/>
                <w:fitText w:val="80" w:id="-761098749"/>
                <w14:textFill>
                  <w14:solidFill>
                    <w14:srgbClr w14:val="000000">
                      <w14:alpha w14:val="100000"/>
                    </w14:srgbClr>
                  </w14:solidFill>
                </w14:textFill>
              </w:rPr>
              <w:t>|</w:t>
            </w:r>
            <w:r w:rsidRPr="00E639BD">
              <w:rPr>
                <w:rFonts w:hint="eastAsia"/>
                <w:color w:val="000000"/>
                <w:w w:val="18"/>
                <w:shd w:val="solid" w:color="000000" w:fill="000000"/>
                <w:fitText w:val="80" w:id="-761098749"/>
                <w14:textFill>
                  <w14:solidFill>
                    <w14:srgbClr w14:val="000000">
                      <w14:alpha w14:val="100000"/>
                    </w14:srgbClr>
                  </w14:solidFill>
                </w14:textFill>
              </w:rPr>
              <w:t xml:space="preserve">　</w:t>
            </w:r>
            <w:r w:rsidR="00A43D84">
              <w:rPr>
                <w:vertAlign w:val="superscript"/>
              </w:rPr>
              <w:t>9</w:t>
            </w:r>
          </w:p>
        </w:tc>
        <w:tc>
          <w:tcPr>
            <w:tcW w:w="588" w:type="pct"/>
            <w:tcBorders>
              <w:top w:val="single" w:sz="4" w:space="0" w:color="auto"/>
              <w:left w:val="nil"/>
              <w:bottom w:val="single" w:sz="4" w:space="0" w:color="auto"/>
              <w:right w:val="single" w:sz="4" w:space="0" w:color="auto"/>
            </w:tcBorders>
            <w:shd w:val="clear" w:color="auto" w:fill="auto"/>
            <w:vAlign w:val="center"/>
          </w:tcPr>
          <w:p w14:paraId="09A08E5F" w14:textId="492CF14E" w:rsidR="00E16BBF" w:rsidRPr="00AA6730" w:rsidRDefault="00E639BD">
            <w:pPr>
              <w:pStyle w:val="TableText0"/>
              <w:jc w:val="center"/>
              <w:rPr>
                <w:rFonts w:cs="Arial"/>
                <w:color w:val="000000"/>
                <w:szCs w:val="20"/>
                <w:highlight w:val="darkGray"/>
              </w:rPr>
            </w:pPr>
            <w:r w:rsidRPr="00E639BD">
              <w:rPr>
                <w:rFonts w:hint="eastAsia"/>
                <w:color w:val="000000"/>
                <w:w w:val="18"/>
                <w:shd w:val="solid" w:color="000000" w:fill="000000"/>
                <w:fitText w:val="80" w:id="-761098496"/>
                <w14:textFill>
                  <w14:solidFill>
                    <w14:srgbClr w14:val="000000">
                      <w14:alpha w14:val="100000"/>
                    </w14:srgbClr>
                  </w14:solidFill>
                </w14:textFill>
              </w:rPr>
              <w:t xml:space="preserve">　</w:t>
            </w:r>
            <w:r w:rsidRPr="00E639BD">
              <w:rPr>
                <w:color w:val="000000"/>
                <w:w w:val="18"/>
                <w:shd w:val="solid" w:color="000000" w:fill="000000"/>
                <w:fitText w:val="80" w:id="-761098496"/>
                <w14:textFill>
                  <w14:solidFill>
                    <w14:srgbClr w14:val="000000">
                      <w14:alpha w14:val="100000"/>
                    </w14:srgbClr>
                  </w14:solidFill>
                </w14:textFill>
              </w:rPr>
              <w:t>|</w:t>
            </w:r>
            <w:r w:rsidRPr="00E639BD">
              <w:rPr>
                <w:rFonts w:hint="eastAsia"/>
                <w:color w:val="000000"/>
                <w:w w:val="18"/>
                <w:shd w:val="solid" w:color="000000" w:fill="000000"/>
                <w:fitText w:val="80" w:id="-761098496"/>
                <w14:textFill>
                  <w14:solidFill>
                    <w14:srgbClr w14:val="000000">
                      <w14:alpha w14:val="100000"/>
                    </w14:srgbClr>
                  </w14:solidFill>
                </w14:textFill>
              </w:rPr>
              <w:t xml:space="preserve">　</w:t>
            </w:r>
            <w:r w:rsidR="00A43D84">
              <w:rPr>
                <w:vertAlign w:val="superscript"/>
              </w:rPr>
              <w:t>9</w:t>
            </w:r>
          </w:p>
        </w:tc>
        <w:tc>
          <w:tcPr>
            <w:tcW w:w="588" w:type="pct"/>
            <w:tcBorders>
              <w:top w:val="single" w:sz="4" w:space="0" w:color="auto"/>
              <w:left w:val="nil"/>
              <w:bottom w:val="single" w:sz="4" w:space="0" w:color="auto"/>
              <w:right w:val="single" w:sz="4" w:space="0" w:color="auto"/>
            </w:tcBorders>
            <w:shd w:val="clear" w:color="auto" w:fill="auto"/>
            <w:vAlign w:val="center"/>
          </w:tcPr>
          <w:p w14:paraId="6F827739" w14:textId="1620CACB" w:rsidR="00E16BBF" w:rsidRPr="00AA6730" w:rsidRDefault="00E639BD">
            <w:pPr>
              <w:pStyle w:val="TableText0"/>
              <w:jc w:val="center"/>
              <w:rPr>
                <w:szCs w:val="20"/>
                <w:highlight w:val="darkGray"/>
              </w:rPr>
            </w:pPr>
            <w:r w:rsidRPr="00E639BD">
              <w:rPr>
                <w:rFonts w:hint="eastAsia"/>
                <w:color w:val="000000"/>
                <w:w w:val="18"/>
                <w:shd w:val="solid" w:color="000000" w:fill="000000"/>
                <w:fitText w:val="80" w:id="-761098495"/>
                <w14:textFill>
                  <w14:solidFill>
                    <w14:srgbClr w14:val="000000">
                      <w14:alpha w14:val="100000"/>
                    </w14:srgbClr>
                  </w14:solidFill>
                </w14:textFill>
              </w:rPr>
              <w:t xml:space="preserve">　</w:t>
            </w:r>
            <w:r w:rsidRPr="00E639BD">
              <w:rPr>
                <w:color w:val="000000"/>
                <w:w w:val="18"/>
                <w:shd w:val="solid" w:color="000000" w:fill="000000"/>
                <w:fitText w:val="80" w:id="-761098495"/>
                <w14:textFill>
                  <w14:solidFill>
                    <w14:srgbClr w14:val="000000">
                      <w14:alpha w14:val="100000"/>
                    </w14:srgbClr>
                  </w14:solidFill>
                </w14:textFill>
              </w:rPr>
              <w:t>|</w:t>
            </w:r>
            <w:r w:rsidRPr="00E639BD">
              <w:rPr>
                <w:rFonts w:hint="eastAsia"/>
                <w:color w:val="000000"/>
                <w:w w:val="18"/>
                <w:shd w:val="solid" w:color="000000" w:fill="000000"/>
                <w:fitText w:val="80" w:id="-761098495"/>
                <w14:textFill>
                  <w14:solidFill>
                    <w14:srgbClr w14:val="000000">
                      <w14:alpha w14:val="100000"/>
                    </w14:srgbClr>
                  </w14:solidFill>
                </w14:textFill>
              </w:rPr>
              <w:t xml:space="preserve">　</w:t>
            </w:r>
            <w:r w:rsidR="00A43D84">
              <w:rPr>
                <w:vertAlign w:val="superscript"/>
              </w:rPr>
              <w:t>3</w:t>
            </w:r>
          </w:p>
        </w:tc>
        <w:tc>
          <w:tcPr>
            <w:tcW w:w="368" w:type="pct"/>
            <w:tcBorders>
              <w:top w:val="single" w:sz="4" w:space="0" w:color="auto"/>
              <w:left w:val="nil"/>
              <w:bottom w:val="single" w:sz="4" w:space="0" w:color="auto"/>
              <w:right w:val="single" w:sz="4" w:space="0" w:color="auto"/>
            </w:tcBorders>
            <w:vAlign w:val="center"/>
          </w:tcPr>
          <w:p w14:paraId="7B24C60E" w14:textId="77777777" w:rsidR="00E16BBF" w:rsidRPr="00E16BBF" w:rsidRDefault="00E16BBF">
            <w:pPr>
              <w:pStyle w:val="TableText0"/>
              <w:jc w:val="center"/>
              <w:rPr>
                <w:szCs w:val="20"/>
              </w:rPr>
            </w:pPr>
            <w:r w:rsidRPr="00E16BBF">
              <w:t>23.5%</w:t>
            </w:r>
          </w:p>
        </w:tc>
      </w:tr>
    </w:tbl>
    <w:p w14:paraId="3E37A98B" w14:textId="77777777" w:rsidR="00E16BBF" w:rsidRDefault="00E16BBF" w:rsidP="009F195B">
      <w:pPr>
        <w:pStyle w:val="TableFigureFooter"/>
      </w:pPr>
      <w:r>
        <w:t>Source: compiled during the evaluation.</w:t>
      </w:r>
    </w:p>
    <w:p w14:paraId="78700B51" w14:textId="39A57EF6" w:rsidR="00E16BBF" w:rsidRPr="00F4613F" w:rsidRDefault="00DF24EF" w:rsidP="004A137B">
      <w:pPr>
        <w:pStyle w:val="TableFigureFooter"/>
        <w:spacing w:after="0"/>
      </w:pPr>
      <w:r>
        <w:t xml:space="preserve">BCR=biochemical recurrence, m0HSPC=non-metastatic hormone sensitive prostate cancer, NHA=novel hormonal agent, </w:t>
      </w:r>
      <w:r w:rsidR="00E16BBF">
        <w:t>RP=radical prostatectomy, RT=radiotherapy, Yr=year</w:t>
      </w:r>
    </w:p>
    <w:p w14:paraId="49B7E608" w14:textId="77777777" w:rsidR="004A137B" w:rsidRPr="007017BA" w:rsidRDefault="004A137B" w:rsidP="004A137B">
      <w:pPr>
        <w:pStyle w:val="FooterTableFigure"/>
        <w:keepNext/>
        <w:keepLines/>
        <w:spacing w:after="0"/>
        <w:ind w:left="142" w:hanging="142"/>
        <w:rPr>
          <w:i/>
          <w:iCs/>
        </w:rPr>
      </w:pPr>
      <w:r w:rsidRPr="007017BA">
        <w:rPr>
          <w:i/>
          <w:iCs/>
        </w:rPr>
        <w:t xml:space="preserve">The redacted values correspond to the following ranges: </w:t>
      </w:r>
    </w:p>
    <w:p w14:paraId="6CE30162" w14:textId="6E2C294F" w:rsidR="00A43D84" w:rsidRPr="007017BA" w:rsidRDefault="00A43D84" w:rsidP="00A43D84">
      <w:pPr>
        <w:pStyle w:val="FooterTableFigure"/>
        <w:keepNext/>
        <w:keepLines/>
        <w:ind w:left="142" w:hanging="142"/>
        <w:rPr>
          <w:i/>
          <w:iCs/>
        </w:rPr>
      </w:pPr>
      <w:r w:rsidRPr="007017BA">
        <w:rPr>
          <w:i/>
          <w:iCs/>
        </w:rPr>
        <w:t>1 $30 million to &lt; $40 million</w:t>
      </w:r>
    </w:p>
    <w:p w14:paraId="5BB8FD5E" w14:textId="5FE08D05" w:rsidR="00A43D84" w:rsidRPr="007017BA" w:rsidRDefault="00A43D84" w:rsidP="00A43D84">
      <w:pPr>
        <w:pStyle w:val="FooterTableFigure"/>
        <w:keepNext/>
        <w:keepLines/>
        <w:ind w:left="142" w:hanging="142"/>
        <w:rPr>
          <w:i/>
          <w:iCs/>
        </w:rPr>
      </w:pPr>
      <w:r w:rsidRPr="007017BA">
        <w:rPr>
          <w:i/>
          <w:iCs/>
        </w:rPr>
        <w:t xml:space="preserve">2 </w:t>
      </w:r>
      <w:r w:rsidR="007304CE" w:rsidRPr="007017BA">
        <w:rPr>
          <w:i/>
          <w:iCs/>
        </w:rPr>
        <w:t>$40 million to &lt; $50 million</w:t>
      </w:r>
      <w:r w:rsidR="007304CE" w:rsidRPr="007017BA" w:rsidDel="007304CE">
        <w:rPr>
          <w:i/>
          <w:iCs/>
        </w:rPr>
        <w:t xml:space="preserve"> </w:t>
      </w:r>
    </w:p>
    <w:p w14:paraId="62DCE739" w14:textId="448ED50E" w:rsidR="00A43D84" w:rsidRPr="007017BA" w:rsidRDefault="00A43D84" w:rsidP="00A43D84">
      <w:pPr>
        <w:pStyle w:val="FooterTableFigure"/>
        <w:keepNext/>
        <w:keepLines/>
        <w:ind w:left="142" w:hanging="142"/>
        <w:rPr>
          <w:i/>
          <w:iCs/>
        </w:rPr>
      </w:pPr>
      <w:r w:rsidRPr="007017BA">
        <w:rPr>
          <w:i/>
          <w:iCs/>
        </w:rPr>
        <w:t xml:space="preserve">3 </w:t>
      </w:r>
      <w:r w:rsidR="007304CE" w:rsidRPr="007017BA">
        <w:rPr>
          <w:i/>
          <w:iCs/>
        </w:rPr>
        <w:t>$200 million to &lt; $300 million</w:t>
      </w:r>
      <w:r w:rsidR="007304CE" w:rsidRPr="007017BA" w:rsidDel="007304CE">
        <w:rPr>
          <w:i/>
          <w:iCs/>
        </w:rPr>
        <w:t xml:space="preserve"> </w:t>
      </w:r>
    </w:p>
    <w:p w14:paraId="4F9F5B02" w14:textId="36904491" w:rsidR="00A43D84" w:rsidRPr="007017BA" w:rsidRDefault="00A43D84" w:rsidP="00A43D84">
      <w:pPr>
        <w:pStyle w:val="FooterTableFigure"/>
        <w:keepNext/>
        <w:keepLines/>
        <w:ind w:left="142" w:hanging="142"/>
        <w:rPr>
          <w:i/>
          <w:iCs/>
        </w:rPr>
      </w:pPr>
      <w:r w:rsidRPr="007017BA">
        <w:rPr>
          <w:i/>
          <w:iCs/>
        </w:rPr>
        <w:t xml:space="preserve">4 </w:t>
      </w:r>
      <w:r w:rsidR="007304CE" w:rsidRPr="007017BA">
        <w:rPr>
          <w:i/>
          <w:iCs/>
        </w:rPr>
        <w:t>$</w:t>
      </w:r>
      <w:r w:rsidR="007304CE">
        <w:rPr>
          <w:i/>
          <w:iCs/>
        </w:rPr>
        <w:t>8</w:t>
      </w:r>
      <w:r w:rsidR="007304CE" w:rsidRPr="007017BA">
        <w:rPr>
          <w:i/>
          <w:iCs/>
        </w:rPr>
        <w:t>0 million to &lt; $</w:t>
      </w:r>
      <w:r w:rsidR="007304CE">
        <w:rPr>
          <w:i/>
          <w:iCs/>
        </w:rPr>
        <w:t>9</w:t>
      </w:r>
      <w:r w:rsidR="007304CE" w:rsidRPr="007017BA">
        <w:rPr>
          <w:i/>
          <w:iCs/>
        </w:rPr>
        <w:t>0 million</w:t>
      </w:r>
      <w:r w:rsidR="007304CE" w:rsidRPr="007017BA" w:rsidDel="007304CE">
        <w:rPr>
          <w:i/>
          <w:iCs/>
        </w:rPr>
        <w:t xml:space="preserve"> </w:t>
      </w:r>
    </w:p>
    <w:p w14:paraId="2F734BBF" w14:textId="57A33748" w:rsidR="00A43D84" w:rsidRPr="007017BA" w:rsidRDefault="00A43D84" w:rsidP="00A43D84">
      <w:pPr>
        <w:pStyle w:val="FooterTableFigure"/>
        <w:keepNext/>
        <w:keepLines/>
        <w:ind w:left="142" w:hanging="142"/>
        <w:rPr>
          <w:i/>
          <w:iCs/>
        </w:rPr>
      </w:pPr>
      <w:r w:rsidRPr="007017BA">
        <w:rPr>
          <w:i/>
          <w:iCs/>
        </w:rPr>
        <w:t xml:space="preserve">5 </w:t>
      </w:r>
      <w:r w:rsidR="007304CE" w:rsidRPr="007017BA">
        <w:rPr>
          <w:i/>
          <w:iCs/>
        </w:rPr>
        <w:t>$</w:t>
      </w:r>
      <w:r w:rsidR="007304CE">
        <w:rPr>
          <w:i/>
          <w:iCs/>
        </w:rPr>
        <w:t>1</w:t>
      </w:r>
      <w:r w:rsidR="007304CE" w:rsidRPr="007017BA">
        <w:rPr>
          <w:i/>
          <w:iCs/>
        </w:rPr>
        <w:t>00 million to &lt; $</w:t>
      </w:r>
      <w:r w:rsidR="007304CE">
        <w:rPr>
          <w:i/>
          <w:iCs/>
        </w:rPr>
        <w:t>2</w:t>
      </w:r>
      <w:r w:rsidR="007304CE" w:rsidRPr="007017BA">
        <w:rPr>
          <w:i/>
          <w:iCs/>
        </w:rPr>
        <w:t>00 million</w:t>
      </w:r>
      <w:r w:rsidR="007304CE" w:rsidRPr="007017BA" w:rsidDel="007304CE">
        <w:rPr>
          <w:i/>
          <w:iCs/>
        </w:rPr>
        <w:t xml:space="preserve"> </w:t>
      </w:r>
    </w:p>
    <w:p w14:paraId="752DA710" w14:textId="2B8C9F5F" w:rsidR="00A43D84" w:rsidRPr="007017BA" w:rsidRDefault="00A43D84" w:rsidP="00A43D84">
      <w:pPr>
        <w:pStyle w:val="FooterTableFigure"/>
        <w:keepNext/>
        <w:keepLines/>
        <w:ind w:left="142" w:hanging="142"/>
        <w:rPr>
          <w:i/>
          <w:iCs/>
        </w:rPr>
      </w:pPr>
      <w:r w:rsidRPr="007017BA">
        <w:rPr>
          <w:i/>
          <w:iCs/>
        </w:rPr>
        <w:t xml:space="preserve">6 </w:t>
      </w:r>
      <w:r w:rsidR="00CB2BB3" w:rsidRPr="007017BA">
        <w:rPr>
          <w:i/>
          <w:iCs/>
        </w:rPr>
        <w:t>$</w:t>
      </w:r>
      <w:r w:rsidR="00CB2BB3">
        <w:rPr>
          <w:i/>
          <w:iCs/>
        </w:rPr>
        <w:t>9</w:t>
      </w:r>
      <w:r w:rsidR="00CB2BB3" w:rsidRPr="007017BA">
        <w:rPr>
          <w:i/>
          <w:iCs/>
        </w:rPr>
        <w:t>00 million to &lt; $</w:t>
      </w:r>
      <w:r w:rsidR="00CB2BB3">
        <w:rPr>
          <w:i/>
          <w:iCs/>
        </w:rPr>
        <w:t>1 b</w:t>
      </w:r>
      <w:r w:rsidR="00CB2BB3" w:rsidRPr="007017BA">
        <w:rPr>
          <w:i/>
          <w:iCs/>
        </w:rPr>
        <w:t>illion</w:t>
      </w:r>
      <w:r w:rsidR="00CB2BB3" w:rsidRPr="007017BA" w:rsidDel="00CB2BB3">
        <w:rPr>
          <w:i/>
          <w:iCs/>
        </w:rPr>
        <w:t xml:space="preserve"> </w:t>
      </w:r>
    </w:p>
    <w:p w14:paraId="736F185B" w14:textId="4CCACDA9" w:rsidR="00A43D84" w:rsidRPr="007017BA" w:rsidRDefault="00A43D84" w:rsidP="00A43D84">
      <w:pPr>
        <w:pStyle w:val="FooterTableFigure"/>
        <w:keepNext/>
        <w:keepLines/>
        <w:ind w:left="142" w:hanging="142"/>
        <w:rPr>
          <w:i/>
          <w:iCs/>
        </w:rPr>
      </w:pPr>
      <w:r w:rsidRPr="007017BA">
        <w:rPr>
          <w:i/>
          <w:iCs/>
        </w:rPr>
        <w:t xml:space="preserve">7 </w:t>
      </w:r>
      <w:r w:rsidR="006F1981" w:rsidRPr="007017BA">
        <w:rPr>
          <w:i/>
          <w:iCs/>
        </w:rPr>
        <w:t>$20 million to &lt; $30 million</w:t>
      </w:r>
      <w:r w:rsidR="006F1981" w:rsidRPr="007017BA" w:rsidDel="006F1981">
        <w:rPr>
          <w:i/>
          <w:iCs/>
        </w:rPr>
        <w:t xml:space="preserve"> </w:t>
      </w:r>
    </w:p>
    <w:p w14:paraId="08064B88" w14:textId="1CCE1F99" w:rsidR="00A43D84" w:rsidRPr="007017BA" w:rsidRDefault="00A43D84" w:rsidP="00A43D84">
      <w:pPr>
        <w:pStyle w:val="FooterTableFigure"/>
        <w:keepNext/>
        <w:keepLines/>
        <w:ind w:left="142" w:hanging="142"/>
        <w:rPr>
          <w:i/>
          <w:iCs/>
        </w:rPr>
      </w:pPr>
      <w:r w:rsidRPr="007017BA">
        <w:rPr>
          <w:i/>
          <w:iCs/>
        </w:rPr>
        <w:t xml:space="preserve">8 </w:t>
      </w:r>
      <w:r w:rsidR="006F1981" w:rsidRPr="007017BA">
        <w:rPr>
          <w:i/>
          <w:iCs/>
        </w:rPr>
        <w:t>$</w:t>
      </w:r>
      <w:r w:rsidR="0064470D">
        <w:rPr>
          <w:i/>
          <w:iCs/>
        </w:rPr>
        <w:t>1</w:t>
      </w:r>
      <w:r w:rsidR="006F1981" w:rsidRPr="007017BA">
        <w:rPr>
          <w:i/>
          <w:iCs/>
        </w:rPr>
        <w:t>0 million to &lt; $</w:t>
      </w:r>
      <w:r w:rsidR="0064470D">
        <w:rPr>
          <w:i/>
          <w:iCs/>
        </w:rPr>
        <w:t>2</w:t>
      </w:r>
      <w:r w:rsidR="006F1981" w:rsidRPr="007017BA">
        <w:rPr>
          <w:i/>
          <w:iCs/>
        </w:rPr>
        <w:t>0 million</w:t>
      </w:r>
    </w:p>
    <w:p w14:paraId="7D6F09C0" w14:textId="2A9EEABA" w:rsidR="00E16BBF" w:rsidRDefault="00A43D84" w:rsidP="0064470D">
      <w:pPr>
        <w:pStyle w:val="FooterTableFigure"/>
      </w:pPr>
      <w:r w:rsidRPr="007017BA">
        <w:rPr>
          <w:i/>
          <w:iCs/>
        </w:rPr>
        <w:t xml:space="preserve">9 </w:t>
      </w:r>
      <w:r w:rsidR="0064470D" w:rsidRPr="007017BA">
        <w:rPr>
          <w:i/>
          <w:iCs/>
        </w:rPr>
        <w:t>$60 million to &lt; $70 million</w:t>
      </w:r>
      <w:r w:rsidR="0064470D" w:rsidRPr="007017BA" w:rsidDel="007304CE">
        <w:rPr>
          <w:i/>
          <w:iCs/>
        </w:rPr>
        <w:t xml:space="preserve"> </w:t>
      </w:r>
    </w:p>
    <w:p w14:paraId="3A51529C" w14:textId="2048777C" w:rsidR="00DF24EF" w:rsidRPr="00E16BBF" w:rsidRDefault="00DF24EF" w:rsidP="00DF24EF">
      <w:pPr>
        <w:pStyle w:val="3-BodyText"/>
      </w:pPr>
      <w:r>
        <w:t xml:space="preserve">The PSCR presented revised financial estimates based on the sensitivity analysis presented above but assuming the time on treatment for enzalutamide plus ADT was equal to the area under the curve (see </w:t>
      </w:r>
      <w:r>
        <w:fldChar w:fldCharType="begin" w:fldLock="1"/>
      </w:r>
      <w:r>
        <w:instrText xml:space="preserve"> REF _Ref183004233 \h </w:instrText>
      </w:r>
      <w:r>
        <w:fldChar w:fldCharType="separate"/>
      </w:r>
      <w:r>
        <w:t xml:space="preserve">Table </w:t>
      </w:r>
      <w:r>
        <w:rPr>
          <w:noProof/>
        </w:rPr>
        <w:t>18</w:t>
      </w:r>
      <w:r>
        <w:fldChar w:fldCharType="end"/>
      </w:r>
      <w:r>
        <w:t>). The PSCR did not provide the financial workbook for the estimates presented below and they have not been evaluated. It was noted that, as</w:t>
      </w:r>
      <w:r w:rsidRPr="00DF24EF">
        <w:t xml:space="preserve"> the uncertainty </w:t>
      </w:r>
      <w:r>
        <w:t>relating to the implementation of t</w:t>
      </w:r>
      <w:r w:rsidRPr="00DF24EF">
        <w:t>he treatment suspension implementation remained,</w:t>
      </w:r>
      <w:r>
        <w:t xml:space="preserve"> </w:t>
      </w:r>
      <w:r w:rsidRPr="00DF24EF">
        <w:t xml:space="preserve">the area under the curve method </w:t>
      </w:r>
      <w:r>
        <w:t xml:space="preserve">may not be the </w:t>
      </w:r>
      <w:r w:rsidRPr="00DF24EF">
        <w:t xml:space="preserve">more appropriate method for estimating treatment duration. </w:t>
      </w:r>
      <w:r>
        <w:t xml:space="preserve">Further, </w:t>
      </w:r>
      <w:r w:rsidRPr="00DF24EF">
        <w:t xml:space="preserve">the mean time on treatment analysis </w:t>
      </w:r>
      <w:r>
        <w:t xml:space="preserve">in </w:t>
      </w:r>
      <w:r>
        <w:fldChar w:fldCharType="begin" w:fldLock="1"/>
      </w:r>
      <w:r>
        <w:instrText xml:space="preserve"> REF _Ref177057126 \h </w:instrText>
      </w:r>
      <w:r>
        <w:fldChar w:fldCharType="separate"/>
      </w:r>
      <w:r w:rsidRPr="0098262F">
        <w:t xml:space="preserve">Table </w:t>
      </w:r>
      <w:r>
        <w:rPr>
          <w:noProof/>
        </w:rPr>
        <w:t>17</w:t>
      </w:r>
      <w:r>
        <w:fldChar w:fldCharType="end"/>
      </w:r>
      <w:r>
        <w:t xml:space="preserve"> </w:t>
      </w:r>
      <w:r w:rsidRPr="00DF24EF">
        <w:t xml:space="preserve">merely ignored the timing of the treatment suspension, and as such assumed no one discontinued treatment across the 6 years of the financial estimates (rather than applying 6.17 years of costs to all patients). </w:t>
      </w:r>
      <w:r>
        <w:t>W</w:t>
      </w:r>
      <w:r w:rsidRPr="00DF24EF">
        <w:t xml:space="preserve">hile the estimates of </w:t>
      </w:r>
      <w:r w:rsidR="008926BA">
        <w:t>radical prostatectomy/radiotherapy (</w:t>
      </w:r>
      <w:r w:rsidRPr="00DF24EF">
        <w:t>RP/RT</w:t>
      </w:r>
      <w:r w:rsidR="008926BA">
        <w:t>)</w:t>
      </w:r>
      <w:r w:rsidRPr="00DF24EF">
        <w:t xml:space="preserve"> and BCR were based on Australian data, these remain uncertain</w:t>
      </w:r>
      <w:r w:rsidR="005420F7">
        <w:t xml:space="preserve"> as</w:t>
      </w:r>
      <w:r w:rsidRPr="00DF24EF">
        <w:t xml:space="preserve"> BCR rates following RT have </w:t>
      </w:r>
      <w:r w:rsidRPr="00DF24EF">
        <w:lastRenderedPageBreak/>
        <w:t xml:space="preserve">not been reported, and Australian rates of RP/RT only referred to the year following prostate cancer diagnosis. As such the financial estimates </w:t>
      </w:r>
      <w:r>
        <w:t xml:space="preserve">below </w:t>
      </w:r>
      <w:r w:rsidRPr="00DF24EF">
        <w:t>likely still represent an underestimate.</w:t>
      </w:r>
    </w:p>
    <w:p w14:paraId="2F3B72EE" w14:textId="4EEE581B" w:rsidR="00DF24EF" w:rsidRPr="005E1708" w:rsidRDefault="00DF24EF" w:rsidP="00DF24EF">
      <w:pPr>
        <w:pStyle w:val="Caption"/>
      </w:pPr>
      <w:bookmarkStart w:id="66" w:name="_Ref183004233"/>
      <w:r>
        <w:t xml:space="preserve">Table </w:t>
      </w:r>
      <w:r>
        <w:fldChar w:fldCharType="begin" w:fldLock="1"/>
      </w:r>
      <w:r>
        <w:instrText xml:space="preserve"> SEQ Table \* ARABIC </w:instrText>
      </w:r>
      <w:r>
        <w:fldChar w:fldCharType="separate"/>
      </w:r>
      <w:r>
        <w:rPr>
          <w:noProof/>
        </w:rPr>
        <w:t>18</w:t>
      </w:r>
      <w:r>
        <w:rPr>
          <w:noProof/>
        </w:rPr>
        <w:fldChar w:fldCharType="end"/>
      </w:r>
      <w:bookmarkEnd w:id="66"/>
      <w:r w:rsidRPr="000972A9">
        <w:rPr>
          <w:rStyle w:val="TableFigureFooterChar"/>
          <w:i/>
          <w:iCs w:val="0"/>
          <w:sz w:val="20"/>
          <w:szCs w:val="20"/>
        </w:rPr>
        <w:t xml:space="preserve">: </w:t>
      </w:r>
      <w:r w:rsidRPr="0064470D">
        <w:rPr>
          <w:rStyle w:val="TableFigureFooterChar"/>
          <w:sz w:val="20"/>
          <w:szCs w:val="20"/>
        </w:rPr>
        <w:t>Net financial</w:t>
      </w:r>
      <w:r w:rsidRPr="005E1708">
        <w:t xml:space="preserve"> implications to </w:t>
      </w:r>
      <w:r>
        <w:t>PBS/RPBS</w:t>
      </w:r>
      <w:r w:rsidRPr="005E1708">
        <w:t xml:space="preserve">: sensitivity analyses </w:t>
      </w:r>
    </w:p>
    <w:tbl>
      <w:tblPr>
        <w:tblStyle w:val="TableGrid"/>
        <w:tblW w:w="5000" w:type="pct"/>
        <w:tblCellMar>
          <w:left w:w="28" w:type="dxa"/>
          <w:right w:w="28" w:type="dxa"/>
        </w:tblCellMar>
        <w:tblLook w:val="04A0" w:firstRow="1" w:lastRow="0" w:firstColumn="1" w:lastColumn="0" w:noHBand="0" w:noVBand="1"/>
        <w:tblCaption w:val="Table 18: Net financial implications to PBS/RPBS: sensitivity analyses "/>
      </w:tblPr>
      <w:tblGrid>
        <w:gridCol w:w="1437"/>
        <w:gridCol w:w="1080"/>
        <w:gridCol w:w="1080"/>
        <w:gridCol w:w="1078"/>
        <w:gridCol w:w="1078"/>
        <w:gridCol w:w="1080"/>
        <w:gridCol w:w="1080"/>
        <w:gridCol w:w="1104"/>
      </w:tblGrid>
      <w:tr w:rsidR="0064470D" w:rsidRPr="00E16BBF" w14:paraId="06E69671" w14:textId="77777777" w:rsidTr="00DF24EF">
        <w:trPr>
          <w:tblHeader/>
        </w:trPr>
        <w:tc>
          <w:tcPr>
            <w:tcW w:w="796" w:type="pct"/>
            <w:tcBorders>
              <w:left w:val="single" w:sz="4" w:space="0" w:color="auto"/>
              <w:right w:val="single" w:sz="4" w:space="0" w:color="auto"/>
            </w:tcBorders>
            <w:vAlign w:val="center"/>
          </w:tcPr>
          <w:p w14:paraId="16B4DF78" w14:textId="7DE228FE" w:rsidR="00DF24EF" w:rsidRPr="00DF24EF" w:rsidRDefault="00DF24EF">
            <w:pPr>
              <w:pStyle w:val="In-tableHeading"/>
            </w:pP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33EDAB41" w14:textId="77777777" w:rsidR="00DF24EF" w:rsidRPr="00DF24EF" w:rsidRDefault="00DF24EF">
            <w:pPr>
              <w:pStyle w:val="In-tableHeading"/>
              <w:jc w:val="center"/>
            </w:pPr>
            <w:r w:rsidRPr="00DF24EF">
              <w:t>Year 1</w:t>
            </w:r>
          </w:p>
        </w:tc>
        <w:tc>
          <w:tcPr>
            <w:tcW w:w="599" w:type="pct"/>
            <w:tcBorders>
              <w:top w:val="single" w:sz="4" w:space="0" w:color="auto"/>
              <w:left w:val="nil"/>
              <w:bottom w:val="single" w:sz="4" w:space="0" w:color="auto"/>
              <w:right w:val="single" w:sz="4" w:space="0" w:color="auto"/>
            </w:tcBorders>
            <w:shd w:val="clear" w:color="auto" w:fill="auto"/>
            <w:vAlign w:val="center"/>
          </w:tcPr>
          <w:p w14:paraId="3FCF99FB" w14:textId="77777777" w:rsidR="00DF24EF" w:rsidRPr="00DF24EF" w:rsidRDefault="00DF24EF">
            <w:pPr>
              <w:pStyle w:val="In-tableHeading"/>
              <w:jc w:val="center"/>
            </w:pPr>
            <w:r w:rsidRPr="00DF24EF">
              <w:t>Year 2</w:t>
            </w:r>
          </w:p>
        </w:tc>
        <w:tc>
          <w:tcPr>
            <w:tcW w:w="598" w:type="pct"/>
            <w:tcBorders>
              <w:top w:val="single" w:sz="4" w:space="0" w:color="auto"/>
              <w:left w:val="nil"/>
              <w:bottom w:val="single" w:sz="4" w:space="0" w:color="auto"/>
              <w:right w:val="single" w:sz="4" w:space="0" w:color="auto"/>
            </w:tcBorders>
            <w:shd w:val="clear" w:color="auto" w:fill="auto"/>
            <w:vAlign w:val="center"/>
          </w:tcPr>
          <w:p w14:paraId="1A5302F5" w14:textId="77777777" w:rsidR="00DF24EF" w:rsidRPr="00DF24EF" w:rsidRDefault="00DF24EF">
            <w:pPr>
              <w:pStyle w:val="In-tableHeading"/>
              <w:jc w:val="center"/>
            </w:pPr>
            <w:r w:rsidRPr="00DF24EF">
              <w:t>Year 3</w:t>
            </w:r>
          </w:p>
        </w:tc>
        <w:tc>
          <w:tcPr>
            <w:tcW w:w="598" w:type="pct"/>
            <w:tcBorders>
              <w:top w:val="single" w:sz="4" w:space="0" w:color="auto"/>
              <w:left w:val="nil"/>
              <w:bottom w:val="single" w:sz="4" w:space="0" w:color="auto"/>
              <w:right w:val="single" w:sz="4" w:space="0" w:color="auto"/>
            </w:tcBorders>
            <w:shd w:val="clear" w:color="auto" w:fill="auto"/>
            <w:vAlign w:val="center"/>
          </w:tcPr>
          <w:p w14:paraId="7DA5437F" w14:textId="77777777" w:rsidR="00DF24EF" w:rsidRPr="00DF24EF" w:rsidRDefault="00DF24EF">
            <w:pPr>
              <w:pStyle w:val="In-tableHeading"/>
              <w:jc w:val="center"/>
            </w:pPr>
            <w:r w:rsidRPr="00DF24EF">
              <w:t>Year 4</w:t>
            </w:r>
          </w:p>
        </w:tc>
        <w:tc>
          <w:tcPr>
            <w:tcW w:w="599" w:type="pct"/>
            <w:tcBorders>
              <w:top w:val="single" w:sz="4" w:space="0" w:color="auto"/>
              <w:left w:val="nil"/>
              <w:bottom w:val="single" w:sz="4" w:space="0" w:color="auto"/>
              <w:right w:val="single" w:sz="4" w:space="0" w:color="auto"/>
            </w:tcBorders>
            <w:shd w:val="clear" w:color="auto" w:fill="auto"/>
            <w:vAlign w:val="center"/>
          </w:tcPr>
          <w:p w14:paraId="481B5ED0" w14:textId="77777777" w:rsidR="00DF24EF" w:rsidRPr="00DF24EF" w:rsidRDefault="00DF24EF">
            <w:pPr>
              <w:pStyle w:val="In-tableHeading"/>
              <w:jc w:val="center"/>
            </w:pPr>
            <w:r w:rsidRPr="00DF24EF">
              <w:t>Year 5</w:t>
            </w:r>
          </w:p>
        </w:tc>
        <w:tc>
          <w:tcPr>
            <w:tcW w:w="599" w:type="pct"/>
            <w:tcBorders>
              <w:top w:val="single" w:sz="4" w:space="0" w:color="auto"/>
              <w:left w:val="nil"/>
              <w:bottom w:val="single" w:sz="4" w:space="0" w:color="auto"/>
              <w:right w:val="single" w:sz="4" w:space="0" w:color="auto"/>
            </w:tcBorders>
            <w:shd w:val="clear" w:color="auto" w:fill="auto"/>
            <w:vAlign w:val="center"/>
          </w:tcPr>
          <w:p w14:paraId="5D113F2E" w14:textId="77777777" w:rsidR="00DF24EF" w:rsidRPr="00DF24EF" w:rsidRDefault="00DF24EF">
            <w:pPr>
              <w:pStyle w:val="In-tableHeading"/>
              <w:jc w:val="center"/>
            </w:pPr>
            <w:r w:rsidRPr="00DF24EF">
              <w:t>Year 6</w:t>
            </w:r>
          </w:p>
        </w:tc>
        <w:tc>
          <w:tcPr>
            <w:tcW w:w="613" w:type="pct"/>
            <w:tcBorders>
              <w:top w:val="single" w:sz="4" w:space="0" w:color="auto"/>
              <w:left w:val="nil"/>
              <w:bottom w:val="single" w:sz="4" w:space="0" w:color="auto"/>
              <w:right w:val="single" w:sz="4" w:space="0" w:color="auto"/>
            </w:tcBorders>
            <w:vAlign w:val="center"/>
          </w:tcPr>
          <w:p w14:paraId="32D0DEE2" w14:textId="63D40CE3" w:rsidR="00DF24EF" w:rsidRPr="00DF24EF" w:rsidRDefault="00DF24EF">
            <w:pPr>
              <w:pStyle w:val="In-tableHeading"/>
              <w:jc w:val="center"/>
            </w:pPr>
            <w:r w:rsidRPr="00DF24EF">
              <w:t>Total</w:t>
            </w:r>
          </w:p>
        </w:tc>
      </w:tr>
      <w:tr w:rsidR="0064470D" w:rsidRPr="00E16BBF" w14:paraId="5814D148" w14:textId="77777777" w:rsidTr="00DF24EF">
        <w:tc>
          <w:tcPr>
            <w:tcW w:w="796" w:type="pct"/>
            <w:tcBorders>
              <w:left w:val="single" w:sz="4" w:space="0" w:color="auto"/>
              <w:right w:val="single" w:sz="4" w:space="0" w:color="auto"/>
            </w:tcBorders>
            <w:shd w:val="clear" w:color="auto" w:fill="auto"/>
            <w:vAlign w:val="center"/>
          </w:tcPr>
          <w:p w14:paraId="22102813" w14:textId="2F35953B" w:rsidR="00DF24EF" w:rsidRPr="00DF24EF" w:rsidRDefault="00DF24EF">
            <w:pPr>
              <w:pStyle w:val="TableText0"/>
              <w:rPr>
                <w:szCs w:val="20"/>
              </w:rPr>
            </w:pPr>
            <w:r w:rsidRPr="00DF24EF">
              <w:rPr>
                <w:szCs w:val="20"/>
              </w:rPr>
              <w:t>Base case</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60DE308D" w14:textId="723A90AD" w:rsidR="00DF24EF" w:rsidRPr="0064470D" w:rsidRDefault="00E639BD">
            <w:pPr>
              <w:pStyle w:val="TableText0"/>
              <w:jc w:val="center"/>
              <w:rPr>
                <w:szCs w:val="20"/>
                <w:highlight w:val="darkGray"/>
                <w:vertAlign w:val="superscript"/>
              </w:rPr>
            </w:pPr>
            <w:r w:rsidRPr="00E639BD">
              <w:rPr>
                <w:rFonts w:hint="eastAsia"/>
                <w:color w:val="000000"/>
                <w:w w:val="15"/>
                <w:szCs w:val="20"/>
                <w:shd w:val="solid" w:color="000000" w:fill="000000"/>
                <w:fitText w:val="60" w:id="-761098494"/>
                <w14:textFill>
                  <w14:solidFill>
                    <w14:srgbClr w14:val="000000">
                      <w14:alpha w14:val="100000"/>
                    </w14:srgbClr>
                  </w14:solidFill>
                </w14:textFill>
              </w:rPr>
              <w:t xml:space="preserve">　</w:t>
            </w:r>
            <w:r w:rsidRPr="00E639BD">
              <w:rPr>
                <w:color w:val="000000"/>
                <w:w w:val="15"/>
                <w:szCs w:val="20"/>
                <w:shd w:val="solid" w:color="000000" w:fill="000000"/>
                <w:fitText w:val="60" w:id="-761098494"/>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94"/>
                <w14:textFill>
                  <w14:solidFill>
                    <w14:srgbClr w14:val="000000">
                      <w14:alpha w14:val="100000"/>
                    </w14:srgbClr>
                  </w14:solidFill>
                </w14:textFill>
              </w:rPr>
              <w:t xml:space="preserve">　</w:t>
            </w:r>
            <w:r w:rsidR="0064470D" w:rsidRPr="0064470D">
              <w:rPr>
                <w:szCs w:val="20"/>
                <w:vertAlign w:val="superscript"/>
              </w:rPr>
              <w:t>1</w:t>
            </w:r>
          </w:p>
        </w:tc>
        <w:tc>
          <w:tcPr>
            <w:tcW w:w="599" w:type="pct"/>
            <w:tcBorders>
              <w:top w:val="single" w:sz="4" w:space="0" w:color="auto"/>
              <w:left w:val="nil"/>
              <w:bottom w:val="single" w:sz="4" w:space="0" w:color="auto"/>
              <w:right w:val="single" w:sz="4" w:space="0" w:color="auto"/>
            </w:tcBorders>
            <w:shd w:val="clear" w:color="auto" w:fill="auto"/>
            <w:vAlign w:val="center"/>
          </w:tcPr>
          <w:p w14:paraId="46F96E49" w14:textId="6E85064F"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93"/>
                <w14:textFill>
                  <w14:solidFill>
                    <w14:srgbClr w14:val="000000">
                      <w14:alpha w14:val="100000"/>
                    </w14:srgbClr>
                  </w14:solidFill>
                </w14:textFill>
              </w:rPr>
              <w:t xml:space="preserve">　</w:t>
            </w:r>
            <w:r w:rsidRPr="00E639BD">
              <w:rPr>
                <w:color w:val="000000"/>
                <w:w w:val="15"/>
                <w:szCs w:val="20"/>
                <w:shd w:val="solid" w:color="000000" w:fill="000000"/>
                <w:fitText w:val="60" w:id="-761098493"/>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93"/>
                <w14:textFill>
                  <w14:solidFill>
                    <w14:srgbClr w14:val="000000">
                      <w14:alpha w14:val="100000"/>
                    </w14:srgbClr>
                  </w14:solidFill>
                </w14:textFill>
              </w:rPr>
              <w:t xml:space="preserve">　</w:t>
            </w:r>
            <w:r w:rsidR="0064470D" w:rsidRPr="0064470D">
              <w:rPr>
                <w:szCs w:val="20"/>
                <w:vertAlign w:val="superscript"/>
              </w:rPr>
              <w:t>1</w:t>
            </w:r>
          </w:p>
        </w:tc>
        <w:tc>
          <w:tcPr>
            <w:tcW w:w="598" w:type="pct"/>
            <w:tcBorders>
              <w:top w:val="single" w:sz="4" w:space="0" w:color="auto"/>
              <w:left w:val="nil"/>
              <w:bottom w:val="single" w:sz="4" w:space="0" w:color="auto"/>
              <w:right w:val="single" w:sz="4" w:space="0" w:color="auto"/>
            </w:tcBorders>
            <w:shd w:val="clear" w:color="auto" w:fill="auto"/>
            <w:vAlign w:val="center"/>
          </w:tcPr>
          <w:p w14:paraId="6A08B0EC" w14:textId="192B9E1B"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92"/>
                <w14:textFill>
                  <w14:solidFill>
                    <w14:srgbClr w14:val="000000">
                      <w14:alpha w14:val="100000"/>
                    </w14:srgbClr>
                  </w14:solidFill>
                </w14:textFill>
              </w:rPr>
              <w:t xml:space="preserve">　</w:t>
            </w:r>
            <w:r w:rsidRPr="00E639BD">
              <w:rPr>
                <w:color w:val="000000"/>
                <w:w w:val="15"/>
                <w:szCs w:val="20"/>
                <w:shd w:val="solid" w:color="000000" w:fill="000000"/>
                <w:fitText w:val="60" w:id="-761098492"/>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92"/>
                <w14:textFill>
                  <w14:solidFill>
                    <w14:srgbClr w14:val="000000">
                      <w14:alpha w14:val="100000"/>
                    </w14:srgbClr>
                  </w14:solidFill>
                </w14:textFill>
              </w:rPr>
              <w:t xml:space="preserve">　</w:t>
            </w:r>
            <w:r w:rsidR="0064470D" w:rsidRPr="0064470D">
              <w:rPr>
                <w:szCs w:val="20"/>
                <w:vertAlign w:val="superscript"/>
              </w:rPr>
              <w:t>1</w:t>
            </w:r>
          </w:p>
        </w:tc>
        <w:tc>
          <w:tcPr>
            <w:tcW w:w="598" w:type="pct"/>
            <w:tcBorders>
              <w:top w:val="single" w:sz="4" w:space="0" w:color="auto"/>
              <w:left w:val="nil"/>
              <w:bottom w:val="single" w:sz="4" w:space="0" w:color="auto"/>
              <w:right w:val="single" w:sz="4" w:space="0" w:color="auto"/>
            </w:tcBorders>
            <w:shd w:val="clear" w:color="auto" w:fill="auto"/>
            <w:vAlign w:val="center"/>
          </w:tcPr>
          <w:p w14:paraId="6A7835BC" w14:textId="6680FE78"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91"/>
                <w14:textFill>
                  <w14:solidFill>
                    <w14:srgbClr w14:val="000000">
                      <w14:alpha w14:val="100000"/>
                    </w14:srgbClr>
                  </w14:solidFill>
                </w14:textFill>
              </w:rPr>
              <w:t xml:space="preserve">　</w:t>
            </w:r>
            <w:r w:rsidRPr="00E639BD">
              <w:rPr>
                <w:color w:val="000000"/>
                <w:w w:val="15"/>
                <w:szCs w:val="20"/>
                <w:shd w:val="solid" w:color="000000" w:fill="000000"/>
                <w:fitText w:val="60" w:id="-761098491"/>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91"/>
                <w14:textFill>
                  <w14:solidFill>
                    <w14:srgbClr w14:val="000000">
                      <w14:alpha w14:val="100000"/>
                    </w14:srgbClr>
                  </w14:solidFill>
                </w14:textFill>
              </w:rPr>
              <w:t xml:space="preserve">　</w:t>
            </w:r>
            <w:r w:rsidR="0064470D">
              <w:rPr>
                <w:szCs w:val="20"/>
                <w:vertAlign w:val="superscript"/>
              </w:rPr>
              <w:t>2</w:t>
            </w:r>
          </w:p>
        </w:tc>
        <w:tc>
          <w:tcPr>
            <w:tcW w:w="599" w:type="pct"/>
            <w:tcBorders>
              <w:top w:val="single" w:sz="4" w:space="0" w:color="auto"/>
              <w:left w:val="nil"/>
              <w:bottom w:val="single" w:sz="4" w:space="0" w:color="auto"/>
              <w:right w:val="single" w:sz="4" w:space="0" w:color="auto"/>
            </w:tcBorders>
            <w:shd w:val="clear" w:color="auto" w:fill="auto"/>
            <w:vAlign w:val="center"/>
          </w:tcPr>
          <w:p w14:paraId="20B24BA2" w14:textId="408114BE"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90"/>
                <w14:textFill>
                  <w14:solidFill>
                    <w14:srgbClr w14:val="000000">
                      <w14:alpha w14:val="100000"/>
                    </w14:srgbClr>
                  </w14:solidFill>
                </w14:textFill>
              </w:rPr>
              <w:t xml:space="preserve">　</w:t>
            </w:r>
            <w:r w:rsidRPr="00E639BD">
              <w:rPr>
                <w:color w:val="000000"/>
                <w:w w:val="15"/>
                <w:szCs w:val="20"/>
                <w:shd w:val="solid" w:color="000000" w:fill="000000"/>
                <w:fitText w:val="60" w:id="-761098490"/>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90"/>
                <w14:textFill>
                  <w14:solidFill>
                    <w14:srgbClr w14:val="000000">
                      <w14:alpha w14:val="100000"/>
                    </w14:srgbClr>
                  </w14:solidFill>
                </w14:textFill>
              </w:rPr>
              <w:t xml:space="preserve">　</w:t>
            </w:r>
            <w:r w:rsidR="0064470D">
              <w:rPr>
                <w:szCs w:val="20"/>
                <w:vertAlign w:val="superscript"/>
              </w:rPr>
              <w:t>2</w:t>
            </w:r>
          </w:p>
        </w:tc>
        <w:tc>
          <w:tcPr>
            <w:tcW w:w="599" w:type="pct"/>
            <w:tcBorders>
              <w:top w:val="single" w:sz="4" w:space="0" w:color="auto"/>
              <w:left w:val="nil"/>
              <w:bottom w:val="single" w:sz="4" w:space="0" w:color="auto"/>
              <w:right w:val="single" w:sz="4" w:space="0" w:color="auto"/>
            </w:tcBorders>
            <w:shd w:val="clear" w:color="auto" w:fill="auto"/>
            <w:vAlign w:val="center"/>
          </w:tcPr>
          <w:p w14:paraId="730C53A0" w14:textId="331F5F4B"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89"/>
                <w14:textFill>
                  <w14:solidFill>
                    <w14:srgbClr w14:val="000000">
                      <w14:alpha w14:val="100000"/>
                    </w14:srgbClr>
                  </w14:solidFill>
                </w14:textFill>
              </w:rPr>
              <w:t xml:space="preserve">　</w:t>
            </w:r>
            <w:r w:rsidRPr="00E639BD">
              <w:rPr>
                <w:color w:val="000000"/>
                <w:w w:val="15"/>
                <w:szCs w:val="20"/>
                <w:shd w:val="solid" w:color="000000" w:fill="000000"/>
                <w:fitText w:val="60" w:id="-761098489"/>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89"/>
                <w14:textFill>
                  <w14:solidFill>
                    <w14:srgbClr w14:val="000000">
                      <w14:alpha w14:val="100000"/>
                    </w14:srgbClr>
                  </w14:solidFill>
                </w14:textFill>
              </w:rPr>
              <w:t xml:space="preserve">　</w:t>
            </w:r>
            <w:r w:rsidR="0064470D" w:rsidRPr="0064470D">
              <w:rPr>
                <w:szCs w:val="20"/>
                <w:vertAlign w:val="superscript"/>
              </w:rPr>
              <w:t>1</w:t>
            </w:r>
          </w:p>
        </w:tc>
        <w:tc>
          <w:tcPr>
            <w:tcW w:w="613" w:type="pct"/>
            <w:tcBorders>
              <w:top w:val="single" w:sz="4" w:space="0" w:color="auto"/>
              <w:left w:val="nil"/>
              <w:bottom w:val="single" w:sz="4" w:space="0" w:color="auto"/>
              <w:right w:val="single" w:sz="4" w:space="0" w:color="auto"/>
            </w:tcBorders>
            <w:shd w:val="clear" w:color="auto" w:fill="auto"/>
            <w:vAlign w:val="center"/>
          </w:tcPr>
          <w:p w14:paraId="4CF7C386" w14:textId="49894336"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88"/>
                <w14:textFill>
                  <w14:solidFill>
                    <w14:srgbClr w14:val="000000">
                      <w14:alpha w14:val="100000"/>
                    </w14:srgbClr>
                  </w14:solidFill>
                </w14:textFill>
              </w:rPr>
              <w:t xml:space="preserve">　</w:t>
            </w:r>
            <w:r w:rsidRPr="00E639BD">
              <w:rPr>
                <w:color w:val="000000"/>
                <w:w w:val="15"/>
                <w:szCs w:val="20"/>
                <w:shd w:val="solid" w:color="000000" w:fill="000000"/>
                <w:fitText w:val="60" w:id="-761098488"/>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88"/>
                <w14:textFill>
                  <w14:solidFill>
                    <w14:srgbClr w14:val="000000">
                      <w14:alpha w14:val="100000"/>
                    </w14:srgbClr>
                  </w14:solidFill>
                </w14:textFill>
              </w:rPr>
              <w:t xml:space="preserve">　</w:t>
            </w:r>
            <w:r w:rsidR="0064470D">
              <w:rPr>
                <w:szCs w:val="20"/>
                <w:vertAlign w:val="superscript"/>
              </w:rPr>
              <w:t>3</w:t>
            </w:r>
          </w:p>
        </w:tc>
      </w:tr>
      <w:tr w:rsidR="00DF24EF" w:rsidRPr="00E16BBF" w14:paraId="3C465FC2" w14:textId="77777777" w:rsidTr="00DF24EF">
        <w:tc>
          <w:tcPr>
            <w:tcW w:w="5000" w:type="pct"/>
            <w:gridSpan w:val="8"/>
            <w:tcBorders>
              <w:left w:val="single" w:sz="4" w:space="0" w:color="auto"/>
              <w:bottom w:val="single" w:sz="4" w:space="0" w:color="auto"/>
              <w:right w:val="single" w:sz="4" w:space="0" w:color="auto"/>
            </w:tcBorders>
            <w:shd w:val="clear" w:color="auto" w:fill="auto"/>
            <w:vAlign w:val="center"/>
          </w:tcPr>
          <w:p w14:paraId="31AD9CAF" w14:textId="58CEEF2D" w:rsidR="00DF24EF" w:rsidRPr="00DF24EF" w:rsidRDefault="00DF24EF">
            <w:pPr>
              <w:pStyle w:val="TableText0"/>
              <w:rPr>
                <w:b/>
                <w:szCs w:val="20"/>
              </w:rPr>
            </w:pPr>
            <w:r>
              <w:rPr>
                <w:b/>
                <w:szCs w:val="20"/>
              </w:rPr>
              <w:t>PSCR revised estimates (AUC = treatment duration; m0HSPC receive RP/RT = 73% and BCR after RP/RT = 21%)</w:t>
            </w:r>
          </w:p>
        </w:tc>
      </w:tr>
      <w:tr w:rsidR="0064470D" w:rsidRPr="00E16BBF" w14:paraId="7978C663" w14:textId="77777777" w:rsidTr="00DF24EF">
        <w:tc>
          <w:tcPr>
            <w:tcW w:w="796" w:type="pct"/>
            <w:tcBorders>
              <w:left w:val="single" w:sz="4" w:space="0" w:color="auto"/>
              <w:bottom w:val="single" w:sz="4" w:space="0" w:color="auto"/>
              <w:right w:val="single" w:sz="4" w:space="0" w:color="auto"/>
            </w:tcBorders>
            <w:shd w:val="clear" w:color="auto" w:fill="auto"/>
            <w:vAlign w:val="center"/>
          </w:tcPr>
          <w:p w14:paraId="637CB08E" w14:textId="3429FC43" w:rsidR="00DF24EF" w:rsidRPr="00DF24EF" w:rsidRDefault="00DF24EF">
            <w:pPr>
              <w:pStyle w:val="TableText0"/>
              <w:rPr>
                <w:szCs w:val="20"/>
              </w:rPr>
            </w:pPr>
            <w:r>
              <w:rPr>
                <w:szCs w:val="20"/>
              </w:rPr>
              <w:t>+ subsequent treatment</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418E3039" w14:textId="5AD435B0"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87"/>
                <w14:textFill>
                  <w14:solidFill>
                    <w14:srgbClr w14:val="000000">
                      <w14:alpha w14:val="100000"/>
                    </w14:srgbClr>
                  </w14:solidFill>
                </w14:textFill>
              </w:rPr>
              <w:t xml:space="preserve">　</w:t>
            </w:r>
            <w:r w:rsidRPr="00E639BD">
              <w:rPr>
                <w:color w:val="000000"/>
                <w:w w:val="15"/>
                <w:szCs w:val="20"/>
                <w:shd w:val="solid" w:color="000000" w:fill="000000"/>
                <w:fitText w:val="60" w:id="-761098487"/>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87"/>
                <w14:textFill>
                  <w14:solidFill>
                    <w14:srgbClr w14:val="000000">
                      <w14:alpha w14:val="100000"/>
                    </w14:srgbClr>
                  </w14:solidFill>
                </w14:textFill>
              </w:rPr>
              <w:t xml:space="preserve">　</w:t>
            </w:r>
            <w:r w:rsidR="0064470D">
              <w:rPr>
                <w:szCs w:val="20"/>
                <w:vertAlign w:val="superscript"/>
              </w:rPr>
              <w:t>4</w:t>
            </w:r>
          </w:p>
        </w:tc>
        <w:tc>
          <w:tcPr>
            <w:tcW w:w="599" w:type="pct"/>
            <w:tcBorders>
              <w:top w:val="single" w:sz="4" w:space="0" w:color="auto"/>
              <w:left w:val="nil"/>
              <w:bottom w:val="single" w:sz="4" w:space="0" w:color="auto"/>
              <w:right w:val="single" w:sz="4" w:space="0" w:color="auto"/>
            </w:tcBorders>
            <w:shd w:val="clear" w:color="auto" w:fill="auto"/>
            <w:vAlign w:val="center"/>
          </w:tcPr>
          <w:p w14:paraId="06DCBF1F" w14:textId="2AFC0D41"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86"/>
                <w14:textFill>
                  <w14:solidFill>
                    <w14:srgbClr w14:val="000000">
                      <w14:alpha w14:val="100000"/>
                    </w14:srgbClr>
                  </w14:solidFill>
                </w14:textFill>
              </w:rPr>
              <w:t xml:space="preserve">　</w:t>
            </w:r>
            <w:r w:rsidRPr="00E639BD">
              <w:rPr>
                <w:color w:val="000000"/>
                <w:w w:val="15"/>
                <w:szCs w:val="20"/>
                <w:shd w:val="solid" w:color="000000" w:fill="000000"/>
                <w:fitText w:val="60" w:id="-761098486"/>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86"/>
                <w14:textFill>
                  <w14:solidFill>
                    <w14:srgbClr w14:val="000000">
                      <w14:alpha w14:val="100000"/>
                    </w14:srgbClr>
                  </w14:solidFill>
                </w14:textFill>
              </w:rPr>
              <w:t xml:space="preserve">　</w:t>
            </w:r>
            <w:r w:rsidR="0064470D">
              <w:rPr>
                <w:szCs w:val="20"/>
                <w:vertAlign w:val="superscript"/>
              </w:rPr>
              <w:t>4</w:t>
            </w:r>
          </w:p>
        </w:tc>
        <w:tc>
          <w:tcPr>
            <w:tcW w:w="598" w:type="pct"/>
            <w:tcBorders>
              <w:top w:val="single" w:sz="4" w:space="0" w:color="auto"/>
              <w:left w:val="nil"/>
              <w:bottom w:val="single" w:sz="4" w:space="0" w:color="auto"/>
              <w:right w:val="single" w:sz="4" w:space="0" w:color="auto"/>
            </w:tcBorders>
            <w:shd w:val="clear" w:color="auto" w:fill="auto"/>
            <w:vAlign w:val="center"/>
          </w:tcPr>
          <w:p w14:paraId="5D9CB584" w14:textId="4C9FBCC2"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85"/>
                <w14:textFill>
                  <w14:solidFill>
                    <w14:srgbClr w14:val="000000">
                      <w14:alpha w14:val="100000"/>
                    </w14:srgbClr>
                  </w14:solidFill>
                </w14:textFill>
              </w:rPr>
              <w:t xml:space="preserve">　</w:t>
            </w:r>
            <w:r w:rsidRPr="00E639BD">
              <w:rPr>
                <w:color w:val="000000"/>
                <w:w w:val="15"/>
                <w:szCs w:val="20"/>
                <w:shd w:val="solid" w:color="000000" w:fill="000000"/>
                <w:fitText w:val="60" w:id="-761098485"/>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85"/>
                <w14:textFill>
                  <w14:solidFill>
                    <w14:srgbClr w14:val="000000">
                      <w14:alpha w14:val="100000"/>
                    </w14:srgbClr>
                  </w14:solidFill>
                </w14:textFill>
              </w:rPr>
              <w:t xml:space="preserve">　</w:t>
            </w:r>
            <w:r w:rsidR="0064470D">
              <w:rPr>
                <w:szCs w:val="20"/>
                <w:vertAlign w:val="superscript"/>
              </w:rPr>
              <w:t>4</w:t>
            </w:r>
          </w:p>
        </w:tc>
        <w:tc>
          <w:tcPr>
            <w:tcW w:w="598" w:type="pct"/>
            <w:tcBorders>
              <w:top w:val="single" w:sz="4" w:space="0" w:color="auto"/>
              <w:left w:val="nil"/>
              <w:bottom w:val="single" w:sz="4" w:space="0" w:color="auto"/>
              <w:right w:val="single" w:sz="4" w:space="0" w:color="auto"/>
            </w:tcBorders>
            <w:shd w:val="clear" w:color="auto" w:fill="auto"/>
            <w:vAlign w:val="center"/>
          </w:tcPr>
          <w:p w14:paraId="5FEC7E10" w14:textId="6F416FFB"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84"/>
                <w14:textFill>
                  <w14:solidFill>
                    <w14:srgbClr w14:val="000000">
                      <w14:alpha w14:val="100000"/>
                    </w14:srgbClr>
                  </w14:solidFill>
                </w14:textFill>
              </w:rPr>
              <w:t xml:space="preserve">　</w:t>
            </w:r>
            <w:r w:rsidRPr="00E639BD">
              <w:rPr>
                <w:color w:val="000000"/>
                <w:w w:val="15"/>
                <w:szCs w:val="20"/>
                <w:shd w:val="solid" w:color="000000" w:fill="000000"/>
                <w:fitText w:val="60" w:id="-761098484"/>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84"/>
                <w14:textFill>
                  <w14:solidFill>
                    <w14:srgbClr w14:val="000000">
                      <w14:alpha w14:val="100000"/>
                    </w14:srgbClr>
                  </w14:solidFill>
                </w14:textFill>
              </w:rPr>
              <w:t xml:space="preserve">　</w:t>
            </w:r>
            <w:r w:rsidR="0064470D">
              <w:rPr>
                <w:szCs w:val="20"/>
                <w:vertAlign w:val="superscript"/>
              </w:rPr>
              <w:t>5</w:t>
            </w:r>
          </w:p>
        </w:tc>
        <w:tc>
          <w:tcPr>
            <w:tcW w:w="599" w:type="pct"/>
            <w:tcBorders>
              <w:top w:val="single" w:sz="4" w:space="0" w:color="auto"/>
              <w:left w:val="nil"/>
              <w:bottom w:val="single" w:sz="4" w:space="0" w:color="auto"/>
              <w:right w:val="single" w:sz="4" w:space="0" w:color="auto"/>
            </w:tcBorders>
            <w:shd w:val="clear" w:color="auto" w:fill="auto"/>
            <w:vAlign w:val="center"/>
          </w:tcPr>
          <w:p w14:paraId="0EAD2859" w14:textId="710E63DE"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83"/>
                <w14:textFill>
                  <w14:solidFill>
                    <w14:srgbClr w14:val="000000">
                      <w14:alpha w14:val="100000"/>
                    </w14:srgbClr>
                  </w14:solidFill>
                </w14:textFill>
              </w:rPr>
              <w:t xml:space="preserve">　</w:t>
            </w:r>
            <w:r w:rsidRPr="00E639BD">
              <w:rPr>
                <w:color w:val="000000"/>
                <w:w w:val="15"/>
                <w:szCs w:val="20"/>
                <w:shd w:val="solid" w:color="000000" w:fill="000000"/>
                <w:fitText w:val="60" w:id="-761098483"/>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83"/>
                <w14:textFill>
                  <w14:solidFill>
                    <w14:srgbClr w14:val="000000">
                      <w14:alpha w14:val="100000"/>
                    </w14:srgbClr>
                  </w14:solidFill>
                </w14:textFill>
              </w:rPr>
              <w:t xml:space="preserve">　</w:t>
            </w:r>
            <w:r w:rsidR="0064470D">
              <w:rPr>
                <w:szCs w:val="20"/>
                <w:vertAlign w:val="superscript"/>
              </w:rPr>
              <w:t>2</w:t>
            </w:r>
          </w:p>
        </w:tc>
        <w:tc>
          <w:tcPr>
            <w:tcW w:w="599" w:type="pct"/>
            <w:tcBorders>
              <w:top w:val="single" w:sz="4" w:space="0" w:color="auto"/>
              <w:left w:val="nil"/>
              <w:bottom w:val="single" w:sz="4" w:space="0" w:color="auto"/>
              <w:right w:val="single" w:sz="4" w:space="0" w:color="auto"/>
            </w:tcBorders>
            <w:shd w:val="clear" w:color="auto" w:fill="auto"/>
            <w:vAlign w:val="center"/>
          </w:tcPr>
          <w:p w14:paraId="23F18D77" w14:textId="65847222"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82"/>
                <w14:textFill>
                  <w14:solidFill>
                    <w14:srgbClr w14:val="000000">
                      <w14:alpha w14:val="100000"/>
                    </w14:srgbClr>
                  </w14:solidFill>
                </w14:textFill>
              </w:rPr>
              <w:t xml:space="preserve">　</w:t>
            </w:r>
            <w:r w:rsidRPr="00E639BD">
              <w:rPr>
                <w:color w:val="000000"/>
                <w:w w:val="15"/>
                <w:szCs w:val="20"/>
                <w:shd w:val="solid" w:color="000000" w:fill="000000"/>
                <w:fitText w:val="60" w:id="-761098482"/>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82"/>
                <w14:textFill>
                  <w14:solidFill>
                    <w14:srgbClr w14:val="000000">
                      <w14:alpha w14:val="100000"/>
                    </w14:srgbClr>
                  </w14:solidFill>
                </w14:textFill>
              </w:rPr>
              <w:t xml:space="preserve">　</w:t>
            </w:r>
            <w:r w:rsidR="0064470D">
              <w:rPr>
                <w:szCs w:val="20"/>
                <w:vertAlign w:val="superscript"/>
              </w:rPr>
              <w:t>6</w:t>
            </w:r>
          </w:p>
        </w:tc>
        <w:tc>
          <w:tcPr>
            <w:tcW w:w="613" w:type="pct"/>
            <w:tcBorders>
              <w:top w:val="single" w:sz="4" w:space="0" w:color="auto"/>
              <w:left w:val="nil"/>
              <w:bottom w:val="single" w:sz="4" w:space="0" w:color="auto"/>
              <w:right w:val="single" w:sz="4" w:space="0" w:color="auto"/>
            </w:tcBorders>
            <w:shd w:val="clear" w:color="auto" w:fill="auto"/>
            <w:vAlign w:val="center"/>
          </w:tcPr>
          <w:p w14:paraId="3FA2DDBE" w14:textId="6EC94BD0"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81"/>
                <w14:textFill>
                  <w14:solidFill>
                    <w14:srgbClr w14:val="000000">
                      <w14:alpha w14:val="100000"/>
                    </w14:srgbClr>
                  </w14:solidFill>
                </w14:textFill>
              </w:rPr>
              <w:t xml:space="preserve">　</w:t>
            </w:r>
            <w:r w:rsidRPr="00E639BD">
              <w:rPr>
                <w:color w:val="000000"/>
                <w:w w:val="15"/>
                <w:szCs w:val="20"/>
                <w:shd w:val="solid" w:color="000000" w:fill="000000"/>
                <w:fitText w:val="60" w:id="-761098481"/>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81"/>
                <w14:textFill>
                  <w14:solidFill>
                    <w14:srgbClr w14:val="000000">
                      <w14:alpha w14:val="100000"/>
                    </w14:srgbClr>
                  </w14:solidFill>
                </w14:textFill>
              </w:rPr>
              <w:t xml:space="preserve">　</w:t>
            </w:r>
            <w:r w:rsidR="0064470D">
              <w:rPr>
                <w:szCs w:val="20"/>
                <w:vertAlign w:val="superscript"/>
              </w:rPr>
              <w:t>7</w:t>
            </w:r>
          </w:p>
        </w:tc>
      </w:tr>
      <w:tr w:rsidR="0064470D" w:rsidRPr="00E16BBF" w14:paraId="02A89DA5" w14:textId="77777777" w:rsidTr="00DF24EF">
        <w:tc>
          <w:tcPr>
            <w:tcW w:w="796" w:type="pct"/>
            <w:tcBorders>
              <w:left w:val="single" w:sz="4" w:space="0" w:color="auto"/>
              <w:bottom w:val="single" w:sz="4" w:space="0" w:color="auto"/>
              <w:right w:val="single" w:sz="4" w:space="0" w:color="auto"/>
            </w:tcBorders>
            <w:shd w:val="clear" w:color="auto" w:fill="auto"/>
            <w:vAlign w:val="center"/>
          </w:tcPr>
          <w:p w14:paraId="3325D64B" w14:textId="5EFFDC43" w:rsidR="00DF24EF" w:rsidRPr="00DF24EF" w:rsidRDefault="00DF24EF">
            <w:pPr>
              <w:pStyle w:val="TableText0"/>
              <w:rPr>
                <w:szCs w:val="20"/>
              </w:rPr>
            </w:pPr>
            <w:r>
              <w:rPr>
                <w:szCs w:val="20"/>
              </w:rPr>
              <w:t>+ no subsequent treatment</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4D9ACD11" w14:textId="14131C4B"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80"/>
                <w14:textFill>
                  <w14:solidFill>
                    <w14:srgbClr w14:val="000000">
                      <w14:alpha w14:val="100000"/>
                    </w14:srgbClr>
                  </w14:solidFill>
                </w14:textFill>
              </w:rPr>
              <w:t xml:space="preserve">　</w:t>
            </w:r>
            <w:r w:rsidRPr="00E639BD">
              <w:rPr>
                <w:color w:val="000000"/>
                <w:w w:val="15"/>
                <w:szCs w:val="20"/>
                <w:shd w:val="solid" w:color="000000" w:fill="000000"/>
                <w:fitText w:val="60" w:id="-761098480"/>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80"/>
                <w14:textFill>
                  <w14:solidFill>
                    <w14:srgbClr w14:val="000000">
                      <w14:alpha w14:val="100000"/>
                    </w14:srgbClr>
                  </w14:solidFill>
                </w14:textFill>
              </w:rPr>
              <w:t xml:space="preserve">　</w:t>
            </w:r>
            <w:r w:rsidR="0064470D">
              <w:rPr>
                <w:szCs w:val="20"/>
                <w:vertAlign w:val="superscript"/>
              </w:rPr>
              <w:t>4</w:t>
            </w:r>
          </w:p>
        </w:tc>
        <w:tc>
          <w:tcPr>
            <w:tcW w:w="599" w:type="pct"/>
            <w:tcBorders>
              <w:top w:val="single" w:sz="4" w:space="0" w:color="auto"/>
              <w:left w:val="nil"/>
              <w:bottom w:val="single" w:sz="4" w:space="0" w:color="auto"/>
              <w:right w:val="single" w:sz="4" w:space="0" w:color="auto"/>
            </w:tcBorders>
            <w:shd w:val="clear" w:color="auto" w:fill="auto"/>
            <w:vAlign w:val="center"/>
          </w:tcPr>
          <w:p w14:paraId="46B9EC80" w14:textId="4AD7CF97"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96"/>
                <w14:textFill>
                  <w14:solidFill>
                    <w14:srgbClr w14:val="000000">
                      <w14:alpha w14:val="100000"/>
                    </w14:srgbClr>
                  </w14:solidFill>
                </w14:textFill>
              </w:rPr>
              <w:t xml:space="preserve">　</w:t>
            </w:r>
            <w:r w:rsidRPr="00E639BD">
              <w:rPr>
                <w:color w:val="000000"/>
                <w:w w:val="15"/>
                <w:szCs w:val="20"/>
                <w:shd w:val="solid" w:color="000000" w:fill="000000"/>
                <w:fitText w:val="60" w:id="-761098496"/>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96"/>
                <w14:textFill>
                  <w14:solidFill>
                    <w14:srgbClr w14:val="000000">
                      <w14:alpha w14:val="100000"/>
                    </w14:srgbClr>
                  </w14:solidFill>
                </w14:textFill>
              </w:rPr>
              <w:t xml:space="preserve">　</w:t>
            </w:r>
            <w:r w:rsidR="0064470D">
              <w:rPr>
                <w:szCs w:val="20"/>
                <w:vertAlign w:val="superscript"/>
              </w:rPr>
              <w:t>4</w:t>
            </w:r>
          </w:p>
        </w:tc>
        <w:tc>
          <w:tcPr>
            <w:tcW w:w="598" w:type="pct"/>
            <w:tcBorders>
              <w:top w:val="single" w:sz="4" w:space="0" w:color="auto"/>
              <w:left w:val="nil"/>
              <w:bottom w:val="single" w:sz="4" w:space="0" w:color="auto"/>
              <w:right w:val="single" w:sz="4" w:space="0" w:color="auto"/>
            </w:tcBorders>
            <w:shd w:val="clear" w:color="auto" w:fill="auto"/>
            <w:vAlign w:val="center"/>
          </w:tcPr>
          <w:p w14:paraId="65B2D6D8" w14:textId="1D948FEE"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95"/>
                <w14:textFill>
                  <w14:solidFill>
                    <w14:srgbClr w14:val="000000">
                      <w14:alpha w14:val="100000"/>
                    </w14:srgbClr>
                  </w14:solidFill>
                </w14:textFill>
              </w:rPr>
              <w:t xml:space="preserve">　</w:t>
            </w:r>
            <w:r w:rsidRPr="00E639BD">
              <w:rPr>
                <w:color w:val="000000"/>
                <w:w w:val="15"/>
                <w:szCs w:val="20"/>
                <w:shd w:val="solid" w:color="000000" w:fill="000000"/>
                <w:fitText w:val="60" w:id="-761098495"/>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95"/>
                <w14:textFill>
                  <w14:solidFill>
                    <w14:srgbClr w14:val="000000">
                      <w14:alpha w14:val="100000"/>
                    </w14:srgbClr>
                  </w14:solidFill>
                </w14:textFill>
              </w:rPr>
              <w:t xml:space="preserve">　</w:t>
            </w:r>
            <w:r w:rsidR="0064470D">
              <w:rPr>
                <w:szCs w:val="20"/>
                <w:vertAlign w:val="superscript"/>
              </w:rPr>
              <w:t>4</w:t>
            </w:r>
          </w:p>
        </w:tc>
        <w:tc>
          <w:tcPr>
            <w:tcW w:w="598" w:type="pct"/>
            <w:tcBorders>
              <w:top w:val="single" w:sz="4" w:space="0" w:color="auto"/>
              <w:left w:val="nil"/>
              <w:bottom w:val="single" w:sz="4" w:space="0" w:color="auto"/>
              <w:right w:val="single" w:sz="4" w:space="0" w:color="auto"/>
            </w:tcBorders>
            <w:shd w:val="clear" w:color="auto" w:fill="auto"/>
            <w:vAlign w:val="center"/>
          </w:tcPr>
          <w:p w14:paraId="18E90F56" w14:textId="2078DFDF"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94"/>
                <w14:textFill>
                  <w14:solidFill>
                    <w14:srgbClr w14:val="000000">
                      <w14:alpha w14:val="100000"/>
                    </w14:srgbClr>
                  </w14:solidFill>
                </w14:textFill>
              </w:rPr>
              <w:t xml:space="preserve">　</w:t>
            </w:r>
            <w:r w:rsidRPr="00E639BD">
              <w:rPr>
                <w:color w:val="000000"/>
                <w:w w:val="15"/>
                <w:szCs w:val="20"/>
                <w:shd w:val="solid" w:color="000000" w:fill="000000"/>
                <w:fitText w:val="60" w:id="-761098494"/>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94"/>
                <w14:textFill>
                  <w14:solidFill>
                    <w14:srgbClr w14:val="000000">
                      <w14:alpha w14:val="100000"/>
                    </w14:srgbClr>
                  </w14:solidFill>
                </w14:textFill>
              </w:rPr>
              <w:t xml:space="preserve">　</w:t>
            </w:r>
            <w:r w:rsidR="0064470D">
              <w:rPr>
                <w:szCs w:val="20"/>
                <w:vertAlign w:val="superscript"/>
              </w:rPr>
              <w:t>6</w:t>
            </w:r>
          </w:p>
        </w:tc>
        <w:tc>
          <w:tcPr>
            <w:tcW w:w="599" w:type="pct"/>
            <w:tcBorders>
              <w:top w:val="single" w:sz="4" w:space="0" w:color="auto"/>
              <w:left w:val="nil"/>
              <w:bottom w:val="single" w:sz="4" w:space="0" w:color="auto"/>
              <w:right w:val="single" w:sz="4" w:space="0" w:color="auto"/>
            </w:tcBorders>
            <w:shd w:val="clear" w:color="auto" w:fill="auto"/>
            <w:vAlign w:val="center"/>
          </w:tcPr>
          <w:p w14:paraId="3FFE1B2D" w14:textId="798C838C"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93"/>
                <w14:textFill>
                  <w14:solidFill>
                    <w14:srgbClr w14:val="000000">
                      <w14:alpha w14:val="100000"/>
                    </w14:srgbClr>
                  </w14:solidFill>
                </w14:textFill>
              </w:rPr>
              <w:t xml:space="preserve">　</w:t>
            </w:r>
            <w:r w:rsidRPr="00E639BD">
              <w:rPr>
                <w:color w:val="000000"/>
                <w:w w:val="15"/>
                <w:szCs w:val="20"/>
                <w:shd w:val="solid" w:color="000000" w:fill="000000"/>
                <w:fitText w:val="60" w:id="-761098493"/>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93"/>
                <w14:textFill>
                  <w14:solidFill>
                    <w14:srgbClr w14:val="000000">
                      <w14:alpha w14:val="100000"/>
                    </w14:srgbClr>
                  </w14:solidFill>
                </w14:textFill>
              </w:rPr>
              <w:t xml:space="preserve">　</w:t>
            </w:r>
            <w:r w:rsidR="0064470D">
              <w:rPr>
                <w:szCs w:val="20"/>
                <w:vertAlign w:val="superscript"/>
              </w:rPr>
              <w:t>8</w:t>
            </w:r>
          </w:p>
        </w:tc>
        <w:tc>
          <w:tcPr>
            <w:tcW w:w="599" w:type="pct"/>
            <w:tcBorders>
              <w:top w:val="single" w:sz="4" w:space="0" w:color="auto"/>
              <w:left w:val="nil"/>
              <w:bottom w:val="single" w:sz="4" w:space="0" w:color="auto"/>
              <w:right w:val="single" w:sz="4" w:space="0" w:color="auto"/>
            </w:tcBorders>
            <w:shd w:val="clear" w:color="auto" w:fill="auto"/>
            <w:vAlign w:val="center"/>
          </w:tcPr>
          <w:p w14:paraId="12656B63" w14:textId="01F0252F" w:rsidR="00DF24EF" w:rsidRPr="00206400" w:rsidRDefault="00E639BD">
            <w:pPr>
              <w:pStyle w:val="TableText0"/>
              <w:jc w:val="center"/>
              <w:rPr>
                <w:szCs w:val="20"/>
                <w:highlight w:val="darkGray"/>
              </w:rPr>
            </w:pPr>
            <w:r w:rsidRPr="00E639BD">
              <w:rPr>
                <w:rFonts w:hint="eastAsia"/>
                <w:color w:val="000000"/>
                <w:w w:val="15"/>
                <w:szCs w:val="20"/>
                <w:shd w:val="solid" w:color="000000" w:fill="000000"/>
                <w:fitText w:val="60" w:id="-761098492"/>
                <w14:textFill>
                  <w14:solidFill>
                    <w14:srgbClr w14:val="000000">
                      <w14:alpha w14:val="100000"/>
                    </w14:srgbClr>
                  </w14:solidFill>
                </w14:textFill>
              </w:rPr>
              <w:t xml:space="preserve">　</w:t>
            </w:r>
            <w:r w:rsidRPr="00E639BD">
              <w:rPr>
                <w:color w:val="000000"/>
                <w:w w:val="15"/>
                <w:szCs w:val="20"/>
                <w:shd w:val="solid" w:color="000000" w:fill="000000"/>
                <w:fitText w:val="60" w:id="-761098492"/>
                <w14:textFill>
                  <w14:solidFill>
                    <w14:srgbClr w14:val="000000">
                      <w14:alpha w14:val="100000"/>
                    </w14:srgbClr>
                  </w14:solidFill>
                </w14:textFill>
              </w:rPr>
              <w:t>|</w:t>
            </w:r>
            <w:r w:rsidRPr="00E639BD">
              <w:rPr>
                <w:rFonts w:hint="eastAsia"/>
                <w:color w:val="000000"/>
                <w:spacing w:val="-5"/>
                <w:w w:val="15"/>
                <w:szCs w:val="20"/>
                <w:shd w:val="solid" w:color="000000" w:fill="000000"/>
                <w:fitText w:val="60" w:id="-761098492"/>
                <w14:textFill>
                  <w14:solidFill>
                    <w14:srgbClr w14:val="000000">
                      <w14:alpha w14:val="100000"/>
                    </w14:srgbClr>
                  </w14:solidFill>
                </w14:textFill>
              </w:rPr>
              <w:t xml:space="preserve">　</w:t>
            </w:r>
            <w:r w:rsidR="0064470D">
              <w:rPr>
                <w:szCs w:val="20"/>
                <w:vertAlign w:val="superscript"/>
              </w:rPr>
              <w:t>9</w:t>
            </w:r>
          </w:p>
        </w:tc>
        <w:tc>
          <w:tcPr>
            <w:tcW w:w="613" w:type="pct"/>
            <w:tcBorders>
              <w:top w:val="single" w:sz="4" w:space="0" w:color="auto"/>
              <w:left w:val="nil"/>
              <w:bottom w:val="single" w:sz="4" w:space="0" w:color="auto"/>
              <w:right w:val="single" w:sz="4" w:space="0" w:color="auto"/>
            </w:tcBorders>
            <w:shd w:val="clear" w:color="auto" w:fill="auto"/>
            <w:vAlign w:val="center"/>
          </w:tcPr>
          <w:p w14:paraId="30D82B71" w14:textId="13775B4D" w:rsidR="00DF24EF" w:rsidRPr="00206400" w:rsidRDefault="00E639BD">
            <w:pPr>
              <w:pStyle w:val="TableText0"/>
              <w:jc w:val="center"/>
              <w:rPr>
                <w:szCs w:val="20"/>
                <w:highlight w:val="darkGray"/>
              </w:rPr>
            </w:pPr>
            <w:r>
              <w:rPr>
                <w:rFonts w:hint="eastAsia"/>
                <w:color w:val="000000"/>
                <w:w w:val="15"/>
                <w:szCs w:val="20"/>
                <w:shd w:val="solid" w:color="000000" w:fill="000000"/>
                <w:fitText w:val="60" w:id="-761098491"/>
                <w14:textFill>
                  <w14:solidFill>
                    <w14:srgbClr w14:val="000000">
                      <w14:alpha w14:val="100000"/>
                    </w14:srgbClr>
                  </w14:solidFill>
                </w14:textFill>
              </w:rPr>
              <w:t xml:space="preserve">　</w:t>
            </w:r>
            <w:r>
              <w:rPr>
                <w:color w:val="000000"/>
                <w:w w:val="15"/>
                <w:szCs w:val="20"/>
                <w:shd w:val="solid" w:color="000000" w:fill="000000"/>
                <w:fitText w:val="60" w:id="-761098491"/>
                <w14:textFill>
                  <w14:solidFill>
                    <w14:srgbClr w14:val="000000">
                      <w14:alpha w14:val="100000"/>
                    </w14:srgbClr>
                  </w14:solidFill>
                </w14:textFill>
              </w:rPr>
              <w:t>|</w:t>
            </w:r>
            <w:r>
              <w:rPr>
                <w:rFonts w:hint="eastAsia"/>
                <w:color w:val="000000"/>
                <w:spacing w:val="-6"/>
                <w:w w:val="15"/>
                <w:szCs w:val="20"/>
                <w:shd w:val="solid" w:color="000000" w:fill="000000"/>
                <w:fitText w:val="60" w:id="-761098491"/>
                <w14:textFill>
                  <w14:solidFill>
                    <w14:srgbClr w14:val="000000">
                      <w14:alpha w14:val="100000"/>
                    </w14:srgbClr>
                  </w14:solidFill>
                </w14:textFill>
              </w:rPr>
              <w:t xml:space="preserve">　</w:t>
            </w:r>
            <w:r w:rsidR="0064470D">
              <w:rPr>
                <w:szCs w:val="20"/>
                <w:vertAlign w:val="superscript"/>
              </w:rPr>
              <w:t>3</w:t>
            </w:r>
          </w:p>
        </w:tc>
      </w:tr>
    </w:tbl>
    <w:p w14:paraId="41E97B1A" w14:textId="77777777" w:rsidR="00DF24EF" w:rsidRPr="00DF24EF" w:rsidRDefault="00DF24EF" w:rsidP="00DF24EF">
      <w:pPr>
        <w:pStyle w:val="3-BodyText"/>
        <w:numPr>
          <w:ilvl w:val="0"/>
          <w:numId w:val="0"/>
        </w:numPr>
        <w:spacing w:before="0" w:after="0"/>
        <w:rPr>
          <w:rFonts w:ascii="Arial Narrow" w:hAnsi="Arial Narrow"/>
          <w:sz w:val="18"/>
          <w:szCs w:val="18"/>
        </w:rPr>
      </w:pPr>
      <w:r w:rsidRPr="00DF24EF">
        <w:rPr>
          <w:rFonts w:ascii="Arial Narrow" w:hAnsi="Arial Narrow"/>
          <w:sz w:val="18"/>
          <w:szCs w:val="18"/>
        </w:rPr>
        <w:t>Source: Table 4, p5 of the PSCR</w:t>
      </w:r>
    </w:p>
    <w:p w14:paraId="3A9ED3D2" w14:textId="19946AB4" w:rsidR="00DF24EF" w:rsidRDefault="00DF24EF" w:rsidP="00DF24EF">
      <w:pPr>
        <w:pStyle w:val="3-BodyText"/>
        <w:numPr>
          <w:ilvl w:val="0"/>
          <w:numId w:val="0"/>
        </w:numPr>
        <w:spacing w:before="0" w:after="0"/>
        <w:rPr>
          <w:rFonts w:ascii="Arial Narrow" w:hAnsi="Arial Narrow"/>
          <w:sz w:val="18"/>
          <w:szCs w:val="18"/>
        </w:rPr>
      </w:pPr>
      <w:r w:rsidRPr="00DF24EF">
        <w:rPr>
          <w:rFonts w:ascii="Arial Narrow" w:hAnsi="Arial Narrow"/>
          <w:sz w:val="18"/>
          <w:szCs w:val="18"/>
        </w:rPr>
        <w:t>AUC=area under the curve, BCR=biochemical recurrence, m0HSPC=non-metastatic hormone sensitive prostate cancer, RP=radical prostatectomy, RT=radiotherapy</w:t>
      </w:r>
    </w:p>
    <w:p w14:paraId="764F6452" w14:textId="77777777" w:rsidR="0064470D" w:rsidRPr="007017BA" w:rsidRDefault="0064470D" w:rsidP="0064470D">
      <w:pPr>
        <w:pStyle w:val="FooterTableFigure"/>
        <w:keepNext/>
        <w:keepLines/>
        <w:spacing w:after="0"/>
        <w:ind w:left="142" w:hanging="142"/>
        <w:rPr>
          <w:i/>
          <w:iCs/>
        </w:rPr>
      </w:pPr>
      <w:r w:rsidRPr="007017BA">
        <w:rPr>
          <w:i/>
          <w:iCs/>
        </w:rPr>
        <w:t xml:space="preserve">The redacted values correspond to the following ranges: </w:t>
      </w:r>
    </w:p>
    <w:p w14:paraId="5EC89A65" w14:textId="77777777" w:rsidR="0064470D" w:rsidRPr="007017BA" w:rsidRDefault="0064470D" w:rsidP="0064470D">
      <w:pPr>
        <w:pStyle w:val="FooterTableFigure"/>
        <w:keepNext/>
        <w:keepLines/>
        <w:ind w:left="142" w:hanging="142"/>
        <w:rPr>
          <w:i/>
          <w:iCs/>
        </w:rPr>
      </w:pPr>
      <w:r w:rsidRPr="007017BA">
        <w:rPr>
          <w:i/>
          <w:iCs/>
        </w:rPr>
        <w:t>1 $30 million to &lt; $40 million</w:t>
      </w:r>
    </w:p>
    <w:p w14:paraId="50D7F13A" w14:textId="77777777" w:rsidR="0064470D" w:rsidRPr="007017BA" w:rsidRDefault="0064470D" w:rsidP="0064470D">
      <w:pPr>
        <w:pStyle w:val="FooterTableFigure"/>
        <w:keepNext/>
        <w:keepLines/>
        <w:ind w:left="142" w:hanging="142"/>
        <w:rPr>
          <w:i/>
          <w:iCs/>
        </w:rPr>
      </w:pPr>
      <w:r w:rsidRPr="007017BA">
        <w:rPr>
          <w:i/>
          <w:iCs/>
        </w:rPr>
        <w:t>2 $40 million to &lt; $50 million</w:t>
      </w:r>
      <w:r w:rsidRPr="007017BA" w:rsidDel="007304CE">
        <w:rPr>
          <w:i/>
          <w:iCs/>
        </w:rPr>
        <w:t xml:space="preserve"> </w:t>
      </w:r>
    </w:p>
    <w:p w14:paraId="074E246D" w14:textId="77777777" w:rsidR="0064470D" w:rsidRPr="007017BA" w:rsidRDefault="0064470D" w:rsidP="0064470D">
      <w:pPr>
        <w:pStyle w:val="FooterTableFigure"/>
        <w:keepNext/>
        <w:keepLines/>
        <w:ind w:left="142" w:hanging="142"/>
        <w:rPr>
          <w:i/>
          <w:iCs/>
        </w:rPr>
      </w:pPr>
      <w:r w:rsidRPr="007017BA">
        <w:rPr>
          <w:i/>
          <w:iCs/>
        </w:rPr>
        <w:t>3 $200 million to &lt; $300 million</w:t>
      </w:r>
      <w:r w:rsidRPr="007017BA" w:rsidDel="007304CE">
        <w:rPr>
          <w:i/>
          <w:iCs/>
        </w:rPr>
        <w:t xml:space="preserve"> </w:t>
      </w:r>
    </w:p>
    <w:p w14:paraId="5BD821B8" w14:textId="7EAF5D90" w:rsidR="0064470D" w:rsidRPr="007017BA" w:rsidRDefault="0064470D" w:rsidP="0064470D">
      <w:pPr>
        <w:pStyle w:val="FooterTableFigure"/>
        <w:keepNext/>
        <w:keepLines/>
        <w:ind w:left="142" w:hanging="142"/>
        <w:rPr>
          <w:i/>
          <w:iCs/>
        </w:rPr>
      </w:pPr>
      <w:r w:rsidRPr="007017BA">
        <w:rPr>
          <w:i/>
          <w:iCs/>
        </w:rPr>
        <w:t>4 $</w:t>
      </w:r>
      <w:r>
        <w:rPr>
          <w:i/>
          <w:iCs/>
        </w:rPr>
        <w:t>1</w:t>
      </w:r>
      <w:r w:rsidRPr="007017BA">
        <w:rPr>
          <w:i/>
          <w:iCs/>
        </w:rPr>
        <w:t>0 million to &lt; $</w:t>
      </w:r>
      <w:r>
        <w:rPr>
          <w:i/>
          <w:iCs/>
        </w:rPr>
        <w:t>2</w:t>
      </w:r>
      <w:r w:rsidRPr="007017BA">
        <w:rPr>
          <w:i/>
          <w:iCs/>
        </w:rPr>
        <w:t xml:space="preserve">0 million </w:t>
      </w:r>
    </w:p>
    <w:p w14:paraId="0D926B8F" w14:textId="73A3A3F0" w:rsidR="0064470D" w:rsidRPr="007017BA" w:rsidRDefault="0064470D" w:rsidP="0064470D">
      <w:pPr>
        <w:pStyle w:val="FooterTableFigure"/>
        <w:keepNext/>
        <w:keepLines/>
        <w:ind w:left="142" w:hanging="142"/>
        <w:rPr>
          <w:i/>
          <w:iCs/>
        </w:rPr>
      </w:pPr>
      <w:r w:rsidRPr="007017BA">
        <w:rPr>
          <w:i/>
          <w:iCs/>
        </w:rPr>
        <w:t xml:space="preserve">5 $20 million to &lt; $30 million </w:t>
      </w:r>
    </w:p>
    <w:p w14:paraId="45350D03" w14:textId="58EB2AC7" w:rsidR="0064470D" w:rsidRPr="007017BA" w:rsidRDefault="0064470D" w:rsidP="0064470D">
      <w:pPr>
        <w:pStyle w:val="FooterTableFigure"/>
        <w:keepNext/>
        <w:keepLines/>
        <w:ind w:left="142" w:hanging="142"/>
        <w:rPr>
          <w:i/>
          <w:iCs/>
        </w:rPr>
      </w:pPr>
      <w:r w:rsidRPr="007017BA">
        <w:rPr>
          <w:i/>
          <w:iCs/>
        </w:rPr>
        <w:t>6 $</w:t>
      </w:r>
      <w:r>
        <w:rPr>
          <w:i/>
          <w:iCs/>
        </w:rPr>
        <w:t>7</w:t>
      </w:r>
      <w:r w:rsidRPr="007017BA">
        <w:rPr>
          <w:i/>
          <w:iCs/>
        </w:rPr>
        <w:t>0 million to &lt; $</w:t>
      </w:r>
      <w:r>
        <w:rPr>
          <w:i/>
          <w:iCs/>
        </w:rPr>
        <w:t>80 m</w:t>
      </w:r>
      <w:r w:rsidRPr="007017BA">
        <w:rPr>
          <w:i/>
          <w:iCs/>
        </w:rPr>
        <w:t>illion</w:t>
      </w:r>
      <w:r w:rsidRPr="007017BA" w:rsidDel="00CB2BB3">
        <w:rPr>
          <w:i/>
          <w:iCs/>
        </w:rPr>
        <w:t xml:space="preserve"> </w:t>
      </w:r>
    </w:p>
    <w:p w14:paraId="1F41118C" w14:textId="61986C5E" w:rsidR="0064470D" w:rsidRPr="007017BA" w:rsidRDefault="0064470D" w:rsidP="0064470D">
      <w:pPr>
        <w:pStyle w:val="FooterTableFigure"/>
        <w:keepNext/>
        <w:keepLines/>
        <w:ind w:left="142" w:hanging="142"/>
        <w:rPr>
          <w:i/>
          <w:iCs/>
        </w:rPr>
      </w:pPr>
      <w:r w:rsidRPr="007017BA">
        <w:rPr>
          <w:i/>
          <w:iCs/>
        </w:rPr>
        <w:t xml:space="preserve">7 </w:t>
      </w:r>
      <w:r w:rsidR="00DA4BE1" w:rsidRPr="007017BA">
        <w:rPr>
          <w:i/>
          <w:iCs/>
        </w:rPr>
        <w:t>$</w:t>
      </w:r>
      <w:r w:rsidR="00DA4BE1">
        <w:rPr>
          <w:i/>
          <w:iCs/>
        </w:rPr>
        <w:t>1</w:t>
      </w:r>
      <w:r w:rsidR="00DA4BE1" w:rsidRPr="007017BA">
        <w:rPr>
          <w:i/>
          <w:iCs/>
        </w:rPr>
        <w:t>00 million to &lt; $</w:t>
      </w:r>
      <w:r w:rsidR="00DA4BE1">
        <w:rPr>
          <w:i/>
          <w:iCs/>
        </w:rPr>
        <w:t>2</w:t>
      </w:r>
      <w:r w:rsidR="00DA4BE1" w:rsidRPr="007017BA">
        <w:rPr>
          <w:i/>
          <w:iCs/>
        </w:rPr>
        <w:t>00 million</w:t>
      </w:r>
    </w:p>
    <w:p w14:paraId="1E4AD917" w14:textId="6BA8C69A" w:rsidR="0064470D" w:rsidRPr="007017BA" w:rsidRDefault="0064470D" w:rsidP="0064470D">
      <w:pPr>
        <w:pStyle w:val="FooterTableFigure"/>
        <w:keepNext/>
        <w:keepLines/>
        <w:ind w:left="142" w:hanging="142"/>
        <w:rPr>
          <w:i/>
          <w:iCs/>
        </w:rPr>
      </w:pPr>
      <w:r w:rsidRPr="007017BA">
        <w:rPr>
          <w:i/>
          <w:iCs/>
        </w:rPr>
        <w:t xml:space="preserve">8 </w:t>
      </w:r>
      <w:r w:rsidR="00DA4BE1" w:rsidRPr="007017BA">
        <w:rPr>
          <w:i/>
          <w:iCs/>
        </w:rPr>
        <w:t>$</w:t>
      </w:r>
      <w:r w:rsidR="00DA4BE1">
        <w:rPr>
          <w:i/>
          <w:iCs/>
        </w:rPr>
        <w:t>5</w:t>
      </w:r>
      <w:r w:rsidR="00DA4BE1" w:rsidRPr="007017BA">
        <w:rPr>
          <w:i/>
          <w:iCs/>
        </w:rPr>
        <w:t>0 million to &lt; $</w:t>
      </w:r>
      <w:r w:rsidR="00DA4BE1">
        <w:rPr>
          <w:i/>
          <w:iCs/>
        </w:rPr>
        <w:t>6</w:t>
      </w:r>
      <w:r w:rsidR="00DA4BE1" w:rsidRPr="007017BA">
        <w:rPr>
          <w:i/>
          <w:iCs/>
        </w:rPr>
        <w:t>0 million</w:t>
      </w:r>
    </w:p>
    <w:p w14:paraId="65552CEC" w14:textId="67D52A7E" w:rsidR="0064470D" w:rsidRPr="0064470D" w:rsidRDefault="0064470D" w:rsidP="0064470D">
      <w:pPr>
        <w:pStyle w:val="FooterTableFigure"/>
      </w:pPr>
      <w:r w:rsidRPr="007017BA">
        <w:rPr>
          <w:i/>
          <w:iCs/>
        </w:rPr>
        <w:t xml:space="preserve">9 </w:t>
      </w:r>
      <w:r w:rsidR="00DA4BE1" w:rsidRPr="007017BA">
        <w:rPr>
          <w:i/>
          <w:iCs/>
        </w:rPr>
        <w:t>$</w:t>
      </w:r>
      <w:r w:rsidR="00DA4BE1">
        <w:rPr>
          <w:i/>
          <w:iCs/>
        </w:rPr>
        <w:t>8</w:t>
      </w:r>
      <w:r w:rsidR="00DA4BE1" w:rsidRPr="007017BA">
        <w:rPr>
          <w:i/>
          <w:iCs/>
        </w:rPr>
        <w:t>0 million to &lt; $</w:t>
      </w:r>
      <w:r w:rsidR="00DA4BE1">
        <w:rPr>
          <w:i/>
          <w:iCs/>
        </w:rPr>
        <w:t>9</w:t>
      </w:r>
      <w:r w:rsidR="00DA4BE1" w:rsidRPr="007017BA">
        <w:rPr>
          <w:i/>
          <w:iCs/>
        </w:rPr>
        <w:t>0 million</w:t>
      </w:r>
      <w:r w:rsidR="00DA4BE1" w:rsidRPr="007017BA" w:rsidDel="007304CE">
        <w:rPr>
          <w:i/>
          <w:iCs/>
        </w:rPr>
        <w:t xml:space="preserve"> </w:t>
      </w:r>
    </w:p>
    <w:p w14:paraId="2238DEE9" w14:textId="1A7A5BED" w:rsidR="00576972" w:rsidRPr="0098262F" w:rsidRDefault="00576972" w:rsidP="00B63CD0">
      <w:pPr>
        <w:pStyle w:val="4-SubsectionHeading"/>
      </w:pPr>
      <w:r w:rsidRPr="0098262F">
        <w:t>Quality Use of Medicines</w:t>
      </w:r>
      <w:bookmarkEnd w:id="61"/>
      <w:bookmarkEnd w:id="62"/>
    </w:p>
    <w:p w14:paraId="00AADB0D" w14:textId="7FB0934C" w:rsidR="00ED509D" w:rsidRPr="00E16BBF" w:rsidRDefault="00ED509D" w:rsidP="00ED509D">
      <w:pPr>
        <w:pStyle w:val="3-BodyText"/>
        <w:numPr>
          <w:ilvl w:val="1"/>
          <w:numId w:val="1"/>
        </w:numPr>
      </w:pPr>
      <w:bookmarkStart w:id="67" w:name="_Toc22897649"/>
      <w:r w:rsidRPr="00E16BBF">
        <w:t>The submission stated that educational material and activities would comply with the Medicines Australia Code of Conduct, and that enzalutamide patients receiving enzalutamide will be directed to the Consumer Medicines Information via a QR code on packaging. The submission stated that post-marketing surveillance was not applicable.</w:t>
      </w:r>
    </w:p>
    <w:p w14:paraId="35A22205" w14:textId="77777777" w:rsidR="00ED509D" w:rsidRPr="00E16BBF" w:rsidRDefault="00ED509D" w:rsidP="00ED509D">
      <w:pPr>
        <w:pStyle w:val="3-BodyText"/>
        <w:numPr>
          <w:ilvl w:val="1"/>
          <w:numId w:val="1"/>
        </w:numPr>
      </w:pPr>
      <w:r w:rsidRPr="00E16BBF">
        <w:t xml:space="preserve">The submission did not provide further detail on quality of use of medicines. </w:t>
      </w:r>
    </w:p>
    <w:p w14:paraId="4F9E18E5" w14:textId="7873962E" w:rsidR="00FF1F6D" w:rsidRPr="00E16BBF" w:rsidRDefault="00FF1F6D" w:rsidP="00ED509D">
      <w:pPr>
        <w:pStyle w:val="3-BodyText"/>
        <w:numPr>
          <w:ilvl w:val="1"/>
          <w:numId w:val="1"/>
        </w:numPr>
      </w:pPr>
      <w:r w:rsidRPr="00E16BBF">
        <w:t xml:space="preserve">The ESC </w:t>
      </w:r>
      <w:r w:rsidR="00DF24EF">
        <w:t xml:space="preserve">and DUSC </w:t>
      </w:r>
      <w:r w:rsidRPr="00E16BBF">
        <w:t>considered that the education of clinicians regarding treatment suspension when PSA levels become undetectable should be included in quality use of medicine activities.</w:t>
      </w:r>
      <w:r w:rsidR="00DF24EF">
        <w:t xml:space="preserve"> The pre-PBAC response stated that a comprehensive quality use of medicines program is being considered.</w:t>
      </w:r>
    </w:p>
    <w:p w14:paraId="6015A395" w14:textId="2EDB6A4E" w:rsidR="00576972" w:rsidRPr="0098262F" w:rsidRDefault="00576972" w:rsidP="00606FBA">
      <w:pPr>
        <w:pStyle w:val="4-SubsectionHeading"/>
      </w:pPr>
      <w:bookmarkStart w:id="68" w:name="_Toc177371553"/>
      <w:r w:rsidRPr="0098262F">
        <w:t>Financial Management – Risk Sharing Arrangements</w:t>
      </w:r>
      <w:bookmarkEnd w:id="67"/>
      <w:bookmarkEnd w:id="68"/>
    </w:p>
    <w:p w14:paraId="21BC5178" w14:textId="1D3F52CB" w:rsidR="00ED509D" w:rsidRPr="00E16BBF" w:rsidRDefault="00ED509D" w:rsidP="00ED509D">
      <w:pPr>
        <w:pStyle w:val="3-BodyText"/>
        <w:numPr>
          <w:ilvl w:val="1"/>
          <w:numId w:val="1"/>
        </w:numPr>
      </w:pPr>
      <w:bookmarkStart w:id="69" w:name="_Ref177457624"/>
      <w:bookmarkStart w:id="70" w:name="_Toc22897650"/>
      <w:r w:rsidRPr="00E16BBF">
        <w:t>The submission presented a managed access program (MAP) to account for the uncertainty in the interim results from EMBARK where median MFS and OS ha</w:t>
      </w:r>
      <w:r w:rsidR="003E6C12" w:rsidRPr="00E16BBF">
        <w:t>ve</w:t>
      </w:r>
      <w:r w:rsidRPr="00E16BBF">
        <w:t xml:space="preserve"> not been reached in any treatment arm. The submission proposed that hazard ratios for MFS and OS from the final data</w:t>
      </w:r>
      <w:r w:rsidR="003E6C12" w:rsidRPr="00E16BBF">
        <w:t xml:space="preserve"> </w:t>
      </w:r>
      <w:r w:rsidRPr="00E16BBF">
        <w:t>cut of EMBARK would be applied to the economic model and any increases to the agreed ICER (determined by the Sponsor and PBAC) based on the interim data</w:t>
      </w:r>
      <w:r w:rsidR="003E6C12" w:rsidRPr="00E16BBF">
        <w:t xml:space="preserve"> </w:t>
      </w:r>
      <w:r w:rsidRPr="00E16BBF">
        <w:t xml:space="preserve">cut above </w:t>
      </w:r>
      <w:r w:rsidR="000972A9">
        <w:t>$</w:t>
      </w:r>
      <w:r w:rsidR="004A1810" w:rsidRPr="004A1810">
        <w:t>45,000 to &lt; $55,000</w:t>
      </w:r>
      <w:r w:rsidR="005D6560">
        <w:t xml:space="preserve"> </w:t>
      </w:r>
      <w:r w:rsidRPr="00E16BBF">
        <w:t>per QALY gained would result in a price reduction to bring the ICER back to an agreed</w:t>
      </w:r>
      <w:r w:rsidR="003E6C12" w:rsidRPr="00E16BBF">
        <w:t>-</w:t>
      </w:r>
      <w:r w:rsidRPr="00E16BBF">
        <w:t xml:space="preserve">upon base case. The proposed ICERs for comparison were </w:t>
      </w:r>
      <w:r w:rsidR="001206C8" w:rsidRPr="001206C8">
        <w:t>$15,000 to &lt; $25,000</w:t>
      </w:r>
      <w:r w:rsidR="000972A9">
        <w:t xml:space="preserve"> </w:t>
      </w:r>
      <w:r w:rsidRPr="00E16BBF">
        <w:t xml:space="preserve">per QALY gained for </w:t>
      </w:r>
      <w:r w:rsidRPr="00E16BBF">
        <w:lastRenderedPageBreak/>
        <w:t xml:space="preserve">enzalutamide plus ADT versus ADT alone, </w:t>
      </w:r>
      <w:r w:rsidR="0004612D" w:rsidRPr="0004612D">
        <w:t>$25,000 to &lt; $35,000</w:t>
      </w:r>
      <w:r w:rsidR="005D6560">
        <w:t xml:space="preserve"> </w:t>
      </w:r>
      <w:r w:rsidRPr="00E16BBF">
        <w:t>per QALY gained for enzalutamide monotherapy versus ADT alone.</w:t>
      </w:r>
      <w:bookmarkEnd w:id="69"/>
      <w:r w:rsidRPr="00E16BBF">
        <w:t xml:space="preserve"> </w:t>
      </w:r>
    </w:p>
    <w:p w14:paraId="508E1A1F" w14:textId="7B9592D7" w:rsidR="00ED509D" w:rsidRPr="00E16BBF" w:rsidRDefault="008720A8" w:rsidP="00E23A2A">
      <w:pPr>
        <w:pStyle w:val="3-BodyText"/>
        <w:numPr>
          <w:ilvl w:val="1"/>
          <w:numId w:val="1"/>
        </w:numPr>
      </w:pPr>
      <w:bookmarkStart w:id="71" w:name="_Ref177457629"/>
      <w:r w:rsidRPr="00E16BBF">
        <w:t xml:space="preserve">Overall, the ESC </w:t>
      </w:r>
      <w:r w:rsidR="00DF24EF">
        <w:t xml:space="preserve">and DUSC </w:t>
      </w:r>
      <w:r w:rsidRPr="00E16BBF">
        <w:t>considered that the MAP, as proposed, was unlikely to protect the Commonwealth Government from financial risk. Further, the ESC noted that t</w:t>
      </w:r>
      <w:r w:rsidR="00ED509D" w:rsidRPr="00E16BBF">
        <w:t xml:space="preserve">here </w:t>
      </w:r>
      <w:r w:rsidRPr="00E16BBF">
        <w:t xml:space="preserve">were </w:t>
      </w:r>
      <w:r w:rsidR="00ED509D" w:rsidRPr="00E16BBF">
        <w:t>several concerns with the proposed MAP:</w:t>
      </w:r>
      <w:bookmarkEnd w:id="71"/>
    </w:p>
    <w:p w14:paraId="43EBD866" w14:textId="46DCC762" w:rsidR="00E23A2A" w:rsidRPr="00E16BBF" w:rsidRDefault="00E23A2A" w:rsidP="00E16BBF">
      <w:pPr>
        <w:pStyle w:val="3-BodyText"/>
        <w:numPr>
          <w:ilvl w:val="2"/>
          <w:numId w:val="17"/>
        </w:numPr>
        <w:ind w:left="1080"/>
      </w:pPr>
      <w:r w:rsidRPr="00E16BBF">
        <w:t xml:space="preserve">The proposed ICERs could not be verified and do not reflect the base case ICERs from the economic analysis </w:t>
      </w:r>
      <w:r w:rsidR="00CB66C7" w:rsidRPr="00CB66C7">
        <w:t>$15,000 to &lt; $25,000</w:t>
      </w:r>
      <w:r w:rsidR="005D6560">
        <w:t xml:space="preserve"> </w:t>
      </w:r>
      <w:r w:rsidRPr="00E16BBF">
        <w:t xml:space="preserve">per QALY gained for enzalutamide plus ADT and </w:t>
      </w:r>
      <w:r w:rsidR="00EF6BBD" w:rsidRPr="00EF6BBD">
        <w:t>$35,000 to &lt; $45,000</w:t>
      </w:r>
      <w:r w:rsidR="005D6560">
        <w:t xml:space="preserve"> </w:t>
      </w:r>
      <w:r w:rsidRPr="00E16BBF">
        <w:t>per QALY gained for enzalutamide monotherapy versus ADT alone).</w:t>
      </w:r>
    </w:p>
    <w:p w14:paraId="49D9A5D5" w14:textId="77777777" w:rsidR="00E23A2A" w:rsidRPr="00E16BBF" w:rsidRDefault="00E23A2A" w:rsidP="00E16BBF">
      <w:pPr>
        <w:pStyle w:val="3-BodyText"/>
        <w:numPr>
          <w:ilvl w:val="2"/>
          <w:numId w:val="17"/>
        </w:numPr>
        <w:ind w:left="1080"/>
      </w:pPr>
      <w:r w:rsidRPr="00E16BBF">
        <w:t>Much of the uncertainty in the ICERs from the economic analysis would not be resolved by further data from EMBARK, e.g., assumptions of mortality in subsequent health states (not informed by EMBARK), and how treatment suspension may be implemented in practice, as it was expected that the data would remain immature at the final data-cut, estimated for September 2026.</w:t>
      </w:r>
    </w:p>
    <w:p w14:paraId="3DBBC1FB" w14:textId="77777777" w:rsidR="00E23A2A" w:rsidRPr="00E16BBF" w:rsidRDefault="00E23A2A" w:rsidP="00E16BBF">
      <w:pPr>
        <w:pStyle w:val="3-BodyText"/>
        <w:numPr>
          <w:ilvl w:val="2"/>
          <w:numId w:val="17"/>
        </w:numPr>
        <w:ind w:left="1080"/>
      </w:pPr>
      <w:r w:rsidRPr="00E16BBF">
        <w:t>It is unclear how the single price of enzalutamide will be adjusted for two different analyses (i.e., two different ICERs). The submission was silent on the expected proportion of patients who may receive enzalutamide monotherapy instead of enzalutamide plus ADT, but the size of this proportion will have implications for the overall cost-effectiveness of enzalutamide in m0HSPC. The PSCR stated that approximately 67% of patients would use enzalutamide + ADT relative to enzalutamide monotherapy, and that a weighted single price for the two cost effectiveness analyses would be calculated. The ESC noted that these proportions could not be verified.</w:t>
      </w:r>
    </w:p>
    <w:p w14:paraId="3E838E68" w14:textId="670D9FB6" w:rsidR="00E23A2A" w:rsidRPr="00E16BBF" w:rsidRDefault="00E23A2A" w:rsidP="00E16BBF">
      <w:pPr>
        <w:pStyle w:val="3-BodyText"/>
        <w:numPr>
          <w:ilvl w:val="2"/>
          <w:numId w:val="18"/>
        </w:numPr>
        <w:ind w:left="1080"/>
      </w:pPr>
      <w:r w:rsidRPr="00E16BBF">
        <w:t>The economic model was not constructed using a proportional hazards approach and no testing of proportional hazards was presented. In the case of MFS, there is currently no option in the model for proportional hazards. Therefore, it is unclear how the Sponsor intends to adjust the economic analysis ICERs for updated hazard ratios, and, regardless, the submission had not demonstrated that proportional hazards would be appropriate.</w:t>
      </w:r>
    </w:p>
    <w:p w14:paraId="14D1EBCA" w14:textId="3918F35F" w:rsidR="00E16BBF" w:rsidRDefault="00E23A2A" w:rsidP="00E16BBF">
      <w:pPr>
        <w:pStyle w:val="3-BodyText"/>
        <w:numPr>
          <w:ilvl w:val="1"/>
          <w:numId w:val="1"/>
        </w:numPr>
      </w:pPr>
      <w:bookmarkStart w:id="72" w:name="_Ref183010261"/>
      <w:r w:rsidRPr="00E16BBF">
        <w:t xml:space="preserve">The ESC recalled that there was an existing RSA for NHAs in the mHSPC setting. The ESC considered that given the cost effectiveness of enzalutamide in the m0HSPC relies on offsets in the mHSPC setting, it may be reasonable to have a combined RSA across both settings. </w:t>
      </w:r>
      <w:r w:rsidR="00695BC2" w:rsidRPr="00E16BBF">
        <w:t xml:space="preserve">The ESC further noted that which restriction patients are treated under (the m0HSPC restriction or the mHSPC restriction) may depend on the sensitivity of the imaging used. </w:t>
      </w:r>
      <w:r w:rsidRPr="00E16BBF">
        <w:t>The ESC noted that the financial estimates, and any potential changes to the existing RSA</w:t>
      </w:r>
      <w:r w:rsidR="006B69B6" w:rsidRPr="00E16BBF">
        <w:t xml:space="preserve"> resulting from any </w:t>
      </w:r>
      <w:r w:rsidR="00695BC2" w:rsidRPr="00E16BBF">
        <w:t xml:space="preserve">m0HSPC listing </w:t>
      </w:r>
      <w:r w:rsidRPr="00E16BBF">
        <w:t xml:space="preserve">should not </w:t>
      </w:r>
      <w:r w:rsidR="00695BC2" w:rsidRPr="00E16BBF">
        <w:t>include patients who would be captured under the mHSPC listing (e.g. those with metastatic disease detected using PSMA PET imaging)</w:t>
      </w:r>
      <w:r w:rsidRPr="00E16BBF">
        <w:t>.</w:t>
      </w:r>
      <w:bookmarkEnd w:id="72"/>
    </w:p>
    <w:p w14:paraId="158BAA3B" w14:textId="6DBB905A" w:rsidR="00E16BBF" w:rsidRDefault="00E16BBF" w:rsidP="00E16BBF">
      <w:pPr>
        <w:pStyle w:val="3-BodyText"/>
        <w:numPr>
          <w:ilvl w:val="0"/>
          <w:numId w:val="0"/>
        </w:numPr>
        <w:ind w:left="720"/>
        <w:rPr>
          <w:i/>
          <w:iCs/>
        </w:rPr>
      </w:pPr>
      <w:r w:rsidRPr="00E16BBF">
        <w:rPr>
          <w:i/>
          <w:iCs/>
        </w:rPr>
        <w:t>For more detail on PBAC’s view, see section 7 PBAC outcome.</w:t>
      </w:r>
    </w:p>
    <w:p w14:paraId="09F6909D" w14:textId="77777777" w:rsidR="00E16BBF" w:rsidRPr="0090150D" w:rsidRDefault="00E16BBF" w:rsidP="00E16BBF">
      <w:pPr>
        <w:pStyle w:val="2-SectionHeading"/>
        <w:numPr>
          <w:ilvl w:val="0"/>
          <w:numId w:val="1"/>
        </w:numPr>
      </w:pPr>
      <w:bookmarkStart w:id="73" w:name="_Hlk76381249"/>
      <w:bookmarkStart w:id="74" w:name="_Hlk76377955"/>
      <w:r w:rsidRPr="0090150D">
        <w:lastRenderedPageBreak/>
        <w:t>PBAC Outcome</w:t>
      </w:r>
    </w:p>
    <w:p w14:paraId="2BA16CA1" w14:textId="27FF4A79" w:rsidR="00F50860" w:rsidRPr="00F50860" w:rsidRDefault="00F50860" w:rsidP="00E16BBF">
      <w:pPr>
        <w:widowControl w:val="0"/>
        <w:numPr>
          <w:ilvl w:val="1"/>
          <w:numId w:val="1"/>
        </w:numPr>
        <w:spacing w:after="120"/>
        <w:rPr>
          <w:rFonts w:asciiTheme="minorHAnsi" w:hAnsiTheme="minorHAnsi"/>
          <w:snapToGrid w:val="0"/>
          <w:lang w:val="en-GB"/>
        </w:rPr>
      </w:pPr>
      <w:bookmarkStart w:id="75" w:name="_Hlk184812202"/>
      <w:bookmarkStart w:id="76" w:name="_Hlk111543188"/>
      <w:r>
        <w:rPr>
          <w:rFonts w:asciiTheme="minorHAnsi" w:hAnsiTheme="minorHAnsi"/>
          <w:snapToGrid w:val="0"/>
          <w:lang w:val="en-GB"/>
        </w:rPr>
        <w:t xml:space="preserve">The PBAC did not recommend enzalutamide, for use with or without androgen deprivation therapy (ADT), for the treatment of patients who have non-metastatic hormone sensitive prostate cancer (m0HSPC) with high-risk biochemical recurrence (BCR). </w:t>
      </w:r>
      <w:r w:rsidRPr="00F50860">
        <w:rPr>
          <w:rFonts w:asciiTheme="minorHAnsi" w:hAnsiTheme="minorHAnsi"/>
          <w:snapToGrid w:val="0"/>
        </w:rPr>
        <w:t>Although the PBAC considered that the clinical claims of superior efficacy compared to the nominated comparator of ADT for both enzalutamide monotherapy and combination therapy were reasonable in terms of metasta</w:t>
      </w:r>
      <w:r w:rsidR="005420F7">
        <w:rPr>
          <w:rFonts w:asciiTheme="minorHAnsi" w:hAnsiTheme="minorHAnsi"/>
          <w:snapToGrid w:val="0"/>
        </w:rPr>
        <w:t>ses</w:t>
      </w:r>
      <w:r w:rsidRPr="00F50860">
        <w:rPr>
          <w:rFonts w:asciiTheme="minorHAnsi" w:hAnsiTheme="minorHAnsi"/>
          <w:snapToGrid w:val="0"/>
        </w:rPr>
        <w:t xml:space="preserve"> free survival</w:t>
      </w:r>
      <w:r w:rsidR="005420F7">
        <w:rPr>
          <w:rFonts w:asciiTheme="minorHAnsi" w:hAnsiTheme="minorHAnsi"/>
          <w:snapToGrid w:val="0"/>
        </w:rPr>
        <w:t xml:space="preserve"> (MFS)</w:t>
      </w:r>
      <w:r w:rsidRPr="00F50860">
        <w:rPr>
          <w:rFonts w:asciiTheme="minorHAnsi" w:hAnsiTheme="minorHAnsi"/>
          <w:snapToGrid w:val="0"/>
        </w:rPr>
        <w:t>,</w:t>
      </w:r>
      <w:r w:rsidR="00786DB5">
        <w:rPr>
          <w:rFonts w:asciiTheme="minorHAnsi" w:hAnsiTheme="minorHAnsi"/>
          <w:snapToGrid w:val="0"/>
        </w:rPr>
        <w:t xml:space="preserve"> the magnitude </w:t>
      </w:r>
      <w:r w:rsidR="00482ACF">
        <w:rPr>
          <w:rFonts w:asciiTheme="minorHAnsi" w:hAnsiTheme="minorHAnsi"/>
          <w:snapToGrid w:val="0"/>
        </w:rPr>
        <w:t xml:space="preserve">of benefit </w:t>
      </w:r>
      <w:r w:rsidR="00786DB5">
        <w:rPr>
          <w:rFonts w:asciiTheme="minorHAnsi" w:hAnsiTheme="minorHAnsi"/>
          <w:snapToGrid w:val="0"/>
        </w:rPr>
        <w:t xml:space="preserve">and applicability to the </w:t>
      </w:r>
      <w:r w:rsidR="00482ACF">
        <w:rPr>
          <w:rFonts w:asciiTheme="minorHAnsi" w:hAnsiTheme="minorHAnsi"/>
          <w:snapToGrid w:val="0"/>
        </w:rPr>
        <w:t xml:space="preserve">clinical </w:t>
      </w:r>
      <w:r w:rsidR="00786DB5">
        <w:rPr>
          <w:rFonts w:asciiTheme="minorHAnsi" w:hAnsiTheme="minorHAnsi"/>
          <w:snapToGrid w:val="0"/>
        </w:rPr>
        <w:t>practice setting was uncertain.</w:t>
      </w:r>
      <w:r w:rsidR="001C1A8D">
        <w:rPr>
          <w:rFonts w:asciiTheme="minorHAnsi" w:hAnsiTheme="minorHAnsi"/>
          <w:snapToGrid w:val="0"/>
        </w:rPr>
        <w:t xml:space="preserve"> </w:t>
      </w:r>
      <w:r w:rsidR="008E687D">
        <w:rPr>
          <w:rFonts w:asciiTheme="minorHAnsi" w:hAnsiTheme="minorHAnsi"/>
          <w:snapToGrid w:val="0"/>
        </w:rPr>
        <w:t>T</w:t>
      </w:r>
      <w:r w:rsidRPr="00F50860">
        <w:rPr>
          <w:rFonts w:asciiTheme="minorHAnsi" w:hAnsiTheme="minorHAnsi"/>
          <w:snapToGrid w:val="0"/>
        </w:rPr>
        <w:t xml:space="preserve">he PBAC noted that </w:t>
      </w:r>
      <w:r w:rsidR="008E687D">
        <w:rPr>
          <w:rFonts w:asciiTheme="minorHAnsi" w:hAnsiTheme="minorHAnsi"/>
          <w:snapToGrid w:val="0"/>
        </w:rPr>
        <w:t xml:space="preserve">the </w:t>
      </w:r>
      <w:r w:rsidRPr="00F50860">
        <w:rPr>
          <w:rFonts w:asciiTheme="minorHAnsi" w:hAnsiTheme="minorHAnsi"/>
          <w:snapToGrid w:val="0"/>
        </w:rPr>
        <w:t>overall survival</w:t>
      </w:r>
      <w:r w:rsidR="005420F7">
        <w:rPr>
          <w:rFonts w:asciiTheme="minorHAnsi" w:hAnsiTheme="minorHAnsi"/>
          <w:snapToGrid w:val="0"/>
        </w:rPr>
        <w:t xml:space="preserve"> (OS)</w:t>
      </w:r>
      <w:r w:rsidRPr="00F50860">
        <w:rPr>
          <w:rFonts w:asciiTheme="minorHAnsi" w:hAnsiTheme="minorHAnsi"/>
          <w:snapToGrid w:val="0"/>
        </w:rPr>
        <w:t xml:space="preserve"> data were immature. Further, the PBAC considered that enzalutamide should be given in combination with ADT, rather than as monotherapy, due to improved efficacy. The PBAC considered that the economic model for enzalutamide </w:t>
      </w:r>
      <w:r w:rsidR="006C6FD9">
        <w:rPr>
          <w:rFonts w:asciiTheme="minorHAnsi" w:hAnsiTheme="minorHAnsi"/>
          <w:snapToGrid w:val="0"/>
        </w:rPr>
        <w:t>plus</w:t>
      </w:r>
      <w:r w:rsidR="006C6FD9" w:rsidRPr="00F50860">
        <w:rPr>
          <w:rFonts w:asciiTheme="minorHAnsi" w:hAnsiTheme="minorHAnsi"/>
          <w:snapToGrid w:val="0"/>
        </w:rPr>
        <w:t xml:space="preserve"> </w:t>
      </w:r>
      <w:r w:rsidRPr="00F50860">
        <w:rPr>
          <w:rFonts w:asciiTheme="minorHAnsi" w:hAnsiTheme="minorHAnsi"/>
          <w:snapToGrid w:val="0"/>
        </w:rPr>
        <w:t xml:space="preserve">ADT was </w:t>
      </w:r>
      <w:r w:rsidR="00786DB5">
        <w:rPr>
          <w:rFonts w:asciiTheme="minorHAnsi" w:hAnsiTheme="minorHAnsi"/>
          <w:snapToGrid w:val="0"/>
        </w:rPr>
        <w:t>unreliable</w:t>
      </w:r>
      <w:r w:rsidR="00C7066C">
        <w:rPr>
          <w:rFonts w:asciiTheme="minorHAnsi" w:hAnsiTheme="minorHAnsi"/>
          <w:snapToGrid w:val="0"/>
        </w:rPr>
        <w:t xml:space="preserve">, noting that the treatment benefit was </w:t>
      </w:r>
      <w:r w:rsidR="001C1A8D">
        <w:rPr>
          <w:rFonts w:asciiTheme="minorHAnsi" w:hAnsiTheme="minorHAnsi"/>
          <w:snapToGrid w:val="0"/>
        </w:rPr>
        <w:t xml:space="preserve">likely </w:t>
      </w:r>
      <w:r w:rsidR="00C7066C">
        <w:rPr>
          <w:rFonts w:asciiTheme="minorHAnsi" w:hAnsiTheme="minorHAnsi"/>
          <w:snapToGrid w:val="0"/>
        </w:rPr>
        <w:t>substantially overestimated</w:t>
      </w:r>
      <w:r w:rsidR="00321F60">
        <w:rPr>
          <w:rFonts w:asciiTheme="minorHAnsi" w:hAnsiTheme="minorHAnsi"/>
          <w:snapToGrid w:val="0"/>
        </w:rPr>
        <w:t>.</w:t>
      </w:r>
      <w:r w:rsidR="00C7066C">
        <w:rPr>
          <w:rFonts w:asciiTheme="minorHAnsi" w:hAnsiTheme="minorHAnsi"/>
          <w:snapToGrid w:val="0"/>
        </w:rPr>
        <w:t xml:space="preserve"> </w:t>
      </w:r>
      <w:r w:rsidR="004636C6">
        <w:rPr>
          <w:rFonts w:asciiTheme="minorHAnsi" w:hAnsiTheme="minorHAnsi"/>
          <w:snapToGrid w:val="0"/>
        </w:rPr>
        <w:t>In addition</w:t>
      </w:r>
      <w:r w:rsidR="00321F60">
        <w:rPr>
          <w:rFonts w:asciiTheme="minorHAnsi" w:hAnsiTheme="minorHAnsi"/>
          <w:snapToGrid w:val="0"/>
        </w:rPr>
        <w:t xml:space="preserve">, </w:t>
      </w:r>
      <w:r w:rsidR="00C7066C">
        <w:rPr>
          <w:rFonts w:asciiTheme="minorHAnsi" w:hAnsiTheme="minorHAnsi"/>
          <w:snapToGrid w:val="0"/>
        </w:rPr>
        <w:t xml:space="preserve">the </w:t>
      </w:r>
      <w:r w:rsidRPr="00F50860">
        <w:rPr>
          <w:rFonts w:asciiTheme="minorHAnsi" w:hAnsiTheme="minorHAnsi"/>
          <w:snapToGrid w:val="0"/>
        </w:rPr>
        <w:t xml:space="preserve">cost effectiveness </w:t>
      </w:r>
      <w:r w:rsidR="00C7066C">
        <w:rPr>
          <w:rFonts w:asciiTheme="minorHAnsi" w:hAnsiTheme="minorHAnsi"/>
          <w:snapToGrid w:val="0"/>
        </w:rPr>
        <w:t>relied on</w:t>
      </w:r>
      <w:r w:rsidRPr="00F50860">
        <w:rPr>
          <w:rFonts w:asciiTheme="minorHAnsi" w:hAnsiTheme="minorHAnsi"/>
          <w:snapToGrid w:val="0"/>
        </w:rPr>
        <w:t xml:space="preserve"> treatment </w:t>
      </w:r>
      <w:r w:rsidR="00C7066C">
        <w:rPr>
          <w:rFonts w:asciiTheme="minorHAnsi" w:hAnsiTheme="minorHAnsi"/>
          <w:snapToGrid w:val="0"/>
        </w:rPr>
        <w:t xml:space="preserve">being </w:t>
      </w:r>
      <w:r w:rsidRPr="00F50860">
        <w:rPr>
          <w:rFonts w:asciiTheme="minorHAnsi" w:hAnsiTheme="minorHAnsi"/>
          <w:snapToGrid w:val="0"/>
        </w:rPr>
        <w:t>suspen</w:t>
      </w:r>
      <w:r w:rsidR="00C7066C">
        <w:rPr>
          <w:rFonts w:asciiTheme="minorHAnsi" w:hAnsiTheme="minorHAnsi"/>
          <w:snapToGrid w:val="0"/>
        </w:rPr>
        <w:t xml:space="preserve">ded if </w:t>
      </w:r>
      <w:r w:rsidR="006C6FD9">
        <w:rPr>
          <w:rFonts w:asciiTheme="minorHAnsi" w:hAnsiTheme="minorHAnsi"/>
          <w:snapToGrid w:val="0"/>
        </w:rPr>
        <w:t>prostate-specific antigen (</w:t>
      </w:r>
      <w:r w:rsidR="00C7066C">
        <w:rPr>
          <w:rFonts w:asciiTheme="minorHAnsi" w:hAnsiTheme="minorHAnsi"/>
          <w:snapToGrid w:val="0"/>
        </w:rPr>
        <w:t>PSA</w:t>
      </w:r>
      <w:r w:rsidR="006C6FD9">
        <w:rPr>
          <w:rFonts w:asciiTheme="minorHAnsi" w:hAnsiTheme="minorHAnsi"/>
          <w:snapToGrid w:val="0"/>
        </w:rPr>
        <w:t>)</w:t>
      </w:r>
      <w:r w:rsidR="00C7066C">
        <w:rPr>
          <w:rFonts w:asciiTheme="minorHAnsi" w:hAnsiTheme="minorHAnsi"/>
          <w:snapToGrid w:val="0"/>
        </w:rPr>
        <w:t xml:space="preserve"> levels became undetectable </w:t>
      </w:r>
      <w:r w:rsidR="001C1A8D">
        <w:rPr>
          <w:rFonts w:asciiTheme="minorHAnsi" w:hAnsiTheme="minorHAnsi"/>
          <w:snapToGrid w:val="0"/>
        </w:rPr>
        <w:t xml:space="preserve">and </w:t>
      </w:r>
      <w:r w:rsidR="00C7066C">
        <w:rPr>
          <w:rFonts w:asciiTheme="minorHAnsi" w:hAnsiTheme="minorHAnsi"/>
          <w:snapToGrid w:val="0"/>
        </w:rPr>
        <w:t xml:space="preserve">the extent </w:t>
      </w:r>
      <w:r w:rsidR="001C1A8D">
        <w:rPr>
          <w:rFonts w:asciiTheme="minorHAnsi" w:hAnsiTheme="minorHAnsi"/>
          <w:snapToGrid w:val="0"/>
        </w:rPr>
        <w:t xml:space="preserve">and duration </w:t>
      </w:r>
      <w:r w:rsidR="00C7066C">
        <w:rPr>
          <w:rFonts w:asciiTheme="minorHAnsi" w:hAnsiTheme="minorHAnsi"/>
          <w:snapToGrid w:val="0"/>
        </w:rPr>
        <w:t xml:space="preserve">of </w:t>
      </w:r>
      <w:r w:rsidR="001C1A8D">
        <w:rPr>
          <w:rFonts w:asciiTheme="minorHAnsi" w:hAnsiTheme="minorHAnsi"/>
          <w:snapToGrid w:val="0"/>
        </w:rPr>
        <w:t xml:space="preserve">treatment suspension </w:t>
      </w:r>
      <w:r w:rsidR="00C7066C">
        <w:rPr>
          <w:rFonts w:asciiTheme="minorHAnsi" w:hAnsiTheme="minorHAnsi"/>
          <w:snapToGrid w:val="0"/>
        </w:rPr>
        <w:t>in clinical practice is unknown.</w:t>
      </w:r>
      <w:r w:rsidRPr="00F50860">
        <w:rPr>
          <w:rFonts w:asciiTheme="minorHAnsi" w:hAnsiTheme="minorHAnsi"/>
          <w:snapToGrid w:val="0"/>
        </w:rPr>
        <w:t xml:space="preserve"> The PBAC considered that the financial estimates were uncertain</w:t>
      </w:r>
      <w:r w:rsidR="00C7066C">
        <w:rPr>
          <w:rFonts w:asciiTheme="minorHAnsi" w:hAnsiTheme="minorHAnsi"/>
          <w:snapToGrid w:val="0"/>
        </w:rPr>
        <w:t xml:space="preserve">, noting the treatment duration was likely underestimated, although difficult to estimate given treatment suspensions, and patients </w:t>
      </w:r>
      <w:r w:rsidR="001C1A8D">
        <w:rPr>
          <w:rFonts w:asciiTheme="minorHAnsi" w:hAnsiTheme="minorHAnsi"/>
          <w:snapToGrid w:val="0"/>
        </w:rPr>
        <w:t xml:space="preserve">currently </w:t>
      </w:r>
      <w:r w:rsidR="00C7066C">
        <w:rPr>
          <w:rFonts w:asciiTheme="minorHAnsi" w:hAnsiTheme="minorHAnsi"/>
          <w:snapToGrid w:val="0"/>
        </w:rPr>
        <w:t xml:space="preserve">accessing treatment under the metastatic hormone sensitive </w:t>
      </w:r>
      <w:r w:rsidR="006C6FD9">
        <w:rPr>
          <w:rFonts w:asciiTheme="minorHAnsi" w:hAnsiTheme="minorHAnsi"/>
          <w:snapToGrid w:val="0"/>
        </w:rPr>
        <w:t xml:space="preserve">prostate cancer </w:t>
      </w:r>
      <w:r w:rsidR="00C7066C">
        <w:rPr>
          <w:rFonts w:asciiTheme="minorHAnsi" w:hAnsiTheme="minorHAnsi"/>
          <w:snapToGrid w:val="0"/>
        </w:rPr>
        <w:t xml:space="preserve">(mHSPC) </w:t>
      </w:r>
      <w:r w:rsidR="001C1A8D">
        <w:rPr>
          <w:rFonts w:asciiTheme="minorHAnsi" w:hAnsiTheme="minorHAnsi"/>
          <w:snapToGrid w:val="0"/>
        </w:rPr>
        <w:t xml:space="preserve">PBS listings </w:t>
      </w:r>
      <w:r w:rsidR="00C7066C">
        <w:rPr>
          <w:rFonts w:asciiTheme="minorHAnsi" w:hAnsiTheme="minorHAnsi"/>
          <w:snapToGrid w:val="0"/>
        </w:rPr>
        <w:t>were not removed</w:t>
      </w:r>
      <w:r w:rsidRPr="00F50860">
        <w:rPr>
          <w:rFonts w:asciiTheme="minorHAnsi" w:hAnsiTheme="minorHAnsi"/>
          <w:snapToGrid w:val="0"/>
        </w:rPr>
        <w:t>.</w:t>
      </w:r>
      <w:bookmarkEnd w:id="75"/>
    </w:p>
    <w:p w14:paraId="4F8B8F73" w14:textId="07F189D7" w:rsidR="00F50860" w:rsidRPr="00F50860" w:rsidRDefault="00F50860" w:rsidP="00E16BBF">
      <w:pPr>
        <w:widowControl w:val="0"/>
        <w:numPr>
          <w:ilvl w:val="1"/>
          <w:numId w:val="1"/>
        </w:numPr>
        <w:spacing w:after="120"/>
        <w:rPr>
          <w:rFonts w:asciiTheme="minorHAnsi" w:hAnsiTheme="minorHAnsi"/>
          <w:snapToGrid w:val="0"/>
          <w:lang w:val="en-GB"/>
        </w:rPr>
      </w:pPr>
      <w:r>
        <w:rPr>
          <w:rFonts w:asciiTheme="minorHAnsi" w:hAnsiTheme="minorHAnsi"/>
          <w:snapToGrid w:val="0"/>
        </w:rPr>
        <w:t>The primary reason for this outcome was due to the economic evaluation.</w:t>
      </w:r>
    </w:p>
    <w:p w14:paraId="1C689504" w14:textId="6F050F7A" w:rsidR="00F50860" w:rsidRPr="00D24F0A" w:rsidRDefault="00F50860">
      <w:pPr>
        <w:widowControl w:val="0"/>
        <w:numPr>
          <w:ilvl w:val="1"/>
          <w:numId w:val="1"/>
        </w:numPr>
        <w:spacing w:after="120"/>
        <w:rPr>
          <w:rFonts w:asciiTheme="minorHAnsi" w:hAnsiTheme="minorHAnsi"/>
          <w:snapToGrid w:val="0"/>
          <w:lang w:val="en-GB"/>
        </w:rPr>
      </w:pPr>
      <w:r w:rsidRPr="00D24F0A">
        <w:rPr>
          <w:rFonts w:asciiTheme="minorHAnsi" w:hAnsiTheme="minorHAnsi"/>
          <w:snapToGrid w:val="0"/>
        </w:rPr>
        <w:t>The PBAC noted the support for the submission from Rare Cancers Australia and the Medical Oncology Group Australia</w:t>
      </w:r>
      <w:r w:rsidR="00DF24EF" w:rsidRPr="00D24F0A">
        <w:rPr>
          <w:rFonts w:asciiTheme="minorHAnsi" w:hAnsiTheme="minorHAnsi"/>
          <w:snapToGrid w:val="0"/>
        </w:rPr>
        <w:t xml:space="preserve"> (MOGA). Although MOGA </w:t>
      </w:r>
      <w:r w:rsidRPr="00D24F0A">
        <w:rPr>
          <w:rFonts w:asciiTheme="minorHAnsi" w:hAnsiTheme="minorHAnsi"/>
          <w:snapToGrid w:val="0"/>
        </w:rPr>
        <w:t>categorised the submission as a high priority for PBS listing</w:t>
      </w:r>
      <w:r w:rsidR="00DF24EF" w:rsidRPr="00D24F0A">
        <w:rPr>
          <w:rFonts w:asciiTheme="minorHAnsi" w:hAnsiTheme="minorHAnsi"/>
          <w:snapToGrid w:val="0"/>
        </w:rPr>
        <w:t>, the PBAC considered that the clinical need for treatments in the m0HSPC setting was low to moderate</w:t>
      </w:r>
      <w:r w:rsidR="008476AA" w:rsidRPr="00D24F0A">
        <w:rPr>
          <w:rFonts w:asciiTheme="minorHAnsi" w:hAnsiTheme="minorHAnsi"/>
          <w:snapToGrid w:val="0"/>
        </w:rPr>
        <w:t xml:space="preserve"> as novel hormonal agents (NHAs) are currently available on the PBS for the treatment of </w:t>
      </w:r>
      <w:r w:rsidR="008926BA" w:rsidRPr="00D24F0A">
        <w:rPr>
          <w:rFonts w:asciiTheme="minorHAnsi" w:hAnsiTheme="minorHAnsi"/>
          <w:snapToGrid w:val="0"/>
        </w:rPr>
        <w:t xml:space="preserve">metastatic hormone sensitive </w:t>
      </w:r>
      <w:r w:rsidR="008476AA" w:rsidRPr="00D24F0A">
        <w:rPr>
          <w:rFonts w:asciiTheme="minorHAnsi" w:hAnsiTheme="minorHAnsi"/>
          <w:snapToGrid w:val="0"/>
        </w:rPr>
        <w:t>and castration resistant disease</w:t>
      </w:r>
      <w:r w:rsidRPr="00D24F0A">
        <w:rPr>
          <w:rFonts w:asciiTheme="minorHAnsi" w:hAnsiTheme="minorHAnsi"/>
          <w:snapToGrid w:val="0"/>
        </w:rPr>
        <w:t>.</w:t>
      </w:r>
      <w:r w:rsidR="008476AA" w:rsidRPr="00D24F0A">
        <w:rPr>
          <w:rFonts w:asciiTheme="minorHAnsi" w:hAnsiTheme="minorHAnsi"/>
          <w:snapToGrid w:val="0"/>
        </w:rPr>
        <w:t xml:space="preserve"> Further, the PBAC noted that the increased use of </w:t>
      </w:r>
      <w:r w:rsidR="002E0E23" w:rsidRPr="00D24F0A">
        <w:rPr>
          <w:rFonts w:asciiTheme="minorHAnsi" w:hAnsiTheme="minorHAnsi"/>
          <w:snapToGrid w:val="0"/>
        </w:rPr>
        <w:t xml:space="preserve">more sensitive </w:t>
      </w:r>
      <w:r w:rsidR="008476AA" w:rsidRPr="00D24F0A">
        <w:rPr>
          <w:rFonts w:asciiTheme="minorHAnsi" w:hAnsiTheme="minorHAnsi"/>
          <w:snapToGrid w:val="0"/>
        </w:rPr>
        <w:t xml:space="preserve">PSMA-PET imaging would mean that a proportion of patients </w:t>
      </w:r>
      <w:r w:rsidR="00786DB5" w:rsidRPr="00D24F0A">
        <w:rPr>
          <w:rFonts w:asciiTheme="minorHAnsi" w:hAnsiTheme="minorHAnsi"/>
          <w:snapToGrid w:val="0"/>
        </w:rPr>
        <w:t>included in the pivotal trial (EMBARK)</w:t>
      </w:r>
      <w:r w:rsidR="002E0E23" w:rsidRPr="00D24F0A">
        <w:rPr>
          <w:rFonts w:asciiTheme="minorHAnsi" w:hAnsiTheme="minorHAnsi"/>
          <w:snapToGrid w:val="0"/>
        </w:rPr>
        <w:t xml:space="preserve"> would currently have access to NHAs through the </w:t>
      </w:r>
      <w:r w:rsidR="00400CDC">
        <w:rPr>
          <w:rFonts w:asciiTheme="minorHAnsi" w:hAnsiTheme="minorHAnsi"/>
          <w:snapToGrid w:val="0"/>
        </w:rPr>
        <w:t xml:space="preserve">PBS </w:t>
      </w:r>
      <w:r w:rsidR="002E0E23" w:rsidRPr="00D24F0A">
        <w:rPr>
          <w:rFonts w:asciiTheme="minorHAnsi" w:hAnsiTheme="minorHAnsi"/>
          <w:snapToGrid w:val="0"/>
        </w:rPr>
        <w:t xml:space="preserve">listings for </w:t>
      </w:r>
      <w:r w:rsidR="008476AA" w:rsidRPr="00D24F0A">
        <w:rPr>
          <w:rFonts w:asciiTheme="minorHAnsi" w:hAnsiTheme="minorHAnsi"/>
          <w:snapToGrid w:val="0"/>
        </w:rPr>
        <w:t>mHSPC.</w:t>
      </w:r>
      <w:bookmarkStart w:id="77" w:name="_Ref183011101"/>
      <w:r w:rsidR="00D24F0A">
        <w:rPr>
          <w:rFonts w:asciiTheme="minorHAnsi" w:hAnsiTheme="minorHAnsi"/>
          <w:snapToGrid w:val="0"/>
          <w:lang w:val="en-GB"/>
        </w:rPr>
        <w:t xml:space="preserve"> </w:t>
      </w:r>
      <w:r w:rsidRPr="00D24F0A">
        <w:rPr>
          <w:rFonts w:asciiTheme="minorHAnsi" w:hAnsiTheme="minorHAnsi"/>
          <w:snapToGrid w:val="0"/>
          <w:lang w:val="en-GB"/>
        </w:rPr>
        <w:t xml:space="preserve">The PBAC noted that the use of NHAs </w:t>
      </w:r>
      <w:r w:rsidR="002E0E23" w:rsidRPr="00D24F0A">
        <w:rPr>
          <w:rFonts w:asciiTheme="minorHAnsi" w:hAnsiTheme="minorHAnsi"/>
          <w:snapToGrid w:val="0"/>
          <w:lang w:val="en-GB"/>
        </w:rPr>
        <w:t xml:space="preserve">earlier in the disease </w:t>
      </w:r>
      <w:r w:rsidRPr="00D24F0A">
        <w:rPr>
          <w:rFonts w:asciiTheme="minorHAnsi" w:hAnsiTheme="minorHAnsi"/>
          <w:snapToGrid w:val="0"/>
          <w:lang w:val="en-GB"/>
        </w:rPr>
        <w:t xml:space="preserve">for the treatment of m0HSPC </w:t>
      </w:r>
      <w:r w:rsidR="002E0E23" w:rsidRPr="00D24F0A">
        <w:rPr>
          <w:rFonts w:asciiTheme="minorHAnsi" w:hAnsiTheme="minorHAnsi"/>
          <w:snapToGrid w:val="0"/>
          <w:lang w:val="en-GB"/>
        </w:rPr>
        <w:t>would</w:t>
      </w:r>
      <w:r w:rsidR="001C3508" w:rsidRPr="00D24F0A">
        <w:rPr>
          <w:rFonts w:asciiTheme="minorHAnsi" w:hAnsiTheme="minorHAnsi"/>
          <w:snapToGrid w:val="0"/>
          <w:lang w:val="en-GB"/>
        </w:rPr>
        <w:t xml:space="preserve"> </w:t>
      </w:r>
      <w:r w:rsidRPr="00D24F0A">
        <w:rPr>
          <w:rFonts w:asciiTheme="minorHAnsi" w:hAnsiTheme="minorHAnsi"/>
          <w:snapToGrid w:val="0"/>
          <w:lang w:val="en-GB"/>
        </w:rPr>
        <w:t>limit treatment options in later</w:t>
      </w:r>
      <w:r w:rsidR="001C3508" w:rsidRPr="00D24F0A">
        <w:rPr>
          <w:rFonts w:asciiTheme="minorHAnsi" w:hAnsiTheme="minorHAnsi"/>
          <w:snapToGrid w:val="0"/>
          <w:lang w:val="en-GB"/>
        </w:rPr>
        <w:t xml:space="preserve"> line</w:t>
      </w:r>
      <w:r w:rsidRPr="00D24F0A">
        <w:rPr>
          <w:rFonts w:asciiTheme="minorHAnsi" w:hAnsiTheme="minorHAnsi"/>
          <w:snapToGrid w:val="0"/>
          <w:lang w:val="en-GB"/>
        </w:rPr>
        <w:t xml:space="preserve"> settings. </w:t>
      </w:r>
      <w:bookmarkEnd w:id="77"/>
    </w:p>
    <w:p w14:paraId="2E2D0E4A" w14:textId="6E785660" w:rsidR="00F50860" w:rsidRDefault="00400CDC" w:rsidP="00E16BB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w:t>
      </w:r>
      <w:r w:rsidR="00F50860">
        <w:rPr>
          <w:rFonts w:asciiTheme="minorHAnsi" w:hAnsiTheme="minorHAnsi"/>
          <w:snapToGrid w:val="0"/>
          <w:lang w:val="en-GB"/>
        </w:rPr>
        <w:t xml:space="preserve">he PBAC noted that </w:t>
      </w:r>
      <w:r w:rsidR="005420F7">
        <w:rPr>
          <w:rFonts w:asciiTheme="minorHAnsi" w:hAnsiTheme="minorHAnsi"/>
          <w:snapToGrid w:val="0"/>
          <w:lang w:val="en-GB"/>
        </w:rPr>
        <w:t xml:space="preserve">evidence for </w:t>
      </w:r>
      <w:r w:rsidR="00F50860">
        <w:rPr>
          <w:rFonts w:asciiTheme="minorHAnsi" w:hAnsiTheme="minorHAnsi"/>
          <w:snapToGrid w:val="0"/>
          <w:lang w:val="en-GB"/>
        </w:rPr>
        <w:t>both enzalutamide in combination with ADT and enzalutamide monotherapy</w:t>
      </w:r>
      <w:r w:rsidR="005420F7">
        <w:rPr>
          <w:rFonts w:asciiTheme="minorHAnsi" w:hAnsiTheme="minorHAnsi"/>
          <w:snapToGrid w:val="0"/>
          <w:lang w:val="en-GB"/>
        </w:rPr>
        <w:t xml:space="preserve"> was presented</w:t>
      </w:r>
      <w:r w:rsidR="00F50860">
        <w:rPr>
          <w:rFonts w:asciiTheme="minorHAnsi" w:hAnsiTheme="minorHAnsi"/>
          <w:snapToGrid w:val="0"/>
          <w:lang w:val="en-GB"/>
        </w:rPr>
        <w:t>. The PBAC</w:t>
      </w:r>
      <w:r w:rsidR="00740830">
        <w:rPr>
          <w:rFonts w:asciiTheme="minorHAnsi" w:hAnsiTheme="minorHAnsi"/>
          <w:snapToGrid w:val="0"/>
          <w:lang w:val="en-GB"/>
        </w:rPr>
        <w:t>, noting that there would be a very small proportion of patients who were intolerant or contraindicated to ADT,</w:t>
      </w:r>
      <w:r w:rsidR="00F50860">
        <w:rPr>
          <w:rFonts w:asciiTheme="minorHAnsi" w:hAnsiTheme="minorHAnsi"/>
          <w:snapToGrid w:val="0"/>
          <w:lang w:val="en-GB"/>
        </w:rPr>
        <w:t xml:space="preserve"> considered that enzalutamide should be given in combination with ADT due to the improved efficacy </w:t>
      </w:r>
      <w:r w:rsidR="00740830">
        <w:rPr>
          <w:rFonts w:asciiTheme="minorHAnsi" w:hAnsiTheme="minorHAnsi"/>
          <w:snapToGrid w:val="0"/>
          <w:lang w:val="en-GB"/>
        </w:rPr>
        <w:t xml:space="preserve">(see paragraph </w:t>
      </w:r>
      <w:r w:rsidR="005420F7">
        <w:rPr>
          <w:rFonts w:asciiTheme="minorHAnsi" w:hAnsiTheme="minorHAnsi"/>
          <w:snapToGrid w:val="0"/>
          <w:lang w:val="en-GB"/>
        </w:rPr>
        <w:fldChar w:fldCharType="begin" w:fldLock="1"/>
      </w:r>
      <w:r w:rsidR="005420F7">
        <w:rPr>
          <w:rFonts w:asciiTheme="minorHAnsi" w:hAnsiTheme="minorHAnsi"/>
          <w:snapToGrid w:val="0"/>
          <w:lang w:val="en-GB"/>
        </w:rPr>
        <w:instrText xml:space="preserve"> REF _Ref183431930 \r \h </w:instrText>
      </w:r>
      <w:r w:rsidR="005420F7">
        <w:rPr>
          <w:rFonts w:asciiTheme="minorHAnsi" w:hAnsiTheme="minorHAnsi"/>
          <w:snapToGrid w:val="0"/>
          <w:lang w:val="en-GB"/>
        </w:rPr>
      </w:r>
      <w:r w:rsidR="005420F7">
        <w:rPr>
          <w:rFonts w:asciiTheme="minorHAnsi" w:hAnsiTheme="minorHAnsi"/>
          <w:snapToGrid w:val="0"/>
          <w:lang w:val="en-GB"/>
        </w:rPr>
        <w:fldChar w:fldCharType="separate"/>
      </w:r>
      <w:r w:rsidR="00C02E47">
        <w:rPr>
          <w:rFonts w:asciiTheme="minorHAnsi" w:hAnsiTheme="minorHAnsi"/>
          <w:snapToGrid w:val="0"/>
          <w:lang w:val="en-GB"/>
        </w:rPr>
        <w:t>7.10</w:t>
      </w:r>
      <w:r w:rsidR="005420F7">
        <w:rPr>
          <w:rFonts w:asciiTheme="minorHAnsi" w:hAnsiTheme="minorHAnsi"/>
          <w:snapToGrid w:val="0"/>
          <w:lang w:val="en-GB"/>
        </w:rPr>
        <w:fldChar w:fldCharType="end"/>
      </w:r>
      <w:r w:rsidR="00740830">
        <w:rPr>
          <w:rFonts w:asciiTheme="minorHAnsi" w:hAnsiTheme="minorHAnsi"/>
          <w:snapToGrid w:val="0"/>
          <w:lang w:val="en-GB"/>
        </w:rPr>
        <w:t>)</w:t>
      </w:r>
      <w:r w:rsidR="00F50860">
        <w:rPr>
          <w:rFonts w:asciiTheme="minorHAnsi" w:hAnsiTheme="minorHAnsi"/>
          <w:snapToGrid w:val="0"/>
          <w:lang w:val="en-GB"/>
        </w:rPr>
        <w:t xml:space="preserve">. </w:t>
      </w:r>
      <w:r>
        <w:rPr>
          <w:rFonts w:asciiTheme="minorHAnsi" w:hAnsiTheme="minorHAnsi"/>
          <w:snapToGrid w:val="0"/>
          <w:lang w:val="en-GB"/>
        </w:rPr>
        <w:t>Combination therapy was also</w:t>
      </w:r>
      <w:r w:rsidR="001C1A8D">
        <w:rPr>
          <w:rFonts w:asciiTheme="minorHAnsi" w:hAnsiTheme="minorHAnsi"/>
          <w:snapToGrid w:val="0"/>
          <w:lang w:val="en-GB"/>
        </w:rPr>
        <w:t xml:space="preserve"> considered to</w:t>
      </w:r>
      <w:r>
        <w:rPr>
          <w:rFonts w:asciiTheme="minorHAnsi" w:hAnsiTheme="minorHAnsi"/>
          <w:snapToGrid w:val="0"/>
          <w:lang w:val="en-GB"/>
        </w:rPr>
        <w:t xml:space="preserve"> be consistent with the aim of intensifying early treatment.</w:t>
      </w:r>
    </w:p>
    <w:p w14:paraId="174A3111" w14:textId="734635B2" w:rsidR="00F50860" w:rsidRDefault="00D24F0A" w:rsidP="00E16BBF">
      <w:pPr>
        <w:widowControl w:val="0"/>
        <w:numPr>
          <w:ilvl w:val="1"/>
          <w:numId w:val="1"/>
        </w:numPr>
        <w:spacing w:after="120"/>
        <w:rPr>
          <w:rFonts w:asciiTheme="minorHAnsi" w:hAnsiTheme="minorHAnsi"/>
          <w:snapToGrid w:val="0"/>
          <w:lang w:val="en-GB"/>
        </w:rPr>
      </w:pPr>
      <w:bookmarkStart w:id="78" w:name="_Ref184711746"/>
      <w:r>
        <w:rPr>
          <w:rFonts w:asciiTheme="minorHAnsi" w:hAnsiTheme="minorHAnsi"/>
          <w:snapToGrid w:val="0"/>
          <w:lang w:val="en-GB"/>
        </w:rPr>
        <w:t xml:space="preserve">The PBAC noted that the submission proposed ADT as the comparator for both enzalutamide plus ADT and enzalutamide monotherapy. </w:t>
      </w:r>
      <w:r w:rsidR="00F50860">
        <w:rPr>
          <w:rFonts w:asciiTheme="minorHAnsi" w:hAnsiTheme="minorHAnsi"/>
          <w:snapToGrid w:val="0"/>
          <w:lang w:val="en-GB"/>
        </w:rPr>
        <w:t>The PBAC considered that ADT was an appropriate comparator for enzalutamide plus ADT</w:t>
      </w:r>
      <w:r w:rsidR="00740830">
        <w:rPr>
          <w:rFonts w:asciiTheme="minorHAnsi" w:hAnsiTheme="minorHAnsi"/>
          <w:snapToGrid w:val="0"/>
          <w:lang w:val="en-GB"/>
        </w:rPr>
        <w:t xml:space="preserve">. For enzalutamide monotherapy, the PBAC considered that </w:t>
      </w:r>
      <w:r w:rsidR="001C1A8D">
        <w:rPr>
          <w:rFonts w:asciiTheme="minorHAnsi" w:hAnsiTheme="minorHAnsi"/>
          <w:snapToGrid w:val="0"/>
          <w:lang w:val="en-GB"/>
        </w:rPr>
        <w:t xml:space="preserve">medical </w:t>
      </w:r>
      <w:r w:rsidR="00740830">
        <w:rPr>
          <w:rFonts w:asciiTheme="minorHAnsi" w:hAnsiTheme="minorHAnsi"/>
          <w:snapToGrid w:val="0"/>
          <w:lang w:val="en-GB"/>
        </w:rPr>
        <w:t xml:space="preserve">ADT was a not reasonable </w:t>
      </w:r>
      <w:r w:rsidR="00740830">
        <w:rPr>
          <w:rFonts w:asciiTheme="minorHAnsi" w:hAnsiTheme="minorHAnsi"/>
          <w:snapToGrid w:val="0"/>
          <w:lang w:val="en-GB"/>
        </w:rPr>
        <w:lastRenderedPageBreak/>
        <w:t>comparator</w:t>
      </w:r>
      <w:r>
        <w:rPr>
          <w:rFonts w:asciiTheme="minorHAnsi" w:hAnsiTheme="minorHAnsi"/>
          <w:snapToGrid w:val="0"/>
          <w:lang w:val="en-GB"/>
        </w:rPr>
        <w:t xml:space="preserve">, noting </w:t>
      </w:r>
      <w:r w:rsidR="001C1A8D">
        <w:rPr>
          <w:rFonts w:asciiTheme="minorHAnsi" w:hAnsiTheme="minorHAnsi"/>
          <w:snapToGrid w:val="0"/>
          <w:lang w:val="en-GB"/>
        </w:rPr>
        <w:t>monotherapy</w:t>
      </w:r>
      <w:r>
        <w:rPr>
          <w:rFonts w:asciiTheme="minorHAnsi" w:hAnsiTheme="minorHAnsi"/>
          <w:snapToGrid w:val="0"/>
          <w:lang w:val="en-GB"/>
        </w:rPr>
        <w:t xml:space="preserve"> should be reserved for</w:t>
      </w:r>
      <w:r w:rsidR="0077173D">
        <w:rPr>
          <w:rFonts w:asciiTheme="minorHAnsi" w:hAnsiTheme="minorHAnsi"/>
          <w:snapToGrid w:val="0"/>
          <w:lang w:val="en-GB"/>
        </w:rPr>
        <w:t xml:space="preserve"> use in </w:t>
      </w:r>
      <w:r w:rsidR="00740830">
        <w:rPr>
          <w:rFonts w:asciiTheme="minorHAnsi" w:hAnsiTheme="minorHAnsi"/>
          <w:snapToGrid w:val="0"/>
          <w:lang w:val="en-GB"/>
        </w:rPr>
        <w:t xml:space="preserve">patients who </w:t>
      </w:r>
      <w:r>
        <w:rPr>
          <w:rFonts w:asciiTheme="minorHAnsi" w:hAnsiTheme="minorHAnsi"/>
          <w:snapToGrid w:val="0"/>
          <w:lang w:val="en-GB"/>
        </w:rPr>
        <w:t xml:space="preserve">are </w:t>
      </w:r>
      <w:r w:rsidR="00740830">
        <w:rPr>
          <w:rFonts w:asciiTheme="minorHAnsi" w:hAnsiTheme="minorHAnsi"/>
          <w:snapToGrid w:val="0"/>
          <w:lang w:val="en-GB"/>
        </w:rPr>
        <w:t>intolerant or contraindicated to ADT</w:t>
      </w:r>
      <w:r w:rsidR="00F50860">
        <w:rPr>
          <w:rFonts w:asciiTheme="minorHAnsi" w:hAnsiTheme="minorHAnsi"/>
          <w:snapToGrid w:val="0"/>
          <w:lang w:val="en-GB"/>
        </w:rPr>
        <w:t>.</w:t>
      </w:r>
      <w:bookmarkEnd w:id="78"/>
      <w:r w:rsidR="00F50860">
        <w:rPr>
          <w:rFonts w:asciiTheme="minorHAnsi" w:hAnsiTheme="minorHAnsi"/>
          <w:snapToGrid w:val="0"/>
          <w:lang w:val="en-GB"/>
        </w:rPr>
        <w:t xml:space="preserve"> </w:t>
      </w:r>
    </w:p>
    <w:p w14:paraId="1B8D2DDD" w14:textId="490237BD" w:rsidR="00740830" w:rsidRPr="00D22371" w:rsidRDefault="00F50860" w:rsidP="00D2237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was based on the EMBARK trial which compared enzalutamide plus ADT and enzalutamide monotherapy with ADT. The PBAC noted that </w:t>
      </w:r>
      <w:r w:rsidR="00740830">
        <w:rPr>
          <w:rFonts w:asciiTheme="minorHAnsi" w:hAnsiTheme="minorHAnsi"/>
          <w:snapToGrid w:val="0"/>
          <w:lang w:val="en-GB"/>
        </w:rPr>
        <w:t xml:space="preserve">the primary outcome was MFS, with </w:t>
      </w:r>
      <w:r w:rsidR="005420F7">
        <w:rPr>
          <w:rFonts w:asciiTheme="minorHAnsi" w:hAnsiTheme="minorHAnsi"/>
          <w:snapToGrid w:val="0"/>
          <w:lang w:val="en-GB"/>
        </w:rPr>
        <w:t>OS</w:t>
      </w:r>
      <w:r w:rsidR="00740830">
        <w:rPr>
          <w:rFonts w:asciiTheme="minorHAnsi" w:hAnsiTheme="minorHAnsi"/>
          <w:snapToGrid w:val="0"/>
          <w:lang w:val="en-GB"/>
        </w:rPr>
        <w:t xml:space="preserve"> presented as a secondary outcome. </w:t>
      </w:r>
      <w:r w:rsidR="00740830" w:rsidRPr="00D22371">
        <w:rPr>
          <w:rFonts w:asciiTheme="minorHAnsi" w:hAnsiTheme="minorHAnsi"/>
          <w:snapToGrid w:val="0"/>
          <w:lang w:val="en-GB"/>
        </w:rPr>
        <w:t>The PBAC noted that patients in the EMBARK trial suspended treatment if their PSA levels were undetectable (</w:t>
      </w:r>
      <w:r w:rsidR="00740830" w:rsidRPr="00D22371">
        <w:rPr>
          <w:rFonts w:asciiTheme="minorHAnsi" w:hAnsiTheme="minorHAnsi" w:cstheme="minorHAnsi"/>
          <w:snapToGrid w:val="0"/>
          <w:lang w:val="en-GB"/>
        </w:rPr>
        <w:t>≤</w:t>
      </w:r>
      <w:r w:rsidR="00740830" w:rsidRPr="00D22371">
        <w:rPr>
          <w:rFonts w:asciiTheme="minorHAnsi" w:hAnsiTheme="minorHAnsi"/>
          <w:snapToGrid w:val="0"/>
          <w:lang w:val="en-GB"/>
        </w:rPr>
        <w:t xml:space="preserve"> 0.2 ng/mL) at Week 36 and </w:t>
      </w:r>
      <w:r w:rsidR="00FD691E" w:rsidRPr="00D22371">
        <w:rPr>
          <w:rFonts w:asciiTheme="minorHAnsi" w:hAnsiTheme="minorHAnsi"/>
          <w:snapToGrid w:val="0"/>
          <w:lang w:val="en-GB"/>
        </w:rPr>
        <w:t xml:space="preserve">treatment </w:t>
      </w:r>
      <w:r w:rsidR="00740830" w:rsidRPr="00D22371">
        <w:rPr>
          <w:rFonts w:asciiTheme="minorHAnsi" w:hAnsiTheme="minorHAnsi"/>
          <w:snapToGrid w:val="0"/>
          <w:lang w:val="en-GB"/>
        </w:rPr>
        <w:t xml:space="preserve">was restarted when the PSA level rose to </w:t>
      </w:r>
      <w:r w:rsidR="00740830" w:rsidRPr="00D22371">
        <w:rPr>
          <w:rFonts w:asciiTheme="minorHAnsi" w:hAnsiTheme="minorHAnsi" w:cstheme="minorHAnsi"/>
          <w:snapToGrid w:val="0"/>
          <w:lang w:val="en-GB"/>
        </w:rPr>
        <w:t>≥</w:t>
      </w:r>
      <w:r w:rsidR="00740830" w:rsidRPr="00D22371">
        <w:rPr>
          <w:rFonts w:asciiTheme="minorHAnsi" w:hAnsiTheme="minorHAnsi"/>
          <w:snapToGrid w:val="0"/>
          <w:lang w:val="en-GB"/>
        </w:rPr>
        <w:t xml:space="preserve"> 2.0 ng/mL if the patient has </w:t>
      </w:r>
      <w:r w:rsidR="005420F7" w:rsidRPr="00D22371">
        <w:rPr>
          <w:rFonts w:asciiTheme="minorHAnsi" w:hAnsiTheme="minorHAnsi"/>
          <w:snapToGrid w:val="0"/>
          <w:lang w:val="en-GB"/>
        </w:rPr>
        <w:t xml:space="preserve">had a </w:t>
      </w:r>
      <w:r w:rsidR="00740830" w:rsidRPr="00D22371">
        <w:rPr>
          <w:rFonts w:asciiTheme="minorHAnsi" w:hAnsiTheme="minorHAnsi"/>
          <w:snapToGrid w:val="0"/>
          <w:lang w:val="en-GB"/>
        </w:rPr>
        <w:t xml:space="preserve">prior radical prostatectomy or </w:t>
      </w:r>
      <w:r w:rsidR="00740830" w:rsidRPr="00D22371">
        <w:rPr>
          <w:rFonts w:asciiTheme="minorHAnsi" w:hAnsiTheme="minorHAnsi" w:cstheme="minorHAnsi"/>
          <w:snapToGrid w:val="0"/>
          <w:lang w:val="en-GB"/>
        </w:rPr>
        <w:t>≥</w:t>
      </w:r>
      <w:r w:rsidR="001C1A8D">
        <w:rPr>
          <w:rFonts w:asciiTheme="minorHAnsi" w:hAnsiTheme="minorHAnsi"/>
          <w:snapToGrid w:val="0"/>
          <w:lang w:val="en-GB"/>
        </w:rPr>
        <w:t> </w:t>
      </w:r>
      <w:r w:rsidR="00740830" w:rsidRPr="00D22371">
        <w:rPr>
          <w:rFonts w:asciiTheme="minorHAnsi" w:hAnsiTheme="minorHAnsi"/>
          <w:snapToGrid w:val="0"/>
          <w:lang w:val="en-GB"/>
        </w:rPr>
        <w:t xml:space="preserve">5.0 ng/mL if the patient had not had </w:t>
      </w:r>
      <w:r w:rsidR="005420F7" w:rsidRPr="00D22371">
        <w:rPr>
          <w:rFonts w:asciiTheme="minorHAnsi" w:hAnsiTheme="minorHAnsi"/>
          <w:snapToGrid w:val="0"/>
          <w:lang w:val="en-GB"/>
        </w:rPr>
        <w:t xml:space="preserve">a </w:t>
      </w:r>
      <w:r w:rsidR="00740830" w:rsidRPr="00D22371">
        <w:rPr>
          <w:rFonts w:asciiTheme="minorHAnsi" w:hAnsiTheme="minorHAnsi"/>
          <w:snapToGrid w:val="0"/>
          <w:lang w:val="en-GB"/>
        </w:rPr>
        <w:t xml:space="preserve">previous radical prostatectomy. The PBAC considered that </w:t>
      </w:r>
      <w:r w:rsidR="007802AC" w:rsidRPr="00D22371">
        <w:rPr>
          <w:rFonts w:asciiTheme="minorHAnsi" w:hAnsiTheme="minorHAnsi"/>
          <w:snapToGrid w:val="0"/>
          <w:lang w:val="en-GB"/>
        </w:rPr>
        <w:t xml:space="preserve">it </w:t>
      </w:r>
      <w:r w:rsidR="008476AA" w:rsidRPr="00D22371">
        <w:rPr>
          <w:rFonts w:asciiTheme="minorHAnsi" w:hAnsiTheme="minorHAnsi"/>
          <w:snapToGrid w:val="0"/>
          <w:lang w:val="en-GB"/>
        </w:rPr>
        <w:t>was</w:t>
      </w:r>
      <w:r w:rsidR="00740830" w:rsidRPr="00D22371">
        <w:rPr>
          <w:rFonts w:asciiTheme="minorHAnsi" w:hAnsiTheme="minorHAnsi"/>
          <w:snapToGrid w:val="0"/>
          <w:lang w:val="en-GB"/>
        </w:rPr>
        <w:t xml:space="preserve"> reasonable</w:t>
      </w:r>
      <w:r w:rsidR="007802AC" w:rsidRPr="00D22371">
        <w:rPr>
          <w:rFonts w:asciiTheme="minorHAnsi" w:hAnsiTheme="minorHAnsi"/>
          <w:snapToGrid w:val="0"/>
          <w:lang w:val="en-GB"/>
        </w:rPr>
        <w:t xml:space="preserve"> </w:t>
      </w:r>
      <w:r w:rsidR="00400CDC">
        <w:rPr>
          <w:rFonts w:asciiTheme="minorHAnsi" w:hAnsiTheme="minorHAnsi"/>
          <w:snapToGrid w:val="0"/>
          <w:lang w:val="en-GB"/>
        </w:rPr>
        <w:t>for treatment to be</w:t>
      </w:r>
      <w:r w:rsidR="00400CDC" w:rsidRPr="00D22371">
        <w:rPr>
          <w:rFonts w:asciiTheme="minorHAnsi" w:hAnsiTheme="minorHAnsi"/>
          <w:snapToGrid w:val="0"/>
          <w:lang w:val="en-GB"/>
        </w:rPr>
        <w:t xml:space="preserve"> </w:t>
      </w:r>
      <w:r w:rsidR="007802AC" w:rsidRPr="00D22371">
        <w:rPr>
          <w:rFonts w:asciiTheme="minorHAnsi" w:hAnsiTheme="minorHAnsi"/>
          <w:snapToGrid w:val="0"/>
          <w:lang w:val="en-GB"/>
        </w:rPr>
        <w:t>suspend</w:t>
      </w:r>
      <w:r w:rsidR="00400CDC">
        <w:rPr>
          <w:rFonts w:asciiTheme="minorHAnsi" w:hAnsiTheme="minorHAnsi"/>
          <w:snapToGrid w:val="0"/>
          <w:lang w:val="en-GB"/>
        </w:rPr>
        <w:t>ed</w:t>
      </w:r>
      <w:r w:rsidR="007802AC" w:rsidRPr="00D22371">
        <w:rPr>
          <w:rFonts w:asciiTheme="minorHAnsi" w:hAnsiTheme="minorHAnsi"/>
          <w:snapToGrid w:val="0"/>
          <w:lang w:val="en-GB"/>
        </w:rPr>
        <w:t xml:space="preserve"> </w:t>
      </w:r>
      <w:r w:rsidR="00D22371">
        <w:rPr>
          <w:rFonts w:asciiTheme="minorHAnsi" w:hAnsiTheme="minorHAnsi"/>
          <w:snapToGrid w:val="0"/>
          <w:lang w:val="en-GB"/>
        </w:rPr>
        <w:t xml:space="preserve">if PSA levels were </w:t>
      </w:r>
      <w:r w:rsidR="009C200C">
        <w:rPr>
          <w:rFonts w:asciiTheme="minorHAnsi" w:hAnsiTheme="minorHAnsi"/>
          <w:snapToGrid w:val="0"/>
          <w:lang w:val="en-GB"/>
        </w:rPr>
        <w:t>undetectable</w:t>
      </w:r>
      <w:r w:rsidR="00740830" w:rsidRPr="00D22371">
        <w:rPr>
          <w:rFonts w:asciiTheme="minorHAnsi" w:hAnsiTheme="minorHAnsi"/>
          <w:snapToGrid w:val="0"/>
          <w:lang w:val="en-GB"/>
        </w:rPr>
        <w:t>.</w:t>
      </w:r>
    </w:p>
    <w:p w14:paraId="68DE7306" w14:textId="43D9070A" w:rsidR="00482ACF" w:rsidRPr="00482ACF" w:rsidRDefault="00F50860" w:rsidP="00400CDC">
      <w:pPr>
        <w:widowControl w:val="0"/>
        <w:numPr>
          <w:ilvl w:val="1"/>
          <w:numId w:val="1"/>
        </w:numPr>
        <w:spacing w:after="120"/>
        <w:rPr>
          <w:snapToGrid w:val="0"/>
        </w:rPr>
      </w:pPr>
      <w:r w:rsidRPr="00482ACF">
        <w:rPr>
          <w:rFonts w:asciiTheme="minorHAnsi" w:hAnsiTheme="minorHAnsi"/>
          <w:snapToGrid w:val="0"/>
          <w:lang w:val="en-GB"/>
        </w:rPr>
        <w:t>The PBAC noted that enzal</w:t>
      </w:r>
      <w:r w:rsidR="00740830" w:rsidRPr="00482ACF">
        <w:rPr>
          <w:rFonts w:asciiTheme="minorHAnsi" w:hAnsiTheme="minorHAnsi"/>
          <w:snapToGrid w:val="0"/>
          <w:lang w:val="en-GB"/>
        </w:rPr>
        <w:t>u</w:t>
      </w:r>
      <w:r w:rsidRPr="00482ACF">
        <w:rPr>
          <w:rFonts w:asciiTheme="minorHAnsi" w:hAnsiTheme="minorHAnsi"/>
          <w:snapToGrid w:val="0"/>
          <w:lang w:val="en-GB"/>
        </w:rPr>
        <w:t>t</w:t>
      </w:r>
      <w:r w:rsidR="00740830" w:rsidRPr="00482ACF">
        <w:rPr>
          <w:rFonts w:asciiTheme="minorHAnsi" w:hAnsiTheme="minorHAnsi"/>
          <w:snapToGrid w:val="0"/>
          <w:lang w:val="en-GB"/>
        </w:rPr>
        <w:t>a</w:t>
      </w:r>
      <w:r w:rsidRPr="00482ACF">
        <w:rPr>
          <w:rFonts w:asciiTheme="minorHAnsi" w:hAnsiTheme="minorHAnsi"/>
          <w:snapToGrid w:val="0"/>
          <w:lang w:val="en-GB"/>
        </w:rPr>
        <w:t xml:space="preserve">mide plus ADT was associated with statistically significant </w:t>
      </w:r>
      <w:r w:rsidR="00400CDC">
        <w:rPr>
          <w:rFonts w:asciiTheme="minorHAnsi" w:hAnsiTheme="minorHAnsi"/>
          <w:snapToGrid w:val="0"/>
          <w:lang w:val="en-GB"/>
        </w:rPr>
        <w:t xml:space="preserve">improvement in </w:t>
      </w:r>
      <w:r w:rsidR="00740830" w:rsidRPr="00482ACF">
        <w:rPr>
          <w:rFonts w:asciiTheme="minorHAnsi" w:hAnsiTheme="minorHAnsi"/>
          <w:snapToGrid w:val="0"/>
          <w:lang w:val="en-GB"/>
        </w:rPr>
        <w:t xml:space="preserve">MFS (HR = 0.42; 95% CI: 0.30, 0.61) compared to ADT after a median follow-up of 60.7 months. The PBAC noted that enzalutamide monotherapy was also associated with a statistically significant </w:t>
      </w:r>
      <w:r w:rsidR="00400CDC">
        <w:rPr>
          <w:rFonts w:asciiTheme="minorHAnsi" w:hAnsiTheme="minorHAnsi"/>
          <w:snapToGrid w:val="0"/>
          <w:lang w:val="en-GB"/>
        </w:rPr>
        <w:t xml:space="preserve">improvement in </w:t>
      </w:r>
      <w:r w:rsidR="00740830" w:rsidRPr="00482ACF">
        <w:rPr>
          <w:rFonts w:asciiTheme="minorHAnsi" w:hAnsiTheme="minorHAnsi"/>
          <w:snapToGrid w:val="0"/>
          <w:lang w:val="en-GB"/>
        </w:rPr>
        <w:t xml:space="preserve">MFS (HR = 0.63; 95% CI: 0.46, 0.87), although the </w:t>
      </w:r>
      <w:r w:rsidR="007802AC" w:rsidRPr="00482ACF">
        <w:rPr>
          <w:rFonts w:asciiTheme="minorHAnsi" w:hAnsiTheme="minorHAnsi"/>
          <w:snapToGrid w:val="0"/>
          <w:lang w:val="en-GB"/>
        </w:rPr>
        <w:t>magnitude of benefit was less</w:t>
      </w:r>
      <w:r w:rsidR="005420F7" w:rsidRPr="00482ACF">
        <w:rPr>
          <w:rFonts w:asciiTheme="minorHAnsi" w:hAnsiTheme="minorHAnsi"/>
          <w:snapToGrid w:val="0"/>
          <w:lang w:val="en-GB"/>
        </w:rPr>
        <w:t xml:space="preserve"> than </w:t>
      </w:r>
      <w:r w:rsidR="007802AC" w:rsidRPr="00482ACF">
        <w:rPr>
          <w:rFonts w:asciiTheme="minorHAnsi" w:hAnsiTheme="minorHAnsi"/>
          <w:snapToGrid w:val="0"/>
          <w:lang w:val="en-GB"/>
        </w:rPr>
        <w:t>for</w:t>
      </w:r>
      <w:r w:rsidR="005420F7" w:rsidRPr="00482ACF">
        <w:rPr>
          <w:rFonts w:asciiTheme="minorHAnsi" w:hAnsiTheme="minorHAnsi"/>
          <w:snapToGrid w:val="0"/>
          <w:lang w:val="en-GB"/>
        </w:rPr>
        <w:t xml:space="preserve"> enzalutamide plus ADT</w:t>
      </w:r>
      <w:r w:rsidR="00740830" w:rsidRPr="00482ACF">
        <w:rPr>
          <w:rFonts w:asciiTheme="minorHAnsi" w:hAnsiTheme="minorHAnsi"/>
          <w:snapToGrid w:val="0"/>
          <w:lang w:val="en-GB"/>
        </w:rPr>
        <w:t>. The PBAC, noting that 81.3% of patients had not experienced a MFS event at censoring and as median MFS was not reached in any of the treatment groups, considered that the data were immature.</w:t>
      </w:r>
      <w:r w:rsidR="00482ACF" w:rsidRPr="00482ACF">
        <w:rPr>
          <w:rFonts w:asciiTheme="minorHAnsi" w:hAnsiTheme="minorHAnsi"/>
          <w:snapToGrid w:val="0"/>
          <w:lang w:val="en-GB"/>
        </w:rPr>
        <w:t xml:space="preserve"> The PBAC further considered that the </w:t>
      </w:r>
      <w:r w:rsidR="00482ACF" w:rsidRPr="00482ACF">
        <w:rPr>
          <w:rFonts w:asciiTheme="minorHAnsi" w:hAnsiTheme="minorHAnsi"/>
          <w:snapToGrid w:val="0"/>
        </w:rPr>
        <w:t>applicability</w:t>
      </w:r>
      <w:r w:rsidR="002200C2">
        <w:rPr>
          <w:rFonts w:asciiTheme="minorHAnsi" w:hAnsiTheme="minorHAnsi"/>
          <w:snapToGrid w:val="0"/>
        </w:rPr>
        <w:t xml:space="preserve"> of the trial results</w:t>
      </w:r>
      <w:r w:rsidR="00482ACF" w:rsidRPr="00482ACF">
        <w:rPr>
          <w:rFonts w:asciiTheme="minorHAnsi" w:hAnsiTheme="minorHAnsi"/>
          <w:snapToGrid w:val="0"/>
        </w:rPr>
        <w:t xml:space="preserve"> to the </w:t>
      </w:r>
      <w:r w:rsidR="00400CDC">
        <w:rPr>
          <w:rFonts w:asciiTheme="minorHAnsi" w:hAnsiTheme="minorHAnsi"/>
          <w:snapToGrid w:val="0"/>
        </w:rPr>
        <w:t xml:space="preserve">incremental population </w:t>
      </w:r>
      <w:r w:rsidR="001C1A8D">
        <w:rPr>
          <w:rFonts w:asciiTheme="minorHAnsi" w:hAnsiTheme="minorHAnsi"/>
          <w:snapToGrid w:val="0"/>
        </w:rPr>
        <w:t>of</w:t>
      </w:r>
      <w:r w:rsidR="00400CDC">
        <w:rPr>
          <w:rFonts w:asciiTheme="minorHAnsi" w:hAnsiTheme="minorHAnsi"/>
          <w:snapToGrid w:val="0"/>
        </w:rPr>
        <w:t xml:space="preserve"> m0HSPC</w:t>
      </w:r>
      <w:r w:rsidR="001C1A8D">
        <w:rPr>
          <w:rFonts w:asciiTheme="minorHAnsi" w:hAnsiTheme="minorHAnsi"/>
          <w:snapToGrid w:val="0"/>
        </w:rPr>
        <w:t xml:space="preserve"> patients</w:t>
      </w:r>
      <w:r w:rsidR="00400CDC">
        <w:rPr>
          <w:rFonts w:asciiTheme="minorHAnsi" w:hAnsiTheme="minorHAnsi"/>
          <w:snapToGrid w:val="0"/>
        </w:rPr>
        <w:t xml:space="preserve"> was</w:t>
      </w:r>
      <w:r w:rsidR="00482ACF" w:rsidRPr="00482ACF">
        <w:rPr>
          <w:rFonts w:asciiTheme="minorHAnsi" w:hAnsiTheme="minorHAnsi"/>
          <w:snapToGrid w:val="0"/>
        </w:rPr>
        <w:t xml:space="preserve"> uncertain noting the</w:t>
      </w:r>
      <w:r w:rsidR="00482ACF">
        <w:rPr>
          <w:rFonts w:asciiTheme="minorHAnsi" w:hAnsiTheme="minorHAnsi"/>
          <w:snapToGrid w:val="0"/>
        </w:rPr>
        <w:t xml:space="preserve"> </w:t>
      </w:r>
      <w:r w:rsidR="00482ACF" w:rsidRPr="00482ACF">
        <w:rPr>
          <w:snapToGrid w:val="0"/>
        </w:rPr>
        <w:t xml:space="preserve">EMBARK </w:t>
      </w:r>
      <w:r w:rsidR="00482ACF">
        <w:rPr>
          <w:snapToGrid w:val="0"/>
        </w:rPr>
        <w:t xml:space="preserve">trial </w:t>
      </w:r>
      <w:r w:rsidR="00482ACF" w:rsidRPr="00482ACF">
        <w:rPr>
          <w:snapToGrid w:val="0"/>
        </w:rPr>
        <w:t>potentially included a sizeable proportion of patients with metastatic disease on PSMA-PET imaging (i.e. mHSPC</w:t>
      </w:r>
      <w:r w:rsidR="00400CDC">
        <w:rPr>
          <w:snapToGrid w:val="0"/>
        </w:rPr>
        <w:t>)</w:t>
      </w:r>
      <w:r w:rsidR="00482ACF" w:rsidRPr="00482ACF">
        <w:rPr>
          <w:snapToGrid w:val="0"/>
        </w:rPr>
        <w:t>.</w:t>
      </w:r>
    </w:p>
    <w:p w14:paraId="19B40538" w14:textId="210D42F9" w:rsidR="00482ACF" w:rsidRPr="002200C2" w:rsidRDefault="00740830" w:rsidP="29FC12BF">
      <w:pPr>
        <w:widowControl w:val="0"/>
        <w:numPr>
          <w:ilvl w:val="1"/>
          <w:numId w:val="1"/>
        </w:numPr>
        <w:spacing w:after="120"/>
        <w:rPr>
          <w:rFonts w:asciiTheme="minorHAnsi" w:hAnsiTheme="minorHAnsi"/>
          <w:snapToGrid w:val="0"/>
        </w:rPr>
      </w:pPr>
      <w:r w:rsidRPr="29FC12BF">
        <w:rPr>
          <w:rFonts w:asciiTheme="minorHAnsi" w:hAnsiTheme="minorHAnsi"/>
          <w:snapToGrid w:val="0"/>
        </w:rPr>
        <w:t xml:space="preserve">For OS, the PBAC noted that the results favoured enzalutamide plus ADT compared to ADT (HR = 0.59; 95% CI: 0.38, 0.91) </w:t>
      </w:r>
      <w:r w:rsidR="00E33CAD" w:rsidRPr="29FC12BF">
        <w:rPr>
          <w:rFonts w:asciiTheme="minorHAnsi" w:hAnsiTheme="minorHAnsi"/>
          <w:snapToGrid w:val="0"/>
        </w:rPr>
        <w:t xml:space="preserve">and </w:t>
      </w:r>
      <w:r w:rsidRPr="29FC12BF">
        <w:rPr>
          <w:rFonts w:asciiTheme="minorHAnsi" w:hAnsiTheme="minorHAnsi"/>
          <w:snapToGrid w:val="0"/>
        </w:rPr>
        <w:t>enzalutamide monotherapy compared to ADT (HR = 0.78; 95% CI: 0.52, 1.17)</w:t>
      </w:r>
      <w:r w:rsidR="00482ACF" w:rsidRPr="29FC12BF">
        <w:rPr>
          <w:rFonts w:asciiTheme="minorHAnsi" w:hAnsiTheme="minorHAnsi"/>
          <w:snapToGrid w:val="0"/>
        </w:rPr>
        <w:t xml:space="preserve">, although the differences for both comparisons were not statistically significant based on the prespecified efficacy boundary (p </w:t>
      </w:r>
      <w:r w:rsidR="00482ACF" w:rsidRPr="29FC12BF">
        <w:rPr>
          <w:rFonts w:asciiTheme="minorHAnsi" w:hAnsiTheme="minorHAnsi" w:cstheme="minorBidi"/>
          <w:snapToGrid w:val="0"/>
        </w:rPr>
        <w:t>≤</w:t>
      </w:r>
      <w:r w:rsidR="00482ACF" w:rsidRPr="29FC12BF">
        <w:rPr>
          <w:rFonts w:asciiTheme="minorHAnsi" w:hAnsiTheme="minorHAnsi"/>
          <w:snapToGrid w:val="0"/>
        </w:rPr>
        <w:t xml:space="preserve"> 0.0001)</w:t>
      </w:r>
      <w:r w:rsidRPr="29FC12BF">
        <w:rPr>
          <w:rFonts w:asciiTheme="minorHAnsi" w:hAnsiTheme="minorHAnsi"/>
          <w:snapToGrid w:val="0"/>
        </w:rPr>
        <w:t>.</w:t>
      </w:r>
      <w:r w:rsidR="008476AA" w:rsidRPr="29FC12BF">
        <w:rPr>
          <w:rFonts w:asciiTheme="minorHAnsi" w:hAnsiTheme="minorHAnsi"/>
          <w:snapToGrid w:val="0"/>
        </w:rPr>
        <w:t xml:space="preserve"> The PBAC noted that the OS data were immature, with few events at the interim analysis (</w:t>
      </w:r>
      <w:r w:rsidR="006C6FD9" w:rsidRPr="29FC12BF">
        <w:rPr>
          <w:rFonts w:asciiTheme="minorHAnsi" w:hAnsiTheme="minorHAnsi"/>
          <w:snapToGrid w:val="0"/>
        </w:rPr>
        <w:t>90.7</w:t>
      </w:r>
      <w:r w:rsidR="008476AA" w:rsidRPr="29FC12BF">
        <w:rPr>
          <w:rFonts w:asciiTheme="minorHAnsi" w:hAnsiTheme="minorHAnsi"/>
          <w:snapToGrid w:val="0"/>
        </w:rPr>
        <w:t xml:space="preserve">% </w:t>
      </w:r>
      <w:r w:rsidR="006C6FD9" w:rsidRPr="29FC12BF">
        <w:rPr>
          <w:rFonts w:asciiTheme="minorHAnsi" w:hAnsiTheme="minorHAnsi"/>
          <w:snapToGrid w:val="0"/>
        </w:rPr>
        <w:t xml:space="preserve">of patients </w:t>
      </w:r>
      <w:r w:rsidR="008476AA" w:rsidRPr="29FC12BF">
        <w:rPr>
          <w:rFonts w:asciiTheme="minorHAnsi" w:hAnsiTheme="minorHAnsi"/>
          <w:snapToGrid w:val="0"/>
        </w:rPr>
        <w:t xml:space="preserve">in the enzalutamide plus ADT arm, </w:t>
      </w:r>
      <w:r w:rsidR="006C6FD9" w:rsidRPr="29FC12BF">
        <w:rPr>
          <w:rFonts w:asciiTheme="minorHAnsi" w:hAnsiTheme="minorHAnsi"/>
          <w:snapToGrid w:val="0"/>
        </w:rPr>
        <w:t>88.2</w:t>
      </w:r>
      <w:r w:rsidR="008476AA" w:rsidRPr="29FC12BF">
        <w:rPr>
          <w:rFonts w:asciiTheme="minorHAnsi" w:hAnsiTheme="minorHAnsi"/>
          <w:snapToGrid w:val="0"/>
        </w:rPr>
        <w:t xml:space="preserve">% in the enzalutamide monotherapy arm and </w:t>
      </w:r>
      <w:r w:rsidR="006C6FD9" w:rsidRPr="29FC12BF">
        <w:rPr>
          <w:rFonts w:asciiTheme="minorHAnsi" w:hAnsiTheme="minorHAnsi"/>
          <w:snapToGrid w:val="0"/>
        </w:rPr>
        <w:t>84.6</w:t>
      </w:r>
      <w:r w:rsidR="008476AA" w:rsidRPr="29FC12BF">
        <w:rPr>
          <w:rFonts w:asciiTheme="minorHAnsi" w:hAnsiTheme="minorHAnsi"/>
          <w:snapToGrid w:val="0"/>
        </w:rPr>
        <w:t>% in the ADT arm</w:t>
      </w:r>
      <w:r w:rsidR="006C6FD9" w:rsidRPr="29FC12BF">
        <w:rPr>
          <w:rFonts w:asciiTheme="minorHAnsi" w:hAnsiTheme="minorHAnsi"/>
          <w:snapToGrid w:val="0"/>
        </w:rPr>
        <w:t xml:space="preserve"> remained alive</w:t>
      </w:r>
      <w:r w:rsidR="008476AA" w:rsidRPr="29FC12BF">
        <w:rPr>
          <w:rFonts w:asciiTheme="minorHAnsi" w:hAnsiTheme="minorHAnsi"/>
          <w:snapToGrid w:val="0"/>
        </w:rPr>
        <w:t>).</w:t>
      </w:r>
    </w:p>
    <w:p w14:paraId="50E6AEBF" w14:textId="30122145" w:rsidR="00740830" w:rsidRDefault="00740830" w:rsidP="00E16BB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more patients in the enzalutamide plus ADT arm (97.3%) had undetectable PSA levels at Week 36 compared to the enzalutamide monotherapy (90.2%) and ADT (71.4%) arms. The PBAC also noted that the time to resumption of hormonal therapy was longer in the enzalutamide plus ADT arm (19.6 months) compared to </w:t>
      </w:r>
      <w:r w:rsidR="00E33CAD">
        <w:rPr>
          <w:rFonts w:asciiTheme="minorHAnsi" w:hAnsiTheme="minorHAnsi"/>
          <w:snapToGrid w:val="0"/>
          <w:lang w:val="en-GB"/>
        </w:rPr>
        <w:t xml:space="preserve">the </w:t>
      </w:r>
      <w:r>
        <w:rPr>
          <w:rFonts w:asciiTheme="minorHAnsi" w:hAnsiTheme="minorHAnsi"/>
          <w:snapToGrid w:val="0"/>
          <w:lang w:val="en-GB"/>
        </w:rPr>
        <w:t>ADT</w:t>
      </w:r>
      <w:r w:rsidR="00E33CAD">
        <w:rPr>
          <w:rFonts w:asciiTheme="minorHAnsi" w:hAnsiTheme="minorHAnsi"/>
          <w:snapToGrid w:val="0"/>
          <w:lang w:val="en-GB"/>
        </w:rPr>
        <w:t xml:space="preserve"> arm</w:t>
      </w:r>
      <w:r>
        <w:rPr>
          <w:rFonts w:asciiTheme="minorHAnsi" w:hAnsiTheme="minorHAnsi"/>
          <w:snapToGrid w:val="0"/>
          <w:lang w:val="en-GB"/>
        </w:rPr>
        <w:t xml:space="preserve"> (16.8 months)</w:t>
      </w:r>
      <w:r w:rsidR="006C6FD9">
        <w:rPr>
          <w:rFonts w:asciiTheme="minorHAnsi" w:hAnsiTheme="minorHAnsi"/>
          <w:snapToGrid w:val="0"/>
          <w:lang w:val="en-GB"/>
        </w:rPr>
        <w:t>;</w:t>
      </w:r>
      <w:r w:rsidR="00E33CAD">
        <w:rPr>
          <w:rFonts w:asciiTheme="minorHAnsi" w:hAnsiTheme="minorHAnsi"/>
          <w:snapToGrid w:val="0"/>
          <w:lang w:val="en-GB"/>
        </w:rPr>
        <w:t xml:space="preserve"> however</w:t>
      </w:r>
      <w:r w:rsidR="006C6FD9">
        <w:rPr>
          <w:rFonts w:asciiTheme="minorHAnsi" w:hAnsiTheme="minorHAnsi"/>
          <w:snapToGrid w:val="0"/>
          <w:lang w:val="en-GB"/>
        </w:rPr>
        <w:t>,</w:t>
      </w:r>
      <w:r w:rsidR="00E33CAD">
        <w:rPr>
          <w:rFonts w:asciiTheme="minorHAnsi" w:hAnsiTheme="minorHAnsi"/>
          <w:snapToGrid w:val="0"/>
          <w:lang w:val="en-GB"/>
        </w:rPr>
        <w:t xml:space="preserve"> the time was shorter for the enzalutamide monotherapy arm (10.5 months) compared to the ADT arm (16.8</w:t>
      </w:r>
      <w:r w:rsidR="00460C71">
        <w:rPr>
          <w:rFonts w:asciiTheme="minorHAnsi" w:hAnsiTheme="minorHAnsi"/>
          <w:snapToGrid w:val="0"/>
          <w:lang w:val="en-GB"/>
        </w:rPr>
        <w:t> </w:t>
      </w:r>
      <w:r w:rsidR="00E33CAD">
        <w:rPr>
          <w:rFonts w:asciiTheme="minorHAnsi" w:hAnsiTheme="minorHAnsi"/>
          <w:snapToGrid w:val="0"/>
          <w:lang w:val="en-GB"/>
        </w:rPr>
        <w:t>months)</w:t>
      </w:r>
      <w:r>
        <w:rPr>
          <w:rFonts w:asciiTheme="minorHAnsi" w:hAnsiTheme="minorHAnsi"/>
          <w:snapToGrid w:val="0"/>
          <w:lang w:val="en-GB"/>
        </w:rPr>
        <w:t>.</w:t>
      </w:r>
    </w:p>
    <w:p w14:paraId="5C7694AE" w14:textId="4CC203CE" w:rsidR="00740830" w:rsidRDefault="00740830" w:rsidP="00E16BBF">
      <w:pPr>
        <w:widowControl w:val="0"/>
        <w:numPr>
          <w:ilvl w:val="1"/>
          <w:numId w:val="1"/>
        </w:numPr>
        <w:spacing w:after="120"/>
        <w:rPr>
          <w:rFonts w:asciiTheme="minorHAnsi" w:hAnsiTheme="minorHAnsi"/>
          <w:snapToGrid w:val="0"/>
          <w:lang w:val="en-GB"/>
        </w:rPr>
      </w:pPr>
      <w:bookmarkStart w:id="79" w:name="_Ref183431930"/>
      <w:r>
        <w:rPr>
          <w:rFonts w:asciiTheme="minorHAnsi" w:hAnsiTheme="minorHAnsi"/>
          <w:snapToGrid w:val="0"/>
          <w:lang w:val="en-GB"/>
        </w:rPr>
        <w:t xml:space="preserve">Overall, the PBAC considered that enzalutamide plus ADT and enzalutamide monotherapy were superior compared to ADT alone in terms of MFS, but that the magnitude </w:t>
      </w:r>
      <w:r w:rsidR="00A7370C">
        <w:rPr>
          <w:rFonts w:asciiTheme="minorHAnsi" w:hAnsiTheme="minorHAnsi"/>
          <w:snapToGrid w:val="0"/>
          <w:lang w:val="en-GB"/>
        </w:rPr>
        <w:t xml:space="preserve">and applicability </w:t>
      </w:r>
      <w:r>
        <w:rPr>
          <w:rFonts w:asciiTheme="minorHAnsi" w:hAnsiTheme="minorHAnsi"/>
          <w:snapToGrid w:val="0"/>
          <w:lang w:val="en-GB"/>
        </w:rPr>
        <w:t xml:space="preserve">of the treatment effect </w:t>
      </w:r>
      <w:r w:rsidR="00E33CAD">
        <w:rPr>
          <w:rFonts w:asciiTheme="minorHAnsi" w:hAnsiTheme="minorHAnsi"/>
          <w:snapToGrid w:val="0"/>
          <w:lang w:val="en-GB"/>
        </w:rPr>
        <w:t xml:space="preserve">were </w:t>
      </w:r>
      <w:r>
        <w:rPr>
          <w:rFonts w:asciiTheme="minorHAnsi" w:hAnsiTheme="minorHAnsi"/>
          <w:snapToGrid w:val="0"/>
          <w:lang w:val="en-GB"/>
        </w:rPr>
        <w:t xml:space="preserve">uncertain. The PBAC </w:t>
      </w:r>
      <w:r w:rsidR="007802AC">
        <w:rPr>
          <w:rFonts w:asciiTheme="minorHAnsi" w:hAnsiTheme="minorHAnsi"/>
          <w:snapToGrid w:val="0"/>
          <w:lang w:val="en-GB"/>
        </w:rPr>
        <w:t xml:space="preserve">noted </w:t>
      </w:r>
      <w:r>
        <w:rPr>
          <w:rFonts w:asciiTheme="minorHAnsi" w:hAnsiTheme="minorHAnsi"/>
          <w:snapToGrid w:val="0"/>
          <w:lang w:val="en-GB"/>
        </w:rPr>
        <w:t xml:space="preserve">that enzalutamide plus ADT demonstrated a greater magnitude of benefit over ADT than enzalutamide monotherapy and therefore </w:t>
      </w:r>
      <w:r w:rsidR="007802AC">
        <w:rPr>
          <w:rFonts w:asciiTheme="minorHAnsi" w:hAnsiTheme="minorHAnsi"/>
          <w:snapToGrid w:val="0"/>
          <w:lang w:val="en-GB"/>
        </w:rPr>
        <w:t xml:space="preserve">considered combination therapy to be </w:t>
      </w:r>
      <w:r>
        <w:rPr>
          <w:rFonts w:asciiTheme="minorHAnsi" w:hAnsiTheme="minorHAnsi"/>
          <w:snapToGrid w:val="0"/>
          <w:lang w:val="en-GB"/>
        </w:rPr>
        <w:lastRenderedPageBreak/>
        <w:t>the preferred treatment option.</w:t>
      </w:r>
      <w:bookmarkEnd w:id="79"/>
      <w:r w:rsidR="008476AA">
        <w:rPr>
          <w:rFonts w:asciiTheme="minorHAnsi" w:hAnsiTheme="minorHAnsi"/>
          <w:snapToGrid w:val="0"/>
          <w:lang w:val="en-GB"/>
        </w:rPr>
        <w:t xml:space="preserve"> </w:t>
      </w:r>
    </w:p>
    <w:p w14:paraId="5EC29C2C" w14:textId="4191E3FD" w:rsidR="00740830" w:rsidRDefault="00740830" w:rsidP="00E16BB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In terms of safety, the PBAC considered enzalutamide</w:t>
      </w:r>
      <w:r w:rsidR="00E33CAD">
        <w:rPr>
          <w:rFonts w:asciiTheme="minorHAnsi" w:hAnsiTheme="minorHAnsi"/>
          <w:snapToGrid w:val="0"/>
          <w:lang w:val="en-GB"/>
        </w:rPr>
        <w:t xml:space="preserve"> with or without ADT</w:t>
      </w:r>
      <w:r>
        <w:rPr>
          <w:rFonts w:asciiTheme="minorHAnsi" w:hAnsiTheme="minorHAnsi"/>
          <w:snapToGrid w:val="0"/>
          <w:lang w:val="en-GB"/>
        </w:rPr>
        <w:t xml:space="preserve"> was inferior to ADT but </w:t>
      </w:r>
      <w:r w:rsidR="005420F7">
        <w:rPr>
          <w:rFonts w:asciiTheme="minorHAnsi" w:hAnsiTheme="minorHAnsi"/>
          <w:snapToGrid w:val="0"/>
          <w:lang w:val="en-GB"/>
        </w:rPr>
        <w:t xml:space="preserve">noted </w:t>
      </w:r>
      <w:r>
        <w:rPr>
          <w:rFonts w:asciiTheme="minorHAnsi" w:hAnsiTheme="minorHAnsi"/>
          <w:snapToGrid w:val="0"/>
          <w:lang w:val="en-GB"/>
        </w:rPr>
        <w:t>that the adverse event profile of enzalutamide was known to clinicians.</w:t>
      </w:r>
    </w:p>
    <w:p w14:paraId="1BD7EEFB" w14:textId="44DDB215" w:rsidR="00E6159E" w:rsidRDefault="00740830" w:rsidP="0074083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presented two economics model, one for enzalutamide plus ADT versus ADT and one for enzalutamide monotherapy versus ADT. </w:t>
      </w:r>
      <w:r w:rsidR="00E6159E">
        <w:rPr>
          <w:rFonts w:asciiTheme="minorHAnsi" w:hAnsiTheme="minorHAnsi"/>
          <w:snapToGrid w:val="0"/>
          <w:lang w:val="en-GB"/>
        </w:rPr>
        <w:t>The PBAC considered</w:t>
      </w:r>
      <w:r w:rsidR="0097678B">
        <w:rPr>
          <w:rFonts w:asciiTheme="minorHAnsi" w:hAnsiTheme="minorHAnsi"/>
          <w:snapToGrid w:val="0"/>
          <w:lang w:val="en-GB"/>
        </w:rPr>
        <w:t xml:space="preserve"> that</w:t>
      </w:r>
      <w:r w:rsidR="00E6159E">
        <w:rPr>
          <w:rFonts w:asciiTheme="minorHAnsi" w:hAnsiTheme="minorHAnsi"/>
          <w:snapToGrid w:val="0"/>
          <w:lang w:val="en-GB"/>
        </w:rPr>
        <w:t xml:space="preserve"> the model for enzalutamide monotherapy was not informative given the comparison with ADT (see paragraph </w:t>
      </w:r>
      <w:r w:rsidR="00E6159E">
        <w:rPr>
          <w:rFonts w:asciiTheme="minorHAnsi" w:hAnsiTheme="minorHAnsi"/>
          <w:snapToGrid w:val="0"/>
          <w:lang w:val="en-GB"/>
        </w:rPr>
        <w:fldChar w:fldCharType="begin" w:fldLock="1"/>
      </w:r>
      <w:r w:rsidR="00E6159E">
        <w:rPr>
          <w:rFonts w:asciiTheme="minorHAnsi" w:hAnsiTheme="minorHAnsi"/>
          <w:snapToGrid w:val="0"/>
          <w:lang w:val="en-GB"/>
        </w:rPr>
        <w:instrText xml:space="preserve"> REF _Ref184711746 \r \h </w:instrText>
      </w:r>
      <w:r w:rsidR="00E6159E">
        <w:rPr>
          <w:rFonts w:asciiTheme="minorHAnsi" w:hAnsiTheme="minorHAnsi"/>
          <w:snapToGrid w:val="0"/>
          <w:lang w:val="en-GB"/>
        </w:rPr>
      </w:r>
      <w:r w:rsidR="00E6159E">
        <w:rPr>
          <w:rFonts w:asciiTheme="minorHAnsi" w:hAnsiTheme="minorHAnsi"/>
          <w:snapToGrid w:val="0"/>
          <w:lang w:val="en-GB"/>
        </w:rPr>
        <w:fldChar w:fldCharType="separate"/>
      </w:r>
      <w:r w:rsidR="00C02E47">
        <w:rPr>
          <w:rFonts w:asciiTheme="minorHAnsi" w:hAnsiTheme="minorHAnsi"/>
          <w:snapToGrid w:val="0"/>
          <w:lang w:val="en-GB"/>
        </w:rPr>
        <w:t>7.5</w:t>
      </w:r>
      <w:r w:rsidR="00E6159E">
        <w:rPr>
          <w:rFonts w:asciiTheme="minorHAnsi" w:hAnsiTheme="minorHAnsi"/>
          <w:snapToGrid w:val="0"/>
          <w:lang w:val="en-GB"/>
        </w:rPr>
        <w:fldChar w:fldCharType="end"/>
      </w:r>
      <w:r w:rsidR="00E6159E">
        <w:rPr>
          <w:rFonts w:asciiTheme="minorHAnsi" w:hAnsiTheme="minorHAnsi"/>
          <w:snapToGrid w:val="0"/>
          <w:lang w:val="en-GB"/>
        </w:rPr>
        <w:t xml:space="preserve">). </w:t>
      </w:r>
      <w:r w:rsidR="00C02E47">
        <w:rPr>
          <w:rFonts w:asciiTheme="minorHAnsi" w:hAnsiTheme="minorHAnsi"/>
          <w:snapToGrid w:val="0"/>
          <w:lang w:val="en-GB"/>
        </w:rPr>
        <w:t>However, t</w:t>
      </w:r>
      <w:r w:rsidR="00E6159E">
        <w:rPr>
          <w:rFonts w:asciiTheme="minorHAnsi" w:hAnsiTheme="minorHAnsi"/>
          <w:snapToGrid w:val="0"/>
          <w:lang w:val="en-GB"/>
        </w:rPr>
        <w:t xml:space="preserve">he PBAC noted that the modelled treatment duration was longer for enzalutamide monotherapy compared with </w:t>
      </w:r>
      <w:r w:rsidR="00C02E47">
        <w:rPr>
          <w:rFonts w:asciiTheme="minorHAnsi" w:hAnsiTheme="minorHAnsi"/>
          <w:snapToGrid w:val="0"/>
          <w:lang w:val="en-GB"/>
        </w:rPr>
        <w:t>enzalutamide plus ADT</w:t>
      </w:r>
      <w:r w:rsidR="00E6159E">
        <w:rPr>
          <w:rFonts w:asciiTheme="minorHAnsi" w:hAnsiTheme="minorHAnsi"/>
          <w:snapToGrid w:val="0"/>
          <w:lang w:val="en-GB"/>
        </w:rPr>
        <w:t xml:space="preserve"> and hence</w:t>
      </w:r>
      <w:r w:rsidR="00C02E47">
        <w:rPr>
          <w:rFonts w:asciiTheme="minorHAnsi" w:hAnsiTheme="minorHAnsi"/>
          <w:snapToGrid w:val="0"/>
          <w:lang w:val="en-GB"/>
        </w:rPr>
        <w:t>,</w:t>
      </w:r>
      <w:r w:rsidR="00E6159E">
        <w:rPr>
          <w:rFonts w:asciiTheme="minorHAnsi" w:hAnsiTheme="minorHAnsi"/>
          <w:snapToGrid w:val="0"/>
          <w:lang w:val="en-GB"/>
        </w:rPr>
        <w:t xml:space="preserve"> </w:t>
      </w:r>
      <w:r w:rsidR="00C02E47">
        <w:rPr>
          <w:rFonts w:asciiTheme="minorHAnsi" w:hAnsiTheme="minorHAnsi"/>
          <w:snapToGrid w:val="0"/>
          <w:lang w:val="en-GB"/>
        </w:rPr>
        <w:t xml:space="preserve">enzalutamide </w:t>
      </w:r>
      <w:r w:rsidR="00A13197">
        <w:rPr>
          <w:rFonts w:asciiTheme="minorHAnsi" w:hAnsiTheme="minorHAnsi"/>
          <w:snapToGrid w:val="0"/>
          <w:lang w:val="en-GB"/>
        </w:rPr>
        <w:t>mon</w:t>
      </w:r>
      <w:r w:rsidR="0097678B">
        <w:rPr>
          <w:rFonts w:asciiTheme="minorHAnsi" w:hAnsiTheme="minorHAnsi"/>
          <w:snapToGrid w:val="0"/>
          <w:lang w:val="en-GB"/>
        </w:rPr>
        <w:t>o</w:t>
      </w:r>
      <w:r w:rsidR="00A13197">
        <w:rPr>
          <w:rFonts w:asciiTheme="minorHAnsi" w:hAnsiTheme="minorHAnsi"/>
          <w:snapToGrid w:val="0"/>
          <w:lang w:val="en-GB"/>
        </w:rPr>
        <w:t>therapy</w:t>
      </w:r>
      <w:r w:rsidR="00E6159E">
        <w:rPr>
          <w:rFonts w:asciiTheme="minorHAnsi" w:hAnsiTheme="minorHAnsi"/>
          <w:snapToGrid w:val="0"/>
          <w:lang w:val="en-GB"/>
        </w:rPr>
        <w:t xml:space="preserve"> was a more costly regimen in addition to being less effective. The PBAC considered this further supported the use of </w:t>
      </w:r>
      <w:r w:rsidR="00C02E47">
        <w:rPr>
          <w:rFonts w:asciiTheme="minorHAnsi" w:hAnsiTheme="minorHAnsi"/>
          <w:snapToGrid w:val="0"/>
          <w:lang w:val="en-GB"/>
        </w:rPr>
        <w:t>enzalutamide plus ADT</w:t>
      </w:r>
      <w:r w:rsidR="00E6159E">
        <w:rPr>
          <w:rFonts w:asciiTheme="minorHAnsi" w:hAnsiTheme="minorHAnsi"/>
          <w:snapToGrid w:val="0"/>
          <w:lang w:val="en-GB"/>
        </w:rPr>
        <w:t xml:space="preserve"> over </w:t>
      </w:r>
      <w:r w:rsidR="00C02E47">
        <w:rPr>
          <w:rFonts w:asciiTheme="minorHAnsi" w:hAnsiTheme="minorHAnsi"/>
          <w:snapToGrid w:val="0"/>
          <w:lang w:val="en-GB"/>
        </w:rPr>
        <w:t xml:space="preserve">enzalutamide </w:t>
      </w:r>
      <w:r w:rsidR="00E6159E">
        <w:rPr>
          <w:rFonts w:asciiTheme="minorHAnsi" w:hAnsiTheme="minorHAnsi"/>
          <w:snapToGrid w:val="0"/>
          <w:lang w:val="en-GB"/>
        </w:rPr>
        <w:t>monotherapy.</w:t>
      </w:r>
    </w:p>
    <w:p w14:paraId="068CFFB7" w14:textId="04F29AA1" w:rsidR="00C45F9B" w:rsidRPr="00C45F9B" w:rsidRDefault="009F108B">
      <w:pPr>
        <w:widowControl w:val="0"/>
        <w:numPr>
          <w:ilvl w:val="1"/>
          <w:numId w:val="1"/>
        </w:numPr>
        <w:spacing w:after="120"/>
        <w:rPr>
          <w:rFonts w:asciiTheme="minorHAnsi" w:hAnsiTheme="minorHAnsi"/>
          <w:snapToGrid w:val="0"/>
          <w:lang w:val="en-GB"/>
        </w:rPr>
      </w:pPr>
      <w:bookmarkStart w:id="80" w:name="_Ref184730375"/>
      <w:r w:rsidRPr="00C45F9B">
        <w:rPr>
          <w:rFonts w:asciiTheme="minorHAnsi" w:hAnsiTheme="minorHAnsi"/>
          <w:snapToGrid w:val="0"/>
          <w:lang w:val="en-GB"/>
        </w:rPr>
        <w:t xml:space="preserve">The PBAC noted </w:t>
      </w:r>
      <w:r w:rsidR="00C02E47">
        <w:rPr>
          <w:rFonts w:asciiTheme="minorHAnsi" w:hAnsiTheme="minorHAnsi"/>
          <w:snapToGrid w:val="0"/>
          <w:lang w:val="en-GB"/>
        </w:rPr>
        <w:t xml:space="preserve">that </w:t>
      </w:r>
      <w:r w:rsidRPr="00C45F9B">
        <w:rPr>
          <w:rFonts w:asciiTheme="minorHAnsi" w:hAnsiTheme="minorHAnsi"/>
          <w:snapToGrid w:val="0"/>
          <w:lang w:val="en-GB"/>
        </w:rPr>
        <w:t xml:space="preserve">the ESC considered that the economic model was not suitable for decision making given the structural uncertainties associated with the modelling approach which manufactured a large treatment benefit for enzalutamide </w:t>
      </w:r>
      <w:r w:rsidR="00C02E47">
        <w:rPr>
          <w:rFonts w:asciiTheme="minorHAnsi" w:hAnsiTheme="minorHAnsi"/>
          <w:snapToGrid w:val="0"/>
          <w:lang w:val="en-GB"/>
        </w:rPr>
        <w:t>plus</w:t>
      </w:r>
      <w:r w:rsidRPr="00C45F9B">
        <w:rPr>
          <w:rFonts w:asciiTheme="minorHAnsi" w:hAnsiTheme="minorHAnsi"/>
          <w:snapToGrid w:val="0"/>
          <w:lang w:val="en-GB"/>
        </w:rPr>
        <w:t xml:space="preserve"> ADT over ADT alone (2.26 </w:t>
      </w:r>
      <w:r w:rsidR="00175334" w:rsidRPr="00C45F9B">
        <w:rPr>
          <w:rFonts w:asciiTheme="minorHAnsi" w:hAnsiTheme="minorHAnsi"/>
          <w:snapToGrid w:val="0"/>
          <w:lang w:val="en-GB"/>
        </w:rPr>
        <w:t xml:space="preserve">discounted </w:t>
      </w:r>
      <w:r w:rsidR="00C02E47">
        <w:rPr>
          <w:rFonts w:asciiTheme="minorHAnsi" w:hAnsiTheme="minorHAnsi"/>
          <w:snapToGrid w:val="0"/>
          <w:lang w:val="en-GB"/>
        </w:rPr>
        <w:t>quality adjusted life years (</w:t>
      </w:r>
      <w:r w:rsidRPr="00C45F9B">
        <w:rPr>
          <w:rFonts w:asciiTheme="minorHAnsi" w:hAnsiTheme="minorHAnsi"/>
          <w:snapToGrid w:val="0"/>
          <w:lang w:val="en-GB"/>
        </w:rPr>
        <w:t>QALYs</w:t>
      </w:r>
      <w:r w:rsidR="00C02E47">
        <w:rPr>
          <w:rFonts w:asciiTheme="minorHAnsi" w:hAnsiTheme="minorHAnsi"/>
          <w:snapToGrid w:val="0"/>
          <w:lang w:val="en-GB"/>
        </w:rPr>
        <w:t>)</w:t>
      </w:r>
      <w:r w:rsidR="00175334" w:rsidRPr="00C45F9B">
        <w:rPr>
          <w:rFonts w:asciiTheme="minorHAnsi" w:hAnsiTheme="minorHAnsi"/>
          <w:snapToGrid w:val="0"/>
          <w:lang w:val="en-GB"/>
        </w:rPr>
        <w:t>, 3.83</w:t>
      </w:r>
      <w:r w:rsidR="005A1737">
        <w:rPr>
          <w:rFonts w:asciiTheme="minorHAnsi" w:hAnsiTheme="minorHAnsi"/>
          <w:snapToGrid w:val="0"/>
          <w:lang w:val="en-GB"/>
        </w:rPr>
        <w:t> </w:t>
      </w:r>
      <w:r w:rsidR="00175334" w:rsidRPr="00C45F9B">
        <w:rPr>
          <w:rFonts w:asciiTheme="minorHAnsi" w:hAnsiTheme="minorHAnsi"/>
          <w:snapToGrid w:val="0"/>
          <w:lang w:val="en-GB"/>
        </w:rPr>
        <w:t>undiscounted QALYs</w:t>
      </w:r>
      <w:r w:rsidRPr="00C45F9B">
        <w:rPr>
          <w:rFonts w:asciiTheme="minorHAnsi" w:hAnsiTheme="minorHAnsi"/>
          <w:snapToGrid w:val="0"/>
          <w:lang w:val="en-GB"/>
        </w:rPr>
        <w:t>).</w:t>
      </w:r>
      <w:r w:rsidR="00175334" w:rsidRPr="00C45F9B">
        <w:rPr>
          <w:rFonts w:asciiTheme="minorHAnsi" w:hAnsiTheme="minorHAnsi"/>
          <w:snapToGrid w:val="0"/>
          <w:lang w:val="en-GB"/>
        </w:rPr>
        <w:t xml:space="preserve"> </w:t>
      </w:r>
      <w:r w:rsidR="00A04D5D">
        <w:rPr>
          <w:rFonts w:asciiTheme="minorHAnsi" w:hAnsiTheme="minorHAnsi"/>
          <w:snapToGrid w:val="0"/>
          <w:lang w:val="en-GB"/>
        </w:rPr>
        <w:t>N</w:t>
      </w:r>
      <w:r w:rsidR="00A04D5D" w:rsidRPr="00C45F9B">
        <w:rPr>
          <w:rFonts w:asciiTheme="minorHAnsi" w:hAnsiTheme="minorHAnsi"/>
          <w:snapToGrid w:val="0"/>
          <w:lang w:val="en-GB"/>
        </w:rPr>
        <w:t xml:space="preserve">oting that MFS has been validated as a surrogate for OS in non-metastatic castration resistant prostate cancer (m0CRPC), </w:t>
      </w:r>
      <w:r w:rsidR="00A04D5D">
        <w:rPr>
          <w:rFonts w:asciiTheme="minorHAnsi" w:hAnsiTheme="minorHAnsi"/>
          <w:snapToGrid w:val="0"/>
          <w:lang w:val="en-GB"/>
        </w:rPr>
        <w:t xml:space="preserve">the PBAC </w:t>
      </w:r>
      <w:r w:rsidR="00A04D5D" w:rsidRPr="00C45F9B">
        <w:rPr>
          <w:rFonts w:asciiTheme="minorHAnsi" w:hAnsiTheme="minorHAnsi"/>
          <w:snapToGrid w:val="0"/>
          <w:lang w:val="en-GB"/>
        </w:rPr>
        <w:t xml:space="preserve">considered that it was plausible that MFS was a surrogate outcome for OS in the m0HSPC setting, although there </w:t>
      </w:r>
      <w:r w:rsidR="00C02E47">
        <w:rPr>
          <w:rFonts w:asciiTheme="minorHAnsi" w:hAnsiTheme="minorHAnsi"/>
          <w:snapToGrid w:val="0"/>
          <w:lang w:val="en-GB"/>
        </w:rPr>
        <w:t>was</w:t>
      </w:r>
      <w:r w:rsidR="00A04D5D" w:rsidRPr="00C45F9B">
        <w:rPr>
          <w:rFonts w:asciiTheme="minorHAnsi" w:hAnsiTheme="minorHAnsi"/>
          <w:snapToGrid w:val="0"/>
          <w:lang w:val="en-GB"/>
        </w:rPr>
        <w:t xml:space="preserve"> limited evidence</w:t>
      </w:r>
      <w:r w:rsidR="00A04D5D">
        <w:rPr>
          <w:rFonts w:asciiTheme="minorHAnsi" w:hAnsiTheme="minorHAnsi"/>
          <w:snapToGrid w:val="0"/>
          <w:lang w:val="en-GB"/>
        </w:rPr>
        <w:t xml:space="preserve"> to quantify </w:t>
      </w:r>
      <w:r w:rsidR="00A04D5D" w:rsidRPr="00C45F9B">
        <w:rPr>
          <w:rFonts w:asciiTheme="minorHAnsi" w:hAnsiTheme="minorHAnsi"/>
          <w:snapToGrid w:val="0"/>
          <w:lang w:val="en-GB"/>
        </w:rPr>
        <w:t>the relationship.</w:t>
      </w:r>
      <w:r w:rsidR="00A04D5D">
        <w:rPr>
          <w:rFonts w:asciiTheme="minorHAnsi" w:hAnsiTheme="minorHAnsi"/>
          <w:snapToGrid w:val="0"/>
          <w:lang w:val="en-GB"/>
        </w:rPr>
        <w:t xml:space="preserve"> However, t</w:t>
      </w:r>
      <w:r w:rsidR="00175334" w:rsidRPr="00C45F9B">
        <w:rPr>
          <w:rFonts w:asciiTheme="minorHAnsi" w:hAnsiTheme="minorHAnsi"/>
          <w:snapToGrid w:val="0"/>
          <w:lang w:val="en-GB"/>
        </w:rPr>
        <w:t xml:space="preserve">he PBAC considered that the modelled survival gain (2.03 discounted </w:t>
      </w:r>
      <w:r w:rsidR="00C02E47">
        <w:rPr>
          <w:rFonts w:asciiTheme="minorHAnsi" w:hAnsiTheme="minorHAnsi"/>
          <w:snapToGrid w:val="0"/>
          <w:lang w:val="en-GB"/>
        </w:rPr>
        <w:t>life years (</w:t>
      </w:r>
      <w:r w:rsidR="00175334" w:rsidRPr="00C45F9B">
        <w:rPr>
          <w:rFonts w:asciiTheme="minorHAnsi" w:hAnsiTheme="minorHAnsi"/>
          <w:snapToGrid w:val="0"/>
          <w:lang w:val="en-GB"/>
        </w:rPr>
        <w:t>L</w:t>
      </w:r>
      <w:r w:rsidR="00C02E47">
        <w:rPr>
          <w:rFonts w:asciiTheme="minorHAnsi" w:hAnsiTheme="minorHAnsi"/>
          <w:snapToGrid w:val="0"/>
          <w:lang w:val="en-GB"/>
        </w:rPr>
        <w:t>Y</w:t>
      </w:r>
      <w:r w:rsidR="00175334" w:rsidRPr="00C45F9B">
        <w:rPr>
          <w:rFonts w:asciiTheme="minorHAnsi" w:hAnsiTheme="minorHAnsi"/>
          <w:snapToGrid w:val="0"/>
          <w:lang w:val="en-GB"/>
        </w:rPr>
        <w:t>s</w:t>
      </w:r>
      <w:r w:rsidR="00C02E47">
        <w:rPr>
          <w:rFonts w:asciiTheme="minorHAnsi" w:hAnsiTheme="minorHAnsi"/>
          <w:snapToGrid w:val="0"/>
          <w:lang w:val="en-GB"/>
        </w:rPr>
        <w:t>)</w:t>
      </w:r>
      <w:r w:rsidR="00175334" w:rsidRPr="00C45F9B">
        <w:rPr>
          <w:rFonts w:asciiTheme="minorHAnsi" w:hAnsiTheme="minorHAnsi"/>
          <w:snapToGrid w:val="0"/>
          <w:lang w:val="en-GB"/>
        </w:rPr>
        <w:t xml:space="preserve"> gained, 3.77 undiscounted LYs gained) was highly optimistic given the size </w:t>
      </w:r>
      <w:r w:rsidR="00293988" w:rsidRPr="00C45F9B">
        <w:rPr>
          <w:rFonts w:asciiTheme="minorHAnsi" w:hAnsiTheme="minorHAnsi"/>
          <w:snapToGrid w:val="0"/>
          <w:lang w:val="en-GB"/>
        </w:rPr>
        <w:t xml:space="preserve">and uncertainty </w:t>
      </w:r>
      <w:r w:rsidR="00175334" w:rsidRPr="00C45F9B">
        <w:rPr>
          <w:rFonts w:asciiTheme="minorHAnsi" w:hAnsiTheme="minorHAnsi"/>
          <w:snapToGrid w:val="0"/>
          <w:lang w:val="en-GB"/>
        </w:rPr>
        <w:t>of the gain observed in the EMBARK trial</w:t>
      </w:r>
      <w:r w:rsidR="00C02E47">
        <w:rPr>
          <w:rFonts w:asciiTheme="minorHAnsi" w:hAnsiTheme="minorHAnsi"/>
          <w:snapToGrid w:val="0"/>
          <w:lang w:val="en-GB"/>
        </w:rPr>
        <w:t xml:space="preserve">. The PBAC noted that </w:t>
      </w:r>
      <w:r w:rsidR="00293988" w:rsidRPr="00C45F9B">
        <w:rPr>
          <w:rFonts w:asciiTheme="minorHAnsi" w:hAnsiTheme="minorHAnsi"/>
          <w:snapToGrid w:val="0"/>
          <w:lang w:val="en-GB"/>
        </w:rPr>
        <w:t xml:space="preserve">the difference in OS </w:t>
      </w:r>
      <w:r w:rsidR="00C02E47">
        <w:rPr>
          <w:rFonts w:asciiTheme="minorHAnsi" w:hAnsiTheme="minorHAnsi"/>
          <w:snapToGrid w:val="0"/>
          <w:lang w:val="en-GB"/>
        </w:rPr>
        <w:t xml:space="preserve">in EMBARK was </w:t>
      </w:r>
      <w:r w:rsidR="00293988" w:rsidRPr="00C45F9B">
        <w:rPr>
          <w:rFonts w:asciiTheme="minorHAnsi" w:hAnsiTheme="minorHAnsi"/>
          <w:snapToGrid w:val="0"/>
          <w:lang w:val="en-GB"/>
        </w:rPr>
        <w:t xml:space="preserve">not </w:t>
      </w:r>
      <w:r w:rsidR="00C02E47">
        <w:rPr>
          <w:rFonts w:asciiTheme="minorHAnsi" w:hAnsiTheme="minorHAnsi"/>
          <w:snapToGrid w:val="0"/>
          <w:lang w:val="en-GB"/>
        </w:rPr>
        <w:t>s</w:t>
      </w:r>
      <w:r w:rsidR="00293988" w:rsidRPr="00C45F9B">
        <w:rPr>
          <w:rFonts w:asciiTheme="minorHAnsi" w:hAnsiTheme="minorHAnsi"/>
          <w:snapToGrid w:val="0"/>
          <w:lang w:val="en-GB"/>
        </w:rPr>
        <w:t xml:space="preserve">tatistically significant and </w:t>
      </w:r>
      <w:r w:rsidR="00C02E47">
        <w:rPr>
          <w:rFonts w:asciiTheme="minorHAnsi" w:hAnsiTheme="minorHAnsi"/>
          <w:snapToGrid w:val="0"/>
          <w:lang w:val="en-GB"/>
        </w:rPr>
        <w:t xml:space="preserve">was </w:t>
      </w:r>
      <w:r w:rsidR="00293988" w:rsidRPr="00C45F9B">
        <w:rPr>
          <w:rFonts w:asciiTheme="minorHAnsi" w:hAnsiTheme="minorHAnsi"/>
          <w:snapToGrid w:val="0"/>
          <w:lang w:val="en-GB"/>
        </w:rPr>
        <w:t>not directly applicable to the incremental m0HSPC population</w:t>
      </w:r>
      <w:r w:rsidR="009B6165">
        <w:rPr>
          <w:rFonts w:asciiTheme="minorHAnsi" w:hAnsiTheme="minorHAnsi"/>
          <w:snapToGrid w:val="0"/>
          <w:lang w:val="en-GB"/>
        </w:rPr>
        <w:t xml:space="preserve"> </w:t>
      </w:r>
      <w:r w:rsidR="00C02E47">
        <w:rPr>
          <w:rFonts w:asciiTheme="minorHAnsi" w:hAnsiTheme="minorHAnsi"/>
          <w:snapToGrid w:val="0"/>
          <w:lang w:val="en-GB"/>
        </w:rPr>
        <w:t xml:space="preserve">given </w:t>
      </w:r>
      <w:r w:rsidR="009B6165">
        <w:rPr>
          <w:rFonts w:asciiTheme="minorHAnsi" w:hAnsiTheme="minorHAnsi"/>
          <w:snapToGrid w:val="0"/>
          <w:lang w:val="en-GB"/>
        </w:rPr>
        <w:t xml:space="preserve">the once per </w:t>
      </w:r>
      <w:r w:rsidR="00C02E47">
        <w:rPr>
          <w:rFonts w:asciiTheme="minorHAnsi" w:hAnsiTheme="minorHAnsi"/>
          <w:snapToGrid w:val="0"/>
          <w:lang w:val="en-GB"/>
        </w:rPr>
        <w:t>lifetime</w:t>
      </w:r>
      <w:r w:rsidR="009B6165">
        <w:rPr>
          <w:rFonts w:asciiTheme="minorHAnsi" w:hAnsiTheme="minorHAnsi"/>
          <w:snapToGrid w:val="0"/>
          <w:lang w:val="en-GB"/>
        </w:rPr>
        <w:t xml:space="preserve"> use of NHAs</w:t>
      </w:r>
      <w:r w:rsidR="00293988" w:rsidRPr="00C45F9B">
        <w:rPr>
          <w:rFonts w:asciiTheme="minorHAnsi" w:hAnsiTheme="minorHAnsi"/>
          <w:snapToGrid w:val="0"/>
          <w:lang w:val="en-GB"/>
        </w:rPr>
        <w:t>.</w:t>
      </w:r>
      <w:r w:rsidR="00C45F9B" w:rsidRPr="00C45F9B">
        <w:rPr>
          <w:rFonts w:asciiTheme="minorHAnsi" w:hAnsiTheme="minorHAnsi"/>
          <w:snapToGrid w:val="0"/>
          <w:lang w:val="en-GB"/>
        </w:rPr>
        <w:t xml:space="preserve"> </w:t>
      </w:r>
      <w:r w:rsidR="00A04D5D">
        <w:rPr>
          <w:rFonts w:asciiTheme="minorHAnsi" w:hAnsiTheme="minorHAnsi"/>
          <w:snapToGrid w:val="0"/>
          <w:lang w:val="en-GB"/>
        </w:rPr>
        <w:t xml:space="preserve">The PBAC </w:t>
      </w:r>
      <w:r w:rsidR="00137A3F">
        <w:rPr>
          <w:rFonts w:asciiTheme="minorHAnsi" w:hAnsiTheme="minorHAnsi"/>
          <w:snapToGrid w:val="0"/>
          <w:lang w:val="en-GB"/>
        </w:rPr>
        <w:t xml:space="preserve">further </w:t>
      </w:r>
      <w:r w:rsidR="00A04D5D">
        <w:rPr>
          <w:rFonts w:asciiTheme="minorHAnsi" w:hAnsiTheme="minorHAnsi"/>
          <w:snapToGrid w:val="0"/>
          <w:lang w:val="en-GB"/>
        </w:rPr>
        <w:t>noted that for MFS and OS the model did not appear to replicate the trial results</w:t>
      </w:r>
      <w:r w:rsidR="00C02E47">
        <w:rPr>
          <w:rFonts w:asciiTheme="minorHAnsi" w:hAnsiTheme="minorHAnsi"/>
          <w:snapToGrid w:val="0"/>
          <w:lang w:val="en-GB"/>
        </w:rPr>
        <w:t>,</w:t>
      </w:r>
      <w:r w:rsidR="00A04D5D">
        <w:rPr>
          <w:rFonts w:asciiTheme="minorHAnsi" w:hAnsiTheme="minorHAnsi"/>
          <w:snapToGrid w:val="0"/>
          <w:lang w:val="en-GB"/>
        </w:rPr>
        <w:t xml:space="preserve"> with </w:t>
      </w:r>
      <w:r w:rsidR="0097678B">
        <w:rPr>
          <w:rFonts w:asciiTheme="minorHAnsi" w:hAnsiTheme="minorHAnsi"/>
          <w:snapToGrid w:val="0"/>
          <w:lang w:val="en-GB"/>
        </w:rPr>
        <w:t xml:space="preserve">the </w:t>
      </w:r>
      <w:r w:rsidR="00A13197">
        <w:rPr>
          <w:rFonts w:asciiTheme="minorHAnsi" w:hAnsiTheme="minorHAnsi"/>
          <w:snapToGrid w:val="0"/>
          <w:lang w:val="en-GB"/>
        </w:rPr>
        <w:t xml:space="preserve">modelled </w:t>
      </w:r>
      <w:r w:rsidR="00A04D5D">
        <w:rPr>
          <w:rFonts w:asciiTheme="minorHAnsi" w:hAnsiTheme="minorHAnsi"/>
          <w:snapToGrid w:val="0"/>
          <w:lang w:val="en-GB"/>
        </w:rPr>
        <w:t xml:space="preserve">MFS and OS </w:t>
      </w:r>
      <w:r w:rsidR="00C02E47">
        <w:rPr>
          <w:rFonts w:asciiTheme="minorHAnsi" w:hAnsiTheme="minorHAnsi"/>
          <w:snapToGrid w:val="0"/>
          <w:lang w:val="en-GB"/>
        </w:rPr>
        <w:t>curves</w:t>
      </w:r>
      <w:r w:rsidR="00A04D5D">
        <w:rPr>
          <w:rFonts w:asciiTheme="minorHAnsi" w:hAnsiTheme="minorHAnsi"/>
          <w:snapToGrid w:val="0"/>
          <w:lang w:val="en-GB"/>
        </w:rPr>
        <w:t xml:space="preserve"> lower than </w:t>
      </w:r>
      <w:r w:rsidR="00C02E47">
        <w:rPr>
          <w:rFonts w:asciiTheme="minorHAnsi" w:hAnsiTheme="minorHAnsi"/>
          <w:snapToGrid w:val="0"/>
          <w:lang w:val="en-GB"/>
        </w:rPr>
        <w:t xml:space="preserve">those </w:t>
      </w:r>
      <w:r w:rsidR="00A04D5D">
        <w:rPr>
          <w:rFonts w:asciiTheme="minorHAnsi" w:hAnsiTheme="minorHAnsi"/>
          <w:snapToGrid w:val="0"/>
          <w:lang w:val="en-GB"/>
        </w:rPr>
        <w:t>observed in EMBARK and the incremental</w:t>
      </w:r>
      <w:r w:rsidR="0097678B">
        <w:rPr>
          <w:rFonts w:asciiTheme="minorHAnsi" w:hAnsiTheme="minorHAnsi"/>
          <w:snapToGrid w:val="0"/>
          <w:lang w:val="en-GB"/>
        </w:rPr>
        <w:t xml:space="preserve"> OS</w:t>
      </w:r>
      <w:r w:rsidR="00A04D5D">
        <w:rPr>
          <w:rFonts w:asciiTheme="minorHAnsi" w:hAnsiTheme="minorHAnsi"/>
          <w:snapToGrid w:val="0"/>
          <w:lang w:val="en-GB"/>
        </w:rPr>
        <w:t xml:space="preserve"> benefit</w:t>
      </w:r>
      <w:r w:rsidR="00A13197">
        <w:rPr>
          <w:rFonts w:asciiTheme="minorHAnsi" w:hAnsiTheme="minorHAnsi"/>
          <w:snapToGrid w:val="0"/>
          <w:lang w:val="en-GB"/>
        </w:rPr>
        <w:t xml:space="preserve"> </w:t>
      </w:r>
      <w:r w:rsidR="00A04D5D">
        <w:rPr>
          <w:rFonts w:asciiTheme="minorHAnsi" w:hAnsiTheme="minorHAnsi"/>
          <w:snapToGrid w:val="0"/>
          <w:lang w:val="en-GB"/>
        </w:rPr>
        <w:t>overestimated</w:t>
      </w:r>
      <w:r w:rsidR="00C02E47">
        <w:rPr>
          <w:rFonts w:asciiTheme="minorHAnsi" w:hAnsiTheme="minorHAnsi"/>
          <w:snapToGrid w:val="0"/>
          <w:lang w:val="en-GB"/>
        </w:rPr>
        <w:t xml:space="preserve"> (see </w:t>
      </w:r>
      <w:r w:rsidR="00C02E47">
        <w:rPr>
          <w:rFonts w:asciiTheme="minorHAnsi" w:hAnsiTheme="minorHAnsi"/>
          <w:snapToGrid w:val="0"/>
          <w:lang w:val="en-GB"/>
        </w:rPr>
        <w:fldChar w:fldCharType="begin" w:fldLock="1"/>
      </w:r>
      <w:r w:rsidR="00C02E47">
        <w:rPr>
          <w:rFonts w:asciiTheme="minorHAnsi" w:hAnsiTheme="minorHAnsi"/>
          <w:snapToGrid w:val="0"/>
          <w:lang w:val="en-GB"/>
        </w:rPr>
        <w:instrText xml:space="preserve"> REF _Ref177130728 \h </w:instrText>
      </w:r>
      <w:r w:rsidR="00C02E47">
        <w:rPr>
          <w:rFonts w:asciiTheme="minorHAnsi" w:hAnsiTheme="minorHAnsi"/>
          <w:snapToGrid w:val="0"/>
          <w:lang w:val="en-GB"/>
        </w:rPr>
      </w:r>
      <w:r w:rsidR="00C02E47">
        <w:rPr>
          <w:rFonts w:asciiTheme="minorHAnsi" w:hAnsiTheme="minorHAnsi"/>
          <w:snapToGrid w:val="0"/>
          <w:lang w:val="en-GB"/>
        </w:rPr>
        <w:fldChar w:fldCharType="separate"/>
      </w:r>
      <w:r w:rsidR="00C02E47">
        <w:t xml:space="preserve">Figure </w:t>
      </w:r>
      <w:r w:rsidR="00C02E47">
        <w:rPr>
          <w:noProof/>
        </w:rPr>
        <w:t>5</w:t>
      </w:r>
      <w:r w:rsidR="00C02E47">
        <w:rPr>
          <w:rFonts w:asciiTheme="minorHAnsi" w:hAnsiTheme="minorHAnsi"/>
          <w:snapToGrid w:val="0"/>
          <w:lang w:val="en-GB"/>
        </w:rPr>
        <w:fldChar w:fldCharType="end"/>
      </w:r>
      <w:r w:rsidR="00C02E47">
        <w:rPr>
          <w:rFonts w:asciiTheme="minorHAnsi" w:hAnsiTheme="minorHAnsi"/>
          <w:snapToGrid w:val="0"/>
          <w:lang w:val="en-GB"/>
        </w:rPr>
        <w:t xml:space="preserve"> and paragraph </w:t>
      </w:r>
      <w:r w:rsidR="00C02E47">
        <w:rPr>
          <w:rFonts w:asciiTheme="minorHAnsi" w:hAnsiTheme="minorHAnsi"/>
          <w:snapToGrid w:val="0"/>
          <w:lang w:val="en-GB"/>
        </w:rPr>
        <w:fldChar w:fldCharType="begin" w:fldLock="1"/>
      </w:r>
      <w:r w:rsidR="00C02E47">
        <w:rPr>
          <w:rFonts w:asciiTheme="minorHAnsi" w:hAnsiTheme="minorHAnsi"/>
          <w:snapToGrid w:val="0"/>
          <w:lang w:val="en-GB"/>
        </w:rPr>
        <w:instrText xml:space="preserve"> REF _Ref184730155 \r \h </w:instrText>
      </w:r>
      <w:r w:rsidR="00C02E47">
        <w:rPr>
          <w:rFonts w:asciiTheme="minorHAnsi" w:hAnsiTheme="minorHAnsi"/>
          <w:snapToGrid w:val="0"/>
          <w:lang w:val="en-GB"/>
        </w:rPr>
      </w:r>
      <w:r w:rsidR="00C02E47">
        <w:rPr>
          <w:rFonts w:asciiTheme="minorHAnsi" w:hAnsiTheme="minorHAnsi"/>
          <w:snapToGrid w:val="0"/>
          <w:lang w:val="en-GB"/>
        </w:rPr>
        <w:fldChar w:fldCharType="separate"/>
      </w:r>
      <w:r w:rsidR="00C02E47">
        <w:rPr>
          <w:rFonts w:asciiTheme="minorHAnsi" w:hAnsiTheme="minorHAnsi"/>
          <w:snapToGrid w:val="0"/>
          <w:lang w:val="en-GB"/>
        </w:rPr>
        <w:t>6.47</w:t>
      </w:r>
      <w:r w:rsidR="00C02E47">
        <w:rPr>
          <w:rFonts w:asciiTheme="minorHAnsi" w:hAnsiTheme="minorHAnsi"/>
          <w:snapToGrid w:val="0"/>
          <w:lang w:val="en-GB"/>
        </w:rPr>
        <w:fldChar w:fldCharType="end"/>
      </w:r>
      <w:r w:rsidR="00C02E47">
        <w:rPr>
          <w:rFonts w:asciiTheme="minorHAnsi" w:hAnsiTheme="minorHAnsi"/>
          <w:snapToGrid w:val="0"/>
          <w:lang w:val="en-GB"/>
        </w:rPr>
        <w:t>)</w:t>
      </w:r>
      <w:r w:rsidR="00A04D5D">
        <w:rPr>
          <w:rFonts w:asciiTheme="minorHAnsi" w:hAnsiTheme="minorHAnsi"/>
          <w:snapToGrid w:val="0"/>
          <w:lang w:val="en-GB"/>
        </w:rPr>
        <w:t>.</w:t>
      </w:r>
      <w:r w:rsidR="00137A3F">
        <w:rPr>
          <w:rFonts w:asciiTheme="minorHAnsi" w:hAnsiTheme="minorHAnsi"/>
          <w:snapToGrid w:val="0"/>
          <w:lang w:val="en-GB"/>
        </w:rPr>
        <w:t xml:space="preserve"> The PBAC noted that the PSCR and pre-PBAC response provided additional model scenarios addressing the double counting of mortality</w:t>
      </w:r>
      <w:r w:rsidR="00C02E47">
        <w:rPr>
          <w:rFonts w:asciiTheme="minorHAnsi" w:hAnsiTheme="minorHAnsi"/>
          <w:snapToGrid w:val="0"/>
          <w:lang w:val="en-GB"/>
        </w:rPr>
        <w:t>;</w:t>
      </w:r>
      <w:r w:rsidR="00137A3F">
        <w:rPr>
          <w:rFonts w:asciiTheme="minorHAnsi" w:hAnsiTheme="minorHAnsi"/>
          <w:snapToGrid w:val="0"/>
          <w:lang w:val="en-GB"/>
        </w:rPr>
        <w:t xml:space="preserve"> however</w:t>
      </w:r>
      <w:r w:rsidR="00C02E47">
        <w:rPr>
          <w:rFonts w:asciiTheme="minorHAnsi" w:hAnsiTheme="minorHAnsi"/>
          <w:snapToGrid w:val="0"/>
          <w:lang w:val="en-GB"/>
        </w:rPr>
        <w:t>,</w:t>
      </w:r>
      <w:r w:rsidR="00137A3F">
        <w:rPr>
          <w:rFonts w:asciiTheme="minorHAnsi" w:hAnsiTheme="minorHAnsi"/>
          <w:snapToGrid w:val="0"/>
          <w:lang w:val="en-GB"/>
        </w:rPr>
        <w:t xml:space="preserve"> the survival gain remained large in the PSCR scenario (1.75 discounted LYs gained) and</w:t>
      </w:r>
      <w:r w:rsidR="00A13197">
        <w:rPr>
          <w:rFonts w:asciiTheme="minorHAnsi" w:hAnsiTheme="minorHAnsi"/>
          <w:snapToGrid w:val="0"/>
          <w:lang w:val="en-GB"/>
        </w:rPr>
        <w:t>,</w:t>
      </w:r>
      <w:r w:rsidR="00137A3F">
        <w:rPr>
          <w:rFonts w:asciiTheme="minorHAnsi" w:hAnsiTheme="minorHAnsi"/>
          <w:snapToGrid w:val="0"/>
          <w:lang w:val="en-GB"/>
        </w:rPr>
        <w:t xml:space="preserve"> although substantially reduced in the pre</w:t>
      </w:r>
      <w:r w:rsidR="00C02E47">
        <w:rPr>
          <w:rFonts w:asciiTheme="minorHAnsi" w:hAnsiTheme="minorHAnsi"/>
          <w:snapToGrid w:val="0"/>
          <w:lang w:val="en-GB"/>
        </w:rPr>
        <w:t>-</w:t>
      </w:r>
      <w:r w:rsidR="00137A3F">
        <w:rPr>
          <w:rFonts w:asciiTheme="minorHAnsi" w:hAnsiTheme="minorHAnsi"/>
          <w:snapToGrid w:val="0"/>
          <w:lang w:val="en-GB"/>
        </w:rPr>
        <w:t>PBAC scenario (0.51 discounted LYs gained)</w:t>
      </w:r>
      <w:r w:rsidR="00A13197">
        <w:rPr>
          <w:rFonts w:asciiTheme="minorHAnsi" w:hAnsiTheme="minorHAnsi"/>
          <w:snapToGrid w:val="0"/>
          <w:lang w:val="en-GB"/>
        </w:rPr>
        <w:t>,</w:t>
      </w:r>
      <w:r w:rsidR="00137A3F">
        <w:rPr>
          <w:rFonts w:asciiTheme="minorHAnsi" w:hAnsiTheme="minorHAnsi"/>
          <w:snapToGrid w:val="0"/>
          <w:lang w:val="en-GB"/>
        </w:rPr>
        <w:t xml:space="preserve"> relied on different modelling approaches across the treatment arms.</w:t>
      </w:r>
      <w:bookmarkEnd w:id="80"/>
      <w:r w:rsidR="00866ED8">
        <w:rPr>
          <w:rFonts w:asciiTheme="minorHAnsi" w:hAnsiTheme="minorHAnsi"/>
          <w:snapToGrid w:val="0"/>
          <w:lang w:val="en-GB"/>
        </w:rPr>
        <w:t xml:space="preserve"> </w:t>
      </w:r>
    </w:p>
    <w:p w14:paraId="2DE728BE" w14:textId="0D838953" w:rsidR="00740830" w:rsidRDefault="00740830" w:rsidP="00E16BBF">
      <w:pPr>
        <w:widowControl w:val="0"/>
        <w:numPr>
          <w:ilvl w:val="1"/>
          <w:numId w:val="1"/>
        </w:numPr>
        <w:spacing w:after="120"/>
        <w:rPr>
          <w:rFonts w:asciiTheme="minorHAnsi" w:hAnsiTheme="minorHAnsi"/>
          <w:snapToGrid w:val="0"/>
          <w:lang w:val="en-GB"/>
        </w:rPr>
      </w:pPr>
      <w:bookmarkStart w:id="81" w:name="_Ref183010699"/>
      <w:r>
        <w:rPr>
          <w:rFonts w:asciiTheme="minorHAnsi" w:hAnsiTheme="minorHAnsi"/>
          <w:snapToGrid w:val="0"/>
          <w:lang w:val="en-GB"/>
        </w:rPr>
        <w:t xml:space="preserve">Overall, the PBAC </w:t>
      </w:r>
      <w:r w:rsidR="0097678B">
        <w:rPr>
          <w:rFonts w:asciiTheme="minorHAnsi" w:hAnsiTheme="minorHAnsi"/>
          <w:snapToGrid w:val="0"/>
          <w:lang w:val="en-GB"/>
        </w:rPr>
        <w:t xml:space="preserve">agreed with ESC </w:t>
      </w:r>
      <w:r>
        <w:rPr>
          <w:rFonts w:asciiTheme="minorHAnsi" w:hAnsiTheme="minorHAnsi"/>
          <w:snapToGrid w:val="0"/>
          <w:lang w:val="en-GB"/>
        </w:rPr>
        <w:t>that</w:t>
      </w:r>
      <w:r w:rsidR="0087672A">
        <w:rPr>
          <w:rFonts w:asciiTheme="minorHAnsi" w:hAnsiTheme="minorHAnsi"/>
          <w:snapToGrid w:val="0"/>
          <w:lang w:val="en-GB"/>
        </w:rPr>
        <w:t xml:space="preserve"> the</w:t>
      </w:r>
      <w:r>
        <w:rPr>
          <w:rFonts w:asciiTheme="minorHAnsi" w:hAnsiTheme="minorHAnsi"/>
          <w:snapToGrid w:val="0"/>
          <w:lang w:val="en-GB"/>
        </w:rPr>
        <w:t xml:space="preserve"> base case ICERs presented in the submission were highly uncertain as the economic models were not reliable for decision making. </w:t>
      </w:r>
      <w:r w:rsidR="00B95342">
        <w:rPr>
          <w:rFonts w:asciiTheme="minorHAnsi" w:hAnsiTheme="minorHAnsi"/>
          <w:snapToGrid w:val="0"/>
          <w:lang w:val="en-GB"/>
        </w:rPr>
        <w:t>Specifically, t</w:t>
      </w:r>
      <w:r>
        <w:rPr>
          <w:rFonts w:asciiTheme="minorHAnsi" w:hAnsiTheme="minorHAnsi"/>
          <w:snapToGrid w:val="0"/>
          <w:lang w:val="en-GB"/>
        </w:rPr>
        <w:t xml:space="preserve">he PBAC noted </w:t>
      </w:r>
      <w:proofErr w:type="gramStart"/>
      <w:r>
        <w:rPr>
          <w:rFonts w:asciiTheme="minorHAnsi" w:hAnsiTheme="minorHAnsi"/>
          <w:snapToGrid w:val="0"/>
          <w:lang w:val="en-GB"/>
        </w:rPr>
        <w:t>a number of</w:t>
      </w:r>
      <w:proofErr w:type="gramEnd"/>
      <w:r>
        <w:rPr>
          <w:rFonts w:asciiTheme="minorHAnsi" w:hAnsiTheme="minorHAnsi"/>
          <w:snapToGrid w:val="0"/>
          <w:lang w:val="en-GB"/>
        </w:rPr>
        <w:t xml:space="preserve"> issues with the modelling approach, including:</w:t>
      </w:r>
      <w:bookmarkEnd w:id="81"/>
    </w:p>
    <w:p w14:paraId="1A3DAE37" w14:textId="7B0C139A" w:rsidR="00740830" w:rsidRDefault="00740830" w:rsidP="00740830">
      <w:pPr>
        <w:widowControl w:val="0"/>
        <w:numPr>
          <w:ilvl w:val="1"/>
          <w:numId w:val="34"/>
        </w:numPr>
        <w:spacing w:after="120"/>
        <w:ind w:left="1080"/>
        <w:rPr>
          <w:rFonts w:asciiTheme="minorHAnsi" w:hAnsiTheme="minorHAnsi"/>
          <w:snapToGrid w:val="0"/>
          <w:lang w:val="en-GB"/>
        </w:rPr>
      </w:pPr>
      <w:r>
        <w:rPr>
          <w:rFonts w:asciiTheme="minorHAnsi" w:hAnsiTheme="minorHAnsi"/>
          <w:snapToGrid w:val="0"/>
          <w:lang w:val="en-GB"/>
        </w:rPr>
        <w:t>The time horizon of 30 years was long compared to the trial follow-up (63.7 to 66.2</w:t>
      </w:r>
      <w:r w:rsidR="005A1737">
        <w:rPr>
          <w:rFonts w:asciiTheme="minorHAnsi" w:hAnsiTheme="minorHAnsi"/>
          <w:snapToGrid w:val="0"/>
          <w:lang w:val="en-GB"/>
        </w:rPr>
        <w:t> </w:t>
      </w:r>
      <w:r>
        <w:rPr>
          <w:rFonts w:asciiTheme="minorHAnsi" w:hAnsiTheme="minorHAnsi"/>
          <w:snapToGrid w:val="0"/>
          <w:lang w:val="en-GB"/>
        </w:rPr>
        <w:t xml:space="preserve">months for OS) and the age of entry to the model </w:t>
      </w:r>
      <w:r w:rsidR="00B95342">
        <w:rPr>
          <w:rFonts w:asciiTheme="minorHAnsi" w:hAnsiTheme="minorHAnsi"/>
          <w:snapToGrid w:val="0"/>
          <w:lang w:val="en-GB"/>
        </w:rPr>
        <w:t>(</w:t>
      </w:r>
      <w:r>
        <w:rPr>
          <w:rFonts w:asciiTheme="minorHAnsi" w:hAnsiTheme="minorHAnsi"/>
          <w:snapToGrid w:val="0"/>
          <w:lang w:val="en-GB"/>
        </w:rPr>
        <w:t>69 years</w:t>
      </w:r>
      <w:r w:rsidR="00B95342">
        <w:rPr>
          <w:rFonts w:asciiTheme="minorHAnsi" w:hAnsiTheme="minorHAnsi"/>
          <w:snapToGrid w:val="0"/>
          <w:lang w:val="en-GB"/>
        </w:rPr>
        <w:t>)</w:t>
      </w:r>
      <w:r>
        <w:rPr>
          <w:rFonts w:asciiTheme="minorHAnsi" w:hAnsiTheme="minorHAnsi"/>
          <w:snapToGrid w:val="0"/>
          <w:lang w:val="en-GB"/>
        </w:rPr>
        <w:t xml:space="preserve">. The PBAC recalled that it had previously accepted a time horizon of 10 years in the mHSPC </w:t>
      </w:r>
      <w:r>
        <w:rPr>
          <w:rFonts w:asciiTheme="minorHAnsi" w:hAnsiTheme="minorHAnsi"/>
          <w:snapToGrid w:val="0"/>
          <w:lang w:val="en-GB"/>
        </w:rPr>
        <w:lastRenderedPageBreak/>
        <w:t>and m0CRPC settings</w:t>
      </w:r>
      <w:r w:rsidR="00C02E47">
        <w:rPr>
          <w:rFonts w:asciiTheme="minorHAnsi" w:hAnsiTheme="minorHAnsi"/>
          <w:snapToGrid w:val="0"/>
          <w:lang w:val="en-GB"/>
        </w:rPr>
        <w:t>.</w:t>
      </w:r>
    </w:p>
    <w:p w14:paraId="04F64897" w14:textId="17849338" w:rsidR="00740830" w:rsidRDefault="00740830" w:rsidP="00740830">
      <w:pPr>
        <w:widowControl w:val="0"/>
        <w:numPr>
          <w:ilvl w:val="1"/>
          <w:numId w:val="34"/>
        </w:numPr>
        <w:spacing w:after="120"/>
        <w:ind w:left="1080"/>
        <w:rPr>
          <w:rFonts w:asciiTheme="minorHAnsi" w:hAnsiTheme="minorHAnsi"/>
          <w:snapToGrid w:val="0"/>
          <w:lang w:val="en-GB"/>
        </w:rPr>
      </w:pPr>
      <w:r>
        <w:rPr>
          <w:rFonts w:asciiTheme="minorHAnsi" w:hAnsiTheme="minorHAnsi"/>
          <w:snapToGrid w:val="0"/>
          <w:lang w:val="en-GB"/>
        </w:rPr>
        <w:t>The complex structure of the model and associated uncertainties with the transition probabilities</w:t>
      </w:r>
      <w:r w:rsidR="008476AA">
        <w:rPr>
          <w:rFonts w:asciiTheme="minorHAnsi" w:hAnsiTheme="minorHAnsi"/>
          <w:snapToGrid w:val="0"/>
          <w:lang w:val="en-GB"/>
        </w:rPr>
        <w:t>,</w:t>
      </w:r>
      <w:r>
        <w:rPr>
          <w:rFonts w:asciiTheme="minorHAnsi" w:hAnsiTheme="minorHAnsi"/>
          <w:snapToGrid w:val="0"/>
          <w:lang w:val="en-GB"/>
        </w:rPr>
        <w:t xml:space="preserve"> including</w:t>
      </w:r>
      <w:r w:rsidR="005420F7">
        <w:rPr>
          <w:rFonts w:asciiTheme="minorHAnsi" w:hAnsiTheme="minorHAnsi"/>
          <w:snapToGrid w:val="0"/>
          <w:lang w:val="en-GB"/>
        </w:rPr>
        <w:t xml:space="preserve"> that</w:t>
      </w:r>
      <w:r>
        <w:rPr>
          <w:rFonts w:asciiTheme="minorHAnsi" w:hAnsiTheme="minorHAnsi"/>
          <w:snapToGrid w:val="0"/>
          <w:lang w:val="en-GB"/>
        </w:rPr>
        <w:t>:</w:t>
      </w:r>
    </w:p>
    <w:p w14:paraId="1A21392C" w14:textId="79619A44" w:rsidR="00740830" w:rsidRPr="00740830" w:rsidRDefault="005420F7" w:rsidP="00740830">
      <w:pPr>
        <w:widowControl w:val="0"/>
        <w:numPr>
          <w:ilvl w:val="1"/>
          <w:numId w:val="35"/>
        </w:numPr>
        <w:spacing w:after="120"/>
        <w:ind w:left="1440"/>
        <w:rPr>
          <w:snapToGrid w:val="0"/>
        </w:rPr>
      </w:pPr>
      <w:r>
        <w:rPr>
          <w:snapToGrid w:val="0"/>
        </w:rPr>
        <w:t>t</w:t>
      </w:r>
      <w:r w:rsidR="00740830">
        <w:rPr>
          <w:snapToGrid w:val="0"/>
        </w:rPr>
        <w:t>he model used a combined partitioned survival and Markov model approach with the Markov approach double counting progression and mortality.</w:t>
      </w:r>
    </w:p>
    <w:p w14:paraId="5F8D8F35" w14:textId="0A6EDB1C" w:rsidR="00740830" w:rsidRDefault="00740830" w:rsidP="00740830">
      <w:pPr>
        <w:widowControl w:val="0"/>
        <w:numPr>
          <w:ilvl w:val="1"/>
          <w:numId w:val="35"/>
        </w:numPr>
        <w:spacing w:after="120"/>
        <w:ind w:left="1440"/>
        <w:rPr>
          <w:snapToGrid w:val="0"/>
        </w:rPr>
      </w:pPr>
      <w:r>
        <w:rPr>
          <w:rFonts w:asciiTheme="minorHAnsi" w:hAnsiTheme="minorHAnsi"/>
          <w:snapToGrid w:val="0"/>
          <w:lang w:val="en-GB"/>
        </w:rPr>
        <w:t xml:space="preserve">although EMBARK data were used to inform the m0HSPC-related health states, data to inform the progressed health states were from multiple other sources. </w:t>
      </w:r>
      <w:r>
        <w:rPr>
          <w:snapToGrid w:val="0"/>
        </w:rPr>
        <w:t xml:space="preserve">The PBAC noted that the modelling of the progressed states was unlikely to be accurate due to differences in NHA use in later line settings following the </w:t>
      </w:r>
      <w:r w:rsidR="005420F7">
        <w:rPr>
          <w:snapToGrid w:val="0"/>
        </w:rPr>
        <w:t xml:space="preserve">PBS listing </w:t>
      </w:r>
      <w:r>
        <w:rPr>
          <w:snapToGrid w:val="0"/>
        </w:rPr>
        <w:t>of NHAs in the mHSPC setting and the later line trials including newly diagnosed patients who had received fewer prior treatments.</w:t>
      </w:r>
    </w:p>
    <w:p w14:paraId="20810237" w14:textId="395BB3AA" w:rsidR="00740830" w:rsidRDefault="00740830" w:rsidP="00740830">
      <w:pPr>
        <w:widowControl w:val="0"/>
        <w:numPr>
          <w:ilvl w:val="1"/>
          <w:numId w:val="35"/>
        </w:numPr>
        <w:spacing w:after="120"/>
        <w:ind w:left="1440"/>
        <w:rPr>
          <w:rFonts w:asciiTheme="minorHAnsi" w:hAnsiTheme="minorHAnsi"/>
          <w:snapToGrid w:val="0"/>
          <w:lang w:val="en-GB"/>
        </w:rPr>
      </w:pPr>
      <w:r>
        <w:rPr>
          <w:rFonts w:asciiTheme="minorHAnsi" w:hAnsiTheme="minorHAnsi"/>
          <w:snapToGrid w:val="0"/>
          <w:lang w:val="en-GB"/>
        </w:rPr>
        <w:t xml:space="preserve">the incorporation of treatment suspension. The PBAC noted that time on treatment for most patients was interrupted by treatment suspension from Week 37. Although the proportion of patients entering treatment suspension and the time in treatment suspension was based on the averages for each arm of the EMBARK trial, the PBAC noted that the trial data may not reflect how the treatment suspension would be implemented in clinical practice. The PBAC </w:t>
      </w:r>
      <w:r w:rsidR="008476AA">
        <w:rPr>
          <w:rFonts w:asciiTheme="minorHAnsi" w:hAnsiTheme="minorHAnsi"/>
          <w:snapToGrid w:val="0"/>
          <w:lang w:val="en-GB"/>
        </w:rPr>
        <w:t>noted that this had</w:t>
      </w:r>
      <w:r>
        <w:rPr>
          <w:rFonts w:asciiTheme="minorHAnsi" w:hAnsiTheme="minorHAnsi"/>
          <w:snapToGrid w:val="0"/>
          <w:lang w:val="en-GB"/>
        </w:rPr>
        <w:t xml:space="preserve"> a significant effect on the cost-effectiveness of enzalutamide.</w:t>
      </w:r>
    </w:p>
    <w:p w14:paraId="33DABE50" w14:textId="1E6EDEEA" w:rsidR="0097678B" w:rsidRPr="0087672A" w:rsidRDefault="00740830" w:rsidP="0087672A">
      <w:pPr>
        <w:widowControl w:val="0"/>
        <w:numPr>
          <w:ilvl w:val="1"/>
          <w:numId w:val="36"/>
        </w:numPr>
        <w:spacing w:after="120"/>
        <w:ind w:left="1080"/>
        <w:rPr>
          <w:snapToGrid w:val="0"/>
        </w:rPr>
      </w:pPr>
      <w:r>
        <w:rPr>
          <w:snapToGrid w:val="0"/>
        </w:rPr>
        <w:t xml:space="preserve">The MFS, </w:t>
      </w:r>
      <w:r w:rsidR="00C02E47">
        <w:rPr>
          <w:snapToGrid w:val="0"/>
        </w:rPr>
        <w:t>time to treatment discontinuation (</w:t>
      </w:r>
      <w:r>
        <w:rPr>
          <w:snapToGrid w:val="0"/>
        </w:rPr>
        <w:t>TTD</w:t>
      </w:r>
      <w:r w:rsidR="00C02E47">
        <w:rPr>
          <w:snapToGrid w:val="0"/>
        </w:rPr>
        <w:t>)</w:t>
      </w:r>
      <w:r>
        <w:rPr>
          <w:snapToGrid w:val="0"/>
        </w:rPr>
        <w:t xml:space="preserve"> and OS extrapolations were highly uncertain as they were based on the immature EMBARK data</w:t>
      </w:r>
      <w:r w:rsidR="00260DB3">
        <w:rPr>
          <w:snapToGrid w:val="0"/>
        </w:rPr>
        <w:t xml:space="preserve"> and</w:t>
      </w:r>
      <w:r>
        <w:rPr>
          <w:snapToGrid w:val="0"/>
        </w:rPr>
        <w:t xml:space="preserve"> a sustained OS </w:t>
      </w:r>
      <w:r w:rsidR="00260DB3">
        <w:rPr>
          <w:snapToGrid w:val="0"/>
        </w:rPr>
        <w:t xml:space="preserve">benefit </w:t>
      </w:r>
      <w:r>
        <w:rPr>
          <w:snapToGrid w:val="0"/>
        </w:rPr>
        <w:t>was modelled for the enzalutamide arms</w:t>
      </w:r>
      <w:r w:rsidR="00260DB3">
        <w:rPr>
          <w:snapToGrid w:val="0"/>
        </w:rPr>
        <w:t>.</w:t>
      </w:r>
      <w:r w:rsidR="00A33E77">
        <w:rPr>
          <w:snapToGrid w:val="0"/>
        </w:rPr>
        <w:t xml:space="preserve"> </w:t>
      </w:r>
    </w:p>
    <w:p w14:paraId="566EC367" w14:textId="40D671D9" w:rsidR="00740830" w:rsidRPr="00740830" w:rsidRDefault="00740830" w:rsidP="0087672A">
      <w:pPr>
        <w:widowControl w:val="0"/>
        <w:numPr>
          <w:ilvl w:val="1"/>
          <w:numId w:val="34"/>
        </w:numPr>
        <w:spacing w:after="120"/>
        <w:ind w:left="1080"/>
        <w:rPr>
          <w:snapToGrid w:val="0"/>
        </w:rPr>
      </w:pPr>
      <w:r>
        <w:rPr>
          <w:snapToGrid w:val="0"/>
        </w:rPr>
        <w:t xml:space="preserve">The </w:t>
      </w:r>
      <w:r w:rsidRPr="0087672A">
        <w:rPr>
          <w:rFonts w:asciiTheme="minorHAnsi" w:hAnsiTheme="minorHAnsi"/>
          <w:snapToGrid w:val="0"/>
          <w:lang w:val="en-GB"/>
        </w:rPr>
        <w:t>utility</w:t>
      </w:r>
      <w:r>
        <w:rPr>
          <w:snapToGrid w:val="0"/>
        </w:rPr>
        <w:t xml:space="preserve"> values applied were high compared to Australian general population values.</w:t>
      </w:r>
    </w:p>
    <w:p w14:paraId="43F3C18D" w14:textId="40DBB5AC" w:rsidR="00237330" w:rsidRDefault="00DF24EF" w:rsidP="00237330">
      <w:pPr>
        <w:widowControl w:val="0"/>
        <w:numPr>
          <w:ilvl w:val="1"/>
          <w:numId w:val="1"/>
        </w:numPr>
        <w:spacing w:after="120"/>
        <w:rPr>
          <w:rFonts w:asciiTheme="minorHAnsi" w:hAnsiTheme="minorHAnsi"/>
          <w:snapToGrid w:val="0"/>
          <w:lang w:val="en-GB"/>
        </w:rPr>
      </w:pPr>
      <w:bookmarkStart w:id="82" w:name="_Ref183010739"/>
      <w:bookmarkStart w:id="83" w:name="_Ref184730411"/>
      <w:r>
        <w:rPr>
          <w:rFonts w:asciiTheme="minorHAnsi" w:hAnsiTheme="minorHAnsi"/>
          <w:snapToGrid w:val="0"/>
          <w:lang w:val="en-GB"/>
        </w:rPr>
        <w:t xml:space="preserve">The PBAC considered that the utilisation estimates provided in the submission </w:t>
      </w:r>
      <w:r w:rsidR="00A33E77">
        <w:rPr>
          <w:rFonts w:asciiTheme="minorHAnsi" w:hAnsiTheme="minorHAnsi"/>
          <w:snapToGrid w:val="0"/>
          <w:lang w:val="en-GB"/>
        </w:rPr>
        <w:t xml:space="preserve">and PSCR </w:t>
      </w:r>
      <w:r>
        <w:rPr>
          <w:rFonts w:asciiTheme="minorHAnsi" w:hAnsiTheme="minorHAnsi"/>
          <w:snapToGrid w:val="0"/>
          <w:lang w:val="en-GB"/>
        </w:rPr>
        <w:t>were highly uncertain</w:t>
      </w:r>
      <w:r w:rsidR="00A33E77">
        <w:rPr>
          <w:rFonts w:asciiTheme="minorHAnsi" w:hAnsiTheme="minorHAnsi"/>
          <w:snapToGrid w:val="0"/>
          <w:lang w:val="en-GB"/>
        </w:rPr>
        <w:t xml:space="preserve">, noting that the treatment duration was likely </w:t>
      </w:r>
      <w:r w:rsidR="007027E4">
        <w:rPr>
          <w:rFonts w:asciiTheme="minorHAnsi" w:hAnsiTheme="minorHAnsi"/>
          <w:snapToGrid w:val="0"/>
          <w:lang w:val="en-GB"/>
        </w:rPr>
        <w:t>underestimated,</w:t>
      </w:r>
      <w:r w:rsidR="00A33E77">
        <w:rPr>
          <w:rFonts w:asciiTheme="minorHAnsi" w:hAnsiTheme="minorHAnsi"/>
          <w:snapToGrid w:val="0"/>
          <w:lang w:val="en-GB"/>
        </w:rPr>
        <w:t xml:space="preserve"> and a potential prevalent pool of patients was not accounted for</w:t>
      </w:r>
      <w:r>
        <w:rPr>
          <w:rFonts w:asciiTheme="minorHAnsi" w:hAnsiTheme="minorHAnsi"/>
          <w:snapToGrid w:val="0"/>
          <w:lang w:val="en-GB"/>
        </w:rPr>
        <w:t xml:space="preserve">. </w:t>
      </w:r>
      <w:r w:rsidR="00A33E77">
        <w:rPr>
          <w:rFonts w:asciiTheme="minorHAnsi" w:hAnsiTheme="minorHAnsi"/>
          <w:snapToGrid w:val="0"/>
          <w:lang w:val="en-GB"/>
        </w:rPr>
        <w:t>The PBAC noted DUSC’s advice that a prevalent approach should be used to estimate patient numbers</w:t>
      </w:r>
      <w:r w:rsidR="00C02E47">
        <w:rPr>
          <w:rFonts w:asciiTheme="minorHAnsi" w:hAnsiTheme="minorHAnsi"/>
          <w:snapToGrid w:val="0"/>
          <w:lang w:val="en-GB"/>
        </w:rPr>
        <w:t>;</w:t>
      </w:r>
      <w:r w:rsidR="00A33E77">
        <w:rPr>
          <w:rFonts w:asciiTheme="minorHAnsi" w:hAnsiTheme="minorHAnsi"/>
          <w:snapToGrid w:val="0"/>
          <w:lang w:val="en-GB"/>
        </w:rPr>
        <w:t xml:space="preserve"> </w:t>
      </w:r>
      <w:r w:rsidR="00237330">
        <w:rPr>
          <w:rFonts w:asciiTheme="minorHAnsi" w:hAnsiTheme="minorHAnsi"/>
          <w:snapToGrid w:val="0"/>
          <w:lang w:val="en-GB"/>
        </w:rPr>
        <w:t>h</w:t>
      </w:r>
      <w:r>
        <w:rPr>
          <w:rFonts w:asciiTheme="minorHAnsi" w:hAnsiTheme="minorHAnsi"/>
          <w:snapToGrid w:val="0"/>
          <w:lang w:val="en-GB"/>
        </w:rPr>
        <w:t>owever</w:t>
      </w:r>
      <w:r w:rsidR="00C02E47">
        <w:rPr>
          <w:rFonts w:asciiTheme="minorHAnsi" w:hAnsiTheme="minorHAnsi"/>
          <w:snapToGrid w:val="0"/>
          <w:lang w:val="en-GB"/>
        </w:rPr>
        <w:t>,</w:t>
      </w:r>
      <w:r>
        <w:rPr>
          <w:rFonts w:asciiTheme="minorHAnsi" w:hAnsiTheme="minorHAnsi"/>
          <w:snapToGrid w:val="0"/>
          <w:lang w:val="en-GB"/>
        </w:rPr>
        <w:t xml:space="preserve"> </w:t>
      </w:r>
      <w:r w:rsidR="00237330">
        <w:rPr>
          <w:rFonts w:asciiTheme="minorHAnsi" w:hAnsiTheme="minorHAnsi"/>
          <w:snapToGrid w:val="0"/>
          <w:lang w:val="en-GB"/>
        </w:rPr>
        <w:t>considered this would likely complicate incorporating the impact of treatment suspension which would have a substantial impact on the financial estimates and should be accounted for.</w:t>
      </w:r>
      <w:r w:rsidRPr="00DF24EF">
        <w:rPr>
          <w:rFonts w:asciiTheme="minorHAnsi" w:hAnsiTheme="minorHAnsi"/>
          <w:snapToGrid w:val="0"/>
          <w:lang w:val="en-GB"/>
        </w:rPr>
        <w:t xml:space="preserve"> </w:t>
      </w:r>
      <w:bookmarkStart w:id="84" w:name="_Ref183010741"/>
      <w:bookmarkEnd w:id="82"/>
      <w:r w:rsidRPr="00237330">
        <w:rPr>
          <w:rFonts w:asciiTheme="minorHAnsi" w:hAnsiTheme="minorHAnsi"/>
          <w:snapToGrid w:val="0"/>
          <w:lang w:val="en-GB"/>
        </w:rPr>
        <w:t>The PBAC considered that estimating the time on treatment was difficult due to the inclusion of the treatment suspension, which is likely to differ between the trial and clinical practice. Overall, the PBAC considered that the mean time on treatment in the financial estimates should align with the economic model.</w:t>
      </w:r>
      <w:bookmarkEnd w:id="83"/>
      <w:r w:rsidRPr="00237330">
        <w:rPr>
          <w:rFonts w:asciiTheme="minorHAnsi" w:hAnsiTheme="minorHAnsi"/>
          <w:snapToGrid w:val="0"/>
          <w:lang w:val="en-GB"/>
        </w:rPr>
        <w:t xml:space="preserve"> </w:t>
      </w:r>
    </w:p>
    <w:p w14:paraId="5AEB2D29" w14:textId="4FD9AE02" w:rsidR="00237330" w:rsidRPr="00DF24EF" w:rsidRDefault="00237330" w:rsidP="00237330">
      <w:pPr>
        <w:widowControl w:val="0"/>
        <w:numPr>
          <w:ilvl w:val="1"/>
          <w:numId w:val="1"/>
        </w:numPr>
        <w:spacing w:after="120"/>
        <w:rPr>
          <w:rFonts w:asciiTheme="minorHAnsi" w:hAnsiTheme="minorHAnsi"/>
          <w:snapToGrid w:val="0"/>
          <w:lang w:val="en-GB"/>
        </w:rPr>
      </w:pPr>
      <w:bookmarkStart w:id="85" w:name="_Ref184730414"/>
      <w:r>
        <w:rPr>
          <w:rFonts w:asciiTheme="minorHAnsi" w:hAnsiTheme="minorHAnsi"/>
          <w:snapToGrid w:val="0"/>
          <w:lang w:val="en-GB"/>
        </w:rPr>
        <w:t>The PBAC also noted that the financial estimates should consider the incremental population of patients not currently able to access a NHA under the existing PBS restrictions</w:t>
      </w:r>
      <w:r w:rsidR="00C02E47">
        <w:rPr>
          <w:rFonts w:asciiTheme="minorHAnsi" w:hAnsiTheme="minorHAnsi"/>
          <w:snapToGrid w:val="0"/>
          <w:lang w:val="en-GB"/>
        </w:rPr>
        <w:t xml:space="preserve">, noting </w:t>
      </w:r>
      <w:r>
        <w:rPr>
          <w:rFonts w:asciiTheme="minorHAnsi" w:hAnsiTheme="minorHAnsi"/>
          <w:snapToGrid w:val="0"/>
          <w:lang w:val="en-GB"/>
        </w:rPr>
        <w:t>that a sizable proportion of patients diagnosed with m0HSPC with conventional imaging have metastatic disease when PSMA-PET imaging is used.</w:t>
      </w:r>
      <w:bookmarkEnd w:id="85"/>
    </w:p>
    <w:p w14:paraId="2DFE4BC7" w14:textId="4312D149" w:rsidR="00740830" w:rsidRPr="00237330" w:rsidRDefault="00DF24EF" w:rsidP="00237330">
      <w:pPr>
        <w:widowControl w:val="0"/>
        <w:numPr>
          <w:ilvl w:val="1"/>
          <w:numId w:val="1"/>
        </w:numPr>
        <w:spacing w:after="120"/>
        <w:rPr>
          <w:rFonts w:asciiTheme="minorHAnsi" w:hAnsiTheme="minorHAnsi"/>
          <w:snapToGrid w:val="0"/>
          <w:lang w:val="en-GB"/>
        </w:rPr>
      </w:pPr>
      <w:bookmarkStart w:id="86" w:name="_Ref184811699"/>
      <w:r w:rsidRPr="00237330">
        <w:rPr>
          <w:rFonts w:asciiTheme="minorHAnsi" w:hAnsiTheme="minorHAnsi"/>
          <w:snapToGrid w:val="0"/>
          <w:lang w:val="en-GB"/>
        </w:rPr>
        <w:lastRenderedPageBreak/>
        <w:t>The PBAC considered that other suggestions from DUSC</w:t>
      </w:r>
      <w:r w:rsidR="005420F7" w:rsidRPr="00237330">
        <w:rPr>
          <w:rFonts w:asciiTheme="minorHAnsi" w:hAnsiTheme="minorHAnsi"/>
          <w:snapToGrid w:val="0"/>
          <w:lang w:val="en-GB"/>
        </w:rPr>
        <w:t>,</w:t>
      </w:r>
      <w:r w:rsidRPr="00237330">
        <w:rPr>
          <w:rFonts w:asciiTheme="minorHAnsi" w:hAnsiTheme="minorHAnsi"/>
          <w:snapToGrid w:val="0"/>
          <w:lang w:val="en-GB"/>
        </w:rPr>
        <w:t xml:space="preserve"> as outlined in </w:t>
      </w:r>
      <w:r w:rsidRPr="00237330">
        <w:rPr>
          <w:rFonts w:asciiTheme="minorHAnsi" w:hAnsiTheme="minorHAnsi"/>
          <w:snapToGrid w:val="0"/>
          <w:lang w:val="en-GB"/>
        </w:rPr>
        <w:fldChar w:fldCharType="begin" w:fldLock="1"/>
      </w:r>
      <w:r w:rsidRPr="00237330">
        <w:rPr>
          <w:rFonts w:asciiTheme="minorHAnsi" w:hAnsiTheme="minorHAnsi"/>
          <w:snapToGrid w:val="0"/>
          <w:lang w:val="en-GB"/>
        </w:rPr>
        <w:instrText xml:space="preserve"> REF _Ref104805262 \h </w:instrText>
      </w:r>
      <w:r w:rsidRPr="00237330">
        <w:rPr>
          <w:rFonts w:asciiTheme="minorHAnsi" w:hAnsiTheme="minorHAnsi"/>
          <w:snapToGrid w:val="0"/>
          <w:lang w:val="en-GB"/>
        </w:rPr>
      </w:r>
      <w:r w:rsidRPr="00237330">
        <w:rPr>
          <w:rFonts w:asciiTheme="minorHAnsi" w:hAnsiTheme="minorHAnsi"/>
          <w:snapToGrid w:val="0"/>
          <w:lang w:val="en-GB"/>
        </w:rPr>
        <w:fldChar w:fldCharType="separate"/>
      </w:r>
      <w:r w:rsidRPr="0098262F">
        <w:t xml:space="preserve">Table </w:t>
      </w:r>
      <w:r>
        <w:rPr>
          <w:noProof/>
        </w:rPr>
        <w:t>15</w:t>
      </w:r>
      <w:r w:rsidRPr="00237330">
        <w:rPr>
          <w:rFonts w:asciiTheme="minorHAnsi" w:hAnsiTheme="minorHAnsi"/>
          <w:snapToGrid w:val="0"/>
          <w:lang w:val="en-GB"/>
        </w:rPr>
        <w:fldChar w:fldCharType="end"/>
      </w:r>
      <w:r w:rsidR="005420F7" w:rsidRPr="00237330">
        <w:rPr>
          <w:rFonts w:asciiTheme="minorHAnsi" w:hAnsiTheme="minorHAnsi"/>
          <w:snapToGrid w:val="0"/>
          <w:lang w:val="en-GB"/>
        </w:rPr>
        <w:t>,</w:t>
      </w:r>
      <w:r w:rsidRPr="00237330">
        <w:rPr>
          <w:rFonts w:asciiTheme="minorHAnsi" w:hAnsiTheme="minorHAnsi"/>
          <w:snapToGrid w:val="0"/>
          <w:lang w:val="en-GB"/>
        </w:rPr>
        <w:t xml:space="preserve"> should be incorporated into any future financial estimates.</w:t>
      </w:r>
      <w:bookmarkEnd w:id="84"/>
      <w:bookmarkEnd w:id="86"/>
    </w:p>
    <w:p w14:paraId="6973A0C3" w14:textId="680DFBD0" w:rsidR="00DF24EF" w:rsidRPr="00237330" w:rsidRDefault="00DF24EF" w:rsidP="00237330">
      <w:pPr>
        <w:widowControl w:val="0"/>
        <w:numPr>
          <w:ilvl w:val="1"/>
          <w:numId w:val="1"/>
        </w:numPr>
        <w:spacing w:after="120"/>
        <w:rPr>
          <w:rFonts w:asciiTheme="minorHAnsi" w:hAnsiTheme="minorHAnsi"/>
          <w:snapToGrid w:val="0"/>
          <w:lang w:val="en-GB"/>
        </w:rPr>
      </w:pPr>
      <w:bookmarkStart w:id="87" w:name="_Ref183010805"/>
      <w:r w:rsidRPr="00237330">
        <w:rPr>
          <w:rFonts w:asciiTheme="minorHAnsi" w:hAnsiTheme="minorHAnsi"/>
          <w:snapToGrid w:val="0"/>
          <w:lang w:val="en-GB"/>
        </w:rPr>
        <w:t xml:space="preserve">The PBAC considered that the </w:t>
      </w:r>
      <w:r w:rsidR="00624FA3" w:rsidRPr="00237330">
        <w:rPr>
          <w:rFonts w:asciiTheme="minorHAnsi" w:hAnsiTheme="minorHAnsi"/>
          <w:snapToGrid w:val="0"/>
          <w:lang w:val="en-GB"/>
        </w:rPr>
        <w:t>proposed managed access plan (</w:t>
      </w:r>
      <w:r w:rsidRPr="00237330">
        <w:rPr>
          <w:rFonts w:asciiTheme="minorHAnsi" w:hAnsiTheme="minorHAnsi"/>
          <w:snapToGrid w:val="0"/>
          <w:lang w:val="en-GB"/>
        </w:rPr>
        <w:t>MAP</w:t>
      </w:r>
      <w:r w:rsidR="00624FA3" w:rsidRPr="00237330">
        <w:rPr>
          <w:rFonts w:asciiTheme="minorHAnsi" w:hAnsiTheme="minorHAnsi"/>
          <w:snapToGrid w:val="0"/>
          <w:lang w:val="en-GB"/>
        </w:rPr>
        <w:t>)</w:t>
      </w:r>
      <w:r w:rsidRPr="00237330">
        <w:rPr>
          <w:rFonts w:asciiTheme="minorHAnsi" w:hAnsiTheme="minorHAnsi"/>
          <w:snapToGrid w:val="0"/>
          <w:lang w:val="en-GB"/>
        </w:rPr>
        <w:t xml:space="preserve"> did not adequately manage the </w:t>
      </w:r>
      <w:r w:rsidR="00F21C12">
        <w:rPr>
          <w:rFonts w:asciiTheme="minorHAnsi" w:hAnsiTheme="minorHAnsi"/>
          <w:snapToGrid w:val="0"/>
          <w:lang w:val="en-GB"/>
        </w:rPr>
        <w:t>uncertainties associated with the economic modelling</w:t>
      </w:r>
      <w:r w:rsidR="008476AA" w:rsidRPr="00237330">
        <w:rPr>
          <w:rFonts w:asciiTheme="minorHAnsi" w:hAnsiTheme="minorHAnsi"/>
          <w:snapToGrid w:val="0"/>
          <w:lang w:val="en-GB"/>
        </w:rPr>
        <w:t xml:space="preserve"> as it was expected that the</w:t>
      </w:r>
      <w:r w:rsidR="00F21C12">
        <w:rPr>
          <w:rFonts w:asciiTheme="minorHAnsi" w:hAnsiTheme="minorHAnsi"/>
          <w:snapToGrid w:val="0"/>
          <w:lang w:val="en-GB"/>
        </w:rPr>
        <w:t xml:space="preserve"> OS</w:t>
      </w:r>
      <w:r w:rsidR="008476AA" w:rsidRPr="00237330">
        <w:rPr>
          <w:rFonts w:asciiTheme="minorHAnsi" w:hAnsiTheme="minorHAnsi"/>
          <w:snapToGrid w:val="0"/>
          <w:lang w:val="en-GB"/>
        </w:rPr>
        <w:t xml:space="preserve"> data would remain immature at the final data-cut. Further, the PBAC noted that much of the uncertainty in the economic analysis would not be resolved by further data (e.g. assumptions of mortality in subsequent health states and how treatment suspension may be implemented in clinical practice)</w:t>
      </w:r>
      <w:r w:rsidRPr="00237330">
        <w:rPr>
          <w:rFonts w:asciiTheme="minorHAnsi" w:hAnsiTheme="minorHAnsi"/>
          <w:snapToGrid w:val="0"/>
          <w:lang w:val="en-GB"/>
        </w:rPr>
        <w:t>.</w:t>
      </w:r>
      <w:r w:rsidR="00624FA3" w:rsidRPr="00237330">
        <w:rPr>
          <w:rFonts w:asciiTheme="minorHAnsi" w:hAnsiTheme="minorHAnsi"/>
          <w:snapToGrid w:val="0"/>
          <w:lang w:val="en-GB"/>
        </w:rPr>
        <w:t xml:space="preserve"> The PBAC recommended that any future submission should consider how treatment in the m0HSPC setting could join the current RSA for mHSPC for the reasons outlined in paragraph </w:t>
      </w:r>
      <w:r w:rsidR="00624FA3" w:rsidRPr="00237330">
        <w:rPr>
          <w:rFonts w:asciiTheme="minorHAnsi" w:hAnsiTheme="minorHAnsi"/>
          <w:snapToGrid w:val="0"/>
          <w:lang w:val="en-GB"/>
        </w:rPr>
        <w:fldChar w:fldCharType="begin" w:fldLock="1"/>
      </w:r>
      <w:r w:rsidR="00624FA3" w:rsidRPr="00237330">
        <w:rPr>
          <w:rFonts w:asciiTheme="minorHAnsi" w:hAnsiTheme="minorHAnsi"/>
          <w:snapToGrid w:val="0"/>
          <w:lang w:val="en-GB"/>
        </w:rPr>
        <w:instrText xml:space="preserve"> REF _Ref183010261 \r \h </w:instrText>
      </w:r>
      <w:r w:rsidR="00624FA3" w:rsidRPr="00237330">
        <w:rPr>
          <w:rFonts w:asciiTheme="minorHAnsi" w:hAnsiTheme="minorHAnsi"/>
          <w:snapToGrid w:val="0"/>
          <w:lang w:val="en-GB"/>
        </w:rPr>
      </w:r>
      <w:r w:rsidR="00624FA3" w:rsidRPr="00237330">
        <w:rPr>
          <w:rFonts w:asciiTheme="minorHAnsi" w:hAnsiTheme="minorHAnsi"/>
          <w:snapToGrid w:val="0"/>
          <w:lang w:val="en-GB"/>
        </w:rPr>
        <w:fldChar w:fldCharType="separate"/>
      </w:r>
      <w:r w:rsidR="00C02E47">
        <w:rPr>
          <w:rFonts w:asciiTheme="minorHAnsi" w:hAnsiTheme="minorHAnsi"/>
          <w:snapToGrid w:val="0"/>
          <w:lang w:val="en-GB"/>
        </w:rPr>
        <w:t>6.76</w:t>
      </w:r>
      <w:r w:rsidR="00624FA3" w:rsidRPr="00237330">
        <w:rPr>
          <w:rFonts w:asciiTheme="minorHAnsi" w:hAnsiTheme="minorHAnsi"/>
          <w:snapToGrid w:val="0"/>
          <w:lang w:val="en-GB"/>
        </w:rPr>
        <w:fldChar w:fldCharType="end"/>
      </w:r>
      <w:r w:rsidR="00624FA3" w:rsidRPr="00237330">
        <w:rPr>
          <w:rFonts w:asciiTheme="minorHAnsi" w:hAnsiTheme="minorHAnsi"/>
          <w:snapToGrid w:val="0"/>
          <w:lang w:val="en-GB"/>
        </w:rPr>
        <w:t>.</w:t>
      </w:r>
      <w:bookmarkEnd w:id="87"/>
    </w:p>
    <w:p w14:paraId="6B7F788A" w14:textId="50773C86" w:rsidR="00DF24EF" w:rsidRDefault="00DF24EF" w:rsidP="00E16BBF">
      <w:pPr>
        <w:widowControl w:val="0"/>
        <w:numPr>
          <w:ilvl w:val="1"/>
          <w:numId w:val="1"/>
        </w:numPr>
        <w:spacing w:after="120"/>
        <w:rPr>
          <w:rFonts w:asciiTheme="minorHAnsi" w:hAnsiTheme="minorHAnsi"/>
          <w:snapToGrid w:val="0"/>
          <w:lang w:val="en-GB"/>
        </w:rPr>
      </w:pPr>
      <w:bookmarkStart w:id="88" w:name="_Ref183010828"/>
      <w:r>
        <w:rPr>
          <w:rFonts w:asciiTheme="minorHAnsi" w:hAnsiTheme="minorHAnsi"/>
          <w:snapToGrid w:val="0"/>
          <w:lang w:val="en-GB"/>
        </w:rPr>
        <w:t>The PBAC considered that any future restrictions should:</w:t>
      </w:r>
      <w:bookmarkEnd w:id="88"/>
    </w:p>
    <w:p w14:paraId="07BA19BB" w14:textId="0739CFB3" w:rsidR="00DF24EF" w:rsidRDefault="005420F7" w:rsidP="00DF24EF">
      <w:pPr>
        <w:widowControl w:val="0"/>
        <w:numPr>
          <w:ilvl w:val="1"/>
          <w:numId w:val="37"/>
        </w:numPr>
        <w:spacing w:after="120"/>
        <w:ind w:left="1080"/>
        <w:rPr>
          <w:rFonts w:asciiTheme="minorHAnsi" w:hAnsiTheme="minorHAnsi"/>
          <w:snapToGrid w:val="0"/>
          <w:lang w:val="en-GB"/>
        </w:rPr>
      </w:pPr>
      <w:r>
        <w:rPr>
          <w:rFonts w:asciiTheme="minorHAnsi" w:hAnsiTheme="minorHAnsi"/>
          <w:snapToGrid w:val="0"/>
          <w:lang w:val="en-GB"/>
        </w:rPr>
        <w:t>r</w:t>
      </w:r>
      <w:r w:rsidR="00DF24EF">
        <w:rPr>
          <w:rFonts w:asciiTheme="minorHAnsi" w:hAnsiTheme="minorHAnsi"/>
          <w:snapToGrid w:val="0"/>
          <w:lang w:val="en-GB"/>
        </w:rPr>
        <w:t xml:space="preserve">equire that enzalutamide is combined with ADT unless patients are contraindicated or intolerant to </w:t>
      </w:r>
      <w:proofErr w:type="gramStart"/>
      <w:r w:rsidR="00DF24EF">
        <w:rPr>
          <w:rFonts w:asciiTheme="minorHAnsi" w:hAnsiTheme="minorHAnsi"/>
          <w:snapToGrid w:val="0"/>
          <w:lang w:val="en-GB"/>
        </w:rPr>
        <w:t>ADT;</w:t>
      </w:r>
      <w:proofErr w:type="gramEnd"/>
    </w:p>
    <w:p w14:paraId="5BCFA033" w14:textId="4FE1B6F4" w:rsidR="00DF24EF" w:rsidRDefault="005420F7" w:rsidP="00DF24EF">
      <w:pPr>
        <w:widowControl w:val="0"/>
        <w:numPr>
          <w:ilvl w:val="1"/>
          <w:numId w:val="37"/>
        </w:numPr>
        <w:spacing w:after="120"/>
        <w:ind w:left="1080"/>
        <w:rPr>
          <w:rFonts w:asciiTheme="minorHAnsi" w:hAnsiTheme="minorHAnsi"/>
          <w:snapToGrid w:val="0"/>
          <w:lang w:val="en-GB"/>
        </w:rPr>
      </w:pPr>
      <w:r>
        <w:rPr>
          <w:rFonts w:asciiTheme="minorHAnsi" w:hAnsiTheme="minorHAnsi"/>
          <w:snapToGrid w:val="0"/>
          <w:lang w:val="en-GB"/>
        </w:rPr>
        <w:t>a</w:t>
      </w:r>
      <w:r w:rsidR="00DF24EF">
        <w:rPr>
          <w:rFonts w:asciiTheme="minorHAnsi" w:hAnsiTheme="minorHAnsi"/>
          <w:snapToGrid w:val="0"/>
          <w:lang w:val="en-GB"/>
        </w:rPr>
        <w:t xml:space="preserve">lign with the EMBARK trial in terms of PSA inclusion criteria, BCR after prior local therapy and candidacy for salvage </w:t>
      </w:r>
      <w:proofErr w:type="gramStart"/>
      <w:r w:rsidR="00DF24EF">
        <w:rPr>
          <w:rFonts w:asciiTheme="minorHAnsi" w:hAnsiTheme="minorHAnsi"/>
          <w:snapToGrid w:val="0"/>
          <w:lang w:val="en-GB"/>
        </w:rPr>
        <w:t>radiotherapy;</w:t>
      </w:r>
      <w:proofErr w:type="gramEnd"/>
    </w:p>
    <w:p w14:paraId="42DC485E" w14:textId="21349FEF" w:rsidR="00DF24EF" w:rsidRDefault="005420F7" w:rsidP="00DF24EF">
      <w:pPr>
        <w:widowControl w:val="0"/>
        <w:numPr>
          <w:ilvl w:val="1"/>
          <w:numId w:val="37"/>
        </w:numPr>
        <w:spacing w:after="120"/>
        <w:ind w:left="1080"/>
        <w:rPr>
          <w:rFonts w:asciiTheme="minorHAnsi" w:hAnsiTheme="minorHAnsi"/>
          <w:snapToGrid w:val="0"/>
          <w:lang w:val="en-GB"/>
        </w:rPr>
      </w:pPr>
      <w:r>
        <w:rPr>
          <w:rFonts w:asciiTheme="minorHAnsi" w:hAnsiTheme="minorHAnsi"/>
          <w:snapToGrid w:val="0"/>
          <w:lang w:val="en-GB"/>
        </w:rPr>
        <w:t>n</w:t>
      </w:r>
      <w:r w:rsidR="00DF24EF">
        <w:rPr>
          <w:rFonts w:asciiTheme="minorHAnsi" w:hAnsiTheme="minorHAnsi"/>
          <w:snapToGrid w:val="0"/>
          <w:lang w:val="en-GB"/>
        </w:rPr>
        <w:t>ot define the type of imaging required, but include a statement specifying that treatment under the indication is only in patients with no evidence of metastases; and</w:t>
      </w:r>
    </w:p>
    <w:p w14:paraId="597575AF" w14:textId="7AE85FE0" w:rsidR="00DF24EF" w:rsidRDefault="005420F7" w:rsidP="00DF24EF">
      <w:pPr>
        <w:widowControl w:val="0"/>
        <w:numPr>
          <w:ilvl w:val="1"/>
          <w:numId w:val="37"/>
        </w:numPr>
        <w:spacing w:after="120"/>
        <w:ind w:left="1080"/>
        <w:rPr>
          <w:rFonts w:asciiTheme="minorHAnsi" w:hAnsiTheme="minorHAnsi"/>
          <w:snapToGrid w:val="0"/>
          <w:lang w:val="en-GB"/>
        </w:rPr>
      </w:pPr>
      <w:r>
        <w:rPr>
          <w:rFonts w:asciiTheme="minorHAnsi" w:hAnsiTheme="minorHAnsi"/>
          <w:snapToGrid w:val="0"/>
          <w:lang w:val="en-GB"/>
        </w:rPr>
        <w:t>a</w:t>
      </w:r>
      <w:r w:rsidR="00DF24EF">
        <w:rPr>
          <w:rFonts w:asciiTheme="minorHAnsi" w:hAnsiTheme="minorHAnsi"/>
          <w:snapToGrid w:val="0"/>
          <w:lang w:val="en-GB"/>
        </w:rPr>
        <w:t>llow treatment suspension and provide information on when treatment suspension and treatment reinitiation should occur.</w:t>
      </w:r>
    </w:p>
    <w:bookmarkEnd w:id="76"/>
    <w:p w14:paraId="6EF6D231" w14:textId="7737237B" w:rsidR="00624FA3" w:rsidRPr="00C02E47" w:rsidRDefault="00624FA3" w:rsidP="00E16BBF">
      <w:pPr>
        <w:widowControl w:val="0"/>
        <w:numPr>
          <w:ilvl w:val="1"/>
          <w:numId w:val="1"/>
        </w:numPr>
        <w:spacing w:after="120"/>
        <w:rPr>
          <w:rFonts w:asciiTheme="minorHAnsi" w:hAnsiTheme="minorHAnsi"/>
          <w:bCs/>
          <w:snapToGrid w:val="0"/>
          <w:lang w:val="en-GB"/>
        </w:rPr>
      </w:pPr>
      <w:r w:rsidRPr="00C02E47">
        <w:rPr>
          <w:rFonts w:asciiTheme="minorHAnsi" w:hAnsiTheme="minorHAnsi"/>
          <w:bCs/>
          <w:snapToGrid w:val="0"/>
          <w:lang w:val="en-GB"/>
        </w:rPr>
        <w:t>The PBAC considered that a resubmission for enzalutamide should address the issues relating to:</w:t>
      </w:r>
    </w:p>
    <w:p w14:paraId="5AD4C806" w14:textId="1E0DFC8D" w:rsidR="00624FA3" w:rsidRPr="00C02E47" w:rsidRDefault="005420F7" w:rsidP="00624FA3">
      <w:pPr>
        <w:widowControl w:val="0"/>
        <w:numPr>
          <w:ilvl w:val="1"/>
          <w:numId w:val="38"/>
        </w:numPr>
        <w:spacing w:after="120"/>
        <w:ind w:left="1080"/>
        <w:rPr>
          <w:rFonts w:asciiTheme="minorHAnsi" w:hAnsiTheme="minorHAnsi"/>
          <w:bCs/>
          <w:snapToGrid w:val="0"/>
          <w:lang w:val="en-GB"/>
        </w:rPr>
      </w:pPr>
      <w:r w:rsidRPr="00C02E47">
        <w:rPr>
          <w:rFonts w:asciiTheme="minorHAnsi" w:hAnsiTheme="minorHAnsi"/>
          <w:bCs/>
          <w:snapToGrid w:val="0"/>
          <w:lang w:val="en-GB"/>
        </w:rPr>
        <w:t>t</w:t>
      </w:r>
      <w:r w:rsidR="00624FA3" w:rsidRPr="00C02E47">
        <w:rPr>
          <w:rFonts w:asciiTheme="minorHAnsi" w:hAnsiTheme="minorHAnsi"/>
          <w:bCs/>
          <w:snapToGrid w:val="0"/>
          <w:lang w:val="en-GB"/>
        </w:rPr>
        <w:t>he economic model, as outlined in paragraph</w:t>
      </w:r>
      <w:r w:rsidR="00C02E47" w:rsidRPr="00C02E47">
        <w:rPr>
          <w:rFonts w:asciiTheme="minorHAnsi" w:hAnsiTheme="minorHAnsi"/>
          <w:bCs/>
          <w:snapToGrid w:val="0"/>
          <w:lang w:val="en-GB"/>
        </w:rPr>
        <w:t xml:space="preserve">s </w:t>
      </w:r>
      <w:r w:rsidR="00C02E47" w:rsidRPr="00C02E47">
        <w:rPr>
          <w:rFonts w:asciiTheme="minorHAnsi" w:hAnsiTheme="minorHAnsi"/>
          <w:bCs/>
          <w:snapToGrid w:val="0"/>
          <w:lang w:val="en-GB"/>
        </w:rPr>
        <w:fldChar w:fldCharType="begin" w:fldLock="1"/>
      </w:r>
      <w:r w:rsidR="00C02E47" w:rsidRPr="00C02E47">
        <w:rPr>
          <w:rFonts w:asciiTheme="minorHAnsi" w:hAnsiTheme="minorHAnsi"/>
          <w:bCs/>
          <w:snapToGrid w:val="0"/>
          <w:lang w:val="en-GB"/>
        </w:rPr>
        <w:instrText xml:space="preserve"> REF _Ref184730375 \r \h </w:instrText>
      </w:r>
      <w:r w:rsidR="00C02E47">
        <w:rPr>
          <w:rFonts w:asciiTheme="minorHAnsi" w:hAnsiTheme="minorHAnsi"/>
          <w:bCs/>
          <w:snapToGrid w:val="0"/>
          <w:lang w:val="en-GB"/>
        </w:rPr>
        <w:instrText xml:space="preserve"> \* MERGEFORMAT </w:instrText>
      </w:r>
      <w:r w:rsidR="00C02E47" w:rsidRPr="00C02E47">
        <w:rPr>
          <w:rFonts w:asciiTheme="minorHAnsi" w:hAnsiTheme="minorHAnsi"/>
          <w:bCs/>
          <w:snapToGrid w:val="0"/>
          <w:lang w:val="en-GB"/>
        </w:rPr>
      </w:r>
      <w:r w:rsidR="00C02E47" w:rsidRPr="00C02E47">
        <w:rPr>
          <w:rFonts w:asciiTheme="minorHAnsi" w:hAnsiTheme="minorHAnsi"/>
          <w:bCs/>
          <w:snapToGrid w:val="0"/>
          <w:lang w:val="en-GB"/>
        </w:rPr>
        <w:fldChar w:fldCharType="separate"/>
      </w:r>
      <w:r w:rsidR="00C02E47" w:rsidRPr="00C02E47">
        <w:rPr>
          <w:rFonts w:asciiTheme="minorHAnsi" w:hAnsiTheme="minorHAnsi"/>
          <w:bCs/>
          <w:snapToGrid w:val="0"/>
          <w:lang w:val="en-GB"/>
        </w:rPr>
        <w:t>7.13</w:t>
      </w:r>
      <w:r w:rsidR="00C02E47" w:rsidRPr="00C02E47">
        <w:rPr>
          <w:rFonts w:asciiTheme="minorHAnsi" w:hAnsiTheme="minorHAnsi"/>
          <w:bCs/>
          <w:snapToGrid w:val="0"/>
          <w:lang w:val="en-GB"/>
        </w:rPr>
        <w:fldChar w:fldCharType="end"/>
      </w:r>
      <w:r w:rsidR="00C02E47" w:rsidRPr="00C02E47">
        <w:rPr>
          <w:rFonts w:asciiTheme="minorHAnsi" w:hAnsiTheme="minorHAnsi"/>
          <w:bCs/>
          <w:snapToGrid w:val="0"/>
          <w:lang w:val="en-GB"/>
        </w:rPr>
        <w:t xml:space="preserve"> and </w:t>
      </w:r>
      <w:r w:rsidR="00C02E47" w:rsidRPr="00C02E47">
        <w:rPr>
          <w:rFonts w:asciiTheme="minorHAnsi" w:hAnsiTheme="minorHAnsi"/>
          <w:bCs/>
          <w:snapToGrid w:val="0"/>
          <w:lang w:val="en-GB"/>
        </w:rPr>
        <w:fldChar w:fldCharType="begin" w:fldLock="1"/>
      </w:r>
      <w:r w:rsidR="00C02E47" w:rsidRPr="00C02E47">
        <w:rPr>
          <w:rFonts w:asciiTheme="minorHAnsi" w:hAnsiTheme="minorHAnsi"/>
          <w:bCs/>
          <w:snapToGrid w:val="0"/>
          <w:lang w:val="en-GB"/>
        </w:rPr>
        <w:instrText xml:space="preserve"> REF _Ref183010699 \r \h </w:instrText>
      </w:r>
      <w:r w:rsidR="00C02E47">
        <w:rPr>
          <w:rFonts w:asciiTheme="minorHAnsi" w:hAnsiTheme="minorHAnsi"/>
          <w:bCs/>
          <w:snapToGrid w:val="0"/>
          <w:lang w:val="en-GB"/>
        </w:rPr>
        <w:instrText xml:space="preserve"> \* MERGEFORMAT </w:instrText>
      </w:r>
      <w:r w:rsidR="00C02E47" w:rsidRPr="00C02E47">
        <w:rPr>
          <w:rFonts w:asciiTheme="minorHAnsi" w:hAnsiTheme="minorHAnsi"/>
          <w:bCs/>
          <w:snapToGrid w:val="0"/>
          <w:lang w:val="en-GB"/>
        </w:rPr>
      </w:r>
      <w:r w:rsidR="00C02E47" w:rsidRPr="00C02E47">
        <w:rPr>
          <w:rFonts w:asciiTheme="minorHAnsi" w:hAnsiTheme="minorHAnsi"/>
          <w:bCs/>
          <w:snapToGrid w:val="0"/>
          <w:lang w:val="en-GB"/>
        </w:rPr>
        <w:fldChar w:fldCharType="separate"/>
      </w:r>
      <w:r w:rsidR="00C02E47" w:rsidRPr="00C02E47">
        <w:rPr>
          <w:rFonts w:asciiTheme="minorHAnsi" w:hAnsiTheme="minorHAnsi"/>
          <w:bCs/>
          <w:snapToGrid w:val="0"/>
          <w:lang w:val="en-GB"/>
        </w:rPr>
        <w:t>7.14</w:t>
      </w:r>
      <w:r w:rsidR="00C02E47" w:rsidRPr="00C02E47">
        <w:rPr>
          <w:rFonts w:asciiTheme="minorHAnsi" w:hAnsiTheme="minorHAnsi"/>
          <w:bCs/>
          <w:snapToGrid w:val="0"/>
          <w:lang w:val="en-GB"/>
        </w:rPr>
        <w:fldChar w:fldCharType="end"/>
      </w:r>
      <w:r w:rsidR="00C02E47" w:rsidRPr="00C02E47">
        <w:rPr>
          <w:rFonts w:asciiTheme="minorHAnsi" w:hAnsiTheme="minorHAnsi"/>
          <w:bCs/>
          <w:snapToGrid w:val="0"/>
          <w:lang w:val="en-GB"/>
        </w:rPr>
        <w:t>;</w:t>
      </w:r>
    </w:p>
    <w:p w14:paraId="5B92D94C" w14:textId="715C1533" w:rsidR="00624FA3" w:rsidRPr="00C02E47" w:rsidRDefault="005420F7" w:rsidP="00624FA3">
      <w:pPr>
        <w:widowControl w:val="0"/>
        <w:numPr>
          <w:ilvl w:val="1"/>
          <w:numId w:val="38"/>
        </w:numPr>
        <w:spacing w:after="120"/>
        <w:ind w:left="1080"/>
        <w:rPr>
          <w:rFonts w:asciiTheme="minorHAnsi" w:hAnsiTheme="minorHAnsi"/>
          <w:bCs/>
          <w:snapToGrid w:val="0"/>
          <w:lang w:val="en-GB"/>
        </w:rPr>
      </w:pPr>
      <w:r w:rsidRPr="00C02E47">
        <w:rPr>
          <w:rFonts w:asciiTheme="minorHAnsi" w:hAnsiTheme="minorHAnsi"/>
          <w:bCs/>
          <w:snapToGrid w:val="0"/>
          <w:lang w:val="en-GB"/>
        </w:rPr>
        <w:t>t</w:t>
      </w:r>
      <w:r w:rsidR="00624FA3" w:rsidRPr="00C02E47">
        <w:rPr>
          <w:rFonts w:asciiTheme="minorHAnsi" w:hAnsiTheme="minorHAnsi"/>
          <w:bCs/>
          <w:snapToGrid w:val="0"/>
          <w:lang w:val="en-GB"/>
        </w:rPr>
        <w:t>he utilisation and financial impact estimates, as outlined in paragraphs</w:t>
      </w:r>
      <w:r w:rsidR="00C02E47" w:rsidRPr="00C02E47">
        <w:rPr>
          <w:rFonts w:asciiTheme="minorHAnsi" w:hAnsiTheme="minorHAnsi"/>
          <w:bCs/>
          <w:snapToGrid w:val="0"/>
          <w:lang w:val="en-GB"/>
        </w:rPr>
        <w:t xml:space="preserve"> </w:t>
      </w:r>
      <w:r w:rsidR="00C02E47" w:rsidRPr="00C02E47">
        <w:rPr>
          <w:rFonts w:asciiTheme="minorHAnsi" w:hAnsiTheme="minorHAnsi"/>
          <w:bCs/>
          <w:snapToGrid w:val="0"/>
          <w:lang w:val="en-GB"/>
        </w:rPr>
        <w:fldChar w:fldCharType="begin" w:fldLock="1"/>
      </w:r>
      <w:r w:rsidR="00C02E47" w:rsidRPr="00C02E47">
        <w:rPr>
          <w:rFonts w:asciiTheme="minorHAnsi" w:hAnsiTheme="minorHAnsi"/>
          <w:bCs/>
          <w:snapToGrid w:val="0"/>
          <w:lang w:val="en-GB"/>
        </w:rPr>
        <w:instrText xml:space="preserve"> REF _Ref184730411 \r \h </w:instrText>
      </w:r>
      <w:r w:rsidR="00C02E47">
        <w:rPr>
          <w:rFonts w:asciiTheme="minorHAnsi" w:hAnsiTheme="minorHAnsi"/>
          <w:bCs/>
          <w:snapToGrid w:val="0"/>
          <w:lang w:val="en-GB"/>
        </w:rPr>
        <w:instrText xml:space="preserve"> \* MERGEFORMAT </w:instrText>
      </w:r>
      <w:r w:rsidR="00C02E47" w:rsidRPr="00C02E47">
        <w:rPr>
          <w:rFonts w:asciiTheme="minorHAnsi" w:hAnsiTheme="minorHAnsi"/>
          <w:bCs/>
          <w:snapToGrid w:val="0"/>
          <w:lang w:val="en-GB"/>
        </w:rPr>
      </w:r>
      <w:r w:rsidR="00C02E47" w:rsidRPr="00C02E47">
        <w:rPr>
          <w:rFonts w:asciiTheme="minorHAnsi" w:hAnsiTheme="minorHAnsi"/>
          <w:bCs/>
          <w:snapToGrid w:val="0"/>
          <w:lang w:val="en-GB"/>
        </w:rPr>
        <w:fldChar w:fldCharType="separate"/>
      </w:r>
      <w:r w:rsidR="00C02E47" w:rsidRPr="00C02E47">
        <w:rPr>
          <w:rFonts w:asciiTheme="minorHAnsi" w:hAnsiTheme="minorHAnsi"/>
          <w:bCs/>
          <w:snapToGrid w:val="0"/>
          <w:lang w:val="en-GB"/>
        </w:rPr>
        <w:t>7.15</w:t>
      </w:r>
      <w:r w:rsidR="00C02E47" w:rsidRPr="00C02E47">
        <w:rPr>
          <w:rFonts w:asciiTheme="minorHAnsi" w:hAnsiTheme="minorHAnsi"/>
          <w:bCs/>
          <w:snapToGrid w:val="0"/>
          <w:lang w:val="en-GB"/>
        </w:rPr>
        <w:fldChar w:fldCharType="end"/>
      </w:r>
      <w:r w:rsidR="00692E07">
        <w:rPr>
          <w:rFonts w:asciiTheme="minorHAnsi" w:hAnsiTheme="minorHAnsi"/>
          <w:bCs/>
          <w:snapToGrid w:val="0"/>
          <w:lang w:val="en-GB"/>
        </w:rPr>
        <w:t>,</w:t>
      </w:r>
      <w:r w:rsidR="00C02E47" w:rsidRPr="00C02E47">
        <w:rPr>
          <w:rFonts w:asciiTheme="minorHAnsi" w:hAnsiTheme="minorHAnsi"/>
          <w:bCs/>
          <w:snapToGrid w:val="0"/>
          <w:lang w:val="en-GB"/>
        </w:rPr>
        <w:t xml:space="preserve"> </w:t>
      </w:r>
      <w:r w:rsidR="00C02E47" w:rsidRPr="00C02E47">
        <w:rPr>
          <w:rFonts w:asciiTheme="minorHAnsi" w:hAnsiTheme="minorHAnsi"/>
          <w:bCs/>
          <w:snapToGrid w:val="0"/>
          <w:lang w:val="en-GB"/>
        </w:rPr>
        <w:fldChar w:fldCharType="begin" w:fldLock="1"/>
      </w:r>
      <w:r w:rsidR="00C02E47" w:rsidRPr="00C02E47">
        <w:rPr>
          <w:rFonts w:asciiTheme="minorHAnsi" w:hAnsiTheme="minorHAnsi"/>
          <w:bCs/>
          <w:snapToGrid w:val="0"/>
          <w:lang w:val="en-GB"/>
        </w:rPr>
        <w:instrText xml:space="preserve"> REF _Ref184730414 \r \h </w:instrText>
      </w:r>
      <w:r w:rsidR="00C02E47">
        <w:rPr>
          <w:rFonts w:asciiTheme="minorHAnsi" w:hAnsiTheme="minorHAnsi"/>
          <w:bCs/>
          <w:snapToGrid w:val="0"/>
          <w:lang w:val="en-GB"/>
        </w:rPr>
        <w:instrText xml:space="preserve"> \* MERGEFORMAT </w:instrText>
      </w:r>
      <w:r w:rsidR="00C02E47" w:rsidRPr="00C02E47">
        <w:rPr>
          <w:rFonts w:asciiTheme="minorHAnsi" w:hAnsiTheme="minorHAnsi"/>
          <w:bCs/>
          <w:snapToGrid w:val="0"/>
          <w:lang w:val="en-GB"/>
        </w:rPr>
      </w:r>
      <w:r w:rsidR="00C02E47" w:rsidRPr="00C02E47">
        <w:rPr>
          <w:rFonts w:asciiTheme="minorHAnsi" w:hAnsiTheme="minorHAnsi"/>
          <w:bCs/>
          <w:snapToGrid w:val="0"/>
          <w:lang w:val="en-GB"/>
        </w:rPr>
        <w:fldChar w:fldCharType="separate"/>
      </w:r>
      <w:r w:rsidR="00C02E47" w:rsidRPr="00C02E47">
        <w:rPr>
          <w:rFonts w:asciiTheme="minorHAnsi" w:hAnsiTheme="minorHAnsi"/>
          <w:bCs/>
          <w:snapToGrid w:val="0"/>
          <w:lang w:val="en-GB"/>
        </w:rPr>
        <w:t>7.16</w:t>
      </w:r>
      <w:r w:rsidR="00C02E47" w:rsidRPr="00C02E47">
        <w:rPr>
          <w:rFonts w:asciiTheme="minorHAnsi" w:hAnsiTheme="minorHAnsi"/>
          <w:bCs/>
          <w:snapToGrid w:val="0"/>
          <w:lang w:val="en-GB"/>
        </w:rPr>
        <w:fldChar w:fldCharType="end"/>
      </w:r>
      <w:r w:rsidR="00692E07">
        <w:rPr>
          <w:rFonts w:asciiTheme="minorHAnsi" w:hAnsiTheme="minorHAnsi"/>
          <w:bCs/>
          <w:snapToGrid w:val="0"/>
          <w:lang w:val="en-GB"/>
        </w:rPr>
        <w:t xml:space="preserve"> and </w:t>
      </w:r>
      <w:r w:rsidR="00692E07">
        <w:rPr>
          <w:rFonts w:asciiTheme="minorHAnsi" w:hAnsiTheme="minorHAnsi"/>
          <w:bCs/>
          <w:snapToGrid w:val="0"/>
          <w:lang w:val="en-GB"/>
        </w:rPr>
        <w:fldChar w:fldCharType="begin" w:fldLock="1"/>
      </w:r>
      <w:r w:rsidR="00692E07">
        <w:rPr>
          <w:rFonts w:asciiTheme="minorHAnsi" w:hAnsiTheme="minorHAnsi"/>
          <w:bCs/>
          <w:snapToGrid w:val="0"/>
          <w:lang w:val="en-GB"/>
        </w:rPr>
        <w:instrText xml:space="preserve"> REF _Ref184811699 \r \h </w:instrText>
      </w:r>
      <w:r w:rsidR="00692E07">
        <w:rPr>
          <w:rFonts w:asciiTheme="minorHAnsi" w:hAnsiTheme="minorHAnsi"/>
          <w:bCs/>
          <w:snapToGrid w:val="0"/>
          <w:lang w:val="en-GB"/>
        </w:rPr>
      </w:r>
      <w:r w:rsidR="00692E07">
        <w:rPr>
          <w:rFonts w:asciiTheme="minorHAnsi" w:hAnsiTheme="minorHAnsi"/>
          <w:bCs/>
          <w:snapToGrid w:val="0"/>
          <w:lang w:val="en-GB"/>
        </w:rPr>
        <w:fldChar w:fldCharType="separate"/>
      </w:r>
      <w:r w:rsidR="00692E07">
        <w:rPr>
          <w:rFonts w:asciiTheme="minorHAnsi" w:hAnsiTheme="minorHAnsi"/>
          <w:bCs/>
          <w:snapToGrid w:val="0"/>
          <w:lang w:val="en-GB"/>
        </w:rPr>
        <w:t>7.17</w:t>
      </w:r>
      <w:r w:rsidR="00692E07">
        <w:rPr>
          <w:rFonts w:asciiTheme="minorHAnsi" w:hAnsiTheme="minorHAnsi"/>
          <w:bCs/>
          <w:snapToGrid w:val="0"/>
          <w:lang w:val="en-GB"/>
        </w:rPr>
        <w:fldChar w:fldCharType="end"/>
      </w:r>
      <w:r w:rsidR="00624FA3" w:rsidRPr="00C02E47">
        <w:rPr>
          <w:rFonts w:asciiTheme="minorHAnsi" w:hAnsiTheme="minorHAnsi"/>
          <w:bCs/>
          <w:snapToGrid w:val="0"/>
          <w:lang w:val="en-GB"/>
        </w:rPr>
        <w:t xml:space="preserve">; </w:t>
      </w:r>
    </w:p>
    <w:p w14:paraId="6E24434F" w14:textId="6E82DB78" w:rsidR="00624FA3" w:rsidRPr="00C02E47" w:rsidRDefault="005420F7" w:rsidP="00624FA3">
      <w:pPr>
        <w:widowControl w:val="0"/>
        <w:numPr>
          <w:ilvl w:val="1"/>
          <w:numId w:val="38"/>
        </w:numPr>
        <w:spacing w:after="120"/>
        <w:ind w:left="1080"/>
        <w:rPr>
          <w:rFonts w:asciiTheme="minorHAnsi" w:hAnsiTheme="minorHAnsi"/>
          <w:bCs/>
          <w:snapToGrid w:val="0"/>
          <w:lang w:val="en-GB"/>
        </w:rPr>
      </w:pPr>
      <w:r w:rsidRPr="00C02E47">
        <w:rPr>
          <w:rFonts w:asciiTheme="minorHAnsi" w:hAnsiTheme="minorHAnsi"/>
          <w:bCs/>
          <w:snapToGrid w:val="0"/>
          <w:lang w:val="en-GB"/>
        </w:rPr>
        <w:t>a</w:t>
      </w:r>
      <w:r w:rsidR="00624FA3" w:rsidRPr="00C02E47">
        <w:rPr>
          <w:rFonts w:asciiTheme="minorHAnsi" w:hAnsiTheme="minorHAnsi"/>
          <w:bCs/>
          <w:snapToGrid w:val="0"/>
          <w:lang w:val="en-GB"/>
        </w:rPr>
        <w:t xml:space="preserve"> proposed RSA, as outlined in paragraph </w:t>
      </w:r>
      <w:r w:rsidR="00624FA3" w:rsidRPr="00C02E47">
        <w:rPr>
          <w:rFonts w:asciiTheme="minorHAnsi" w:hAnsiTheme="minorHAnsi"/>
          <w:bCs/>
          <w:snapToGrid w:val="0"/>
          <w:lang w:val="en-GB"/>
        </w:rPr>
        <w:fldChar w:fldCharType="begin" w:fldLock="1"/>
      </w:r>
      <w:r w:rsidR="00624FA3" w:rsidRPr="00C02E47">
        <w:rPr>
          <w:rFonts w:asciiTheme="minorHAnsi" w:hAnsiTheme="minorHAnsi"/>
          <w:bCs/>
          <w:snapToGrid w:val="0"/>
          <w:lang w:val="en-GB"/>
        </w:rPr>
        <w:instrText xml:space="preserve"> REF _Ref183010805 \r \h </w:instrText>
      </w:r>
      <w:r w:rsidR="00C02E47" w:rsidRPr="00C02E47">
        <w:rPr>
          <w:rFonts w:asciiTheme="minorHAnsi" w:hAnsiTheme="minorHAnsi"/>
          <w:bCs/>
          <w:snapToGrid w:val="0"/>
          <w:lang w:val="en-GB"/>
        </w:rPr>
        <w:instrText xml:space="preserve"> \* MERGEFORMAT </w:instrText>
      </w:r>
      <w:r w:rsidR="00624FA3" w:rsidRPr="00C02E47">
        <w:rPr>
          <w:rFonts w:asciiTheme="minorHAnsi" w:hAnsiTheme="minorHAnsi"/>
          <w:bCs/>
          <w:snapToGrid w:val="0"/>
          <w:lang w:val="en-GB"/>
        </w:rPr>
      </w:r>
      <w:r w:rsidR="00624FA3" w:rsidRPr="00C02E47">
        <w:rPr>
          <w:rFonts w:asciiTheme="minorHAnsi" w:hAnsiTheme="minorHAnsi"/>
          <w:bCs/>
          <w:snapToGrid w:val="0"/>
          <w:lang w:val="en-GB"/>
        </w:rPr>
        <w:fldChar w:fldCharType="separate"/>
      </w:r>
      <w:r w:rsidR="00C02E47" w:rsidRPr="00C02E47">
        <w:rPr>
          <w:rFonts w:asciiTheme="minorHAnsi" w:hAnsiTheme="minorHAnsi"/>
          <w:bCs/>
          <w:snapToGrid w:val="0"/>
          <w:lang w:val="en-GB"/>
        </w:rPr>
        <w:t>7.18</w:t>
      </w:r>
      <w:r w:rsidR="00624FA3" w:rsidRPr="00C02E47">
        <w:rPr>
          <w:rFonts w:asciiTheme="minorHAnsi" w:hAnsiTheme="minorHAnsi"/>
          <w:bCs/>
          <w:snapToGrid w:val="0"/>
          <w:lang w:val="en-GB"/>
        </w:rPr>
        <w:fldChar w:fldCharType="end"/>
      </w:r>
      <w:r w:rsidR="00624FA3" w:rsidRPr="00C02E47">
        <w:rPr>
          <w:rFonts w:asciiTheme="minorHAnsi" w:hAnsiTheme="minorHAnsi"/>
          <w:bCs/>
          <w:snapToGrid w:val="0"/>
          <w:lang w:val="en-GB"/>
        </w:rPr>
        <w:t xml:space="preserve">; </w:t>
      </w:r>
      <w:r w:rsidRPr="00C02E47">
        <w:rPr>
          <w:rFonts w:asciiTheme="minorHAnsi" w:hAnsiTheme="minorHAnsi"/>
          <w:bCs/>
          <w:snapToGrid w:val="0"/>
          <w:lang w:val="en-GB"/>
        </w:rPr>
        <w:t>and</w:t>
      </w:r>
    </w:p>
    <w:p w14:paraId="1A77B1DD" w14:textId="51FC3E5F" w:rsidR="00624FA3" w:rsidRPr="00C02E47" w:rsidRDefault="00624FA3" w:rsidP="00624FA3">
      <w:pPr>
        <w:widowControl w:val="0"/>
        <w:numPr>
          <w:ilvl w:val="1"/>
          <w:numId w:val="38"/>
        </w:numPr>
        <w:spacing w:after="120"/>
        <w:ind w:left="1080"/>
        <w:rPr>
          <w:rFonts w:asciiTheme="minorHAnsi" w:hAnsiTheme="minorHAnsi"/>
          <w:bCs/>
          <w:snapToGrid w:val="0"/>
          <w:lang w:val="en-GB"/>
        </w:rPr>
      </w:pPr>
      <w:r w:rsidRPr="00C02E47">
        <w:rPr>
          <w:rFonts w:asciiTheme="minorHAnsi" w:hAnsiTheme="minorHAnsi"/>
          <w:bCs/>
          <w:snapToGrid w:val="0"/>
          <w:lang w:val="en-GB"/>
        </w:rPr>
        <w:t xml:space="preserve">the proposed restriction, as outlined in paragraph </w:t>
      </w:r>
      <w:r w:rsidRPr="00C02E47">
        <w:rPr>
          <w:rFonts w:asciiTheme="minorHAnsi" w:hAnsiTheme="minorHAnsi"/>
          <w:bCs/>
          <w:snapToGrid w:val="0"/>
          <w:lang w:val="en-GB"/>
        </w:rPr>
        <w:fldChar w:fldCharType="begin" w:fldLock="1"/>
      </w:r>
      <w:r w:rsidRPr="00C02E47">
        <w:rPr>
          <w:rFonts w:asciiTheme="minorHAnsi" w:hAnsiTheme="minorHAnsi"/>
          <w:bCs/>
          <w:snapToGrid w:val="0"/>
          <w:lang w:val="en-GB"/>
        </w:rPr>
        <w:instrText xml:space="preserve"> REF _Ref183010828 \r \h </w:instrText>
      </w:r>
      <w:r w:rsidR="00C02E47" w:rsidRPr="00C02E47">
        <w:rPr>
          <w:rFonts w:asciiTheme="minorHAnsi" w:hAnsiTheme="minorHAnsi"/>
          <w:bCs/>
          <w:snapToGrid w:val="0"/>
          <w:lang w:val="en-GB"/>
        </w:rPr>
        <w:instrText xml:space="preserve"> \* MERGEFORMAT </w:instrText>
      </w:r>
      <w:r w:rsidRPr="00C02E47">
        <w:rPr>
          <w:rFonts w:asciiTheme="minorHAnsi" w:hAnsiTheme="minorHAnsi"/>
          <w:bCs/>
          <w:snapToGrid w:val="0"/>
          <w:lang w:val="en-GB"/>
        </w:rPr>
      </w:r>
      <w:r w:rsidRPr="00C02E47">
        <w:rPr>
          <w:rFonts w:asciiTheme="minorHAnsi" w:hAnsiTheme="minorHAnsi"/>
          <w:bCs/>
          <w:snapToGrid w:val="0"/>
          <w:lang w:val="en-GB"/>
        </w:rPr>
        <w:fldChar w:fldCharType="separate"/>
      </w:r>
      <w:r w:rsidR="00C02E47" w:rsidRPr="00C02E47">
        <w:rPr>
          <w:rFonts w:asciiTheme="minorHAnsi" w:hAnsiTheme="minorHAnsi"/>
          <w:bCs/>
          <w:snapToGrid w:val="0"/>
          <w:lang w:val="en-GB"/>
        </w:rPr>
        <w:t>7.19</w:t>
      </w:r>
      <w:r w:rsidRPr="00C02E47">
        <w:rPr>
          <w:rFonts w:asciiTheme="minorHAnsi" w:hAnsiTheme="minorHAnsi"/>
          <w:bCs/>
          <w:snapToGrid w:val="0"/>
          <w:lang w:val="en-GB"/>
        </w:rPr>
        <w:fldChar w:fldCharType="end"/>
      </w:r>
      <w:r w:rsidRPr="00C02E47">
        <w:rPr>
          <w:rFonts w:asciiTheme="minorHAnsi" w:hAnsiTheme="minorHAnsi"/>
          <w:bCs/>
          <w:snapToGrid w:val="0"/>
          <w:lang w:val="en-GB"/>
        </w:rPr>
        <w:t>.</w:t>
      </w:r>
    </w:p>
    <w:p w14:paraId="3E2503EB" w14:textId="31DC5639" w:rsidR="00624FA3" w:rsidRPr="00C02E47" w:rsidRDefault="00624FA3" w:rsidP="00624FA3">
      <w:pPr>
        <w:widowControl w:val="0"/>
        <w:spacing w:after="120"/>
        <w:ind w:left="720"/>
        <w:rPr>
          <w:rFonts w:asciiTheme="minorHAnsi" w:hAnsiTheme="minorHAnsi"/>
          <w:bCs/>
          <w:snapToGrid w:val="0"/>
          <w:lang w:val="en-GB"/>
        </w:rPr>
      </w:pPr>
      <w:r w:rsidRPr="00C02E47">
        <w:rPr>
          <w:rFonts w:asciiTheme="minorHAnsi" w:hAnsiTheme="minorHAnsi"/>
          <w:bCs/>
          <w:snapToGrid w:val="0"/>
          <w:lang w:val="en-GB"/>
        </w:rPr>
        <w:t>The resubmission may be lodged at any future standard due date for PBAC submissions using the standard re-entry pathway.</w:t>
      </w:r>
    </w:p>
    <w:p w14:paraId="09B683F2" w14:textId="6E887B1E" w:rsidR="00F21C12" w:rsidRDefault="00F21C12" w:rsidP="00F21C12">
      <w:pPr>
        <w:widowControl w:val="0"/>
        <w:numPr>
          <w:ilvl w:val="1"/>
          <w:numId w:val="1"/>
        </w:numPr>
        <w:spacing w:after="120"/>
        <w:rPr>
          <w:rFonts w:asciiTheme="minorHAnsi" w:hAnsiTheme="minorHAnsi"/>
          <w:bCs/>
          <w:snapToGrid w:val="0"/>
          <w:lang w:val="en-GB"/>
        </w:rPr>
      </w:pPr>
      <w:r w:rsidRPr="00C02E47">
        <w:rPr>
          <w:rFonts w:asciiTheme="minorHAnsi" w:hAnsiTheme="minorHAnsi"/>
          <w:bCs/>
          <w:snapToGrid w:val="0"/>
          <w:lang w:val="en-GB"/>
        </w:rPr>
        <w:t>The PBAC noted</w:t>
      </w:r>
      <w:r w:rsidR="008E687D" w:rsidRPr="00C02E47">
        <w:rPr>
          <w:rFonts w:asciiTheme="minorHAnsi" w:hAnsiTheme="minorHAnsi"/>
          <w:bCs/>
          <w:snapToGrid w:val="0"/>
          <w:lang w:val="en-GB"/>
        </w:rPr>
        <w:t xml:space="preserve"> that</w:t>
      </w:r>
      <w:r w:rsidRPr="00C02E47">
        <w:rPr>
          <w:rFonts w:asciiTheme="minorHAnsi" w:hAnsiTheme="minorHAnsi"/>
          <w:bCs/>
          <w:snapToGrid w:val="0"/>
          <w:lang w:val="en-GB"/>
        </w:rPr>
        <w:t xml:space="preserve"> given the range of current and potential</w:t>
      </w:r>
      <w:r>
        <w:rPr>
          <w:rFonts w:asciiTheme="minorHAnsi" w:hAnsiTheme="minorHAnsi"/>
          <w:bCs/>
          <w:snapToGrid w:val="0"/>
          <w:lang w:val="en-GB"/>
        </w:rPr>
        <w:t xml:space="preserve"> future PBS listings for NHAs for </w:t>
      </w:r>
      <w:r w:rsidR="00C02E47">
        <w:rPr>
          <w:rFonts w:asciiTheme="minorHAnsi" w:hAnsiTheme="minorHAnsi"/>
          <w:bCs/>
          <w:snapToGrid w:val="0"/>
          <w:lang w:val="en-GB"/>
        </w:rPr>
        <w:t>prostate cancer</w:t>
      </w:r>
      <w:r>
        <w:rPr>
          <w:rFonts w:asciiTheme="minorHAnsi" w:hAnsiTheme="minorHAnsi"/>
          <w:bCs/>
          <w:snapToGrid w:val="0"/>
          <w:lang w:val="en-GB"/>
        </w:rPr>
        <w:t xml:space="preserve"> (mCRPC, m0CRPC, mHSPC and m0HSPC), as well as the potential overlap in the patient populations, that it may be possible for the restrictions to be combined and simplified. </w:t>
      </w:r>
    </w:p>
    <w:p w14:paraId="18B6DEDC" w14:textId="225B7BA4" w:rsidR="00E16BBF" w:rsidRPr="00624FA3" w:rsidRDefault="00E16BBF" w:rsidP="00624FA3">
      <w:pPr>
        <w:widowControl w:val="0"/>
        <w:numPr>
          <w:ilvl w:val="1"/>
          <w:numId w:val="1"/>
        </w:numPr>
        <w:spacing w:after="120"/>
        <w:rPr>
          <w:rFonts w:asciiTheme="minorHAnsi" w:hAnsiTheme="minorHAnsi"/>
          <w:bCs/>
          <w:snapToGrid w:val="0"/>
          <w:lang w:val="en-GB"/>
        </w:rPr>
      </w:pPr>
      <w:r w:rsidRPr="00624FA3">
        <w:rPr>
          <w:rFonts w:asciiTheme="minorHAnsi" w:hAnsiTheme="minorHAnsi"/>
          <w:bCs/>
          <w:snapToGrid w:val="0"/>
          <w:lang w:val="en-GB"/>
        </w:rPr>
        <w:t xml:space="preserve">The PBAC noted that this submission is eligible for an Independent Review. </w:t>
      </w:r>
    </w:p>
    <w:p w14:paraId="3A9053A5" w14:textId="77777777" w:rsidR="00E16BBF" w:rsidRPr="00525B39" w:rsidRDefault="00E16BBF" w:rsidP="005A1737">
      <w:pPr>
        <w:keepNext/>
        <w:spacing w:before="120"/>
        <w:rPr>
          <w:rFonts w:asciiTheme="minorHAnsi" w:hAnsiTheme="minorHAnsi"/>
          <w:b/>
          <w:bCs/>
          <w:snapToGrid w:val="0"/>
          <w:lang w:val="en-GB"/>
        </w:rPr>
      </w:pPr>
      <w:r w:rsidRPr="00525B39">
        <w:rPr>
          <w:rFonts w:asciiTheme="minorHAnsi" w:hAnsiTheme="minorHAnsi"/>
          <w:b/>
          <w:bCs/>
          <w:snapToGrid w:val="0"/>
          <w:lang w:val="en-GB"/>
        </w:rPr>
        <w:t>Outcome:</w:t>
      </w:r>
    </w:p>
    <w:p w14:paraId="4DE5C3D9" w14:textId="3DCC7F10" w:rsidR="00E16BBF" w:rsidRDefault="00E16BBF" w:rsidP="005A1737">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p w14:paraId="1DB03A1C" w14:textId="77777777" w:rsidR="009836CE" w:rsidRPr="00DE7BEE" w:rsidRDefault="009836CE" w:rsidP="009836CE">
      <w:pPr>
        <w:keepNext/>
        <w:keepLines/>
        <w:numPr>
          <w:ilvl w:val="0"/>
          <w:numId w:val="1"/>
        </w:numPr>
        <w:spacing w:after="120"/>
        <w:jc w:val="left"/>
        <w:outlineLvl w:val="0"/>
        <w:rPr>
          <w:b/>
          <w:snapToGrid w:val="0"/>
          <w:sz w:val="32"/>
          <w:szCs w:val="32"/>
          <w:lang w:eastAsia="en-US"/>
        </w:rPr>
      </w:pPr>
      <w:r w:rsidRPr="00DE7BEE">
        <w:rPr>
          <w:b/>
          <w:snapToGrid w:val="0"/>
          <w:sz w:val="32"/>
          <w:szCs w:val="32"/>
          <w:lang w:eastAsia="en-US"/>
        </w:rPr>
        <w:lastRenderedPageBreak/>
        <w:t>Context for Decision</w:t>
      </w:r>
    </w:p>
    <w:p w14:paraId="0CB203DD" w14:textId="77777777" w:rsidR="009836CE" w:rsidRPr="00DE7BEE" w:rsidRDefault="009836CE" w:rsidP="009836CE">
      <w:pPr>
        <w:spacing w:after="120"/>
        <w:ind w:left="720"/>
        <w:rPr>
          <w:bCs/>
          <w:lang w:val="en-GB"/>
        </w:rPr>
      </w:pPr>
      <w:r w:rsidRPr="00DE7BE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44AF7E6" w14:textId="77777777" w:rsidR="009836CE" w:rsidRPr="00DE7BEE" w:rsidRDefault="009836CE" w:rsidP="009836CE">
      <w:pPr>
        <w:keepNext/>
        <w:keepLines/>
        <w:numPr>
          <w:ilvl w:val="0"/>
          <w:numId w:val="1"/>
        </w:numPr>
        <w:spacing w:after="120"/>
        <w:jc w:val="left"/>
        <w:outlineLvl w:val="0"/>
        <w:rPr>
          <w:b/>
          <w:snapToGrid w:val="0"/>
          <w:sz w:val="32"/>
          <w:szCs w:val="32"/>
          <w:lang w:eastAsia="en-US"/>
        </w:rPr>
      </w:pPr>
      <w:r w:rsidRPr="00DE7BEE">
        <w:rPr>
          <w:b/>
          <w:snapToGrid w:val="0"/>
          <w:sz w:val="32"/>
          <w:szCs w:val="32"/>
          <w:lang w:eastAsia="en-US"/>
        </w:rPr>
        <w:t>Sponsor’s Comment</w:t>
      </w:r>
    </w:p>
    <w:p w14:paraId="1E50219E" w14:textId="0A9663FA" w:rsidR="009836CE" w:rsidRPr="00C732E2" w:rsidRDefault="00DC52F8" w:rsidP="00C732E2">
      <w:pPr>
        <w:spacing w:after="120"/>
        <w:ind w:left="720"/>
        <w:rPr>
          <w:bCs/>
          <w:lang w:val="en-GB"/>
        </w:rPr>
      </w:pPr>
      <w:r w:rsidRPr="00C732E2">
        <w:rPr>
          <w:bCs/>
          <w:lang w:val="en-GB"/>
        </w:rPr>
        <w:t>Astellas Pharma Australia remains committed to gaining patient access for m</w:t>
      </w:r>
      <w:r w:rsidR="00DE5582" w:rsidRPr="00C732E2">
        <w:rPr>
          <w:bCs/>
          <w:lang w:val="en-GB"/>
        </w:rPr>
        <w:t>0</w:t>
      </w:r>
      <w:r w:rsidRPr="00C732E2">
        <w:rPr>
          <w:bCs/>
          <w:lang w:val="en-GB"/>
        </w:rPr>
        <w:t xml:space="preserve">HSPC. We will continue to utilise our robust clinical data to seek a recommendation as soon as possible. </w:t>
      </w:r>
      <w:bookmarkEnd w:id="70"/>
      <w:bookmarkEnd w:id="73"/>
      <w:bookmarkEnd w:id="74"/>
    </w:p>
    <w:sectPr w:rsidR="009836CE" w:rsidRPr="00C732E2" w:rsidSect="00E16BBF">
      <w:headerReference w:type="default" r:id="rId28"/>
      <w:footerReference w:type="default" r:id="rId2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C66FE" w14:textId="77777777" w:rsidR="0053572A" w:rsidRDefault="0053572A" w:rsidP="00124A51">
      <w:r>
        <w:separator/>
      </w:r>
    </w:p>
    <w:p w14:paraId="377807B3" w14:textId="77777777" w:rsidR="0053572A" w:rsidRDefault="0053572A"/>
  </w:endnote>
  <w:endnote w:type="continuationSeparator" w:id="0">
    <w:p w14:paraId="3D0FADC6" w14:textId="77777777" w:rsidR="0053572A" w:rsidRDefault="0053572A" w:rsidP="00124A51">
      <w:r>
        <w:continuationSeparator/>
      </w:r>
    </w:p>
    <w:p w14:paraId="1D8A503C" w14:textId="77777777" w:rsidR="0053572A" w:rsidRDefault="0053572A"/>
  </w:endnote>
  <w:endnote w:type="continuationNotice" w:id="1">
    <w:p w14:paraId="2C0F27C3" w14:textId="77777777" w:rsidR="0053572A" w:rsidRDefault="00535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6619E7" w:rsidRDefault="006619E7" w:rsidP="00753B29">
    <w:pPr>
      <w:pStyle w:val="Footer"/>
      <w:jc w:val="center"/>
    </w:pPr>
  </w:p>
  <w:p w14:paraId="37484CD3" w14:textId="74E7B94D" w:rsidR="006619E7" w:rsidRPr="007C1CD9" w:rsidRDefault="00000000" w:rsidP="006028D3">
    <w:pPr>
      <w:pStyle w:val="PageFooter"/>
    </w:pPr>
    <w:sdt>
      <w:sdtPr>
        <w:id w:val="1036156457"/>
        <w:docPartObj>
          <w:docPartGallery w:val="Page Numbers (Bottom of Page)"/>
          <w:docPartUnique/>
        </w:docPartObj>
      </w:sdtPr>
      <w:sdtEndPr>
        <w:rPr>
          <w:noProof/>
        </w:rPr>
      </w:sdtEndPr>
      <w:sdtContent>
        <w:r w:rsidR="006619E7">
          <w:fldChar w:fldCharType="begin"/>
        </w:r>
        <w:r w:rsidR="006619E7">
          <w:instrText xml:space="preserve"> PAGE   \* MERGEFORMAT </w:instrText>
        </w:r>
        <w:r w:rsidR="006619E7">
          <w:fldChar w:fldCharType="separate"/>
        </w:r>
        <w:r w:rsidR="006619E7">
          <w:rPr>
            <w:noProof/>
          </w:rPr>
          <w:t>2</w:t>
        </w:r>
        <w:r w:rsidR="006619E7">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02E6B" w14:textId="77777777" w:rsidR="0053572A" w:rsidRDefault="0053572A" w:rsidP="00124A51">
      <w:r>
        <w:separator/>
      </w:r>
    </w:p>
    <w:p w14:paraId="41819411" w14:textId="77777777" w:rsidR="0053572A" w:rsidRDefault="0053572A"/>
  </w:footnote>
  <w:footnote w:type="continuationSeparator" w:id="0">
    <w:p w14:paraId="3B102C8D" w14:textId="77777777" w:rsidR="0053572A" w:rsidRDefault="0053572A" w:rsidP="00124A51">
      <w:r>
        <w:continuationSeparator/>
      </w:r>
    </w:p>
    <w:p w14:paraId="7689FA95" w14:textId="77777777" w:rsidR="0053572A" w:rsidRDefault="0053572A"/>
  </w:footnote>
  <w:footnote w:type="continuationNotice" w:id="1">
    <w:p w14:paraId="276BC960" w14:textId="77777777" w:rsidR="0053572A" w:rsidRDefault="0053572A"/>
  </w:footnote>
  <w:footnote w:id="2">
    <w:p w14:paraId="3FA1E198" w14:textId="35FE9431" w:rsidR="006619E7" w:rsidRPr="00715CA6" w:rsidRDefault="006619E7" w:rsidP="00D65E9E">
      <w:pPr>
        <w:pStyle w:val="FootnoteText"/>
        <w:rPr>
          <w:rFonts w:ascii="Arial Narrow" w:hAnsi="Arial Narrow"/>
          <w:sz w:val="18"/>
          <w:szCs w:val="18"/>
        </w:rPr>
      </w:pPr>
      <w:r w:rsidRPr="00715CA6">
        <w:rPr>
          <w:rStyle w:val="FootnoteReference"/>
          <w:rFonts w:ascii="Arial Narrow" w:hAnsi="Arial Narrow"/>
          <w:sz w:val="18"/>
          <w:szCs w:val="18"/>
        </w:rPr>
        <w:footnoteRef/>
      </w:r>
      <w:r w:rsidRPr="00715CA6">
        <w:rPr>
          <w:rFonts w:ascii="Arial Narrow" w:hAnsi="Arial Narrow"/>
          <w:sz w:val="18"/>
          <w:szCs w:val="18"/>
        </w:rPr>
        <w:t xml:space="preserve"> Note </w:t>
      </w:r>
      <w:r w:rsidRPr="00715CA6">
        <w:rPr>
          <w:rFonts w:ascii="Arial Narrow" w:hAnsi="Arial Narrow"/>
          <w:sz w:val="18"/>
          <w:szCs w:val="18"/>
          <w:u w:val="single"/>
        </w:rPr>
        <w:t xml:space="preserve">hormone </w:t>
      </w:r>
      <w:r w:rsidRPr="00715CA6">
        <w:rPr>
          <w:rFonts w:ascii="Arial Narrow" w:hAnsi="Arial Narrow"/>
          <w:sz w:val="18"/>
          <w:szCs w:val="18"/>
        </w:rPr>
        <w:t xml:space="preserve">sensitive prostate cancer (HSPC) is also referred to in the literature as </w:t>
      </w:r>
      <w:r w:rsidRPr="00715CA6">
        <w:rPr>
          <w:rFonts w:ascii="Arial Narrow" w:hAnsi="Arial Narrow"/>
          <w:sz w:val="18"/>
          <w:szCs w:val="18"/>
          <w:u w:val="single"/>
        </w:rPr>
        <w:t xml:space="preserve">castration </w:t>
      </w:r>
      <w:r w:rsidRPr="00715CA6">
        <w:rPr>
          <w:rFonts w:ascii="Arial Narrow" w:hAnsi="Arial Narrow"/>
          <w:sz w:val="18"/>
          <w:szCs w:val="18"/>
        </w:rPr>
        <w:t xml:space="preserve">sensitive prostate cancer (CSPC). To be consistent with the submission, the </w:t>
      </w:r>
      <w:r w:rsidR="00B63CD0" w:rsidRPr="00715CA6">
        <w:rPr>
          <w:rFonts w:ascii="Arial Narrow" w:hAnsi="Arial Narrow"/>
          <w:sz w:val="18"/>
          <w:szCs w:val="18"/>
        </w:rPr>
        <w:t>ESC Advice</w:t>
      </w:r>
      <w:r w:rsidRPr="00715CA6">
        <w:rPr>
          <w:rFonts w:ascii="Arial Narrow" w:hAnsi="Arial Narrow"/>
          <w:sz w:val="18"/>
          <w:szCs w:val="18"/>
        </w:rPr>
        <w:t xml:space="preserve"> will use the terminology HSPC.</w:t>
      </w:r>
    </w:p>
  </w:footnote>
  <w:footnote w:id="3">
    <w:p w14:paraId="1D11095A" w14:textId="79CFEBF4" w:rsidR="006619E7" w:rsidRPr="00715CA6" w:rsidRDefault="006619E7" w:rsidP="003F4DAE">
      <w:pPr>
        <w:pStyle w:val="FootnoteText"/>
        <w:rPr>
          <w:rFonts w:ascii="Arial Narrow" w:hAnsi="Arial Narrow"/>
          <w:sz w:val="18"/>
          <w:szCs w:val="18"/>
        </w:rPr>
      </w:pPr>
      <w:r w:rsidRPr="00715CA6">
        <w:rPr>
          <w:rStyle w:val="FootnoteReference"/>
          <w:rFonts w:ascii="Arial Narrow" w:hAnsi="Arial Narrow"/>
          <w:sz w:val="18"/>
          <w:szCs w:val="18"/>
        </w:rPr>
        <w:footnoteRef/>
      </w:r>
      <w:r w:rsidRPr="00715CA6">
        <w:rPr>
          <w:rFonts w:ascii="Arial Narrow" w:hAnsi="Arial Narrow"/>
          <w:sz w:val="18"/>
          <w:szCs w:val="18"/>
        </w:rPr>
        <w:t xml:space="preserve"> Van den Broeck T, van den Bergh RCN, Briers E, </w:t>
      </w:r>
      <w:r w:rsidR="00C525D5" w:rsidRPr="00715CA6">
        <w:rPr>
          <w:rFonts w:ascii="Arial Narrow" w:hAnsi="Arial Narrow"/>
          <w:sz w:val="18"/>
          <w:szCs w:val="18"/>
        </w:rPr>
        <w:t>et al</w:t>
      </w:r>
      <w:r w:rsidRPr="00715CA6">
        <w:rPr>
          <w:rFonts w:ascii="Arial Narrow" w:hAnsi="Arial Narrow"/>
          <w:sz w:val="18"/>
          <w:szCs w:val="18"/>
        </w:rPr>
        <w:t>. Biochemical Recurrence in Prostate Cancer: The European Association of Urology Prostate Cancer Guidelines Panel Recommendations. Eur Urol Focus. 2020; 6(2):231-234</w:t>
      </w:r>
    </w:p>
  </w:footnote>
  <w:footnote w:id="4">
    <w:p w14:paraId="31A074B9" w14:textId="2F2811DA" w:rsidR="006619E7" w:rsidRPr="00715CA6" w:rsidRDefault="006619E7" w:rsidP="003F4DAE">
      <w:pPr>
        <w:pStyle w:val="FootnoteText"/>
        <w:rPr>
          <w:rFonts w:ascii="Arial Narrow" w:hAnsi="Arial Narrow"/>
          <w:sz w:val="18"/>
          <w:szCs w:val="18"/>
        </w:rPr>
      </w:pPr>
      <w:r w:rsidRPr="00715CA6">
        <w:rPr>
          <w:rStyle w:val="FootnoteReference"/>
          <w:rFonts w:ascii="Arial Narrow" w:hAnsi="Arial Narrow"/>
          <w:sz w:val="18"/>
          <w:szCs w:val="18"/>
        </w:rPr>
        <w:footnoteRef/>
      </w:r>
      <w:r w:rsidRPr="00715CA6">
        <w:rPr>
          <w:rFonts w:ascii="Arial Narrow" w:hAnsi="Arial Narrow"/>
          <w:sz w:val="18"/>
          <w:szCs w:val="18"/>
        </w:rPr>
        <w:t xml:space="preserve"> Shore ND, Moul JW, Pienta KJ, </w:t>
      </w:r>
      <w:r w:rsidR="00C525D5" w:rsidRPr="00715CA6">
        <w:rPr>
          <w:rFonts w:ascii="Arial Narrow" w:hAnsi="Arial Narrow"/>
          <w:sz w:val="18"/>
          <w:szCs w:val="18"/>
        </w:rPr>
        <w:t>et al</w:t>
      </w:r>
      <w:r w:rsidRPr="00715CA6">
        <w:rPr>
          <w:rFonts w:ascii="Arial Narrow" w:hAnsi="Arial Narrow"/>
          <w:sz w:val="18"/>
          <w:szCs w:val="18"/>
        </w:rPr>
        <w:t>. Biochemical recurrence in patients with prostate cancer after primary definitive therapy: treatment based on risk stratification. Prostate Cancer Prostatic Dis. 2020; 27: 192–201.</w:t>
      </w:r>
    </w:p>
  </w:footnote>
  <w:footnote w:id="5">
    <w:p w14:paraId="73AAAB6E" w14:textId="4A88E8F5" w:rsidR="006619E7" w:rsidRDefault="006619E7" w:rsidP="003F4DAE">
      <w:pPr>
        <w:pStyle w:val="FootnoteText"/>
      </w:pPr>
      <w:r w:rsidRPr="00715CA6">
        <w:rPr>
          <w:rStyle w:val="FootnoteReference"/>
          <w:rFonts w:ascii="Arial Narrow" w:hAnsi="Arial Narrow"/>
          <w:sz w:val="18"/>
          <w:szCs w:val="18"/>
        </w:rPr>
        <w:footnoteRef/>
      </w:r>
      <w:r w:rsidRPr="00715CA6">
        <w:rPr>
          <w:rFonts w:ascii="Arial Narrow" w:hAnsi="Arial Narrow"/>
          <w:sz w:val="18"/>
          <w:szCs w:val="18"/>
        </w:rPr>
        <w:t xml:space="preserve"> Cornford P, Tilki D, van den Bergh</w:t>
      </w:r>
      <w:r w:rsidR="00C525D5" w:rsidRPr="00715CA6">
        <w:rPr>
          <w:rFonts w:ascii="Arial Narrow" w:hAnsi="Arial Narrow"/>
          <w:sz w:val="18"/>
          <w:szCs w:val="18"/>
        </w:rPr>
        <w:t xml:space="preserve"> RCN</w:t>
      </w:r>
      <w:r w:rsidRPr="00715CA6">
        <w:rPr>
          <w:rFonts w:ascii="Arial Narrow" w:hAnsi="Arial Narrow"/>
          <w:sz w:val="18"/>
          <w:szCs w:val="18"/>
        </w:rPr>
        <w:t>, et al. EAU-EANM-ESTRO-ESUR-ISUP-SIOG Guidelines on Prostate Cancer—2024. European Urology. 2024-04.</w:t>
      </w:r>
    </w:p>
  </w:footnote>
  <w:footnote w:id="6">
    <w:p w14:paraId="67E66652" w14:textId="5C909C2E" w:rsidR="006619E7" w:rsidRPr="009F65A1" w:rsidRDefault="006619E7" w:rsidP="003F4DAE">
      <w:pPr>
        <w:pStyle w:val="FootnoteText"/>
        <w:rPr>
          <w:rFonts w:ascii="Arial Narrow" w:hAnsi="Arial Narrow"/>
          <w:sz w:val="18"/>
          <w:szCs w:val="18"/>
        </w:rPr>
      </w:pPr>
      <w:r w:rsidRPr="009F65A1">
        <w:rPr>
          <w:rStyle w:val="FootnoteReference"/>
          <w:rFonts w:ascii="Arial Narrow" w:hAnsi="Arial Narrow"/>
          <w:sz w:val="18"/>
          <w:szCs w:val="18"/>
        </w:rPr>
        <w:footnoteRef/>
      </w:r>
      <w:r w:rsidRPr="009F65A1">
        <w:rPr>
          <w:rFonts w:ascii="Arial Narrow" w:hAnsi="Arial Narrow"/>
          <w:sz w:val="18"/>
          <w:szCs w:val="18"/>
        </w:rPr>
        <w:t xml:space="preserve"> Einstein DJ, Regan MM, Stevens JS, </w:t>
      </w:r>
      <w:r w:rsidR="00C525D5" w:rsidRPr="009F65A1">
        <w:rPr>
          <w:rFonts w:ascii="Arial Narrow" w:hAnsi="Arial Narrow"/>
          <w:sz w:val="18"/>
          <w:szCs w:val="18"/>
        </w:rPr>
        <w:t>et al</w:t>
      </w:r>
      <w:r w:rsidRPr="009F65A1">
        <w:rPr>
          <w:rFonts w:ascii="Arial Narrow" w:hAnsi="Arial Narrow"/>
          <w:sz w:val="18"/>
          <w:szCs w:val="18"/>
        </w:rPr>
        <w:t>. Metastasis-Free Survival Versus Treatment-Free Survival in Biochemically Recurrent Prostate Cancer: The EMBARK Trial. J Clin Oncol. 2024; JCO2400279. doi: 10.1200/JCO.24.00279.</w:t>
      </w:r>
    </w:p>
  </w:footnote>
  <w:footnote w:id="7">
    <w:p w14:paraId="59DCF803" w14:textId="77777777" w:rsidR="006619E7" w:rsidRPr="00EF2448" w:rsidRDefault="006619E7" w:rsidP="00444A3F">
      <w:pPr>
        <w:pStyle w:val="FootnoteText"/>
        <w:rPr>
          <w:rFonts w:ascii="Arial Narrow" w:hAnsi="Arial Narrow"/>
          <w:sz w:val="18"/>
          <w:szCs w:val="18"/>
        </w:rPr>
      </w:pPr>
      <w:r w:rsidRPr="00EF2448">
        <w:rPr>
          <w:rStyle w:val="FootnoteReference"/>
          <w:rFonts w:ascii="Arial Narrow" w:hAnsi="Arial Narrow"/>
          <w:sz w:val="18"/>
          <w:szCs w:val="18"/>
        </w:rPr>
        <w:footnoteRef/>
      </w:r>
      <w:r w:rsidRPr="00EF2448">
        <w:rPr>
          <w:rFonts w:ascii="Arial Narrow" w:hAnsi="Arial Narrow"/>
          <w:sz w:val="18"/>
          <w:szCs w:val="18"/>
        </w:rPr>
        <w:t xml:space="preserve"> Giunta EF, Gasperoni L, De Giorgi U. Enzalutamide and leuprolide acetate in non-metastatic hormone-sensitive prostate cancer: the sooner the better? Future Oncol. 2024; 20(4):163-166. doi: 10.2217/fon-2023-1019.</w:t>
      </w:r>
    </w:p>
  </w:footnote>
  <w:footnote w:id="8">
    <w:p w14:paraId="5DFB2636" w14:textId="7549FC20" w:rsidR="006619E7" w:rsidRPr="00FE05B4" w:rsidRDefault="006619E7" w:rsidP="007D54B3">
      <w:pPr>
        <w:pStyle w:val="FootnoteText"/>
        <w:rPr>
          <w:rFonts w:ascii="Arial Narrow" w:hAnsi="Arial Narrow"/>
          <w:sz w:val="18"/>
          <w:szCs w:val="18"/>
        </w:rPr>
      </w:pPr>
      <w:r w:rsidRPr="00FE05B4">
        <w:rPr>
          <w:rStyle w:val="FootnoteReference"/>
          <w:rFonts w:ascii="Arial Narrow" w:hAnsi="Arial Narrow"/>
          <w:sz w:val="18"/>
          <w:szCs w:val="18"/>
        </w:rPr>
        <w:footnoteRef/>
      </w:r>
      <w:r w:rsidRPr="00FE05B4">
        <w:rPr>
          <w:rFonts w:ascii="Arial Narrow" w:hAnsi="Arial Narrow"/>
          <w:sz w:val="18"/>
          <w:szCs w:val="18"/>
        </w:rPr>
        <w:t xml:space="preserve"> Aggarwal R, </w:t>
      </w:r>
      <w:proofErr w:type="spellStart"/>
      <w:r w:rsidRPr="00FE05B4">
        <w:rPr>
          <w:rFonts w:ascii="Arial Narrow" w:hAnsi="Arial Narrow"/>
          <w:sz w:val="18"/>
          <w:szCs w:val="18"/>
        </w:rPr>
        <w:t>Alumkal</w:t>
      </w:r>
      <w:proofErr w:type="spellEnd"/>
      <w:r w:rsidRPr="00FE05B4">
        <w:rPr>
          <w:rFonts w:ascii="Arial Narrow" w:hAnsi="Arial Narrow"/>
          <w:sz w:val="18"/>
          <w:szCs w:val="18"/>
        </w:rPr>
        <w:t xml:space="preserve"> JJ, Szmulewitz RZ, </w:t>
      </w:r>
      <w:r w:rsidR="00C525D5" w:rsidRPr="00FE05B4">
        <w:rPr>
          <w:rFonts w:ascii="Arial Narrow" w:hAnsi="Arial Narrow"/>
          <w:sz w:val="18"/>
          <w:szCs w:val="18"/>
        </w:rPr>
        <w:t>et al</w:t>
      </w:r>
      <w:r w:rsidRPr="00FE05B4">
        <w:rPr>
          <w:rFonts w:ascii="Arial Narrow" w:hAnsi="Arial Narrow"/>
          <w:sz w:val="18"/>
          <w:szCs w:val="18"/>
        </w:rPr>
        <w:t>. Randomized, Open-Label Phase 2 Study of Apalutamide plus Androgen Deprivation Therapy versus Apalutamide Monotherapy versus Androgen Deprivation Monotherapy in Patients with Biochemically Recurrent Prostate Cancer. Prostate Cancer. 2022; 2022:5454727. doi: 10.1155/2022/5454727.</w:t>
      </w:r>
    </w:p>
  </w:footnote>
  <w:footnote w:id="9">
    <w:p w14:paraId="06F5CC46" w14:textId="77777777" w:rsidR="006619E7" w:rsidRDefault="006619E7" w:rsidP="007D54B3">
      <w:pPr>
        <w:pStyle w:val="FootnoteText"/>
      </w:pPr>
      <w:r w:rsidRPr="00FE05B4">
        <w:rPr>
          <w:rStyle w:val="FootnoteReference"/>
          <w:rFonts w:ascii="Arial Narrow" w:hAnsi="Arial Narrow"/>
          <w:sz w:val="18"/>
          <w:szCs w:val="18"/>
        </w:rPr>
        <w:footnoteRef/>
      </w:r>
      <w:r w:rsidRPr="00FE05B4">
        <w:rPr>
          <w:rFonts w:ascii="Arial Narrow" w:hAnsi="Arial Narrow"/>
          <w:sz w:val="18"/>
          <w:szCs w:val="18"/>
        </w:rPr>
        <w:t xml:space="preserve"> National Library of Medicines. Testing the Addition of Darolutamide to Hormonal Therapy (Androgen Deprivation Therapy [ADT]) After Surgery for Men With High-Risk Prostate Cancer, The ERADICATE Study. NCT04484818. </w:t>
      </w:r>
      <w:hyperlink r:id="rId1" w:history="1">
        <w:r w:rsidRPr="00FE05B4">
          <w:rPr>
            <w:rStyle w:val="Hyperlink"/>
            <w:rFonts w:ascii="Arial Narrow" w:hAnsi="Arial Narrow"/>
            <w:sz w:val="18"/>
            <w:szCs w:val="18"/>
          </w:rPr>
          <w:t>https://clinicaltrials.gov/study/NCT04484818?cond=prostate%20cancer&amp;intr=darolutamide&amp;page=4&amp;rank=35</w:t>
        </w:r>
      </w:hyperlink>
      <w:r w:rsidRPr="00FE05B4">
        <w:rPr>
          <w:rFonts w:ascii="Arial Narrow" w:hAnsi="Arial Narrow"/>
          <w:sz w:val="18"/>
          <w:szCs w:val="18"/>
        </w:rPr>
        <w:t xml:space="preserve"> [accessed 14 August 2024].</w:t>
      </w:r>
    </w:p>
  </w:footnote>
  <w:footnote w:id="10">
    <w:p w14:paraId="01846211" w14:textId="6D67E079" w:rsidR="00A0123F" w:rsidRPr="00FE05B4" w:rsidRDefault="00A0123F">
      <w:pPr>
        <w:pStyle w:val="FootnoteText"/>
        <w:rPr>
          <w:rFonts w:ascii="Arial Narrow" w:hAnsi="Arial Narrow"/>
          <w:sz w:val="18"/>
          <w:szCs w:val="18"/>
        </w:rPr>
      </w:pPr>
      <w:r w:rsidRPr="00FE05B4">
        <w:rPr>
          <w:rStyle w:val="FootnoteReference"/>
          <w:rFonts w:ascii="Arial Narrow" w:hAnsi="Arial Narrow"/>
          <w:sz w:val="18"/>
          <w:szCs w:val="18"/>
        </w:rPr>
        <w:footnoteRef/>
      </w:r>
      <w:r w:rsidRPr="00FE05B4">
        <w:rPr>
          <w:rFonts w:ascii="Arial Narrow" w:hAnsi="Arial Narrow"/>
          <w:sz w:val="18"/>
          <w:szCs w:val="18"/>
        </w:rPr>
        <w:t xml:space="preserve"> </w:t>
      </w:r>
      <w:r w:rsidRPr="00FE05B4">
        <w:rPr>
          <w:rFonts w:ascii="Arial Narrow" w:hAnsi="Arial Narrow"/>
          <w:bCs/>
          <w:snapToGrid w:val="0"/>
          <w:sz w:val="18"/>
          <w:szCs w:val="18"/>
        </w:rPr>
        <w:t>Cherny NI, Dafni U, Bogaerts J, et al: ESMO-Magnitude of Clinical Benefit Scale version 1.1. Annals of Oncology 28:2340-2366, 2017</w:t>
      </w:r>
    </w:p>
  </w:footnote>
  <w:footnote w:id="11">
    <w:p w14:paraId="5058C404" w14:textId="21BAA653" w:rsidR="006619E7" w:rsidRPr="00FE05B4" w:rsidRDefault="006619E7" w:rsidP="000627FE">
      <w:pPr>
        <w:pStyle w:val="FootnoteText"/>
        <w:rPr>
          <w:rFonts w:ascii="Arial Narrow" w:hAnsi="Arial Narrow"/>
          <w:sz w:val="18"/>
          <w:szCs w:val="18"/>
        </w:rPr>
      </w:pPr>
      <w:r w:rsidRPr="00FE05B4">
        <w:rPr>
          <w:rStyle w:val="FootnoteReference"/>
          <w:rFonts w:ascii="Arial Narrow" w:hAnsi="Arial Narrow"/>
          <w:sz w:val="18"/>
          <w:szCs w:val="18"/>
        </w:rPr>
        <w:footnoteRef/>
      </w:r>
      <w:r w:rsidRPr="00FE05B4">
        <w:rPr>
          <w:rFonts w:ascii="Arial Narrow" w:hAnsi="Arial Narrow"/>
          <w:sz w:val="18"/>
          <w:szCs w:val="18"/>
        </w:rPr>
        <w:t xml:space="preserve"> Armstrong WR, Clark KJ, Smith CP, </w:t>
      </w:r>
      <w:r w:rsidR="00C525D5" w:rsidRPr="00FE05B4">
        <w:rPr>
          <w:rFonts w:ascii="Arial Narrow" w:hAnsi="Arial Narrow"/>
          <w:sz w:val="18"/>
          <w:szCs w:val="18"/>
        </w:rPr>
        <w:t>et al</w:t>
      </w:r>
      <w:r w:rsidRPr="00FE05B4">
        <w:rPr>
          <w:rFonts w:ascii="Arial Narrow" w:hAnsi="Arial Narrow"/>
          <w:sz w:val="18"/>
          <w:szCs w:val="18"/>
        </w:rPr>
        <w:t>. PSMA PET findings in an “EMBARK-like” cohort of patients with high-risk non-metastatic hormone-sensitive prostate cancer: A single center post-hoc retrospective analysis. Journal of Clinical Oncology. 2023; 41:5091-5091. DOI:10.1200/JCO.2023.41.16_suppl.5091</w:t>
      </w:r>
    </w:p>
  </w:footnote>
  <w:footnote w:id="12">
    <w:p w14:paraId="4593E102" w14:textId="6FCE0B3D" w:rsidR="006A6FF7" w:rsidRPr="00FE05B4" w:rsidRDefault="006A6FF7">
      <w:pPr>
        <w:pStyle w:val="FootnoteText"/>
        <w:rPr>
          <w:sz w:val="18"/>
          <w:szCs w:val="18"/>
        </w:rPr>
      </w:pPr>
      <w:r w:rsidRPr="00FE05B4">
        <w:rPr>
          <w:rStyle w:val="FootnoteReference"/>
          <w:sz w:val="18"/>
          <w:szCs w:val="18"/>
        </w:rPr>
        <w:footnoteRef/>
      </w:r>
      <w:r w:rsidRPr="00FE05B4">
        <w:rPr>
          <w:sz w:val="18"/>
          <w:szCs w:val="18"/>
        </w:rPr>
        <w:t xml:space="preserve"> </w:t>
      </w:r>
      <w:r w:rsidR="000A5FE7" w:rsidRPr="00FE05B4">
        <w:rPr>
          <w:sz w:val="18"/>
          <w:szCs w:val="18"/>
        </w:rPr>
        <w:t>Note that results are derived from post-hoc analyses conducted by the applicant during the evaluation specifically for the purposes of informing the PBAC consideration. These analyses were not part of the pre-specified statistical plan from EMBARK study. Interpretation of the results and their application should therefore be limited to seeking to understand the basis for the PBAC outcome and should not be used for any other purpose.</w:t>
      </w:r>
    </w:p>
  </w:footnote>
  <w:footnote w:id="13">
    <w:p w14:paraId="662422EF" w14:textId="2F1313DA" w:rsidR="00CD3B5F" w:rsidRPr="00FE05B4" w:rsidRDefault="00CD3B5F">
      <w:pPr>
        <w:pStyle w:val="FootnoteText"/>
        <w:rPr>
          <w:sz w:val="18"/>
          <w:szCs w:val="18"/>
        </w:rPr>
      </w:pPr>
      <w:r w:rsidRPr="00FE05B4">
        <w:rPr>
          <w:rStyle w:val="FootnoteReference"/>
          <w:sz w:val="18"/>
          <w:szCs w:val="18"/>
        </w:rPr>
        <w:footnoteRef/>
      </w:r>
      <w:r w:rsidRPr="00FE05B4">
        <w:rPr>
          <w:sz w:val="18"/>
          <w:szCs w:val="18"/>
        </w:rPr>
        <w:t xml:space="preserve"> Note that results in are derived from post-hoc analyses conducted by the applicant during the evaluation specifically for the purposes of informing the PBAC consideration. These analyses were not part of the pre-specified statistical plan from EMBARK study. Interpretation of the results and their application should therefore be limited to seeking to understand the basis for the PBAC outcome and should not be used for any other purpose. </w:t>
      </w:r>
    </w:p>
  </w:footnote>
  <w:footnote w:id="14">
    <w:p w14:paraId="54D8B503" w14:textId="2CF3D977" w:rsidR="006619E7" w:rsidRPr="00FE05B4" w:rsidRDefault="006619E7" w:rsidP="00176199">
      <w:pPr>
        <w:pStyle w:val="FootnoteText"/>
        <w:rPr>
          <w:sz w:val="18"/>
          <w:szCs w:val="18"/>
        </w:rPr>
      </w:pPr>
      <w:r w:rsidRPr="00FE05B4">
        <w:rPr>
          <w:rStyle w:val="FootnoteReference"/>
          <w:sz w:val="18"/>
          <w:szCs w:val="18"/>
        </w:rPr>
        <w:footnoteRef/>
      </w:r>
      <w:r w:rsidRPr="00FE05B4">
        <w:rPr>
          <w:sz w:val="18"/>
          <w:szCs w:val="18"/>
        </w:rPr>
        <w:t xml:space="preserve"> Mori A, Hashimoto K, Koroki Y, </w:t>
      </w:r>
      <w:r w:rsidR="00C525D5" w:rsidRPr="00FE05B4">
        <w:rPr>
          <w:sz w:val="18"/>
          <w:szCs w:val="18"/>
        </w:rPr>
        <w:t>et al</w:t>
      </w:r>
      <w:r w:rsidRPr="00FE05B4">
        <w:rPr>
          <w:sz w:val="18"/>
          <w:szCs w:val="18"/>
        </w:rPr>
        <w:t xml:space="preserve">. The correlation between metastasis-free survival and overall survival in non-metastatic castration resistant prostate cancer patients from the Medical Data Vision claims database in Japan. Curr Med Res </w:t>
      </w:r>
      <w:proofErr w:type="spellStart"/>
      <w:r w:rsidRPr="00FE05B4">
        <w:rPr>
          <w:sz w:val="18"/>
          <w:szCs w:val="18"/>
        </w:rPr>
        <w:t>Opin</w:t>
      </w:r>
      <w:proofErr w:type="spellEnd"/>
      <w:r w:rsidRPr="00FE05B4">
        <w:rPr>
          <w:sz w:val="18"/>
          <w:szCs w:val="18"/>
        </w:rPr>
        <w:t>. 2019; 35(10):1745-1750.</w:t>
      </w:r>
    </w:p>
  </w:footnote>
  <w:footnote w:id="15">
    <w:p w14:paraId="317EEE75" w14:textId="4CEDC15E" w:rsidR="006619E7" w:rsidRPr="00FE05B4" w:rsidRDefault="006619E7" w:rsidP="00176199">
      <w:pPr>
        <w:pStyle w:val="FootnoteText"/>
        <w:rPr>
          <w:sz w:val="18"/>
          <w:szCs w:val="18"/>
        </w:rPr>
      </w:pPr>
      <w:r w:rsidRPr="00FE05B4">
        <w:rPr>
          <w:rStyle w:val="FootnoteReference"/>
          <w:sz w:val="18"/>
          <w:szCs w:val="18"/>
        </w:rPr>
        <w:footnoteRef/>
      </w:r>
      <w:r w:rsidRPr="00FE05B4">
        <w:rPr>
          <w:sz w:val="18"/>
          <w:szCs w:val="18"/>
        </w:rPr>
        <w:t xml:space="preserve"> Smith MR, Mehra M, Nair S, </w:t>
      </w:r>
      <w:r w:rsidR="00C525D5" w:rsidRPr="00FE05B4">
        <w:rPr>
          <w:sz w:val="18"/>
          <w:szCs w:val="18"/>
        </w:rPr>
        <w:t>et al</w:t>
      </w:r>
      <w:r w:rsidRPr="00FE05B4">
        <w:rPr>
          <w:sz w:val="18"/>
          <w:szCs w:val="18"/>
        </w:rPr>
        <w:t xml:space="preserve">. Relationship Between Metastasis-free Survival and Overall Survival in Patients With Nonmetastatic Castration-resistant Prostate Cancer. Clin </w:t>
      </w:r>
      <w:proofErr w:type="spellStart"/>
      <w:r w:rsidRPr="00FE05B4">
        <w:rPr>
          <w:sz w:val="18"/>
          <w:szCs w:val="18"/>
        </w:rPr>
        <w:t>Genitourin</w:t>
      </w:r>
      <w:proofErr w:type="spellEnd"/>
      <w:r w:rsidRPr="00FE05B4">
        <w:rPr>
          <w:sz w:val="18"/>
          <w:szCs w:val="18"/>
        </w:rPr>
        <w:t xml:space="preserve"> Cancer. 2020; 18(2):e180-e189.</w:t>
      </w:r>
    </w:p>
  </w:footnote>
  <w:footnote w:id="16">
    <w:p w14:paraId="539757C9" w14:textId="6AF1460F" w:rsidR="006619E7" w:rsidRPr="00FE05B4" w:rsidRDefault="006619E7" w:rsidP="00176199">
      <w:pPr>
        <w:pStyle w:val="FootnoteText"/>
        <w:rPr>
          <w:sz w:val="18"/>
          <w:szCs w:val="18"/>
        </w:rPr>
      </w:pPr>
      <w:r w:rsidRPr="00FE05B4">
        <w:rPr>
          <w:rStyle w:val="FootnoteReference"/>
          <w:sz w:val="18"/>
          <w:szCs w:val="18"/>
        </w:rPr>
        <w:footnoteRef/>
      </w:r>
      <w:r w:rsidRPr="00FE05B4">
        <w:rPr>
          <w:sz w:val="18"/>
          <w:szCs w:val="18"/>
        </w:rPr>
        <w:t xml:space="preserve"> Xie W, Regan MM, </w:t>
      </w:r>
      <w:proofErr w:type="spellStart"/>
      <w:r w:rsidRPr="00FE05B4">
        <w:rPr>
          <w:sz w:val="18"/>
          <w:szCs w:val="18"/>
        </w:rPr>
        <w:t>Buyse</w:t>
      </w:r>
      <w:proofErr w:type="spellEnd"/>
      <w:r w:rsidRPr="00FE05B4">
        <w:rPr>
          <w:sz w:val="18"/>
          <w:szCs w:val="18"/>
        </w:rPr>
        <w:t xml:space="preserve"> M, </w:t>
      </w:r>
      <w:r w:rsidR="00C525D5" w:rsidRPr="00FE05B4">
        <w:rPr>
          <w:sz w:val="18"/>
          <w:szCs w:val="18"/>
        </w:rPr>
        <w:t>et al</w:t>
      </w:r>
      <w:r w:rsidRPr="00FE05B4">
        <w:rPr>
          <w:sz w:val="18"/>
          <w:szCs w:val="18"/>
        </w:rPr>
        <w:t>. Metastasis-Free Survival Is a Strong Surrogate of Overall Survival in Localized Prostate Cancer. J Clin Oncol. 2017; 35(27):3097-3104.</w:t>
      </w:r>
    </w:p>
  </w:footnote>
  <w:footnote w:id="17">
    <w:p w14:paraId="77B18833" w14:textId="49A1087F" w:rsidR="006619E7" w:rsidRDefault="006619E7" w:rsidP="00176199">
      <w:pPr>
        <w:pStyle w:val="FootnoteText"/>
      </w:pPr>
      <w:r w:rsidRPr="00FE05B4">
        <w:rPr>
          <w:rStyle w:val="FootnoteReference"/>
          <w:sz w:val="18"/>
          <w:szCs w:val="18"/>
        </w:rPr>
        <w:footnoteRef/>
      </w:r>
      <w:r w:rsidRPr="00FE05B4">
        <w:rPr>
          <w:sz w:val="18"/>
          <w:szCs w:val="18"/>
        </w:rPr>
        <w:t xml:space="preserve"> Xie W, Ravi P, </w:t>
      </w:r>
      <w:proofErr w:type="spellStart"/>
      <w:r w:rsidRPr="00FE05B4">
        <w:rPr>
          <w:sz w:val="18"/>
          <w:szCs w:val="18"/>
        </w:rPr>
        <w:t>Buyse</w:t>
      </w:r>
      <w:proofErr w:type="spellEnd"/>
      <w:r w:rsidRPr="00FE05B4">
        <w:rPr>
          <w:sz w:val="18"/>
          <w:szCs w:val="18"/>
        </w:rPr>
        <w:t xml:space="preserve"> M, </w:t>
      </w:r>
      <w:r w:rsidR="00C525D5" w:rsidRPr="00FE05B4">
        <w:rPr>
          <w:sz w:val="18"/>
          <w:szCs w:val="18"/>
        </w:rPr>
        <w:t>et al</w:t>
      </w:r>
      <w:r w:rsidRPr="00FE05B4">
        <w:rPr>
          <w:sz w:val="18"/>
          <w:szCs w:val="18"/>
        </w:rPr>
        <w:t>. Validation of metastasis-free survival as a surrogate endpoint for overall survival in localized prostate cancer in the era of docetaxel for castration-resistant prostate cancer. Ann Oncol. 2024; 35(3):285-292.</w:t>
      </w:r>
    </w:p>
  </w:footnote>
  <w:footnote w:id="18">
    <w:p w14:paraId="672ED8F2" w14:textId="7D4411A4" w:rsidR="006619E7" w:rsidRPr="00FE05B4" w:rsidRDefault="006619E7" w:rsidP="00D41157">
      <w:pPr>
        <w:pStyle w:val="FootnoteText"/>
        <w:rPr>
          <w:rFonts w:ascii="Arial Narrow" w:hAnsi="Arial Narrow"/>
          <w:sz w:val="18"/>
          <w:szCs w:val="18"/>
        </w:rPr>
      </w:pPr>
      <w:r w:rsidRPr="00FE05B4">
        <w:rPr>
          <w:rStyle w:val="FootnoteReference"/>
          <w:rFonts w:ascii="Arial Narrow" w:hAnsi="Arial Narrow"/>
          <w:sz w:val="18"/>
          <w:szCs w:val="18"/>
        </w:rPr>
        <w:footnoteRef/>
      </w:r>
      <w:r w:rsidRPr="00FE05B4">
        <w:rPr>
          <w:rFonts w:ascii="Arial Narrow" w:hAnsi="Arial Narrow"/>
          <w:sz w:val="18"/>
          <w:szCs w:val="18"/>
        </w:rPr>
        <w:t xml:space="preserve"> Klaassen Z, Howard L, Wallis CJD, </w:t>
      </w:r>
      <w:r w:rsidR="00C525D5" w:rsidRPr="00FE05B4">
        <w:rPr>
          <w:rFonts w:ascii="Arial Narrow" w:hAnsi="Arial Narrow"/>
          <w:sz w:val="18"/>
          <w:szCs w:val="18"/>
        </w:rPr>
        <w:t>et al</w:t>
      </w:r>
      <w:r w:rsidRPr="00FE05B4">
        <w:rPr>
          <w:rFonts w:ascii="Arial Narrow" w:hAnsi="Arial Narrow"/>
          <w:sz w:val="18"/>
          <w:szCs w:val="18"/>
        </w:rPr>
        <w:t>. Is time to castration resistant prostate cancer a potential intermediate end-point for time to metastasis among men initiating androgen deprivation therapy for non-metastatic prostate cancer with rapid PSA doubling time (&lt;9 months)? Prostate Cancer Prostatic Dis. 2023 Mar;26(1):151-155. doi: 10.1038/s41391-022-00585-8.</w:t>
      </w:r>
    </w:p>
  </w:footnote>
  <w:footnote w:id="19">
    <w:p w14:paraId="6CB2A82B" w14:textId="77777777" w:rsidR="006619E7" w:rsidRPr="00FE05B4" w:rsidRDefault="006619E7" w:rsidP="00ED509D">
      <w:pPr>
        <w:pStyle w:val="FootnoteText"/>
        <w:rPr>
          <w:sz w:val="18"/>
          <w:szCs w:val="18"/>
          <w:lang w:val="en-US"/>
        </w:rPr>
      </w:pPr>
      <w:r w:rsidRPr="00FE05B4">
        <w:rPr>
          <w:rStyle w:val="FootnoteReference"/>
          <w:sz w:val="18"/>
          <w:szCs w:val="18"/>
        </w:rPr>
        <w:footnoteRef/>
      </w:r>
      <w:r w:rsidRPr="00FE05B4">
        <w:rPr>
          <w:sz w:val="18"/>
          <w:szCs w:val="18"/>
        </w:rPr>
        <w:t xml:space="preserve"> Redwood L, </w:t>
      </w:r>
      <w:proofErr w:type="spellStart"/>
      <w:r w:rsidRPr="00FE05B4">
        <w:rPr>
          <w:sz w:val="18"/>
          <w:szCs w:val="18"/>
        </w:rPr>
        <w:t>Currow</w:t>
      </w:r>
      <w:proofErr w:type="spellEnd"/>
      <w:r w:rsidRPr="00FE05B4">
        <w:rPr>
          <w:sz w:val="18"/>
          <w:szCs w:val="18"/>
        </w:rPr>
        <w:t xml:space="preserve"> D, </w:t>
      </w:r>
      <w:proofErr w:type="spellStart"/>
      <w:r w:rsidRPr="00FE05B4">
        <w:rPr>
          <w:sz w:val="18"/>
          <w:szCs w:val="18"/>
        </w:rPr>
        <w:t>Kochovska</w:t>
      </w:r>
      <w:proofErr w:type="spellEnd"/>
      <w:r w:rsidRPr="00FE05B4">
        <w:rPr>
          <w:sz w:val="18"/>
          <w:szCs w:val="18"/>
        </w:rPr>
        <w:t xml:space="preserve"> S, Thomas SJ. Australian population norms for health-related quality of life measured using the EQ-5D-5L, and relationships with sociodemographic characteristics. Qual Life Res. 2024 Mar;33(3):721-733. doi: 10.1007/s11136-023-03558-z. Epub 2023 Dec 12. PMID: 38085452; PMCID: PMC10894099.</w:t>
      </w:r>
    </w:p>
  </w:footnote>
  <w:footnote w:id="20">
    <w:p w14:paraId="5BDAA29E" w14:textId="74EDB9FD" w:rsidR="006619E7" w:rsidRPr="002B6EC9" w:rsidRDefault="006619E7" w:rsidP="006619E7">
      <w:pPr>
        <w:pStyle w:val="FootnoteText"/>
        <w:rPr>
          <w:rFonts w:ascii="Arial Narrow" w:hAnsi="Arial Narrow"/>
          <w:sz w:val="18"/>
          <w:szCs w:val="18"/>
          <w:lang w:val="en-US"/>
        </w:rPr>
      </w:pPr>
      <w:r w:rsidRPr="002B6EC9">
        <w:rPr>
          <w:rStyle w:val="FootnoteReference"/>
          <w:rFonts w:ascii="Arial Narrow" w:hAnsi="Arial Narrow"/>
          <w:sz w:val="18"/>
          <w:szCs w:val="18"/>
        </w:rPr>
        <w:footnoteRef/>
      </w:r>
      <w:r w:rsidRPr="002B6EC9">
        <w:rPr>
          <w:rFonts w:ascii="Arial Narrow" w:hAnsi="Arial Narrow"/>
          <w:sz w:val="18"/>
          <w:szCs w:val="18"/>
        </w:rPr>
        <w:t xml:space="preserve"> </w:t>
      </w:r>
      <w:proofErr w:type="spellStart"/>
      <w:r w:rsidRPr="002B6EC9">
        <w:rPr>
          <w:rFonts w:ascii="Arial Narrow" w:hAnsi="Arial Narrow"/>
          <w:sz w:val="18"/>
          <w:szCs w:val="18"/>
        </w:rPr>
        <w:t>Oudard</w:t>
      </w:r>
      <w:proofErr w:type="spellEnd"/>
      <w:r w:rsidRPr="002B6EC9">
        <w:rPr>
          <w:rFonts w:ascii="Arial Narrow" w:hAnsi="Arial Narrow"/>
          <w:sz w:val="18"/>
          <w:szCs w:val="18"/>
        </w:rPr>
        <w:t xml:space="preserve"> S, </w:t>
      </w:r>
      <w:proofErr w:type="spellStart"/>
      <w:r w:rsidRPr="002B6EC9">
        <w:rPr>
          <w:rFonts w:ascii="Arial Narrow" w:hAnsi="Arial Narrow"/>
          <w:sz w:val="18"/>
          <w:szCs w:val="18"/>
        </w:rPr>
        <w:t>Latorzeff</w:t>
      </w:r>
      <w:proofErr w:type="spellEnd"/>
      <w:r w:rsidRPr="002B6EC9">
        <w:rPr>
          <w:rFonts w:ascii="Arial Narrow" w:hAnsi="Arial Narrow"/>
          <w:sz w:val="18"/>
          <w:szCs w:val="18"/>
        </w:rPr>
        <w:t xml:space="preserve"> I, Caty A, </w:t>
      </w:r>
      <w:r w:rsidR="00C525D5" w:rsidRPr="002B6EC9">
        <w:rPr>
          <w:rFonts w:ascii="Arial Narrow" w:hAnsi="Arial Narrow"/>
          <w:sz w:val="18"/>
          <w:szCs w:val="18"/>
        </w:rPr>
        <w:t>et al</w:t>
      </w:r>
      <w:r w:rsidRPr="002B6EC9">
        <w:rPr>
          <w:rFonts w:ascii="Arial Narrow" w:hAnsi="Arial Narrow"/>
          <w:sz w:val="18"/>
          <w:szCs w:val="18"/>
        </w:rPr>
        <w:t>. Effect of Adding Docetaxel to Androgen-Deprivation Therapy in Patients With High-Risk Prostate Cancer With Rising Prostate-Specific Antigen Levels After Primary Local Therapy: A Randomized Clinical Trial. JAMA Oncol. 2019 May 1;5(5):623-632. doi: 10.1001/jamaoncol.2018.6607. PMID: 30703190; PMCID: PMC6512307.</w:t>
      </w:r>
    </w:p>
  </w:footnote>
  <w:footnote w:id="21">
    <w:p w14:paraId="6D9D7F35" w14:textId="6C4CD7B0" w:rsidR="006619E7" w:rsidRDefault="006619E7" w:rsidP="006619E7">
      <w:pPr>
        <w:pStyle w:val="FootnoteText"/>
        <w:rPr>
          <w:lang w:val="en-US"/>
        </w:rPr>
      </w:pPr>
      <w:r w:rsidRPr="002B6EC9">
        <w:rPr>
          <w:rStyle w:val="FootnoteReference"/>
          <w:rFonts w:ascii="Arial Narrow" w:hAnsi="Arial Narrow"/>
          <w:sz w:val="18"/>
          <w:szCs w:val="18"/>
        </w:rPr>
        <w:footnoteRef/>
      </w:r>
      <w:r w:rsidRPr="002B6EC9">
        <w:rPr>
          <w:rFonts w:ascii="Arial Narrow" w:hAnsi="Arial Narrow"/>
          <w:sz w:val="18"/>
          <w:szCs w:val="18"/>
        </w:rPr>
        <w:t xml:space="preserve"> Svensson J, </w:t>
      </w:r>
      <w:proofErr w:type="spellStart"/>
      <w:r w:rsidRPr="002B6EC9">
        <w:rPr>
          <w:rFonts w:ascii="Arial Narrow" w:hAnsi="Arial Narrow"/>
          <w:sz w:val="18"/>
          <w:szCs w:val="18"/>
        </w:rPr>
        <w:t>Lissbrant</w:t>
      </w:r>
      <w:proofErr w:type="spellEnd"/>
      <w:r w:rsidRPr="002B6EC9">
        <w:rPr>
          <w:rFonts w:ascii="Arial Narrow" w:hAnsi="Arial Narrow"/>
          <w:sz w:val="18"/>
          <w:szCs w:val="18"/>
        </w:rPr>
        <w:t xml:space="preserve"> IF, </w:t>
      </w:r>
      <w:proofErr w:type="spellStart"/>
      <w:r w:rsidRPr="002B6EC9">
        <w:rPr>
          <w:rFonts w:ascii="Arial Narrow" w:hAnsi="Arial Narrow"/>
          <w:sz w:val="18"/>
          <w:szCs w:val="18"/>
        </w:rPr>
        <w:t>Gauffin</w:t>
      </w:r>
      <w:proofErr w:type="spellEnd"/>
      <w:r w:rsidRPr="002B6EC9">
        <w:rPr>
          <w:rFonts w:ascii="Arial Narrow" w:hAnsi="Arial Narrow"/>
          <w:sz w:val="18"/>
          <w:szCs w:val="18"/>
        </w:rPr>
        <w:t xml:space="preserve"> O, </w:t>
      </w:r>
      <w:r w:rsidR="00C525D5" w:rsidRPr="002B6EC9">
        <w:rPr>
          <w:rFonts w:ascii="Arial Narrow" w:hAnsi="Arial Narrow"/>
          <w:sz w:val="18"/>
          <w:szCs w:val="18"/>
        </w:rPr>
        <w:t>et al</w:t>
      </w:r>
      <w:r w:rsidRPr="002B6EC9">
        <w:rPr>
          <w:rFonts w:ascii="Arial Narrow" w:hAnsi="Arial Narrow"/>
          <w:sz w:val="18"/>
          <w:szCs w:val="18"/>
        </w:rPr>
        <w:t>. Time spent in hormone-sensitive and castration-resistant disease states in men with advanced prostate cancer, and its health economic impact: registry-based study in Sweden. Scand J Urol. 2021 Feb;55(1):1-8. doi: 10.1080/21681805.2020.1851762. Epub 2020 Dec 10. PMID: 33300403.</w:t>
      </w:r>
    </w:p>
  </w:footnote>
  <w:footnote w:id="22">
    <w:p w14:paraId="27D5F72C" w14:textId="77777777" w:rsidR="00E16BBF" w:rsidRPr="00650339" w:rsidRDefault="00E16BBF" w:rsidP="00E16BBF">
      <w:pPr>
        <w:pStyle w:val="FootnoteText"/>
        <w:rPr>
          <w:rFonts w:ascii="Arial Narrow" w:hAnsi="Arial Narrow"/>
          <w:sz w:val="18"/>
          <w:szCs w:val="18"/>
          <w:lang w:val="en-US"/>
        </w:rPr>
      </w:pPr>
      <w:r w:rsidRPr="00650339">
        <w:rPr>
          <w:rStyle w:val="FootnoteReference"/>
          <w:rFonts w:ascii="Arial Narrow" w:hAnsi="Arial Narrow"/>
          <w:sz w:val="18"/>
          <w:szCs w:val="18"/>
        </w:rPr>
        <w:footnoteRef/>
      </w:r>
      <w:r w:rsidRPr="00650339">
        <w:rPr>
          <w:rFonts w:ascii="Arial Narrow" w:hAnsi="Arial Narrow"/>
          <w:sz w:val="18"/>
          <w:szCs w:val="18"/>
        </w:rPr>
        <w:t xml:space="preserve"> Ong WL, </w:t>
      </w:r>
      <w:proofErr w:type="spellStart"/>
      <w:r w:rsidRPr="00650339">
        <w:rPr>
          <w:rFonts w:ascii="Arial Narrow" w:hAnsi="Arial Narrow"/>
          <w:sz w:val="18"/>
          <w:szCs w:val="18"/>
        </w:rPr>
        <w:t>Krishnaprasad</w:t>
      </w:r>
      <w:proofErr w:type="spellEnd"/>
      <w:r w:rsidRPr="00650339">
        <w:rPr>
          <w:rFonts w:ascii="Arial Narrow" w:hAnsi="Arial Narrow"/>
          <w:sz w:val="18"/>
          <w:szCs w:val="18"/>
        </w:rPr>
        <w:t xml:space="preserve"> K, Bensley J, et al. Prostate Cancer Across Australia and New Zealand PCOR-ANZ 2015-2021 Annual Report 2023, March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279CAB48" w:rsidR="006619E7" w:rsidRPr="005F32DC" w:rsidRDefault="007326D8" w:rsidP="00D822E2">
    <w:pPr>
      <w:pStyle w:val="Header"/>
      <w:rPr>
        <w:rFonts w:asciiTheme="minorHAnsi" w:hAnsiTheme="minorHAnsi"/>
        <w:i w:val="0"/>
      </w:rPr>
    </w:pPr>
    <w:r w:rsidRPr="005F32DC">
      <w:rPr>
        <w:rFonts w:asciiTheme="minorHAnsi" w:hAnsiTheme="minorHAnsi"/>
      </w:rPr>
      <w:t xml:space="preserve">Public Summary Document </w:t>
    </w:r>
    <w:r w:rsidR="00E16BBF" w:rsidRPr="005F32DC">
      <w:rPr>
        <w:rFonts w:asciiTheme="minorHAnsi" w:hAnsiTheme="minorHAnsi"/>
      </w:rPr>
      <w:t>-</w:t>
    </w:r>
    <w:r w:rsidR="006C6FD9" w:rsidRPr="005F32DC">
      <w:rPr>
        <w:rFonts w:asciiTheme="minorHAnsi" w:hAnsiTheme="minorHAnsi"/>
      </w:rPr>
      <w:t xml:space="preserve"> </w:t>
    </w:r>
    <w:r w:rsidR="006619E7" w:rsidRPr="005F32DC">
      <w:rPr>
        <w:rFonts w:asciiTheme="minorHAnsi" w:hAnsiTheme="minorHAnsi"/>
      </w:rPr>
      <w:t>November 2024 PBAC Meeting</w:t>
    </w:r>
  </w:p>
  <w:p w14:paraId="03AF943B" w14:textId="77777777" w:rsidR="006619E7" w:rsidRPr="008C7ECB" w:rsidRDefault="006619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BC7AB0"/>
    <w:multiLevelType w:val="hybridMultilevel"/>
    <w:tmpl w:val="F9B8C5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D7258A"/>
    <w:multiLevelType w:val="multilevel"/>
    <w:tmpl w:val="9E4EAFF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219F8"/>
    <w:multiLevelType w:val="hybridMultilevel"/>
    <w:tmpl w:val="D396B7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BA350D"/>
    <w:multiLevelType w:val="hybridMultilevel"/>
    <w:tmpl w:val="0614A2CE"/>
    <w:lvl w:ilvl="0" w:tplc="E4E6F51E">
      <w:start w:val="6"/>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E34133"/>
    <w:multiLevelType w:val="hybridMultilevel"/>
    <w:tmpl w:val="E926D614"/>
    <w:lvl w:ilvl="0" w:tplc="4DB45178">
      <w:start w:val="1"/>
      <w:numFmt w:val="bullet"/>
      <w:lvlText w:val="•"/>
      <w:lvlJc w:val="left"/>
      <w:pPr>
        <w:tabs>
          <w:tab w:val="num" w:pos="720"/>
        </w:tabs>
        <w:ind w:left="720" w:hanging="360"/>
      </w:pPr>
      <w:rPr>
        <w:rFonts w:ascii="Arial" w:hAnsi="Arial" w:hint="default"/>
      </w:rPr>
    </w:lvl>
    <w:lvl w:ilvl="1" w:tplc="C5A005A2">
      <w:start w:val="1"/>
      <w:numFmt w:val="bullet"/>
      <w:lvlText w:val="•"/>
      <w:lvlJc w:val="left"/>
      <w:pPr>
        <w:tabs>
          <w:tab w:val="num" w:pos="1440"/>
        </w:tabs>
        <w:ind w:left="1440" w:hanging="360"/>
      </w:pPr>
      <w:rPr>
        <w:rFonts w:ascii="Arial" w:hAnsi="Arial" w:hint="default"/>
      </w:rPr>
    </w:lvl>
    <w:lvl w:ilvl="2" w:tplc="52E44C70" w:tentative="1">
      <w:start w:val="1"/>
      <w:numFmt w:val="bullet"/>
      <w:lvlText w:val="•"/>
      <w:lvlJc w:val="left"/>
      <w:pPr>
        <w:tabs>
          <w:tab w:val="num" w:pos="2160"/>
        </w:tabs>
        <w:ind w:left="2160" w:hanging="360"/>
      </w:pPr>
      <w:rPr>
        <w:rFonts w:ascii="Arial" w:hAnsi="Arial" w:hint="default"/>
      </w:rPr>
    </w:lvl>
    <w:lvl w:ilvl="3" w:tplc="B9DA997A" w:tentative="1">
      <w:start w:val="1"/>
      <w:numFmt w:val="bullet"/>
      <w:lvlText w:val="•"/>
      <w:lvlJc w:val="left"/>
      <w:pPr>
        <w:tabs>
          <w:tab w:val="num" w:pos="2880"/>
        </w:tabs>
        <w:ind w:left="2880" w:hanging="360"/>
      </w:pPr>
      <w:rPr>
        <w:rFonts w:ascii="Arial" w:hAnsi="Arial" w:hint="default"/>
      </w:rPr>
    </w:lvl>
    <w:lvl w:ilvl="4" w:tplc="54F849EA" w:tentative="1">
      <w:start w:val="1"/>
      <w:numFmt w:val="bullet"/>
      <w:lvlText w:val="•"/>
      <w:lvlJc w:val="left"/>
      <w:pPr>
        <w:tabs>
          <w:tab w:val="num" w:pos="3600"/>
        </w:tabs>
        <w:ind w:left="3600" w:hanging="360"/>
      </w:pPr>
      <w:rPr>
        <w:rFonts w:ascii="Arial" w:hAnsi="Arial" w:hint="default"/>
      </w:rPr>
    </w:lvl>
    <w:lvl w:ilvl="5" w:tplc="03A62FAA" w:tentative="1">
      <w:start w:val="1"/>
      <w:numFmt w:val="bullet"/>
      <w:lvlText w:val="•"/>
      <w:lvlJc w:val="left"/>
      <w:pPr>
        <w:tabs>
          <w:tab w:val="num" w:pos="4320"/>
        </w:tabs>
        <w:ind w:left="4320" w:hanging="360"/>
      </w:pPr>
      <w:rPr>
        <w:rFonts w:ascii="Arial" w:hAnsi="Arial" w:hint="default"/>
      </w:rPr>
    </w:lvl>
    <w:lvl w:ilvl="6" w:tplc="F96C4966" w:tentative="1">
      <w:start w:val="1"/>
      <w:numFmt w:val="bullet"/>
      <w:lvlText w:val="•"/>
      <w:lvlJc w:val="left"/>
      <w:pPr>
        <w:tabs>
          <w:tab w:val="num" w:pos="5040"/>
        </w:tabs>
        <w:ind w:left="5040" w:hanging="360"/>
      </w:pPr>
      <w:rPr>
        <w:rFonts w:ascii="Arial" w:hAnsi="Arial" w:hint="default"/>
      </w:rPr>
    </w:lvl>
    <w:lvl w:ilvl="7" w:tplc="45983F8C" w:tentative="1">
      <w:start w:val="1"/>
      <w:numFmt w:val="bullet"/>
      <w:lvlText w:val="•"/>
      <w:lvlJc w:val="left"/>
      <w:pPr>
        <w:tabs>
          <w:tab w:val="num" w:pos="5760"/>
        </w:tabs>
        <w:ind w:left="5760" w:hanging="360"/>
      </w:pPr>
      <w:rPr>
        <w:rFonts w:ascii="Arial" w:hAnsi="Arial" w:hint="default"/>
      </w:rPr>
    </w:lvl>
    <w:lvl w:ilvl="8" w:tplc="2C68101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C701120"/>
    <w:multiLevelType w:val="hybridMultilevel"/>
    <w:tmpl w:val="3928004E"/>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0D131B"/>
    <w:multiLevelType w:val="hybridMultilevel"/>
    <w:tmpl w:val="3BE4E65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1902674"/>
    <w:multiLevelType w:val="hybridMultilevel"/>
    <w:tmpl w:val="6E86623E"/>
    <w:lvl w:ilvl="0" w:tplc="5374E4C8">
      <w:start w:val="1"/>
      <w:numFmt w:val="decimal"/>
      <w:lvlText w:val="%1."/>
      <w:lvlJc w:val="left"/>
      <w:pPr>
        <w:ind w:left="360" w:hanging="360"/>
      </w:pPr>
      <w:rPr>
        <w:b w:val="0"/>
        <w:bCs/>
      </w:rPr>
    </w:lvl>
    <w:lvl w:ilvl="1" w:tplc="658044D2">
      <w:start w:val="1"/>
      <w:numFmt w:val="lowerLetter"/>
      <w:lvlText w:val="%2."/>
      <w:lvlJc w:val="left"/>
      <w:pPr>
        <w:ind w:left="1080" w:hanging="360"/>
      </w:pPr>
      <w:rPr>
        <w:b w:val="0"/>
        <w:bCs w:val="0"/>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1F95EC1"/>
    <w:multiLevelType w:val="multilevel"/>
    <w:tmpl w:val="1C72A04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C94108"/>
    <w:multiLevelType w:val="hybridMultilevel"/>
    <w:tmpl w:val="168E9F5A"/>
    <w:lvl w:ilvl="0" w:tplc="D540AE9C">
      <w:start w:val="10"/>
      <w:numFmt w:val="decimal"/>
      <w:lvlText w:val="%1."/>
      <w:lvlJc w:val="left"/>
      <w:pPr>
        <w:ind w:left="360" w:hanging="360"/>
      </w:pPr>
      <w:rPr>
        <w:rFonts w:hint="default"/>
        <w:b w:val="0"/>
        <w:bCs/>
        <w:i/>
        <w:i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137634"/>
    <w:multiLevelType w:val="hybridMultilevel"/>
    <w:tmpl w:val="0BD8BD1C"/>
    <w:lvl w:ilvl="0" w:tplc="7C0A15A8">
      <w:start w:val="1"/>
      <w:numFmt w:val="bullet"/>
      <w:lvlText w:val="•"/>
      <w:lvlJc w:val="left"/>
      <w:pPr>
        <w:tabs>
          <w:tab w:val="num" w:pos="720"/>
        </w:tabs>
        <w:ind w:left="720" w:hanging="360"/>
      </w:pPr>
      <w:rPr>
        <w:rFonts w:ascii="Arial" w:hAnsi="Arial" w:hint="default"/>
      </w:rPr>
    </w:lvl>
    <w:lvl w:ilvl="1" w:tplc="4904AE6E">
      <w:start w:val="1"/>
      <w:numFmt w:val="bullet"/>
      <w:lvlText w:val="•"/>
      <w:lvlJc w:val="left"/>
      <w:pPr>
        <w:tabs>
          <w:tab w:val="num" w:pos="1440"/>
        </w:tabs>
        <w:ind w:left="1440" w:hanging="360"/>
      </w:pPr>
      <w:rPr>
        <w:rFonts w:ascii="Arial" w:hAnsi="Arial" w:hint="default"/>
      </w:rPr>
    </w:lvl>
    <w:lvl w:ilvl="2" w:tplc="2A72C888" w:tentative="1">
      <w:start w:val="1"/>
      <w:numFmt w:val="bullet"/>
      <w:lvlText w:val="•"/>
      <w:lvlJc w:val="left"/>
      <w:pPr>
        <w:tabs>
          <w:tab w:val="num" w:pos="2160"/>
        </w:tabs>
        <w:ind w:left="2160" w:hanging="360"/>
      </w:pPr>
      <w:rPr>
        <w:rFonts w:ascii="Arial" w:hAnsi="Arial" w:hint="default"/>
      </w:rPr>
    </w:lvl>
    <w:lvl w:ilvl="3" w:tplc="BC660F08" w:tentative="1">
      <w:start w:val="1"/>
      <w:numFmt w:val="bullet"/>
      <w:lvlText w:val="•"/>
      <w:lvlJc w:val="left"/>
      <w:pPr>
        <w:tabs>
          <w:tab w:val="num" w:pos="2880"/>
        </w:tabs>
        <w:ind w:left="2880" w:hanging="360"/>
      </w:pPr>
      <w:rPr>
        <w:rFonts w:ascii="Arial" w:hAnsi="Arial" w:hint="default"/>
      </w:rPr>
    </w:lvl>
    <w:lvl w:ilvl="4" w:tplc="EB54B74C" w:tentative="1">
      <w:start w:val="1"/>
      <w:numFmt w:val="bullet"/>
      <w:lvlText w:val="•"/>
      <w:lvlJc w:val="left"/>
      <w:pPr>
        <w:tabs>
          <w:tab w:val="num" w:pos="3600"/>
        </w:tabs>
        <w:ind w:left="3600" w:hanging="360"/>
      </w:pPr>
      <w:rPr>
        <w:rFonts w:ascii="Arial" w:hAnsi="Arial" w:hint="default"/>
      </w:rPr>
    </w:lvl>
    <w:lvl w:ilvl="5" w:tplc="818E9B76" w:tentative="1">
      <w:start w:val="1"/>
      <w:numFmt w:val="bullet"/>
      <w:lvlText w:val="•"/>
      <w:lvlJc w:val="left"/>
      <w:pPr>
        <w:tabs>
          <w:tab w:val="num" w:pos="4320"/>
        </w:tabs>
        <w:ind w:left="4320" w:hanging="360"/>
      </w:pPr>
      <w:rPr>
        <w:rFonts w:ascii="Arial" w:hAnsi="Arial" w:hint="default"/>
      </w:rPr>
    </w:lvl>
    <w:lvl w:ilvl="6" w:tplc="74542EFA" w:tentative="1">
      <w:start w:val="1"/>
      <w:numFmt w:val="bullet"/>
      <w:lvlText w:val="•"/>
      <w:lvlJc w:val="left"/>
      <w:pPr>
        <w:tabs>
          <w:tab w:val="num" w:pos="5040"/>
        </w:tabs>
        <w:ind w:left="5040" w:hanging="360"/>
      </w:pPr>
      <w:rPr>
        <w:rFonts w:ascii="Arial" w:hAnsi="Arial" w:hint="default"/>
      </w:rPr>
    </w:lvl>
    <w:lvl w:ilvl="7" w:tplc="8642F222" w:tentative="1">
      <w:start w:val="1"/>
      <w:numFmt w:val="bullet"/>
      <w:lvlText w:val="•"/>
      <w:lvlJc w:val="left"/>
      <w:pPr>
        <w:tabs>
          <w:tab w:val="num" w:pos="5760"/>
        </w:tabs>
        <w:ind w:left="5760" w:hanging="360"/>
      </w:pPr>
      <w:rPr>
        <w:rFonts w:ascii="Arial" w:hAnsi="Arial" w:hint="default"/>
      </w:rPr>
    </w:lvl>
    <w:lvl w:ilvl="8" w:tplc="BDEED2A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F577C0F"/>
    <w:multiLevelType w:val="multilevel"/>
    <w:tmpl w:val="CEEAA28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EC6BC1"/>
    <w:multiLevelType w:val="hybridMultilevel"/>
    <w:tmpl w:val="123AA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6B2755"/>
    <w:multiLevelType w:val="hybridMultilevel"/>
    <w:tmpl w:val="908CC49E"/>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2ED6A07"/>
    <w:multiLevelType w:val="hybridMultilevel"/>
    <w:tmpl w:val="2F042D90"/>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3A73CDE"/>
    <w:multiLevelType w:val="multilevel"/>
    <w:tmpl w:val="19B82392"/>
    <w:lvl w:ilvl="0">
      <w:start w:val="1"/>
      <w:numFmt w:val="decimal"/>
      <w:lvlText w:val="%1"/>
      <w:lvlJc w:val="left"/>
      <w:pPr>
        <w:ind w:left="720" w:hanging="720"/>
      </w:pPr>
      <w:rPr>
        <w:rFonts w:hint="default"/>
        <w:b/>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1F5076"/>
    <w:multiLevelType w:val="hybridMultilevel"/>
    <w:tmpl w:val="B622D54E"/>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C91F6F"/>
    <w:multiLevelType w:val="hybridMultilevel"/>
    <w:tmpl w:val="54D02B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692E2D"/>
    <w:multiLevelType w:val="multilevel"/>
    <w:tmpl w:val="1C72A04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4D033C"/>
    <w:multiLevelType w:val="multilevel"/>
    <w:tmpl w:val="CCAC6A0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9186985"/>
    <w:multiLevelType w:val="hybridMultilevel"/>
    <w:tmpl w:val="578C221E"/>
    <w:lvl w:ilvl="0" w:tplc="0C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9904DE8"/>
    <w:multiLevelType w:val="hybridMultilevel"/>
    <w:tmpl w:val="976A23D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ABE21D0"/>
    <w:multiLevelType w:val="hybridMultilevel"/>
    <w:tmpl w:val="DBB40DA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BF83548"/>
    <w:multiLevelType w:val="multilevel"/>
    <w:tmpl w:val="1C72A04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42557353">
    <w:abstractNumId w:val="33"/>
  </w:num>
  <w:num w:numId="2" w16cid:durableId="2067223087">
    <w:abstractNumId w:val="17"/>
  </w:num>
  <w:num w:numId="3" w16cid:durableId="1386679403">
    <w:abstractNumId w:val="6"/>
  </w:num>
  <w:num w:numId="4" w16cid:durableId="2130853932">
    <w:abstractNumId w:val="28"/>
  </w:num>
  <w:num w:numId="5" w16cid:durableId="1432701334">
    <w:abstractNumId w:val="33"/>
  </w:num>
  <w:num w:numId="6" w16cid:durableId="1299841599">
    <w:abstractNumId w:val="5"/>
  </w:num>
  <w:num w:numId="7" w16cid:durableId="1134904717">
    <w:abstractNumId w:val="4"/>
  </w:num>
  <w:num w:numId="8" w16cid:durableId="1779446404">
    <w:abstractNumId w:val="22"/>
  </w:num>
  <w:num w:numId="9" w16cid:durableId="24411810">
    <w:abstractNumId w:val="30"/>
  </w:num>
  <w:num w:numId="10" w16cid:durableId="1716543975">
    <w:abstractNumId w:val="14"/>
  </w:num>
  <w:num w:numId="11" w16cid:durableId="1583173184">
    <w:abstractNumId w:val="16"/>
  </w:num>
  <w:num w:numId="12" w16cid:durableId="1390568255">
    <w:abstractNumId w:val="34"/>
  </w:num>
  <w:num w:numId="13" w16cid:durableId="729882957">
    <w:abstractNumId w:val="23"/>
  </w:num>
  <w:num w:numId="14" w16cid:durableId="1634368586">
    <w:abstractNumId w:val="1"/>
  </w:num>
  <w:num w:numId="15" w16cid:durableId="944654351">
    <w:abstractNumId w:val="11"/>
  </w:num>
  <w:num w:numId="16" w16cid:durableId="358893554">
    <w:abstractNumId w:val="35"/>
  </w:num>
  <w:num w:numId="17" w16cid:durableId="1826125861">
    <w:abstractNumId w:val="36"/>
  </w:num>
  <w:num w:numId="18" w16cid:durableId="964039981">
    <w:abstractNumId w:val="13"/>
  </w:num>
  <w:num w:numId="19" w16cid:durableId="1540974454">
    <w:abstractNumId w:val="27"/>
  </w:num>
  <w:num w:numId="20" w16cid:durableId="544608141">
    <w:abstractNumId w:val="29"/>
  </w:num>
  <w:num w:numId="21" w16cid:durableId="1938638960">
    <w:abstractNumId w:val="9"/>
  </w:num>
  <w:num w:numId="22" w16cid:durableId="1607229227">
    <w:abstractNumId w:val="25"/>
  </w:num>
  <w:num w:numId="23" w16cid:durableId="1660116426">
    <w:abstractNumId w:val="2"/>
  </w:num>
  <w:num w:numId="24" w16cid:durableId="1573005167">
    <w:abstractNumId w:val="20"/>
  </w:num>
  <w:num w:numId="25" w16cid:durableId="408699874">
    <w:abstractNumId w:val="21"/>
  </w:num>
  <w:num w:numId="26" w16cid:durableId="1569418770">
    <w:abstractNumId w:val="3"/>
  </w:num>
  <w:num w:numId="27" w16cid:durableId="705176722">
    <w:abstractNumId w:val="0"/>
  </w:num>
  <w:num w:numId="28" w16cid:durableId="1926569401">
    <w:abstractNumId w:val="8"/>
  </w:num>
  <w:num w:numId="29" w16cid:durableId="1979457665">
    <w:abstractNumId w:val="12"/>
  </w:num>
  <w:num w:numId="30" w16cid:durableId="2038313566">
    <w:abstractNumId w:val="7"/>
  </w:num>
  <w:num w:numId="31" w16cid:durableId="129744317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997201">
    <w:abstractNumId w:val="31"/>
  </w:num>
  <w:num w:numId="33" w16cid:durableId="1565532321">
    <w:abstractNumId w:val="18"/>
  </w:num>
  <w:num w:numId="34" w16cid:durableId="669260763">
    <w:abstractNumId w:val="19"/>
  </w:num>
  <w:num w:numId="35" w16cid:durableId="1295986640">
    <w:abstractNumId w:val="26"/>
  </w:num>
  <w:num w:numId="36" w16cid:durableId="997730686">
    <w:abstractNumId w:val="37"/>
  </w:num>
  <w:num w:numId="37" w16cid:durableId="397559243">
    <w:abstractNumId w:val="15"/>
  </w:num>
  <w:num w:numId="38" w16cid:durableId="1067074753">
    <w:abstractNumId w:val="32"/>
  </w:num>
  <w:num w:numId="39" w16cid:durableId="374670053">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2ACE"/>
    <w:rsid w:val="00003499"/>
    <w:rsid w:val="000036C0"/>
    <w:rsid w:val="000039B7"/>
    <w:rsid w:val="00003D4A"/>
    <w:rsid w:val="00005186"/>
    <w:rsid w:val="000056B9"/>
    <w:rsid w:val="000059B0"/>
    <w:rsid w:val="00005C0B"/>
    <w:rsid w:val="00005DB8"/>
    <w:rsid w:val="0000639A"/>
    <w:rsid w:val="000126DF"/>
    <w:rsid w:val="00012C0E"/>
    <w:rsid w:val="00013247"/>
    <w:rsid w:val="00015886"/>
    <w:rsid w:val="00015F9D"/>
    <w:rsid w:val="000162EF"/>
    <w:rsid w:val="0001704C"/>
    <w:rsid w:val="000207C9"/>
    <w:rsid w:val="00021745"/>
    <w:rsid w:val="00021F5B"/>
    <w:rsid w:val="0002225F"/>
    <w:rsid w:val="000236FD"/>
    <w:rsid w:val="00023763"/>
    <w:rsid w:val="00023BF5"/>
    <w:rsid w:val="00024015"/>
    <w:rsid w:val="00024EB5"/>
    <w:rsid w:val="0002544B"/>
    <w:rsid w:val="000269E0"/>
    <w:rsid w:val="00026A19"/>
    <w:rsid w:val="000274B8"/>
    <w:rsid w:val="00030744"/>
    <w:rsid w:val="00032330"/>
    <w:rsid w:val="0003244C"/>
    <w:rsid w:val="00033863"/>
    <w:rsid w:val="000339F6"/>
    <w:rsid w:val="00035DC0"/>
    <w:rsid w:val="00036829"/>
    <w:rsid w:val="00036FCB"/>
    <w:rsid w:val="000378C7"/>
    <w:rsid w:val="00040747"/>
    <w:rsid w:val="00040895"/>
    <w:rsid w:val="000410A0"/>
    <w:rsid w:val="00042337"/>
    <w:rsid w:val="000435EE"/>
    <w:rsid w:val="00043BE8"/>
    <w:rsid w:val="00043C37"/>
    <w:rsid w:val="00045017"/>
    <w:rsid w:val="00045A2B"/>
    <w:rsid w:val="0004612D"/>
    <w:rsid w:val="00046359"/>
    <w:rsid w:val="0004698F"/>
    <w:rsid w:val="00046D64"/>
    <w:rsid w:val="000508C2"/>
    <w:rsid w:val="000539D0"/>
    <w:rsid w:val="00054621"/>
    <w:rsid w:val="000546D7"/>
    <w:rsid w:val="00054A8D"/>
    <w:rsid w:val="00055166"/>
    <w:rsid w:val="000552E4"/>
    <w:rsid w:val="0005597E"/>
    <w:rsid w:val="000561C6"/>
    <w:rsid w:val="00056740"/>
    <w:rsid w:val="00056759"/>
    <w:rsid w:val="00056829"/>
    <w:rsid w:val="00056968"/>
    <w:rsid w:val="000569CE"/>
    <w:rsid w:val="00056ECF"/>
    <w:rsid w:val="000570FA"/>
    <w:rsid w:val="000604DF"/>
    <w:rsid w:val="000606CD"/>
    <w:rsid w:val="000612A0"/>
    <w:rsid w:val="000613D5"/>
    <w:rsid w:val="00062324"/>
    <w:rsid w:val="000627FE"/>
    <w:rsid w:val="00062E10"/>
    <w:rsid w:val="000636B3"/>
    <w:rsid w:val="00063B71"/>
    <w:rsid w:val="000653B5"/>
    <w:rsid w:val="0006546A"/>
    <w:rsid w:val="00066360"/>
    <w:rsid w:val="00066AF8"/>
    <w:rsid w:val="00070B90"/>
    <w:rsid w:val="00071248"/>
    <w:rsid w:val="000720B9"/>
    <w:rsid w:val="000731BE"/>
    <w:rsid w:val="0007326F"/>
    <w:rsid w:val="000737F7"/>
    <w:rsid w:val="00075A49"/>
    <w:rsid w:val="00075D56"/>
    <w:rsid w:val="00076075"/>
    <w:rsid w:val="0007672F"/>
    <w:rsid w:val="00076B54"/>
    <w:rsid w:val="00076C7F"/>
    <w:rsid w:val="000774F0"/>
    <w:rsid w:val="0008011C"/>
    <w:rsid w:val="00080909"/>
    <w:rsid w:val="000812CA"/>
    <w:rsid w:val="00081516"/>
    <w:rsid w:val="00081E63"/>
    <w:rsid w:val="0008258D"/>
    <w:rsid w:val="00083E99"/>
    <w:rsid w:val="00083F66"/>
    <w:rsid w:val="000844DB"/>
    <w:rsid w:val="00084C8E"/>
    <w:rsid w:val="00084FA8"/>
    <w:rsid w:val="000856C5"/>
    <w:rsid w:val="00085C31"/>
    <w:rsid w:val="000866EB"/>
    <w:rsid w:val="00086ADB"/>
    <w:rsid w:val="000871C6"/>
    <w:rsid w:val="000902D9"/>
    <w:rsid w:val="00090C7E"/>
    <w:rsid w:val="000911AC"/>
    <w:rsid w:val="00092077"/>
    <w:rsid w:val="00092600"/>
    <w:rsid w:val="0009262B"/>
    <w:rsid w:val="00093310"/>
    <w:rsid w:val="00093702"/>
    <w:rsid w:val="000940D7"/>
    <w:rsid w:val="000941B2"/>
    <w:rsid w:val="0009445C"/>
    <w:rsid w:val="00094EDD"/>
    <w:rsid w:val="00095200"/>
    <w:rsid w:val="0009534D"/>
    <w:rsid w:val="00095FE5"/>
    <w:rsid w:val="00096284"/>
    <w:rsid w:val="000972A9"/>
    <w:rsid w:val="000A1376"/>
    <w:rsid w:val="000A1BC0"/>
    <w:rsid w:val="000A2F9E"/>
    <w:rsid w:val="000A3E47"/>
    <w:rsid w:val="000A4B21"/>
    <w:rsid w:val="000A50CC"/>
    <w:rsid w:val="000A522B"/>
    <w:rsid w:val="000A5785"/>
    <w:rsid w:val="000A582E"/>
    <w:rsid w:val="000A5FE7"/>
    <w:rsid w:val="000A6039"/>
    <w:rsid w:val="000A7453"/>
    <w:rsid w:val="000A7AE4"/>
    <w:rsid w:val="000A7B77"/>
    <w:rsid w:val="000A7C84"/>
    <w:rsid w:val="000A7D08"/>
    <w:rsid w:val="000A7D16"/>
    <w:rsid w:val="000B0121"/>
    <w:rsid w:val="000B0670"/>
    <w:rsid w:val="000B0A95"/>
    <w:rsid w:val="000B0B23"/>
    <w:rsid w:val="000B0E75"/>
    <w:rsid w:val="000B14EF"/>
    <w:rsid w:val="000B2DCB"/>
    <w:rsid w:val="000B3D65"/>
    <w:rsid w:val="000B4218"/>
    <w:rsid w:val="000B57A3"/>
    <w:rsid w:val="000B5CE0"/>
    <w:rsid w:val="000B5EF4"/>
    <w:rsid w:val="000B6CAC"/>
    <w:rsid w:val="000B73BC"/>
    <w:rsid w:val="000B7612"/>
    <w:rsid w:val="000B78AE"/>
    <w:rsid w:val="000B7BE3"/>
    <w:rsid w:val="000B7CCB"/>
    <w:rsid w:val="000B7D98"/>
    <w:rsid w:val="000B7E13"/>
    <w:rsid w:val="000C09F2"/>
    <w:rsid w:val="000C0C4F"/>
    <w:rsid w:val="000C2DD5"/>
    <w:rsid w:val="000C3351"/>
    <w:rsid w:val="000C3C2E"/>
    <w:rsid w:val="000C3DF9"/>
    <w:rsid w:val="000C4CF2"/>
    <w:rsid w:val="000C4DDB"/>
    <w:rsid w:val="000C50E8"/>
    <w:rsid w:val="000C5DF2"/>
    <w:rsid w:val="000C6713"/>
    <w:rsid w:val="000C7572"/>
    <w:rsid w:val="000C7737"/>
    <w:rsid w:val="000D19D5"/>
    <w:rsid w:val="000D1BFC"/>
    <w:rsid w:val="000D1CF7"/>
    <w:rsid w:val="000D1D5D"/>
    <w:rsid w:val="000D281A"/>
    <w:rsid w:val="000D2848"/>
    <w:rsid w:val="000D326A"/>
    <w:rsid w:val="000D3ECC"/>
    <w:rsid w:val="000D3FB2"/>
    <w:rsid w:val="000D51FB"/>
    <w:rsid w:val="000D7635"/>
    <w:rsid w:val="000D77B1"/>
    <w:rsid w:val="000E0640"/>
    <w:rsid w:val="000E135D"/>
    <w:rsid w:val="000E2222"/>
    <w:rsid w:val="000E3611"/>
    <w:rsid w:val="000E3B66"/>
    <w:rsid w:val="000E5DE2"/>
    <w:rsid w:val="000E73BD"/>
    <w:rsid w:val="000F00BA"/>
    <w:rsid w:val="000F24A9"/>
    <w:rsid w:val="000F2F3A"/>
    <w:rsid w:val="000F316A"/>
    <w:rsid w:val="000F3197"/>
    <w:rsid w:val="000F3C74"/>
    <w:rsid w:val="000F4756"/>
    <w:rsid w:val="000F4BB8"/>
    <w:rsid w:val="000F4FA9"/>
    <w:rsid w:val="000F53FB"/>
    <w:rsid w:val="000F5843"/>
    <w:rsid w:val="000F5BBC"/>
    <w:rsid w:val="000F68C6"/>
    <w:rsid w:val="000F7127"/>
    <w:rsid w:val="000F7B54"/>
    <w:rsid w:val="000F7BF0"/>
    <w:rsid w:val="001000B3"/>
    <w:rsid w:val="00100211"/>
    <w:rsid w:val="00100D25"/>
    <w:rsid w:val="00100F8A"/>
    <w:rsid w:val="00102524"/>
    <w:rsid w:val="00102A13"/>
    <w:rsid w:val="0010409C"/>
    <w:rsid w:val="0010447A"/>
    <w:rsid w:val="0010452E"/>
    <w:rsid w:val="00104C85"/>
    <w:rsid w:val="00105317"/>
    <w:rsid w:val="0010586E"/>
    <w:rsid w:val="00105AE2"/>
    <w:rsid w:val="001060C6"/>
    <w:rsid w:val="00106700"/>
    <w:rsid w:val="00106B80"/>
    <w:rsid w:val="0011032E"/>
    <w:rsid w:val="00110B12"/>
    <w:rsid w:val="00111600"/>
    <w:rsid w:val="00111D48"/>
    <w:rsid w:val="0011214B"/>
    <w:rsid w:val="00112DC5"/>
    <w:rsid w:val="0011340E"/>
    <w:rsid w:val="0011348B"/>
    <w:rsid w:val="001134A1"/>
    <w:rsid w:val="00113F7B"/>
    <w:rsid w:val="00114360"/>
    <w:rsid w:val="00114575"/>
    <w:rsid w:val="001145D3"/>
    <w:rsid w:val="00115982"/>
    <w:rsid w:val="00115DA0"/>
    <w:rsid w:val="00116C53"/>
    <w:rsid w:val="00120351"/>
    <w:rsid w:val="001206C8"/>
    <w:rsid w:val="001209DB"/>
    <w:rsid w:val="001214E3"/>
    <w:rsid w:val="00121799"/>
    <w:rsid w:val="00121B43"/>
    <w:rsid w:val="001222FC"/>
    <w:rsid w:val="00123902"/>
    <w:rsid w:val="00124A51"/>
    <w:rsid w:val="00125E76"/>
    <w:rsid w:val="00126621"/>
    <w:rsid w:val="00126B1D"/>
    <w:rsid w:val="00126BDA"/>
    <w:rsid w:val="00126FCB"/>
    <w:rsid w:val="00127044"/>
    <w:rsid w:val="00127D01"/>
    <w:rsid w:val="00127DAE"/>
    <w:rsid w:val="001301E9"/>
    <w:rsid w:val="001311BD"/>
    <w:rsid w:val="001311E1"/>
    <w:rsid w:val="0013125C"/>
    <w:rsid w:val="00131D82"/>
    <w:rsid w:val="001322EA"/>
    <w:rsid w:val="00132B22"/>
    <w:rsid w:val="00133D36"/>
    <w:rsid w:val="0013454F"/>
    <w:rsid w:val="00134583"/>
    <w:rsid w:val="00134F86"/>
    <w:rsid w:val="00135C17"/>
    <w:rsid w:val="0013712F"/>
    <w:rsid w:val="00137645"/>
    <w:rsid w:val="00137A3F"/>
    <w:rsid w:val="0014015A"/>
    <w:rsid w:val="00140465"/>
    <w:rsid w:val="001405C0"/>
    <w:rsid w:val="00140846"/>
    <w:rsid w:val="00140E99"/>
    <w:rsid w:val="00142970"/>
    <w:rsid w:val="00142C15"/>
    <w:rsid w:val="00143943"/>
    <w:rsid w:val="00143F67"/>
    <w:rsid w:val="001447DC"/>
    <w:rsid w:val="00144AEA"/>
    <w:rsid w:val="00145234"/>
    <w:rsid w:val="00145540"/>
    <w:rsid w:val="001456B0"/>
    <w:rsid w:val="0014584C"/>
    <w:rsid w:val="00151BBE"/>
    <w:rsid w:val="001541D1"/>
    <w:rsid w:val="001547AB"/>
    <w:rsid w:val="00156F8F"/>
    <w:rsid w:val="00157130"/>
    <w:rsid w:val="001576B1"/>
    <w:rsid w:val="0016001B"/>
    <w:rsid w:val="00160163"/>
    <w:rsid w:val="0016047B"/>
    <w:rsid w:val="00160A4C"/>
    <w:rsid w:val="00161033"/>
    <w:rsid w:val="001613F2"/>
    <w:rsid w:val="00162106"/>
    <w:rsid w:val="00162913"/>
    <w:rsid w:val="00163EFF"/>
    <w:rsid w:val="00163F66"/>
    <w:rsid w:val="0016456F"/>
    <w:rsid w:val="0016478E"/>
    <w:rsid w:val="00165BCC"/>
    <w:rsid w:val="00165EC4"/>
    <w:rsid w:val="001661FB"/>
    <w:rsid w:val="001671A0"/>
    <w:rsid w:val="0016767F"/>
    <w:rsid w:val="00167E86"/>
    <w:rsid w:val="00170B23"/>
    <w:rsid w:val="001714FE"/>
    <w:rsid w:val="0017244E"/>
    <w:rsid w:val="00172A92"/>
    <w:rsid w:val="00172FF7"/>
    <w:rsid w:val="00173004"/>
    <w:rsid w:val="00173565"/>
    <w:rsid w:val="00173857"/>
    <w:rsid w:val="00173B07"/>
    <w:rsid w:val="001746D7"/>
    <w:rsid w:val="001746DA"/>
    <w:rsid w:val="00174975"/>
    <w:rsid w:val="001751A8"/>
    <w:rsid w:val="001751FA"/>
    <w:rsid w:val="00175334"/>
    <w:rsid w:val="00176199"/>
    <w:rsid w:val="001804C3"/>
    <w:rsid w:val="0018083C"/>
    <w:rsid w:val="00180962"/>
    <w:rsid w:val="00180B82"/>
    <w:rsid w:val="001812B0"/>
    <w:rsid w:val="0018164D"/>
    <w:rsid w:val="00181C10"/>
    <w:rsid w:val="00181D9C"/>
    <w:rsid w:val="00182853"/>
    <w:rsid w:val="001837FF"/>
    <w:rsid w:val="00184B0E"/>
    <w:rsid w:val="0018682E"/>
    <w:rsid w:val="00186C65"/>
    <w:rsid w:val="0018752F"/>
    <w:rsid w:val="001877DD"/>
    <w:rsid w:val="0019061B"/>
    <w:rsid w:val="00191F9D"/>
    <w:rsid w:val="00192F4E"/>
    <w:rsid w:val="00193838"/>
    <w:rsid w:val="00194186"/>
    <w:rsid w:val="00194AD8"/>
    <w:rsid w:val="00195222"/>
    <w:rsid w:val="00195452"/>
    <w:rsid w:val="00195577"/>
    <w:rsid w:val="001975D8"/>
    <w:rsid w:val="001A02D8"/>
    <w:rsid w:val="001A04E4"/>
    <w:rsid w:val="001A0D28"/>
    <w:rsid w:val="001A178E"/>
    <w:rsid w:val="001A24DE"/>
    <w:rsid w:val="001A43FA"/>
    <w:rsid w:val="001A47C5"/>
    <w:rsid w:val="001A48DF"/>
    <w:rsid w:val="001A59FB"/>
    <w:rsid w:val="001A5E9E"/>
    <w:rsid w:val="001A6354"/>
    <w:rsid w:val="001A6366"/>
    <w:rsid w:val="001A6923"/>
    <w:rsid w:val="001A6BE2"/>
    <w:rsid w:val="001A7AE8"/>
    <w:rsid w:val="001B08EA"/>
    <w:rsid w:val="001B204E"/>
    <w:rsid w:val="001B20D3"/>
    <w:rsid w:val="001B2372"/>
    <w:rsid w:val="001B3443"/>
    <w:rsid w:val="001B4D20"/>
    <w:rsid w:val="001B5797"/>
    <w:rsid w:val="001B6C2B"/>
    <w:rsid w:val="001B72BA"/>
    <w:rsid w:val="001B7F84"/>
    <w:rsid w:val="001C001C"/>
    <w:rsid w:val="001C06B1"/>
    <w:rsid w:val="001C158B"/>
    <w:rsid w:val="001C1A8D"/>
    <w:rsid w:val="001C2846"/>
    <w:rsid w:val="001C2A9B"/>
    <w:rsid w:val="001C3508"/>
    <w:rsid w:val="001C3CF2"/>
    <w:rsid w:val="001C3DD6"/>
    <w:rsid w:val="001C4299"/>
    <w:rsid w:val="001C474A"/>
    <w:rsid w:val="001C4874"/>
    <w:rsid w:val="001C5F94"/>
    <w:rsid w:val="001C652D"/>
    <w:rsid w:val="001C6E66"/>
    <w:rsid w:val="001C7D82"/>
    <w:rsid w:val="001D00A0"/>
    <w:rsid w:val="001D04B3"/>
    <w:rsid w:val="001D1017"/>
    <w:rsid w:val="001D1100"/>
    <w:rsid w:val="001D1391"/>
    <w:rsid w:val="001D25D7"/>
    <w:rsid w:val="001D50B2"/>
    <w:rsid w:val="001D6B7F"/>
    <w:rsid w:val="001D71F4"/>
    <w:rsid w:val="001D739E"/>
    <w:rsid w:val="001D7645"/>
    <w:rsid w:val="001E0414"/>
    <w:rsid w:val="001E0520"/>
    <w:rsid w:val="001E1A70"/>
    <w:rsid w:val="001E1E86"/>
    <w:rsid w:val="001E238E"/>
    <w:rsid w:val="001E2483"/>
    <w:rsid w:val="001E2B1E"/>
    <w:rsid w:val="001E2CFF"/>
    <w:rsid w:val="001E2F24"/>
    <w:rsid w:val="001E30D4"/>
    <w:rsid w:val="001E34DF"/>
    <w:rsid w:val="001E52EB"/>
    <w:rsid w:val="001E61D2"/>
    <w:rsid w:val="001E6ADB"/>
    <w:rsid w:val="001E740C"/>
    <w:rsid w:val="001F1235"/>
    <w:rsid w:val="001F1CB3"/>
    <w:rsid w:val="001F2D91"/>
    <w:rsid w:val="001F38B5"/>
    <w:rsid w:val="001F4081"/>
    <w:rsid w:val="001F59D7"/>
    <w:rsid w:val="001F6D72"/>
    <w:rsid w:val="001F7361"/>
    <w:rsid w:val="002011B0"/>
    <w:rsid w:val="00203181"/>
    <w:rsid w:val="00203783"/>
    <w:rsid w:val="0020385F"/>
    <w:rsid w:val="00204940"/>
    <w:rsid w:val="002049D4"/>
    <w:rsid w:val="00205471"/>
    <w:rsid w:val="00205C26"/>
    <w:rsid w:val="00206400"/>
    <w:rsid w:val="002067BB"/>
    <w:rsid w:val="002068A0"/>
    <w:rsid w:val="00207021"/>
    <w:rsid w:val="0020732F"/>
    <w:rsid w:val="00207D00"/>
    <w:rsid w:val="00207D5F"/>
    <w:rsid w:val="002105C1"/>
    <w:rsid w:val="00210BA0"/>
    <w:rsid w:val="002114AD"/>
    <w:rsid w:val="002116FD"/>
    <w:rsid w:val="00211EE7"/>
    <w:rsid w:val="002127D6"/>
    <w:rsid w:val="002133C9"/>
    <w:rsid w:val="00213EF5"/>
    <w:rsid w:val="002154BB"/>
    <w:rsid w:val="002155FE"/>
    <w:rsid w:val="00215EE2"/>
    <w:rsid w:val="00216443"/>
    <w:rsid w:val="00216ABB"/>
    <w:rsid w:val="00216BF5"/>
    <w:rsid w:val="00216E52"/>
    <w:rsid w:val="002178B0"/>
    <w:rsid w:val="002200C2"/>
    <w:rsid w:val="00220B3B"/>
    <w:rsid w:val="00221984"/>
    <w:rsid w:val="00223B49"/>
    <w:rsid w:val="00223D5A"/>
    <w:rsid w:val="00223E20"/>
    <w:rsid w:val="00223EC6"/>
    <w:rsid w:val="00224DD4"/>
    <w:rsid w:val="0022585B"/>
    <w:rsid w:val="00226DEE"/>
    <w:rsid w:val="002278A0"/>
    <w:rsid w:val="00230100"/>
    <w:rsid w:val="00230712"/>
    <w:rsid w:val="002309CC"/>
    <w:rsid w:val="00231608"/>
    <w:rsid w:val="002317D5"/>
    <w:rsid w:val="00231BA9"/>
    <w:rsid w:val="0023209F"/>
    <w:rsid w:val="00232EF4"/>
    <w:rsid w:val="00233700"/>
    <w:rsid w:val="002339B3"/>
    <w:rsid w:val="00233C01"/>
    <w:rsid w:val="0023413C"/>
    <w:rsid w:val="002343FC"/>
    <w:rsid w:val="002346F0"/>
    <w:rsid w:val="002349C6"/>
    <w:rsid w:val="00235C90"/>
    <w:rsid w:val="0023629D"/>
    <w:rsid w:val="002368E0"/>
    <w:rsid w:val="00237255"/>
    <w:rsid w:val="00237330"/>
    <w:rsid w:val="002402A0"/>
    <w:rsid w:val="00240DEF"/>
    <w:rsid w:val="002424AF"/>
    <w:rsid w:val="00242B5A"/>
    <w:rsid w:val="002439DC"/>
    <w:rsid w:val="00243A82"/>
    <w:rsid w:val="002441D2"/>
    <w:rsid w:val="00244972"/>
    <w:rsid w:val="00244DC8"/>
    <w:rsid w:val="002458BA"/>
    <w:rsid w:val="00245CE9"/>
    <w:rsid w:val="0024636C"/>
    <w:rsid w:val="0024747D"/>
    <w:rsid w:val="00247925"/>
    <w:rsid w:val="00251006"/>
    <w:rsid w:val="002522BB"/>
    <w:rsid w:val="002524D5"/>
    <w:rsid w:val="00252A65"/>
    <w:rsid w:val="00252B28"/>
    <w:rsid w:val="00253B1D"/>
    <w:rsid w:val="00253F12"/>
    <w:rsid w:val="002540EC"/>
    <w:rsid w:val="00254AEA"/>
    <w:rsid w:val="00254DCF"/>
    <w:rsid w:val="0025534B"/>
    <w:rsid w:val="00255BB7"/>
    <w:rsid w:val="00256914"/>
    <w:rsid w:val="00257541"/>
    <w:rsid w:val="00257A39"/>
    <w:rsid w:val="00257AC4"/>
    <w:rsid w:val="00257BBE"/>
    <w:rsid w:val="002600A6"/>
    <w:rsid w:val="00260DB3"/>
    <w:rsid w:val="00261EEF"/>
    <w:rsid w:val="002624BC"/>
    <w:rsid w:val="0026264B"/>
    <w:rsid w:val="00262A07"/>
    <w:rsid w:val="00262A1A"/>
    <w:rsid w:val="00262A87"/>
    <w:rsid w:val="00264D26"/>
    <w:rsid w:val="002661A8"/>
    <w:rsid w:val="002665A7"/>
    <w:rsid w:val="002670DC"/>
    <w:rsid w:val="00267642"/>
    <w:rsid w:val="00267AEA"/>
    <w:rsid w:val="00270019"/>
    <w:rsid w:val="002700E6"/>
    <w:rsid w:val="00270C34"/>
    <w:rsid w:val="002712A2"/>
    <w:rsid w:val="00271333"/>
    <w:rsid w:val="00272112"/>
    <w:rsid w:val="0027294B"/>
    <w:rsid w:val="00272FC0"/>
    <w:rsid w:val="00273D6B"/>
    <w:rsid w:val="00273EB4"/>
    <w:rsid w:val="0027404B"/>
    <w:rsid w:val="00274682"/>
    <w:rsid w:val="00274BD3"/>
    <w:rsid w:val="00275158"/>
    <w:rsid w:val="00275C5A"/>
    <w:rsid w:val="0027758A"/>
    <w:rsid w:val="00277CAD"/>
    <w:rsid w:val="00280275"/>
    <w:rsid w:val="00280411"/>
    <w:rsid w:val="002808AD"/>
    <w:rsid w:val="00280D6F"/>
    <w:rsid w:val="00281014"/>
    <w:rsid w:val="00283DAE"/>
    <w:rsid w:val="00284CE9"/>
    <w:rsid w:val="00285155"/>
    <w:rsid w:val="00285BCE"/>
    <w:rsid w:val="0028665D"/>
    <w:rsid w:val="00286BD4"/>
    <w:rsid w:val="002870EF"/>
    <w:rsid w:val="00290A54"/>
    <w:rsid w:val="00291D25"/>
    <w:rsid w:val="00292206"/>
    <w:rsid w:val="00292C66"/>
    <w:rsid w:val="002934C0"/>
    <w:rsid w:val="00293988"/>
    <w:rsid w:val="00294D5E"/>
    <w:rsid w:val="002964DF"/>
    <w:rsid w:val="002967E8"/>
    <w:rsid w:val="00297568"/>
    <w:rsid w:val="00297ACC"/>
    <w:rsid w:val="002A14AB"/>
    <w:rsid w:val="002A24C9"/>
    <w:rsid w:val="002A2ADE"/>
    <w:rsid w:val="002A2D71"/>
    <w:rsid w:val="002A2EDF"/>
    <w:rsid w:val="002A2F50"/>
    <w:rsid w:val="002A4F30"/>
    <w:rsid w:val="002A6429"/>
    <w:rsid w:val="002A69F7"/>
    <w:rsid w:val="002A7850"/>
    <w:rsid w:val="002A7943"/>
    <w:rsid w:val="002B05A1"/>
    <w:rsid w:val="002B09A4"/>
    <w:rsid w:val="002B0E37"/>
    <w:rsid w:val="002B1790"/>
    <w:rsid w:val="002B1C1F"/>
    <w:rsid w:val="002B1C8A"/>
    <w:rsid w:val="002B1D2D"/>
    <w:rsid w:val="002B1D75"/>
    <w:rsid w:val="002B1E0B"/>
    <w:rsid w:val="002B432F"/>
    <w:rsid w:val="002B62B3"/>
    <w:rsid w:val="002B6754"/>
    <w:rsid w:val="002B6CCE"/>
    <w:rsid w:val="002B6EC9"/>
    <w:rsid w:val="002B7B88"/>
    <w:rsid w:val="002C102C"/>
    <w:rsid w:val="002C12AF"/>
    <w:rsid w:val="002C2510"/>
    <w:rsid w:val="002C2775"/>
    <w:rsid w:val="002C27C1"/>
    <w:rsid w:val="002C2F0C"/>
    <w:rsid w:val="002C36E3"/>
    <w:rsid w:val="002C3742"/>
    <w:rsid w:val="002C3D01"/>
    <w:rsid w:val="002C4E7B"/>
    <w:rsid w:val="002C5099"/>
    <w:rsid w:val="002C5889"/>
    <w:rsid w:val="002C5C13"/>
    <w:rsid w:val="002C64F7"/>
    <w:rsid w:val="002C71CE"/>
    <w:rsid w:val="002C7B19"/>
    <w:rsid w:val="002C7E76"/>
    <w:rsid w:val="002D0170"/>
    <w:rsid w:val="002D08F8"/>
    <w:rsid w:val="002D0AB8"/>
    <w:rsid w:val="002D16F2"/>
    <w:rsid w:val="002D2ED8"/>
    <w:rsid w:val="002D42FF"/>
    <w:rsid w:val="002D4EBF"/>
    <w:rsid w:val="002D577C"/>
    <w:rsid w:val="002D57DE"/>
    <w:rsid w:val="002D62F1"/>
    <w:rsid w:val="002D67EF"/>
    <w:rsid w:val="002D7832"/>
    <w:rsid w:val="002D7CA3"/>
    <w:rsid w:val="002E0E23"/>
    <w:rsid w:val="002E1071"/>
    <w:rsid w:val="002E11A6"/>
    <w:rsid w:val="002E15B9"/>
    <w:rsid w:val="002E2158"/>
    <w:rsid w:val="002E24E9"/>
    <w:rsid w:val="002E3E2F"/>
    <w:rsid w:val="002E42CC"/>
    <w:rsid w:val="002E4F02"/>
    <w:rsid w:val="002E5EEE"/>
    <w:rsid w:val="002E6F50"/>
    <w:rsid w:val="002E7182"/>
    <w:rsid w:val="002E7722"/>
    <w:rsid w:val="002F0587"/>
    <w:rsid w:val="002F07BA"/>
    <w:rsid w:val="002F0DA9"/>
    <w:rsid w:val="002F1014"/>
    <w:rsid w:val="002F1E3B"/>
    <w:rsid w:val="002F455E"/>
    <w:rsid w:val="002F4986"/>
    <w:rsid w:val="002F643C"/>
    <w:rsid w:val="002F71C0"/>
    <w:rsid w:val="002F74F1"/>
    <w:rsid w:val="00301017"/>
    <w:rsid w:val="00301149"/>
    <w:rsid w:val="0030155F"/>
    <w:rsid w:val="00302552"/>
    <w:rsid w:val="003025F2"/>
    <w:rsid w:val="003038BC"/>
    <w:rsid w:val="0030587B"/>
    <w:rsid w:val="00305C78"/>
    <w:rsid w:val="00305E15"/>
    <w:rsid w:val="00306B1C"/>
    <w:rsid w:val="00306D98"/>
    <w:rsid w:val="0030786C"/>
    <w:rsid w:val="0031031A"/>
    <w:rsid w:val="003108D3"/>
    <w:rsid w:val="00310981"/>
    <w:rsid w:val="00311C21"/>
    <w:rsid w:val="00311D9B"/>
    <w:rsid w:val="00311FEB"/>
    <w:rsid w:val="003124D9"/>
    <w:rsid w:val="00312594"/>
    <w:rsid w:val="0031514C"/>
    <w:rsid w:val="00315498"/>
    <w:rsid w:val="00315522"/>
    <w:rsid w:val="00316474"/>
    <w:rsid w:val="00316C57"/>
    <w:rsid w:val="00320521"/>
    <w:rsid w:val="00320E20"/>
    <w:rsid w:val="00321F60"/>
    <w:rsid w:val="00322107"/>
    <w:rsid w:val="00322334"/>
    <w:rsid w:val="00322355"/>
    <w:rsid w:val="00322846"/>
    <w:rsid w:val="00323FFC"/>
    <w:rsid w:val="00325037"/>
    <w:rsid w:val="00326478"/>
    <w:rsid w:val="00326DA7"/>
    <w:rsid w:val="003270E4"/>
    <w:rsid w:val="00327533"/>
    <w:rsid w:val="00330DAA"/>
    <w:rsid w:val="00330F5C"/>
    <w:rsid w:val="003315F5"/>
    <w:rsid w:val="003315FD"/>
    <w:rsid w:val="00332603"/>
    <w:rsid w:val="00332B9E"/>
    <w:rsid w:val="003334E5"/>
    <w:rsid w:val="003348DC"/>
    <w:rsid w:val="0033557C"/>
    <w:rsid w:val="00336498"/>
    <w:rsid w:val="003366C9"/>
    <w:rsid w:val="00336D85"/>
    <w:rsid w:val="00336FC2"/>
    <w:rsid w:val="003371B0"/>
    <w:rsid w:val="003372DB"/>
    <w:rsid w:val="003401FD"/>
    <w:rsid w:val="00340DF1"/>
    <w:rsid w:val="0034110C"/>
    <w:rsid w:val="00341403"/>
    <w:rsid w:val="00343764"/>
    <w:rsid w:val="00345AB7"/>
    <w:rsid w:val="0034637B"/>
    <w:rsid w:val="00346413"/>
    <w:rsid w:val="003468D5"/>
    <w:rsid w:val="00351227"/>
    <w:rsid w:val="003516BB"/>
    <w:rsid w:val="0035174F"/>
    <w:rsid w:val="003517F9"/>
    <w:rsid w:val="00351BA9"/>
    <w:rsid w:val="00354F64"/>
    <w:rsid w:val="003557DA"/>
    <w:rsid w:val="0035620E"/>
    <w:rsid w:val="00356B89"/>
    <w:rsid w:val="00356C7A"/>
    <w:rsid w:val="003575BE"/>
    <w:rsid w:val="00357704"/>
    <w:rsid w:val="00357AD9"/>
    <w:rsid w:val="00360345"/>
    <w:rsid w:val="00360999"/>
    <w:rsid w:val="00361539"/>
    <w:rsid w:val="00361A05"/>
    <w:rsid w:val="00361CA8"/>
    <w:rsid w:val="003624C4"/>
    <w:rsid w:val="00362F57"/>
    <w:rsid w:val="00363B00"/>
    <w:rsid w:val="003649FB"/>
    <w:rsid w:val="003654AC"/>
    <w:rsid w:val="00365FB1"/>
    <w:rsid w:val="0036667E"/>
    <w:rsid w:val="00370EA4"/>
    <w:rsid w:val="003710CF"/>
    <w:rsid w:val="003712B8"/>
    <w:rsid w:val="0037358A"/>
    <w:rsid w:val="003739E6"/>
    <w:rsid w:val="003750F6"/>
    <w:rsid w:val="003760FC"/>
    <w:rsid w:val="003772B3"/>
    <w:rsid w:val="003778A0"/>
    <w:rsid w:val="00377AA3"/>
    <w:rsid w:val="0038177D"/>
    <w:rsid w:val="00382C3B"/>
    <w:rsid w:val="0038365C"/>
    <w:rsid w:val="0038369B"/>
    <w:rsid w:val="00383B78"/>
    <w:rsid w:val="00384D01"/>
    <w:rsid w:val="00385A9D"/>
    <w:rsid w:val="00387121"/>
    <w:rsid w:val="00387D2B"/>
    <w:rsid w:val="00387F3D"/>
    <w:rsid w:val="00387FF8"/>
    <w:rsid w:val="003902B1"/>
    <w:rsid w:val="00390558"/>
    <w:rsid w:val="00391639"/>
    <w:rsid w:val="0039176A"/>
    <w:rsid w:val="0039179C"/>
    <w:rsid w:val="003925D3"/>
    <w:rsid w:val="003928E1"/>
    <w:rsid w:val="003934AE"/>
    <w:rsid w:val="003937BE"/>
    <w:rsid w:val="00396378"/>
    <w:rsid w:val="00396896"/>
    <w:rsid w:val="00396A83"/>
    <w:rsid w:val="00396E54"/>
    <w:rsid w:val="00396FD0"/>
    <w:rsid w:val="00397946"/>
    <w:rsid w:val="003A1A7A"/>
    <w:rsid w:val="003A2392"/>
    <w:rsid w:val="003A2831"/>
    <w:rsid w:val="003A37EB"/>
    <w:rsid w:val="003A3CB6"/>
    <w:rsid w:val="003A3EB9"/>
    <w:rsid w:val="003A3ED1"/>
    <w:rsid w:val="003A44DB"/>
    <w:rsid w:val="003A4C14"/>
    <w:rsid w:val="003A5E69"/>
    <w:rsid w:val="003A6BCE"/>
    <w:rsid w:val="003A776F"/>
    <w:rsid w:val="003B1C39"/>
    <w:rsid w:val="003B2A8F"/>
    <w:rsid w:val="003B3971"/>
    <w:rsid w:val="003B3F02"/>
    <w:rsid w:val="003B45E8"/>
    <w:rsid w:val="003B55D1"/>
    <w:rsid w:val="003B5B61"/>
    <w:rsid w:val="003B5E92"/>
    <w:rsid w:val="003B713A"/>
    <w:rsid w:val="003B76AD"/>
    <w:rsid w:val="003B7C62"/>
    <w:rsid w:val="003C07BD"/>
    <w:rsid w:val="003C1654"/>
    <w:rsid w:val="003C2ADE"/>
    <w:rsid w:val="003C2AF6"/>
    <w:rsid w:val="003C2FED"/>
    <w:rsid w:val="003C43AB"/>
    <w:rsid w:val="003C451F"/>
    <w:rsid w:val="003C4E76"/>
    <w:rsid w:val="003C5542"/>
    <w:rsid w:val="003C6699"/>
    <w:rsid w:val="003C6B10"/>
    <w:rsid w:val="003C6F12"/>
    <w:rsid w:val="003C7C15"/>
    <w:rsid w:val="003C7D19"/>
    <w:rsid w:val="003C7D2F"/>
    <w:rsid w:val="003C7F14"/>
    <w:rsid w:val="003D0C5A"/>
    <w:rsid w:val="003D1028"/>
    <w:rsid w:val="003D1828"/>
    <w:rsid w:val="003D1DE4"/>
    <w:rsid w:val="003D1E9A"/>
    <w:rsid w:val="003D2422"/>
    <w:rsid w:val="003D393E"/>
    <w:rsid w:val="003D39A1"/>
    <w:rsid w:val="003D3FBF"/>
    <w:rsid w:val="003D4A30"/>
    <w:rsid w:val="003D6263"/>
    <w:rsid w:val="003D6613"/>
    <w:rsid w:val="003D7452"/>
    <w:rsid w:val="003D773D"/>
    <w:rsid w:val="003D79BB"/>
    <w:rsid w:val="003D7C98"/>
    <w:rsid w:val="003D7D9D"/>
    <w:rsid w:val="003E01F9"/>
    <w:rsid w:val="003E0543"/>
    <w:rsid w:val="003E05B9"/>
    <w:rsid w:val="003E21F7"/>
    <w:rsid w:val="003E3663"/>
    <w:rsid w:val="003E36F1"/>
    <w:rsid w:val="003E5603"/>
    <w:rsid w:val="003E6C12"/>
    <w:rsid w:val="003E749E"/>
    <w:rsid w:val="003F1F8D"/>
    <w:rsid w:val="003F252F"/>
    <w:rsid w:val="003F4156"/>
    <w:rsid w:val="003F4397"/>
    <w:rsid w:val="003F4490"/>
    <w:rsid w:val="003F45B3"/>
    <w:rsid w:val="003F4DAE"/>
    <w:rsid w:val="003F5822"/>
    <w:rsid w:val="003F5ADF"/>
    <w:rsid w:val="003F60EA"/>
    <w:rsid w:val="003F6617"/>
    <w:rsid w:val="003F740D"/>
    <w:rsid w:val="003F7501"/>
    <w:rsid w:val="00400B29"/>
    <w:rsid w:val="00400CDC"/>
    <w:rsid w:val="00400FEF"/>
    <w:rsid w:val="00401A62"/>
    <w:rsid w:val="00402812"/>
    <w:rsid w:val="0040369E"/>
    <w:rsid w:val="00403988"/>
    <w:rsid w:val="0040473D"/>
    <w:rsid w:val="0040504B"/>
    <w:rsid w:val="004059F4"/>
    <w:rsid w:val="00405DFE"/>
    <w:rsid w:val="004067D2"/>
    <w:rsid w:val="0040749F"/>
    <w:rsid w:val="004078CB"/>
    <w:rsid w:val="00407FE5"/>
    <w:rsid w:val="004101B0"/>
    <w:rsid w:val="004101D1"/>
    <w:rsid w:val="00410326"/>
    <w:rsid w:val="00410708"/>
    <w:rsid w:val="00410EC7"/>
    <w:rsid w:val="00411660"/>
    <w:rsid w:val="00411B39"/>
    <w:rsid w:val="004127A7"/>
    <w:rsid w:val="00412D89"/>
    <w:rsid w:val="004136E4"/>
    <w:rsid w:val="004138A5"/>
    <w:rsid w:val="00413A1E"/>
    <w:rsid w:val="00414476"/>
    <w:rsid w:val="00414980"/>
    <w:rsid w:val="00414C2E"/>
    <w:rsid w:val="004151CF"/>
    <w:rsid w:val="004159AC"/>
    <w:rsid w:val="00416364"/>
    <w:rsid w:val="00416CC3"/>
    <w:rsid w:val="0041791B"/>
    <w:rsid w:val="0042047F"/>
    <w:rsid w:val="0042050D"/>
    <w:rsid w:val="00420AA6"/>
    <w:rsid w:val="00420B9F"/>
    <w:rsid w:val="0042192C"/>
    <w:rsid w:val="00422260"/>
    <w:rsid w:val="0042413F"/>
    <w:rsid w:val="00424E25"/>
    <w:rsid w:val="00426141"/>
    <w:rsid w:val="00426DE0"/>
    <w:rsid w:val="004300ED"/>
    <w:rsid w:val="004319F8"/>
    <w:rsid w:val="00431E55"/>
    <w:rsid w:val="004321F6"/>
    <w:rsid w:val="00433044"/>
    <w:rsid w:val="00433274"/>
    <w:rsid w:val="00433764"/>
    <w:rsid w:val="00434088"/>
    <w:rsid w:val="0043611C"/>
    <w:rsid w:val="004375B9"/>
    <w:rsid w:val="00440D02"/>
    <w:rsid w:val="00441F14"/>
    <w:rsid w:val="00442175"/>
    <w:rsid w:val="004428D0"/>
    <w:rsid w:val="00442ADB"/>
    <w:rsid w:val="00442CCA"/>
    <w:rsid w:val="00444185"/>
    <w:rsid w:val="004443A7"/>
    <w:rsid w:val="0044442C"/>
    <w:rsid w:val="00444A3F"/>
    <w:rsid w:val="00445941"/>
    <w:rsid w:val="00445F1A"/>
    <w:rsid w:val="004464EB"/>
    <w:rsid w:val="00446A0A"/>
    <w:rsid w:val="00447105"/>
    <w:rsid w:val="00447D26"/>
    <w:rsid w:val="00447DFC"/>
    <w:rsid w:val="00450B20"/>
    <w:rsid w:val="004545B7"/>
    <w:rsid w:val="00454875"/>
    <w:rsid w:val="00454909"/>
    <w:rsid w:val="00455D45"/>
    <w:rsid w:val="00456E70"/>
    <w:rsid w:val="004600A3"/>
    <w:rsid w:val="00460C71"/>
    <w:rsid w:val="00461972"/>
    <w:rsid w:val="00461EED"/>
    <w:rsid w:val="004636C6"/>
    <w:rsid w:val="00464595"/>
    <w:rsid w:val="004658B5"/>
    <w:rsid w:val="004664CD"/>
    <w:rsid w:val="004665A1"/>
    <w:rsid w:val="004673E9"/>
    <w:rsid w:val="00471EA5"/>
    <w:rsid w:val="00472A79"/>
    <w:rsid w:val="00473902"/>
    <w:rsid w:val="00473F19"/>
    <w:rsid w:val="00475E22"/>
    <w:rsid w:val="0048088E"/>
    <w:rsid w:val="00480F2B"/>
    <w:rsid w:val="00482720"/>
    <w:rsid w:val="00482ACF"/>
    <w:rsid w:val="00483092"/>
    <w:rsid w:val="00483352"/>
    <w:rsid w:val="004835E7"/>
    <w:rsid w:val="00484648"/>
    <w:rsid w:val="00485131"/>
    <w:rsid w:val="0048539C"/>
    <w:rsid w:val="00485417"/>
    <w:rsid w:val="004859E1"/>
    <w:rsid w:val="00485F4A"/>
    <w:rsid w:val="004867E2"/>
    <w:rsid w:val="0048774F"/>
    <w:rsid w:val="00490B17"/>
    <w:rsid w:val="00491134"/>
    <w:rsid w:val="00491878"/>
    <w:rsid w:val="00491B3A"/>
    <w:rsid w:val="00492245"/>
    <w:rsid w:val="00492CFD"/>
    <w:rsid w:val="00493AD8"/>
    <w:rsid w:val="00494207"/>
    <w:rsid w:val="00494253"/>
    <w:rsid w:val="004942D9"/>
    <w:rsid w:val="00494DD5"/>
    <w:rsid w:val="00495FDA"/>
    <w:rsid w:val="004962D2"/>
    <w:rsid w:val="00497980"/>
    <w:rsid w:val="00497C90"/>
    <w:rsid w:val="004A0330"/>
    <w:rsid w:val="004A0DA1"/>
    <w:rsid w:val="004A0E70"/>
    <w:rsid w:val="004A137B"/>
    <w:rsid w:val="004A13D6"/>
    <w:rsid w:val="004A1810"/>
    <w:rsid w:val="004A19BA"/>
    <w:rsid w:val="004A52E9"/>
    <w:rsid w:val="004A6040"/>
    <w:rsid w:val="004A6597"/>
    <w:rsid w:val="004A668E"/>
    <w:rsid w:val="004A71F1"/>
    <w:rsid w:val="004A7848"/>
    <w:rsid w:val="004A793B"/>
    <w:rsid w:val="004B02EA"/>
    <w:rsid w:val="004B1CB4"/>
    <w:rsid w:val="004B27CD"/>
    <w:rsid w:val="004B2F18"/>
    <w:rsid w:val="004B3B0D"/>
    <w:rsid w:val="004B3DDB"/>
    <w:rsid w:val="004B4286"/>
    <w:rsid w:val="004B44FD"/>
    <w:rsid w:val="004B5CFC"/>
    <w:rsid w:val="004B6F79"/>
    <w:rsid w:val="004B774D"/>
    <w:rsid w:val="004B780F"/>
    <w:rsid w:val="004B7F48"/>
    <w:rsid w:val="004C0375"/>
    <w:rsid w:val="004C0802"/>
    <w:rsid w:val="004C1B4B"/>
    <w:rsid w:val="004C2787"/>
    <w:rsid w:val="004C2AC2"/>
    <w:rsid w:val="004C3861"/>
    <w:rsid w:val="004C3B02"/>
    <w:rsid w:val="004C4AED"/>
    <w:rsid w:val="004C61DD"/>
    <w:rsid w:val="004D0938"/>
    <w:rsid w:val="004D1245"/>
    <w:rsid w:val="004D1389"/>
    <w:rsid w:val="004D1D47"/>
    <w:rsid w:val="004D1DF0"/>
    <w:rsid w:val="004D2811"/>
    <w:rsid w:val="004D2A36"/>
    <w:rsid w:val="004D2C2D"/>
    <w:rsid w:val="004D5776"/>
    <w:rsid w:val="004D69B5"/>
    <w:rsid w:val="004D7227"/>
    <w:rsid w:val="004D7B5E"/>
    <w:rsid w:val="004E0605"/>
    <w:rsid w:val="004E0E7F"/>
    <w:rsid w:val="004E0EB8"/>
    <w:rsid w:val="004E18E9"/>
    <w:rsid w:val="004E2479"/>
    <w:rsid w:val="004E2ADC"/>
    <w:rsid w:val="004E4262"/>
    <w:rsid w:val="004E43B2"/>
    <w:rsid w:val="004E449C"/>
    <w:rsid w:val="004E4953"/>
    <w:rsid w:val="004E5E2D"/>
    <w:rsid w:val="004E74CE"/>
    <w:rsid w:val="004E7FC2"/>
    <w:rsid w:val="004F06E9"/>
    <w:rsid w:val="004F1AEB"/>
    <w:rsid w:val="004F1C00"/>
    <w:rsid w:val="004F1D02"/>
    <w:rsid w:val="004F2679"/>
    <w:rsid w:val="004F2F21"/>
    <w:rsid w:val="004F34E2"/>
    <w:rsid w:val="004F3DE5"/>
    <w:rsid w:val="004F49D2"/>
    <w:rsid w:val="004F6913"/>
    <w:rsid w:val="004F7865"/>
    <w:rsid w:val="004F7F1B"/>
    <w:rsid w:val="005000B0"/>
    <w:rsid w:val="005005EA"/>
    <w:rsid w:val="0050174E"/>
    <w:rsid w:val="00501854"/>
    <w:rsid w:val="00501FC3"/>
    <w:rsid w:val="0050219B"/>
    <w:rsid w:val="0050289C"/>
    <w:rsid w:val="00502A6B"/>
    <w:rsid w:val="00503F17"/>
    <w:rsid w:val="00503F3A"/>
    <w:rsid w:val="0050626B"/>
    <w:rsid w:val="00506928"/>
    <w:rsid w:val="00506B8D"/>
    <w:rsid w:val="005076DB"/>
    <w:rsid w:val="00507760"/>
    <w:rsid w:val="005077EF"/>
    <w:rsid w:val="005108CE"/>
    <w:rsid w:val="00511AD5"/>
    <w:rsid w:val="00511DC7"/>
    <w:rsid w:val="00511F22"/>
    <w:rsid w:val="00512EE0"/>
    <w:rsid w:val="005142C5"/>
    <w:rsid w:val="0051501B"/>
    <w:rsid w:val="00515203"/>
    <w:rsid w:val="005152B5"/>
    <w:rsid w:val="00515886"/>
    <w:rsid w:val="005162B5"/>
    <w:rsid w:val="00517F7C"/>
    <w:rsid w:val="0052055F"/>
    <w:rsid w:val="0052123C"/>
    <w:rsid w:val="00521319"/>
    <w:rsid w:val="00522BC8"/>
    <w:rsid w:val="0052303C"/>
    <w:rsid w:val="00523696"/>
    <w:rsid w:val="00523976"/>
    <w:rsid w:val="00523C28"/>
    <w:rsid w:val="00525FFB"/>
    <w:rsid w:val="00526683"/>
    <w:rsid w:val="005309EC"/>
    <w:rsid w:val="0053176B"/>
    <w:rsid w:val="00531B97"/>
    <w:rsid w:val="00531DDA"/>
    <w:rsid w:val="005321CC"/>
    <w:rsid w:val="005328EF"/>
    <w:rsid w:val="00533080"/>
    <w:rsid w:val="005341B3"/>
    <w:rsid w:val="005354DB"/>
    <w:rsid w:val="0053572A"/>
    <w:rsid w:val="005367CD"/>
    <w:rsid w:val="00536F42"/>
    <w:rsid w:val="00537182"/>
    <w:rsid w:val="00541EDD"/>
    <w:rsid w:val="005420F7"/>
    <w:rsid w:val="00542743"/>
    <w:rsid w:val="00542C11"/>
    <w:rsid w:val="00542C2D"/>
    <w:rsid w:val="00546E16"/>
    <w:rsid w:val="005478BD"/>
    <w:rsid w:val="005479E3"/>
    <w:rsid w:val="00547ECC"/>
    <w:rsid w:val="00550506"/>
    <w:rsid w:val="00550A49"/>
    <w:rsid w:val="00550B10"/>
    <w:rsid w:val="00550C52"/>
    <w:rsid w:val="00550FB0"/>
    <w:rsid w:val="0055158D"/>
    <w:rsid w:val="00551673"/>
    <w:rsid w:val="00551985"/>
    <w:rsid w:val="00551CF7"/>
    <w:rsid w:val="00552BD3"/>
    <w:rsid w:val="00552C9E"/>
    <w:rsid w:val="005532A0"/>
    <w:rsid w:val="00555109"/>
    <w:rsid w:val="005552AD"/>
    <w:rsid w:val="00556B35"/>
    <w:rsid w:val="0055741A"/>
    <w:rsid w:val="00560975"/>
    <w:rsid w:val="00560C10"/>
    <w:rsid w:val="005611B7"/>
    <w:rsid w:val="005618D4"/>
    <w:rsid w:val="005623F8"/>
    <w:rsid w:val="00563D4E"/>
    <w:rsid w:val="00564231"/>
    <w:rsid w:val="00564867"/>
    <w:rsid w:val="00565C79"/>
    <w:rsid w:val="00565DF0"/>
    <w:rsid w:val="0056696F"/>
    <w:rsid w:val="005701B3"/>
    <w:rsid w:val="005720B4"/>
    <w:rsid w:val="00572269"/>
    <w:rsid w:val="0057244A"/>
    <w:rsid w:val="00572F26"/>
    <w:rsid w:val="00573C42"/>
    <w:rsid w:val="00573FBD"/>
    <w:rsid w:val="005742AC"/>
    <w:rsid w:val="005750C5"/>
    <w:rsid w:val="005750E6"/>
    <w:rsid w:val="005752DE"/>
    <w:rsid w:val="005755E7"/>
    <w:rsid w:val="00575D60"/>
    <w:rsid w:val="00575D8D"/>
    <w:rsid w:val="00576972"/>
    <w:rsid w:val="00576DC7"/>
    <w:rsid w:val="00577248"/>
    <w:rsid w:val="005778AE"/>
    <w:rsid w:val="005805B3"/>
    <w:rsid w:val="00580F51"/>
    <w:rsid w:val="00581092"/>
    <w:rsid w:val="00582B0A"/>
    <w:rsid w:val="00583699"/>
    <w:rsid w:val="00583BD9"/>
    <w:rsid w:val="005845CC"/>
    <w:rsid w:val="005847B3"/>
    <w:rsid w:val="00585CDD"/>
    <w:rsid w:val="00586555"/>
    <w:rsid w:val="00586755"/>
    <w:rsid w:val="00586CF3"/>
    <w:rsid w:val="00587058"/>
    <w:rsid w:val="00587953"/>
    <w:rsid w:val="00590F10"/>
    <w:rsid w:val="00590FEA"/>
    <w:rsid w:val="00591789"/>
    <w:rsid w:val="00591957"/>
    <w:rsid w:val="00593ED2"/>
    <w:rsid w:val="00594448"/>
    <w:rsid w:val="005944D1"/>
    <w:rsid w:val="00595108"/>
    <w:rsid w:val="00595AB0"/>
    <w:rsid w:val="00595AFD"/>
    <w:rsid w:val="00595C31"/>
    <w:rsid w:val="00595E44"/>
    <w:rsid w:val="00596FDE"/>
    <w:rsid w:val="00597BF9"/>
    <w:rsid w:val="005A0C11"/>
    <w:rsid w:val="005A0F45"/>
    <w:rsid w:val="005A1737"/>
    <w:rsid w:val="005A1DD6"/>
    <w:rsid w:val="005A2526"/>
    <w:rsid w:val="005A309A"/>
    <w:rsid w:val="005A373D"/>
    <w:rsid w:val="005A4001"/>
    <w:rsid w:val="005A44B9"/>
    <w:rsid w:val="005A5BE1"/>
    <w:rsid w:val="005B0619"/>
    <w:rsid w:val="005B0858"/>
    <w:rsid w:val="005B09D9"/>
    <w:rsid w:val="005B0B58"/>
    <w:rsid w:val="005B0CED"/>
    <w:rsid w:val="005B1196"/>
    <w:rsid w:val="005B27AE"/>
    <w:rsid w:val="005B29F3"/>
    <w:rsid w:val="005B33EF"/>
    <w:rsid w:val="005B4E53"/>
    <w:rsid w:val="005B5857"/>
    <w:rsid w:val="005B7BA9"/>
    <w:rsid w:val="005C0CDE"/>
    <w:rsid w:val="005C12AB"/>
    <w:rsid w:val="005C19C4"/>
    <w:rsid w:val="005C1B83"/>
    <w:rsid w:val="005C24E1"/>
    <w:rsid w:val="005C25FF"/>
    <w:rsid w:val="005C2742"/>
    <w:rsid w:val="005C2D55"/>
    <w:rsid w:val="005C346B"/>
    <w:rsid w:val="005C5914"/>
    <w:rsid w:val="005C5ABC"/>
    <w:rsid w:val="005C5F81"/>
    <w:rsid w:val="005C6580"/>
    <w:rsid w:val="005C7293"/>
    <w:rsid w:val="005C7D26"/>
    <w:rsid w:val="005D044D"/>
    <w:rsid w:val="005D0ABD"/>
    <w:rsid w:val="005D18AD"/>
    <w:rsid w:val="005D26B4"/>
    <w:rsid w:val="005D2BE7"/>
    <w:rsid w:val="005D2BE8"/>
    <w:rsid w:val="005D4C79"/>
    <w:rsid w:val="005D6560"/>
    <w:rsid w:val="005E032D"/>
    <w:rsid w:val="005E07EE"/>
    <w:rsid w:val="005E171B"/>
    <w:rsid w:val="005E1995"/>
    <w:rsid w:val="005E227F"/>
    <w:rsid w:val="005E2E5B"/>
    <w:rsid w:val="005E5BEC"/>
    <w:rsid w:val="005E627A"/>
    <w:rsid w:val="005E67EC"/>
    <w:rsid w:val="005E6C37"/>
    <w:rsid w:val="005E6CBC"/>
    <w:rsid w:val="005E72FF"/>
    <w:rsid w:val="005E73C0"/>
    <w:rsid w:val="005E767E"/>
    <w:rsid w:val="005F00BF"/>
    <w:rsid w:val="005F078F"/>
    <w:rsid w:val="005F07ED"/>
    <w:rsid w:val="005F08A4"/>
    <w:rsid w:val="005F1A3F"/>
    <w:rsid w:val="005F1B05"/>
    <w:rsid w:val="005F2706"/>
    <w:rsid w:val="005F30D0"/>
    <w:rsid w:val="005F32DC"/>
    <w:rsid w:val="005F3447"/>
    <w:rsid w:val="005F5A7F"/>
    <w:rsid w:val="005F6A8F"/>
    <w:rsid w:val="005F6BB7"/>
    <w:rsid w:val="005F7588"/>
    <w:rsid w:val="00600138"/>
    <w:rsid w:val="00600A52"/>
    <w:rsid w:val="00600C97"/>
    <w:rsid w:val="00600E50"/>
    <w:rsid w:val="00601E2A"/>
    <w:rsid w:val="0060263D"/>
    <w:rsid w:val="00602695"/>
    <w:rsid w:val="006028D3"/>
    <w:rsid w:val="00603DB9"/>
    <w:rsid w:val="00605518"/>
    <w:rsid w:val="0060607A"/>
    <w:rsid w:val="00606A34"/>
    <w:rsid w:val="00606FBA"/>
    <w:rsid w:val="006071F6"/>
    <w:rsid w:val="00607669"/>
    <w:rsid w:val="006076F4"/>
    <w:rsid w:val="00607AFD"/>
    <w:rsid w:val="00611B12"/>
    <w:rsid w:val="006123B8"/>
    <w:rsid w:val="00612814"/>
    <w:rsid w:val="0061296D"/>
    <w:rsid w:val="00612A5A"/>
    <w:rsid w:val="00612C35"/>
    <w:rsid w:val="00612C79"/>
    <w:rsid w:val="00612F97"/>
    <w:rsid w:val="0061314A"/>
    <w:rsid w:val="0061345D"/>
    <w:rsid w:val="0061549B"/>
    <w:rsid w:val="00615685"/>
    <w:rsid w:val="006157D6"/>
    <w:rsid w:val="00616445"/>
    <w:rsid w:val="00616802"/>
    <w:rsid w:val="00617B44"/>
    <w:rsid w:val="00617E12"/>
    <w:rsid w:val="00620C25"/>
    <w:rsid w:val="00621477"/>
    <w:rsid w:val="00621ADA"/>
    <w:rsid w:val="00621EBD"/>
    <w:rsid w:val="00623F7B"/>
    <w:rsid w:val="00624BD4"/>
    <w:rsid w:val="00624FA3"/>
    <w:rsid w:val="00625AEF"/>
    <w:rsid w:val="006279E2"/>
    <w:rsid w:val="00630A6B"/>
    <w:rsid w:val="006314BA"/>
    <w:rsid w:val="0063158F"/>
    <w:rsid w:val="00631D6B"/>
    <w:rsid w:val="00632183"/>
    <w:rsid w:val="00632902"/>
    <w:rsid w:val="00632D84"/>
    <w:rsid w:val="006330A1"/>
    <w:rsid w:val="0063479F"/>
    <w:rsid w:val="00635318"/>
    <w:rsid w:val="006353F0"/>
    <w:rsid w:val="006357B5"/>
    <w:rsid w:val="006364A1"/>
    <w:rsid w:val="0063678E"/>
    <w:rsid w:val="00637A4E"/>
    <w:rsid w:val="00637BFD"/>
    <w:rsid w:val="00637C5C"/>
    <w:rsid w:val="0064153E"/>
    <w:rsid w:val="00641C4E"/>
    <w:rsid w:val="00641FB3"/>
    <w:rsid w:val="0064273F"/>
    <w:rsid w:val="0064434C"/>
    <w:rsid w:val="0064470D"/>
    <w:rsid w:val="006451D5"/>
    <w:rsid w:val="006471CC"/>
    <w:rsid w:val="006472FE"/>
    <w:rsid w:val="006477DD"/>
    <w:rsid w:val="00647A29"/>
    <w:rsid w:val="00650339"/>
    <w:rsid w:val="0065043C"/>
    <w:rsid w:val="0065079F"/>
    <w:rsid w:val="006509B4"/>
    <w:rsid w:val="00650DB5"/>
    <w:rsid w:val="0065176C"/>
    <w:rsid w:val="006528F7"/>
    <w:rsid w:val="00652A28"/>
    <w:rsid w:val="0065379F"/>
    <w:rsid w:val="00653D6D"/>
    <w:rsid w:val="006543EF"/>
    <w:rsid w:val="00655B44"/>
    <w:rsid w:val="00656188"/>
    <w:rsid w:val="0065715A"/>
    <w:rsid w:val="0065775F"/>
    <w:rsid w:val="00660AA3"/>
    <w:rsid w:val="006610F1"/>
    <w:rsid w:val="006614D0"/>
    <w:rsid w:val="006619E7"/>
    <w:rsid w:val="00661C6B"/>
    <w:rsid w:val="006621BD"/>
    <w:rsid w:val="0066242A"/>
    <w:rsid w:val="00662D3E"/>
    <w:rsid w:val="00666CB8"/>
    <w:rsid w:val="006673F7"/>
    <w:rsid w:val="00667BE3"/>
    <w:rsid w:val="00670053"/>
    <w:rsid w:val="00670376"/>
    <w:rsid w:val="006709C3"/>
    <w:rsid w:val="00671004"/>
    <w:rsid w:val="00672008"/>
    <w:rsid w:val="00672646"/>
    <w:rsid w:val="00672A4A"/>
    <w:rsid w:val="00672DD5"/>
    <w:rsid w:val="00673355"/>
    <w:rsid w:val="006733C9"/>
    <w:rsid w:val="006738A2"/>
    <w:rsid w:val="006740C8"/>
    <w:rsid w:val="006740FE"/>
    <w:rsid w:val="00674E42"/>
    <w:rsid w:val="0067632E"/>
    <w:rsid w:val="00676563"/>
    <w:rsid w:val="00676F09"/>
    <w:rsid w:val="00676FFB"/>
    <w:rsid w:val="0068098C"/>
    <w:rsid w:val="00680D14"/>
    <w:rsid w:val="006813F8"/>
    <w:rsid w:val="00681B21"/>
    <w:rsid w:val="00682112"/>
    <w:rsid w:val="00682BA6"/>
    <w:rsid w:val="0068341D"/>
    <w:rsid w:val="00684AB3"/>
    <w:rsid w:val="00684D20"/>
    <w:rsid w:val="006866B4"/>
    <w:rsid w:val="00686957"/>
    <w:rsid w:val="006869B4"/>
    <w:rsid w:val="006872BA"/>
    <w:rsid w:val="00687AFF"/>
    <w:rsid w:val="00690795"/>
    <w:rsid w:val="00691648"/>
    <w:rsid w:val="006917D7"/>
    <w:rsid w:val="00692589"/>
    <w:rsid w:val="00692E07"/>
    <w:rsid w:val="0069434C"/>
    <w:rsid w:val="00694AC8"/>
    <w:rsid w:val="00694F44"/>
    <w:rsid w:val="00695BC2"/>
    <w:rsid w:val="00696EF9"/>
    <w:rsid w:val="00696F51"/>
    <w:rsid w:val="006973A2"/>
    <w:rsid w:val="006974AD"/>
    <w:rsid w:val="006979A5"/>
    <w:rsid w:val="006A016F"/>
    <w:rsid w:val="006A0DF7"/>
    <w:rsid w:val="006A24A3"/>
    <w:rsid w:val="006A25A8"/>
    <w:rsid w:val="006A3955"/>
    <w:rsid w:val="006A4321"/>
    <w:rsid w:val="006A43D9"/>
    <w:rsid w:val="006A48E4"/>
    <w:rsid w:val="006A4C48"/>
    <w:rsid w:val="006A4FCD"/>
    <w:rsid w:val="006A5DC5"/>
    <w:rsid w:val="006A6250"/>
    <w:rsid w:val="006A6B99"/>
    <w:rsid w:val="006A6FF7"/>
    <w:rsid w:val="006A7B66"/>
    <w:rsid w:val="006A7E5F"/>
    <w:rsid w:val="006A7FCB"/>
    <w:rsid w:val="006B0304"/>
    <w:rsid w:val="006B261B"/>
    <w:rsid w:val="006B2BB2"/>
    <w:rsid w:val="006B2C90"/>
    <w:rsid w:val="006B35E6"/>
    <w:rsid w:val="006B3C36"/>
    <w:rsid w:val="006B465A"/>
    <w:rsid w:val="006B69B6"/>
    <w:rsid w:val="006B6DD0"/>
    <w:rsid w:val="006B7CBF"/>
    <w:rsid w:val="006C0375"/>
    <w:rsid w:val="006C0399"/>
    <w:rsid w:val="006C1319"/>
    <w:rsid w:val="006C1A20"/>
    <w:rsid w:val="006C2A8E"/>
    <w:rsid w:val="006C3255"/>
    <w:rsid w:val="006C3F26"/>
    <w:rsid w:val="006C4B5B"/>
    <w:rsid w:val="006C52F0"/>
    <w:rsid w:val="006C5E48"/>
    <w:rsid w:val="006C5F6F"/>
    <w:rsid w:val="006C61B1"/>
    <w:rsid w:val="006C6F22"/>
    <w:rsid w:val="006C6FD9"/>
    <w:rsid w:val="006C7AD6"/>
    <w:rsid w:val="006D02E8"/>
    <w:rsid w:val="006D0D17"/>
    <w:rsid w:val="006D2E65"/>
    <w:rsid w:val="006D3C7D"/>
    <w:rsid w:val="006D3F33"/>
    <w:rsid w:val="006D41F3"/>
    <w:rsid w:val="006D4659"/>
    <w:rsid w:val="006D513E"/>
    <w:rsid w:val="006D5D5F"/>
    <w:rsid w:val="006D68FB"/>
    <w:rsid w:val="006E0796"/>
    <w:rsid w:val="006E0FB6"/>
    <w:rsid w:val="006E1F2B"/>
    <w:rsid w:val="006E258F"/>
    <w:rsid w:val="006E2868"/>
    <w:rsid w:val="006E3E2D"/>
    <w:rsid w:val="006E49EA"/>
    <w:rsid w:val="006E59E1"/>
    <w:rsid w:val="006E5AA0"/>
    <w:rsid w:val="006E61D8"/>
    <w:rsid w:val="006E76D5"/>
    <w:rsid w:val="006F09D0"/>
    <w:rsid w:val="006F1734"/>
    <w:rsid w:val="006F1981"/>
    <w:rsid w:val="006F242E"/>
    <w:rsid w:val="006F28C8"/>
    <w:rsid w:val="006F306C"/>
    <w:rsid w:val="006F3501"/>
    <w:rsid w:val="006F5728"/>
    <w:rsid w:val="006F63A5"/>
    <w:rsid w:val="006F6724"/>
    <w:rsid w:val="006F79ED"/>
    <w:rsid w:val="007008F8"/>
    <w:rsid w:val="0070142B"/>
    <w:rsid w:val="00701551"/>
    <w:rsid w:val="007017BA"/>
    <w:rsid w:val="007017C5"/>
    <w:rsid w:val="00701CD6"/>
    <w:rsid w:val="00702099"/>
    <w:rsid w:val="0070276E"/>
    <w:rsid w:val="007027E4"/>
    <w:rsid w:val="007028B3"/>
    <w:rsid w:val="00702F8F"/>
    <w:rsid w:val="00705C6C"/>
    <w:rsid w:val="0070665F"/>
    <w:rsid w:val="007069F9"/>
    <w:rsid w:val="007079FC"/>
    <w:rsid w:val="00710032"/>
    <w:rsid w:val="00710360"/>
    <w:rsid w:val="0071181C"/>
    <w:rsid w:val="00711A36"/>
    <w:rsid w:val="007125D3"/>
    <w:rsid w:val="00713B40"/>
    <w:rsid w:val="007145A1"/>
    <w:rsid w:val="00714C26"/>
    <w:rsid w:val="0071506F"/>
    <w:rsid w:val="0071529C"/>
    <w:rsid w:val="007156D5"/>
    <w:rsid w:val="00715CA6"/>
    <w:rsid w:val="00716299"/>
    <w:rsid w:val="00716CBA"/>
    <w:rsid w:val="007170DA"/>
    <w:rsid w:val="007172AD"/>
    <w:rsid w:val="00717546"/>
    <w:rsid w:val="00717C6F"/>
    <w:rsid w:val="00720765"/>
    <w:rsid w:val="00720801"/>
    <w:rsid w:val="00722A7D"/>
    <w:rsid w:val="00722B1B"/>
    <w:rsid w:val="00722EAA"/>
    <w:rsid w:val="0072416F"/>
    <w:rsid w:val="007242E9"/>
    <w:rsid w:val="00724D52"/>
    <w:rsid w:val="00725A0D"/>
    <w:rsid w:val="00726C2F"/>
    <w:rsid w:val="00727123"/>
    <w:rsid w:val="007278D7"/>
    <w:rsid w:val="00727C94"/>
    <w:rsid w:val="00730354"/>
    <w:rsid w:val="007304CE"/>
    <w:rsid w:val="00731117"/>
    <w:rsid w:val="00731B0A"/>
    <w:rsid w:val="00731EAE"/>
    <w:rsid w:val="007326D8"/>
    <w:rsid w:val="00733073"/>
    <w:rsid w:val="007334A0"/>
    <w:rsid w:val="0073354C"/>
    <w:rsid w:val="0073359B"/>
    <w:rsid w:val="00734E1D"/>
    <w:rsid w:val="00734FE1"/>
    <w:rsid w:val="00735033"/>
    <w:rsid w:val="00735328"/>
    <w:rsid w:val="007354C2"/>
    <w:rsid w:val="0073685B"/>
    <w:rsid w:val="00740830"/>
    <w:rsid w:val="00742056"/>
    <w:rsid w:val="00743264"/>
    <w:rsid w:val="007438B3"/>
    <w:rsid w:val="007441A9"/>
    <w:rsid w:val="007449BF"/>
    <w:rsid w:val="007461B2"/>
    <w:rsid w:val="007463FE"/>
    <w:rsid w:val="00746BC0"/>
    <w:rsid w:val="00750413"/>
    <w:rsid w:val="007510B4"/>
    <w:rsid w:val="007510D1"/>
    <w:rsid w:val="00751212"/>
    <w:rsid w:val="0075164C"/>
    <w:rsid w:val="00751B67"/>
    <w:rsid w:val="00752142"/>
    <w:rsid w:val="007523F9"/>
    <w:rsid w:val="00752DD7"/>
    <w:rsid w:val="00752F77"/>
    <w:rsid w:val="0075357E"/>
    <w:rsid w:val="00753B29"/>
    <w:rsid w:val="007552E4"/>
    <w:rsid w:val="00755724"/>
    <w:rsid w:val="00756831"/>
    <w:rsid w:val="00757343"/>
    <w:rsid w:val="007573E8"/>
    <w:rsid w:val="00760C4E"/>
    <w:rsid w:val="00760F9E"/>
    <w:rsid w:val="007616E6"/>
    <w:rsid w:val="007619F5"/>
    <w:rsid w:val="00761F21"/>
    <w:rsid w:val="007627BE"/>
    <w:rsid w:val="00763069"/>
    <w:rsid w:val="007631A3"/>
    <w:rsid w:val="0076320F"/>
    <w:rsid w:val="00764F03"/>
    <w:rsid w:val="007659CA"/>
    <w:rsid w:val="00765B1A"/>
    <w:rsid w:val="00765DC1"/>
    <w:rsid w:val="007660AB"/>
    <w:rsid w:val="00766C86"/>
    <w:rsid w:val="0076766B"/>
    <w:rsid w:val="007701AC"/>
    <w:rsid w:val="00770854"/>
    <w:rsid w:val="007710CB"/>
    <w:rsid w:val="0077173D"/>
    <w:rsid w:val="00772EF5"/>
    <w:rsid w:val="00773E7F"/>
    <w:rsid w:val="007764D4"/>
    <w:rsid w:val="007768A3"/>
    <w:rsid w:val="00776A29"/>
    <w:rsid w:val="00777335"/>
    <w:rsid w:val="007802AC"/>
    <w:rsid w:val="00780799"/>
    <w:rsid w:val="007809E4"/>
    <w:rsid w:val="0078110D"/>
    <w:rsid w:val="00781DB6"/>
    <w:rsid w:val="007821EB"/>
    <w:rsid w:val="007826DC"/>
    <w:rsid w:val="007843F2"/>
    <w:rsid w:val="007846FA"/>
    <w:rsid w:val="00784E7B"/>
    <w:rsid w:val="00785A9F"/>
    <w:rsid w:val="00785F7E"/>
    <w:rsid w:val="00786C70"/>
    <w:rsid w:val="00786DB5"/>
    <w:rsid w:val="0078751F"/>
    <w:rsid w:val="007914CA"/>
    <w:rsid w:val="00791C50"/>
    <w:rsid w:val="007925DF"/>
    <w:rsid w:val="00792C71"/>
    <w:rsid w:val="007965D8"/>
    <w:rsid w:val="007A08AA"/>
    <w:rsid w:val="007A0A12"/>
    <w:rsid w:val="007A132D"/>
    <w:rsid w:val="007A1345"/>
    <w:rsid w:val="007A138E"/>
    <w:rsid w:val="007A23F3"/>
    <w:rsid w:val="007A2B4B"/>
    <w:rsid w:val="007A2DDB"/>
    <w:rsid w:val="007A2F35"/>
    <w:rsid w:val="007A4DAA"/>
    <w:rsid w:val="007A51C0"/>
    <w:rsid w:val="007A54FC"/>
    <w:rsid w:val="007A6C0C"/>
    <w:rsid w:val="007A70BA"/>
    <w:rsid w:val="007B0D68"/>
    <w:rsid w:val="007B251D"/>
    <w:rsid w:val="007B3533"/>
    <w:rsid w:val="007B438B"/>
    <w:rsid w:val="007B4F58"/>
    <w:rsid w:val="007B528D"/>
    <w:rsid w:val="007B63CA"/>
    <w:rsid w:val="007B6502"/>
    <w:rsid w:val="007B686B"/>
    <w:rsid w:val="007B6D06"/>
    <w:rsid w:val="007B77D1"/>
    <w:rsid w:val="007C07C7"/>
    <w:rsid w:val="007C1CD9"/>
    <w:rsid w:val="007C2FCC"/>
    <w:rsid w:val="007C32EF"/>
    <w:rsid w:val="007C361D"/>
    <w:rsid w:val="007C4B84"/>
    <w:rsid w:val="007C4DA5"/>
    <w:rsid w:val="007C564D"/>
    <w:rsid w:val="007C65C9"/>
    <w:rsid w:val="007C70FF"/>
    <w:rsid w:val="007C7898"/>
    <w:rsid w:val="007C7C25"/>
    <w:rsid w:val="007D004F"/>
    <w:rsid w:val="007D035F"/>
    <w:rsid w:val="007D06B2"/>
    <w:rsid w:val="007D0942"/>
    <w:rsid w:val="007D096E"/>
    <w:rsid w:val="007D0B38"/>
    <w:rsid w:val="007D1315"/>
    <w:rsid w:val="007D1926"/>
    <w:rsid w:val="007D19AE"/>
    <w:rsid w:val="007D35CD"/>
    <w:rsid w:val="007D46F4"/>
    <w:rsid w:val="007D48D5"/>
    <w:rsid w:val="007D5440"/>
    <w:rsid w:val="007D54B3"/>
    <w:rsid w:val="007D5611"/>
    <w:rsid w:val="007D59BC"/>
    <w:rsid w:val="007D5CEA"/>
    <w:rsid w:val="007D649B"/>
    <w:rsid w:val="007D69EB"/>
    <w:rsid w:val="007D6BA9"/>
    <w:rsid w:val="007D6FAE"/>
    <w:rsid w:val="007E128F"/>
    <w:rsid w:val="007E12C5"/>
    <w:rsid w:val="007E2CA6"/>
    <w:rsid w:val="007E2E69"/>
    <w:rsid w:val="007E623F"/>
    <w:rsid w:val="007E6B45"/>
    <w:rsid w:val="007E6DB3"/>
    <w:rsid w:val="007E7396"/>
    <w:rsid w:val="007E73AA"/>
    <w:rsid w:val="007F1017"/>
    <w:rsid w:val="007F1358"/>
    <w:rsid w:val="007F16FD"/>
    <w:rsid w:val="007F19BA"/>
    <w:rsid w:val="007F2149"/>
    <w:rsid w:val="007F2208"/>
    <w:rsid w:val="007F23A2"/>
    <w:rsid w:val="007F28C3"/>
    <w:rsid w:val="007F2AAE"/>
    <w:rsid w:val="007F2E98"/>
    <w:rsid w:val="007F4A3F"/>
    <w:rsid w:val="007F4A61"/>
    <w:rsid w:val="007F50E3"/>
    <w:rsid w:val="007F5255"/>
    <w:rsid w:val="007F56CC"/>
    <w:rsid w:val="007F61C2"/>
    <w:rsid w:val="007F6716"/>
    <w:rsid w:val="007F73D8"/>
    <w:rsid w:val="00802B64"/>
    <w:rsid w:val="00802DF6"/>
    <w:rsid w:val="00803E39"/>
    <w:rsid w:val="00804977"/>
    <w:rsid w:val="00805142"/>
    <w:rsid w:val="0080566B"/>
    <w:rsid w:val="00805ACF"/>
    <w:rsid w:val="00805FCE"/>
    <w:rsid w:val="00807098"/>
    <w:rsid w:val="00807A8B"/>
    <w:rsid w:val="00811383"/>
    <w:rsid w:val="00812149"/>
    <w:rsid w:val="00812CAC"/>
    <w:rsid w:val="008132A0"/>
    <w:rsid w:val="0081473F"/>
    <w:rsid w:val="00815D3E"/>
    <w:rsid w:val="00816361"/>
    <w:rsid w:val="008166EF"/>
    <w:rsid w:val="00816FEF"/>
    <w:rsid w:val="00820039"/>
    <w:rsid w:val="00820A8C"/>
    <w:rsid w:val="00820F10"/>
    <w:rsid w:val="0082108D"/>
    <w:rsid w:val="008215FB"/>
    <w:rsid w:val="008220CC"/>
    <w:rsid w:val="00823174"/>
    <w:rsid w:val="00825751"/>
    <w:rsid w:val="0082647E"/>
    <w:rsid w:val="008264EB"/>
    <w:rsid w:val="0082653D"/>
    <w:rsid w:val="008268CE"/>
    <w:rsid w:val="00826F41"/>
    <w:rsid w:val="00827421"/>
    <w:rsid w:val="00827C23"/>
    <w:rsid w:val="00830934"/>
    <w:rsid w:val="00831FD0"/>
    <w:rsid w:val="0083361A"/>
    <w:rsid w:val="0083384E"/>
    <w:rsid w:val="00833B05"/>
    <w:rsid w:val="00834ED2"/>
    <w:rsid w:val="0083541C"/>
    <w:rsid w:val="0083564A"/>
    <w:rsid w:val="008362B4"/>
    <w:rsid w:val="0083630E"/>
    <w:rsid w:val="00836444"/>
    <w:rsid w:val="00836D32"/>
    <w:rsid w:val="008371DE"/>
    <w:rsid w:val="00837D88"/>
    <w:rsid w:val="00840CA2"/>
    <w:rsid w:val="00841664"/>
    <w:rsid w:val="00843467"/>
    <w:rsid w:val="0084374F"/>
    <w:rsid w:val="00844A22"/>
    <w:rsid w:val="00845132"/>
    <w:rsid w:val="00845180"/>
    <w:rsid w:val="008476AA"/>
    <w:rsid w:val="00847703"/>
    <w:rsid w:val="00847DF5"/>
    <w:rsid w:val="00852BE7"/>
    <w:rsid w:val="0085309D"/>
    <w:rsid w:val="008534B3"/>
    <w:rsid w:val="00853CF7"/>
    <w:rsid w:val="00854078"/>
    <w:rsid w:val="0085492D"/>
    <w:rsid w:val="00856897"/>
    <w:rsid w:val="00856DEF"/>
    <w:rsid w:val="00856E9A"/>
    <w:rsid w:val="0085780B"/>
    <w:rsid w:val="0086075D"/>
    <w:rsid w:val="008607EA"/>
    <w:rsid w:val="008609E6"/>
    <w:rsid w:val="008615CA"/>
    <w:rsid w:val="00861B37"/>
    <w:rsid w:val="00862502"/>
    <w:rsid w:val="00862CC1"/>
    <w:rsid w:val="00863406"/>
    <w:rsid w:val="00863DDB"/>
    <w:rsid w:val="008642A7"/>
    <w:rsid w:val="008660D4"/>
    <w:rsid w:val="00866ED8"/>
    <w:rsid w:val="00867374"/>
    <w:rsid w:val="00870529"/>
    <w:rsid w:val="00870B4C"/>
    <w:rsid w:val="00870FCF"/>
    <w:rsid w:val="00871180"/>
    <w:rsid w:val="00871FA9"/>
    <w:rsid w:val="008720A8"/>
    <w:rsid w:val="008728E9"/>
    <w:rsid w:val="008729E4"/>
    <w:rsid w:val="00872E39"/>
    <w:rsid w:val="00872E6B"/>
    <w:rsid w:val="00873CE0"/>
    <w:rsid w:val="00875263"/>
    <w:rsid w:val="008752B8"/>
    <w:rsid w:val="0087672A"/>
    <w:rsid w:val="00877163"/>
    <w:rsid w:val="00877287"/>
    <w:rsid w:val="00877A9A"/>
    <w:rsid w:val="00880713"/>
    <w:rsid w:val="00881696"/>
    <w:rsid w:val="00882814"/>
    <w:rsid w:val="00882874"/>
    <w:rsid w:val="00882E3C"/>
    <w:rsid w:val="0088308A"/>
    <w:rsid w:val="00883787"/>
    <w:rsid w:val="008849B4"/>
    <w:rsid w:val="008855E4"/>
    <w:rsid w:val="0088565C"/>
    <w:rsid w:val="008860E5"/>
    <w:rsid w:val="00886CD2"/>
    <w:rsid w:val="00886F7D"/>
    <w:rsid w:val="008911ED"/>
    <w:rsid w:val="00891E6F"/>
    <w:rsid w:val="008926BA"/>
    <w:rsid w:val="0089275D"/>
    <w:rsid w:val="00892A36"/>
    <w:rsid w:val="00893239"/>
    <w:rsid w:val="008932A2"/>
    <w:rsid w:val="0089420E"/>
    <w:rsid w:val="0089423E"/>
    <w:rsid w:val="00894489"/>
    <w:rsid w:val="00894CD6"/>
    <w:rsid w:val="0089549D"/>
    <w:rsid w:val="00895F91"/>
    <w:rsid w:val="008963A5"/>
    <w:rsid w:val="008963BA"/>
    <w:rsid w:val="00896D5D"/>
    <w:rsid w:val="00897557"/>
    <w:rsid w:val="008979AE"/>
    <w:rsid w:val="008A0917"/>
    <w:rsid w:val="008A0B6B"/>
    <w:rsid w:val="008A1B5D"/>
    <w:rsid w:val="008A2CD3"/>
    <w:rsid w:val="008A3158"/>
    <w:rsid w:val="008A3363"/>
    <w:rsid w:val="008A3371"/>
    <w:rsid w:val="008A3C3E"/>
    <w:rsid w:val="008A44E1"/>
    <w:rsid w:val="008A5286"/>
    <w:rsid w:val="008A628F"/>
    <w:rsid w:val="008A6715"/>
    <w:rsid w:val="008A79DE"/>
    <w:rsid w:val="008B066A"/>
    <w:rsid w:val="008B0CD6"/>
    <w:rsid w:val="008B12AE"/>
    <w:rsid w:val="008B1757"/>
    <w:rsid w:val="008B1C33"/>
    <w:rsid w:val="008B1F82"/>
    <w:rsid w:val="008B4B37"/>
    <w:rsid w:val="008B4B6F"/>
    <w:rsid w:val="008B4D95"/>
    <w:rsid w:val="008B7356"/>
    <w:rsid w:val="008B7992"/>
    <w:rsid w:val="008B7D7E"/>
    <w:rsid w:val="008C0863"/>
    <w:rsid w:val="008C1091"/>
    <w:rsid w:val="008C1B97"/>
    <w:rsid w:val="008C2066"/>
    <w:rsid w:val="008C36B4"/>
    <w:rsid w:val="008C4271"/>
    <w:rsid w:val="008C4833"/>
    <w:rsid w:val="008C5610"/>
    <w:rsid w:val="008C5739"/>
    <w:rsid w:val="008C7282"/>
    <w:rsid w:val="008C7ECB"/>
    <w:rsid w:val="008D053B"/>
    <w:rsid w:val="008D18A0"/>
    <w:rsid w:val="008D374A"/>
    <w:rsid w:val="008D39F2"/>
    <w:rsid w:val="008D3B46"/>
    <w:rsid w:val="008D3B86"/>
    <w:rsid w:val="008D43FD"/>
    <w:rsid w:val="008D4755"/>
    <w:rsid w:val="008D4C3D"/>
    <w:rsid w:val="008D68C5"/>
    <w:rsid w:val="008D743C"/>
    <w:rsid w:val="008E0D3C"/>
    <w:rsid w:val="008E1795"/>
    <w:rsid w:val="008E1B9E"/>
    <w:rsid w:val="008E50AB"/>
    <w:rsid w:val="008E55AB"/>
    <w:rsid w:val="008E687D"/>
    <w:rsid w:val="008E7729"/>
    <w:rsid w:val="008E7B1F"/>
    <w:rsid w:val="008E7D95"/>
    <w:rsid w:val="008F120A"/>
    <w:rsid w:val="008F27E0"/>
    <w:rsid w:val="008F2FE7"/>
    <w:rsid w:val="008F3390"/>
    <w:rsid w:val="008F339D"/>
    <w:rsid w:val="008F48EB"/>
    <w:rsid w:val="008F4F0B"/>
    <w:rsid w:val="008F5972"/>
    <w:rsid w:val="008F5BC3"/>
    <w:rsid w:val="008F68D0"/>
    <w:rsid w:val="008F7A8E"/>
    <w:rsid w:val="00901D9D"/>
    <w:rsid w:val="00903326"/>
    <w:rsid w:val="009033C0"/>
    <w:rsid w:val="009040E6"/>
    <w:rsid w:val="0090420C"/>
    <w:rsid w:val="009046C4"/>
    <w:rsid w:val="00905193"/>
    <w:rsid w:val="00905531"/>
    <w:rsid w:val="009062A5"/>
    <w:rsid w:val="00906C2B"/>
    <w:rsid w:val="00907699"/>
    <w:rsid w:val="00910DB7"/>
    <w:rsid w:val="00910FA7"/>
    <w:rsid w:val="00911272"/>
    <w:rsid w:val="00911339"/>
    <w:rsid w:val="00911C49"/>
    <w:rsid w:val="009135D6"/>
    <w:rsid w:val="0091362A"/>
    <w:rsid w:val="00914742"/>
    <w:rsid w:val="00914C77"/>
    <w:rsid w:val="00915822"/>
    <w:rsid w:val="009174E0"/>
    <w:rsid w:val="00920B1D"/>
    <w:rsid w:val="00920CCC"/>
    <w:rsid w:val="00921ACB"/>
    <w:rsid w:val="009223EA"/>
    <w:rsid w:val="00922850"/>
    <w:rsid w:val="00922B7F"/>
    <w:rsid w:val="00922F14"/>
    <w:rsid w:val="009230B8"/>
    <w:rsid w:val="0092369B"/>
    <w:rsid w:val="009236F1"/>
    <w:rsid w:val="009264F9"/>
    <w:rsid w:val="0092652E"/>
    <w:rsid w:val="0092723C"/>
    <w:rsid w:val="00930260"/>
    <w:rsid w:val="00934988"/>
    <w:rsid w:val="00937089"/>
    <w:rsid w:val="0093755F"/>
    <w:rsid w:val="00937912"/>
    <w:rsid w:val="00940726"/>
    <w:rsid w:val="00940A46"/>
    <w:rsid w:val="00940AF9"/>
    <w:rsid w:val="00941024"/>
    <w:rsid w:val="00943304"/>
    <w:rsid w:val="0094372A"/>
    <w:rsid w:val="00943F44"/>
    <w:rsid w:val="00944383"/>
    <w:rsid w:val="00944AAD"/>
    <w:rsid w:val="00944F8A"/>
    <w:rsid w:val="0094632B"/>
    <w:rsid w:val="00951045"/>
    <w:rsid w:val="009510A2"/>
    <w:rsid w:val="00953207"/>
    <w:rsid w:val="00953257"/>
    <w:rsid w:val="009535B2"/>
    <w:rsid w:val="009545BA"/>
    <w:rsid w:val="0095474C"/>
    <w:rsid w:val="00954AFD"/>
    <w:rsid w:val="00956163"/>
    <w:rsid w:val="00957D92"/>
    <w:rsid w:val="00957E46"/>
    <w:rsid w:val="00960292"/>
    <w:rsid w:val="0096157A"/>
    <w:rsid w:val="00962CB9"/>
    <w:rsid w:val="00963E5B"/>
    <w:rsid w:val="009641B1"/>
    <w:rsid w:val="00964312"/>
    <w:rsid w:val="00965304"/>
    <w:rsid w:val="00965B8A"/>
    <w:rsid w:val="00966194"/>
    <w:rsid w:val="00966C1A"/>
    <w:rsid w:val="00966E73"/>
    <w:rsid w:val="00967989"/>
    <w:rsid w:val="00967AFD"/>
    <w:rsid w:val="00967BE5"/>
    <w:rsid w:val="0097071F"/>
    <w:rsid w:val="00971052"/>
    <w:rsid w:val="0097175C"/>
    <w:rsid w:val="009717AC"/>
    <w:rsid w:val="00971E68"/>
    <w:rsid w:val="00972592"/>
    <w:rsid w:val="00972ECF"/>
    <w:rsid w:val="009730ED"/>
    <w:rsid w:val="009751C1"/>
    <w:rsid w:val="00975756"/>
    <w:rsid w:val="0097678B"/>
    <w:rsid w:val="00976D0A"/>
    <w:rsid w:val="0097799D"/>
    <w:rsid w:val="00980316"/>
    <w:rsid w:val="0098079F"/>
    <w:rsid w:val="00980C55"/>
    <w:rsid w:val="009811F1"/>
    <w:rsid w:val="009819A9"/>
    <w:rsid w:val="0098262F"/>
    <w:rsid w:val="009836CE"/>
    <w:rsid w:val="00983E57"/>
    <w:rsid w:val="00985DE2"/>
    <w:rsid w:val="0098675D"/>
    <w:rsid w:val="00987079"/>
    <w:rsid w:val="00987BA4"/>
    <w:rsid w:val="00990170"/>
    <w:rsid w:val="00990398"/>
    <w:rsid w:val="00991AE7"/>
    <w:rsid w:val="0099226C"/>
    <w:rsid w:val="009926A4"/>
    <w:rsid w:val="009926E0"/>
    <w:rsid w:val="0099451E"/>
    <w:rsid w:val="00994DF5"/>
    <w:rsid w:val="009951D1"/>
    <w:rsid w:val="00996B1A"/>
    <w:rsid w:val="00997B20"/>
    <w:rsid w:val="009A18F6"/>
    <w:rsid w:val="009A2AE2"/>
    <w:rsid w:val="009A2DCC"/>
    <w:rsid w:val="009A3D49"/>
    <w:rsid w:val="009A4E81"/>
    <w:rsid w:val="009A516A"/>
    <w:rsid w:val="009A5993"/>
    <w:rsid w:val="009A5ABC"/>
    <w:rsid w:val="009A7F10"/>
    <w:rsid w:val="009B1A7E"/>
    <w:rsid w:val="009B2F36"/>
    <w:rsid w:val="009B31C9"/>
    <w:rsid w:val="009B3558"/>
    <w:rsid w:val="009B3A25"/>
    <w:rsid w:val="009B3E26"/>
    <w:rsid w:val="009B4F61"/>
    <w:rsid w:val="009B4FCC"/>
    <w:rsid w:val="009B6165"/>
    <w:rsid w:val="009C0421"/>
    <w:rsid w:val="009C1271"/>
    <w:rsid w:val="009C200C"/>
    <w:rsid w:val="009C2692"/>
    <w:rsid w:val="009C2CA5"/>
    <w:rsid w:val="009C2CD5"/>
    <w:rsid w:val="009C3462"/>
    <w:rsid w:val="009C3511"/>
    <w:rsid w:val="009C3512"/>
    <w:rsid w:val="009C3706"/>
    <w:rsid w:val="009C3937"/>
    <w:rsid w:val="009C3A3A"/>
    <w:rsid w:val="009C3A64"/>
    <w:rsid w:val="009C426B"/>
    <w:rsid w:val="009C4661"/>
    <w:rsid w:val="009C4C8C"/>
    <w:rsid w:val="009C56D5"/>
    <w:rsid w:val="009C6CEA"/>
    <w:rsid w:val="009C712E"/>
    <w:rsid w:val="009C7B85"/>
    <w:rsid w:val="009D0254"/>
    <w:rsid w:val="009D04ED"/>
    <w:rsid w:val="009D07ED"/>
    <w:rsid w:val="009D1A64"/>
    <w:rsid w:val="009D2DE4"/>
    <w:rsid w:val="009D343D"/>
    <w:rsid w:val="009D378B"/>
    <w:rsid w:val="009D498E"/>
    <w:rsid w:val="009D5B91"/>
    <w:rsid w:val="009D71CD"/>
    <w:rsid w:val="009D76C9"/>
    <w:rsid w:val="009D792E"/>
    <w:rsid w:val="009E0082"/>
    <w:rsid w:val="009E0DFE"/>
    <w:rsid w:val="009E1ADB"/>
    <w:rsid w:val="009E31F6"/>
    <w:rsid w:val="009E4BF2"/>
    <w:rsid w:val="009E4C07"/>
    <w:rsid w:val="009E5CC0"/>
    <w:rsid w:val="009E5E89"/>
    <w:rsid w:val="009E71F2"/>
    <w:rsid w:val="009E777F"/>
    <w:rsid w:val="009E792B"/>
    <w:rsid w:val="009E7C89"/>
    <w:rsid w:val="009E7FF4"/>
    <w:rsid w:val="009F108B"/>
    <w:rsid w:val="009F195B"/>
    <w:rsid w:val="009F27A2"/>
    <w:rsid w:val="009F43B7"/>
    <w:rsid w:val="009F46C0"/>
    <w:rsid w:val="009F6120"/>
    <w:rsid w:val="009F65A1"/>
    <w:rsid w:val="00A00D76"/>
    <w:rsid w:val="00A00E1D"/>
    <w:rsid w:val="00A01184"/>
    <w:rsid w:val="00A0123F"/>
    <w:rsid w:val="00A01449"/>
    <w:rsid w:val="00A037C2"/>
    <w:rsid w:val="00A03D43"/>
    <w:rsid w:val="00A04380"/>
    <w:rsid w:val="00A04786"/>
    <w:rsid w:val="00A04D5D"/>
    <w:rsid w:val="00A05472"/>
    <w:rsid w:val="00A05C32"/>
    <w:rsid w:val="00A0653F"/>
    <w:rsid w:val="00A074AE"/>
    <w:rsid w:val="00A078F8"/>
    <w:rsid w:val="00A11273"/>
    <w:rsid w:val="00A11797"/>
    <w:rsid w:val="00A119DC"/>
    <w:rsid w:val="00A11CD0"/>
    <w:rsid w:val="00A1247E"/>
    <w:rsid w:val="00A12BDD"/>
    <w:rsid w:val="00A12F5B"/>
    <w:rsid w:val="00A13197"/>
    <w:rsid w:val="00A13948"/>
    <w:rsid w:val="00A13C31"/>
    <w:rsid w:val="00A14649"/>
    <w:rsid w:val="00A1472F"/>
    <w:rsid w:val="00A1555B"/>
    <w:rsid w:val="00A155C5"/>
    <w:rsid w:val="00A16AD8"/>
    <w:rsid w:val="00A2021E"/>
    <w:rsid w:val="00A20274"/>
    <w:rsid w:val="00A207E0"/>
    <w:rsid w:val="00A20A26"/>
    <w:rsid w:val="00A21C95"/>
    <w:rsid w:val="00A21CF3"/>
    <w:rsid w:val="00A24813"/>
    <w:rsid w:val="00A248C5"/>
    <w:rsid w:val="00A24B7D"/>
    <w:rsid w:val="00A2527F"/>
    <w:rsid w:val="00A27AEC"/>
    <w:rsid w:val="00A30389"/>
    <w:rsid w:val="00A311AA"/>
    <w:rsid w:val="00A31683"/>
    <w:rsid w:val="00A320DB"/>
    <w:rsid w:val="00A32882"/>
    <w:rsid w:val="00A33E77"/>
    <w:rsid w:val="00A35D16"/>
    <w:rsid w:val="00A37BCD"/>
    <w:rsid w:val="00A40AEB"/>
    <w:rsid w:val="00A41689"/>
    <w:rsid w:val="00A41C94"/>
    <w:rsid w:val="00A42592"/>
    <w:rsid w:val="00A4349B"/>
    <w:rsid w:val="00A434AB"/>
    <w:rsid w:val="00A43BFE"/>
    <w:rsid w:val="00A43C59"/>
    <w:rsid w:val="00A43D84"/>
    <w:rsid w:val="00A46C13"/>
    <w:rsid w:val="00A471BE"/>
    <w:rsid w:val="00A47DE5"/>
    <w:rsid w:val="00A500FF"/>
    <w:rsid w:val="00A50ECD"/>
    <w:rsid w:val="00A518F3"/>
    <w:rsid w:val="00A52729"/>
    <w:rsid w:val="00A53675"/>
    <w:rsid w:val="00A5414F"/>
    <w:rsid w:val="00A54183"/>
    <w:rsid w:val="00A54811"/>
    <w:rsid w:val="00A564D7"/>
    <w:rsid w:val="00A56B6A"/>
    <w:rsid w:val="00A57484"/>
    <w:rsid w:val="00A578DC"/>
    <w:rsid w:val="00A60732"/>
    <w:rsid w:val="00A6105C"/>
    <w:rsid w:val="00A61794"/>
    <w:rsid w:val="00A640E2"/>
    <w:rsid w:val="00A64D65"/>
    <w:rsid w:val="00A65B28"/>
    <w:rsid w:val="00A6725B"/>
    <w:rsid w:val="00A67931"/>
    <w:rsid w:val="00A70605"/>
    <w:rsid w:val="00A70726"/>
    <w:rsid w:val="00A70BC7"/>
    <w:rsid w:val="00A71D79"/>
    <w:rsid w:val="00A71EE9"/>
    <w:rsid w:val="00A73134"/>
    <w:rsid w:val="00A7365A"/>
    <w:rsid w:val="00A7370C"/>
    <w:rsid w:val="00A76001"/>
    <w:rsid w:val="00A7740A"/>
    <w:rsid w:val="00A775AD"/>
    <w:rsid w:val="00A777B2"/>
    <w:rsid w:val="00A80407"/>
    <w:rsid w:val="00A81E2D"/>
    <w:rsid w:val="00A8243C"/>
    <w:rsid w:val="00A825D4"/>
    <w:rsid w:val="00A828F6"/>
    <w:rsid w:val="00A82B73"/>
    <w:rsid w:val="00A83E46"/>
    <w:rsid w:val="00A84FC5"/>
    <w:rsid w:val="00A869B9"/>
    <w:rsid w:val="00A86E8B"/>
    <w:rsid w:val="00A870E2"/>
    <w:rsid w:val="00A87164"/>
    <w:rsid w:val="00A871A9"/>
    <w:rsid w:val="00A8764B"/>
    <w:rsid w:val="00A87769"/>
    <w:rsid w:val="00A918BE"/>
    <w:rsid w:val="00A925D7"/>
    <w:rsid w:val="00A93072"/>
    <w:rsid w:val="00A938BD"/>
    <w:rsid w:val="00A93953"/>
    <w:rsid w:val="00A947A1"/>
    <w:rsid w:val="00A959D8"/>
    <w:rsid w:val="00A95A4D"/>
    <w:rsid w:val="00A96F27"/>
    <w:rsid w:val="00A97A1B"/>
    <w:rsid w:val="00AA0B3D"/>
    <w:rsid w:val="00AA113D"/>
    <w:rsid w:val="00AA1620"/>
    <w:rsid w:val="00AA3558"/>
    <w:rsid w:val="00AA3697"/>
    <w:rsid w:val="00AA423E"/>
    <w:rsid w:val="00AA46EF"/>
    <w:rsid w:val="00AA4838"/>
    <w:rsid w:val="00AA6730"/>
    <w:rsid w:val="00AA6BD5"/>
    <w:rsid w:val="00AA6BD8"/>
    <w:rsid w:val="00AA6C7D"/>
    <w:rsid w:val="00AA73DF"/>
    <w:rsid w:val="00AA7E7B"/>
    <w:rsid w:val="00AA7FD6"/>
    <w:rsid w:val="00AB042A"/>
    <w:rsid w:val="00AB11AD"/>
    <w:rsid w:val="00AB19EF"/>
    <w:rsid w:val="00AB226D"/>
    <w:rsid w:val="00AB22D8"/>
    <w:rsid w:val="00AB2495"/>
    <w:rsid w:val="00AB2D34"/>
    <w:rsid w:val="00AB3070"/>
    <w:rsid w:val="00AB3430"/>
    <w:rsid w:val="00AB37B9"/>
    <w:rsid w:val="00AB4908"/>
    <w:rsid w:val="00AB4AD1"/>
    <w:rsid w:val="00AB4C26"/>
    <w:rsid w:val="00AB4D7B"/>
    <w:rsid w:val="00AB5D1E"/>
    <w:rsid w:val="00AB5E07"/>
    <w:rsid w:val="00AB7CFA"/>
    <w:rsid w:val="00AC01CC"/>
    <w:rsid w:val="00AC1AE5"/>
    <w:rsid w:val="00AC1CE7"/>
    <w:rsid w:val="00AC213B"/>
    <w:rsid w:val="00AC5B42"/>
    <w:rsid w:val="00AC5B48"/>
    <w:rsid w:val="00AC770F"/>
    <w:rsid w:val="00AD1450"/>
    <w:rsid w:val="00AD15E8"/>
    <w:rsid w:val="00AD1AD3"/>
    <w:rsid w:val="00AD356D"/>
    <w:rsid w:val="00AD515A"/>
    <w:rsid w:val="00AD57E1"/>
    <w:rsid w:val="00AD6502"/>
    <w:rsid w:val="00AD6DC7"/>
    <w:rsid w:val="00AD6F7D"/>
    <w:rsid w:val="00AE0695"/>
    <w:rsid w:val="00AE0E7C"/>
    <w:rsid w:val="00AE1B2F"/>
    <w:rsid w:val="00AE325B"/>
    <w:rsid w:val="00AE33E9"/>
    <w:rsid w:val="00AE3E7E"/>
    <w:rsid w:val="00AE3E92"/>
    <w:rsid w:val="00AE546C"/>
    <w:rsid w:val="00AE583D"/>
    <w:rsid w:val="00AE6C6F"/>
    <w:rsid w:val="00AE74C0"/>
    <w:rsid w:val="00AE7E53"/>
    <w:rsid w:val="00AE7EC8"/>
    <w:rsid w:val="00AE7F7D"/>
    <w:rsid w:val="00AF0D03"/>
    <w:rsid w:val="00AF115A"/>
    <w:rsid w:val="00AF1315"/>
    <w:rsid w:val="00AF19BF"/>
    <w:rsid w:val="00AF289B"/>
    <w:rsid w:val="00AF296E"/>
    <w:rsid w:val="00AF2DC3"/>
    <w:rsid w:val="00AF338E"/>
    <w:rsid w:val="00AF4B11"/>
    <w:rsid w:val="00AF67B7"/>
    <w:rsid w:val="00AF789C"/>
    <w:rsid w:val="00B00A0E"/>
    <w:rsid w:val="00B017BD"/>
    <w:rsid w:val="00B01AE3"/>
    <w:rsid w:val="00B01C5D"/>
    <w:rsid w:val="00B02489"/>
    <w:rsid w:val="00B02BEB"/>
    <w:rsid w:val="00B02D33"/>
    <w:rsid w:val="00B033E5"/>
    <w:rsid w:val="00B034A4"/>
    <w:rsid w:val="00B03A63"/>
    <w:rsid w:val="00B0524F"/>
    <w:rsid w:val="00B05FAD"/>
    <w:rsid w:val="00B07FD6"/>
    <w:rsid w:val="00B117FE"/>
    <w:rsid w:val="00B12796"/>
    <w:rsid w:val="00B12877"/>
    <w:rsid w:val="00B129A4"/>
    <w:rsid w:val="00B1636D"/>
    <w:rsid w:val="00B174F6"/>
    <w:rsid w:val="00B201A4"/>
    <w:rsid w:val="00B201D1"/>
    <w:rsid w:val="00B213A6"/>
    <w:rsid w:val="00B2324E"/>
    <w:rsid w:val="00B235B0"/>
    <w:rsid w:val="00B23890"/>
    <w:rsid w:val="00B24DF6"/>
    <w:rsid w:val="00B27A61"/>
    <w:rsid w:val="00B27E73"/>
    <w:rsid w:val="00B3282A"/>
    <w:rsid w:val="00B338C0"/>
    <w:rsid w:val="00B34FE2"/>
    <w:rsid w:val="00B35166"/>
    <w:rsid w:val="00B357D8"/>
    <w:rsid w:val="00B359E5"/>
    <w:rsid w:val="00B360F4"/>
    <w:rsid w:val="00B36A00"/>
    <w:rsid w:val="00B3792B"/>
    <w:rsid w:val="00B37BFC"/>
    <w:rsid w:val="00B4019E"/>
    <w:rsid w:val="00B40358"/>
    <w:rsid w:val="00B41614"/>
    <w:rsid w:val="00B424CA"/>
    <w:rsid w:val="00B42851"/>
    <w:rsid w:val="00B42F80"/>
    <w:rsid w:val="00B4338C"/>
    <w:rsid w:val="00B435CB"/>
    <w:rsid w:val="00B44B99"/>
    <w:rsid w:val="00B465EC"/>
    <w:rsid w:val="00B476E8"/>
    <w:rsid w:val="00B505C8"/>
    <w:rsid w:val="00B50DB8"/>
    <w:rsid w:val="00B51215"/>
    <w:rsid w:val="00B51E37"/>
    <w:rsid w:val="00B52684"/>
    <w:rsid w:val="00B526E7"/>
    <w:rsid w:val="00B53654"/>
    <w:rsid w:val="00B537DE"/>
    <w:rsid w:val="00B53905"/>
    <w:rsid w:val="00B546DB"/>
    <w:rsid w:val="00B54B5B"/>
    <w:rsid w:val="00B54DA2"/>
    <w:rsid w:val="00B5562E"/>
    <w:rsid w:val="00B55862"/>
    <w:rsid w:val="00B55D65"/>
    <w:rsid w:val="00B56305"/>
    <w:rsid w:val="00B57000"/>
    <w:rsid w:val="00B60937"/>
    <w:rsid w:val="00B60939"/>
    <w:rsid w:val="00B60AFD"/>
    <w:rsid w:val="00B62715"/>
    <w:rsid w:val="00B63CD0"/>
    <w:rsid w:val="00B63E45"/>
    <w:rsid w:val="00B64A6F"/>
    <w:rsid w:val="00B65352"/>
    <w:rsid w:val="00B65611"/>
    <w:rsid w:val="00B65727"/>
    <w:rsid w:val="00B702FD"/>
    <w:rsid w:val="00B70758"/>
    <w:rsid w:val="00B70E8E"/>
    <w:rsid w:val="00B73B4B"/>
    <w:rsid w:val="00B75E93"/>
    <w:rsid w:val="00B76C92"/>
    <w:rsid w:val="00B80D2B"/>
    <w:rsid w:val="00B80EFD"/>
    <w:rsid w:val="00B80FF1"/>
    <w:rsid w:val="00B8128B"/>
    <w:rsid w:val="00B818A4"/>
    <w:rsid w:val="00B819D1"/>
    <w:rsid w:val="00B821EA"/>
    <w:rsid w:val="00B822A8"/>
    <w:rsid w:val="00B82EA1"/>
    <w:rsid w:val="00B83312"/>
    <w:rsid w:val="00B83612"/>
    <w:rsid w:val="00B83739"/>
    <w:rsid w:val="00B83B28"/>
    <w:rsid w:val="00B84117"/>
    <w:rsid w:val="00B84BC2"/>
    <w:rsid w:val="00B857FF"/>
    <w:rsid w:val="00B858F0"/>
    <w:rsid w:val="00B85AA2"/>
    <w:rsid w:val="00B8625E"/>
    <w:rsid w:val="00B8649C"/>
    <w:rsid w:val="00B8695D"/>
    <w:rsid w:val="00B87F0A"/>
    <w:rsid w:val="00B90165"/>
    <w:rsid w:val="00B91F76"/>
    <w:rsid w:val="00B92403"/>
    <w:rsid w:val="00B92D0B"/>
    <w:rsid w:val="00B94585"/>
    <w:rsid w:val="00B9485F"/>
    <w:rsid w:val="00B94945"/>
    <w:rsid w:val="00B94DD6"/>
    <w:rsid w:val="00B950BB"/>
    <w:rsid w:val="00B95342"/>
    <w:rsid w:val="00B9591B"/>
    <w:rsid w:val="00B959D3"/>
    <w:rsid w:val="00B965F5"/>
    <w:rsid w:val="00BA322D"/>
    <w:rsid w:val="00BA63FA"/>
    <w:rsid w:val="00BA6FA8"/>
    <w:rsid w:val="00BB00B3"/>
    <w:rsid w:val="00BB0144"/>
    <w:rsid w:val="00BB074E"/>
    <w:rsid w:val="00BB0BDD"/>
    <w:rsid w:val="00BB176C"/>
    <w:rsid w:val="00BB1B01"/>
    <w:rsid w:val="00BB2A73"/>
    <w:rsid w:val="00BB3A45"/>
    <w:rsid w:val="00BB3C84"/>
    <w:rsid w:val="00BB43B7"/>
    <w:rsid w:val="00BB4ACC"/>
    <w:rsid w:val="00BB5D4B"/>
    <w:rsid w:val="00BB6E31"/>
    <w:rsid w:val="00BB703E"/>
    <w:rsid w:val="00BB732D"/>
    <w:rsid w:val="00BB7405"/>
    <w:rsid w:val="00BB7E29"/>
    <w:rsid w:val="00BC0355"/>
    <w:rsid w:val="00BC2A8A"/>
    <w:rsid w:val="00BC3006"/>
    <w:rsid w:val="00BC3631"/>
    <w:rsid w:val="00BC57E8"/>
    <w:rsid w:val="00BC591F"/>
    <w:rsid w:val="00BC595B"/>
    <w:rsid w:val="00BC6591"/>
    <w:rsid w:val="00BC7B4A"/>
    <w:rsid w:val="00BC7D6D"/>
    <w:rsid w:val="00BD0488"/>
    <w:rsid w:val="00BD04D7"/>
    <w:rsid w:val="00BD0A04"/>
    <w:rsid w:val="00BD2108"/>
    <w:rsid w:val="00BD5037"/>
    <w:rsid w:val="00BD532D"/>
    <w:rsid w:val="00BD5967"/>
    <w:rsid w:val="00BD6007"/>
    <w:rsid w:val="00BD68A3"/>
    <w:rsid w:val="00BD6938"/>
    <w:rsid w:val="00BD6CF3"/>
    <w:rsid w:val="00BD7F72"/>
    <w:rsid w:val="00BE0758"/>
    <w:rsid w:val="00BE089C"/>
    <w:rsid w:val="00BE093F"/>
    <w:rsid w:val="00BE0ECA"/>
    <w:rsid w:val="00BE1504"/>
    <w:rsid w:val="00BE1B5E"/>
    <w:rsid w:val="00BE2180"/>
    <w:rsid w:val="00BE21F2"/>
    <w:rsid w:val="00BE24C5"/>
    <w:rsid w:val="00BE2F24"/>
    <w:rsid w:val="00BE4275"/>
    <w:rsid w:val="00BE496A"/>
    <w:rsid w:val="00BE5667"/>
    <w:rsid w:val="00BE5DDE"/>
    <w:rsid w:val="00BE6883"/>
    <w:rsid w:val="00BE7F38"/>
    <w:rsid w:val="00BF06AE"/>
    <w:rsid w:val="00BF0F95"/>
    <w:rsid w:val="00BF1224"/>
    <w:rsid w:val="00BF14C0"/>
    <w:rsid w:val="00BF14F6"/>
    <w:rsid w:val="00BF2433"/>
    <w:rsid w:val="00BF2E6E"/>
    <w:rsid w:val="00BF407A"/>
    <w:rsid w:val="00BF585F"/>
    <w:rsid w:val="00BF61C9"/>
    <w:rsid w:val="00BF6800"/>
    <w:rsid w:val="00BF6C94"/>
    <w:rsid w:val="00BF7C93"/>
    <w:rsid w:val="00C00424"/>
    <w:rsid w:val="00C00BB0"/>
    <w:rsid w:val="00C0137F"/>
    <w:rsid w:val="00C01559"/>
    <w:rsid w:val="00C02E32"/>
    <w:rsid w:val="00C02E47"/>
    <w:rsid w:val="00C03E57"/>
    <w:rsid w:val="00C04374"/>
    <w:rsid w:val="00C04F7E"/>
    <w:rsid w:val="00C059C8"/>
    <w:rsid w:val="00C05A30"/>
    <w:rsid w:val="00C05D96"/>
    <w:rsid w:val="00C05F24"/>
    <w:rsid w:val="00C0668A"/>
    <w:rsid w:val="00C07790"/>
    <w:rsid w:val="00C07C6E"/>
    <w:rsid w:val="00C10438"/>
    <w:rsid w:val="00C113CC"/>
    <w:rsid w:val="00C1179F"/>
    <w:rsid w:val="00C127B9"/>
    <w:rsid w:val="00C128FA"/>
    <w:rsid w:val="00C12C14"/>
    <w:rsid w:val="00C13725"/>
    <w:rsid w:val="00C14338"/>
    <w:rsid w:val="00C14656"/>
    <w:rsid w:val="00C147F4"/>
    <w:rsid w:val="00C14D09"/>
    <w:rsid w:val="00C15F04"/>
    <w:rsid w:val="00C16040"/>
    <w:rsid w:val="00C16717"/>
    <w:rsid w:val="00C17514"/>
    <w:rsid w:val="00C17714"/>
    <w:rsid w:val="00C179B3"/>
    <w:rsid w:val="00C17D20"/>
    <w:rsid w:val="00C17E3F"/>
    <w:rsid w:val="00C200AA"/>
    <w:rsid w:val="00C2104F"/>
    <w:rsid w:val="00C21A52"/>
    <w:rsid w:val="00C237ED"/>
    <w:rsid w:val="00C23DA0"/>
    <w:rsid w:val="00C24632"/>
    <w:rsid w:val="00C24A50"/>
    <w:rsid w:val="00C25418"/>
    <w:rsid w:val="00C25AA7"/>
    <w:rsid w:val="00C25D9C"/>
    <w:rsid w:val="00C2778B"/>
    <w:rsid w:val="00C30B79"/>
    <w:rsid w:val="00C31649"/>
    <w:rsid w:val="00C32404"/>
    <w:rsid w:val="00C32E2B"/>
    <w:rsid w:val="00C32EA9"/>
    <w:rsid w:val="00C3434C"/>
    <w:rsid w:val="00C35A17"/>
    <w:rsid w:val="00C35C9F"/>
    <w:rsid w:val="00C369C2"/>
    <w:rsid w:val="00C36A22"/>
    <w:rsid w:val="00C40064"/>
    <w:rsid w:val="00C40385"/>
    <w:rsid w:val="00C40759"/>
    <w:rsid w:val="00C41768"/>
    <w:rsid w:val="00C421FA"/>
    <w:rsid w:val="00C4486C"/>
    <w:rsid w:val="00C44B86"/>
    <w:rsid w:val="00C44E42"/>
    <w:rsid w:val="00C45F9B"/>
    <w:rsid w:val="00C475AA"/>
    <w:rsid w:val="00C47A70"/>
    <w:rsid w:val="00C50AC0"/>
    <w:rsid w:val="00C51048"/>
    <w:rsid w:val="00C51D9B"/>
    <w:rsid w:val="00C524E4"/>
    <w:rsid w:val="00C525D5"/>
    <w:rsid w:val="00C527C7"/>
    <w:rsid w:val="00C53C98"/>
    <w:rsid w:val="00C56FCF"/>
    <w:rsid w:val="00C570B8"/>
    <w:rsid w:val="00C572F6"/>
    <w:rsid w:val="00C57B6C"/>
    <w:rsid w:val="00C603A3"/>
    <w:rsid w:val="00C60F37"/>
    <w:rsid w:val="00C61A59"/>
    <w:rsid w:val="00C61B6F"/>
    <w:rsid w:val="00C627EB"/>
    <w:rsid w:val="00C628A6"/>
    <w:rsid w:val="00C6429D"/>
    <w:rsid w:val="00C64344"/>
    <w:rsid w:val="00C64C44"/>
    <w:rsid w:val="00C65108"/>
    <w:rsid w:val="00C65576"/>
    <w:rsid w:val="00C657EE"/>
    <w:rsid w:val="00C65B75"/>
    <w:rsid w:val="00C65D36"/>
    <w:rsid w:val="00C66165"/>
    <w:rsid w:val="00C67692"/>
    <w:rsid w:val="00C7060A"/>
    <w:rsid w:val="00C7066C"/>
    <w:rsid w:val="00C7151A"/>
    <w:rsid w:val="00C717E3"/>
    <w:rsid w:val="00C71F60"/>
    <w:rsid w:val="00C721EB"/>
    <w:rsid w:val="00C72241"/>
    <w:rsid w:val="00C727E7"/>
    <w:rsid w:val="00C72EDB"/>
    <w:rsid w:val="00C732E2"/>
    <w:rsid w:val="00C74AB8"/>
    <w:rsid w:val="00C74EDA"/>
    <w:rsid w:val="00C750C8"/>
    <w:rsid w:val="00C7560F"/>
    <w:rsid w:val="00C80410"/>
    <w:rsid w:val="00C804BD"/>
    <w:rsid w:val="00C80A0E"/>
    <w:rsid w:val="00C81719"/>
    <w:rsid w:val="00C8213F"/>
    <w:rsid w:val="00C8303F"/>
    <w:rsid w:val="00C835E6"/>
    <w:rsid w:val="00C85154"/>
    <w:rsid w:val="00C85A70"/>
    <w:rsid w:val="00C87410"/>
    <w:rsid w:val="00C8797A"/>
    <w:rsid w:val="00C87DFC"/>
    <w:rsid w:val="00C900B8"/>
    <w:rsid w:val="00C90197"/>
    <w:rsid w:val="00C902A5"/>
    <w:rsid w:val="00C90318"/>
    <w:rsid w:val="00C90C71"/>
    <w:rsid w:val="00C90EED"/>
    <w:rsid w:val="00C91FD1"/>
    <w:rsid w:val="00C931CF"/>
    <w:rsid w:val="00C938CF"/>
    <w:rsid w:val="00C94053"/>
    <w:rsid w:val="00C959B0"/>
    <w:rsid w:val="00C95E5A"/>
    <w:rsid w:val="00C9624D"/>
    <w:rsid w:val="00C969DA"/>
    <w:rsid w:val="00C96ACA"/>
    <w:rsid w:val="00CA00B0"/>
    <w:rsid w:val="00CA059A"/>
    <w:rsid w:val="00CA12EE"/>
    <w:rsid w:val="00CA13C0"/>
    <w:rsid w:val="00CA1552"/>
    <w:rsid w:val="00CA298D"/>
    <w:rsid w:val="00CA2C77"/>
    <w:rsid w:val="00CA40BA"/>
    <w:rsid w:val="00CA425E"/>
    <w:rsid w:val="00CA444F"/>
    <w:rsid w:val="00CA5245"/>
    <w:rsid w:val="00CA5C7E"/>
    <w:rsid w:val="00CA6830"/>
    <w:rsid w:val="00CA6F61"/>
    <w:rsid w:val="00CA71F4"/>
    <w:rsid w:val="00CA7549"/>
    <w:rsid w:val="00CA7B09"/>
    <w:rsid w:val="00CB12A5"/>
    <w:rsid w:val="00CB1CAC"/>
    <w:rsid w:val="00CB1FF8"/>
    <w:rsid w:val="00CB2BB3"/>
    <w:rsid w:val="00CB2DE1"/>
    <w:rsid w:val="00CB2DF1"/>
    <w:rsid w:val="00CB2F2A"/>
    <w:rsid w:val="00CB32FC"/>
    <w:rsid w:val="00CB3CB4"/>
    <w:rsid w:val="00CB4A7E"/>
    <w:rsid w:val="00CB4E34"/>
    <w:rsid w:val="00CB4EFA"/>
    <w:rsid w:val="00CB5609"/>
    <w:rsid w:val="00CB5B1A"/>
    <w:rsid w:val="00CB66C7"/>
    <w:rsid w:val="00CB6B22"/>
    <w:rsid w:val="00CB7827"/>
    <w:rsid w:val="00CB7999"/>
    <w:rsid w:val="00CB79F0"/>
    <w:rsid w:val="00CB7F5F"/>
    <w:rsid w:val="00CC0082"/>
    <w:rsid w:val="00CC0183"/>
    <w:rsid w:val="00CC0904"/>
    <w:rsid w:val="00CC0C5C"/>
    <w:rsid w:val="00CC1B39"/>
    <w:rsid w:val="00CC1BA9"/>
    <w:rsid w:val="00CC1BFA"/>
    <w:rsid w:val="00CC1D47"/>
    <w:rsid w:val="00CC245F"/>
    <w:rsid w:val="00CC2942"/>
    <w:rsid w:val="00CC2E9F"/>
    <w:rsid w:val="00CC312C"/>
    <w:rsid w:val="00CC35EA"/>
    <w:rsid w:val="00CC35FC"/>
    <w:rsid w:val="00CC3848"/>
    <w:rsid w:val="00CC3D2F"/>
    <w:rsid w:val="00CC445D"/>
    <w:rsid w:val="00CC530A"/>
    <w:rsid w:val="00CC62C9"/>
    <w:rsid w:val="00CC6D5E"/>
    <w:rsid w:val="00CD009B"/>
    <w:rsid w:val="00CD0200"/>
    <w:rsid w:val="00CD0E2A"/>
    <w:rsid w:val="00CD2794"/>
    <w:rsid w:val="00CD3B5F"/>
    <w:rsid w:val="00CD3F77"/>
    <w:rsid w:val="00CD5A2C"/>
    <w:rsid w:val="00CD621A"/>
    <w:rsid w:val="00CD67FB"/>
    <w:rsid w:val="00CD6ADC"/>
    <w:rsid w:val="00CD7193"/>
    <w:rsid w:val="00CE10CA"/>
    <w:rsid w:val="00CE2364"/>
    <w:rsid w:val="00CE38C8"/>
    <w:rsid w:val="00CE396E"/>
    <w:rsid w:val="00CE4036"/>
    <w:rsid w:val="00CE42CB"/>
    <w:rsid w:val="00CE5140"/>
    <w:rsid w:val="00CE524F"/>
    <w:rsid w:val="00CE58CC"/>
    <w:rsid w:val="00CE5C29"/>
    <w:rsid w:val="00CE6274"/>
    <w:rsid w:val="00CE634F"/>
    <w:rsid w:val="00CE6C8B"/>
    <w:rsid w:val="00CE77B6"/>
    <w:rsid w:val="00CF24EB"/>
    <w:rsid w:val="00CF2B89"/>
    <w:rsid w:val="00CF2B8D"/>
    <w:rsid w:val="00CF3A1B"/>
    <w:rsid w:val="00CF456B"/>
    <w:rsid w:val="00CF4B6E"/>
    <w:rsid w:val="00CF5A22"/>
    <w:rsid w:val="00CF5DD2"/>
    <w:rsid w:val="00CF70FB"/>
    <w:rsid w:val="00D001EF"/>
    <w:rsid w:val="00D0127F"/>
    <w:rsid w:val="00D02433"/>
    <w:rsid w:val="00D0262E"/>
    <w:rsid w:val="00D03679"/>
    <w:rsid w:val="00D037EC"/>
    <w:rsid w:val="00D053E3"/>
    <w:rsid w:val="00D05E3D"/>
    <w:rsid w:val="00D06139"/>
    <w:rsid w:val="00D069A0"/>
    <w:rsid w:val="00D110BD"/>
    <w:rsid w:val="00D11562"/>
    <w:rsid w:val="00D11BB3"/>
    <w:rsid w:val="00D11BC4"/>
    <w:rsid w:val="00D13675"/>
    <w:rsid w:val="00D141E1"/>
    <w:rsid w:val="00D14A1C"/>
    <w:rsid w:val="00D15314"/>
    <w:rsid w:val="00D15B48"/>
    <w:rsid w:val="00D16A1B"/>
    <w:rsid w:val="00D17D6C"/>
    <w:rsid w:val="00D20815"/>
    <w:rsid w:val="00D20B2D"/>
    <w:rsid w:val="00D2155B"/>
    <w:rsid w:val="00D21C80"/>
    <w:rsid w:val="00D2208C"/>
    <w:rsid w:val="00D22371"/>
    <w:rsid w:val="00D2273C"/>
    <w:rsid w:val="00D23D11"/>
    <w:rsid w:val="00D24376"/>
    <w:rsid w:val="00D244B6"/>
    <w:rsid w:val="00D245BB"/>
    <w:rsid w:val="00D24ECE"/>
    <w:rsid w:val="00D24F0A"/>
    <w:rsid w:val="00D25258"/>
    <w:rsid w:val="00D25612"/>
    <w:rsid w:val="00D26785"/>
    <w:rsid w:val="00D272EE"/>
    <w:rsid w:val="00D2754D"/>
    <w:rsid w:val="00D27B27"/>
    <w:rsid w:val="00D30D5B"/>
    <w:rsid w:val="00D3107E"/>
    <w:rsid w:val="00D31885"/>
    <w:rsid w:val="00D328E6"/>
    <w:rsid w:val="00D32D6E"/>
    <w:rsid w:val="00D33278"/>
    <w:rsid w:val="00D33497"/>
    <w:rsid w:val="00D3356F"/>
    <w:rsid w:val="00D3380C"/>
    <w:rsid w:val="00D3383E"/>
    <w:rsid w:val="00D33BE9"/>
    <w:rsid w:val="00D33F93"/>
    <w:rsid w:val="00D34504"/>
    <w:rsid w:val="00D3577B"/>
    <w:rsid w:val="00D357FF"/>
    <w:rsid w:val="00D36EE5"/>
    <w:rsid w:val="00D406E1"/>
    <w:rsid w:val="00D41157"/>
    <w:rsid w:val="00D41AC4"/>
    <w:rsid w:val="00D4221F"/>
    <w:rsid w:val="00D424C7"/>
    <w:rsid w:val="00D430DB"/>
    <w:rsid w:val="00D4311F"/>
    <w:rsid w:val="00D43B2A"/>
    <w:rsid w:val="00D43CF1"/>
    <w:rsid w:val="00D43D83"/>
    <w:rsid w:val="00D460FA"/>
    <w:rsid w:val="00D4618F"/>
    <w:rsid w:val="00D47575"/>
    <w:rsid w:val="00D47EFF"/>
    <w:rsid w:val="00D5164F"/>
    <w:rsid w:val="00D51EA5"/>
    <w:rsid w:val="00D5243B"/>
    <w:rsid w:val="00D53252"/>
    <w:rsid w:val="00D533EC"/>
    <w:rsid w:val="00D561CA"/>
    <w:rsid w:val="00D56512"/>
    <w:rsid w:val="00D56A95"/>
    <w:rsid w:val="00D57242"/>
    <w:rsid w:val="00D6076E"/>
    <w:rsid w:val="00D62B37"/>
    <w:rsid w:val="00D63CAD"/>
    <w:rsid w:val="00D64FCC"/>
    <w:rsid w:val="00D65E9E"/>
    <w:rsid w:val="00D67DEA"/>
    <w:rsid w:val="00D70234"/>
    <w:rsid w:val="00D70F16"/>
    <w:rsid w:val="00D71352"/>
    <w:rsid w:val="00D72617"/>
    <w:rsid w:val="00D72E0A"/>
    <w:rsid w:val="00D72F57"/>
    <w:rsid w:val="00D73BF1"/>
    <w:rsid w:val="00D763EB"/>
    <w:rsid w:val="00D76A44"/>
    <w:rsid w:val="00D801A0"/>
    <w:rsid w:val="00D811C0"/>
    <w:rsid w:val="00D815EF"/>
    <w:rsid w:val="00D81949"/>
    <w:rsid w:val="00D81F26"/>
    <w:rsid w:val="00D822E2"/>
    <w:rsid w:val="00D82F31"/>
    <w:rsid w:val="00D83DBC"/>
    <w:rsid w:val="00D843F2"/>
    <w:rsid w:val="00D85D8E"/>
    <w:rsid w:val="00D86231"/>
    <w:rsid w:val="00D86B14"/>
    <w:rsid w:val="00D87339"/>
    <w:rsid w:val="00D90AD6"/>
    <w:rsid w:val="00D912AB"/>
    <w:rsid w:val="00D91923"/>
    <w:rsid w:val="00D9254F"/>
    <w:rsid w:val="00D9267A"/>
    <w:rsid w:val="00D92D9D"/>
    <w:rsid w:val="00D9303D"/>
    <w:rsid w:val="00D93753"/>
    <w:rsid w:val="00D93E58"/>
    <w:rsid w:val="00D94F53"/>
    <w:rsid w:val="00D95C4C"/>
    <w:rsid w:val="00DA01CE"/>
    <w:rsid w:val="00DA10FA"/>
    <w:rsid w:val="00DA1FCE"/>
    <w:rsid w:val="00DA2370"/>
    <w:rsid w:val="00DA3167"/>
    <w:rsid w:val="00DA453B"/>
    <w:rsid w:val="00DA4BE1"/>
    <w:rsid w:val="00DA4CEC"/>
    <w:rsid w:val="00DA4DC3"/>
    <w:rsid w:val="00DA77A5"/>
    <w:rsid w:val="00DB0E36"/>
    <w:rsid w:val="00DB10BA"/>
    <w:rsid w:val="00DB17D0"/>
    <w:rsid w:val="00DB2723"/>
    <w:rsid w:val="00DB3669"/>
    <w:rsid w:val="00DB3BC3"/>
    <w:rsid w:val="00DB3DBF"/>
    <w:rsid w:val="00DB4338"/>
    <w:rsid w:val="00DB484F"/>
    <w:rsid w:val="00DB7AC0"/>
    <w:rsid w:val="00DC04F6"/>
    <w:rsid w:val="00DC0690"/>
    <w:rsid w:val="00DC0752"/>
    <w:rsid w:val="00DC08C6"/>
    <w:rsid w:val="00DC1CAB"/>
    <w:rsid w:val="00DC1D65"/>
    <w:rsid w:val="00DC27D3"/>
    <w:rsid w:val="00DC3C57"/>
    <w:rsid w:val="00DC4F15"/>
    <w:rsid w:val="00DC52F8"/>
    <w:rsid w:val="00DC5501"/>
    <w:rsid w:val="00DC5DC4"/>
    <w:rsid w:val="00DC5DE4"/>
    <w:rsid w:val="00DC7154"/>
    <w:rsid w:val="00DC7E8A"/>
    <w:rsid w:val="00DD0652"/>
    <w:rsid w:val="00DD0F78"/>
    <w:rsid w:val="00DD1340"/>
    <w:rsid w:val="00DD273C"/>
    <w:rsid w:val="00DD2F4B"/>
    <w:rsid w:val="00DD3F28"/>
    <w:rsid w:val="00DD4446"/>
    <w:rsid w:val="00DD4537"/>
    <w:rsid w:val="00DD4DAE"/>
    <w:rsid w:val="00DD4E15"/>
    <w:rsid w:val="00DD6F68"/>
    <w:rsid w:val="00DD7614"/>
    <w:rsid w:val="00DE0292"/>
    <w:rsid w:val="00DE045C"/>
    <w:rsid w:val="00DE2304"/>
    <w:rsid w:val="00DE3138"/>
    <w:rsid w:val="00DE363A"/>
    <w:rsid w:val="00DE36C2"/>
    <w:rsid w:val="00DE37F8"/>
    <w:rsid w:val="00DE4273"/>
    <w:rsid w:val="00DE47B0"/>
    <w:rsid w:val="00DE4FCB"/>
    <w:rsid w:val="00DE5582"/>
    <w:rsid w:val="00DE58B7"/>
    <w:rsid w:val="00DE5D07"/>
    <w:rsid w:val="00DE72A7"/>
    <w:rsid w:val="00DE7832"/>
    <w:rsid w:val="00DF18FC"/>
    <w:rsid w:val="00DF24EF"/>
    <w:rsid w:val="00DF5D2B"/>
    <w:rsid w:val="00DF6341"/>
    <w:rsid w:val="00E00550"/>
    <w:rsid w:val="00E00E8E"/>
    <w:rsid w:val="00E01EF8"/>
    <w:rsid w:val="00E02605"/>
    <w:rsid w:val="00E030AB"/>
    <w:rsid w:val="00E04FF9"/>
    <w:rsid w:val="00E05630"/>
    <w:rsid w:val="00E06DBB"/>
    <w:rsid w:val="00E071A7"/>
    <w:rsid w:val="00E07F09"/>
    <w:rsid w:val="00E10149"/>
    <w:rsid w:val="00E10A52"/>
    <w:rsid w:val="00E11340"/>
    <w:rsid w:val="00E122A1"/>
    <w:rsid w:val="00E13A61"/>
    <w:rsid w:val="00E13CCA"/>
    <w:rsid w:val="00E14314"/>
    <w:rsid w:val="00E14895"/>
    <w:rsid w:val="00E16013"/>
    <w:rsid w:val="00E162AB"/>
    <w:rsid w:val="00E16372"/>
    <w:rsid w:val="00E16AD8"/>
    <w:rsid w:val="00E16BBF"/>
    <w:rsid w:val="00E16C7A"/>
    <w:rsid w:val="00E17390"/>
    <w:rsid w:val="00E17FFA"/>
    <w:rsid w:val="00E20E4D"/>
    <w:rsid w:val="00E20ED6"/>
    <w:rsid w:val="00E21358"/>
    <w:rsid w:val="00E2249B"/>
    <w:rsid w:val="00E22A0D"/>
    <w:rsid w:val="00E23A2A"/>
    <w:rsid w:val="00E23C39"/>
    <w:rsid w:val="00E244F6"/>
    <w:rsid w:val="00E246CB"/>
    <w:rsid w:val="00E24748"/>
    <w:rsid w:val="00E258DB"/>
    <w:rsid w:val="00E25F99"/>
    <w:rsid w:val="00E2771E"/>
    <w:rsid w:val="00E27E0E"/>
    <w:rsid w:val="00E30CC0"/>
    <w:rsid w:val="00E311EF"/>
    <w:rsid w:val="00E32180"/>
    <w:rsid w:val="00E32E69"/>
    <w:rsid w:val="00E33CAD"/>
    <w:rsid w:val="00E34948"/>
    <w:rsid w:val="00E35F5D"/>
    <w:rsid w:val="00E37569"/>
    <w:rsid w:val="00E37752"/>
    <w:rsid w:val="00E401B2"/>
    <w:rsid w:val="00E40500"/>
    <w:rsid w:val="00E41E30"/>
    <w:rsid w:val="00E42049"/>
    <w:rsid w:val="00E4253F"/>
    <w:rsid w:val="00E42F2C"/>
    <w:rsid w:val="00E42F73"/>
    <w:rsid w:val="00E432E6"/>
    <w:rsid w:val="00E43411"/>
    <w:rsid w:val="00E434A0"/>
    <w:rsid w:val="00E438C9"/>
    <w:rsid w:val="00E43D70"/>
    <w:rsid w:val="00E43D7D"/>
    <w:rsid w:val="00E453DF"/>
    <w:rsid w:val="00E45F09"/>
    <w:rsid w:val="00E466F3"/>
    <w:rsid w:val="00E467D1"/>
    <w:rsid w:val="00E46C95"/>
    <w:rsid w:val="00E47B2C"/>
    <w:rsid w:val="00E47DCF"/>
    <w:rsid w:val="00E501FF"/>
    <w:rsid w:val="00E51560"/>
    <w:rsid w:val="00E51821"/>
    <w:rsid w:val="00E51F33"/>
    <w:rsid w:val="00E52A7B"/>
    <w:rsid w:val="00E5372D"/>
    <w:rsid w:val="00E53FC8"/>
    <w:rsid w:val="00E54347"/>
    <w:rsid w:val="00E55424"/>
    <w:rsid w:val="00E55505"/>
    <w:rsid w:val="00E55915"/>
    <w:rsid w:val="00E55BB5"/>
    <w:rsid w:val="00E60C5F"/>
    <w:rsid w:val="00E611DF"/>
    <w:rsid w:val="00E6159E"/>
    <w:rsid w:val="00E61823"/>
    <w:rsid w:val="00E639BD"/>
    <w:rsid w:val="00E654F5"/>
    <w:rsid w:val="00E65E79"/>
    <w:rsid w:val="00E66BA2"/>
    <w:rsid w:val="00E66E71"/>
    <w:rsid w:val="00E67416"/>
    <w:rsid w:val="00E67BCE"/>
    <w:rsid w:val="00E709E2"/>
    <w:rsid w:val="00E70AFF"/>
    <w:rsid w:val="00E718B6"/>
    <w:rsid w:val="00E723BA"/>
    <w:rsid w:val="00E72544"/>
    <w:rsid w:val="00E72792"/>
    <w:rsid w:val="00E72925"/>
    <w:rsid w:val="00E73581"/>
    <w:rsid w:val="00E75A14"/>
    <w:rsid w:val="00E764FD"/>
    <w:rsid w:val="00E7669F"/>
    <w:rsid w:val="00E7755F"/>
    <w:rsid w:val="00E8021E"/>
    <w:rsid w:val="00E80349"/>
    <w:rsid w:val="00E8059D"/>
    <w:rsid w:val="00E80E8C"/>
    <w:rsid w:val="00E819A2"/>
    <w:rsid w:val="00E81B47"/>
    <w:rsid w:val="00E81DBB"/>
    <w:rsid w:val="00E82969"/>
    <w:rsid w:val="00E833F7"/>
    <w:rsid w:val="00E836A3"/>
    <w:rsid w:val="00E83BDF"/>
    <w:rsid w:val="00E83F1D"/>
    <w:rsid w:val="00E84FCC"/>
    <w:rsid w:val="00E8579C"/>
    <w:rsid w:val="00E85D8E"/>
    <w:rsid w:val="00E86451"/>
    <w:rsid w:val="00E86FCC"/>
    <w:rsid w:val="00E87A1D"/>
    <w:rsid w:val="00E9094A"/>
    <w:rsid w:val="00E91D10"/>
    <w:rsid w:val="00E91D35"/>
    <w:rsid w:val="00E926A5"/>
    <w:rsid w:val="00E937F1"/>
    <w:rsid w:val="00E9448B"/>
    <w:rsid w:val="00E962CC"/>
    <w:rsid w:val="00E9732A"/>
    <w:rsid w:val="00EA17C3"/>
    <w:rsid w:val="00EA2CAA"/>
    <w:rsid w:val="00EA3641"/>
    <w:rsid w:val="00EA3864"/>
    <w:rsid w:val="00EA45D0"/>
    <w:rsid w:val="00EA47F1"/>
    <w:rsid w:val="00EA5F31"/>
    <w:rsid w:val="00EA641C"/>
    <w:rsid w:val="00EA6977"/>
    <w:rsid w:val="00EA73FF"/>
    <w:rsid w:val="00EA7F1C"/>
    <w:rsid w:val="00EB0846"/>
    <w:rsid w:val="00EB0E51"/>
    <w:rsid w:val="00EB15B6"/>
    <w:rsid w:val="00EB2C0A"/>
    <w:rsid w:val="00EB3D06"/>
    <w:rsid w:val="00EB4916"/>
    <w:rsid w:val="00EB5CDD"/>
    <w:rsid w:val="00EC00C9"/>
    <w:rsid w:val="00EC0B1D"/>
    <w:rsid w:val="00EC0DD9"/>
    <w:rsid w:val="00EC1F0E"/>
    <w:rsid w:val="00EC2202"/>
    <w:rsid w:val="00EC2649"/>
    <w:rsid w:val="00EC31ED"/>
    <w:rsid w:val="00EC3462"/>
    <w:rsid w:val="00EC5744"/>
    <w:rsid w:val="00EC5836"/>
    <w:rsid w:val="00EC688C"/>
    <w:rsid w:val="00EC7433"/>
    <w:rsid w:val="00ED0CBB"/>
    <w:rsid w:val="00ED1236"/>
    <w:rsid w:val="00ED12E3"/>
    <w:rsid w:val="00ED23EE"/>
    <w:rsid w:val="00ED2C31"/>
    <w:rsid w:val="00ED2EBF"/>
    <w:rsid w:val="00ED3294"/>
    <w:rsid w:val="00ED4B04"/>
    <w:rsid w:val="00ED509D"/>
    <w:rsid w:val="00ED57A4"/>
    <w:rsid w:val="00ED57EA"/>
    <w:rsid w:val="00ED5BD4"/>
    <w:rsid w:val="00ED7EEC"/>
    <w:rsid w:val="00EE07D3"/>
    <w:rsid w:val="00EE1160"/>
    <w:rsid w:val="00EE11E5"/>
    <w:rsid w:val="00EE12F5"/>
    <w:rsid w:val="00EE1996"/>
    <w:rsid w:val="00EE1C01"/>
    <w:rsid w:val="00EE1E93"/>
    <w:rsid w:val="00EE22AF"/>
    <w:rsid w:val="00EE238A"/>
    <w:rsid w:val="00EE3F07"/>
    <w:rsid w:val="00EE4C94"/>
    <w:rsid w:val="00EE603B"/>
    <w:rsid w:val="00EE62B1"/>
    <w:rsid w:val="00EF0171"/>
    <w:rsid w:val="00EF0858"/>
    <w:rsid w:val="00EF1B25"/>
    <w:rsid w:val="00EF1D4E"/>
    <w:rsid w:val="00EF1DA0"/>
    <w:rsid w:val="00EF2448"/>
    <w:rsid w:val="00EF3D0D"/>
    <w:rsid w:val="00EF4747"/>
    <w:rsid w:val="00EF4BF8"/>
    <w:rsid w:val="00EF5A12"/>
    <w:rsid w:val="00EF5AC2"/>
    <w:rsid w:val="00EF5EFC"/>
    <w:rsid w:val="00EF6BBD"/>
    <w:rsid w:val="00EF6D1B"/>
    <w:rsid w:val="00EF6E9C"/>
    <w:rsid w:val="00EF727B"/>
    <w:rsid w:val="00EF762B"/>
    <w:rsid w:val="00F012EC"/>
    <w:rsid w:val="00F018E4"/>
    <w:rsid w:val="00F01C33"/>
    <w:rsid w:val="00F02253"/>
    <w:rsid w:val="00F0324D"/>
    <w:rsid w:val="00F03C2E"/>
    <w:rsid w:val="00F04A66"/>
    <w:rsid w:val="00F04B4B"/>
    <w:rsid w:val="00F0516C"/>
    <w:rsid w:val="00F067A2"/>
    <w:rsid w:val="00F07B9E"/>
    <w:rsid w:val="00F07D7D"/>
    <w:rsid w:val="00F1116F"/>
    <w:rsid w:val="00F11440"/>
    <w:rsid w:val="00F11667"/>
    <w:rsid w:val="00F11BE8"/>
    <w:rsid w:val="00F1263A"/>
    <w:rsid w:val="00F139C5"/>
    <w:rsid w:val="00F13D3B"/>
    <w:rsid w:val="00F15980"/>
    <w:rsid w:val="00F15B77"/>
    <w:rsid w:val="00F16A9D"/>
    <w:rsid w:val="00F1797E"/>
    <w:rsid w:val="00F208D4"/>
    <w:rsid w:val="00F21236"/>
    <w:rsid w:val="00F21C12"/>
    <w:rsid w:val="00F21EFB"/>
    <w:rsid w:val="00F22388"/>
    <w:rsid w:val="00F239DF"/>
    <w:rsid w:val="00F24837"/>
    <w:rsid w:val="00F2575F"/>
    <w:rsid w:val="00F25888"/>
    <w:rsid w:val="00F27565"/>
    <w:rsid w:val="00F30633"/>
    <w:rsid w:val="00F310D4"/>
    <w:rsid w:val="00F31D5A"/>
    <w:rsid w:val="00F3293F"/>
    <w:rsid w:val="00F32C44"/>
    <w:rsid w:val="00F33705"/>
    <w:rsid w:val="00F33975"/>
    <w:rsid w:val="00F33DE9"/>
    <w:rsid w:val="00F345E5"/>
    <w:rsid w:val="00F3501F"/>
    <w:rsid w:val="00F35E6D"/>
    <w:rsid w:val="00F3619A"/>
    <w:rsid w:val="00F37AAE"/>
    <w:rsid w:val="00F37C70"/>
    <w:rsid w:val="00F37E51"/>
    <w:rsid w:val="00F40AAA"/>
    <w:rsid w:val="00F40BA7"/>
    <w:rsid w:val="00F40F9D"/>
    <w:rsid w:val="00F41499"/>
    <w:rsid w:val="00F41ACD"/>
    <w:rsid w:val="00F42522"/>
    <w:rsid w:val="00F4262F"/>
    <w:rsid w:val="00F42652"/>
    <w:rsid w:val="00F42D27"/>
    <w:rsid w:val="00F4432B"/>
    <w:rsid w:val="00F454DE"/>
    <w:rsid w:val="00F461F6"/>
    <w:rsid w:val="00F462A7"/>
    <w:rsid w:val="00F46CB6"/>
    <w:rsid w:val="00F4747C"/>
    <w:rsid w:val="00F4756D"/>
    <w:rsid w:val="00F47DE8"/>
    <w:rsid w:val="00F502B1"/>
    <w:rsid w:val="00F50860"/>
    <w:rsid w:val="00F509AE"/>
    <w:rsid w:val="00F51A9A"/>
    <w:rsid w:val="00F51B33"/>
    <w:rsid w:val="00F530E3"/>
    <w:rsid w:val="00F538E3"/>
    <w:rsid w:val="00F542C1"/>
    <w:rsid w:val="00F544A3"/>
    <w:rsid w:val="00F550E3"/>
    <w:rsid w:val="00F55E73"/>
    <w:rsid w:val="00F55EDA"/>
    <w:rsid w:val="00F56C80"/>
    <w:rsid w:val="00F57358"/>
    <w:rsid w:val="00F60092"/>
    <w:rsid w:val="00F61C18"/>
    <w:rsid w:val="00F62640"/>
    <w:rsid w:val="00F62F0C"/>
    <w:rsid w:val="00F634B1"/>
    <w:rsid w:val="00F64CCF"/>
    <w:rsid w:val="00F65F4B"/>
    <w:rsid w:val="00F6635D"/>
    <w:rsid w:val="00F66C6D"/>
    <w:rsid w:val="00F67A69"/>
    <w:rsid w:val="00F706FB"/>
    <w:rsid w:val="00F70BF6"/>
    <w:rsid w:val="00F70BFF"/>
    <w:rsid w:val="00F70C9D"/>
    <w:rsid w:val="00F73285"/>
    <w:rsid w:val="00F73E08"/>
    <w:rsid w:val="00F74CD9"/>
    <w:rsid w:val="00F74DB8"/>
    <w:rsid w:val="00F7526B"/>
    <w:rsid w:val="00F7654F"/>
    <w:rsid w:val="00F77B45"/>
    <w:rsid w:val="00F80451"/>
    <w:rsid w:val="00F80A7B"/>
    <w:rsid w:val="00F80E5D"/>
    <w:rsid w:val="00F812AF"/>
    <w:rsid w:val="00F81BC6"/>
    <w:rsid w:val="00F81E78"/>
    <w:rsid w:val="00F82409"/>
    <w:rsid w:val="00F82CD0"/>
    <w:rsid w:val="00F83916"/>
    <w:rsid w:val="00F840E8"/>
    <w:rsid w:val="00F84F46"/>
    <w:rsid w:val="00F851CE"/>
    <w:rsid w:val="00F85234"/>
    <w:rsid w:val="00F85D6D"/>
    <w:rsid w:val="00F90178"/>
    <w:rsid w:val="00F9094F"/>
    <w:rsid w:val="00F91219"/>
    <w:rsid w:val="00F916F5"/>
    <w:rsid w:val="00F92444"/>
    <w:rsid w:val="00F92540"/>
    <w:rsid w:val="00F930B2"/>
    <w:rsid w:val="00F9393E"/>
    <w:rsid w:val="00F955E6"/>
    <w:rsid w:val="00F95E30"/>
    <w:rsid w:val="00F96920"/>
    <w:rsid w:val="00F96FD0"/>
    <w:rsid w:val="00F978C9"/>
    <w:rsid w:val="00F97A78"/>
    <w:rsid w:val="00FA0567"/>
    <w:rsid w:val="00FA0B20"/>
    <w:rsid w:val="00FA0CA5"/>
    <w:rsid w:val="00FA1564"/>
    <w:rsid w:val="00FA18EE"/>
    <w:rsid w:val="00FA24E7"/>
    <w:rsid w:val="00FA25B6"/>
    <w:rsid w:val="00FA5A9D"/>
    <w:rsid w:val="00FA5EE6"/>
    <w:rsid w:val="00FA7956"/>
    <w:rsid w:val="00FB0824"/>
    <w:rsid w:val="00FB2101"/>
    <w:rsid w:val="00FB21FE"/>
    <w:rsid w:val="00FB2FCB"/>
    <w:rsid w:val="00FB4666"/>
    <w:rsid w:val="00FB4C9C"/>
    <w:rsid w:val="00FB4F21"/>
    <w:rsid w:val="00FB4F91"/>
    <w:rsid w:val="00FB5D49"/>
    <w:rsid w:val="00FB5D57"/>
    <w:rsid w:val="00FB6B8C"/>
    <w:rsid w:val="00FB6ED7"/>
    <w:rsid w:val="00FB70FE"/>
    <w:rsid w:val="00FB72D5"/>
    <w:rsid w:val="00FB7A62"/>
    <w:rsid w:val="00FB7C55"/>
    <w:rsid w:val="00FB7F80"/>
    <w:rsid w:val="00FC1074"/>
    <w:rsid w:val="00FC1119"/>
    <w:rsid w:val="00FC1884"/>
    <w:rsid w:val="00FC2F31"/>
    <w:rsid w:val="00FC35DB"/>
    <w:rsid w:val="00FC371D"/>
    <w:rsid w:val="00FC3C8F"/>
    <w:rsid w:val="00FC5F0B"/>
    <w:rsid w:val="00FC62FB"/>
    <w:rsid w:val="00FC63D0"/>
    <w:rsid w:val="00FC70F8"/>
    <w:rsid w:val="00FC7E13"/>
    <w:rsid w:val="00FC7EC2"/>
    <w:rsid w:val="00FD09D1"/>
    <w:rsid w:val="00FD173D"/>
    <w:rsid w:val="00FD2100"/>
    <w:rsid w:val="00FD2240"/>
    <w:rsid w:val="00FD31FA"/>
    <w:rsid w:val="00FD436C"/>
    <w:rsid w:val="00FD446D"/>
    <w:rsid w:val="00FD4F2C"/>
    <w:rsid w:val="00FD58A4"/>
    <w:rsid w:val="00FD6394"/>
    <w:rsid w:val="00FD665E"/>
    <w:rsid w:val="00FD66EA"/>
    <w:rsid w:val="00FD691E"/>
    <w:rsid w:val="00FD6B3F"/>
    <w:rsid w:val="00FD6EEB"/>
    <w:rsid w:val="00FD750B"/>
    <w:rsid w:val="00FD76E3"/>
    <w:rsid w:val="00FD7CEE"/>
    <w:rsid w:val="00FE05B4"/>
    <w:rsid w:val="00FE0E6C"/>
    <w:rsid w:val="00FE1CDC"/>
    <w:rsid w:val="00FE2560"/>
    <w:rsid w:val="00FE4483"/>
    <w:rsid w:val="00FE4E00"/>
    <w:rsid w:val="00FE4F3C"/>
    <w:rsid w:val="00FE70C3"/>
    <w:rsid w:val="00FE7405"/>
    <w:rsid w:val="00FF03D7"/>
    <w:rsid w:val="00FF12CE"/>
    <w:rsid w:val="00FF1A8B"/>
    <w:rsid w:val="00FF1F6D"/>
    <w:rsid w:val="00FF2AD9"/>
    <w:rsid w:val="00FF353B"/>
    <w:rsid w:val="00FF359F"/>
    <w:rsid w:val="00FF3DCF"/>
    <w:rsid w:val="00FF4047"/>
    <w:rsid w:val="00FF4440"/>
    <w:rsid w:val="00FF4850"/>
    <w:rsid w:val="00FF492C"/>
    <w:rsid w:val="00FF4A21"/>
    <w:rsid w:val="00FF5AA3"/>
    <w:rsid w:val="00FF5AD8"/>
    <w:rsid w:val="00FF6D6D"/>
    <w:rsid w:val="00FF787C"/>
    <w:rsid w:val="29FC12B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35"/>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 Quantify,Normal: Bullets,Table Legend,Bullet1,Bullet List,Section 5,List Table,Bullets Points"/>
    <w:link w:val="ListParagraphChar"/>
    <w:uiPriority w:val="34"/>
    <w:qFormat/>
    <w:rsid w:val="004C3B02"/>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Quantify Char,Normal: Bullets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Lash Style Table,Header Table,Source table_,NICE instructions,HealthConsult,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nhideWhenUsed/>
    <w:rsid w:val="00B34FE2"/>
    <w:rPr>
      <w:rFonts w:ascii="Tahoma" w:hAnsi="Tahoma" w:cs="Tahoma"/>
      <w:sz w:val="16"/>
      <w:szCs w:val="16"/>
    </w:rPr>
  </w:style>
  <w:style w:type="character" w:customStyle="1" w:styleId="BalloonTextChar">
    <w:name w:val="Balloon Text Char"/>
    <w:basedOn w:val="DefaultParagraphFont"/>
    <w:link w:val="BalloonText"/>
    <w:rsid w:val="00B34FE2"/>
    <w:rPr>
      <w:rFonts w:ascii="Tahoma" w:hAnsi="Tahoma" w:cs="Tahoma"/>
      <w:snapToGrid w:val="0"/>
      <w:sz w:val="16"/>
      <w:szCs w:val="16"/>
      <w:lang w:eastAsia="en-US"/>
    </w:rPr>
  </w:style>
  <w:style w:type="paragraph" w:customStyle="1" w:styleId="TableText0">
    <w:name w:val="Table Text"/>
    <w:link w:val="TableTextChar0"/>
    <w:qFormat/>
    <w:rsid w:val="00226DEE"/>
    <w:pPr>
      <w:keepNext/>
      <w:keepLines/>
    </w:pPr>
    <w:rPr>
      <w:rFonts w:ascii="Arial Narrow" w:eastAsiaTheme="majorEastAsia" w:hAnsi="Arial Narrow" w:cstheme="majorBidi"/>
      <w:bCs/>
      <w:snapToGrid w:val="0"/>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0636B3"/>
    <w:rPr>
      <w:rFonts w:ascii="Arial Narrow" w:eastAsiaTheme="majorEastAsia" w:hAnsi="Arial Narrow"/>
      <w:b/>
    </w:rPr>
  </w:style>
  <w:style w:type="paragraph" w:customStyle="1" w:styleId="2-SectionHeading">
    <w:name w:val="2-Section Heading"/>
    <w:next w:val="3-BodyText"/>
    <w:qFormat/>
    <w:rsid w:val="004C3B02"/>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595AB0"/>
    <w:pPr>
      <w:numPr>
        <w:ilvl w:val="1"/>
        <w:numId w:val="5"/>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595AB0"/>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226DEE"/>
    <w:rPr>
      <w:rFonts w:ascii="Arial Narrow" w:eastAsiaTheme="majorEastAsia" w:hAnsi="Arial Narrow" w:cstheme="majorBidi"/>
      <w:bCs/>
      <w:snapToGrid w:val="0"/>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96157A"/>
    <w:pPr>
      <w:tabs>
        <w:tab w:val="left" w:pos="142"/>
      </w:tabs>
      <w:spacing w:after="120"/>
      <w:contextualSpacing/>
    </w:pPr>
    <w:rPr>
      <w:rFonts w:ascii="Arial Narrow" w:hAnsi="Arial Narrow"/>
      <w:iCs/>
      <w:snapToGrid w:val="0"/>
      <w:sz w:val="18"/>
      <w:szCs w:val="22"/>
    </w:rPr>
  </w:style>
  <w:style w:type="character" w:customStyle="1" w:styleId="TableFigureFooterChar">
    <w:name w:val="Table/Figure Footer Char"/>
    <w:link w:val="TableFigureFooter"/>
    <w:rsid w:val="0096157A"/>
    <w:rPr>
      <w:rFonts w:ascii="Arial Narrow" w:hAnsi="Arial Narrow" w:cs="Arial"/>
      <w:iCs/>
      <w:snapToGrid w:val="0"/>
      <w:sz w:val="18"/>
      <w:szCs w:val="22"/>
    </w:rPr>
  </w:style>
  <w:style w:type="paragraph" w:styleId="FootnoteText">
    <w:name w:val="footnote text"/>
    <w:aliases w:val="Footnote Text Char1,Footnote Text Char Char,Footnote Text Char2,Footnote Text Char Char1"/>
    <w:basedOn w:val="Normal"/>
    <w:link w:val="FootnoteTextChar"/>
    <w:unhideWhenUsed/>
    <w:rsid w:val="00784E7B"/>
    <w:rPr>
      <w:rFonts w:eastAsia="SimSun"/>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784E7B"/>
    <w:rPr>
      <w:rFonts w:ascii="Calibri" w:eastAsia="SimSun" w:hAnsi="Calibri" w:cs="Arial"/>
    </w:rPr>
  </w:style>
  <w:style w:type="character" w:styleId="FootnoteReference">
    <w:name w:val="footnote reference"/>
    <w:basedOn w:val="DefaultParagraphFont"/>
    <w:unhideWhenUsed/>
    <w:rsid w:val="00784E7B"/>
    <w:rPr>
      <w:vertAlign w:val="superscript"/>
    </w:rPr>
  </w:style>
  <w:style w:type="character" w:styleId="UnresolvedMention">
    <w:name w:val="Unresolved Mention"/>
    <w:basedOn w:val="DefaultParagraphFont"/>
    <w:uiPriority w:val="99"/>
    <w:semiHidden/>
    <w:unhideWhenUsed/>
    <w:rsid w:val="00292C66"/>
    <w:rPr>
      <w:color w:val="605E5C"/>
      <w:shd w:val="clear" w:color="auto" w:fill="E1DFDD"/>
    </w:rPr>
  </w:style>
  <w:style w:type="paragraph" w:customStyle="1" w:styleId="TableBullet">
    <w:name w:val="Table Bullet"/>
    <w:basedOn w:val="TableText0"/>
    <w:qFormat/>
    <w:rsid w:val="00DD2F4B"/>
    <w:pPr>
      <w:keepNext w:val="0"/>
      <w:keepLines w:val="0"/>
      <w:numPr>
        <w:numId w:val="6"/>
      </w:numPr>
      <w:spacing w:before="40" w:after="40" w:line="276" w:lineRule="auto"/>
    </w:pPr>
    <w:rPr>
      <w:rFonts w:ascii="Calibri" w:eastAsiaTheme="minorHAnsi" w:hAnsi="Calibri" w:cs="Calibri (Body)"/>
      <w:bCs w:val="0"/>
      <w:sz w:val="18"/>
      <w:szCs w:val="20"/>
      <w:lang w:eastAsia="en-US"/>
    </w:rPr>
  </w:style>
  <w:style w:type="table" w:customStyle="1" w:styleId="MSDTableGrid1">
    <w:name w:val="MSD Table Grid1"/>
    <w:basedOn w:val="TableNormal"/>
    <w:next w:val="TableGrid"/>
    <w:uiPriority w:val="39"/>
    <w:rsid w:val="00B819D1"/>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Style">
    <w:name w:val="PBAC Table Style"/>
    <w:basedOn w:val="TableGrid1"/>
    <w:uiPriority w:val="99"/>
    <w:rsid w:val="004E5E2D"/>
    <w:pPr>
      <w:widowControl w:val="0"/>
      <w:spacing w:before="120"/>
      <w:contextualSpacing/>
      <w:jc w:val="center"/>
    </w:pPr>
    <w:rPr>
      <w:rFonts w:ascii="Arial Narrow" w:eastAsiaTheme="minorHAnsi" w:hAnsi="Arial Narrow" w:cstheme="minorBidi"/>
      <w:color w:val="000000" w:themeColor="text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Calibri (Body)" w:hAnsi="Calibri (Body)"/>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Calibri (Body)" w:hAnsi="Calibri (Body)"/>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Calibri (Body)" w:hAnsi="Calibri (Body)"/>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4E5E2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BodyText3">
    <w:name w:val="Body Text 3"/>
    <w:basedOn w:val="Normal"/>
    <w:link w:val="BodyText3Char"/>
    <w:unhideWhenUsed/>
    <w:rsid w:val="00E16BBF"/>
    <w:pPr>
      <w:spacing w:after="120"/>
    </w:pPr>
    <w:rPr>
      <w:sz w:val="16"/>
      <w:szCs w:val="16"/>
    </w:rPr>
  </w:style>
  <w:style w:type="character" w:customStyle="1" w:styleId="BodyText3Char">
    <w:name w:val="Body Text 3 Char"/>
    <w:basedOn w:val="DefaultParagraphFont"/>
    <w:link w:val="BodyText3"/>
    <w:rsid w:val="00E16BBF"/>
    <w:rPr>
      <w:rFonts w:ascii="Calibri" w:hAnsi="Calibri" w:cs="Arial"/>
      <w:sz w:val="16"/>
      <w:szCs w:val="16"/>
    </w:rPr>
  </w:style>
  <w:style w:type="paragraph" w:customStyle="1" w:styleId="Tabletitle">
    <w:name w:val="Table title"/>
    <w:basedOn w:val="Tabletext"/>
    <w:link w:val="TabletitleChar"/>
    <w:qFormat/>
    <w:rsid w:val="00E16BBF"/>
    <w:rPr>
      <w:rFonts w:eastAsia="Calibri" w:cs="Arial"/>
      <w:b/>
      <w:snapToGrid/>
      <w:szCs w:val="20"/>
      <w:lang w:eastAsia="en-US"/>
    </w:rPr>
  </w:style>
  <w:style w:type="character" w:customStyle="1" w:styleId="TabletitleChar">
    <w:name w:val="Table title Char"/>
    <w:basedOn w:val="TabletextChar"/>
    <w:link w:val="Tabletitle"/>
    <w:rsid w:val="00E16BBF"/>
    <w:rPr>
      <w:rFonts w:ascii="Arial Narrow" w:eastAsia="Calibri" w:hAnsi="Arial Narrow" w:cs="Arial"/>
      <w:b/>
      <w:lang w:eastAsia="en-US"/>
    </w:rPr>
  </w:style>
  <w:style w:type="paragraph" w:customStyle="1" w:styleId="Footnotes">
    <w:name w:val="Footnotes"/>
    <w:basedOn w:val="FootnoteText"/>
    <w:link w:val="FootnotesChar"/>
    <w:qFormat/>
    <w:rsid w:val="00E16BBF"/>
    <w:rPr>
      <w:rFonts w:asciiTheme="minorHAnsi" w:hAnsiTheme="minorHAnsi"/>
      <w:snapToGrid w:val="0"/>
      <w:lang w:eastAsia="en-US"/>
    </w:rPr>
  </w:style>
  <w:style w:type="character" w:customStyle="1" w:styleId="FootnotesChar">
    <w:name w:val="Footnotes Char"/>
    <w:basedOn w:val="FootnoteTextChar"/>
    <w:link w:val="Footnotes"/>
    <w:rsid w:val="00E16BBF"/>
    <w:rPr>
      <w:rFonts w:asciiTheme="minorHAnsi" w:eastAsia="SimSun" w:hAnsiTheme="minorHAnsi" w:cs="Arial"/>
      <w:snapToGrid w:val="0"/>
      <w:lang w:eastAsia="en-US"/>
    </w:rPr>
  </w:style>
  <w:style w:type="paragraph" w:customStyle="1" w:styleId="COMH1-non-numbered">
    <w:name w:val="COM H1 - non-numbered"/>
    <w:next w:val="Normal"/>
    <w:link w:val="COMH1-non-numberedChar"/>
    <w:qFormat/>
    <w:rsid w:val="00E16BBF"/>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E16BBF"/>
    <w:rPr>
      <w:rFonts w:asciiTheme="minorHAnsi" w:eastAsiaTheme="majorEastAsia" w:hAnsiTheme="minorHAnsi" w:cstheme="majorBidi"/>
      <w:b/>
      <w:spacing w:val="5"/>
      <w:kern w:val="28"/>
      <w:sz w:val="32"/>
      <w:szCs w:val="36"/>
    </w:rPr>
  </w:style>
  <w:style w:type="paragraph" w:customStyle="1" w:styleId="COMH1numbered">
    <w:name w:val="COM H1 numbered"/>
    <w:next w:val="Normal"/>
    <w:qFormat/>
    <w:rsid w:val="00E16BBF"/>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E16BBF"/>
    <w:pPr>
      <w:ind w:left="720" w:hanging="720"/>
      <w:jc w:val="both"/>
    </w:pPr>
  </w:style>
  <w:style w:type="character" w:customStyle="1" w:styleId="COMexecsumnumberedparaChar">
    <w:name w:val="COM exec sum numbered para Char"/>
    <w:basedOn w:val="DefaultParagraphFont"/>
    <w:link w:val="COMexecsumnumberedpara"/>
    <w:rsid w:val="00E16BBF"/>
    <w:rPr>
      <w:rFonts w:asciiTheme="minorHAnsi" w:hAnsiTheme="minorHAnsi" w:cs="Arial"/>
      <w:snapToGrid w:val="0"/>
      <w:sz w:val="24"/>
      <w:szCs w:val="24"/>
    </w:rPr>
  </w:style>
  <w:style w:type="paragraph" w:customStyle="1" w:styleId="3-SubsectionHeading">
    <w:name w:val="3-Subsection Heading"/>
    <w:basedOn w:val="Heading2"/>
    <w:next w:val="Normal"/>
    <w:link w:val="3-SubsectionHeadingChar"/>
    <w:qFormat/>
    <w:rsid w:val="00E16BBF"/>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16BBF"/>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7250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5968890">
      <w:bodyDiv w:val="1"/>
      <w:marLeft w:val="0"/>
      <w:marRight w:val="0"/>
      <w:marTop w:val="0"/>
      <w:marBottom w:val="0"/>
      <w:divBdr>
        <w:top w:val="none" w:sz="0" w:space="0" w:color="auto"/>
        <w:left w:val="none" w:sz="0" w:space="0" w:color="auto"/>
        <w:bottom w:val="none" w:sz="0" w:space="0" w:color="auto"/>
        <w:right w:val="none" w:sz="0" w:space="0" w:color="auto"/>
      </w:divBdr>
    </w:div>
    <w:div w:id="19674055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1159644">
      <w:bodyDiv w:val="1"/>
      <w:marLeft w:val="0"/>
      <w:marRight w:val="0"/>
      <w:marTop w:val="0"/>
      <w:marBottom w:val="0"/>
      <w:divBdr>
        <w:top w:val="none" w:sz="0" w:space="0" w:color="auto"/>
        <w:left w:val="none" w:sz="0" w:space="0" w:color="auto"/>
        <w:bottom w:val="none" w:sz="0" w:space="0" w:color="auto"/>
        <w:right w:val="none" w:sz="0" w:space="0" w:color="auto"/>
      </w:divBdr>
      <w:divsChild>
        <w:div w:id="790634151">
          <w:marLeft w:val="706"/>
          <w:marRight w:val="0"/>
          <w:marTop w:val="60"/>
          <w:marBottom w:val="60"/>
          <w:divBdr>
            <w:top w:val="none" w:sz="0" w:space="0" w:color="auto"/>
            <w:left w:val="none" w:sz="0" w:space="0" w:color="auto"/>
            <w:bottom w:val="none" w:sz="0" w:space="0" w:color="auto"/>
            <w:right w:val="none" w:sz="0" w:space="0" w:color="auto"/>
          </w:divBdr>
        </w:div>
        <w:div w:id="1234776539">
          <w:marLeft w:val="706"/>
          <w:marRight w:val="0"/>
          <w:marTop w:val="60"/>
          <w:marBottom w:val="60"/>
          <w:divBdr>
            <w:top w:val="none" w:sz="0" w:space="0" w:color="auto"/>
            <w:left w:val="none" w:sz="0" w:space="0" w:color="auto"/>
            <w:bottom w:val="none" w:sz="0" w:space="0" w:color="auto"/>
            <w:right w:val="none" w:sz="0" w:space="0" w:color="auto"/>
          </w:divBdr>
        </w:div>
        <w:div w:id="1758750263">
          <w:marLeft w:val="706"/>
          <w:marRight w:val="0"/>
          <w:marTop w:val="60"/>
          <w:marBottom w:val="60"/>
          <w:divBdr>
            <w:top w:val="none" w:sz="0" w:space="0" w:color="auto"/>
            <w:left w:val="none" w:sz="0" w:space="0" w:color="auto"/>
            <w:bottom w:val="none" w:sz="0" w:space="0" w:color="auto"/>
            <w:right w:val="none" w:sz="0" w:space="0" w:color="auto"/>
          </w:divBdr>
        </w:div>
      </w:divsChild>
    </w:div>
    <w:div w:id="924455179">
      <w:bodyDiv w:val="1"/>
      <w:marLeft w:val="0"/>
      <w:marRight w:val="0"/>
      <w:marTop w:val="0"/>
      <w:marBottom w:val="0"/>
      <w:divBdr>
        <w:top w:val="none" w:sz="0" w:space="0" w:color="auto"/>
        <w:left w:val="none" w:sz="0" w:space="0" w:color="auto"/>
        <w:bottom w:val="none" w:sz="0" w:space="0" w:color="auto"/>
        <w:right w:val="none" w:sz="0" w:space="0" w:color="auto"/>
      </w:divBdr>
      <w:divsChild>
        <w:div w:id="169758947">
          <w:marLeft w:val="1080"/>
          <w:marRight w:val="0"/>
          <w:marTop w:val="100"/>
          <w:marBottom w:val="0"/>
          <w:divBdr>
            <w:top w:val="none" w:sz="0" w:space="0" w:color="auto"/>
            <w:left w:val="none" w:sz="0" w:space="0" w:color="auto"/>
            <w:bottom w:val="none" w:sz="0" w:space="0" w:color="auto"/>
            <w:right w:val="none" w:sz="0" w:space="0" w:color="auto"/>
          </w:divBdr>
        </w:div>
      </w:divsChild>
    </w:div>
    <w:div w:id="99669132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804957234">
      <w:bodyDiv w:val="1"/>
      <w:marLeft w:val="0"/>
      <w:marRight w:val="0"/>
      <w:marTop w:val="0"/>
      <w:marBottom w:val="0"/>
      <w:divBdr>
        <w:top w:val="none" w:sz="0" w:space="0" w:color="auto"/>
        <w:left w:val="none" w:sz="0" w:space="0" w:color="auto"/>
        <w:bottom w:val="none" w:sz="0" w:space="0" w:color="auto"/>
        <w:right w:val="none" w:sz="0" w:space="0" w:color="auto"/>
      </w:divBdr>
    </w:div>
    <w:div w:id="1952858023">
      <w:bodyDiv w:val="1"/>
      <w:marLeft w:val="0"/>
      <w:marRight w:val="0"/>
      <w:marTop w:val="0"/>
      <w:marBottom w:val="0"/>
      <w:divBdr>
        <w:top w:val="none" w:sz="0" w:space="0" w:color="auto"/>
        <w:left w:val="none" w:sz="0" w:space="0" w:color="auto"/>
        <w:bottom w:val="none" w:sz="0" w:space="0" w:color="auto"/>
        <w:right w:val="none" w:sz="0" w:space="0" w:color="auto"/>
      </w:divBdr>
      <w:divsChild>
        <w:div w:id="1443692815">
          <w:marLeft w:val="0"/>
          <w:marRight w:val="0"/>
          <w:marTop w:val="0"/>
          <w:marBottom w:val="0"/>
          <w:divBdr>
            <w:top w:val="none" w:sz="0" w:space="0" w:color="auto"/>
            <w:left w:val="none" w:sz="0" w:space="0" w:color="auto"/>
            <w:bottom w:val="none" w:sz="0" w:space="0" w:color="auto"/>
            <w:right w:val="none" w:sz="0" w:space="0" w:color="auto"/>
          </w:divBdr>
          <w:divsChild>
            <w:div w:id="1307592614">
              <w:marLeft w:val="0"/>
              <w:marRight w:val="0"/>
              <w:marTop w:val="0"/>
              <w:marBottom w:val="0"/>
              <w:divBdr>
                <w:top w:val="none" w:sz="0" w:space="0" w:color="auto"/>
                <w:left w:val="none" w:sz="0" w:space="0" w:color="auto"/>
                <w:bottom w:val="none" w:sz="0" w:space="0" w:color="auto"/>
                <w:right w:val="none" w:sz="0" w:space="0" w:color="auto"/>
              </w:divBdr>
              <w:divsChild>
                <w:div w:id="130363034">
                  <w:marLeft w:val="0"/>
                  <w:marRight w:val="0"/>
                  <w:marTop w:val="0"/>
                  <w:marBottom w:val="0"/>
                  <w:divBdr>
                    <w:top w:val="none" w:sz="0" w:space="0" w:color="auto"/>
                    <w:left w:val="none" w:sz="0" w:space="0" w:color="auto"/>
                    <w:bottom w:val="none" w:sz="0" w:space="0" w:color="auto"/>
                    <w:right w:val="none" w:sz="0" w:space="0" w:color="auto"/>
                  </w:divBdr>
                  <w:divsChild>
                    <w:div w:id="425074944">
                      <w:marLeft w:val="0"/>
                      <w:marRight w:val="0"/>
                      <w:marTop w:val="0"/>
                      <w:marBottom w:val="0"/>
                      <w:divBdr>
                        <w:top w:val="none" w:sz="0" w:space="0" w:color="auto"/>
                        <w:left w:val="none" w:sz="0" w:space="0" w:color="auto"/>
                        <w:bottom w:val="none" w:sz="0" w:space="0" w:color="auto"/>
                        <w:right w:val="none" w:sz="0" w:space="0" w:color="auto"/>
                      </w:divBdr>
                      <w:divsChild>
                        <w:div w:id="1707101273">
                          <w:marLeft w:val="0"/>
                          <w:marRight w:val="0"/>
                          <w:marTop w:val="0"/>
                          <w:marBottom w:val="0"/>
                          <w:divBdr>
                            <w:top w:val="none" w:sz="0" w:space="0" w:color="auto"/>
                            <w:left w:val="none" w:sz="0" w:space="0" w:color="auto"/>
                            <w:bottom w:val="none" w:sz="0" w:space="0" w:color="auto"/>
                            <w:right w:val="none" w:sz="0" w:space="0" w:color="auto"/>
                          </w:divBdr>
                          <w:divsChild>
                            <w:div w:id="209149467">
                              <w:marLeft w:val="0"/>
                              <w:marRight w:val="0"/>
                              <w:marTop w:val="0"/>
                              <w:marBottom w:val="0"/>
                              <w:divBdr>
                                <w:top w:val="none" w:sz="0" w:space="0" w:color="auto"/>
                                <w:left w:val="none" w:sz="0" w:space="0" w:color="auto"/>
                                <w:bottom w:val="none" w:sz="0" w:space="0" w:color="auto"/>
                                <w:right w:val="none" w:sz="0" w:space="0" w:color="auto"/>
                              </w:divBdr>
                              <w:divsChild>
                                <w:div w:id="79182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185241">
                      <w:marLeft w:val="0"/>
                      <w:marRight w:val="0"/>
                      <w:marTop w:val="0"/>
                      <w:marBottom w:val="0"/>
                      <w:divBdr>
                        <w:top w:val="none" w:sz="0" w:space="0" w:color="auto"/>
                        <w:left w:val="none" w:sz="0" w:space="0" w:color="auto"/>
                        <w:bottom w:val="none" w:sz="0" w:space="0" w:color="auto"/>
                        <w:right w:val="none" w:sz="0" w:space="0" w:color="auto"/>
                      </w:divBdr>
                      <w:divsChild>
                        <w:div w:id="1175417352">
                          <w:marLeft w:val="0"/>
                          <w:marRight w:val="0"/>
                          <w:marTop w:val="0"/>
                          <w:marBottom w:val="0"/>
                          <w:divBdr>
                            <w:top w:val="none" w:sz="0" w:space="0" w:color="auto"/>
                            <w:left w:val="none" w:sz="0" w:space="0" w:color="auto"/>
                            <w:bottom w:val="none" w:sz="0" w:space="0" w:color="auto"/>
                            <w:right w:val="none" w:sz="0" w:space="0" w:color="auto"/>
                          </w:divBdr>
                          <w:divsChild>
                            <w:div w:id="2001807258">
                              <w:marLeft w:val="0"/>
                              <w:marRight w:val="0"/>
                              <w:marTop w:val="0"/>
                              <w:marBottom w:val="0"/>
                              <w:divBdr>
                                <w:top w:val="none" w:sz="0" w:space="0" w:color="auto"/>
                                <w:left w:val="none" w:sz="0" w:space="0" w:color="auto"/>
                                <w:bottom w:val="none" w:sz="0" w:space="0" w:color="auto"/>
                                <w:right w:val="none" w:sz="0" w:space="0" w:color="auto"/>
                              </w:divBdr>
                              <w:divsChild>
                                <w:div w:id="13408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652984">
                      <w:marLeft w:val="0"/>
                      <w:marRight w:val="0"/>
                      <w:marTop w:val="0"/>
                      <w:marBottom w:val="0"/>
                      <w:divBdr>
                        <w:top w:val="none" w:sz="0" w:space="0" w:color="auto"/>
                        <w:left w:val="none" w:sz="0" w:space="0" w:color="auto"/>
                        <w:bottom w:val="none" w:sz="0" w:space="0" w:color="auto"/>
                        <w:right w:val="none" w:sz="0" w:space="0" w:color="auto"/>
                      </w:divBdr>
                      <w:divsChild>
                        <w:div w:id="1220828026">
                          <w:marLeft w:val="0"/>
                          <w:marRight w:val="0"/>
                          <w:marTop w:val="0"/>
                          <w:marBottom w:val="0"/>
                          <w:divBdr>
                            <w:top w:val="none" w:sz="0" w:space="0" w:color="auto"/>
                            <w:left w:val="none" w:sz="0" w:space="0" w:color="auto"/>
                            <w:bottom w:val="none" w:sz="0" w:space="0" w:color="auto"/>
                            <w:right w:val="none" w:sz="0" w:space="0" w:color="auto"/>
                          </w:divBdr>
                          <w:divsChild>
                            <w:div w:id="4272333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24026549">
                  <w:marLeft w:val="0"/>
                  <w:marRight w:val="0"/>
                  <w:marTop w:val="0"/>
                  <w:marBottom w:val="0"/>
                  <w:divBdr>
                    <w:top w:val="none" w:sz="0" w:space="0" w:color="auto"/>
                    <w:left w:val="none" w:sz="0" w:space="0" w:color="auto"/>
                    <w:bottom w:val="none" w:sz="0" w:space="0" w:color="auto"/>
                    <w:right w:val="none" w:sz="0" w:space="0" w:color="auto"/>
                  </w:divBdr>
                  <w:divsChild>
                    <w:div w:id="854687223">
                      <w:marLeft w:val="0"/>
                      <w:marRight w:val="0"/>
                      <w:marTop w:val="0"/>
                      <w:marBottom w:val="0"/>
                      <w:divBdr>
                        <w:top w:val="none" w:sz="0" w:space="0" w:color="auto"/>
                        <w:left w:val="none" w:sz="0" w:space="0" w:color="auto"/>
                        <w:bottom w:val="none" w:sz="0" w:space="0" w:color="auto"/>
                        <w:right w:val="none" w:sz="0" w:space="0" w:color="auto"/>
                      </w:divBdr>
                      <w:divsChild>
                        <w:div w:id="1212037732">
                          <w:marLeft w:val="0"/>
                          <w:marRight w:val="0"/>
                          <w:marTop w:val="0"/>
                          <w:marBottom w:val="0"/>
                          <w:divBdr>
                            <w:top w:val="none" w:sz="0" w:space="0" w:color="auto"/>
                            <w:left w:val="none" w:sz="0" w:space="0" w:color="auto"/>
                            <w:bottom w:val="none" w:sz="0" w:space="0" w:color="auto"/>
                            <w:right w:val="none" w:sz="0" w:space="0" w:color="auto"/>
                          </w:divBdr>
                          <w:divsChild>
                            <w:div w:id="188875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877400">
          <w:marLeft w:val="0"/>
          <w:marRight w:val="0"/>
          <w:marTop w:val="0"/>
          <w:marBottom w:val="0"/>
          <w:divBdr>
            <w:top w:val="none" w:sz="0" w:space="0" w:color="auto"/>
            <w:left w:val="none" w:sz="0" w:space="0" w:color="auto"/>
            <w:bottom w:val="none" w:sz="0" w:space="0" w:color="auto"/>
            <w:right w:val="none" w:sz="0" w:space="0" w:color="auto"/>
          </w:divBdr>
          <w:divsChild>
            <w:div w:id="495851661">
              <w:marLeft w:val="0"/>
              <w:marRight w:val="0"/>
              <w:marTop w:val="0"/>
              <w:marBottom w:val="0"/>
              <w:divBdr>
                <w:top w:val="none" w:sz="0" w:space="0" w:color="auto"/>
                <w:left w:val="none" w:sz="0" w:space="0" w:color="auto"/>
                <w:bottom w:val="none" w:sz="0" w:space="0" w:color="auto"/>
                <w:right w:val="none" w:sz="0" w:space="0" w:color="auto"/>
              </w:divBdr>
              <w:divsChild>
                <w:div w:id="1061173396">
                  <w:marLeft w:val="0"/>
                  <w:marRight w:val="0"/>
                  <w:marTop w:val="0"/>
                  <w:marBottom w:val="0"/>
                  <w:divBdr>
                    <w:top w:val="none" w:sz="0" w:space="0" w:color="auto"/>
                    <w:left w:val="none" w:sz="0" w:space="0" w:color="auto"/>
                    <w:bottom w:val="none" w:sz="0" w:space="0" w:color="auto"/>
                    <w:right w:val="none" w:sz="0" w:space="0" w:color="auto"/>
                  </w:divBdr>
                  <w:divsChild>
                    <w:div w:id="79687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clinicaltrials.gov/study/NCT04484818?cond=prostate%20cancer&amp;intr=darolutamide&amp;page=4&amp;rank=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519782F4-9C60-48E1-8195-CE96B52A87BD}">
  <ds:schemaRefs>
    <ds:schemaRef ds:uri="http://schemas.openxmlformats.org/officeDocument/2006/bibliography"/>
  </ds:schemaRefs>
</ds:datastoreItem>
</file>

<file path=customXml/itemProps2.xml><?xml version="1.0" encoding="utf-8"?>
<ds:datastoreItem xmlns:ds="http://schemas.openxmlformats.org/officeDocument/2006/customXml" ds:itemID="{1AD4FEFE-7E52-4B5E-9D68-42CD924BA8F5}"/>
</file>

<file path=customXml/itemProps3.xml><?xml version="1.0" encoding="utf-8"?>
<ds:datastoreItem xmlns:ds="http://schemas.openxmlformats.org/officeDocument/2006/customXml" ds:itemID="{50D6AAD5-67AD-42D0-911D-70FC4C28F309}"/>
</file>

<file path=customXml/itemProps4.xml><?xml version="1.0" encoding="utf-8"?>
<ds:datastoreItem xmlns:ds="http://schemas.openxmlformats.org/officeDocument/2006/customXml" ds:itemID="{A0B55653-E0BD-43CF-8AA6-DC559E3D65E8}"/>
</file>

<file path=docProps/app.xml><?xml version="1.0" encoding="utf-8"?>
<Properties xmlns="http://schemas.openxmlformats.org/officeDocument/2006/extended-properties" xmlns:vt="http://schemas.openxmlformats.org/officeDocument/2006/docPropsVTypes">
  <Template>Normal.dotm</Template>
  <TotalTime>0</TotalTime>
  <Pages>54</Pages>
  <Words>21494</Words>
  <Characters>122522</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143729</CharactersWithSpaces>
  <SharedDoc>false</SharedDoc>
  <HLinks>
    <vt:vector size="24" baseType="variant">
      <vt:variant>
        <vt:i4>5505101</vt:i4>
      </vt:variant>
      <vt:variant>
        <vt:i4>0</vt:i4>
      </vt:variant>
      <vt:variant>
        <vt:i4>0</vt:i4>
      </vt:variant>
      <vt:variant>
        <vt:i4>5</vt:i4>
      </vt:variant>
      <vt:variant>
        <vt:lpwstr>https://clinicaltrials.gov/study/NCT04484818?cond=prostate%20cancer&amp;intr=darolutamide&amp;page=4&amp;rank=35</vt:lpwstr>
      </vt:variant>
      <vt:variant>
        <vt:lpwstr/>
      </vt:variant>
      <vt:variant>
        <vt:i4>3473513</vt:i4>
      </vt:variant>
      <vt:variant>
        <vt:i4>6</vt:i4>
      </vt:variant>
      <vt:variant>
        <vt:i4>0</vt:i4>
      </vt:variant>
      <vt:variant>
        <vt:i4>5</vt:i4>
      </vt:variant>
      <vt:variant>
        <vt:lpwstr>https://www.pbs.gov.au/info/industry/listing/procedure-guidance/appendix-b</vt:lpwstr>
      </vt:variant>
      <vt:variant>
        <vt:lpwstr/>
      </vt:variant>
      <vt:variant>
        <vt:i4>3473513</vt:i4>
      </vt:variant>
      <vt:variant>
        <vt:i4>3</vt:i4>
      </vt:variant>
      <vt:variant>
        <vt:i4>0</vt:i4>
      </vt:variant>
      <vt:variant>
        <vt:i4>5</vt:i4>
      </vt:variant>
      <vt:variant>
        <vt:lpwstr>https://www.pbs.gov.au/info/industry/listing/procedure-guidance/appendix-b</vt:lpwstr>
      </vt:variant>
      <vt:variant>
        <vt:lpwstr/>
      </vt:variant>
      <vt:variant>
        <vt:i4>3473513</vt:i4>
      </vt:variant>
      <vt:variant>
        <vt:i4>0</vt:i4>
      </vt:variant>
      <vt:variant>
        <vt:i4>0</vt:i4>
      </vt:variant>
      <vt:variant>
        <vt:i4>5</vt:i4>
      </vt:variant>
      <vt:variant>
        <vt:lpwstr>https://www.pbs.gov.au/info/industry/listing/procedure-guidance/appendix-b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2025-03-05T05:58:00Z</dcterms:created>
  <dcterms:modified xsi:type="dcterms:W3CDTF">2025-03-05T05:58:00Z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410800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